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CBF97">
      <w:pPr>
        <w:jc w:val="center"/>
        <w:rPr>
          <w:rFonts w:ascii="宋体"/>
          <w:b/>
          <w:bCs/>
          <w:color w:val="auto"/>
          <w:sz w:val="84"/>
          <w:szCs w:val="84"/>
          <w:highlight w:val="none"/>
        </w:rPr>
      </w:pPr>
    </w:p>
    <w:p w14:paraId="57768FB6">
      <w:pPr>
        <w:spacing w:line="460" w:lineRule="atLeast"/>
        <w:jc w:val="center"/>
        <w:rPr>
          <w:rFonts w:ascii="宋体" w:hAnsi="宋体"/>
          <w:b/>
          <w:color w:val="auto"/>
          <w:sz w:val="84"/>
          <w:szCs w:val="84"/>
          <w:highlight w:val="none"/>
        </w:rPr>
      </w:pPr>
      <w:r>
        <w:rPr>
          <w:rFonts w:hint="eastAsia" w:ascii="宋体" w:hAnsi="宋体"/>
          <w:b/>
          <w:color w:val="auto"/>
          <w:sz w:val="84"/>
          <w:szCs w:val="84"/>
          <w:highlight w:val="none"/>
        </w:rPr>
        <w:t>温州市政府采购（分散）</w:t>
      </w:r>
    </w:p>
    <w:p w14:paraId="5B2B30CE">
      <w:pPr>
        <w:spacing w:line="460" w:lineRule="atLeast"/>
        <w:jc w:val="center"/>
        <w:rPr>
          <w:rFonts w:ascii="宋体" w:hAnsi="宋体"/>
          <w:b/>
          <w:color w:val="auto"/>
          <w:sz w:val="84"/>
          <w:szCs w:val="84"/>
          <w:highlight w:val="none"/>
        </w:rPr>
      </w:pPr>
      <w:r>
        <w:rPr>
          <w:rFonts w:hint="eastAsia" w:ascii="宋体" w:hAnsi="宋体"/>
          <w:b/>
          <w:color w:val="auto"/>
          <w:sz w:val="84"/>
          <w:szCs w:val="84"/>
          <w:highlight w:val="none"/>
        </w:rPr>
        <w:t>竞争性磋商文件</w:t>
      </w:r>
    </w:p>
    <w:p w14:paraId="307F2426">
      <w:pPr>
        <w:spacing w:line="460" w:lineRule="atLeast"/>
        <w:jc w:val="center"/>
        <w:rPr>
          <w:rFonts w:ascii="宋体" w:hAnsi="宋体"/>
          <w:b/>
          <w:bCs/>
          <w:color w:val="auto"/>
          <w:sz w:val="44"/>
          <w:szCs w:val="44"/>
          <w:highlight w:val="none"/>
        </w:rPr>
      </w:pPr>
      <w:r>
        <w:rPr>
          <w:rFonts w:hint="eastAsia" w:ascii="宋体" w:hAnsi="宋体"/>
          <w:color w:val="auto"/>
          <w:sz w:val="44"/>
          <w:szCs w:val="44"/>
          <w:highlight w:val="none"/>
        </w:rPr>
        <w:t>（</w:t>
      </w:r>
      <w:r>
        <w:rPr>
          <w:rFonts w:hint="eastAsia" w:ascii="宋体" w:hAnsi="宋体"/>
          <w:b/>
          <w:color w:val="auto"/>
          <w:sz w:val="44"/>
          <w:szCs w:val="44"/>
          <w:highlight w:val="none"/>
        </w:rPr>
        <w:t>线上电子招投标</w:t>
      </w:r>
      <w:r>
        <w:rPr>
          <w:rFonts w:hint="eastAsia" w:ascii="宋体" w:hAnsi="宋体"/>
          <w:color w:val="auto"/>
          <w:sz w:val="44"/>
          <w:szCs w:val="44"/>
          <w:highlight w:val="none"/>
        </w:rPr>
        <w:t>）</w:t>
      </w:r>
    </w:p>
    <w:p w14:paraId="1B5F9DAD">
      <w:pPr>
        <w:spacing w:line="460" w:lineRule="atLeast"/>
        <w:jc w:val="center"/>
        <w:rPr>
          <w:rFonts w:ascii="宋体" w:hAnsi="宋体"/>
          <w:b/>
          <w:bCs/>
          <w:color w:val="auto"/>
          <w:sz w:val="28"/>
          <w:highlight w:val="none"/>
        </w:rPr>
      </w:pPr>
    </w:p>
    <w:p w14:paraId="047B7ABF">
      <w:pPr>
        <w:spacing w:line="460" w:lineRule="atLeast"/>
        <w:jc w:val="center"/>
        <w:rPr>
          <w:rFonts w:ascii="宋体" w:hAnsi="宋体"/>
          <w:b/>
          <w:bCs/>
          <w:color w:val="auto"/>
          <w:sz w:val="28"/>
          <w:highlight w:val="none"/>
        </w:rPr>
      </w:pPr>
    </w:p>
    <w:p w14:paraId="4FF6B040">
      <w:pPr>
        <w:spacing w:line="460" w:lineRule="atLeast"/>
        <w:jc w:val="center"/>
        <w:rPr>
          <w:rFonts w:ascii="宋体" w:hAnsi="宋体"/>
          <w:b/>
          <w:bCs/>
          <w:color w:val="auto"/>
          <w:sz w:val="28"/>
          <w:highlight w:val="none"/>
        </w:rPr>
      </w:pPr>
    </w:p>
    <w:p w14:paraId="17CF0637">
      <w:pPr>
        <w:spacing w:line="460" w:lineRule="atLeast"/>
        <w:jc w:val="center"/>
        <w:rPr>
          <w:rFonts w:ascii="宋体" w:hAnsi="宋体"/>
          <w:b/>
          <w:bCs/>
          <w:color w:val="auto"/>
          <w:sz w:val="28"/>
          <w:highlight w:val="none"/>
        </w:rPr>
      </w:pPr>
    </w:p>
    <w:p w14:paraId="3AC27A72">
      <w:pPr>
        <w:spacing w:line="360" w:lineRule="auto"/>
        <w:ind w:firstLine="1494" w:firstLineChars="496"/>
        <w:rPr>
          <w:rFonts w:hint="eastAsia" w:ascii="宋体" w:eastAsia="宋体"/>
          <w:b/>
          <w:bCs/>
          <w:color w:val="auto"/>
          <w:sz w:val="30"/>
          <w:szCs w:val="30"/>
          <w:highlight w:val="none"/>
          <w:lang w:eastAsia="zh-CN"/>
        </w:rPr>
      </w:pPr>
      <w:r>
        <w:rPr>
          <w:rFonts w:hint="eastAsia" w:ascii="宋体"/>
          <w:b/>
          <w:bCs/>
          <w:color w:val="auto"/>
          <w:sz w:val="30"/>
          <w:szCs w:val="30"/>
          <w:highlight w:val="none"/>
        </w:rPr>
        <w:t>项目名称：</w:t>
      </w:r>
      <w:r>
        <w:rPr>
          <w:rFonts w:hint="eastAsia" w:ascii="宋体"/>
          <w:b/>
          <w:bCs/>
          <w:color w:val="auto"/>
          <w:sz w:val="30"/>
          <w:szCs w:val="30"/>
          <w:highlight w:val="none"/>
          <w:lang w:eastAsia="zh-CN"/>
        </w:rPr>
        <w:t>温州市救助管理站站内救助管理服务项目</w:t>
      </w:r>
    </w:p>
    <w:p w14:paraId="1F0B5AFE">
      <w:pPr>
        <w:spacing w:line="360" w:lineRule="auto"/>
        <w:ind w:firstLine="1494" w:firstLineChars="496"/>
        <w:rPr>
          <w:rFonts w:hint="eastAsia" w:ascii="宋体" w:eastAsia="宋体"/>
          <w:b/>
          <w:bCs/>
          <w:color w:val="auto"/>
          <w:sz w:val="30"/>
          <w:szCs w:val="30"/>
          <w:highlight w:val="none"/>
          <w:lang w:eastAsia="zh-CN"/>
        </w:rPr>
      </w:pPr>
      <w:r>
        <w:rPr>
          <w:rFonts w:hint="eastAsia" w:ascii="宋体"/>
          <w:b/>
          <w:bCs/>
          <w:color w:val="auto"/>
          <w:sz w:val="30"/>
          <w:szCs w:val="30"/>
          <w:highlight w:val="none"/>
        </w:rPr>
        <w:t>采购编号：</w:t>
      </w:r>
      <w:r>
        <w:rPr>
          <w:rFonts w:hint="eastAsia" w:ascii="宋体"/>
          <w:b/>
          <w:bCs/>
          <w:color w:val="auto"/>
          <w:sz w:val="30"/>
          <w:szCs w:val="30"/>
          <w:highlight w:val="none"/>
          <w:lang w:eastAsia="zh-CN"/>
        </w:rPr>
        <w:t>HZHQ-WZJZZ-202401</w:t>
      </w:r>
    </w:p>
    <w:p w14:paraId="3C0E452F">
      <w:pPr>
        <w:spacing w:line="360" w:lineRule="auto"/>
        <w:jc w:val="center"/>
        <w:rPr>
          <w:rFonts w:ascii="宋体" w:hAnsi="宋体"/>
          <w:b/>
          <w:color w:val="auto"/>
          <w:sz w:val="30"/>
          <w:szCs w:val="30"/>
          <w:highlight w:val="none"/>
        </w:rPr>
      </w:pPr>
    </w:p>
    <w:p w14:paraId="4EA1460F">
      <w:pPr>
        <w:spacing w:line="360" w:lineRule="auto"/>
        <w:jc w:val="center"/>
        <w:rPr>
          <w:rFonts w:ascii="宋体" w:hAnsi="宋体"/>
          <w:b/>
          <w:bCs/>
          <w:color w:val="auto"/>
          <w:sz w:val="28"/>
          <w:highlight w:val="none"/>
        </w:rPr>
      </w:pPr>
    </w:p>
    <w:p w14:paraId="68D5485B">
      <w:pPr>
        <w:spacing w:line="360" w:lineRule="auto"/>
        <w:jc w:val="center"/>
        <w:rPr>
          <w:rFonts w:ascii="宋体" w:hAnsi="宋体"/>
          <w:b/>
          <w:bCs/>
          <w:color w:val="auto"/>
          <w:sz w:val="28"/>
          <w:highlight w:val="none"/>
        </w:rPr>
      </w:pPr>
    </w:p>
    <w:p w14:paraId="7D3E4DF8">
      <w:pPr>
        <w:spacing w:line="360" w:lineRule="auto"/>
        <w:jc w:val="center"/>
        <w:rPr>
          <w:rFonts w:ascii="宋体" w:hAnsi="宋体"/>
          <w:b/>
          <w:bCs/>
          <w:color w:val="auto"/>
          <w:sz w:val="28"/>
          <w:highlight w:val="none"/>
        </w:rPr>
      </w:pPr>
    </w:p>
    <w:p w14:paraId="6299B3FC">
      <w:pPr>
        <w:spacing w:line="360" w:lineRule="auto"/>
        <w:ind w:firstLine="1494" w:firstLineChars="496"/>
        <w:rPr>
          <w:rFonts w:hint="eastAsia" w:ascii="宋体" w:eastAsia="宋体"/>
          <w:b/>
          <w:bCs/>
          <w:color w:val="auto"/>
          <w:sz w:val="30"/>
          <w:szCs w:val="30"/>
          <w:highlight w:val="none"/>
          <w:lang w:eastAsia="zh-CN"/>
        </w:rPr>
      </w:pPr>
      <w:r>
        <w:rPr>
          <w:rFonts w:hint="eastAsia" w:ascii="宋体"/>
          <w:b/>
          <w:bCs/>
          <w:color w:val="auto"/>
          <w:sz w:val="30"/>
          <w:szCs w:val="30"/>
          <w:highlight w:val="none"/>
        </w:rPr>
        <w:t>采 购 人：</w:t>
      </w:r>
      <w:r>
        <w:rPr>
          <w:rFonts w:hint="eastAsia" w:ascii="宋体"/>
          <w:b/>
          <w:bCs/>
          <w:color w:val="auto"/>
          <w:sz w:val="30"/>
          <w:szCs w:val="30"/>
          <w:highlight w:val="none"/>
          <w:lang w:eastAsia="zh-CN"/>
        </w:rPr>
        <w:t>温州市救助管理站</w:t>
      </w:r>
    </w:p>
    <w:p w14:paraId="14E10D87">
      <w:pPr>
        <w:spacing w:line="360" w:lineRule="auto"/>
        <w:ind w:firstLine="1494" w:firstLineChars="496"/>
        <w:rPr>
          <w:rFonts w:ascii="宋体"/>
          <w:b/>
          <w:bCs/>
          <w:color w:val="auto"/>
          <w:sz w:val="30"/>
          <w:szCs w:val="30"/>
          <w:highlight w:val="none"/>
        </w:rPr>
      </w:pPr>
      <w:r>
        <w:rPr>
          <w:rFonts w:hint="eastAsia" w:ascii="宋体"/>
          <w:b/>
          <w:bCs/>
          <w:color w:val="auto"/>
          <w:sz w:val="30"/>
          <w:szCs w:val="30"/>
          <w:highlight w:val="none"/>
        </w:rPr>
        <w:t>代理机构：杭州华旗招标代理有限公司</w:t>
      </w:r>
    </w:p>
    <w:p w14:paraId="4DB6E528">
      <w:pPr>
        <w:spacing w:line="460" w:lineRule="atLeast"/>
        <w:jc w:val="center"/>
        <w:rPr>
          <w:rFonts w:ascii="宋体" w:hAnsi="宋体"/>
          <w:b/>
          <w:color w:val="auto"/>
          <w:sz w:val="28"/>
          <w:szCs w:val="28"/>
          <w:highlight w:val="none"/>
        </w:rPr>
      </w:pPr>
    </w:p>
    <w:p w14:paraId="5896982E">
      <w:pPr>
        <w:pStyle w:val="37"/>
        <w:spacing w:line="460" w:lineRule="atLeast"/>
        <w:ind w:left="0" w:leftChars="0"/>
        <w:jc w:val="center"/>
        <w:rPr>
          <w:rFonts w:ascii="宋体" w:hAnsi="宋体"/>
          <w:b/>
          <w:color w:val="auto"/>
          <w:sz w:val="28"/>
          <w:szCs w:val="28"/>
          <w:highlight w:val="none"/>
        </w:rPr>
      </w:pPr>
    </w:p>
    <w:p w14:paraId="46ED22EF">
      <w:pPr>
        <w:autoSpaceDE w:val="0"/>
        <w:autoSpaceDN w:val="0"/>
        <w:adjustRightInd w:val="0"/>
        <w:spacing w:line="440" w:lineRule="atLeast"/>
        <w:jc w:val="center"/>
        <w:rPr>
          <w:rFonts w:ascii="宋体" w:hAnsi="宋体"/>
          <w:b/>
          <w:color w:val="auto"/>
          <w:sz w:val="28"/>
          <w:szCs w:val="28"/>
          <w:highlight w:val="none"/>
        </w:rPr>
      </w:pPr>
    </w:p>
    <w:p w14:paraId="446F766E">
      <w:pPr>
        <w:autoSpaceDE w:val="0"/>
        <w:autoSpaceDN w:val="0"/>
        <w:adjustRightInd w:val="0"/>
        <w:spacing w:line="440" w:lineRule="atLeast"/>
        <w:jc w:val="center"/>
        <w:rPr>
          <w:rFonts w:ascii="宋体" w:hAnsi="宋体"/>
          <w:b/>
          <w:color w:val="auto"/>
          <w:sz w:val="28"/>
          <w:szCs w:val="28"/>
          <w:highlight w:val="none"/>
        </w:rPr>
      </w:pPr>
    </w:p>
    <w:p w14:paraId="34F01D1A">
      <w:pPr>
        <w:autoSpaceDE w:val="0"/>
        <w:autoSpaceDN w:val="0"/>
        <w:adjustRightInd w:val="0"/>
        <w:spacing w:line="440" w:lineRule="atLeast"/>
        <w:jc w:val="center"/>
        <w:rPr>
          <w:rFonts w:ascii="宋体" w:hAnsi="宋体"/>
          <w:b/>
          <w:color w:val="auto"/>
          <w:sz w:val="28"/>
          <w:szCs w:val="28"/>
          <w:highlight w:val="none"/>
        </w:rPr>
      </w:pPr>
      <w:r>
        <w:rPr>
          <w:rFonts w:hint="eastAsia" w:ascii="宋体" w:hAnsi="宋体"/>
          <w:b/>
          <w:color w:val="auto"/>
          <w:sz w:val="28"/>
          <w:szCs w:val="28"/>
          <w:highlight w:val="none"/>
        </w:rPr>
        <w:t>二○二四年</w:t>
      </w:r>
      <w:r>
        <w:rPr>
          <w:rFonts w:hint="eastAsia" w:ascii="宋体" w:hAnsi="宋体"/>
          <w:b/>
          <w:color w:val="auto"/>
          <w:sz w:val="28"/>
          <w:szCs w:val="28"/>
          <w:highlight w:val="none"/>
          <w:lang w:val="en-US" w:eastAsia="zh-CN"/>
        </w:rPr>
        <w:t>十一</w:t>
      </w:r>
      <w:r>
        <w:rPr>
          <w:rFonts w:hint="eastAsia" w:ascii="宋体" w:hAnsi="宋体"/>
          <w:b/>
          <w:color w:val="auto"/>
          <w:sz w:val="28"/>
          <w:szCs w:val="28"/>
          <w:highlight w:val="none"/>
        </w:rPr>
        <w:t>月</w:t>
      </w:r>
    </w:p>
    <w:p w14:paraId="6BBC6DFB">
      <w:pPr>
        <w:autoSpaceDE w:val="0"/>
        <w:autoSpaceDN w:val="0"/>
        <w:adjustRightInd w:val="0"/>
        <w:spacing w:line="440" w:lineRule="atLeast"/>
        <w:jc w:val="center"/>
        <w:rPr>
          <w:rFonts w:ascii="宋体" w:hAnsi="宋体"/>
          <w:b/>
          <w:color w:val="auto"/>
          <w:sz w:val="28"/>
          <w:szCs w:val="28"/>
          <w:highlight w:val="none"/>
        </w:rPr>
      </w:pPr>
    </w:p>
    <w:p w14:paraId="424E5C51">
      <w:pPr>
        <w:autoSpaceDE w:val="0"/>
        <w:autoSpaceDN w:val="0"/>
        <w:adjustRightInd w:val="0"/>
        <w:spacing w:line="440" w:lineRule="atLeast"/>
        <w:jc w:val="center"/>
        <w:rPr>
          <w:rFonts w:ascii="宋体" w:hAnsi="宋体"/>
          <w:b/>
          <w:color w:val="auto"/>
          <w:sz w:val="28"/>
          <w:szCs w:val="28"/>
          <w:highlight w:val="none"/>
        </w:rPr>
      </w:pPr>
    </w:p>
    <w:p w14:paraId="6BB76328">
      <w:pPr>
        <w:autoSpaceDE w:val="0"/>
        <w:autoSpaceDN w:val="0"/>
        <w:adjustRightInd w:val="0"/>
        <w:spacing w:line="440" w:lineRule="atLeast"/>
        <w:jc w:val="center"/>
        <w:rPr>
          <w:rFonts w:ascii="宋体" w:hAnsi="宋体"/>
          <w:b/>
          <w:color w:val="auto"/>
          <w:sz w:val="28"/>
          <w:szCs w:val="28"/>
          <w:highlight w:val="none"/>
        </w:rPr>
      </w:pPr>
    </w:p>
    <w:p w14:paraId="3AE57085">
      <w:pPr>
        <w:autoSpaceDE w:val="0"/>
        <w:autoSpaceDN w:val="0"/>
        <w:adjustRightInd w:val="0"/>
        <w:spacing w:line="360" w:lineRule="auto"/>
        <w:jc w:val="center"/>
        <w:rPr>
          <w:rFonts w:ascii="宋体" w:hAnsi="宋体" w:cs="仿宋_GB2312"/>
          <w:bCs/>
          <w:color w:val="auto"/>
          <w:highlight w:val="none"/>
          <w:lang w:val="zh-CN"/>
        </w:rPr>
      </w:pPr>
      <w:r>
        <w:rPr>
          <w:rFonts w:hint="eastAsia" w:ascii="宋体" w:hAnsi="宋体" w:cs="仿宋_GB2312"/>
          <w:bCs/>
          <w:color w:val="auto"/>
          <w:sz w:val="36"/>
          <w:szCs w:val="36"/>
          <w:highlight w:val="none"/>
          <w:lang w:val="zh-CN"/>
        </w:rPr>
        <w:t>磋商文件目录</w:t>
      </w:r>
    </w:p>
    <w:p w14:paraId="04B6E914">
      <w:pPr>
        <w:pStyle w:val="45"/>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rPr>
        <w:fldChar w:fldCharType="begin"/>
      </w:r>
      <w:r>
        <w:rPr>
          <w:rFonts w:hint="eastAsia" w:ascii="宋体" w:hAnsi="宋体" w:eastAsia="宋体" w:cs="宋体"/>
          <w:b w:val="0"/>
          <w:bCs w:val="0"/>
          <w:color w:val="auto"/>
          <w:sz w:val="22"/>
          <w:szCs w:val="22"/>
          <w:highlight w:val="none"/>
        </w:rPr>
        <w:instrText xml:space="preserve"> TOC \o "1-3" \h \z \u </w:instrText>
      </w:r>
      <w:r>
        <w:rPr>
          <w:rFonts w:hint="eastAsia" w:ascii="宋体" w:hAnsi="宋体" w:eastAsia="宋体" w:cs="宋体"/>
          <w:b w:val="0"/>
          <w:bCs w:val="0"/>
          <w:color w:val="auto"/>
          <w:sz w:val="22"/>
          <w:szCs w:val="22"/>
          <w:highlight w:val="none"/>
        </w:rPr>
        <w:fldChar w:fldCharType="separate"/>
      </w:r>
      <w:r>
        <w:rPr>
          <w:rFonts w:hint="eastAsia" w:ascii="宋体" w:hAnsi="宋体" w:eastAsia="宋体" w:cs="宋体"/>
          <w:b w:val="0"/>
          <w:bCs w:val="0"/>
          <w:color w:val="auto"/>
          <w:sz w:val="22"/>
          <w:szCs w:val="22"/>
          <w:highlight w:val="none"/>
        </w:rPr>
        <w:fldChar w:fldCharType="begin"/>
      </w:r>
      <w:r>
        <w:rPr>
          <w:rFonts w:hint="eastAsia" w:ascii="宋体" w:hAnsi="宋体" w:eastAsia="宋体" w:cs="宋体"/>
          <w:b w:val="0"/>
          <w:bCs w:val="0"/>
          <w:color w:val="auto"/>
          <w:sz w:val="22"/>
          <w:szCs w:val="22"/>
          <w:highlight w:val="none"/>
        </w:rPr>
        <w:instrText xml:space="preserve"> HYPERLINK \l _Toc29519 </w:instrText>
      </w:r>
      <w:r>
        <w:rPr>
          <w:rFonts w:hint="eastAsia" w:ascii="宋体" w:hAnsi="宋体" w:eastAsia="宋体" w:cs="宋体"/>
          <w:b w:val="0"/>
          <w:bCs w:val="0"/>
          <w:color w:val="auto"/>
          <w:sz w:val="22"/>
          <w:szCs w:val="22"/>
          <w:highlight w:val="none"/>
        </w:rPr>
        <w:fldChar w:fldCharType="separate"/>
      </w:r>
      <w:r>
        <w:rPr>
          <w:rFonts w:hint="eastAsia" w:ascii="宋体" w:hAnsi="宋体" w:eastAsia="宋体" w:cs="宋体"/>
          <w:b w:val="0"/>
          <w:bCs w:val="0"/>
          <w:color w:val="auto"/>
          <w:sz w:val="22"/>
          <w:szCs w:val="22"/>
          <w:highlight w:val="none"/>
          <w:lang w:val="zh-CN"/>
        </w:rPr>
        <w:t>第一部分    磋商邀请函（供应商须知前附表）</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_Toc29519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2</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rPr>
        <w:fldChar w:fldCharType="end"/>
      </w:r>
    </w:p>
    <w:p w14:paraId="1B67E2A9">
      <w:pPr>
        <w:pStyle w:val="45"/>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_Toc29495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rPr>
        <w:t xml:space="preserve">第二部分 </w:t>
      </w:r>
      <w:r>
        <w:rPr>
          <w:rFonts w:hint="eastAsia" w:ascii="宋体" w:hAnsi="宋体" w:eastAsia="宋体" w:cs="宋体"/>
          <w:b w:val="0"/>
          <w:bCs w:val="0"/>
          <w:color w:val="auto"/>
          <w:sz w:val="22"/>
          <w:szCs w:val="22"/>
          <w:highlight w:val="none"/>
        </w:rPr>
        <w:t>采购内容及要求</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_Toc29495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6</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75441C24">
      <w:pPr>
        <w:pStyle w:val="45"/>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_Toc9347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rPr>
        <w:t>第三部分    供应商须知</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_Toc9347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27</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43B371D6">
      <w:pPr>
        <w:pStyle w:val="45"/>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_Toc3460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rPr>
        <w:t>一、说明</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_Toc3460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27</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4139CA17">
      <w:pPr>
        <w:pStyle w:val="45"/>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_Toc27647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rPr>
        <w:t>二、竞争性磋商文件</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_Toc27647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28</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6EDA8504">
      <w:pPr>
        <w:pStyle w:val="45"/>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_Toc4998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rPr>
        <w:t>三、磋商响应文件</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_Toc4998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29</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6EBF5E08">
      <w:pPr>
        <w:pStyle w:val="45"/>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_Toc26039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rPr>
        <w:t>四、磋商响应文件递交</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_Toc26039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32</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24EF5863">
      <w:pPr>
        <w:pStyle w:val="45"/>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_Toc8131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rPr>
        <w:t>五、开标和评审</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_Toc8131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32</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0723F969">
      <w:pPr>
        <w:pStyle w:val="45"/>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_Toc32500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rPr>
        <w:t>六、授予合同</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_Toc32500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36</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6751E9C3">
      <w:pPr>
        <w:pStyle w:val="45"/>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_Toc7120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rPr>
        <w:t>第四部分    政府采购政策功能相关说明</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_Toc7120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38</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0C3F9109">
      <w:pPr>
        <w:pStyle w:val="45"/>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_Toc11939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rPr>
        <w:t>第五部分    合同格式</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_Toc11939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42</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78405863">
      <w:pPr>
        <w:pStyle w:val="54"/>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_Toc12267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rPr>
        <w:t>一、合同总则</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_Toc12267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42</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6A6AD777">
      <w:pPr>
        <w:pStyle w:val="54"/>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_Toc23804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lang w:val="en-US" w:eastAsia="zh-CN"/>
        </w:rPr>
        <w:t>二</w:t>
      </w:r>
      <w:r>
        <w:rPr>
          <w:rFonts w:hint="eastAsia" w:ascii="宋体" w:hAnsi="宋体" w:eastAsia="宋体" w:cs="宋体"/>
          <w:b w:val="0"/>
          <w:bCs w:val="0"/>
          <w:color w:val="auto"/>
          <w:sz w:val="22"/>
          <w:szCs w:val="22"/>
          <w:highlight w:val="none"/>
        </w:rPr>
        <w:t>、双方权利义务</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_Toc23804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42</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223502A7">
      <w:pPr>
        <w:pStyle w:val="54"/>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_Toc26746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lang w:val="en-US" w:eastAsia="zh-CN"/>
        </w:rPr>
        <w:t>三</w:t>
      </w:r>
      <w:r>
        <w:rPr>
          <w:rFonts w:hint="eastAsia" w:ascii="宋体" w:hAnsi="宋体" w:eastAsia="宋体" w:cs="宋体"/>
          <w:b w:val="0"/>
          <w:bCs w:val="0"/>
          <w:color w:val="auto"/>
          <w:sz w:val="22"/>
          <w:szCs w:val="22"/>
          <w:highlight w:val="none"/>
        </w:rPr>
        <w:t>、履约保证金</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_Toc26746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44</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1709B9B8">
      <w:pPr>
        <w:pStyle w:val="54"/>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_Toc23967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lang w:val="en-US" w:eastAsia="zh-CN"/>
        </w:rPr>
        <w:t>四</w:t>
      </w:r>
      <w:r>
        <w:rPr>
          <w:rFonts w:hint="eastAsia" w:ascii="宋体" w:hAnsi="宋体" w:eastAsia="宋体" w:cs="宋体"/>
          <w:b w:val="0"/>
          <w:bCs w:val="0"/>
          <w:color w:val="auto"/>
          <w:sz w:val="22"/>
          <w:szCs w:val="22"/>
          <w:highlight w:val="none"/>
        </w:rPr>
        <w:t>、不可抗力</w:t>
      </w:r>
      <w:bookmarkStart w:id="80" w:name="_GoBack"/>
      <w:bookmarkEnd w:id="80"/>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_Toc23967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44</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4F0D615A">
      <w:pPr>
        <w:pStyle w:val="54"/>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_Toc2113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lang w:val="en-US" w:eastAsia="zh-CN"/>
        </w:rPr>
        <w:t>五</w:t>
      </w:r>
      <w:r>
        <w:rPr>
          <w:rFonts w:hint="eastAsia" w:ascii="宋体" w:hAnsi="宋体" w:eastAsia="宋体" w:cs="宋体"/>
          <w:b w:val="0"/>
          <w:bCs w:val="0"/>
          <w:color w:val="auto"/>
          <w:sz w:val="22"/>
          <w:szCs w:val="22"/>
          <w:highlight w:val="none"/>
        </w:rPr>
        <w:t>、合同生效和终止</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_Toc2113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44</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0815C38C">
      <w:pPr>
        <w:pStyle w:val="54"/>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_Toc14168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lang w:val="en-US" w:eastAsia="zh-CN"/>
        </w:rPr>
        <w:t>六</w:t>
      </w:r>
      <w:r>
        <w:rPr>
          <w:rFonts w:hint="eastAsia" w:ascii="宋体" w:hAnsi="宋体" w:eastAsia="宋体" w:cs="宋体"/>
          <w:b w:val="0"/>
          <w:bCs w:val="0"/>
          <w:color w:val="auto"/>
          <w:sz w:val="22"/>
          <w:szCs w:val="22"/>
          <w:highlight w:val="none"/>
        </w:rPr>
        <w:t>、其他</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_Toc14168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45</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3414E29E">
      <w:pPr>
        <w:pStyle w:val="45"/>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_Toc30097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rPr>
        <w:t>第六部分    附件---磋商响应文件格式</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_Toc30097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47</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5F0C2295">
      <w:pPr>
        <w:pStyle w:val="45"/>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_Toc3869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rPr>
        <w:t>一、资格文件格式</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_Toc3869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47</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245D5EA6">
      <w:pPr>
        <w:pStyle w:val="54"/>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_Toc25030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rPr>
        <w:t>附件一</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_Toc25030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47</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2DB613D9">
      <w:pPr>
        <w:pStyle w:val="54"/>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_Toc30738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lang w:val="zh-CN"/>
        </w:rPr>
        <w:t>投标供应商参与政府采购活动投标资格声明函</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_Toc30738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47</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740EFB1A">
      <w:pPr>
        <w:pStyle w:val="45"/>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_Toc1478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rPr>
        <w:t>二、报价文件格式</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_Toc1478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48</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60190610">
      <w:pPr>
        <w:pStyle w:val="54"/>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_Toc14484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rPr>
        <w:t>附件</w:t>
      </w:r>
      <w:r>
        <w:rPr>
          <w:rFonts w:hint="eastAsia" w:ascii="宋体" w:hAnsi="宋体" w:eastAsia="宋体" w:cs="宋体"/>
          <w:b w:val="0"/>
          <w:bCs w:val="0"/>
          <w:color w:val="auto"/>
          <w:sz w:val="22"/>
          <w:szCs w:val="22"/>
          <w:highlight w:val="none"/>
          <w:lang w:val="zh-CN"/>
        </w:rPr>
        <w:t>二</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_Toc14484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48</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15C169E8">
      <w:pPr>
        <w:pStyle w:val="54"/>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_Toc25438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lang w:val="zh-CN"/>
        </w:rPr>
        <w:t>报价一览表</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_Toc25438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48</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017A1C9C">
      <w:pPr>
        <w:pStyle w:val="54"/>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_Toc21649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rPr>
        <w:t>附件三</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_Toc21649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49</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275E6C92">
      <w:pPr>
        <w:pStyle w:val="54"/>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_Toc15030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lang w:val="zh-CN"/>
        </w:rPr>
        <w:t>投标分项报价表</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_Toc15030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49</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6897BF7D">
      <w:pPr>
        <w:pStyle w:val="45"/>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_Toc28605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rPr>
        <w:t>三、商务技术文件格式</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_Toc28605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51</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61B37AB8">
      <w:pPr>
        <w:pStyle w:val="54"/>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_Toc7217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rPr>
        <w:t>附件四</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_Toc7217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51</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7D92242C">
      <w:pPr>
        <w:pStyle w:val="54"/>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_Toc28266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lang w:val="zh-CN"/>
        </w:rPr>
        <w:t>投  标  函</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_Toc28266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51</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31632DFA">
      <w:pPr>
        <w:pStyle w:val="54"/>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_Toc623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rPr>
        <w:t>附件五</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_Toc623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52</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05728915">
      <w:pPr>
        <w:pStyle w:val="54"/>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_Toc12802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lang w:val="zh-CN"/>
        </w:rPr>
        <w:t>法定代表人授权书</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_Toc12802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52</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47D16455">
      <w:pPr>
        <w:pStyle w:val="54"/>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_Toc32082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rPr>
        <w:t>附件六</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_Toc32082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53</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3B537161">
      <w:pPr>
        <w:pStyle w:val="54"/>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_Toc30329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lang w:val="zh-CN"/>
        </w:rPr>
        <w:t>法定代表人诚信投标承诺书</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_Toc30329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53</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3D98A263">
      <w:pPr>
        <w:pStyle w:val="54"/>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_Toc32304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rPr>
        <w:t>附件七</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_Toc32304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54</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0613C9DA">
      <w:pPr>
        <w:pStyle w:val="54"/>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_Toc16436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lang w:val="zh-CN"/>
        </w:rPr>
        <w:t>投标供应商业绩</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_Toc16436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54</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3C2A2C79">
      <w:pPr>
        <w:pStyle w:val="54"/>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_Toc5791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rPr>
        <w:t>附件八</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_Toc5791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55</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13D0D3F5">
      <w:pPr>
        <w:pStyle w:val="54"/>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_Toc1585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lang w:val="zh-CN"/>
        </w:rPr>
        <w:t>人员情况表</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_Toc1585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55</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65FC2EEB">
      <w:pPr>
        <w:pStyle w:val="54"/>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_Toc18033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rPr>
        <w:t>附件九</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_Toc18033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56</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3AFB4139">
      <w:pPr>
        <w:pStyle w:val="54"/>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_Toc25212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lang w:val="zh-CN"/>
        </w:rPr>
        <w:t>偏离表</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_Toc25212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56</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4A088C49">
      <w:pPr>
        <w:pStyle w:val="54"/>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_Toc6888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rPr>
        <w:t>附件十</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_Toc6888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57</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5314712B">
      <w:pPr>
        <w:pStyle w:val="54"/>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_Toc9008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lang w:val="zh-CN"/>
        </w:rPr>
        <w:t>项目服务方案</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_Toc9008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57</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330C918D">
      <w:pPr>
        <w:pStyle w:val="45"/>
        <w:tabs>
          <w:tab w:val="right" w:leader="dot" w:pos="9747"/>
        </w:tabs>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val="zh-CN"/>
        </w:rPr>
        <w:fldChar w:fldCharType="begin"/>
      </w:r>
      <w:r>
        <w:rPr>
          <w:rFonts w:hint="eastAsia" w:ascii="宋体" w:hAnsi="宋体" w:eastAsia="宋体" w:cs="宋体"/>
          <w:b w:val="0"/>
          <w:bCs w:val="0"/>
          <w:color w:val="auto"/>
          <w:sz w:val="22"/>
          <w:szCs w:val="22"/>
          <w:highlight w:val="none"/>
          <w:lang w:val="zh-CN"/>
        </w:rPr>
        <w:instrText xml:space="preserve"> HYPERLINK \l _Toc12323 </w:instrText>
      </w:r>
      <w:r>
        <w:rPr>
          <w:rFonts w:hint="eastAsia" w:ascii="宋体" w:hAnsi="宋体" w:eastAsia="宋体" w:cs="宋体"/>
          <w:b w:val="0"/>
          <w:bCs w:val="0"/>
          <w:color w:val="auto"/>
          <w:sz w:val="22"/>
          <w:szCs w:val="22"/>
          <w:highlight w:val="none"/>
          <w:lang w:val="zh-CN"/>
        </w:rPr>
        <w:fldChar w:fldCharType="separate"/>
      </w:r>
      <w:r>
        <w:rPr>
          <w:rFonts w:hint="eastAsia" w:ascii="宋体" w:hAnsi="宋体" w:eastAsia="宋体" w:cs="宋体"/>
          <w:b w:val="0"/>
          <w:bCs w:val="0"/>
          <w:color w:val="auto"/>
          <w:sz w:val="22"/>
          <w:szCs w:val="22"/>
          <w:highlight w:val="none"/>
        </w:rPr>
        <w:t>第七部分   确定成交供应商办法</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PAGEREF _Toc12323 \h </w:instrText>
      </w:r>
      <w:r>
        <w:rPr>
          <w:rFonts w:hint="eastAsia" w:ascii="宋体" w:hAnsi="宋体" w:eastAsia="宋体" w:cs="宋体"/>
          <w:b w:val="0"/>
          <w:bCs w:val="0"/>
          <w:color w:val="auto"/>
          <w:sz w:val="22"/>
          <w:szCs w:val="22"/>
        </w:rPr>
        <w:fldChar w:fldCharType="separate"/>
      </w:r>
      <w:r>
        <w:rPr>
          <w:rFonts w:hint="eastAsia" w:ascii="宋体" w:hAnsi="宋体" w:eastAsia="宋体" w:cs="宋体"/>
          <w:b w:val="0"/>
          <w:bCs w:val="0"/>
          <w:color w:val="auto"/>
          <w:sz w:val="22"/>
          <w:szCs w:val="22"/>
        </w:rPr>
        <w:t>58</w: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highlight w:val="none"/>
          <w:lang w:val="zh-CN"/>
        </w:rPr>
        <w:fldChar w:fldCharType="end"/>
      </w:r>
    </w:p>
    <w:p w14:paraId="442D68A6">
      <w:pPr>
        <w:rPr>
          <w:rFonts w:ascii="宋体" w:hAnsi="宋体" w:cs="宋体"/>
          <w:bCs/>
          <w:color w:val="auto"/>
          <w:spacing w:val="15"/>
          <w:sz w:val="32"/>
          <w:szCs w:val="32"/>
          <w:highlight w:val="none"/>
        </w:rPr>
      </w:pPr>
      <w:r>
        <w:rPr>
          <w:rFonts w:hint="eastAsia" w:ascii="宋体" w:hAnsi="宋体" w:eastAsia="宋体" w:cs="宋体"/>
          <w:b w:val="0"/>
          <w:bCs w:val="0"/>
          <w:color w:val="auto"/>
          <w:sz w:val="22"/>
          <w:szCs w:val="22"/>
          <w:highlight w:val="none"/>
          <w:lang w:val="zh-CN"/>
        </w:rPr>
        <w:fldChar w:fldCharType="end"/>
      </w:r>
    </w:p>
    <w:p w14:paraId="4F7E4098">
      <w:pPr>
        <w:widowControl/>
        <w:spacing w:line="360" w:lineRule="atLeast"/>
        <w:ind w:firstLine="479" w:firstLineChars="199"/>
        <w:rPr>
          <w:rFonts w:ascii="宋体" w:hAnsi="宋体"/>
          <w:b/>
          <w:color w:val="auto"/>
          <w:sz w:val="24"/>
          <w:highlight w:val="none"/>
          <w:u w:val="thick"/>
        </w:rPr>
      </w:pPr>
      <w:r>
        <w:rPr>
          <w:rFonts w:hint="eastAsia" w:ascii="宋体" w:hAnsi="宋体"/>
          <w:b/>
          <w:color w:val="auto"/>
          <w:sz w:val="24"/>
          <w:highlight w:val="none"/>
          <w:u w:val="thick"/>
        </w:rPr>
        <w:t>注：磋商文件中有的条款及要求以符号▲的形式强调，这些特别强调的条款及内容有些是重要条款，供应商对重要条款的响应程度将作为评审工作的主要依据之一。</w:t>
      </w:r>
    </w:p>
    <w:p w14:paraId="15F0AF54">
      <w:pPr>
        <w:pStyle w:val="5"/>
        <w:rPr>
          <w:rFonts w:ascii="宋体" w:hAnsi="宋体"/>
          <w:color w:val="auto"/>
          <w:sz w:val="36"/>
          <w:highlight w:val="none"/>
          <w:lang w:val="zh-CN"/>
        </w:rPr>
      </w:pPr>
      <w:r>
        <w:rPr>
          <w:rFonts w:ascii="宋体" w:hAnsi="宋体"/>
          <w:b/>
          <w:color w:val="auto"/>
          <w:sz w:val="24"/>
          <w:highlight w:val="none"/>
          <w:u w:val="thick"/>
        </w:rPr>
        <w:br w:type="page"/>
      </w:r>
      <w:bookmarkStart w:id="0" w:name="_Toc32407"/>
      <w:bookmarkStart w:id="1" w:name="_Toc29519"/>
      <w:r>
        <w:rPr>
          <w:rFonts w:hint="eastAsia" w:ascii="宋体" w:hAnsi="宋体"/>
          <w:color w:val="auto"/>
          <w:sz w:val="36"/>
          <w:highlight w:val="none"/>
          <w:lang w:val="zh-CN"/>
        </w:rPr>
        <w:t xml:space="preserve">第一部分    </w:t>
      </w:r>
      <w:bookmarkEnd w:id="0"/>
      <w:r>
        <w:rPr>
          <w:rFonts w:hint="eastAsia" w:ascii="宋体" w:hAnsi="宋体"/>
          <w:color w:val="auto"/>
          <w:sz w:val="36"/>
          <w:highlight w:val="none"/>
          <w:lang w:val="zh-CN"/>
        </w:rPr>
        <w:t>磋商邀请函（供应商须知前附表）</w:t>
      </w:r>
      <w:bookmarkEnd w:id="1"/>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40"/>
        <w:gridCol w:w="1740"/>
        <w:gridCol w:w="7691"/>
      </w:tblGrid>
      <w:tr w14:paraId="436F74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70B43C3B">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1740" w:type="dxa"/>
            <w:vAlign w:val="center"/>
          </w:tcPr>
          <w:p w14:paraId="25EF52C8">
            <w:pPr>
              <w:jc w:val="center"/>
              <w:rPr>
                <w:rFonts w:ascii="宋体" w:hAnsi="宋体" w:cs="宋体"/>
                <w:color w:val="auto"/>
                <w:sz w:val="22"/>
                <w:szCs w:val="22"/>
                <w:highlight w:val="none"/>
              </w:rPr>
            </w:pPr>
            <w:r>
              <w:rPr>
                <w:rFonts w:hint="eastAsia" w:ascii="宋体" w:hAnsi="宋体" w:cs="宋体"/>
                <w:color w:val="auto"/>
                <w:sz w:val="22"/>
                <w:szCs w:val="22"/>
                <w:highlight w:val="none"/>
              </w:rPr>
              <w:t>内容</w:t>
            </w:r>
          </w:p>
        </w:tc>
        <w:tc>
          <w:tcPr>
            <w:tcW w:w="7691" w:type="dxa"/>
            <w:vAlign w:val="center"/>
          </w:tcPr>
          <w:p w14:paraId="26539048">
            <w:pPr>
              <w:jc w:val="center"/>
              <w:rPr>
                <w:rFonts w:ascii="宋体" w:hAnsi="宋体" w:cs="宋体"/>
                <w:color w:val="auto"/>
                <w:sz w:val="22"/>
                <w:szCs w:val="22"/>
                <w:highlight w:val="none"/>
              </w:rPr>
            </w:pPr>
            <w:r>
              <w:rPr>
                <w:rFonts w:hint="eastAsia" w:ascii="宋体" w:hAnsi="宋体" w:cs="宋体"/>
                <w:color w:val="auto"/>
                <w:sz w:val="22"/>
                <w:szCs w:val="22"/>
                <w:highlight w:val="none"/>
              </w:rPr>
              <w:t>说明与要求</w:t>
            </w:r>
          </w:p>
        </w:tc>
      </w:tr>
      <w:tr w14:paraId="1E82C9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05A985B5">
            <w:pPr>
              <w:autoSpaceDE w:val="0"/>
              <w:autoSpaceDN w:val="0"/>
              <w:adjustRightInd w:val="0"/>
              <w:snapToGrid w:val="0"/>
              <w:spacing w:line="460" w:lineRule="exact"/>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w:t>
            </w:r>
          </w:p>
        </w:tc>
        <w:tc>
          <w:tcPr>
            <w:tcW w:w="1740" w:type="dxa"/>
            <w:vAlign w:val="center"/>
          </w:tcPr>
          <w:p w14:paraId="65824A2D">
            <w:pPr>
              <w:jc w:val="center"/>
              <w:rPr>
                <w:rFonts w:ascii="宋体" w:hAnsi="宋体" w:cs="宋体"/>
                <w:color w:val="auto"/>
                <w:sz w:val="22"/>
                <w:szCs w:val="22"/>
                <w:highlight w:val="none"/>
              </w:rPr>
            </w:pPr>
            <w:r>
              <w:rPr>
                <w:rFonts w:hint="eastAsia" w:ascii="宋体" w:hAnsi="宋体" w:cs="宋体"/>
                <w:color w:val="auto"/>
                <w:sz w:val="22"/>
                <w:szCs w:val="22"/>
                <w:highlight w:val="none"/>
              </w:rPr>
              <w:t>项目名称</w:t>
            </w:r>
          </w:p>
        </w:tc>
        <w:tc>
          <w:tcPr>
            <w:tcW w:w="7691" w:type="dxa"/>
            <w:vAlign w:val="center"/>
          </w:tcPr>
          <w:p w14:paraId="251303B1">
            <w:pPr>
              <w:rPr>
                <w:rFonts w:ascii="宋体" w:hAnsi="宋体" w:cs="宋体"/>
                <w:color w:val="auto"/>
                <w:sz w:val="22"/>
                <w:szCs w:val="22"/>
                <w:highlight w:val="none"/>
              </w:rPr>
            </w:pPr>
            <w:r>
              <w:rPr>
                <w:rFonts w:hint="eastAsia" w:ascii="宋体" w:hAnsi="宋体" w:cs="宋体"/>
                <w:color w:val="auto"/>
                <w:sz w:val="22"/>
                <w:szCs w:val="22"/>
                <w:highlight w:val="none"/>
                <w:lang w:eastAsia="zh-CN"/>
              </w:rPr>
              <w:t>温州市救助管理站站内救助管理服务项目</w:t>
            </w:r>
            <w:r>
              <w:rPr>
                <w:rFonts w:hint="eastAsia" w:ascii="宋体" w:hAnsi="宋体" w:cs="宋体"/>
                <w:color w:val="auto"/>
                <w:sz w:val="22"/>
                <w:szCs w:val="22"/>
                <w:highlight w:val="none"/>
              </w:rPr>
              <w:t xml:space="preserve"> </w:t>
            </w:r>
          </w:p>
        </w:tc>
      </w:tr>
      <w:tr w14:paraId="326286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61" w:hRule="atLeast"/>
          <w:jc w:val="center"/>
        </w:trPr>
        <w:tc>
          <w:tcPr>
            <w:tcW w:w="740" w:type="dxa"/>
            <w:vAlign w:val="center"/>
          </w:tcPr>
          <w:p w14:paraId="554967C8">
            <w:pPr>
              <w:autoSpaceDE w:val="0"/>
              <w:autoSpaceDN w:val="0"/>
              <w:adjustRightInd w:val="0"/>
              <w:snapToGrid w:val="0"/>
              <w:spacing w:line="460" w:lineRule="exact"/>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w:t>
            </w:r>
          </w:p>
        </w:tc>
        <w:tc>
          <w:tcPr>
            <w:tcW w:w="1740" w:type="dxa"/>
            <w:vAlign w:val="center"/>
          </w:tcPr>
          <w:p w14:paraId="29273BBC">
            <w:pPr>
              <w:jc w:val="center"/>
              <w:rPr>
                <w:rFonts w:ascii="宋体" w:hAnsi="宋体" w:cs="宋体"/>
                <w:color w:val="auto"/>
                <w:sz w:val="22"/>
                <w:szCs w:val="22"/>
                <w:highlight w:val="none"/>
              </w:rPr>
            </w:pPr>
            <w:r>
              <w:rPr>
                <w:rFonts w:hint="eastAsia" w:ascii="宋体" w:hAnsi="宋体" w:cs="宋体"/>
                <w:color w:val="auto"/>
                <w:sz w:val="22"/>
                <w:szCs w:val="22"/>
                <w:highlight w:val="none"/>
              </w:rPr>
              <w:t>项目编号</w:t>
            </w:r>
          </w:p>
        </w:tc>
        <w:tc>
          <w:tcPr>
            <w:tcW w:w="7691" w:type="dxa"/>
            <w:vAlign w:val="center"/>
          </w:tcPr>
          <w:p w14:paraId="545F8E05">
            <w:pP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HZHQ-WZJZZ-202401</w:t>
            </w:r>
          </w:p>
        </w:tc>
      </w:tr>
      <w:tr w14:paraId="23FEE9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26328375">
            <w:pPr>
              <w:autoSpaceDE w:val="0"/>
              <w:autoSpaceDN w:val="0"/>
              <w:adjustRightInd w:val="0"/>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1740" w:type="dxa"/>
            <w:vAlign w:val="center"/>
          </w:tcPr>
          <w:p w14:paraId="7C84FEFC">
            <w:pPr>
              <w:jc w:val="center"/>
              <w:rPr>
                <w:rFonts w:ascii="宋体" w:hAnsi="宋体" w:cs="宋体"/>
                <w:color w:val="auto"/>
                <w:sz w:val="22"/>
                <w:szCs w:val="22"/>
                <w:highlight w:val="none"/>
              </w:rPr>
            </w:pPr>
            <w:r>
              <w:rPr>
                <w:rFonts w:hint="eastAsia" w:ascii="宋体" w:hAnsi="宋体" w:cs="宋体"/>
                <w:color w:val="auto"/>
                <w:sz w:val="22"/>
                <w:szCs w:val="22"/>
                <w:highlight w:val="none"/>
              </w:rPr>
              <w:t>资金来源</w:t>
            </w:r>
          </w:p>
        </w:tc>
        <w:tc>
          <w:tcPr>
            <w:tcW w:w="7691" w:type="dxa"/>
            <w:vAlign w:val="center"/>
          </w:tcPr>
          <w:p w14:paraId="7DB6A8CC">
            <w:pPr>
              <w:rPr>
                <w:rFonts w:ascii="宋体" w:hAnsi="宋体" w:cs="宋体"/>
                <w:color w:val="auto"/>
                <w:sz w:val="22"/>
                <w:szCs w:val="22"/>
                <w:highlight w:val="none"/>
              </w:rPr>
            </w:pPr>
            <w:r>
              <w:rPr>
                <w:rFonts w:hint="eastAsia" w:ascii="宋体" w:hAnsi="宋体" w:cs="宋体"/>
                <w:color w:val="auto"/>
                <w:sz w:val="22"/>
                <w:szCs w:val="22"/>
                <w:highlight w:val="none"/>
              </w:rPr>
              <w:t>财政性资金</w:t>
            </w:r>
          </w:p>
        </w:tc>
      </w:tr>
      <w:tr w14:paraId="1AC9E2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1C7D4AB1">
            <w:pPr>
              <w:autoSpaceDE w:val="0"/>
              <w:autoSpaceDN w:val="0"/>
              <w:adjustRightInd w:val="0"/>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1740" w:type="dxa"/>
            <w:vAlign w:val="center"/>
          </w:tcPr>
          <w:p w14:paraId="2EEF1DB1">
            <w:pPr>
              <w:jc w:val="center"/>
              <w:rPr>
                <w:rFonts w:ascii="宋体" w:hAnsi="宋体" w:cs="宋体"/>
                <w:color w:val="auto"/>
                <w:sz w:val="22"/>
                <w:szCs w:val="22"/>
                <w:highlight w:val="none"/>
              </w:rPr>
            </w:pPr>
            <w:r>
              <w:rPr>
                <w:rFonts w:hint="eastAsia" w:ascii="宋体" w:hAnsi="宋体" w:cs="宋体"/>
                <w:color w:val="auto"/>
                <w:sz w:val="22"/>
                <w:szCs w:val="22"/>
                <w:highlight w:val="none"/>
              </w:rPr>
              <w:t>采购预算</w:t>
            </w:r>
          </w:p>
        </w:tc>
        <w:tc>
          <w:tcPr>
            <w:tcW w:w="7691" w:type="dxa"/>
            <w:vAlign w:val="center"/>
          </w:tcPr>
          <w:p w14:paraId="3A5FFDBA">
            <w:pPr>
              <w:rPr>
                <w:rFonts w:ascii="宋体" w:hAnsi="宋体" w:cs="宋体"/>
                <w:color w:val="auto"/>
                <w:sz w:val="22"/>
                <w:szCs w:val="22"/>
                <w:highlight w:val="none"/>
              </w:rPr>
            </w:pPr>
            <w:r>
              <w:rPr>
                <w:rFonts w:hint="eastAsia" w:ascii="宋体" w:hAnsi="宋体"/>
                <w:b/>
                <w:color w:val="auto"/>
                <w:sz w:val="22"/>
                <w:szCs w:val="22"/>
                <w:highlight w:val="none"/>
              </w:rPr>
              <w:t>¥</w:t>
            </w:r>
            <w:r>
              <w:rPr>
                <w:rFonts w:ascii="宋体" w:hAnsi="宋体"/>
                <w:b/>
                <w:color w:val="auto"/>
                <w:sz w:val="22"/>
                <w:szCs w:val="22"/>
                <w:highlight w:val="none"/>
              </w:rPr>
              <w:t xml:space="preserve"> </w:t>
            </w:r>
            <w:r>
              <w:rPr>
                <w:rFonts w:hint="eastAsia" w:ascii="宋体" w:hAnsi="宋体"/>
                <w:b/>
                <w:color w:val="auto"/>
                <w:sz w:val="22"/>
                <w:szCs w:val="22"/>
                <w:highlight w:val="none"/>
                <w:lang w:val="en-US" w:eastAsia="zh-CN"/>
              </w:rPr>
              <w:t>198</w:t>
            </w:r>
            <w:r>
              <w:rPr>
                <w:rFonts w:hint="eastAsia" w:ascii="宋体" w:hAnsi="宋体"/>
                <w:b/>
                <w:color w:val="auto"/>
                <w:sz w:val="22"/>
                <w:szCs w:val="22"/>
                <w:highlight w:val="none"/>
              </w:rPr>
              <w:t>万元</w:t>
            </w:r>
            <w:r>
              <w:rPr>
                <w:rFonts w:hint="eastAsia" w:ascii="宋体" w:hAnsi="宋体"/>
                <w:b/>
                <w:color w:val="auto"/>
                <w:sz w:val="22"/>
                <w:szCs w:val="22"/>
                <w:highlight w:val="none"/>
                <w:lang w:eastAsia="zh-CN"/>
              </w:rPr>
              <w:t>（</w:t>
            </w:r>
            <w:r>
              <w:rPr>
                <w:rFonts w:hint="eastAsia" w:ascii="宋体" w:hAnsi="宋体"/>
                <w:b/>
                <w:color w:val="auto"/>
                <w:sz w:val="22"/>
                <w:szCs w:val="22"/>
                <w:highlight w:val="none"/>
                <w:lang w:val="en-US" w:eastAsia="zh-CN"/>
              </w:rPr>
              <w:t>两年</w:t>
            </w:r>
            <w:r>
              <w:rPr>
                <w:rFonts w:hint="eastAsia" w:ascii="宋体" w:hAnsi="宋体"/>
                <w:b/>
                <w:color w:val="auto"/>
                <w:sz w:val="22"/>
                <w:szCs w:val="22"/>
                <w:highlight w:val="none"/>
                <w:lang w:eastAsia="zh-CN"/>
              </w:rPr>
              <w:t>）</w:t>
            </w:r>
            <w:r>
              <w:rPr>
                <w:rFonts w:hint="eastAsia" w:ascii="宋体" w:hAnsi="宋体"/>
                <w:b/>
                <w:color w:val="auto"/>
                <w:sz w:val="22"/>
                <w:szCs w:val="22"/>
                <w:highlight w:val="none"/>
              </w:rPr>
              <w:t>。</w:t>
            </w:r>
          </w:p>
        </w:tc>
      </w:tr>
      <w:tr w14:paraId="6C5B0E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210811CE">
            <w:pPr>
              <w:autoSpaceDE w:val="0"/>
              <w:autoSpaceDN w:val="0"/>
              <w:adjustRightInd w:val="0"/>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1740" w:type="dxa"/>
            <w:vAlign w:val="center"/>
          </w:tcPr>
          <w:p w14:paraId="3FD3C3E0">
            <w:pPr>
              <w:jc w:val="center"/>
              <w:rPr>
                <w:rFonts w:ascii="宋体" w:hAnsi="宋体" w:cs="宋体"/>
                <w:color w:val="auto"/>
                <w:sz w:val="22"/>
                <w:szCs w:val="22"/>
                <w:highlight w:val="none"/>
              </w:rPr>
            </w:pPr>
            <w:r>
              <w:rPr>
                <w:rFonts w:hint="eastAsia" w:ascii="宋体" w:hAnsi="宋体" w:cs="宋体"/>
                <w:color w:val="auto"/>
                <w:sz w:val="22"/>
                <w:szCs w:val="22"/>
                <w:highlight w:val="none"/>
              </w:rPr>
              <w:t>采购方式</w:t>
            </w:r>
          </w:p>
        </w:tc>
        <w:tc>
          <w:tcPr>
            <w:tcW w:w="7691" w:type="dxa"/>
            <w:vAlign w:val="center"/>
          </w:tcPr>
          <w:p w14:paraId="3FDB2420">
            <w:pPr>
              <w:rPr>
                <w:rFonts w:ascii="宋体" w:hAnsi="宋体" w:cs="宋体"/>
                <w:color w:val="auto"/>
                <w:sz w:val="22"/>
                <w:szCs w:val="22"/>
                <w:highlight w:val="none"/>
              </w:rPr>
            </w:pPr>
            <w:r>
              <w:rPr>
                <w:rFonts w:hint="eastAsia" w:ascii="宋体" w:hAnsi="宋体" w:cs="宋体"/>
                <w:color w:val="auto"/>
                <w:sz w:val="22"/>
                <w:szCs w:val="22"/>
                <w:highlight w:val="none"/>
              </w:rPr>
              <w:t>竞争性磋商</w:t>
            </w:r>
          </w:p>
        </w:tc>
      </w:tr>
      <w:tr w14:paraId="0971BE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1DF6F43C">
            <w:pPr>
              <w:autoSpaceDE w:val="0"/>
              <w:autoSpaceDN w:val="0"/>
              <w:adjustRightInd w:val="0"/>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1740" w:type="dxa"/>
            <w:vAlign w:val="center"/>
          </w:tcPr>
          <w:p w14:paraId="6937BA31">
            <w:pPr>
              <w:adjustRightInd w:val="0"/>
              <w:jc w:val="center"/>
              <w:rPr>
                <w:rFonts w:ascii="宋体" w:hAnsi="宋体" w:cs="宋体"/>
                <w:color w:val="auto"/>
                <w:sz w:val="22"/>
                <w:szCs w:val="22"/>
                <w:highlight w:val="none"/>
              </w:rPr>
            </w:pPr>
            <w:r>
              <w:rPr>
                <w:rFonts w:hint="eastAsia" w:ascii="宋体" w:hAnsi="宋体" w:cs="宋体"/>
                <w:color w:val="auto"/>
                <w:sz w:val="22"/>
                <w:szCs w:val="22"/>
                <w:highlight w:val="none"/>
              </w:rPr>
              <w:t>采购人</w:t>
            </w:r>
          </w:p>
        </w:tc>
        <w:tc>
          <w:tcPr>
            <w:tcW w:w="7691" w:type="dxa"/>
            <w:vAlign w:val="center"/>
          </w:tcPr>
          <w:p w14:paraId="199DFF83">
            <w:pPr>
              <w:adjustRightInd w:val="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采购人：</w:t>
            </w:r>
            <w:r>
              <w:rPr>
                <w:rFonts w:hint="eastAsia" w:ascii="宋体" w:hAnsi="宋体"/>
                <w:color w:val="auto"/>
                <w:sz w:val="22"/>
                <w:szCs w:val="22"/>
                <w:highlight w:val="none"/>
                <w:lang w:eastAsia="zh-CN"/>
              </w:rPr>
              <w:t>温州市救助管理站</w:t>
            </w:r>
          </w:p>
          <w:p w14:paraId="3C3AF405">
            <w:pPr>
              <w:adjustRightInd w:val="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联系人：</w:t>
            </w:r>
            <w:r>
              <w:rPr>
                <w:rFonts w:hint="eastAsia" w:ascii="宋体" w:hAnsi="宋体"/>
                <w:color w:val="auto"/>
                <w:sz w:val="22"/>
                <w:szCs w:val="22"/>
                <w:highlight w:val="none"/>
                <w:lang w:val="en-US" w:eastAsia="zh-CN"/>
              </w:rPr>
              <w:t>苏先生</w:t>
            </w:r>
          </w:p>
          <w:p w14:paraId="5C793BF1">
            <w:pPr>
              <w:adjustRightInd w:val="0"/>
              <w:rPr>
                <w:rFonts w:hint="default" w:ascii="宋体" w:hAnsi="宋体" w:eastAsia="宋体" w:cs="宋体"/>
                <w:color w:val="auto"/>
                <w:sz w:val="22"/>
                <w:szCs w:val="22"/>
                <w:highlight w:val="none"/>
                <w:lang w:val="en-US" w:eastAsia="zh-CN"/>
              </w:rPr>
            </w:pPr>
            <w:r>
              <w:rPr>
                <w:rFonts w:hint="eastAsia" w:ascii="宋体" w:hAnsi="宋体"/>
                <w:color w:val="auto"/>
                <w:sz w:val="22"/>
                <w:szCs w:val="22"/>
                <w:highlight w:val="none"/>
              </w:rPr>
              <w:t>联系电话：</w:t>
            </w:r>
            <w:r>
              <w:rPr>
                <w:rFonts w:hint="default" w:ascii="宋体"/>
                <w:color w:val="auto"/>
                <w:sz w:val="22"/>
                <w:highlight w:val="none"/>
              </w:rPr>
              <w:t>0577-899908</w:t>
            </w:r>
            <w:r>
              <w:rPr>
                <w:rFonts w:hint="eastAsia" w:ascii="宋体"/>
                <w:color w:val="auto"/>
                <w:sz w:val="22"/>
                <w:highlight w:val="none"/>
                <w:lang w:val="en-US" w:eastAsia="zh-CN"/>
              </w:rPr>
              <w:t>87</w:t>
            </w:r>
          </w:p>
        </w:tc>
      </w:tr>
      <w:tr w14:paraId="799FC9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0C02A257">
            <w:pPr>
              <w:autoSpaceDE w:val="0"/>
              <w:autoSpaceDN w:val="0"/>
              <w:adjustRightInd w:val="0"/>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1740" w:type="dxa"/>
            <w:vAlign w:val="center"/>
          </w:tcPr>
          <w:p w14:paraId="78E041C7">
            <w:pPr>
              <w:jc w:val="center"/>
              <w:rPr>
                <w:rFonts w:ascii="宋体" w:hAnsi="宋体" w:cs="宋体"/>
                <w:color w:val="auto"/>
                <w:sz w:val="22"/>
                <w:szCs w:val="22"/>
                <w:highlight w:val="none"/>
              </w:rPr>
            </w:pPr>
            <w:r>
              <w:rPr>
                <w:rFonts w:hint="eastAsia" w:ascii="宋体" w:hAnsi="宋体" w:cs="宋体"/>
                <w:color w:val="auto"/>
                <w:sz w:val="22"/>
                <w:szCs w:val="22"/>
                <w:highlight w:val="none"/>
              </w:rPr>
              <w:t>采购代理机构</w:t>
            </w:r>
          </w:p>
        </w:tc>
        <w:tc>
          <w:tcPr>
            <w:tcW w:w="7691" w:type="dxa"/>
            <w:vAlign w:val="center"/>
          </w:tcPr>
          <w:p w14:paraId="1CF72E27">
            <w:pPr>
              <w:adjustRightInd w:val="0"/>
              <w:rPr>
                <w:rFonts w:ascii="宋体" w:hAnsi="宋体" w:cs="宋体"/>
                <w:color w:val="auto"/>
                <w:sz w:val="22"/>
                <w:szCs w:val="22"/>
                <w:highlight w:val="none"/>
              </w:rPr>
            </w:pPr>
            <w:r>
              <w:rPr>
                <w:rFonts w:hint="eastAsia" w:ascii="宋体" w:hAnsi="宋体" w:cs="宋体"/>
                <w:color w:val="auto"/>
                <w:sz w:val="22"/>
                <w:szCs w:val="22"/>
                <w:highlight w:val="none"/>
              </w:rPr>
              <w:t>名称：杭州华旗招标代理有限公司</w:t>
            </w:r>
          </w:p>
          <w:p w14:paraId="719E8AAA">
            <w:pPr>
              <w:adjustRightInd w:val="0"/>
              <w:rPr>
                <w:rFonts w:ascii="宋体" w:hAnsi="宋体" w:cs="宋体"/>
                <w:color w:val="auto"/>
                <w:sz w:val="22"/>
                <w:szCs w:val="22"/>
                <w:highlight w:val="none"/>
              </w:rPr>
            </w:pPr>
            <w:r>
              <w:rPr>
                <w:rFonts w:hint="eastAsia" w:ascii="宋体" w:hAnsi="宋体" w:cs="宋体"/>
                <w:color w:val="auto"/>
                <w:sz w:val="22"/>
                <w:szCs w:val="22"/>
                <w:highlight w:val="none"/>
              </w:rPr>
              <w:t>联系人：黄先生</w:t>
            </w:r>
          </w:p>
          <w:p w14:paraId="38C8C07C">
            <w:pPr>
              <w:adjustRightInd w:val="0"/>
              <w:rPr>
                <w:rFonts w:ascii="宋体" w:hAnsi="宋体" w:cs="宋体"/>
                <w:color w:val="auto"/>
                <w:sz w:val="22"/>
                <w:szCs w:val="22"/>
                <w:highlight w:val="none"/>
              </w:rPr>
            </w:pPr>
            <w:r>
              <w:rPr>
                <w:rFonts w:hint="eastAsia" w:ascii="宋体" w:hAnsi="宋体" w:cs="宋体"/>
                <w:color w:val="auto"/>
                <w:sz w:val="22"/>
                <w:szCs w:val="22"/>
                <w:highlight w:val="none"/>
              </w:rPr>
              <w:t>联系电话：1</w:t>
            </w:r>
            <w:r>
              <w:rPr>
                <w:rFonts w:ascii="宋体" w:hAnsi="宋体" w:cs="宋体"/>
                <w:color w:val="auto"/>
                <w:sz w:val="22"/>
                <w:szCs w:val="22"/>
                <w:highlight w:val="none"/>
              </w:rPr>
              <w:t>3676441826</w:t>
            </w:r>
          </w:p>
          <w:p w14:paraId="790E5A52">
            <w:pPr>
              <w:adjustRightInd w:val="0"/>
              <w:rPr>
                <w:rFonts w:ascii="宋体" w:hAnsi="宋体" w:cs="宋体"/>
                <w:color w:val="auto"/>
                <w:sz w:val="22"/>
                <w:szCs w:val="22"/>
                <w:highlight w:val="none"/>
              </w:rPr>
            </w:pPr>
            <w:r>
              <w:rPr>
                <w:rFonts w:hint="eastAsia" w:ascii="宋体" w:hAnsi="宋体" w:cs="宋体"/>
                <w:color w:val="auto"/>
                <w:sz w:val="22"/>
                <w:szCs w:val="22"/>
                <w:highlight w:val="none"/>
              </w:rPr>
              <w:t>联系传真：0577-88113837</w:t>
            </w:r>
          </w:p>
        </w:tc>
      </w:tr>
      <w:tr w14:paraId="3087B4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3A4FB4E4">
            <w:pPr>
              <w:autoSpaceDE w:val="0"/>
              <w:autoSpaceDN w:val="0"/>
              <w:adjustRightInd w:val="0"/>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1740" w:type="dxa"/>
            <w:vAlign w:val="center"/>
          </w:tcPr>
          <w:p w14:paraId="5784DBFE">
            <w:pPr>
              <w:jc w:val="center"/>
              <w:rPr>
                <w:rFonts w:ascii="宋体" w:hAnsi="宋体" w:cs="宋体"/>
                <w:color w:val="auto"/>
                <w:sz w:val="22"/>
                <w:szCs w:val="22"/>
                <w:highlight w:val="none"/>
              </w:rPr>
            </w:pPr>
            <w:r>
              <w:rPr>
                <w:rFonts w:hint="eastAsia" w:ascii="宋体" w:hAnsi="宋体" w:cs="宋体"/>
                <w:color w:val="auto"/>
                <w:sz w:val="22"/>
                <w:szCs w:val="22"/>
                <w:highlight w:val="none"/>
              </w:rPr>
              <w:t>招标内容</w:t>
            </w:r>
          </w:p>
        </w:tc>
        <w:tc>
          <w:tcPr>
            <w:tcW w:w="7691" w:type="dxa"/>
            <w:vAlign w:val="center"/>
          </w:tcPr>
          <w:p w14:paraId="78ECAA29">
            <w:pPr>
              <w:adjustRightInd w:val="0"/>
              <w:rPr>
                <w:rFonts w:ascii="宋体" w:hAnsi="宋体" w:cs="宋体"/>
                <w:color w:val="auto"/>
                <w:sz w:val="22"/>
                <w:szCs w:val="22"/>
                <w:highlight w:val="none"/>
              </w:rPr>
            </w:pPr>
            <w:r>
              <w:rPr>
                <w:rFonts w:hint="eastAsia" w:ascii="宋体" w:hAnsi="宋体" w:cs="宋体"/>
                <w:color w:val="auto"/>
                <w:sz w:val="22"/>
                <w:szCs w:val="22"/>
                <w:highlight w:val="none"/>
              </w:rPr>
              <w:t>具体内容见竞争性磋商文件。</w:t>
            </w:r>
          </w:p>
        </w:tc>
      </w:tr>
      <w:tr w14:paraId="046669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5DCFB4BB">
            <w:pPr>
              <w:autoSpaceDE w:val="0"/>
              <w:autoSpaceDN w:val="0"/>
              <w:adjustRightInd w:val="0"/>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1740" w:type="dxa"/>
            <w:vAlign w:val="center"/>
          </w:tcPr>
          <w:p w14:paraId="1550320D">
            <w:pPr>
              <w:jc w:val="center"/>
              <w:rPr>
                <w:rFonts w:ascii="宋体" w:hAnsi="宋体" w:cs="宋体"/>
                <w:color w:val="auto"/>
                <w:sz w:val="22"/>
                <w:szCs w:val="22"/>
                <w:highlight w:val="none"/>
              </w:rPr>
            </w:pPr>
            <w:r>
              <w:rPr>
                <w:rFonts w:hint="eastAsia" w:ascii="宋体" w:hAnsi="宋体" w:cs="宋体"/>
                <w:color w:val="auto"/>
                <w:sz w:val="22"/>
                <w:szCs w:val="22"/>
                <w:highlight w:val="none"/>
              </w:rPr>
              <w:t>评标办法</w:t>
            </w:r>
          </w:p>
        </w:tc>
        <w:tc>
          <w:tcPr>
            <w:tcW w:w="7691" w:type="dxa"/>
            <w:vAlign w:val="center"/>
          </w:tcPr>
          <w:p w14:paraId="1289F645">
            <w:pPr>
              <w:adjustRightInd w:val="0"/>
              <w:rPr>
                <w:rFonts w:ascii="宋体" w:hAnsi="宋体" w:cs="宋体"/>
                <w:color w:val="auto"/>
                <w:sz w:val="22"/>
                <w:szCs w:val="22"/>
                <w:highlight w:val="none"/>
              </w:rPr>
            </w:pPr>
            <w:r>
              <w:rPr>
                <w:rFonts w:hint="eastAsia" w:ascii="宋体" w:hAnsi="宋体" w:cs="宋体"/>
                <w:color w:val="auto"/>
                <w:sz w:val="22"/>
                <w:szCs w:val="22"/>
                <w:highlight w:val="none"/>
              </w:rPr>
              <w:t>综合评分法</w:t>
            </w:r>
          </w:p>
        </w:tc>
      </w:tr>
      <w:tr w14:paraId="760DCA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40" w:type="dxa"/>
            <w:vAlign w:val="center"/>
          </w:tcPr>
          <w:p w14:paraId="5CAEE1A4">
            <w:pPr>
              <w:autoSpaceDE w:val="0"/>
              <w:autoSpaceDN w:val="0"/>
              <w:adjustRightInd w:val="0"/>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1740" w:type="dxa"/>
            <w:vAlign w:val="center"/>
          </w:tcPr>
          <w:p w14:paraId="7832C8F0">
            <w:pPr>
              <w:jc w:val="center"/>
              <w:rPr>
                <w:rFonts w:ascii="宋体" w:hAnsi="宋体" w:cs="宋体"/>
                <w:color w:val="auto"/>
                <w:sz w:val="22"/>
                <w:szCs w:val="22"/>
                <w:highlight w:val="none"/>
              </w:rPr>
            </w:pPr>
            <w:r>
              <w:rPr>
                <w:rFonts w:hint="eastAsia" w:ascii="宋体" w:hAnsi="宋体" w:cs="宋体"/>
                <w:color w:val="auto"/>
                <w:sz w:val="22"/>
                <w:szCs w:val="22"/>
                <w:highlight w:val="none"/>
              </w:rPr>
              <w:t>供应商资格要求</w:t>
            </w:r>
          </w:p>
        </w:tc>
        <w:tc>
          <w:tcPr>
            <w:tcW w:w="7691" w:type="dxa"/>
            <w:vAlign w:val="center"/>
          </w:tcPr>
          <w:p w14:paraId="655FAE51">
            <w:pPr>
              <w:adjustRightInd w:val="0"/>
              <w:rPr>
                <w:rFonts w:ascii="宋体" w:hAnsi="宋体" w:cs="宋体"/>
                <w:color w:val="auto"/>
                <w:sz w:val="22"/>
                <w:szCs w:val="22"/>
                <w:highlight w:val="none"/>
              </w:rPr>
            </w:pPr>
            <w:r>
              <w:rPr>
                <w:rFonts w:hint="eastAsia" w:ascii="宋体" w:hAnsi="宋体" w:cs="宋体"/>
                <w:color w:val="auto"/>
                <w:sz w:val="22"/>
                <w:szCs w:val="22"/>
                <w:highlight w:val="none"/>
              </w:rPr>
              <w:t>见采购公告</w:t>
            </w:r>
          </w:p>
        </w:tc>
      </w:tr>
      <w:tr w14:paraId="657993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40" w:type="dxa"/>
            <w:vAlign w:val="center"/>
          </w:tcPr>
          <w:p w14:paraId="7B31F5C9">
            <w:pPr>
              <w:autoSpaceDE w:val="0"/>
              <w:autoSpaceDN w:val="0"/>
              <w:adjustRightInd w:val="0"/>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1740" w:type="dxa"/>
            <w:vAlign w:val="center"/>
          </w:tcPr>
          <w:p w14:paraId="16AE0097">
            <w:pPr>
              <w:adjustRightInd w:val="0"/>
              <w:jc w:val="center"/>
              <w:rPr>
                <w:rFonts w:ascii="宋体" w:hAnsi="宋体" w:cs="宋体"/>
                <w:color w:val="auto"/>
                <w:sz w:val="22"/>
                <w:szCs w:val="22"/>
                <w:highlight w:val="none"/>
              </w:rPr>
            </w:pPr>
            <w:r>
              <w:rPr>
                <w:rFonts w:hint="eastAsia" w:ascii="宋体" w:hAnsi="宋体" w:cs="宋体"/>
                <w:color w:val="auto"/>
                <w:sz w:val="22"/>
                <w:szCs w:val="22"/>
                <w:highlight w:val="none"/>
              </w:rPr>
              <w:t>是否接受联合体投标</w:t>
            </w:r>
          </w:p>
        </w:tc>
        <w:tc>
          <w:tcPr>
            <w:tcW w:w="7691" w:type="dxa"/>
            <w:vAlign w:val="center"/>
          </w:tcPr>
          <w:p w14:paraId="5467CA21">
            <w:pPr>
              <w:adjustRightInd w:val="0"/>
              <w:rPr>
                <w:rFonts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4"/>
                <w:sz w:val="22"/>
                <w:szCs w:val="22"/>
                <w:highlight w:val="none"/>
              </w:rPr>
              <w:instrText xml:space="preserve">□</w:instrText>
            </w:r>
            <w:r>
              <w:rPr>
                <w:rFonts w:hint="eastAsia" w:ascii="宋体" w:hAnsi="宋体" w:cs="宋体"/>
                <w:color w:val="auto"/>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不接受</w:t>
            </w:r>
          </w:p>
          <w:p w14:paraId="349969C5">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t>□接受</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本项目采购人谢绝联合体投标，原因如下:</w:t>
            </w:r>
          </w:p>
          <w:p w14:paraId="71543B3B">
            <w:pPr>
              <w:adjustRightInd w:val="0"/>
              <w:spacing w:line="276"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1.项目协调管理难度大:联合体投标项目需要各个成员之间密切协作，分工明确，项目管理难度大。投标人可能在组织、协调和沟通方面存在挑战，影响项目进展。</w:t>
            </w:r>
          </w:p>
          <w:p w14:paraId="524D8327">
            <w:pPr>
              <w:adjustRightInd w:val="0"/>
              <w:spacing w:line="276"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资源整合、协调问题:联合体投标需要各个成员整合资源以提供全面的解决方案。但是，不同成员间可能存在资源分配和协调难题，可能会因为所需资源无法得到合理配置而导致项目流程中断。软件开发作为一个整体项目，更加需要整体性。</w:t>
            </w:r>
          </w:p>
          <w:p w14:paraId="5CAB163D">
            <w:pPr>
              <w:adjustRightInd w:val="0"/>
              <w:spacing w:line="276"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3.风险分担不均:联合体成员在项目实施过程中需要共同承担风险。然而，由于各成员之间的合作程度异质，风险分担存在不均衡的风险，给项目的顺利推进带来不确定因素。</w:t>
            </w:r>
          </w:p>
          <w:p w14:paraId="0E05F7B2">
            <w:pPr>
              <w:adjustRightInd w:val="0"/>
              <w:rPr>
                <w:rFonts w:ascii="宋体" w:hAnsi="宋体" w:cs="宋体"/>
                <w:color w:val="auto"/>
                <w:sz w:val="22"/>
                <w:szCs w:val="22"/>
                <w:highlight w:val="none"/>
              </w:rPr>
            </w:pPr>
            <w:r>
              <w:rPr>
                <w:rFonts w:hint="eastAsia" w:ascii="宋体" w:hAnsi="宋体" w:cs="宋体"/>
                <w:color w:val="auto"/>
                <w:sz w:val="22"/>
                <w:szCs w:val="22"/>
                <w:highlight w:val="none"/>
              </w:rPr>
              <w:t>4.管理决策效率低:联合体投标可能涉及各成员之间的统筹协调和决策制定。不同组织间的管理决策效率可能存在差异，导致项目决策周期拉长，影响项目进展</w:t>
            </w:r>
          </w:p>
        </w:tc>
      </w:tr>
      <w:tr w14:paraId="5C4F58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40" w:type="dxa"/>
            <w:vAlign w:val="center"/>
          </w:tcPr>
          <w:p w14:paraId="0879E6ED">
            <w:pPr>
              <w:autoSpaceDE w:val="0"/>
              <w:autoSpaceDN w:val="0"/>
              <w:adjustRightInd w:val="0"/>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12</w:t>
            </w:r>
          </w:p>
        </w:tc>
        <w:tc>
          <w:tcPr>
            <w:tcW w:w="1740" w:type="dxa"/>
            <w:vAlign w:val="center"/>
          </w:tcPr>
          <w:p w14:paraId="7A6A2BB0">
            <w:pPr>
              <w:adjustRightInd w:val="0"/>
              <w:jc w:val="center"/>
              <w:rPr>
                <w:rFonts w:ascii="宋体" w:hAnsi="宋体" w:cs="宋体"/>
                <w:color w:val="auto"/>
                <w:sz w:val="22"/>
                <w:szCs w:val="22"/>
                <w:highlight w:val="none"/>
              </w:rPr>
            </w:pPr>
            <w:r>
              <w:rPr>
                <w:rFonts w:hint="eastAsia" w:ascii="宋体" w:hAnsi="宋体" w:cs="宋体"/>
                <w:color w:val="auto"/>
                <w:sz w:val="22"/>
                <w:szCs w:val="22"/>
                <w:highlight w:val="none"/>
              </w:rPr>
              <w:t>踏勘现场</w:t>
            </w:r>
          </w:p>
        </w:tc>
        <w:tc>
          <w:tcPr>
            <w:tcW w:w="7691" w:type="dxa"/>
            <w:vAlign w:val="center"/>
          </w:tcPr>
          <w:p w14:paraId="795AA147">
            <w:pPr>
              <w:adjustRightInd w:val="0"/>
              <w:rPr>
                <w:rFonts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4"/>
                <w:sz w:val="22"/>
                <w:szCs w:val="22"/>
                <w:highlight w:val="none"/>
              </w:rPr>
              <w:instrText xml:space="preserve">□</w:instrText>
            </w:r>
            <w:r>
              <w:rPr>
                <w:rFonts w:hint="eastAsia" w:ascii="宋体" w:hAnsi="宋体" w:cs="宋体"/>
                <w:color w:val="auto"/>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不组织</w:t>
            </w:r>
          </w:p>
          <w:p w14:paraId="284B697A">
            <w:pPr>
              <w:adjustRightInd w:val="0"/>
              <w:rPr>
                <w:rFonts w:ascii="宋体" w:hAnsi="宋体" w:cs="宋体"/>
                <w:color w:val="auto"/>
                <w:sz w:val="22"/>
                <w:szCs w:val="22"/>
                <w:highlight w:val="none"/>
              </w:rPr>
            </w:pPr>
            <w:r>
              <w:rPr>
                <w:rFonts w:hint="eastAsia" w:ascii="宋体" w:hAnsi="宋体" w:cs="宋体"/>
                <w:color w:val="auto"/>
                <w:sz w:val="22"/>
                <w:szCs w:val="22"/>
                <w:highlight w:val="none"/>
              </w:rPr>
              <w:t xml:space="preserve">□组织   </w:t>
            </w:r>
          </w:p>
        </w:tc>
      </w:tr>
      <w:tr w14:paraId="2E400E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2" w:hRule="atLeast"/>
          <w:jc w:val="center"/>
        </w:trPr>
        <w:tc>
          <w:tcPr>
            <w:tcW w:w="740" w:type="dxa"/>
            <w:vAlign w:val="center"/>
          </w:tcPr>
          <w:p w14:paraId="50E0D68C">
            <w:pPr>
              <w:autoSpaceDE w:val="0"/>
              <w:autoSpaceDN w:val="0"/>
              <w:adjustRightInd w:val="0"/>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13</w:t>
            </w:r>
          </w:p>
        </w:tc>
        <w:tc>
          <w:tcPr>
            <w:tcW w:w="1740" w:type="dxa"/>
            <w:vAlign w:val="center"/>
          </w:tcPr>
          <w:p w14:paraId="5A379066">
            <w:pPr>
              <w:adjustRightInd w:val="0"/>
              <w:jc w:val="center"/>
              <w:rPr>
                <w:rFonts w:ascii="宋体" w:hAnsi="宋体" w:cs="宋体"/>
                <w:color w:val="auto"/>
                <w:sz w:val="22"/>
                <w:szCs w:val="22"/>
                <w:highlight w:val="none"/>
              </w:rPr>
            </w:pPr>
            <w:r>
              <w:rPr>
                <w:rFonts w:hint="eastAsia" w:ascii="宋体" w:hAnsi="宋体" w:cs="宋体"/>
                <w:color w:val="auto"/>
                <w:sz w:val="22"/>
                <w:szCs w:val="22"/>
                <w:highlight w:val="none"/>
              </w:rPr>
              <w:t>是否允许递交备选投标方案</w:t>
            </w:r>
          </w:p>
        </w:tc>
        <w:tc>
          <w:tcPr>
            <w:tcW w:w="7691" w:type="dxa"/>
            <w:vAlign w:val="center"/>
          </w:tcPr>
          <w:p w14:paraId="21719F77">
            <w:pPr>
              <w:adjustRightInd w:val="0"/>
              <w:rPr>
                <w:rFonts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4"/>
                <w:sz w:val="22"/>
                <w:szCs w:val="22"/>
                <w:highlight w:val="none"/>
              </w:rPr>
              <w:instrText xml:space="preserve">□</w:instrText>
            </w:r>
            <w:r>
              <w:rPr>
                <w:rFonts w:hint="eastAsia" w:ascii="宋体" w:hAnsi="宋体" w:cs="宋体"/>
                <w:color w:val="auto"/>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 xml:space="preserve"> 不允许</w:t>
            </w:r>
          </w:p>
          <w:p w14:paraId="641A91A8">
            <w:pPr>
              <w:adjustRightInd w:val="0"/>
              <w:rPr>
                <w:rFonts w:ascii="宋体" w:hAnsi="宋体" w:cs="宋体"/>
                <w:color w:val="auto"/>
                <w:sz w:val="22"/>
                <w:szCs w:val="22"/>
                <w:highlight w:val="none"/>
              </w:rPr>
            </w:pPr>
            <w:r>
              <w:rPr>
                <w:rFonts w:hint="eastAsia" w:ascii="宋体" w:hAnsi="宋体" w:cs="宋体"/>
                <w:color w:val="auto"/>
                <w:sz w:val="22"/>
                <w:szCs w:val="22"/>
                <w:highlight w:val="none"/>
              </w:rPr>
              <w:t>□ 允许</w:t>
            </w:r>
          </w:p>
        </w:tc>
      </w:tr>
      <w:tr w14:paraId="3BB259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40" w:type="dxa"/>
            <w:vAlign w:val="center"/>
          </w:tcPr>
          <w:p w14:paraId="15331ED7">
            <w:pPr>
              <w:autoSpaceDE w:val="0"/>
              <w:autoSpaceDN w:val="0"/>
              <w:adjustRightInd w:val="0"/>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14</w:t>
            </w:r>
          </w:p>
        </w:tc>
        <w:tc>
          <w:tcPr>
            <w:tcW w:w="1740" w:type="dxa"/>
            <w:vAlign w:val="center"/>
          </w:tcPr>
          <w:p w14:paraId="2C05CE00">
            <w:pPr>
              <w:adjustRightInd w:val="0"/>
              <w:jc w:val="center"/>
              <w:rPr>
                <w:rFonts w:ascii="宋体" w:hAnsi="宋体" w:cs="宋体"/>
                <w:color w:val="auto"/>
                <w:sz w:val="22"/>
                <w:szCs w:val="22"/>
                <w:highlight w:val="none"/>
              </w:rPr>
            </w:pPr>
            <w:r>
              <w:rPr>
                <w:rFonts w:hint="eastAsia" w:ascii="宋体" w:hAnsi="宋体" w:cs="宋体"/>
                <w:color w:val="auto"/>
                <w:sz w:val="22"/>
                <w:szCs w:val="22"/>
                <w:highlight w:val="none"/>
              </w:rPr>
              <w:t>投标货币</w:t>
            </w:r>
          </w:p>
        </w:tc>
        <w:tc>
          <w:tcPr>
            <w:tcW w:w="7691" w:type="dxa"/>
            <w:vAlign w:val="center"/>
          </w:tcPr>
          <w:p w14:paraId="41A399F5">
            <w:pPr>
              <w:adjustRightInd w:val="0"/>
              <w:rPr>
                <w:rFonts w:ascii="宋体" w:hAnsi="宋体" w:cs="宋体"/>
                <w:color w:val="auto"/>
                <w:sz w:val="22"/>
                <w:szCs w:val="22"/>
                <w:highlight w:val="none"/>
              </w:rPr>
            </w:pPr>
            <w:r>
              <w:rPr>
                <w:rFonts w:hint="eastAsia" w:ascii="宋体" w:hAnsi="宋体" w:cs="宋体"/>
                <w:color w:val="auto"/>
                <w:sz w:val="22"/>
                <w:szCs w:val="22"/>
                <w:highlight w:val="none"/>
              </w:rPr>
              <w:t>人民币</w:t>
            </w:r>
          </w:p>
        </w:tc>
      </w:tr>
      <w:tr w14:paraId="067AD8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 w:hRule="atLeast"/>
          <w:jc w:val="center"/>
        </w:trPr>
        <w:tc>
          <w:tcPr>
            <w:tcW w:w="740" w:type="dxa"/>
            <w:vAlign w:val="center"/>
          </w:tcPr>
          <w:p w14:paraId="36F0F457">
            <w:pPr>
              <w:autoSpaceDE w:val="0"/>
              <w:autoSpaceDN w:val="0"/>
              <w:adjustRightInd w:val="0"/>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15</w:t>
            </w:r>
          </w:p>
        </w:tc>
        <w:tc>
          <w:tcPr>
            <w:tcW w:w="1740" w:type="dxa"/>
            <w:vAlign w:val="center"/>
          </w:tcPr>
          <w:p w14:paraId="798B8EA3">
            <w:pPr>
              <w:adjustRightInd w:val="0"/>
              <w:jc w:val="center"/>
              <w:rPr>
                <w:rFonts w:ascii="宋体" w:hAnsi="宋体" w:cs="宋体"/>
                <w:color w:val="auto"/>
                <w:sz w:val="22"/>
                <w:szCs w:val="22"/>
                <w:highlight w:val="none"/>
              </w:rPr>
            </w:pPr>
            <w:r>
              <w:rPr>
                <w:rFonts w:hint="eastAsia" w:ascii="宋体" w:hAnsi="宋体" w:cs="宋体"/>
                <w:color w:val="auto"/>
                <w:sz w:val="22"/>
                <w:szCs w:val="22"/>
                <w:highlight w:val="none"/>
              </w:rPr>
              <w:t>投标语言</w:t>
            </w:r>
          </w:p>
        </w:tc>
        <w:tc>
          <w:tcPr>
            <w:tcW w:w="7691" w:type="dxa"/>
            <w:vAlign w:val="center"/>
          </w:tcPr>
          <w:p w14:paraId="7A803A94">
            <w:pPr>
              <w:adjustRightInd w:val="0"/>
              <w:rPr>
                <w:rFonts w:ascii="宋体" w:hAnsi="宋体" w:cs="宋体"/>
                <w:color w:val="auto"/>
                <w:sz w:val="22"/>
                <w:szCs w:val="22"/>
                <w:highlight w:val="none"/>
              </w:rPr>
            </w:pPr>
            <w:r>
              <w:rPr>
                <w:rFonts w:hint="eastAsia" w:ascii="宋体" w:hAnsi="宋体" w:cs="宋体"/>
                <w:color w:val="auto"/>
                <w:sz w:val="22"/>
                <w:szCs w:val="22"/>
                <w:highlight w:val="none"/>
              </w:rPr>
              <w:t>中文</w:t>
            </w:r>
          </w:p>
        </w:tc>
      </w:tr>
      <w:tr w14:paraId="06AB2D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740" w:type="dxa"/>
            <w:vAlign w:val="center"/>
          </w:tcPr>
          <w:p w14:paraId="1209D534">
            <w:pPr>
              <w:autoSpaceDE w:val="0"/>
              <w:autoSpaceDN w:val="0"/>
              <w:adjustRightInd w:val="0"/>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16</w:t>
            </w:r>
          </w:p>
        </w:tc>
        <w:tc>
          <w:tcPr>
            <w:tcW w:w="1740" w:type="dxa"/>
            <w:vAlign w:val="center"/>
          </w:tcPr>
          <w:p w14:paraId="0F9E64DD">
            <w:pPr>
              <w:adjustRightInd w:val="0"/>
              <w:jc w:val="center"/>
              <w:rPr>
                <w:rFonts w:ascii="宋体" w:hAnsi="宋体" w:cs="Courier New"/>
                <w:b/>
                <w:color w:val="auto"/>
                <w:sz w:val="22"/>
                <w:szCs w:val="22"/>
                <w:highlight w:val="none"/>
              </w:rPr>
            </w:pPr>
            <w:r>
              <w:rPr>
                <w:rFonts w:hint="eastAsia" w:ascii="宋体" w:hAnsi="宋体" w:cs="Courier New"/>
                <w:b/>
                <w:color w:val="auto"/>
                <w:sz w:val="22"/>
                <w:szCs w:val="22"/>
                <w:highlight w:val="none"/>
              </w:rPr>
              <w:t>磋商响应文件的形式</w:t>
            </w:r>
          </w:p>
        </w:tc>
        <w:tc>
          <w:tcPr>
            <w:tcW w:w="7691" w:type="dxa"/>
            <w:vAlign w:val="center"/>
          </w:tcPr>
          <w:p w14:paraId="50E4A5C9">
            <w:pPr>
              <w:rPr>
                <w:rFonts w:ascii="宋体" w:hAnsi="宋体" w:cs="Courier New"/>
                <w:b/>
                <w:color w:val="auto"/>
                <w:sz w:val="22"/>
                <w:szCs w:val="22"/>
                <w:highlight w:val="none"/>
                <w:lang w:bidi="ar"/>
              </w:rPr>
            </w:pPr>
            <w:r>
              <w:rPr>
                <w:rFonts w:hint="eastAsia" w:ascii="宋体" w:hAnsi="宋体" w:cs="Courier New"/>
                <w:b/>
                <w:color w:val="auto"/>
                <w:sz w:val="22"/>
                <w:szCs w:val="22"/>
                <w:highlight w:val="none"/>
              </w:rPr>
              <w:t>投标供应商应准备</w:t>
            </w:r>
            <w:r>
              <w:rPr>
                <w:rFonts w:hint="eastAsia" w:ascii="宋体" w:hAnsi="宋体" w:cs="Courier New"/>
                <w:b/>
                <w:color w:val="auto"/>
                <w:sz w:val="22"/>
                <w:szCs w:val="22"/>
                <w:highlight w:val="none"/>
                <w:lang w:bidi="ar"/>
              </w:rPr>
              <w:t>电子磋商响应文件</w:t>
            </w:r>
          </w:p>
          <w:p w14:paraId="422F6A19">
            <w:pPr>
              <w:rPr>
                <w:rFonts w:ascii="宋体" w:hAnsi="宋体" w:cs="Courier New"/>
                <w:b/>
                <w:color w:val="auto"/>
                <w:sz w:val="22"/>
                <w:szCs w:val="22"/>
                <w:highlight w:val="none"/>
                <w:lang w:bidi="ar"/>
              </w:rPr>
            </w:pPr>
            <w:r>
              <w:rPr>
                <w:rFonts w:hint="eastAsia" w:ascii="宋体" w:hAnsi="宋体" w:cs="Courier New"/>
                <w:b/>
                <w:color w:val="auto"/>
                <w:sz w:val="22"/>
                <w:szCs w:val="22"/>
                <w:highlight w:val="none"/>
                <w:lang w:bidi="ar"/>
              </w:rPr>
              <w:t>电子磋商响应文件是指通过“政采云电子交易客户端”完成磋商响应文件编制后生成并加密的数据电文形式的电子加密磋商响应文件。</w:t>
            </w:r>
          </w:p>
        </w:tc>
      </w:tr>
      <w:tr w14:paraId="7CE4F7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248D9333">
            <w:pPr>
              <w:autoSpaceDE w:val="0"/>
              <w:autoSpaceDN w:val="0"/>
              <w:adjustRightInd w:val="0"/>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17</w:t>
            </w:r>
          </w:p>
        </w:tc>
        <w:tc>
          <w:tcPr>
            <w:tcW w:w="1740" w:type="dxa"/>
            <w:vAlign w:val="center"/>
          </w:tcPr>
          <w:p w14:paraId="34EB81DF">
            <w:pPr>
              <w:adjustRightInd w:val="0"/>
              <w:jc w:val="center"/>
              <w:rPr>
                <w:rFonts w:ascii="宋体" w:hAnsi="宋体" w:cs="Courier New"/>
                <w:b/>
                <w:color w:val="auto"/>
                <w:sz w:val="22"/>
                <w:szCs w:val="22"/>
                <w:highlight w:val="none"/>
              </w:rPr>
            </w:pPr>
            <w:r>
              <w:rPr>
                <w:rFonts w:hint="eastAsia" w:ascii="宋体" w:hAnsi="宋体" w:cs="Courier New"/>
                <w:b/>
                <w:color w:val="auto"/>
                <w:sz w:val="22"/>
                <w:szCs w:val="22"/>
                <w:highlight w:val="none"/>
              </w:rPr>
              <w:t>磋商响应文件的编制</w:t>
            </w:r>
          </w:p>
        </w:tc>
        <w:tc>
          <w:tcPr>
            <w:tcW w:w="7691" w:type="dxa"/>
            <w:vAlign w:val="center"/>
          </w:tcPr>
          <w:p w14:paraId="14251520">
            <w:pPr>
              <w:adjustRightInd w:val="0"/>
              <w:rPr>
                <w:rFonts w:ascii="宋体" w:hAnsi="宋体" w:cs="Courier New"/>
                <w:b/>
                <w:color w:val="auto"/>
                <w:sz w:val="22"/>
                <w:szCs w:val="22"/>
                <w:highlight w:val="none"/>
              </w:rPr>
            </w:pPr>
            <w:r>
              <w:rPr>
                <w:rFonts w:hint="eastAsia" w:ascii="宋体" w:hAnsi="宋体" w:cs="Courier New"/>
                <w:b/>
                <w:color w:val="auto"/>
                <w:sz w:val="22"/>
                <w:szCs w:val="22"/>
                <w:highlight w:val="none"/>
              </w:rPr>
              <w:t>供应商应先安装“政采云电子交易客户端”，并按照本磋商文件和“政府采购云平台”的要求，通过“政采云电子交易客户端”编制并加密磋商响应文件。</w:t>
            </w:r>
          </w:p>
        </w:tc>
      </w:tr>
      <w:tr w14:paraId="04EBAC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3866F78B">
            <w:pPr>
              <w:autoSpaceDE w:val="0"/>
              <w:autoSpaceDN w:val="0"/>
              <w:adjustRightInd w:val="0"/>
              <w:snapToGrid w:val="0"/>
              <w:spacing w:line="460" w:lineRule="exact"/>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18</w:t>
            </w:r>
          </w:p>
        </w:tc>
        <w:tc>
          <w:tcPr>
            <w:tcW w:w="1740" w:type="dxa"/>
            <w:vAlign w:val="center"/>
          </w:tcPr>
          <w:p w14:paraId="10F38FA3">
            <w:pPr>
              <w:jc w:val="center"/>
              <w:rPr>
                <w:rFonts w:ascii="宋体" w:hAnsi="宋体" w:cs="Courier New"/>
                <w:b/>
                <w:color w:val="auto"/>
                <w:sz w:val="22"/>
                <w:szCs w:val="22"/>
                <w:highlight w:val="none"/>
              </w:rPr>
            </w:pPr>
            <w:r>
              <w:rPr>
                <w:rFonts w:hint="eastAsia" w:ascii="宋体" w:hAnsi="宋体" w:cs="Courier New"/>
                <w:b/>
                <w:color w:val="auto"/>
                <w:sz w:val="22"/>
                <w:szCs w:val="22"/>
                <w:highlight w:val="none"/>
              </w:rPr>
              <w:t>磋商响应文件份数</w:t>
            </w:r>
          </w:p>
        </w:tc>
        <w:tc>
          <w:tcPr>
            <w:tcW w:w="7691" w:type="dxa"/>
            <w:vAlign w:val="center"/>
          </w:tcPr>
          <w:p w14:paraId="0D7F378C">
            <w:pPr>
              <w:pStyle w:val="45"/>
              <w:tabs>
                <w:tab w:val="right" w:leader="dot" w:pos="9118"/>
              </w:tabs>
              <w:rPr>
                <w:rFonts w:cs="Courier New"/>
                <w:color w:val="auto"/>
                <w:sz w:val="22"/>
                <w:szCs w:val="22"/>
                <w:highlight w:val="none"/>
                <w:lang w:bidi="ar"/>
              </w:rPr>
            </w:pPr>
            <w:r>
              <w:rPr>
                <w:rFonts w:hint="eastAsia" w:cs="Courier New"/>
                <w:color w:val="auto"/>
                <w:sz w:val="22"/>
                <w:szCs w:val="22"/>
                <w:highlight w:val="none"/>
                <w:lang w:bidi="ar"/>
              </w:rPr>
              <w:t>“电子加密磋商响应文件”：在线上传递交，一份。</w:t>
            </w:r>
          </w:p>
        </w:tc>
      </w:tr>
      <w:tr w14:paraId="480234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18ECC91C">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19</w:t>
            </w:r>
          </w:p>
        </w:tc>
        <w:tc>
          <w:tcPr>
            <w:tcW w:w="1740" w:type="dxa"/>
            <w:vAlign w:val="center"/>
          </w:tcPr>
          <w:p w14:paraId="278D32D2">
            <w:pPr>
              <w:jc w:val="center"/>
              <w:rPr>
                <w:rFonts w:ascii="宋体" w:hAnsi="宋体" w:cs="Courier New"/>
                <w:b/>
                <w:color w:val="auto"/>
                <w:sz w:val="22"/>
                <w:szCs w:val="22"/>
                <w:highlight w:val="none"/>
              </w:rPr>
            </w:pPr>
            <w:r>
              <w:rPr>
                <w:rFonts w:hint="eastAsia" w:ascii="宋体" w:hAnsi="宋体" w:cs="Courier New"/>
                <w:b/>
                <w:color w:val="auto"/>
                <w:sz w:val="22"/>
                <w:szCs w:val="22"/>
                <w:highlight w:val="none"/>
              </w:rPr>
              <w:t>投标有效期</w:t>
            </w:r>
          </w:p>
        </w:tc>
        <w:tc>
          <w:tcPr>
            <w:tcW w:w="7691" w:type="dxa"/>
            <w:vAlign w:val="center"/>
          </w:tcPr>
          <w:p w14:paraId="672E001A">
            <w:pPr>
              <w:rPr>
                <w:rFonts w:ascii="宋体" w:hAnsi="宋体" w:cs="Courier New"/>
                <w:b/>
                <w:color w:val="auto"/>
                <w:sz w:val="22"/>
                <w:szCs w:val="22"/>
                <w:highlight w:val="none"/>
              </w:rPr>
            </w:pPr>
            <w:r>
              <w:rPr>
                <w:rFonts w:hint="eastAsia" w:ascii="宋体" w:hAnsi="宋体" w:cs="Courier New"/>
                <w:b/>
                <w:color w:val="auto"/>
                <w:sz w:val="22"/>
                <w:szCs w:val="22"/>
                <w:highlight w:val="none"/>
              </w:rPr>
              <w:t>提交磋商响应文件截止时间起90天内。</w:t>
            </w:r>
          </w:p>
        </w:tc>
      </w:tr>
      <w:tr w14:paraId="22C7EC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019CE3E0">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20</w:t>
            </w:r>
          </w:p>
        </w:tc>
        <w:tc>
          <w:tcPr>
            <w:tcW w:w="1740" w:type="dxa"/>
            <w:vAlign w:val="center"/>
          </w:tcPr>
          <w:p w14:paraId="1B6598AC">
            <w:pPr>
              <w:jc w:val="center"/>
              <w:rPr>
                <w:rFonts w:ascii="宋体" w:hAnsi="宋体" w:cs="Courier New"/>
                <w:b/>
                <w:color w:val="auto"/>
                <w:sz w:val="22"/>
                <w:szCs w:val="22"/>
                <w:highlight w:val="none"/>
              </w:rPr>
            </w:pPr>
            <w:r>
              <w:rPr>
                <w:rFonts w:hint="eastAsia" w:ascii="宋体" w:hAnsi="宋体" w:cs="Courier New"/>
                <w:b/>
                <w:color w:val="auto"/>
                <w:sz w:val="22"/>
                <w:szCs w:val="22"/>
                <w:highlight w:val="none"/>
              </w:rPr>
              <w:t>磋商响应文件的签章</w:t>
            </w:r>
          </w:p>
        </w:tc>
        <w:tc>
          <w:tcPr>
            <w:tcW w:w="7691" w:type="dxa"/>
            <w:vAlign w:val="center"/>
          </w:tcPr>
          <w:p w14:paraId="637B15F4">
            <w:pPr>
              <w:rPr>
                <w:rFonts w:ascii="宋体" w:hAnsi="宋体" w:cs="Courier New"/>
                <w:b/>
                <w:color w:val="auto"/>
                <w:sz w:val="22"/>
                <w:szCs w:val="22"/>
                <w:highlight w:val="none"/>
              </w:rPr>
            </w:pPr>
            <w:r>
              <w:rPr>
                <w:rFonts w:hint="eastAsia" w:ascii="宋体" w:hAnsi="宋体" w:cs="Courier New"/>
                <w:b/>
                <w:color w:val="auto"/>
                <w:sz w:val="22"/>
                <w:szCs w:val="22"/>
                <w:highlight w:val="none"/>
              </w:rPr>
              <w:t>磋商响应文件中所涉及的公章均采用CA电子签章。</w:t>
            </w:r>
          </w:p>
        </w:tc>
      </w:tr>
      <w:tr w14:paraId="35FF4F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0E2575A0">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21</w:t>
            </w:r>
          </w:p>
        </w:tc>
        <w:tc>
          <w:tcPr>
            <w:tcW w:w="1740" w:type="dxa"/>
            <w:vAlign w:val="center"/>
          </w:tcPr>
          <w:p w14:paraId="40F2CABF">
            <w:pPr>
              <w:jc w:val="center"/>
              <w:rPr>
                <w:rFonts w:ascii="宋体" w:hAnsi="宋体" w:cs="宋体"/>
                <w:color w:val="auto"/>
                <w:sz w:val="22"/>
                <w:szCs w:val="22"/>
                <w:highlight w:val="none"/>
              </w:rPr>
            </w:pPr>
            <w:r>
              <w:rPr>
                <w:rFonts w:hint="eastAsia" w:ascii="宋体" w:hAnsi="宋体" w:cs="宋体"/>
                <w:color w:val="auto"/>
                <w:sz w:val="22"/>
                <w:szCs w:val="22"/>
                <w:highlight w:val="none"/>
              </w:rPr>
              <w:t>投标样品</w:t>
            </w:r>
          </w:p>
        </w:tc>
        <w:tc>
          <w:tcPr>
            <w:tcW w:w="7691" w:type="dxa"/>
            <w:vAlign w:val="center"/>
          </w:tcPr>
          <w:p w14:paraId="76207398">
            <w:pPr>
              <w:rPr>
                <w:rFonts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4"/>
                <w:sz w:val="22"/>
                <w:szCs w:val="22"/>
                <w:highlight w:val="none"/>
              </w:rPr>
              <w:instrText xml:space="preserve">□</w:instrText>
            </w:r>
            <w:r>
              <w:rPr>
                <w:rFonts w:hint="eastAsia" w:ascii="宋体" w:hAnsi="宋体" w:cs="宋体"/>
                <w:color w:val="auto"/>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不需要</w:t>
            </w:r>
          </w:p>
          <w:p w14:paraId="4BFE878F">
            <w:pPr>
              <w:rPr>
                <w:rFonts w:ascii="宋体" w:hAnsi="宋体" w:cs="宋体"/>
                <w:color w:val="auto"/>
                <w:sz w:val="22"/>
                <w:szCs w:val="22"/>
                <w:highlight w:val="none"/>
              </w:rPr>
            </w:pPr>
            <w:r>
              <w:rPr>
                <w:rFonts w:hint="eastAsia" w:ascii="宋体" w:hAnsi="宋体" w:cs="宋体"/>
                <w:color w:val="auto"/>
                <w:sz w:val="22"/>
                <w:szCs w:val="22"/>
                <w:highlight w:val="none"/>
              </w:rPr>
              <w:t>□需要</w:t>
            </w:r>
          </w:p>
        </w:tc>
      </w:tr>
      <w:tr w14:paraId="090681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95" w:hRule="atLeast"/>
          <w:jc w:val="center"/>
        </w:trPr>
        <w:tc>
          <w:tcPr>
            <w:tcW w:w="740" w:type="dxa"/>
            <w:vAlign w:val="center"/>
          </w:tcPr>
          <w:p w14:paraId="3DCFED79">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22</w:t>
            </w:r>
          </w:p>
        </w:tc>
        <w:tc>
          <w:tcPr>
            <w:tcW w:w="1740" w:type="dxa"/>
            <w:vAlign w:val="center"/>
          </w:tcPr>
          <w:p w14:paraId="08A6D7B0">
            <w:pPr>
              <w:jc w:val="center"/>
              <w:rPr>
                <w:rFonts w:ascii="宋体" w:hAnsi="宋体" w:cs="宋体"/>
                <w:color w:val="auto"/>
                <w:sz w:val="22"/>
                <w:szCs w:val="22"/>
                <w:highlight w:val="none"/>
              </w:rPr>
            </w:pPr>
            <w:r>
              <w:rPr>
                <w:rFonts w:hint="eastAsia" w:ascii="宋体" w:hAnsi="宋体" w:cs="宋体"/>
                <w:color w:val="auto"/>
                <w:sz w:val="22"/>
                <w:szCs w:val="22"/>
                <w:highlight w:val="none"/>
              </w:rPr>
              <w:t>保证金</w:t>
            </w:r>
          </w:p>
        </w:tc>
        <w:tc>
          <w:tcPr>
            <w:tcW w:w="7691" w:type="dxa"/>
            <w:vAlign w:val="center"/>
          </w:tcPr>
          <w:p w14:paraId="4B119FFA">
            <w:pPr>
              <w:rPr>
                <w:rFonts w:ascii="宋体" w:hAnsi="宋体" w:cs="宋体"/>
                <w:color w:val="auto"/>
                <w:sz w:val="22"/>
                <w:szCs w:val="22"/>
                <w:highlight w:val="none"/>
              </w:rPr>
            </w:pPr>
            <w:r>
              <w:rPr>
                <w:rFonts w:hint="eastAsia" w:ascii="宋体" w:hAnsi="宋体" w:cs="宋体"/>
                <w:bCs/>
                <w:color w:val="auto"/>
                <w:sz w:val="22"/>
                <w:szCs w:val="22"/>
                <w:highlight w:val="none"/>
              </w:rPr>
              <w:t>无</w:t>
            </w:r>
          </w:p>
        </w:tc>
      </w:tr>
      <w:tr w14:paraId="7A0FEE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9" w:hRule="atLeast"/>
          <w:jc w:val="center"/>
        </w:trPr>
        <w:tc>
          <w:tcPr>
            <w:tcW w:w="740" w:type="dxa"/>
            <w:vAlign w:val="center"/>
          </w:tcPr>
          <w:p w14:paraId="594FE466">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23</w:t>
            </w:r>
          </w:p>
        </w:tc>
        <w:tc>
          <w:tcPr>
            <w:tcW w:w="1740" w:type="dxa"/>
            <w:vAlign w:val="center"/>
          </w:tcPr>
          <w:p w14:paraId="4493A2D7">
            <w:pPr>
              <w:adjustRightInd w:val="0"/>
              <w:jc w:val="center"/>
              <w:rPr>
                <w:rFonts w:ascii="宋体" w:hAnsi="宋体" w:cs="宋体"/>
                <w:color w:val="auto"/>
                <w:sz w:val="22"/>
                <w:szCs w:val="22"/>
                <w:highlight w:val="none"/>
              </w:rPr>
            </w:pPr>
            <w:r>
              <w:rPr>
                <w:rFonts w:hint="eastAsia" w:ascii="宋体" w:hAnsi="宋体" w:cs="宋体"/>
                <w:color w:val="auto"/>
                <w:sz w:val="22"/>
                <w:szCs w:val="22"/>
                <w:highlight w:val="none"/>
              </w:rPr>
              <w:t>履约担保</w:t>
            </w:r>
          </w:p>
        </w:tc>
        <w:tc>
          <w:tcPr>
            <w:tcW w:w="7691" w:type="dxa"/>
            <w:vAlign w:val="center"/>
          </w:tcPr>
          <w:p w14:paraId="59448E92">
            <w:pPr>
              <w:rPr>
                <w:rFonts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不需要</w:t>
            </w:r>
          </w:p>
          <w:p w14:paraId="1F5AA24D">
            <w:pPr>
              <w:adjustRightInd w:val="0"/>
              <w:rPr>
                <w:rFonts w:ascii="宋体" w:hAnsi="宋体" w:cs="宋体"/>
                <w:b/>
                <w:bCs/>
                <w:color w:val="auto"/>
                <w:sz w:val="22"/>
                <w:szCs w:val="22"/>
                <w:highlight w:val="none"/>
              </w:rPr>
            </w:pPr>
            <w:r>
              <w:rPr>
                <w:rFonts w:hint="eastAsia" w:ascii="宋体" w:hAnsi="宋体" w:cs="宋体"/>
                <w:b/>
                <w:bCs/>
                <w:color w:val="auto"/>
                <w:sz w:val="22"/>
                <w:szCs w:val="22"/>
                <w:highlight w:val="none"/>
              </w:rPr>
              <w:fldChar w:fldCharType="begin"/>
            </w:r>
            <w:r>
              <w:rPr>
                <w:rFonts w:hint="eastAsia" w:ascii="宋体" w:hAnsi="宋体" w:cs="宋体"/>
                <w:b/>
                <w:bCs/>
                <w:color w:val="auto"/>
                <w:sz w:val="22"/>
                <w:szCs w:val="22"/>
                <w:highlight w:val="none"/>
              </w:rPr>
              <w:instrText xml:space="preserve"> eq \o\ac(</w:instrText>
            </w:r>
            <w:r>
              <w:rPr>
                <w:rFonts w:hint="eastAsia" w:ascii="宋体" w:hAnsi="宋体" w:cs="宋体"/>
                <w:b/>
                <w:bCs/>
                <w:color w:val="auto"/>
                <w:position w:val="-4"/>
                <w:sz w:val="22"/>
                <w:szCs w:val="22"/>
                <w:highlight w:val="none"/>
              </w:rPr>
              <w:instrText xml:space="preserve">□</w:instrText>
            </w:r>
            <w:r>
              <w:rPr>
                <w:rFonts w:hint="eastAsia" w:ascii="宋体" w:hAnsi="宋体" w:cs="宋体"/>
                <w:b/>
                <w:bCs/>
                <w:color w:val="auto"/>
                <w:position w:val="-4"/>
                <w:sz w:val="22"/>
                <w:szCs w:val="22"/>
                <w:highlight w:val="none"/>
                <w:lang w:eastAsia="zh-CN"/>
              </w:rPr>
              <w:instrText xml:space="preserve">,</w:instrText>
            </w:r>
            <w:r>
              <w:rPr>
                <w:rFonts w:hint="eastAsia" w:ascii="宋体" w:hAnsi="宋体" w:cs="宋体"/>
                <w:b/>
                <w:bCs/>
                <w:color w:val="auto"/>
                <w:position w:val="-1"/>
                <w:sz w:val="15"/>
                <w:szCs w:val="22"/>
                <w:highlight w:val="none"/>
                <w:lang w:eastAsia="zh-CN"/>
              </w:rPr>
              <w:instrText xml:space="preserve">√</w:instrText>
            </w:r>
            <w:r>
              <w:rPr>
                <w:rFonts w:hint="eastAsia" w:ascii="宋体" w:hAnsi="宋体" w:cs="宋体"/>
                <w:b/>
                <w:bCs/>
                <w:color w:val="auto"/>
                <w:sz w:val="22"/>
                <w:szCs w:val="22"/>
                <w:highlight w:val="none"/>
              </w:rPr>
              <w:instrText xml:space="preserve">)</w:instrText>
            </w:r>
            <w:r>
              <w:rPr>
                <w:rFonts w:hint="eastAsia" w:ascii="宋体" w:hAnsi="宋体" w:cs="宋体"/>
                <w:b/>
                <w:bCs/>
                <w:color w:val="auto"/>
                <w:sz w:val="22"/>
                <w:szCs w:val="22"/>
                <w:highlight w:val="none"/>
              </w:rPr>
              <w:fldChar w:fldCharType="end"/>
            </w:r>
            <w:r>
              <w:rPr>
                <w:rFonts w:hint="eastAsia" w:ascii="宋体" w:hAnsi="宋体" w:cs="宋体"/>
                <w:b/>
                <w:bCs/>
                <w:color w:val="auto"/>
                <w:sz w:val="22"/>
                <w:szCs w:val="22"/>
                <w:highlight w:val="none"/>
              </w:rPr>
              <w:t>需要  合同签订后成交供应商应向采购人提供</w:t>
            </w:r>
            <w:r>
              <w:rPr>
                <w:rFonts w:hint="eastAsia" w:ascii="宋体" w:hAnsi="宋体" w:cs="宋体"/>
                <w:b/>
                <w:bCs/>
                <w:color w:val="auto"/>
                <w:sz w:val="22"/>
                <w:szCs w:val="22"/>
                <w:highlight w:val="none"/>
                <w:lang w:val="en-US" w:eastAsia="zh-CN"/>
              </w:rPr>
              <w:t>合同价</w:t>
            </w:r>
            <w:r>
              <w:rPr>
                <w:rFonts w:hint="eastAsia" w:ascii="宋体" w:hAnsi="宋体" w:cs="宋体"/>
                <w:b/>
                <w:bCs/>
                <w:color w:val="auto"/>
                <w:sz w:val="22"/>
                <w:szCs w:val="22"/>
                <w:highlight w:val="none"/>
                <w:u w:val="single"/>
                <w:lang w:val="en-US" w:eastAsia="zh-CN"/>
              </w:rPr>
              <w:t>1</w:t>
            </w:r>
            <w:r>
              <w:rPr>
                <w:rFonts w:hint="eastAsia" w:ascii="宋体" w:hAnsi="宋体" w:cs="宋体"/>
                <w:b/>
                <w:bCs/>
                <w:color w:val="auto"/>
                <w:sz w:val="22"/>
                <w:szCs w:val="22"/>
                <w:highlight w:val="none"/>
                <w:u w:val="single"/>
              </w:rPr>
              <w:t>%</w:t>
            </w:r>
            <w:r>
              <w:rPr>
                <w:rFonts w:ascii="宋体" w:hAnsi="宋体" w:cs="宋体"/>
                <w:b/>
                <w:bCs/>
                <w:color w:val="auto"/>
                <w:sz w:val="22"/>
                <w:szCs w:val="22"/>
                <w:highlight w:val="none"/>
                <w:u w:val="single"/>
              </w:rPr>
              <w:t xml:space="preserve"> </w:t>
            </w:r>
            <w:r>
              <w:rPr>
                <w:rFonts w:hint="eastAsia" w:ascii="宋体" w:hAnsi="宋体" w:cs="宋体"/>
                <w:b/>
                <w:bCs/>
                <w:color w:val="auto"/>
                <w:sz w:val="22"/>
                <w:szCs w:val="22"/>
                <w:highlight w:val="none"/>
              </w:rPr>
              <w:t>的履约保证金，</w:t>
            </w:r>
            <w:r>
              <w:rPr>
                <w:rFonts w:hint="eastAsia" w:ascii="宋体" w:hAnsi="宋体" w:cs="Courier New"/>
                <w:b/>
                <w:bCs/>
                <w:color w:val="auto"/>
                <w:sz w:val="22"/>
                <w:szCs w:val="22"/>
                <w:highlight w:val="none"/>
              </w:rPr>
              <w:t>履约保证金可以采用银行或者保险公司出具的保函等形式。</w:t>
            </w:r>
          </w:p>
        </w:tc>
      </w:tr>
      <w:tr w14:paraId="5A7ABA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40" w:type="dxa"/>
            <w:vAlign w:val="center"/>
          </w:tcPr>
          <w:p w14:paraId="633DE2B1">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24</w:t>
            </w:r>
          </w:p>
        </w:tc>
        <w:tc>
          <w:tcPr>
            <w:tcW w:w="1740" w:type="dxa"/>
            <w:vAlign w:val="center"/>
          </w:tcPr>
          <w:p w14:paraId="164FA9BA">
            <w:pPr>
              <w:jc w:val="center"/>
              <w:rPr>
                <w:rFonts w:ascii="宋体" w:hAnsi="宋体" w:cs="宋体"/>
                <w:color w:val="auto"/>
                <w:sz w:val="22"/>
                <w:szCs w:val="22"/>
                <w:highlight w:val="none"/>
              </w:rPr>
            </w:pPr>
            <w:r>
              <w:rPr>
                <w:rFonts w:hint="eastAsia" w:ascii="宋体" w:hAnsi="宋体" w:cs="宋体"/>
                <w:color w:val="auto"/>
                <w:sz w:val="22"/>
                <w:szCs w:val="22"/>
                <w:highlight w:val="none"/>
              </w:rPr>
              <w:t>竞争性磋商文件获取方式</w:t>
            </w:r>
          </w:p>
        </w:tc>
        <w:tc>
          <w:tcPr>
            <w:tcW w:w="7691" w:type="dxa"/>
            <w:vAlign w:val="center"/>
          </w:tcPr>
          <w:p w14:paraId="333650C4">
            <w:pPr>
              <w:rPr>
                <w:rFonts w:ascii="宋体" w:hAnsi="宋体" w:cs="宋体"/>
                <w:color w:val="auto"/>
                <w:sz w:val="22"/>
                <w:szCs w:val="22"/>
                <w:highlight w:val="none"/>
              </w:rPr>
            </w:pPr>
            <w:r>
              <w:rPr>
                <w:rFonts w:hint="eastAsia" w:ascii="宋体" w:hAnsi="宋体" w:cs="宋体"/>
                <w:color w:val="auto"/>
                <w:sz w:val="22"/>
                <w:szCs w:val="22"/>
                <w:highlight w:val="none"/>
              </w:rPr>
              <w:t>见公告具体说明。</w:t>
            </w:r>
          </w:p>
        </w:tc>
      </w:tr>
      <w:tr w14:paraId="68F7EC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5" w:hRule="atLeast"/>
          <w:jc w:val="center"/>
        </w:trPr>
        <w:tc>
          <w:tcPr>
            <w:tcW w:w="740" w:type="dxa"/>
            <w:vAlign w:val="center"/>
          </w:tcPr>
          <w:p w14:paraId="707FFFAB">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25</w:t>
            </w:r>
          </w:p>
        </w:tc>
        <w:tc>
          <w:tcPr>
            <w:tcW w:w="1740" w:type="dxa"/>
            <w:vAlign w:val="center"/>
          </w:tcPr>
          <w:p w14:paraId="42E2DE96">
            <w:pPr>
              <w:jc w:val="center"/>
              <w:rPr>
                <w:rFonts w:ascii="宋体" w:hAnsi="宋体" w:cs="Courier New"/>
                <w:b/>
                <w:color w:val="auto"/>
                <w:sz w:val="22"/>
                <w:szCs w:val="22"/>
                <w:highlight w:val="none"/>
              </w:rPr>
            </w:pPr>
            <w:r>
              <w:rPr>
                <w:rFonts w:hint="eastAsia" w:ascii="宋体" w:hAnsi="宋体" w:cs="Courier New"/>
                <w:b/>
                <w:color w:val="auto"/>
                <w:sz w:val="22"/>
                <w:szCs w:val="22"/>
                <w:highlight w:val="none"/>
              </w:rPr>
              <w:t>响应文件递交截止时间</w:t>
            </w:r>
          </w:p>
          <w:p w14:paraId="3AF9AC70">
            <w:pPr>
              <w:jc w:val="center"/>
              <w:rPr>
                <w:rFonts w:ascii="宋体" w:hAnsi="宋体" w:cs="Courier New"/>
                <w:b/>
                <w:color w:val="auto"/>
                <w:sz w:val="22"/>
                <w:szCs w:val="22"/>
                <w:highlight w:val="none"/>
              </w:rPr>
            </w:pPr>
            <w:r>
              <w:rPr>
                <w:rFonts w:hint="eastAsia" w:ascii="宋体" w:hAnsi="宋体" w:cs="Courier New"/>
                <w:b/>
                <w:color w:val="auto"/>
                <w:sz w:val="22"/>
                <w:szCs w:val="22"/>
                <w:highlight w:val="none"/>
              </w:rPr>
              <w:t>投标地点</w:t>
            </w:r>
          </w:p>
        </w:tc>
        <w:tc>
          <w:tcPr>
            <w:tcW w:w="7691" w:type="dxa"/>
            <w:vAlign w:val="center"/>
          </w:tcPr>
          <w:p w14:paraId="3D07DF49">
            <w:pPr>
              <w:rPr>
                <w:rFonts w:ascii="宋体" w:hAnsi="宋体" w:cs="Courier New"/>
                <w:b/>
                <w:color w:val="auto"/>
                <w:sz w:val="22"/>
                <w:szCs w:val="22"/>
                <w:highlight w:val="none"/>
              </w:rPr>
            </w:pPr>
            <w:r>
              <w:rPr>
                <w:rFonts w:hint="eastAsia" w:ascii="宋体" w:hAnsi="宋体" w:cs="Courier New"/>
                <w:b/>
                <w:color w:val="auto"/>
                <w:sz w:val="22"/>
                <w:szCs w:val="22"/>
                <w:highlight w:val="none"/>
              </w:rPr>
              <w:t>202</w:t>
            </w:r>
            <w:r>
              <w:rPr>
                <w:rFonts w:ascii="宋体" w:hAnsi="宋体" w:cs="Courier New"/>
                <w:b/>
                <w:color w:val="auto"/>
                <w:sz w:val="22"/>
                <w:szCs w:val="22"/>
                <w:highlight w:val="none"/>
              </w:rPr>
              <w:t>4</w:t>
            </w:r>
            <w:r>
              <w:rPr>
                <w:rFonts w:hint="eastAsia" w:ascii="宋体" w:hAnsi="宋体" w:cs="Courier New"/>
                <w:b/>
                <w:color w:val="auto"/>
                <w:sz w:val="22"/>
                <w:szCs w:val="22"/>
                <w:highlight w:val="none"/>
              </w:rPr>
              <w:t>年</w:t>
            </w:r>
            <w:r>
              <w:rPr>
                <w:rFonts w:hint="eastAsia" w:ascii="宋体" w:hAnsi="宋体" w:cs="Courier New"/>
                <w:b/>
                <w:color w:val="auto"/>
                <w:sz w:val="22"/>
                <w:szCs w:val="22"/>
                <w:highlight w:val="none"/>
                <w:lang w:val="en-US" w:eastAsia="zh-CN"/>
              </w:rPr>
              <w:t>12</w:t>
            </w:r>
            <w:r>
              <w:rPr>
                <w:rFonts w:hint="eastAsia" w:ascii="宋体" w:hAnsi="宋体" w:cs="Courier New"/>
                <w:b/>
                <w:color w:val="auto"/>
                <w:sz w:val="22"/>
                <w:szCs w:val="22"/>
                <w:highlight w:val="none"/>
              </w:rPr>
              <w:t>月</w:t>
            </w:r>
            <w:r>
              <w:rPr>
                <w:rFonts w:hint="eastAsia" w:ascii="宋体" w:hAnsi="宋体" w:cs="Courier New"/>
                <w:b/>
                <w:color w:val="auto"/>
                <w:sz w:val="22"/>
                <w:szCs w:val="22"/>
                <w:highlight w:val="none"/>
                <w:lang w:val="en-US" w:eastAsia="zh-CN"/>
              </w:rPr>
              <w:t>9</w:t>
            </w:r>
            <w:r>
              <w:rPr>
                <w:rFonts w:hint="eastAsia" w:ascii="宋体" w:hAnsi="宋体" w:cs="Courier New"/>
                <w:b/>
                <w:color w:val="auto"/>
                <w:sz w:val="22"/>
                <w:szCs w:val="22"/>
                <w:highlight w:val="none"/>
              </w:rPr>
              <w:t xml:space="preserve">日 </w:t>
            </w:r>
            <w:r>
              <w:rPr>
                <w:rFonts w:ascii="宋体" w:hAnsi="宋体" w:cs="Courier New"/>
                <w:b/>
                <w:color w:val="auto"/>
                <w:sz w:val="22"/>
                <w:szCs w:val="22"/>
                <w:highlight w:val="none"/>
              </w:rPr>
              <w:t>14</w:t>
            </w:r>
            <w:r>
              <w:rPr>
                <w:rFonts w:hint="eastAsia" w:ascii="宋体" w:hAnsi="宋体" w:cs="Courier New"/>
                <w:b/>
                <w:color w:val="auto"/>
                <w:sz w:val="22"/>
                <w:szCs w:val="22"/>
                <w:highlight w:val="none"/>
              </w:rPr>
              <w:t>:30分截止(北京时间)。</w:t>
            </w:r>
          </w:p>
          <w:p w14:paraId="3EE34411">
            <w:pPr>
              <w:rPr>
                <w:rFonts w:hint="eastAsia" w:ascii="宋体" w:hAnsi="宋体" w:eastAsia="宋体" w:cs="Courier New"/>
                <w:b/>
                <w:color w:val="auto"/>
                <w:sz w:val="22"/>
                <w:szCs w:val="22"/>
                <w:highlight w:val="none"/>
                <w:lang w:eastAsia="zh-CN"/>
              </w:rPr>
            </w:pPr>
            <w:r>
              <w:rPr>
                <w:rFonts w:hint="eastAsia" w:ascii="宋体" w:hAnsi="宋体" w:cs="Courier New"/>
                <w:b/>
                <w:color w:val="auto"/>
                <w:sz w:val="22"/>
                <w:szCs w:val="22"/>
                <w:highlight w:val="none"/>
              </w:rPr>
              <w:t>投标地点：登录政采云投标客户端</w:t>
            </w:r>
            <w:r>
              <w:rPr>
                <w:rFonts w:hint="eastAsia" w:ascii="宋体" w:hAnsi="宋体"/>
                <w:b/>
                <w:color w:val="auto"/>
                <w:sz w:val="22"/>
                <w:highlight w:val="none"/>
              </w:rPr>
              <w:t>在线投标</w:t>
            </w:r>
            <w:r>
              <w:rPr>
                <w:rFonts w:hint="eastAsia" w:ascii="宋体" w:hAnsi="宋体"/>
                <w:b/>
                <w:color w:val="auto"/>
                <w:sz w:val="22"/>
                <w:highlight w:val="none"/>
                <w:lang w:eastAsia="zh-CN"/>
              </w:rPr>
              <w:t>。</w:t>
            </w:r>
          </w:p>
        </w:tc>
      </w:tr>
      <w:tr w14:paraId="752571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5" w:hRule="atLeast"/>
          <w:jc w:val="center"/>
        </w:trPr>
        <w:tc>
          <w:tcPr>
            <w:tcW w:w="740" w:type="dxa"/>
            <w:vAlign w:val="center"/>
          </w:tcPr>
          <w:p w14:paraId="0C848A7D">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26</w:t>
            </w:r>
          </w:p>
        </w:tc>
        <w:tc>
          <w:tcPr>
            <w:tcW w:w="1740" w:type="dxa"/>
            <w:vAlign w:val="center"/>
          </w:tcPr>
          <w:p w14:paraId="1C42E666">
            <w:pPr>
              <w:jc w:val="center"/>
              <w:rPr>
                <w:rFonts w:ascii="宋体" w:hAnsi="宋体" w:cs="Courier New"/>
                <w:b/>
                <w:color w:val="auto"/>
                <w:sz w:val="22"/>
                <w:szCs w:val="22"/>
                <w:highlight w:val="none"/>
              </w:rPr>
            </w:pPr>
            <w:r>
              <w:rPr>
                <w:rFonts w:hint="eastAsia" w:ascii="宋体" w:hAnsi="宋体"/>
                <w:b/>
                <w:color w:val="auto"/>
                <w:sz w:val="22"/>
                <w:szCs w:val="22"/>
                <w:highlight w:val="none"/>
              </w:rPr>
              <w:t>磋商开始</w:t>
            </w:r>
            <w:r>
              <w:rPr>
                <w:rFonts w:hint="eastAsia" w:ascii="宋体" w:hAnsi="宋体" w:cs="Courier New"/>
                <w:b/>
                <w:color w:val="auto"/>
                <w:sz w:val="22"/>
                <w:szCs w:val="22"/>
                <w:highlight w:val="none"/>
              </w:rPr>
              <w:t>时间</w:t>
            </w:r>
          </w:p>
          <w:p w14:paraId="7B54093F">
            <w:pPr>
              <w:jc w:val="center"/>
              <w:rPr>
                <w:rFonts w:ascii="宋体" w:hAnsi="宋体" w:cs="Courier New"/>
                <w:b/>
                <w:color w:val="auto"/>
                <w:sz w:val="22"/>
                <w:szCs w:val="22"/>
                <w:highlight w:val="none"/>
              </w:rPr>
            </w:pPr>
            <w:r>
              <w:rPr>
                <w:rFonts w:hint="eastAsia" w:ascii="宋体" w:hAnsi="宋体" w:cs="Courier New"/>
                <w:b/>
                <w:color w:val="auto"/>
                <w:sz w:val="22"/>
                <w:szCs w:val="22"/>
                <w:highlight w:val="none"/>
              </w:rPr>
              <w:t>磋商地点</w:t>
            </w:r>
          </w:p>
        </w:tc>
        <w:tc>
          <w:tcPr>
            <w:tcW w:w="7691" w:type="dxa"/>
            <w:vAlign w:val="center"/>
          </w:tcPr>
          <w:p w14:paraId="02CE3E24">
            <w:pPr>
              <w:rPr>
                <w:rFonts w:ascii="宋体" w:hAnsi="宋体" w:cs="Courier New"/>
                <w:b/>
                <w:color w:val="auto"/>
                <w:sz w:val="22"/>
                <w:szCs w:val="22"/>
                <w:highlight w:val="none"/>
              </w:rPr>
            </w:pPr>
            <w:r>
              <w:rPr>
                <w:rFonts w:hint="eastAsia" w:ascii="宋体" w:hAnsi="宋体"/>
                <w:b/>
                <w:color w:val="auto"/>
                <w:sz w:val="22"/>
                <w:szCs w:val="22"/>
                <w:highlight w:val="none"/>
              </w:rPr>
              <w:t>磋商开始</w:t>
            </w:r>
            <w:r>
              <w:rPr>
                <w:rFonts w:hint="eastAsia" w:ascii="宋体" w:hAnsi="宋体" w:cs="Courier New"/>
                <w:b/>
                <w:color w:val="auto"/>
                <w:sz w:val="22"/>
                <w:szCs w:val="22"/>
                <w:highlight w:val="none"/>
              </w:rPr>
              <w:t>时间：202</w:t>
            </w:r>
            <w:r>
              <w:rPr>
                <w:rFonts w:ascii="宋体" w:hAnsi="宋体" w:cs="Courier New"/>
                <w:b/>
                <w:color w:val="auto"/>
                <w:sz w:val="22"/>
                <w:szCs w:val="22"/>
                <w:highlight w:val="none"/>
              </w:rPr>
              <w:t>4</w:t>
            </w:r>
            <w:r>
              <w:rPr>
                <w:rFonts w:hint="eastAsia" w:ascii="宋体" w:hAnsi="宋体" w:cs="Courier New"/>
                <w:b/>
                <w:color w:val="auto"/>
                <w:sz w:val="22"/>
                <w:szCs w:val="22"/>
                <w:highlight w:val="none"/>
              </w:rPr>
              <w:t>年</w:t>
            </w:r>
            <w:r>
              <w:rPr>
                <w:rFonts w:hint="eastAsia" w:ascii="宋体" w:hAnsi="宋体" w:cs="Courier New"/>
                <w:b/>
                <w:color w:val="auto"/>
                <w:sz w:val="22"/>
                <w:szCs w:val="22"/>
                <w:highlight w:val="none"/>
                <w:lang w:val="en-US" w:eastAsia="zh-CN"/>
              </w:rPr>
              <w:t>12</w:t>
            </w:r>
            <w:r>
              <w:rPr>
                <w:rFonts w:hint="eastAsia" w:ascii="宋体" w:hAnsi="宋体" w:cs="Courier New"/>
                <w:b/>
                <w:color w:val="auto"/>
                <w:sz w:val="22"/>
                <w:szCs w:val="22"/>
                <w:highlight w:val="none"/>
              </w:rPr>
              <w:t>月</w:t>
            </w:r>
            <w:r>
              <w:rPr>
                <w:rFonts w:hint="eastAsia" w:ascii="宋体" w:hAnsi="宋体" w:cs="Courier New"/>
                <w:b/>
                <w:color w:val="auto"/>
                <w:sz w:val="22"/>
                <w:szCs w:val="22"/>
                <w:highlight w:val="none"/>
                <w:lang w:val="en-US" w:eastAsia="zh-CN"/>
              </w:rPr>
              <w:t>9</w:t>
            </w:r>
            <w:r>
              <w:rPr>
                <w:rFonts w:hint="eastAsia" w:ascii="宋体" w:hAnsi="宋体" w:cs="Courier New"/>
                <w:b/>
                <w:color w:val="auto"/>
                <w:sz w:val="22"/>
                <w:szCs w:val="22"/>
                <w:highlight w:val="none"/>
              </w:rPr>
              <w:t xml:space="preserve">日 </w:t>
            </w:r>
            <w:r>
              <w:rPr>
                <w:rFonts w:ascii="宋体" w:hAnsi="宋体" w:cs="Courier New"/>
                <w:b/>
                <w:color w:val="auto"/>
                <w:sz w:val="22"/>
                <w:szCs w:val="22"/>
                <w:highlight w:val="none"/>
              </w:rPr>
              <w:t>14</w:t>
            </w:r>
            <w:r>
              <w:rPr>
                <w:rFonts w:hint="eastAsia" w:ascii="宋体" w:hAnsi="宋体" w:cs="Courier New"/>
                <w:b/>
                <w:color w:val="auto"/>
                <w:sz w:val="22"/>
                <w:szCs w:val="22"/>
                <w:highlight w:val="none"/>
              </w:rPr>
              <w:t>:30分  (北京时间)</w:t>
            </w:r>
          </w:p>
          <w:p w14:paraId="1BBBA415">
            <w:pPr>
              <w:rPr>
                <w:rFonts w:ascii="宋体" w:hAnsi="宋体" w:cs="Courier New"/>
                <w:b/>
                <w:color w:val="auto"/>
                <w:sz w:val="22"/>
                <w:szCs w:val="22"/>
                <w:highlight w:val="none"/>
              </w:rPr>
            </w:pPr>
            <w:r>
              <w:rPr>
                <w:rFonts w:hint="eastAsia" w:ascii="宋体" w:hAnsi="宋体" w:cs="Courier New"/>
                <w:b/>
                <w:color w:val="auto"/>
                <w:sz w:val="22"/>
                <w:szCs w:val="22"/>
                <w:highlight w:val="none"/>
              </w:rPr>
              <w:t>磋商地点：</w:t>
            </w:r>
            <w:r>
              <w:rPr>
                <w:rFonts w:hint="eastAsia" w:ascii="宋体" w:hAnsi="宋体"/>
                <w:b/>
                <w:color w:val="auto"/>
                <w:sz w:val="22"/>
                <w:szCs w:val="22"/>
                <w:highlight w:val="none"/>
              </w:rPr>
              <w:t>温州市鹿城区牛山北路13号牛山商务大厦9楼907</w:t>
            </w:r>
          </w:p>
        </w:tc>
      </w:tr>
      <w:tr w14:paraId="35C383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34" w:hRule="atLeast"/>
          <w:jc w:val="center"/>
        </w:trPr>
        <w:tc>
          <w:tcPr>
            <w:tcW w:w="740" w:type="dxa"/>
            <w:vAlign w:val="center"/>
          </w:tcPr>
          <w:p w14:paraId="0FA7146E">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27</w:t>
            </w:r>
          </w:p>
        </w:tc>
        <w:tc>
          <w:tcPr>
            <w:tcW w:w="1740" w:type="dxa"/>
            <w:vAlign w:val="center"/>
          </w:tcPr>
          <w:p w14:paraId="6692D371">
            <w:pPr>
              <w:jc w:val="center"/>
              <w:rPr>
                <w:rFonts w:ascii="宋体" w:hAnsi="宋体" w:cs="Courier New"/>
                <w:bCs/>
                <w:color w:val="auto"/>
                <w:sz w:val="22"/>
                <w:szCs w:val="22"/>
                <w:highlight w:val="none"/>
              </w:rPr>
            </w:pPr>
            <w:r>
              <w:rPr>
                <w:rFonts w:hint="eastAsia" w:ascii="宋体" w:hAnsi="宋体" w:cs="Courier New"/>
                <w:bCs/>
                <w:color w:val="auto"/>
                <w:sz w:val="22"/>
                <w:szCs w:val="22"/>
                <w:highlight w:val="none"/>
              </w:rPr>
              <w:t>磋商响应文件上传和递交</w:t>
            </w:r>
          </w:p>
        </w:tc>
        <w:tc>
          <w:tcPr>
            <w:tcW w:w="7691" w:type="dxa"/>
            <w:vAlign w:val="center"/>
          </w:tcPr>
          <w:p w14:paraId="6A51925F">
            <w:pPr>
              <w:rPr>
                <w:rFonts w:ascii="宋体" w:hAnsi="宋体" w:cs="Courier New"/>
                <w:bCs/>
                <w:color w:val="auto"/>
                <w:sz w:val="22"/>
                <w:szCs w:val="22"/>
                <w:highlight w:val="none"/>
              </w:rPr>
            </w:pPr>
            <w:r>
              <w:rPr>
                <w:rFonts w:hint="eastAsia" w:ascii="宋体" w:hAnsi="宋体" w:cs="Courier New"/>
                <w:bCs/>
                <w:color w:val="auto"/>
                <w:sz w:val="22"/>
                <w:szCs w:val="22"/>
                <w:highlight w:val="none"/>
              </w:rPr>
              <w:t>本项目通过“政府采购云平台（</w:t>
            </w:r>
            <w:r>
              <w:rPr>
                <w:rFonts w:ascii="宋体" w:hAnsi="宋体" w:cs="Courier New"/>
                <w:bCs/>
                <w:color w:val="auto"/>
                <w:sz w:val="22"/>
                <w:szCs w:val="22"/>
                <w:highlight w:val="none"/>
              </w:rPr>
              <w:t>www.zcygov.cn）”实行在线投标响应（电子投标），投标供应商应当在响应文件递交截止时间前，将生成的“电子加密磋商响应文件”上传递交至“政府采购云平台”。</w:t>
            </w:r>
          </w:p>
          <w:p w14:paraId="78BFDD16">
            <w:pPr>
              <w:rPr>
                <w:rFonts w:ascii="宋体" w:hAnsi="宋体" w:cs="Courier New"/>
                <w:bCs/>
                <w:color w:val="auto"/>
                <w:sz w:val="22"/>
                <w:szCs w:val="22"/>
                <w:highlight w:val="none"/>
                <w:lang w:bidi="ar"/>
              </w:rPr>
            </w:pPr>
            <w:r>
              <w:rPr>
                <w:rFonts w:hint="eastAsia" w:ascii="宋体" w:hAnsi="宋体" w:cs="Courier New"/>
                <w:bCs/>
                <w:color w:val="auto"/>
                <w:sz w:val="22"/>
                <w:szCs w:val="22"/>
                <w:highlight w:val="none"/>
                <w:lang w:bidi="ar"/>
              </w:rPr>
              <w:t>“电子加密磋商响应文件”的上传、递交：</w:t>
            </w:r>
          </w:p>
          <w:p w14:paraId="7B7ED861">
            <w:pPr>
              <w:rPr>
                <w:rFonts w:ascii="宋体" w:hAnsi="宋体" w:cs="Courier New"/>
                <w:bCs/>
                <w:color w:val="auto"/>
                <w:sz w:val="22"/>
                <w:szCs w:val="22"/>
                <w:highlight w:val="none"/>
                <w:lang w:bidi="ar"/>
              </w:rPr>
            </w:pPr>
            <w:r>
              <w:rPr>
                <w:rFonts w:hint="eastAsia" w:ascii="宋体" w:hAnsi="宋体" w:cs="Courier New"/>
                <w:bCs/>
                <w:color w:val="auto"/>
                <w:sz w:val="22"/>
                <w:szCs w:val="22"/>
                <w:highlight w:val="none"/>
                <w:lang w:bidi="ar"/>
              </w:rPr>
              <w:t>a.投标供应商应在响应文件递交截止时间前将“电子加密磋商响应文件”成功上传递交至“政府采购云平台”，否则投标无效。</w:t>
            </w:r>
          </w:p>
          <w:p w14:paraId="439A199B">
            <w:pPr>
              <w:rPr>
                <w:rFonts w:ascii="宋体" w:hAnsi="宋体" w:cs="Courier New"/>
                <w:bCs/>
                <w:color w:val="auto"/>
                <w:sz w:val="22"/>
                <w:szCs w:val="22"/>
                <w:highlight w:val="none"/>
                <w:lang w:bidi="ar"/>
              </w:rPr>
            </w:pPr>
            <w:r>
              <w:rPr>
                <w:rFonts w:hint="eastAsia" w:ascii="宋体" w:hAnsi="宋体" w:cs="Courier New"/>
                <w:bCs/>
                <w:color w:val="auto"/>
                <w:sz w:val="22"/>
                <w:szCs w:val="22"/>
                <w:highlight w:val="none"/>
                <w:lang w:bidi="ar"/>
              </w:rPr>
              <w:t>b.“电子加密磋商响应文件”成功上传递交后，供应商可自行打印磋商响应文件接收回执。</w:t>
            </w:r>
          </w:p>
        </w:tc>
      </w:tr>
      <w:tr w14:paraId="6623F5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2" w:hRule="atLeast"/>
          <w:jc w:val="center"/>
        </w:trPr>
        <w:tc>
          <w:tcPr>
            <w:tcW w:w="740" w:type="dxa"/>
            <w:vAlign w:val="center"/>
          </w:tcPr>
          <w:p w14:paraId="2672DE72">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28</w:t>
            </w:r>
          </w:p>
        </w:tc>
        <w:tc>
          <w:tcPr>
            <w:tcW w:w="1740" w:type="dxa"/>
            <w:vAlign w:val="center"/>
          </w:tcPr>
          <w:p w14:paraId="7B77984F">
            <w:pPr>
              <w:jc w:val="center"/>
              <w:rPr>
                <w:rFonts w:ascii="宋体" w:hAnsi="宋体" w:cs="Courier New"/>
                <w:bCs/>
                <w:color w:val="auto"/>
                <w:sz w:val="22"/>
                <w:szCs w:val="22"/>
                <w:highlight w:val="none"/>
              </w:rPr>
            </w:pPr>
            <w:r>
              <w:rPr>
                <w:rFonts w:hint="eastAsia" w:ascii="宋体" w:hAnsi="宋体" w:cs="Courier New"/>
                <w:bCs/>
                <w:color w:val="auto"/>
                <w:sz w:val="22"/>
                <w:szCs w:val="22"/>
                <w:highlight w:val="none"/>
                <w:lang w:bidi="ar"/>
              </w:rPr>
              <w:t>电子加密磋商响应文件的解密和异常情况处理</w:t>
            </w:r>
          </w:p>
        </w:tc>
        <w:tc>
          <w:tcPr>
            <w:tcW w:w="7691" w:type="dxa"/>
            <w:vAlign w:val="center"/>
          </w:tcPr>
          <w:p w14:paraId="336821CC">
            <w:pPr>
              <w:rPr>
                <w:rFonts w:ascii="宋体" w:hAnsi="宋体" w:cs="Courier New"/>
                <w:bCs/>
                <w:color w:val="auto"/>
                <w:sz w:val="22"/>
                <w:szCs w:val="22"/>
                <w:highlight w:val="none"/>
                <w:lang w:bidi="ar"/>
              </w:rPr>
            </w:pPr>
            <w:r>
              <w:rPr>
                <w:rFonts w:hint="eastAsia" w:ascii="宋体" w:hAnsi="宋体" w:cs="Courier New"/>
                <w:bCs/>
                <w:color w:val="auto"/>
                <w:sz w:val="22"/>
                <w:szCs w:val="22"/>
                <w:highlight w:val="none"/>
                <w:lang w:bidi="ar"/>
              </w:rPr>
              <w:t>1、开标后，采购组织机构将向各投标供应商发出“电子加密磋商响应文件”的解密通知，各投标供应商代表应当在接到解密通知后系统规定的时间内自行完成“电子加密磋商响应文件”的在线解密。</w:t>
            </w:r>
          </w:p>
          <w:p w14:paraId="7703DDCD">
            <w:pPr>
              <w:rPr>
                <w:rFonts w:ascii="宋体" w:hAnsi="宋体" w:cs="Courier New"/>
                <w:bCs/>
                <w:color w:val="auto"/>
                <w:sz w:val="22"/>
                <w:szCs w:val="22"/>
                <w:highlight w:val="none"/>
                <w:lang w:bidi="ar"/>
              </w:rPr>
            </w:pPr>
            <w:r>
              <w:rPr>
                <w:rFonts w:hint="eastAsia" w:ascii="宋体" w:hAnsi="宋体" w:cs="Courier New"/>
                <w:bCs/>
                <w:color w:val="auto"/>
                <w:sz w:val="22"/>
                <w:szCs w:val="22"/>
                <w:highlight w:val="none"/>
                <w:lang w:bidi="ar"/>
              </w:rPr>
              <w:t>2、</w:t>
            </w:r>
            <w:r>
              <w:rPr>
                <w:rFonts w:hint="eastAsia" w:ascii="宋体" w:hAnsi="宋体"/>
                <w:bCs/>
                <w:color w:val="auto"/>
                <w:sz w:val="22"/>
                <w:highlight w:val="none"/>
              </w:rPr>
              <w:t>通过“政府采购云平台”</w:t>
            </w:r>
            <w:r>
              <w:rPr>
                <w:rFonts w:hint="eastAsia" w:ascii="宋体" w:hAnsi="宋体"/>
                <w:bCs/>
                <w:color w:val="auto"/>
                <w:highlight w:val="none"/>
              </w:rPr>
              <w:t xml:space="preserve"> </w:t>
            </w:r>
            <w:r>
              <w:rPr>
                <w:rFonts w:hint="eastAsia" w:ascii="宋体" w:hAnsi="宋体"/>
                <w:bCs/>
                <w:color w:val="auto"/>
                <w:sz w:val="22"/>
                <w:highlight w:val="none"/>
              </w:rPr>
              <w:t>成功上传递交的“电子加密磋商响应文件”无法按时解密的，其磋商响应文件按拒收处理。</w:t>
            </w:r>
          </w:p>
        </w:tc>
      </w:tr>
      <w:tr w14:paraId="07B5E6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77587764">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29</w:t>
            </w:r>
          </w:p>
        </w:tc>
        <w:tc>
          <w:tcPr>
            <w:tcW w:w="1740" w:type="dxa"/>
            <w:vAlign w:val="center"/>
          </w:tcPr>
          <w:p w14:paraId="71FA8B54">
            <w:pPr>
              <w:jc w:val="center"/>
              <w:rPr>
                <w:rFonts w:ascii="宋体" w:hAnsi="宋体" w:cs="宋体"/>
                <w:color w:val="auto"/>
                <w:sz w:val="22"/>
                <w:szCs w:val="22"/>
                <w:highlight w:val="none"/>
              </w:rPr>
            </w:pPr>
            <w:r>
              <w:rPr>
                <w:rFonts w:hint="eastAsia" w:ascii="宋体" w:hAnsi="宋体" w:cs="宋体"/>
                <w:color w:val="auto"/>
                <w:sz w:val="22"/>
                <w:szCs w:val="22"/>
                <w:highlight w:val="none"/>
              </w:rPr>
              <w:t>磋商小组的组建</w:t>
            </w:r>
          </w:p>
        </w:tc>
        <w:tc>
          <w:tcPr>
            <w:tcW w:w="7691" w:type="dxa"/>
            <w:vAlign w:val="center"/>
          </w:tcPr>
          <w:p w14:paraId="35BF95DB">
            <w:pPr>
              <w:rPr>
                <w:rFonts w:ascii="宋体" w:hAnsi="宋体" w:cs="宋体"/>
                <w:color w:val="auto"/>
                <w:sz w:val="22"/>
                <w:szCs w:val="22"/>
                <w:highlight w:val="none"/>
              </w:rPr>
            </w:pPr>
            <w:r>
              <w:rPr>
                <w:rFonts w:hint="eastAsia" w:ascii="宋体" w:hAnsi="宋体" w:cs="宋体"/>
                <w:color w:val="auto"/>
                <w:sz w:val="22"/>
                <w:szCs w:val="22"/>
                <w:highlight w:val="none"/>
              </w:rPr>
              <w:t>磋商小组构成：由采购人代表以及有关技术方面的专家组成，成员为3人及以上单数，其中技术专家不得少于总人数的2/3；评标专家确定方式：按相关规定从专家库中抽取。</w:t>
            </w:r>
          </w:p>
        </w:tc>
      </w:tr>
      <w:tr w14:paraId="74B7C6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740" w:type="dxa"/>
            <w:vAlign w:val="center"/>
          </w:tcPr>
          <w:p w14:paraId="3506C786">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30</w:t>
            </w:r>
          </w:p>
        </w:tc>
        <w:tc>
          <w:tcPr>
            <w:tcW w:w="1740" w:type="dxa"/>
            <w:vAlign w:val="center"/>
          </w:tcPr>
          <w:p w14:paraId="2DB7ED82">
            <w:pPr>
              <w:adjustRightInd w:val="0"/>
              <w:jc w:val="center"/>
              <w:rPr>
                <w:rFonts w:ascii="宋体" w:hAnsi="宋体" w:cs="宋体"/>
                <w:color w:val="auto"/>
                <w:sz w:val="22"/>
                <w:szCs w:val="22"/>
                <w:highlight w:val="none"/>
              </w:rPr>
            </w:pPr>
            <w:r>
              <w:rPr>
                <w:rFonts w:hint="eastAsia" w:ascii="宋体" w:hAnsi="宋体" w:cs="宋体"/>
                <w:color w:val="auto"/>
                <w:sz w:val="22"/>
                <w:szCs w:val="22"/>
                <w:highlight w:val="none"/>
              </w:rPr>
              <w:t>政府采购</w:t>
            </w:r>
          </w:p>
          <w:p w14:paraId="5B6AAB99">
            <w:pPr>
              <w:adjustRightInd w:val="0"/>
              <w:jc w:val="center"/>
              <w:rPr>
                <w:rFonts w:ascii="宋体" w:hAnsi="宋体" w:cs="宋体"/>
                <w:color w:val="auto"/>
                <w:sz w:val="22"/>
                <w:szCs w:val="22"/>
                <w:highlight w:val="none"/>
              </w:rPr>
            </w:pPr>
            <w:r>
              <w:rPr>
                <w:rFonts w:hint="eastAsia" w:ascii="宋体" w:hAnsi="宋体" w:cs="宋体"/>
                <w:color w:val="auto"/>
                <w:sz w:val="22"/>
                <w:szCs w:val="22"/>
                <w:highlight w:val="none"/>
              </w:rPr>
              <w:t>扶持政策</w:t>
            </w:r>
          </w:p>
        </w:tc>
        <w:tc>
          <w:tcPr>
            <w:tcW w:w="7691" w:type="dxa"/>
            <w:vAlign w:val="center"/>
          </w:tcPr>
          <w:p w14:paraId="6C7B2D25">
            <w:pPr>
              <w:spacing w:line="276" w:lineRule="auto"/>
              <w:rPr>
                <w:rFonts w:hint="eastAsia" w:ascii="宋体" w:hAnsi="宋体" w:cs="Courier New"/>
                <w:b/>
                <w:color w:val="auto"/>
                <w:sz w:val="22"/>
                <w:szCs w:val="22"/>
                <w:highlight w:val="none"/>
              </w:rPr>
            </w:pPr>
            <w:r>
              <w:rPr>
                <w:rFonts w:hint="eastAsia" w:ascii="宋体" w:hAnsi="宋体" w:cs="Courier New"/>
                <w:b/>
                <w:color w:val="auto"/>
                <w:sz w:val="22"/>
                <w:szCs w:val="22"/>
                <w:highlight w:val="none"/>
              </w:rPr>
              <w:t>1、本项目整体（预留</w:t>
            </w:r>
            <w:r>
              <w:rPr>
                <w:rFonts w:ascii="宋体" w:hAnsi="宋体" w:cs="Courier New"/>
                <w:b/>
                <w:color w:val="auto"/>
                <w:sz w:val="22"/>
                <w:szCs w:val="22"/>
                <w:highlight w:val="none"/>
              </w:rPr>
              <w:t>100%份额）专门面向中小企业采购。监狱企业、残疾人福利性单位视同小型、微型企业。</w:t>
            </w:r>
          </w:p>
          <w:p w14:paraId="596CAD75">
            <w:pPr>
              <w:rPr>
                <w:color w:val="auto"/>
                <w:highlight w:val="none"/>
              </w:rPr>
            </w:pPr>
            <w:r>
              <w:rPr>
                <w:rFonts w:ascii="宋体" w:hAnsi="宋体" w:cs="Courier New"/>
                <w:b/>
                <w:color w:val="auto"/>
                <w:sz w:val="22"/>
                <w:szCs w:val="22"/>
                <w:highlight w:val="none"/>
              </w:rPr>
              <w:t>2</w:t>
            </w:r>
            <w:r>
              <w:rPr>
                <w:rFonts w:hint="eastAsia" w:ascii="宋体" w:hAnsi="宋体" w:cs="Courier New"/>
                <w:b/>
                <w:color w:val="auto"/>
                <w:sz w:val="22"/>
                <w:szCs w:val="22"/>
                <w:highlight w:val="none"/>
              </w:rPr>
              <w:t>、本项目专门面向中小企业采购，不再执行价格评审优惠的扶持政策。</w:t>
            </w:r>
          </w:p>
        </w:tc>
      </w:tr>
      <w:tr w14:paraId="0D17A6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37" w:hRule="atLeast"/>
          <w:jc w:val="center"/>
        </w:trPr>
        <w:tc>
          <w:tcPr>
            <w:tcW w:w="740" w:type="dxa"/>
            <w:vAlign w:val="center"/>
          </w:tcPr>
          <w:p w14:paraId="7F08D704">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31</w:t>
            </w:r>
          </w:p>
        </w:tc>
        <w:tc>
          <w:tcPr>
            <w:tcW w:w="1740" w:type="dxa"/>
            <w:vAlign w:val="center"/>
          </w:tcPr>
          <w:p w14:paraId="47C1E192">
            <w:pPr>
              <w:jc w:val="center"/>
              <w:rPr>
                <w:rFonts w:ascii="宋体" w:hAnsi="宋体" w:cs="宋体"/>
                <w:color w:val="auto"/>
                <w:sz w:val="22"/>
                <w:szCs w:val="22"/>
                <w:highlight w:val="none"/>
              </w:rPr>
            </w:pPr>
            <w:r>
              <w:rPr>
                <w:rFonts w:hint="eastAsia" w:ascii="宋体" w:hAnsi="宋体" w:cs="宋体"/>
                <w:color w:val="auto"/>
                <w:sz w:val="22"/>
                <w:szCs w:val="22"/>
                <w:highlight w:val="none"/>
              </w:rPr>
              <w:t>供应商</w:t>
            </w:r>
          </w:p>
          <w:p w14:paraId="57AF217A">
            <w:pPr>
              <w:jc w:val="center"/>
              <w:rPr>
                <w:rFonts w:ascii="宋体" w:hAnsi="宋体" w:cs="宋体"/>
                <w:color w:val="auto"/>
                <w:sz w:val="22"/>
                <w:szCs w:val="22"/>
                <w:highlight w:val="none"/>
              </w:rPr>
            </w:pPr>
            <w:r>
              <w:rPr>
                <w:rFonts w:hint="eastAsia" w:ascii="宋体" w:hAnsi="宋体" w:cs="宋体"/>
                <w:color w:val="auto"/>
                <w:sz w:val="22"/>
                <w:szCs w:val="22"/>
                <w:highlight w:val="none"/>
              </w:rPr>
              <w:t>信用查询</w:t>
            </w:r>
          </w:p>
        </w:tc>
        <w:tc>
          <w:tcPr>
            <w:tcW w:w="7691" w:type="dxa"/>
            <w:vAlign w:val="center"/>
          </w:tcPr>
          <w:p w14:paraId="1F759275">
            <w:pPr>
              <w:rPr>
                <w:rFonts w:ascii="宋体" w:hAnsi="宋体" w:cs="宋体"/>
                <w:color w:val="auto"/>
                <w:sz w:val="22"/>
                <w:szCs w:val="22"/>
                <w:highlight w:val="none"/>
              </w:rPr>
            </w:pPr>
            <w:r>
              <w:rPr>
                <w:rFonts w:hint="eastAsia" w:ascii="宋体" w:hAnsi="宋体" w:cs="宋体"/>
                <w:color w:val="auto"/>
                <w:sz w:val="22"/>
                <w:szCs w:val="22"/>
                <w:highlight w:val="none"/>
              </w:rPr>
              <w:t>1、投标供应商信用信息查询的查询渠道：“信用中国”(www.creditchina.gov.cn)；“中国政府采购网”（www.ccgp.gov.cn）；</w:t>
            </w:r>
          </w:p>
          <w:p w14:paraId="0CE7E924">
            <w:pPr>
              <w:rPr>
                <w:rFonts w:ascii="宋体" w:hAnsi="宋体" w:cs="宋体"/>
                <w:color w:val="auto"/>
                <w:sz w:val="22"/>
                <w:szCs w:val="22"/>
                <w:highlight w:val="none"/>
              </w:rPr>
            </w:pPr>
            <w:r>
              <w:rPr>
                <w:rFonts w:hint="eastAsia" w:ascii="宋体" w:hAnsi="宋体" w:cs="宋体"/>
                <w:color w:val="auto"/>
                <w:sz w:val="22"/>
                <w:szCs w:val="22"/>
                <w:highlight w:val="none"/>
              </w:rPr>
              <w:t>2、供应商信用信息查询截止时点：公告发布之日至磋商响应文件递交截止时间前。</w:t>
            </w:r>
          </w:p>
          <w:p w14:paraId="25E7BBBF">
            <w:pPr>
              <w:rPr>
                <w:rFonts w:ascii="宋体" w:hAnsi="宋体" w:cs="宋体"/>
                <w:color w:val="auto"/>
                <w:sz w:val="22"/>
                <w:szCs w:val="22"/>
                <w:highlight w:val="none"/>
              </w:rPr>
            </w:pPr>
            <w:r>
              <w:rPr>
                <w:rFonts w:hint="eastAsia" w:ascii="宋体" w:hAnsi="宋体" w:cs="宋体"/>
                <w:color w:val="auto"/>
                <w:sz w:val="22"/>
                <w:szCs w:val="22"/>
                <w:highlight w:val="none"/>
              </w:rPr>
              <w:t>3、供应商信用信息查询记录和证据留存的具体方式：网页截图打印；</w:t>
            </w:r>
          </w:p>
          <w:p w14:paraId="649610B8">
            <w:pPr>
              <w:rPr>
                <w:rFonts w:ascii="宋体" w:hAnsi="宋体" w:cs="宋体"/>
                <w:color w:val="auto"/>
                <w:sz w:val="22"/>
                <w:szCs w:val="22"/>
                <w:highlight w:val="none"/>
              </w:rPr>
            </w:pPr>
            <w:r>
              <w:rPr>
                <w:rFonts w:hint="eastAsia" w:ascii="宋体" w:hAnsi="宋体" w:cs="宋体"/>
                <w:color w:val="auto"/>
                <w:sz w:val="22"/>
                <w:szCs w:val="22"/>
                <w:highlight w:val="none"/>
              </w:rPr>
              <w:t>4、信用信息的使用规则：</w:t>
            </w:r>
            <w:r>
              <w:rPr>
                <w:rFonts w:hint="eastAsia" w:ascii="宋体" w:hAnsi="宋体"/>
                <w:color w:val="auto"/>
                <w:sz w:val="22"/>
                <w:szCs w:val="22"/>
                <w:highlight w:val="none"/>
              </w:rPr>
              <w:t>对列入失信被执行人、重大税收违法案件当事人名单、政府采购严重违法失信行为记录名单及其他不符合《中华人民共和国政府采购法》第二十二条规定条件的供应商，其投标做无效投标处理。</w:t>
            </w:r>
          </w:p>
        </w:tc>
      </w:tr>
      <w:tr w14:paraId="225D15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78D25AD0">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32</w:t>
            </w:r>
          </w:p>
        </w:tc>
        <w:tc>
          <w:tcPr>
            <w:tcW w:w="1740" w:type="dxa"/>
            <w:vAlign w:val="center"/>
          </w:tcPr>
          <w:p w14:paraId="15B085E2">
            <w:pPr>
              <w:jc w:val="center"/>
              <w:rPr>
                <w:rFonts w:ascii="宋体" w:hAnsi="宋体" w:cs="宋体"/>
                <w:color w:val="auto"/>
                <w:sz w:val="22"/>
                <w:szCs w:val="22"/>
                <w:highlight w:val="none"/>
              </w:rPr>
            </w:pPr>
            <w:r>
              <w:rPr>
                <w:rFonts w:hint="eastAsia" w:ascii="宋体" w:hAnsi="宋体" w:cs="宋体"/>
                <w:color w:val="auto"/>
                <w:sz w:val="22"/>
                <w:szCs w:val="22"/>
                <w:highlight w:val="none"/>
              </w:rPr>
              <w:t>合同备案</w:t>
            </w:r>
          </w:p>
        </w:tc>
        <w:tc>
          <w:tcPr>
            <w:tcW w:w="7691" w:type="dxa"/>
            <w:vAlign w:val="center"/>
          </w:tcPr>
          <w:p w14:paraId="3E465EF5">
            <w:pPr>
              <w:rPr>
                <w:rFonts w:ascii="宋体" w:hAnsi="宋体" w:cs="宋体"/>
                <w:color w:val="auto"/>
                <w:sz w:val="22"/>
                <w:szCs w:val="22"/>
                <w:highlight w:val="none"/>
              </w:rPr>
            </w:pPr>
            <w:r>
              <w:rPr>
                <w:rFonts w:hint="eastAsia" w:ascii="宋体" w:hAnsi="宋体" w:cs="宋体"/>
                <w:color w:val="auto"/>
                <w:sz w:val="22"/>
                <w:szCs w:val="22"/>
                <w:highlight w:val="none"/>
              </w:rPr>
              <w:t>1、成交供应商须在中标通知书发出之日起30日历天内与采购人签订合同。</w:t>
            </w:r>
          </w:p>
          <w:p w14:paraId="28758C26">
            <w:pPr>
              <w:rPr>
                <w:rFonts w:ascii="宋体" w:hAnsi="宋体" w:cs="宋体"/>
                <w:color w:val="auto"/>
                <w:sz w:val="22"/>
                <w:szCs w:val="22"/>
                <w:highlight w:val="none"/>
              </w:rPr>
            </w:pPr>
            <w:r>
              <w:rPr>
                <w:rFonts w:hint="eastAsia" w:ascii="宋体" w:hAnsi="宋体" w:cs="宋体"/>
                <w:color w:val="auto"/>
                <w:sz w:val="22"/>
                <w:szCs w:val="22"/>
                <w:highlight w:val="none"/>
              </w:rPr>
              <w:t>2、成交供应商与采购人签订合同后，2日历天内将合同原件送至采购人及采购代理机构处；</w:t>
            </w:r>
          </w:p>
          <w:p w14:paraId="0A96D6FA">
            <w:pPr>
              <w:rPr>
                <w:rFonts w:ascii="宋体" w:hAnsi="宋体" w:cs="宋体"/>
                <w:color w:val="auto"/>
                <w:sz w:val="22"/>
                <w:szCs w:val="22"/>
                <w:highlight w:val="none"/>
              </w:rPr>
            </w:pPr>
            <w:r>
              <w:rPr>
                <w:rFonts w:hint="eastAsia" w:ascii="宋体" w:hAnsi="宋体" w:cs="宋体"/>
                <w:color w:val="auto"/>
                <w:sz w:val="22"/>
                <w:szCs w:val="22"/>
                <w:highlight w:val="none"/>
              </w:rPr>
              <w:t>3、本项目政府采购合同按规定在浙江政府采购网予以公告。</w:t>
            </w:r>
          </w:p>
        </w:tc>
      </w:tr>
      <w:tr w14:paraId="556553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27775618">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33</w:t>
            </w:r>
          </w:p>
        </w:tc>
        <w:tc>
          <w:tcPr>
            <w:tcW w:w="1740" w:type="dxa"/>
            <w:vAlign w:val="center"/>
          </w:tcPr>
          <w:p w14:paraId="0A35A640">
            <w:pPr>
              <w:jc w:val="center"/>
              <w:rPr>
                <w:rFonts w:ascii="宋体" w:hAnsi="宋体" w:cs="宋体"/>
                <w:color w:val="auto"/>
                <w:sz w:val="22"/>
                <w:szCs w:val="22"/>
                <w:highlight w:val="none"/>
              </w:rPr>
            </w:pPr>
            <w:r>
              <w:rPr>
                <w:rFonts w:hint="eastAsia" w:ascii="宋体" w:hAnsi="宋体" w:cs="宋体"/>
                <w:color w:val="auto"/>
                <w:sz w:val="22"/>
                <w:szCs w:val="22"/>
                <w:highlight w:val="none"/>
              </w:rPr>
              <w:t>合同履约管理</w:t>
            </w:r>
          </w:p>
        </w:tc>
        <w:tc>
          <w:tcPr>
            <w:tcW w:w="7691" w:type="dxa"/>
            <w:vAlign w:val="center"/>
          </w:tcPr>
          <w:p w14:paraId="6F9B574B">
            <w:pPr>
              <w:rPr>
                <w:rFonts w:ascii="宋体" w:hAnsi="宋体" w:cs="宋体"/>
                <w:color w:val="auto"/>
                <w:sz w:val="22"/>
                <w:szCs w:val="22"/>
                <w:highlight w:val="none"/>
              </w:rPr>
            </w:pPr>
            <w:r>
              <w:rPr>
                <w:rFonts w:hint="eastAsia" w:ascii="宋体" w:hAnsi="宋体" w:cs="宋体"/>
                <w:color w:val="auto"/>
                <w:sz w:val="22"/>
                <w:szCs w:val="22"/>
                <w:highlight w:val="none"/>
              </w:rPr>
              <w:t>合同签订后，采购人依法加强对合同履约进行管理，并在成交单位供货、项目验收等重要关节，如实填写《合同验收报告》，并及时向同级财政部门报告验收过程中遇到的问题。</w:t>
            </w:r>
          </w:p>
        </w:tc>
      </w:tr>
      <w:tr w14:paraId="426762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296835EF">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34</w:t>
            </w:r>
          </w:p>
        </w:tc>
        <w:tc>
          <w:tcPr>
            <w:tcW w:w="1740" w:type="dxa"/>
            <w:vAlign w:val="center"/>
          </w:tcPr>
          <w:p w14:paraId="6F53DDDA">
            <w:pPr>
              <w:jc w:val="center"/>
              <w:rPr>
                <w:rFonts w:ascii="宋体" w:hAnsi="宋体" w:cs="宋体"/>
                <w:color w:val="auto"/>
                <w:sz w:val="22"/>
                <w:szCs w:val="22"/>
                <w:highlight w:val="none"/>
              </w:rPr>
            </w:pPr>
            <w:r>
              <w:rPr>
                <w:rFonts w:hint="eastAsia" w:ascii="宋体" w:hAnsi="宋体" w:cs="宋体"/>
                <w:color w:val="auto"/>
                <w:sz w:val="22"/>
                <w:szCs w:val="22"/>
                <w:highlight w:val="none"/>
              </w:rPr>
              <w:t>免责声明</w:t>
            </w:r>
          </w:p>
        </w:tc>
        <w:tc>
          <w:tcPr>
            <w:tcW w:w="7691" w:type="dxa"/>
            <w:vAlign w:val="center"/>
          </w:tcPr>
          <w:p w14:paraId="30CAB08F">
            <w:pPr>
              <w:pStyle w:val="3"/>
              <w:ind w:firstLine="220"/>
              <w:rPr>
                <w:rFonts w:ascii="宋体" w:hAnsi="宋体"/>
                <w:color w:val="auto"/>
                <w:sz w:val="22"/>
                <w:szCs w:val="22"/>
                <w:highlight w:val="none"/>
              </w:rPr>
            </w:pPr>
            <w:r>
              <w:rPr>
                <w:rFonts w:hint="eastAsia" w:ascii="宋体" w:hAnsi="宋体"/>
                <w:color w:val="auto"/>
                <w:sz w:val="22"/>
                <w:szCs w:val="22"/>
                <w:highlight w:val="none"/>
              </w:rPr>
              <w:t>1、供应商自行承担投标过程中产生的费用。无论何种因素导致采购项目延期开标、废标（流标）、投标供应商未中标、项目终止采购的，采购人与采购代理机构均不承担供应商投标费用。</w:t>
            </w:r>
          </w:p>
          <w:p w14:paraId="4115E794">
            <w:pPr>
              <w:pStyle w:val="3"/>
              <w:ind w:firstLine="220"/>
              <w:rPr>
                <w:rFonts w:ascii="宋体" w:hAnsi="宋体" w:cs="宋体"/>
                <w:color w:val="auto"/>
                <w:sz w:val="22"/>
                <w:szCs w:val="22"/>
                <w:highlight w:val="none"/>
              </w:rPr>
            </w:pPr>
            <w:r>
              <w:rPr>
                <w:rFonts w:hint="eastAsia" w:ascii="宋体" w:hAnsi="宋体"/>
                <w:color w:val="auto"/>
                <w:sz w:val="22"/>
                <w:szCs w:val="22"/>
                <w:highlight w:val="none"/>
              </w:rPr>
              <w:t>2、投标供应商在投标、合同履行过程中必须做好安全保障工作，不因项目实施而危及自身及第三方人员、财产安全。若发生任何安全事故，由成交供应商自行承担一切责任并赔偿损失。</w:t>
            </w:r>
          </w:p>
        </w:tc>
      </w:tr>
      <w:tr w14:paraId="2E6923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74" w:hRule="atLeast"/>
          <w:jc w:val="center"/>
        </w:trPr>
        <w:tc>
          <w:tcPr>
            <w:tcW w:w="740" w:type="dxa"/>
            <w:vAlign w:val="center"/>
          </w:tcPr>
          <w:p w14:paraId="359B37ED">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35</w:t>
            </w:r>
          </w:p>
        </w:tc>
        <w:tc>
          <w:tcPr>
            <w:tcW w:w="1740" w:type="dxa"/>
            <w:vAlign w:val="center"/>
          </w:tcPr>
          <w:p w14:paraId="0600B8BC">
            <w:pPr>
              <w:jc w:val="center"/>
              <w:rPr>
                <w:rFonts w:ascii="宋体" w:hAnsi="宋体" w:cs="宋体"/>
                <w:color w:val="auto"/>
                <w:sz w:val="22"/>
                <w:szCs w:val="22"/>
                <w:highlight w:val="none"/>
              </w:rPr>
            </w:pPr>
            <w:r>
              <w:rPr>
                <w:rFonts w:hint="eastAsia" w:ascii="宋体" w:hAnsi="宋体" w:cs="宋体"/>
                <w:color w:val="auto"/>
                <w:sz w:val="22"/>
                <w:szCs w:val="22"/>
                <w:highlight w:val="none"/>
              </w:rPr>
              <w:t>竞争性磋商文件质疑时间</w:t>
            </w:r>
          </w:p>
        </w:tc>
        <w:tc>
          <w:tcPr>
            <w:tcW w:w="7691" w:type="dxa"/>
            <w:vAlign w:val="center"/>
          </w:tcPr>
          <w:p w14:paraId="56E40F9C">
            <w:pPr>
              <w:rPr>
                <w:rFonts w:ascii="宋体" w:hAnsi="宋体" w:cs="宋体"/>
                <w:color w:val="auto"/>
                <w:sz w:val="22"/>
                <w:szCs w:val="22"/>
                <w:highlight w:val="none"/>
              </w:rPr>
            </w:pPr>
            <w:r>
              <w:rPr>
                <w:rFonts w:hint="eastAsia" w:ascii="宋体" w:hAnsi="宋体"/>
                <w:color w:val="auto"/>
                <w:sz w:val="22"/>
                <w:szCs w:val="22"/>
                <w:highlight w:val="none"/>
              </w:rPr>
              <w:t>供应商如对磋商文件有异议的，应在规定时间内</w:t>
            </w:r>
            <w:r>
              <w:rPr>
                <w:rFonts w:ascii="宋体" w:hAnsi="宋体"/>
                <w:color w:val="auto"/>
                <w:sz w:val="22"/>
                <w:szCs w:val="22"/>
                <w:highlight w:val="none"/>
              </w:rPr>
              <w:t>以书面形式加盖公章</w:t>
            </w:r>
            <w:r>
              <w:rPr>
                <w:rFonts w:hint="eastAsia" w:ascii="宋体" w:hAnsi="宋体"/>
                <w:color w:val="auto"/>
                <w:sz w:val="22"/>
                <w:szCs w:val="22"/>
                <w:highlight w:val="none"/>
              </w:rPr>
              <w:t>送达</w:t>
            </w:r>
            <w:r>
              <w:rPr>
                <w:rFonts w:ascii="宋体" w:hAnsi="宋体"/>
                <w:color w:val="auto"/>
                <w:sz w:val="22"/>
                <w:szCs w:val="22"/>
                <w:highlight w:val="none"/>
              </w:rPr>
              <w:t>至采购代理机构，逾期采购代理机构可不予受理及答复。</w:t>
            </w:r>
          </w:p>
        </w:tc>
      </w:tr>
      <w:tr w14:paraId="5E776E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826" w:hRule="atLeast"/>
          <w:jc w:val="center"/>
        </w:trPr>
        <w:tc>
          <w:tcPr>
            <w:tcW w:w="740" w:type="dxa"/>
            <w:vAlign w:val="center"/>
          </w:tcPr>
          <w:p w14:paraId="751D560A">
            <w:pPr>
              <w:widowControl/>
              <w:tabs>
                <w:tab w:val="left" w:pos="420"/>
                <w:tab w:val="left" w:pos="1145"/>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36</w:t>
            </w:r>
          </w:p>
        </w:tc>
        <w:tc>
          <w:tcPr>
            <w:tcW w:w="1740" w:type="dxa"/>
            <w:vAlign w:val="center"/>
          </w:tcPr>
          <w:p w14:paraId="2A07652C">
            <w:pPr>
              <w:jc w:val="center"/>
              <w:rPr>
                <w:rFonts w:ascii="宋体" w:hAnsi="宋体" w:cs="宋体"/>
                <w:color w:val="auto"/>
                <w:sz w:val="22"/>
                <w:szCs w:val="22"/>
                <w:highlight w:val="none"/>
              </w:rPr>
            </w:pPr>
            <w:r>
              <w:rPr>
                <w:rFonts w:hint="eastAsia" w:ascii="宋体" w:hAnsi="宋体" w:cs="宋体"/>
                <w:color w:val="auto"/>
                <w:sz w:val="22"/>
                <w:szCs w:val="22"/>
                <w:highlight w:val="none"/>
              </w:rPr>
              <w:t>解释权</w:t>
            </w:r>
          </w:p>
        </w:tc>
        <w:tc>
          <w:tcPr>
            <w:tcW w:w="7691" w:type="dxa"/>
            <w:vAlign w:val="center"/>
          </w:tcPr>
          <w:p w14:paraId="25CB14AE">
            <w:pPr>
              <w:pStyle w:val="3"/>
              <w:spacing w:line="276" w:lineRule="auto"/>
              <w:ind w:firstLine="220"/>
              <w:rPr>
                <w:rFonts w:ascii="宋体" w:hAnsi="宋体" w:cs="宋体"/>
                <w:color w:val="auto"/>
                <w:sz w:val="22"/>
                <w:szCs w:val="22"/>
                <w:highlight w:val="none"/>
              </w:rPr>
            </w:pPr>
            <w:r>
              <w:rPr>
                <w:rFonts w:hint="eastAsia" w:ascii="宋体" w:hAnsi="宋体"/>
                <w:color w:val="auto"/>
                <w:sz w:val="22"/>
                <w:szCs w:val="22"/>
                <w:highlight w:val="none"/>
              </w:rPr>
              <w:t>构成本磋商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磋商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6B031F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346" w:hRule="atLeast"/>
          <w:jc w:val="center"/>
        </w:trPr>
        <w:tc>
          <w:tcPr>
            <w:tcW w:w="740" w:type="dxa"/>
            <w:vAlign w:val="center"/>
          </w:tcPr>
          <w:p w14:paraId="4804F642">
            <w:pPr>
              <w:widowControl/>
              <w:tabs>
                <w:tab w:val="left" w:pos="420"/>
                <w:tab w:val="left" w:pos="1145"/>
              </w:tabs>
              <w:spacing w:line="460" w:lineRule="exact"/>
              <w:jc w:val="center"/>
              <w:rPr>
                <w:rFonts w:ascii="宋体" w:hAnsi="宋体" w:cs="Courier New"/>
                <w:color w:val="auto"/>
                <w:sz w:val="22"/>
                <w:szCs w:val="22"/>
                <w:highlight w:val="none"/>
              </w:rPr>
            </w:pPr>
            <w:r>
              <w:rPr>
                <w:rFonts w:hint="eastAsia" w:ascii="宋体" w:hAnsi="宋体" w:cs="Courier New"/>
                <w:color w:val="auto"/>
                <w:sz w:val="22"/>
                <w:szCs w:val="22"/>
                <w:highlight w:val="none"/>
              </w:rPr>
              <w:t>3</w:t>
            </w:r>
            <w:r>
              <w:rPr>
                <w:rFonts w:ascii="宋体" w:hAnsi="宋体" w:cs="Courier New"/>
                <w:color w:val="auto"/>
                <w:sz w:val="22"/>
                <w:szCs w:val="22"/>
                <w:highlight w:val="none"/>
              </w:rPr>
              <w:t>7</w:t>
            </w:r>
          </w:p>
        </w:tc>
        <w:tc>
          <w:tcPr>
            <w:tcW w:w="1740" w:type="dxa"/>
            <w:vAlign w:val="center"/>
          </w:tcPr>
          <w:p w14:paraId="02F318AE">
            <w:pPr>
              <w:jc w:val="center"/>
              <w:rPr>
                <w:rFonts w:ascii="宋体" w:hAnsi="宋体" w:cs="Courier New"/>
                <w:bCs/>
                <w:color w:val="auto"/>
                <w:sz w:val="22"/>
                <w:szCs w:val="22"/>
                <w:highlight w:val="none"/>
              </w:rPr>
            </w:pPr>
            <w:r>
              <w:rPr>
                <w:rFonts w:hint="eastAsia" w:ascii="宋体" w:hAnsi="宋体"/>
                <w:bCs/>
                <w:color w:val="auto"/>
                <w:sz w:val="22"/>
                <w:szCs w:val="22"/>
                <w:highlight w:val="none"/>
              </w:rPr>
              <w:t>注意事项</w:t>
            </w:r>
          </w:p>
        </w:tc>
        <w:tc>
          <w:tcPr>
            <w:tcW w:w="7691" w:type="dxa"/>
            <w:vAlign w:val="center"/>
          </w:tcPr>
          <w:p w14:paraId="2E585679">
            <w:pPr>
              <w:pStyle w:val="3"/>
              <w:ind w:firstLine="220"/>
              <w:rPr>
                <w:rFonts w:ascii="宋体" w:hAnsi="宋体"/>
                <w:bCs/>
                <w:color w:val="auto"/>
                <w:sz w:val="22"/>
                <w:szCs w:val="22"/>
                <w:highlight w:val="none"/>
              </w:rPr>
            </w:pPr>
            <w:r>
              <w:rPr>
                <w:rFonts w:hint="eastAsia" w:ascii="宋体" w:hAnsi="宋体"/>
                <w:bCs/>
                <w:color w:val="auto"/>
                <w:sz w:val="22"/>
                <w:szCs w:val="22"/>
                <w:highlight w:val="none"/>
              </w:rPr>
              <w:t>1.请务必确保磋商响应文件制作客户端为最新版本，旧版本可能导致磋商响应文件解密失败。</w:t>
            </w:r>
          </w:p>
          <w:p w14:paraId="769E72FB">
            <w:pPr>
              <w:pStyle w:val="3"/>
              <w:ind w:firstLine="220"/>
              <w:rPr>
                <w:rFonts w:ascii="宋体" w:hAnsi="宋体"/>
                <w:bCs/>
                <w:color w:val="auto"/>
                <w:sz w:val="22"/>
                <w:szCs w:val="22"/>
                <w:highlight w:val="none"/>
              </w:rPr>
            </w:pPr>
            <w:r>
              <w:rPr>
                <w:rFonts w:hint="eastAsia" w:ascii="宋体" w:hAnsi="宋体"/>
                <w:bCs/>
                <w:color w:val="auto"/>
                <w:sz w:val="22"/>
                <w:szCs w:val="22"/>
                <w:highlight w:val="none"/>
              </w:rPr>
              <w:t>2.请务必确保磋商响应文件制作时所用的 CA 锁与磋商响应文件解密时的 CA 锁为同一把，否则可能导致磋商响应文件解密失败。</w:t>
            </w:r>
          </w:p>
        </w:tc>
      </w:tr>
    </w:tbl>
    <w:p w14:paraId="42D9FA15">
      <w:pPr>
        <w:autoSpaceDE w:val="0"/>
        <w:autoSpaceDN w:val="0"/>
        <w:adjustRightInd w:val="0"/>
        <w:snapToGrid w:val="0"/>
        <w:spacing w:line="460" w:lineRule="atLeast"/>
        <w:jc w:val="center"/>
        <w:textAlignment w:val="bottom"/>
        <w:rPr>
          <w:rFonts w:ascii="宋体" w:hAnsi="宋体"/>
          <w:color w:val="auto"/>
          <w:sz w:val="36"/>
          <w:highlight w:val="none"/>
        </w:rPr>
      </w:pPr>
    </w:p>
    <w:p w14:paraId="2C1E62A8">
      <w:pPr>
        <w:pStyle w:val="5"/>
        <w:numPr>
          <w:ilvl w:val="0"/>
          <w:numId w:val="6"/>
        </w:numPr>
        <w:rPr>
          <w:rFonts w:hint="eastAsia" w:ascii="宋体" w:hAnsi="宋体"/>
          <w:color w:val="auto"/>
          <w:sz w:val="36"/>
          <w:highlight w:val="none"/>
        </w:rPr>
      </w:pPr>
      <w:r>
        <w:rPr>
          <w:rFonts w:ascii="宋体" w:hAnsi="宋体"/>
          <w:color w:val="auto"/>
          <w:sz w:val="36"/>
          <w:highlight w:val="none"/>
        </w:rPr>
        <w:br w:type="page"/>
      </w:r>
      <w:r>
        <w:rPr>
          <w:rFonts w:ascii="宋体" w:hAnsi="宋体"/>
          <w:color w:val="auto"/>
          <w:sz w:val="36"/>
          <w:highlight w:val="none"/>
        </w:rPr>
        <w:t xml:space="preserve">  </w:t>
      </w:r>
      <w:r>
        <w:rPr>
          <w:rFonts w:hint="eastAsia" w:ascii="宋体" w:hAnsi="宋体"/>
          <w:color w:val="auto"/>
          <w:sz w:val="36"/>
          <w:highlight w:val="none"/>
          <w:lang w:val="en-US" w:eastAsia="zh-CN"/>
        </w:rPr>
        <w:t xml:space="preserve">  </w:t>
      </w:r>
      <w:bookmarkStart w:id="2" w:name="_Toc29495"/>
      <w:r>
        <w:rPr>
          <w:rFonts w:hint="eastAsia" w:ascii="宋体" w:hAnsi="宋体"/>
          <w:color w:val="auto"/>
          <w:sz w:val="36"/>
          <w:highlight w:val="none"/>
        </w:rPr>
        <w:t>采购内容及要求</w:t>
      </w:r>
      <w:bookmarkEnd w:id="2"/>
    </w:p>
    <w:p w14:paraId="54C50F00">
      <w:pPr>
        <w:keepNext w:val="0"/>
        <w:keepLines w:val="0"/>
        <w:pageBreakBefore w:val="0"/>
        <w:kinsoku/>
        <w:wordWrap/>
        <w:overflowPunct/>
        <w:topLinePunct w:val="0"/>
        <w:bidi w:val="0"/>
        <w:spacing w:line="360" w:lineRule="auto"/>
        <w:ind w:firstLine="422" w:firstLineChars="200"/>
        <w:textAlignment w:val="auto"/>
        <w:rPr>
          <w:rFonts w:ascii="宋体" w:cs="黑体"/>
          <w:b/>
          <w:color w:val="auto"/>
          <w:szCs w:val="21"/>
          <w:highlight w:val="none"/>
        </w:rPr>
      </w:pPr>
      <w:r>
        <w:rPr>
          <w:rFonts w:hint="eastAsia" w:ascii="宋体" w:cs="黑体"/>
          <w:b/>
          <w:color w:val="auto"/>
          <w:szCs w:val="21"/>
          <w:highlight w:val="none"/>
        </w:rPr>
        <w:t>一、采购范围</w:t>
      </w:r>
    </w:p>
    <w:tbl>
      <w:tblPr>
        <w:tblStyle w:val="65"/>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819"/>
        <w:gridCol w:w="4252"/>
      </w:tblGrid>
      <w:tr w14:paraId="1AD4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76" w:type="dxa"/>
            <w:noWrap w:val="0"/>
            <w:vAlign w:val="center"/>
          </w:tcPr>
          <w:p w14:paraId="1B3E53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bCs/>
                <w:color w:val="auto"/>
                <w:sz w:val="22"/>
                <w:highlight w:val="none"/>
              </w:rPr>
            </w:pPr>
            <w:bookmarkStart w:id="3" w:name="_Toc174420629"/>
            <w:bookmarkStart w:id="4" w:name="_Toc196474520"/>
            <w:r>
              <w:rPr>
                <w:rFonts w:hint="eastAsia" w:ascii="宋体"/>
                <w:bCs/>
                <w:color w:val="auto"/>
                <w:sz w:val="22"/>
                <w:highlight w:val="none"/>
              </w:rPr>
              <w:t>序号</w:t>
            </w:r>
          </w:p>
        </w:tc>
        <w:tc>
          <w:tcPr>
            <w:tcW w:w="4819" w:type="dxa"/>
            <w:noWrap w:val="0"/>
            <w:vAlign w:val="center"/>
          </w:tcPr>
          <w:p w14:paraId="5F75BCA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bCs/>
                <w:color w:val="auto"/>
                <w:sz w:val="22"/>
                <w:highlight w:val="none"/>
              </w:rPr>
            </w:pPr>
            <w:r>
              <w:rPr>
                <w:rFonts w:hint="eastAsia" w:ascii="宋体"/>
                <w:bCs/>
                <w:color w:val="auto"/>
                <w:sz w:val="22"/>
                <w:highlight w:val="none"/>
              </w:rPr>
              <w:t>服务内容</w:t>
            </w:r>
          </w:p>
        </w:tc>
        <w:tc>
          <w:tcPr>
            <w:tcW w:w="4252" w:type="dxa"/>
            <w:noWrap w:val="0"/>
            <w:vAlign w:val="center"/>
          </w:tcPr>
          <w:p w14:paraId="6249EEC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bCs/>
                <w:color w:val="auto"/>
                <w:sz w:val="22"/>
                <w:highlight w:val="none"/>
              </w:rPr>
            </w:pPr>
            <w:r>
              <w:rPr>
                <w:rFonts w:hint="eastAsia" w:ascii="宋体"/>
                <w:bCs/>
                <w:color w:val="auto"/>
                <w:sz w:val="22"/>
                <w:highlight w:val="none"/>
              </w:rPr>
              <w:t>项目地点</w:t>
            </w:r>
          </w:p>
        </w:tc>
      </w:tr>
      <w:tr w14:paraId="0B54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76" w:type="dxa"/>
            <w:noWrap w:val="0"/>
            <w:vAlign w:val="center"/>
          </w:tcPr>
          <w:p w14:paraId="5C025D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bCs/>
                <w:color w:val="auto"/>
                <w:sz w:val="22"/>
                <w:highlight w:val="none"/>
              </w:rPr>
            </w:pPr>
            <w:r>
              <w:rPr>
                <w:rFonts w:hint="eastAsia" w:ascii="宋体"/>
                <w:bCs/>
                <w:color w:val="auto"/>
                <w:sz w:val="22"/>
                <w:highlight w:val="none"/>
              </w:rPr>
              <w:t>1</w:t>
            </w:r>
          </w:p>
        </w:tc>
        <w:tc>
          <w:tcPr>
            <w:tcW w:w="4819" w:type="dxa"/>
            <w:noWrap w:val="0"/>
            <w:vAlign w:val="center"/>
          </w:tcPr>
          <w:p w14:paraId="33A6D97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bCs/>
                <w:color w:val="auto"/>
                <w:sz w:val="22"/>
                <w:highlight w:val="none"/>
              </w:rPr>
            </w:pPr>
            <w:r>
              <w:rPr>
                <w:rFonts w:hint="eastAsia" w:ascii="宋体" w:hAnsi="宋体" w:cs="宋体"/>
                <w:color w:val="auto"/>
                <w:sz w:val="22"/>
                <w:szCs w:val="22"/>
                <w:highlight w:val="none"/>
                <w:lang w:eastAsia="zh-CN"/>
              </w:rPr>
              <w:t>温州市救助管理站站内救助管理服务项目</w:t>
            </w:r>
          </w:p>
        </w:tc>
        <w:tc>
          <w:tcPr>
            <w:tcW w:w="4252" w:type="dxa"/>
            <w:noWrap w:val="0"/>
            <w:vAlign w:val="center"/>
          </w:tcPr>
          <w:p w14:paraId="66656BF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eastAsia="宋体"/>
                <w:color w:val="auto"/>
                <w:sz w:val="22"/>
                <w:highlight w:val="none"/>
                <w:lang w:val="en-US" w:eastAsia="zh-CN"/>
              </w:rPr>
            </w:pPr>
            <w:r>
              <w:rPr>
                <w:rFonts w:hint="eastAsia"/>
                <w:color w:val="auto"/>
                <w:highlight w:val="none"/>
              </w:rPr>
              <w:t>温州市</w:t>
            </w:r>
            <w:r>
              <w:rPr>
                <w:rFonts w:hint="eastAsia"/>
                <w:color w:val="auto"/>
                <w:highlight w:val="none"/>
                <w:lang w:eastAsia="zh-CN"/>
              </w:rPr>
              <w:t>龙湾区兴国路</w:t>
            </w:r>
            <w:r>
              <w:rPr>
                <w:rFonts w:hint="eastAsia"/>
                <w:color w:val="auto"/>
                <w:highlight w:val="none"/>
                <w:lang w:val="en-US" w:eastAsia="zh-CN"/>
              </w:rPr>
              <w:t>55号</w:t>
            </w:r>
          </w:p>
        </w:tc>
      </w:tr>
      <w:tr w14:paraId="51CB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747" w:type="dxa"/>
            <w:gridSpan w:val="3"/>
            <w:noWrap w:val="0"/>
            <w:vAlign w:val="top"/>
          </w:tcPr>
          <w:p w14:paraId="08047ED4">
            <w:pPr>
              <w:keepNext w:val="0"/>
              <w:keepLines w:val="0"/>
              <w:pageBreakBefore w:val="0"/>
              <w:kinsoku/>
              <w:wordWrap/>
              <w:overflowPunct/>
              <w:topLinePunct w:val="0"/>
              <w:bidi w:val="0"/>
              <w:spacing w:line="360" w:lineRule="auto"/>
              <w:textAlignment w:val="auto"/>
              <w:rPr>
                <w:color w:val="auto"/>
                <w:highlight w:val="none"/>
              </w:rPr>
            </w:pPr>
            <w:r>
              <w:rPr>
                <w:rFonts w:hint="eastAsia"/>
                <w:color w:val="auto"/>
                <w:highlight w:val="none"/>
              </w:rPr>
              <w:t>备注：</w:t>
            </w:r>
          </w:p>
          <w:p w14:paraId="4A8C815B">
            <w:pPr>
              <w:keepNext w:val="0"/>
              <w:keepLines w:val="0"/>
              <w:pageBreakBefore w:val="0"/>
              <w:numPr>
                <w:ilvl w:val="0"/>
                <w:numId w:val="7"/>
              </w:numPr>
              <w:kinsoku/>
              <w:wordWrap/>
              <w:overflowPunct/>
              <w:topLinePunct w:val="0"/>
              <w:bidi w:val="0"/>
              <w:spacing w:line="360" w:lineRule="auto"/>
              <w:ind w:left="360" w:leftChars="0" w:hanging="360" w:firstLineChars="0"/>
              <w:textAlignment w:val="auto"/>
              <w:rPr>
                <w:rFonts w:hint="eastAsia"/>
                <w:b/>
                <w:bCs/>
                <w:color w:val="auto"/>
                <w:highlight w:val="none"/>
              </w:rPr>
            </w:pPr>
            <w:r>
              <w:rPr>
                <w:rFonts w:hint="eastAsia"/>
                <w:b/>
                <w:bCs/>
                <w:color w:val="auto"/>
                <w:highlight w:val="none"/>
              </w:rPr>
              <w:t>本项目服务</w:t>
            </w:r>
            <w:r>
              <w:rPr>
                <w:rFonts w:hint="eastAsia"/>
                <w:b/>
                <w:bCs/>
                <w:color w:val="auto"/>
                <w:highlight w:val="none"/>
                <w:lang w:val="en-US" w:eastAsia="zh-CN"/>
              </w:rPr>
              <w:t>岗位22个，其中部分岗位可兼职；但总服务人数不得少于16个，且需完成项目的所有服务内容</w:t>
            </w:r>
            <w:r>
              <w:rPr>
                <w:rFonts w:hint="eastAsia"/>
                <w:b/>
                <w:bCs/>
                <w:color w:val="auto"/>
                <w:highlight w:val="none"/>
              </w:rPr>
              <w:t>。</w:t>
            </w:r>
          </w:p>
          <w:p w14:paraId="049C4577">
            <w:pPr>
              <w:keepNext w:val="0"/>
              <w:keepLines w:val="0"/>
              <w:pageBreakBefore w:val="0"/>
              <w:numPr>
                <w:ilvl w:val="0"/>
                <w:numId w:val="0"/>
              </w:numPr>
              <w:kinsoku/>
              <w:wordWrap/>
              <w:overflowPunct/>
              <w:topLinePunct w:val="0"/>
              <w:bidi w:val="0"/>
              <w:spacing w:line="360" w:lineRule="auto"/>
              <w:ind w:left="360" w:leftChars="0" w:hanging="360" w:firstLineChars="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2、本项目需配备项目</w:t>
            </w:r>
            <w:r>
              <w:rPr>
                <w:rFonts w:hint="eastAsia" w:cs="Times New Roman"/>
                <w:color w:val="auto"/>
                <w:kern w:val="2"/>
                <w:sz w:val="21"/>
                <w:szCs w:val="24"/>
                <w:highlight w:val="none"/>
                <w:lang w:val="en-US" w:eastAsia="zh-CN" w:bidi="ar-SA"/>
              </w:rPr>
              <w:t>管理人员</w:t>
            </w:r>
            <w:r>
              <w:rPr>
                <w:rFonts w:hint="eastAsia" w:ascii="Times New Roman" w:hAnsi="Times New Roman" w:eastAsia="宋体" w:cs="Times New Roman"/>
                <w:color w:val="auto"/>
                <w:kern w:val="2"/>
                <w:sz w:val="21"/>
                <w:szCs w:val="24"/>
                <w:highlight w:val="none"/>
                <w:lang w:val="en-US" w:eastAsia="zh-CN" w:bidi="ar-SA"/>
              </w:rPr>
              <w:t>1名，5</w:t>
            </w:r>
            <w:r>
              <w:rPr>
                <w:rFonts w:hint="eastAsia" w:cs="Times New Roman"/>
                <w:color w:val="auto"/>
                <w:kern w:val="2"/>
                <w:sz w:val="21"/>
                <w:szCs w:val="24"/>
                <w:highlight w:val="none"/>
                <w:lang w:val="en-US" w:eastAsia="zh-CN" w:bidi="ar-SA"/>
              </w:rPr>
              <w:t>5</w:t>
            </w:r>
            <w:r>
              <w:rPr>
                <w:rFonts w:hint="eastAsia" w:ascii="Times New Roman" w:hAnsi="Times New Roman" w:eastAsia="宋体" w:cs="Times New Roman"/>
                <w:color w:val="auto"/>
                <w:kern w:val="2"/>
                <w:sz w:val="21"/>
                <w:szCs w:val="24"/>
                <w:highlight w:val="none"/>
                <w:lang w:val="en-US" w:eastAsia="zh-CN" w:bidi="ar-SA"/>
              </w:rPr>
              <w:t>周岁以下，要求身体健康，全面负责各项日常管理工作及事务，负责与业主及外部的沟通与协调，确保服务到位。</w:t>
            </w:r>
          </w:p>
          <w:p w14:paraId="38104053">
            <w:pPr>
              <w:keepNext w:val="0"/>
              <w:keepLines w:val="0"/>
              <w:pageBreakBefore w:val="0"/>
              <w:numPr>
                <w:ilvl w:val="0"/>
                <w:numId w:val="0"/>
              </w:numPr>
              <w:kinsoku/>
              <w:wordWrap/>
              <w:overflowPunct/>
              <w:topLinePunct w:val="0"/>
              <w:bidi w:val="0"/>
              <w:spacing w:line="360" w:lineRule="auto"/>
              <w:ind w:left="360" w:leftChars="0" w:hanging="360" w:firstLineChars="0"/>
              <w:textAlignment w:val="auto"/>
              <w:rPr>
                <w:color w:val="auto"/>
                <w:highlight w:val="none"/>
              </w:rPr>
            </w:pPr>
            <w:r>
              <w:rPr>
                <w:rFonts w:hint="eastAsia"/>
                <w:color w:val="auto"/>
                <w:kern w:val="2"/>
                <w:sz w:val="21"/>
                <w:szCs w:val="24"/>
                <w:highlight w:val="none"/>
                <w:lang w:val="en-US" w:eastAsia="zh-CN" w:bidi="ar-SA"/>
              </w:rPr>
              <w:t>3</w:t>
            </w:r>
            <w:r>
              <w:rPr>
                <w:rFonts w:hint="default"/>
                <w:color w:val="auto"/>
                <w:kern w:val="2"/>
                <w:sz w:val="21"/>
                <w:szCs w:val="24"/>
                <w:highlight w:val="none"/>
                <w:lang w:val="en-US" w:eastAsia="zh-CN" w:bidi="ar-SA"/>
              </w:rPr>
              <w:t>、</w:t>
            </w:r>
            <w:r>
              <w:rPr>
                <w:rFonts w:hint="eastAsia"/>
                <w:color w:val="auto"/>
                <w:highlight w:val="none"/>
                <w:lang w:val="en-US" w:eastAsia="zh-CN"/>
              </w:rPr>
              <w:t>现有人员优先使用，服务岗位</w:t>
            </w:r>
            <w:r>
              <w:rPr>
                <w:rFonts w:hint="eastAsia"/>
                <w:color w:val="auto"/>
                <w:highlight w:val="none"/>
              </w:rPr>
              <w:t>配置及更换需经</w:t>
            </w:r>
            <w:r>
              <w:rPr>
                <w:rFonts w:hint="eastAsia"/>
                <w:color w:val="auto"/>
                <w:highlight w:val="none"/>
                <w:lang w:eastAsia="zh-CN"/>
              </w:rPr>
              <w:t>采购人</w:t>
            </w:r>
            <w:r>
              <w:rPr>
                <w:rFonts w:hint="eastAsia"/>
                <w:color w:val="auto"/>
                <w:highlight w:val="none"/>
              </w:rPr>
              <w:t>同意。</w:t>
            </w:r>
          </w:p>
          <w:p w14:paraId="12944554">
            <w:pPr>
              <w:pStyle w:val="3"/>
              <w:numPr>
                <w:ilvl w:val="0"/>
                <w:numId w:val="0"/>
              </w:numPr>
              <w:ind w:left="360" w:leftChars="0" w:hanging="360" w:firstLineChars="0"/>
              <w:rPr>
                <w:rFonts w:hint="eastAsia" w:ascii="宋体" w:cs="仿宋_GB2312"/>
                <w:bCs/>
                <w:color w:val="auto"/>
                <w:szCs w:val="21"/>
                <w:highlight w:val="none"/>
                <w:lang w:val="en-US" w:eastAsia="zh-CN"/>
              </w:rPr>
            </w:pPr>
            <w:r>
              <w:rPr>
                <w:rFonts w:hint="eastAsia" w:ascii="宋体" w:cs="仿宋_GB2312"/>
                <w:b w:val="0"/>
                <w:bCs/>
                <w:color w:val="auto"/>
                <w:kern w:val="0"/>
                <w:sz w:val="20"/>
                <w:szCs w:val="21"/>
                <w:highlight w:val="none"/>
                <w:lang w:val="en-US" w:eastAsia="zh-CN" w:bidi="ar-SA"/>
              </w:rPr>
              <w:t>4</w:t>
            </w:r>
            <w:r>
              <w:rPr>
                <w:rFonts w:hint="default" w:ascii="宋体" w:cs="仿宋_GB2312"/>
                <w:b w:val="0"/>
                <w:bCs/>
                <w:color w:val="auto"/>
                <w:kern w:val="0"/>
                <w:sz w:val="20"/>
                <w:szCs w:val="21"/>
                <w:highlight w:val="none"/>
                <w:lang w:val="en-US" w:eastAsia="zh-CN" w:bidi="ar-SA"/>
              </w:rPr>
              <w:t>、</w:t>
            </w:r>
            <w:r>
              <w:rPr>
                <w:rFonts w:hint="eastAsia" w:ascii="宋体" w:cs="仿宋_GB2312"/>
                <w:bCs/>
                <w:color w:val="auto"/>
                <w:szCs w:val="21"/>
                <w:highlight w:val="none"/>
                <w:lang w:val="en-US" w:eastAsia="zh-CN"/>
              </w:rPr>
              <w:t>建筑面积：地上3745平方，地下872平方。</w:t>
            </w:r>
          </w:p>
          <w:p w14:paraId="7581A853">
            <w:pPr>
              <w:pStyle w:val="3"/>
              <w:numPr>
                <w:ilvl w:val="0"/>
                <w:numId w:val="0"/>
              </w:numPr>
              <w:ind w:left="360" w:leftChars="0" w:hanging="360" w:firstLineChars="0"/>
              <w:rPr>
                <w:rFonts w:hint="default" w:ascii="宋体" w:cs="仿宋_GB2312"/>
                <w:bCs/>
                <w:color w:val="auto"/>
                <w:szCs w:val="21"/>
                <w:highlight w:val="none"/>
                <w:lang w:val="en-US" w:eastAsia="zh-CN"/>
              </w:rPr>
            </w:pPr>
            <w:r>
              <w:rPr>
                <w:rFonts w:hint="eastAsia" w:ascii="宋体" w:cs="仿宋_GB2312"/>
                <w:b w:val="0"/>
                <w:bCs/>
                <w:color w:val="auto"/>
                <w:kern w:val="0"/>
                <w:sz w:val="20"/>
                <w:szCs w:val="21"/>
                <w:highlight w:val="none"/>
                <w:lang w:val="en-US" w:eastAsia="zh-CN" w:bidi="ar-SA"/>
              </w:rPr>
              <w:t>5</w:t>
            </w:r>
            <w:r>
              <w:rPr>
                <w:rFonts w:hint="default" w:ascii="宋体" w:cs="仿宋_GB2312"/>
                <w:b w:val="0"/>
                <w:bCs/>
                <w:color w:val="auto"/>
                <w:kern w:val="0"/>
                <w:sz w:val="20"/>
                <w:szCs w:val="21"/>
                <w:highlight w:val="none"/>
                <w:lang w:val="en-US" w:eastAsia="zh-CN" w:bidi="ar-SA"/>
              </w:rPr>
              <w:t>、</w:t>
            </w:r>
            <w:r>
              <w:rPr>
                <w:rFonts w:hint="eastAsia" w:ascii="宋体" w:cs="仿宋_GB2312"/>
                <w:b/>
                <w:bCs w:val="0"/>
                <w:color w:val="auto"/>
                <w:szCs w:val="21"/>
                <w:highlight w:val="none"/>
                <w:lang w:val="en-US" w:eastAsia="zh-CN"/>
              </w:rPr>
              <w:t>服务时间：2025年1月1日至2026年12月31日,合同一年一签，按中标价/2价格签订每年合同。</w:t>
            </w:r>
          </w:p>
        </w:tc>
      </w:tr>
    </w:tbl>
    <w:p w14:paraId="68CEBEA7">
      <w:pPr>
        <w:spacing w:line="460" w:lineRule="exact"/>
        <w:ind w:firstLine="442" w:firstLineChars="200"/>
        <w:rPr>
          <w:rFonts w:hint="eastAsia" w:ascii="宋体"/>
          <w:b/>
          <w:bCs w:val="0"/>
          <w:color w:val="auto"/>
          <w:sz w:val="22"/>
          <w:highlight w:val="none"/>
        </w:rPr>
      </w:pPr>
      <w:r>
        <w:rPr>
          <w:rFonts w:hint="eastAsia" w:ascii="宋体"/>
          <w:b/>
          <w:bCs w:val="0"/>
          <w:color w:val="auto"/>
          <w:sz w:val="22"/>
          <w:highlight w:val="none"/>
        </w:rPr>
        <w:t>二、服务内容及要求</w:t>
      </w:r>
    </w:p>
    <w:p w14:paraId="63363FAA">
      <w:pPr>
        <w:spacing w:line="460" w:lineRule="exact"/>
        <w:ind w:firstLine="422" w:firstLineChars="200"/>
        <w:rPr>
          <w:rFonts w:hint="eastAsia"/>
          <w:color w:val="auto"/>
          <w:highlight w:val="none"/>
        </w:rPr>
      </w:pPr>
      <w:r>
        <w:rPr>
          <w:rFonts w:hint="eastAsia"/>
          <w:b/>
          <w:bCs/>
          <w:color w:val="auto"/>
          <w:highlight w:val="none"/>
          <w:lang w:eastAsia="zh-CN"/>
        </w:rPr>
        <w:t>为流浪乞讨人员提供生活照料服务、安保巡查</w:t>
      </w:r>
      <w:r>
        <w:rPr>
          <w:rFonts w:hint="eastAsia"/>
          <w:b/>
          <w:bCs/>
          <w:color w:val="auto"/>
          <w:highlight w:val="none"/>
        </w:rPr>
        <w:t>服务、餐饮服务</w:t>
      </w:r>
      <w:r>
        <w:rPr>
          <w:rFonts w:hint="eastAsia"/>
          <w:b/>
          <w:bCs/>
          <w:color w:val="auto"/>
          <w:highlight w:val="none"/>
          <w:lang w:eastAsia="zh-CN"/>
        </w:rPr>
        <w:t>、</w:t>
      </w:r>
      <w:r>
        <w:rPr>
          <w:rFonts w:hint="eastAsia"/>
          <w:b/>
          <w:bCs/>
          <w:color w:val="auto"/>
          <w:highlight w:val="none"/>
          <w:lang w:val="en-US" w:eastAsia="zh-CN"/>
        </w:rPr>
        <w:t>卫生服务</w:t>
      </w:r>
      <w:r>
        <w:rPr>
          <w:rFonts w:hint="eastAsia"/>
          <w:b/>
          <w:bCs/>
          <w:color w:val="auto"/>
          <w:highlight w:val="none"/>
        </w:rPr>
        <w:t>等为主要服务管理内容，并积极完成</w:t>
      </w:r>
      <w:r>
        <w:rPr>
          <w:rFonts w:hint="eastAsia"/>
          <w:b/>
          <w:bCs/>
          <w:color w:val="auto"/>
          <w:highlight w:val="none"/>
          <w:lang w:eastAsia="zh-CN"/>
        </w:rPr>
        <w:t>采购人</w:t>
      </w:r>
      <w:r>
        <w:rPr>
          <w:rFonts w:hint="eastAsia"/>
          <w:b/>
          <w:bCs/>
          <w:color w:val="auto"/>
          <w:highlight w:val="none"/>
        </w:rPr>
        <w:t>的勤杂工作要求。</w:t>
      </w:r>
      <w:r>
        <w:rPr>
          <w:rFonts w:hint="eastAsia"/>
          <w:color w:val="auto"/>
          <w:highlight w:val="none"/>
        </w:rPr>
        <w:t>服务质量标准要求按三星级宾馆标准订立服务规程。在对现场、周边环境全面了解的情况下编制科学合理、切实可行的组织实施计划以及具体的保障措施、工作程序。本着对企业品牌的延伸，以社会化效益为重的原则，按现代企业制度运行，以热心、爱心、专心、贴心的服务，为</w:t>
      </w:r>
      <w:r>
        <w:rPr>
          <w:rFonts w:hint="eastAsia"/>
          <w:color w:val="auto"/>
          <w:highlight w:val="none"/>
          <w:lang w:eastAsia="zh-CN"/>
        </w:rPr>
        <w:t>流浪乞讨人员</w:t>
      </w:r>
      <w:r>
        <w:rPr>
          <w:rFonts w:hint="eastAsia"/>
          <w:color w:val="auto"/>
          <w:highlight w:val="none"/>
        </w:rPr>
        <w:t>提供全方位、一体化的专业服务保障</w:t>
      </w:r>
      <w:r>
        <w:rPr>
          <w:rFonts w:hint="eastAsia"/>
          <w:color w:val="auto"/>
          <w:highlight w:val="none"/>
          <w:lang w:eastAsia="zh-CN"/>
        </w:rPr>
        <w:t>，</w:t>
      </w:r>
      <w:r>
        <w:rPr>
          <w:rFonts w:hint="eastAsia"/>
          <w:color w:val="auto"/>
          <w:highlight w:val="none"/>
        </w:rPr>
        <w:t>确保</w:t>
      </w:r>
      <w:r>
        <w:rPr>
          <w:rFonts w:hint="eastAsia"/>
          <w:color w:val="auto"/>
          <w:highlight w:val="none"/>
          <w:lang w:eastAsia="zh-CN"/>
        </w:rPr>
        <w:t>流浪乞讨人员在救助期间的人身安全和财产安全。</w:t>
      </w:r>
    </w:p>
    <w:p w14:paraId="7782754B">
      <w:pPr>
        <w:spacing w:line="460" w:lineRule="exact"/>
        <w:ind w:firstLine="420" w:firstLineChars="200"/>
        <w:rPr>
          <w:rFonts w:hint="eastAsia"/>
          <w:color w:val="auto"/>
          <w:highlight w:val="none"/>
        </w:rPr>
      </w:pPr>
      <w:r>
        <w:rPr>
          <w:rFonts w:hint="eastAsia"/>
          <w:color w:val="auto"/>
          <w:highlight w:val="none"/>
        </w:rPr>
        <w:t>建立并完善各种管理制度和工作流程，明确分工职责和工作质量标准，强化工作的计划性、可操作性和实效性，确保安全有序，确保环境舒适、有序，确保被服务对象舒心。</w:t>
      </w:r>
    </w:p>
    <w:p w14:paraId="293E6BBD">
      <w:pPr>
        <w:spacing w:line="460" w:lineRule="exact"/>
        <w:ind w:firstLine="420" w:firstLineChars="200"/>
        <w:rPr>
          <w:rFonts w:hint="eastAsia"/>
          <w:color w:val="auto"/>
          <w:highlight w:val="none"/>
        </w:rPr>
      </w:pPr>
      <w:r>
        <w:rPr>
          <w:rFonts w:hint="eastAsia"/>
          <w:color w:val="auto"/>
          <w:highlight w:val="none"/>
        </w:rPr>
        <w:t>制订具体的质量保证措施和相关服务承诺。如因质量未达到目标，</w:t>
      </w:r>
      <w:r>
        <w:rPr>
          <w:rFonts w:hint="eastAsia"/>
          <w:color w:val="auto"/>
          <w:highlight w:val="none"/>
          <w:lang w:eastAsia="zh-CN"/>
        </w:rPr>
        <w:t>成交供应商</w:t>
      </w:r>
      <w:r>
        <w:rPr>
          <w:rFonts w:hint="eastAsia"/>
          <w:color w:val="auto"/>
          <w:highlight w:val="none"/>
        </w:rPr>
        <w:t>应因此承担责任和经济赔偿。</w:t>
      </w:r>
    </w:p>
    <w:p w14:paraId="6739A167">
      <w:pPr>
        <w:spacing w:line="460" w:lineRule="exact"/>
        <w:ind w:firstLine="420" w:firstLineChars="200"/>
        <w:rPr>
          <w:rFonts w:hint="eastAsia"/>
          <w:color w:val="auto"/>
          <w:highlight w:val="none"/>
        </w:rPr>
      </w:pPr>
      <w:r>
        <w:rPr>
          <w:rFonts w:hint="eastAsia"/>
          <w:color w:val="auto"/>
          <w:highlight w:val="none"/>
        </w:rPr>
        <w:t>按照管理内容编制检查表，每日进行检查，发现问题及时整改。对各工作岗位的服务质量随时进行抽查，发现问题，及时整改、提高。定期向服务对象征询意见，并根据反馈意见进行统计分析，进行优化调整提高。</w:t>
      </w:r>
      <w:bookmarkEnd w:id="3"/>
      <w:bookmarkEnd w:id="4"/>
    </w:p>
    <w:p w14:paraId="5EEE4FEE">
      <w:pPr>
        <w:spacing w:line="460" w:lineRule="exact"/>
        <w:ind w:firstLine="422" w:firstLineChars="200"/>
        <w:rPr>
          <w:rFonts w:hint="eastAsia"/>
          <w:color w:val="auto"/>
          <w:highlight w:val="none"/>
        </w:rPr>
      </w:pPr>
      <w:r>
        <w:rPr>
          <w:rFonts w:hint="eastAsia"/>
          <w:b/>
          <w:bCs/>
          <w:color w:val="auto"/>
          <w:highlight w:val="none"/>
          <w:lang w:eastAsia="zh-CN"/>
        </w:rPr>
        <w:t>（一）</w:t>
      </w:r>
      <w:r>
        <w:rPr>
          <w:rFonts w:hint="eastAsia"/>
          <w:b/>
          <w:bCs/>
          <w:color w:val="auto"/>
          <w:highlight w:val="none"/>
        </w:rPr>
        <w:t>救助区域生活照料</w:t>
      </w:r>
      <w:r>
        <w:rPr>
          <w:rFonts w:hint="eastAsia"/>
          <w:b/>
          <w:bCs/>
          <w:color w:val="auto"/>
          <w:highlight w:val="none"/>
          <w:lang w:eastAsia="zh-CN"/>
        </w:rPr>
        <w:t>服务</w:t>
      </w:r>
      <w:r>
        <w:rPr>
          <w:rFonts w:hint="eastAsia"/>
          <w:b/>
          <w:bCs/>
          <w:color w:val="auto"/>
          <w:highlight w:val="none"/>
        </w:rPr>
        <w:t>（男/女）：</w:t>
      </w:r>
      <w:r>
        <w:rPr>
          <w:rFonts w:hint="eastAsia"/>
          <w:color w:val="auto"/>
          <w:highlight w:val="none"/>
        </w:rPr>
        <w:t>负责站内</w:t>
      </w:r>
      <w:r>
        <w:rPr>
          <w:rFonts w:hint="eastAsia"/>
          <w:color w:val="auto"/>
          <w:highlight w:val="none"/>
          <w:lang w:eastAsia="zh-CN"/>
        </w:rPr>
        <w:t>救助区域、流浪未成年人保护中心区域、</w:t>
      </w:r>
      <w:r>
        <w:rPr>
          <w:rFonts w:hint="eastAsia"/>
          <w:color w:val="auto"/>
          <w:highlight w:val="none"/>
          <w:lang w:val="en-US" w:eastAsia="zh-CN"/>
        </w:rPr>
        <w:t>反家暴庇护中心区域</w:t>
      </w:r>
      <w:r>
        <w:rPr>
          <w:rFonts w:hint="eastAsia"/>
          <w:color w:val="auto"/>
          <w:highlight w:val="none"/>
        </w:rPr>
        <w:t>救助人员的日常护理及基本生活保障服务等相关工作。</w:t>
      </w:r>
    </w:p>
    <w:p w14:paraId="45BCAAC4">
      <w:pPr>
        <w:spacing w:line="460" w:lineRule="exact"/>
        <w:ind w:firstLine="422" w:firstLineChars="200"/>
        <w:rPr>
          <w:rFonts w:hint="eastAsia"/>
          <w:b/>
          <w:bCs/>
          <w:color w:val="auto"/>
          <w:highlight w:val="none"/>
          <w:lang w:eastAsia="zh-CN"/>
        </w:rPr>
      </w:pPr>
      <w:r>
        <w:rPr>
          <w:rFonts w:hint="eastAsia"/>
          <w:b/>
          <w:bCs/>
          <w:color w:val="auto"/>
          <w:highlight w:val="none"/>
          <w:lang w:val="en-US" w:eastAsia="zh-CN"/>
        </w:rPr>
        <w:t>1、照料服务</w:t>
      </w:r>
      <w:r>
        <w:rPr>
          <w:rFonts w:hint="eastAsia"/>
          <w:b/>
          <w:bCs/>
          <w:color w:val="auto"/>
          <w:highlight w:val="none"/>
          <w:lang w:eastAsia="zh-CN"/>
        </w:rPr>
        <w:t>人员条件</w:t>
      </w:r>
    </w:p>
    <w:p w14:paraId="6AB3F2FD">
      <w:pPr>
        <w:spacing w:line="460" w:lineRule="exact"/>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default"/>
          <w:color w:val="auto"/>
          <w:highlight w:val="none"/>
          <w:lang w:eastAsia="zh-CN"/>
        </w:rPr>
        <w:t>服务</w:t>
      </w:r>
      <w:r>
        <w:rPr>
          <w:rFonts w:hint="eastAsia"/>
          <w:color w:val="auto"/>
          <w:highlight w:val="none"/>
          <w:lang w:val="en-US" w:eastAsia="zh-CN"/>
        </w:rPr>
        <w:t>人员要求</w:t>
      </w:r>
      <w:r>
        <w:rPr>
          <w:rFonts w:hint="default"/>
          <w:color w:val="auto"/>
          <w:highlight w:val="none"/>
          <w:lang w:eastAsia="zh-CN"/>
        </w:rPr>
        <w:t>身体健康，胜任本职工作</w:t>
      </w:r>
      <w:r>
        <w:rPr>
          <w:rFonts w:hint="eastAsia"/>
          <w:color w:val="auto"/>
          <w:highlight w:val="none"/>
        </w:rPr>
        <w:t>。</w:t>
      </w:r>
    </w:p>
    <w:p w14:paraId="07526DA2">
      <w:pPr>
        <w:spacing w:line="460" w:lineRule="exact"/>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遵纪守法、品行良好，无违法犯罪记录。</w:t>
      </w:r>
    </w:p>
    <w:p w14:paraId="31E8899F">
      <w:pPr>
        <w:spacing w:line="460" w:lineRule="exact"/>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rPr>
        <w:t>熟悉</w:t>
      </w:r>
      <w:r>
        <w:rPr>
          <w:rFonts w:hint="eastAsia"/>
          <w:color w:val="auto"/>
          <w:highlight w:val="none"/>
          <w:lang w:eastAsia="zh-CN"/>
        </w:rPr>
        <w:t>生活照料工作和护理等</w:t>
      </w:r>
      <w:r>
        <w:rPr>
          <w:rFonts w:hint="eastAsia"/>
          <w:color w:val="auto"/>
          <w:highlight w:val="none"/>
        </w:rPr>
        <w:t>知识。</w:t>
      </w:r>
    </w:p>
    <w:p w14:paraId="029AACF3">
      <w:pPr>
        <w:spacing w:line="460" w:lineRule="exact"/>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rPr>
        <w:t>遵守</w:t>
      </w:r>
      <w:r>
        <w:rPr>
          <w:rFonts w:hint="eastAsia"/>
          <w:color w:val="auto"/>
          <w:highlight w:val="none"/>
          <w:lang w:eastAsia="zh-CN"/>
        </w:rPr>
        <w:t>我站</w:t>
      </w:r>
      <w:r>
        <w:rPr>
          <w:rFonts w:hint="eastAsia"/>
          <w:color w:val="auto"/>
          <w:highlight w:val="none"/>
        </w:rPr>
        <w:t>制定的各类规章制度</w:t>
      </w:r>
      <w:r>
        <w:rPr>
          <w:rFonts w:hint="eastAsia"/>
          <w:color w:val="auto"/>
          <w:highlight w:val="none"/>
          <w:lang w:eastAsia="zh-CN"/>
        </w:rPr>
        <w:t>并</w:t>
      </w:r>
      <w:r>
        <w:rPr>
          <w:rFonts w:hint="eastAsia"/>
          <w:color w:val="auto"/>
          <w:highlight w:val="none"/>
        </w:rPr>
        <w:t>服从管理。</w:t>
      </w:r>
    </w:p>
    <w:p w14:paraId="376C4E61">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b/>
          <w:bCs/>
          <w:color w:val="auto"/>
          <w:szCs w:val="21"/>
          <w:highlight w:val="none"/>
          <w:lang w:val="en-US" w:eastAsia="zh-CN"/>
        </w:rPr>
      </w:pPr>
      <w:r>
        <w:rPr>
          <w:rFonts w:hint="eastAsia" w:ascii="宋体"/>
          <w:b/>
          <w:bCs/>
          <w:color w:val="auto"/>
          <w:szCs w:val="21"/>
          <w:highlight w:val="none"/>
          <w:lang w:val="en-US" w:eastAsia="zh-CN"/>
        </w:rPr>
        <w:t>2、照料服务人员职责</w:t>
      </w:r>
    </w:p>
    <w:p w14:paraId="4A686F3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color w:val="auto"/>
          <w:szCs w:val="21"/>
          <w:highlight w:val="none"/>
          <w:lang w:eastAsia="zh-CN"/>
        </w:rPr>
      </w:pPr>
      <w:r>
        <w:rPr>
          <w:rFonts w:hint="eastAsia" w:ascii="宋体"/>
          <w:color w:val="auto"/>
          <w:szCs w:val="21"/>
          <w:highlight w:val="none"/>
          <w:lang w:val="en-US" w:eastAsia="zh-CN"/>
        </w:rPr>
        <w:t>（1）</w:t>
      </w:r>
      <w:r>
        <w:rPr>
          <w:rFonts w:hint="eastAsia" w:ascii="宋体"/>
          <w:color w:val="auto"/>
          <w:szCs w:val="21"/>
          <w:highlight w:val="none"/>
        </w:rPr>
        <w:t>负责救助人员安全、生活照料</w:t>
      </w:r>
      <w:r>
        <w:rPr>
          <w:rFonts w:hint="eastAsia" w:ascii="宋体"/>
          <w:color w:val="auto"/>
          <w:szCs w:val="21"/>
          <w:highlight w:val="none"/>
          <w:lang w:eastAsia="zh-CN"/>
        </w:rPr>
        <w:t>，并发放必要的生活用品。</w:t>
      </w:r>
    </w:p>
    <w:p w14:paraId="4031509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lang w:val="en-US" w:eastAsia="zh-CN"/>
        </w:rPr>
        <w:t>2）负责救助人员</w:t>
      </w:r>
      <w:r>
        <w:rPr>
          <w:rFonts w:hint="eastAsia" w:ascii="宋体"/>
          <w:color w:val="auto"/>
          <w:szCs w:val="21"/>
          <w:highlight w:val="none"/>
        </w:rPr>
        <w:t>物品保管等所有救助人员的相关工作；</w:t>
      </w:r>
    </w:p>
    <w:p w14:paraId="4C73EE7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lang w:val="en-US" w:eastAsia="zh-CN"/>
        </w:rPr>
        <w:t>3）</w:t>
      </w:r>
      <w:r>
        <w:rPr>
          <w:rFonts w:hint="eastAsia" w:ascii="宋体"/>
          <w:color w:val="auto"/>
          <w:szCs w:val="21"/>
          <w:highlight w:val="none"/>
        </w:rPr>
        <w:t>负责救助区域卫生保洁</w:t>
      </w:r>
      <w:r>
        <w:rPr>
          <w:rFonts w:hint="eastAsia" w:ascii="宋体"/>
          <w:color w:val="auto"/>
          <w:szCs w:val="21"/>
          <w:highlight w:val="none"/>
          <w:lang w:eastAsia="zh-CN"/>
        </w:rPr>
        <w:t>、消毒</w:t>
      </w:r>
      <w:r>
        <w:rPr>
          <w:rFonts w:hint="eastAsia" w:ascii="宋体"/>
          <w:color w:val="auto"/>
          <w:szCs w:val="21"/>
          <w:highlight w:val="none"/>
        </w:rPr>
        <w:t>工作</w:t>
      </w:r>
      <w:r>
        <w:rPr>
          <w:rFonts w:hint="eastAsia" w:ascii="宋体"/>
          <w:color w:val="auto"/>
          <w:szCs w:val="21"/>
          <w:highlight w:val="none"/>
          <w:lang w:eastAsia="zh-CN"/>
        </w:rPr>
        <w:t>，对救助人员床上用品每周至少清洗、消毒一次，救助人员离站后，应当对其床上用品及时更换、清洗、消毒</w:t>
      </w:r>
      <w:r>
        <w:rPr>
          <w:rFonts w:hint="eastAsia" w:ascii="宋体"/>
          <w:color w:val="auto"/>
          <w:szCs w:val="21"/>
          <w:highlight w:val="none"/>
        </w:rPr>
        <w:t>。</w:t>
      </w:r>
    </w:p>
    <w:p w14:paraId="7E08C11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color w:val="auto"/>
          <w:szCs w:val="21"/>
          <w:highlight w:val="none"/>
          <w:lang w:val="en-US" w:eastAsia="zh-CN"/>
        </w:rPr>
      </w:pPr>
      <w:r>
        <w:rPr>
          <w:rFonts w:hint="eastAsia" w:ascii="宋体"/>
          <w:color w:val="auto"/>
          <w:szCs w:val="21"/>
          <w:highlight w:val="none"/>
          <w:lang w:eastAsia="zh-CN"/>
        </w:rPr>
        <w:t>（</w:t>
      </w:r>
      <w:r>
        <w:rPr>
          <w:rFonts w:hint="eastAsia" w:ascii="宋体"/>
          <w:color w:val="auto"/>
          <w:szCs w:val="21"/>
          <w:highlight w:val="none"/>
          <w:lang w:val="en-US" w:eastAsia="zh-CN"/>
        </w:rPr>
        <w:t>4</w:t>
      </w:r>
      <w:r>
        <w:rPr>
          <w:rFonts w:hint="eastAsia" w:ascii="宋体"/>
          <w:color w:val="auto"/>
          <w:szCs w:val="21"/>
          <w:highlight w:val="none"/>
          <w:lang w:eastAsia="zh-CN"/>
        </w:rPr>
        <w:t>）</w:t>
      </w:r>
      <w:r>
        <w:rPr>
          <w:rFonts w:hint="eastAsia" w:ascii="宋体"/>
          <w:color w:val="auto"/>
          <w:szCs w:val="21"/>
          <w:highlight w:val="none"/>
          <w:lang w:val="en-US" w:eastAsia="zh-CN"/>
        </w:rPr>
        <w:t>负责区域救助人员卫生防疫相关工作。</w:t>
      </w:r>
    </w:p>
    <w:p w14:paraId="28981A2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color w:val="auto"/>
          <w:highlight w:val="none"/>
          <w:lang w:val="en-US" w:eastAsia="zh-CN"/>
        </w:rPr>
      </w:pPr>
      <w:r>
        <w:rPr>
          <w:rFonts w:hint="eastAsia" w:ascii="新宋体" w:hAnsi="新宋体" w:eastAsia="新宋体"/>
          <w:bCs/>
          <w:color w:val="auto"/>
          <w:sz w:val="22"/>
          <w:highlight w:val="none"/>
          <w:lang w:val="en-US" w:eastAsia="zh-CN"/>
        </w:rPr>
        <w:t>（5）根据采购人要求完成其他临时性工作任务。</w:t>
      </w:r>
    </w:p>
    <w:p w14:paraId="53601BA0">
      <w:pPr>
        <w:spacing w:line="460" w:lineRule="exact"/>
        <w:ind w:firstLine="422" w:firstLineChars="200"/>
        <w:rPr>
          <w:rFonts w:hint="eastAsia" w:ascii="宋体"/>
          <w:b/>
          <w:bCs/>
          <w:color w:val="auto"/>
          <w:kern w:val="0"/>
          <w:szCs w:val="21"/>
          <w:highlight w:val="none"/>
        </w:rPr>
      </w:pPr>
      <w:r>
        <w:rPr>
          <w:rFonts w:hint="eastAsia" w:ascii="宋体"/>
          <w:b/>
          <w:color w:val="auto"/>
          <w:szCs w:val="21"/>
          <w:highlight w:val="none"/>
          <w:lang w:eastAsia="zh-CN"/>
        </w:rPr>
        <w:t>（二）</w:t>
      </w:r>
      <w:r>
        <w:rPr>
          <w:rFonts w:hint="eastAsia" w:ascii="宋体"/>
          <w:b/>
          <w:color w:val="auto"/>
          <w:szCs w:val="21"/>
          <w:highlight w:val="none"/>
        </w:rPr>
        <w:t>保安</w:t>
      </w:r>
      <w:r>
        <w:rPr>
          <w:rFonts w:hint="eastAsia" w:ascii="宋体"/>
          <w:b/>
          <w:color w:val="auto"/>
          <w:szCs w:val="21"/>
          <w:highlight w:val="none"/>
          <w:lang w:eastAsia="zh-CN"/>
        </w:rPr>
        <w:t>服务</w:t>
      </w:r>
      <w:r>
        <w:rPr>
          <w:rFonts w:hint="eastAsia" w:ascii="宋体"/>
          <w:b/>
          <w:color w:val="auto"/>
          <w:szCs w:val="21"/>
          <w:highlight w:val="none"/>
        </w:rPr>
        <w:t>：</w:t>
      </w:r>
      <w:r>
        <w:rPr>
          <w:rFonts w:hint="eastAsia" w:ascii="宋体"/>
          <w:b/>
          <w:bCs/>
          <w:color w:val="auto"/>
          <w:kern w:val="0"/>
          <w:szCs w:val="21"/>
          <w:highlight w:val="none"/>
        </w:rPr>
        <w:t>负责站内办公区域及救助区域的安保及巡逻</w:t>
      </w:r>
      <w:r>
        <w:rPr>
          <w:rFonts w:hint="eastAsia" w:ascii="宋体"/>
          <w:b/>
          <w:bCs/>
          <w:color w:val="auto"/>
          <w:kern w:val="0"/>
          <w:szCs w:val="21"/>
          <w:highlight w:val="none"/>
          <w:lang w:eastAsia="zh-CN"/>
        </w:rPr>
        <w:t>、消防控制室值班</w:t>
      </w:r>
      <w:r>
        <w:rPr>
          <w:rFonts w:hint="eastAsia" w:ascii="宋体"/>
          <w:b/>
          <w:bCs/>
          <w:color w:val="auto"/>
          <w:kern w:val="0"/>
          <w:szCs w:val="21"/>
          <w:highlight w:val="none"/>
        </w:rPr>
        <w:t>。</w:t>
      </w:r>
    </w:p>
    <w:p w14:paraId="6FBC8776">
      <w:pPr>
        <w:spacing w:line="460" w:lineRule="exact"/>
        <w:ind w:firstLine="422" w:firstLineChars="200"/>
        <w:rPr>
          <w:rFonts w:hint="eastAsia" w:ascii="宋体"/>
          <w:b/>
          <w:bCs w:val="0"/>
          <w:color w:val="auto"/>
          <w:szCs w:val="21"/>
          <w:highlight w:val="none"/>
          <w:lang w:val="en-US" w:eastAsia="zh-CN"/>
        </w:rPr>
      </w:pPr>
      <w:r>
        <w:rPr>
          <w:rFonts w:hint="eastAsia" w:ascii="宋体"/>
          <w:b/>
          <w:bCs w:val="0"/>
          <w:color w:val="auto"/>
          <w:szCs w:val="21"/>
          <w:highlight w:val="none"/>
          <w:lang w:val="en-US" w:eastAsia="zh-CN"/>
        </w:rPr>
        <w:t>1、保安员条件</w:t>
      </w:r>
    </w:p>
    <w:p w14:paraId="3B1CF119">
      <w:pPr>
        <w:spacing w:line="460" w:lineRule="exact"/>
        <w:ind w:firstLine="420" w:firstLineChars="200"/>
        <w:rPr>
          <w:rFonts w:hint="eastAsia" w:ascii="宋体"/>
          <w:color w:val="auto"/>
          <w:szCs w:val="21"/>
          <w:highlight w:val="none"/>
        </w:rPr>
      </w:pPr>
      <w:r>
        <w:rPr>
          <w:rFonts w:hint="eastAsia" w:ascii="宋体"/>
          <w:color w:val="auto"/>
          <w:szCs w:val="21"/>
          <w:highlight w:val="none"/>
        </w:rPr>
        <w:t>1）保安要求身体健康，</w:t>
      </w:r>
      <w:r>
        <w:rPr>
          <w:rFonts w:hint="eastAsia" w:ascii="宋体"/>
          <w:color w:val="auto"/>
          <w:szCs w:val="21"/>
          <w:highlight w:val="none"/>
          <w:lang w:eastAsia="zh-CN"/>
        </w:rPr>
        <w:t>（</w:t>
      </w:r>
      <w:r>
        <w:rPr>
          <w:rFonts w:hint="eastAsia" w:ascii="新宋体" w:hAnsi="新宋体" w:eastAsia="新宋体"/>
          <w:bCs/>
          <w:color w:val="auto"/>
          <w:sz w:val="22"/>
          <w:highlight w:val="none"/>
        </w:rPr>
        <w:t>经医院体检合格），体貌端正、无残疾、无明显疤痕或标志、会普通话、智力良好、行动灵便。</w:t>
      </w:r>
      <w:r>
        <w:rPr>
          <w:rFonts w:hint="eastAsia" w:ascii="宋体"/>
          <w:color w:val="auto"/>
          <w:szCs w:val="21"/>
          <w:highlight w:val="none"/>
        </w:rPr>
        <w:t>年龄在</w:t>
      </w:r>
      <w:r>
        <w:rPr>
          <w:rFonts w:hint="default" w:ascii="宋体"/>
          <w:color w:val="auto"/>
          <w:szCs w:val="21"/>
          <w:highlight w:val="none"/>
        </w:rPr>
        <w:t>60</w:t>
      </w:r>
      <w:r>
        <w:rPr>
          <w:rFonts w:hint="eastAsia" w:ascii="宋体"/>
          <w:color w:val="auto"/>
          <w:szCs w:val="21"/>
          <w:highlight w:val="none"/>
        </w:rPr>
        <w:t>周岁以下。</w:t>
      </w:r>
    </w:p>
    <w:p w14:paraId="7EA3F078">
      <w:pPr>
        <w:spacing w:line="460" w:lineRule="exact"/>
        <w:ind w:firstLine="420" w:firstLineChars="200"/>
        <w:rPr>
          <w:rFonts w:hint="eastAsia" w:ascii="宋体"/>
          <w:color w:val="auto"/>
          <w:szCs w:val="21"/>
          <w:highlight w:val="none"/>
        </w:rPr>
      </w:pPr>
      <w:r>
        <w:rPr>
          <w:rFonts w:hint="eastAsia" w:ascii="宋体"/>
          <w:color w:val="auto"/>
          <w:szCs w:val="21"/>
          <w:highlight w:val="none"/>
        </w:rPr>
        <w:t>2）遵纪守法、品行良好，无违法犯罪记录。</w:t>
      </w:r>
    </w:p>
    <w:p w14:paraId="2F639997">
      <w:pPr>
        <w:spacing w:line="460" w:lineRule="exact"/>
        <w:ind w:firstLine="420" w:firstLineChars="200"/>
        <w:rPr>
          <w:rFonts w:hint="default" w:ascii="新宋体" w:eastAsia="新宋体"/>
          <w:b/>
          <w:bCs/>
          <w:color w:val="auto"/>
          <w:sz w:val="22"/>
          <w:highlight w:val="none"/>
          <w:lang w:val="en-US" w:eastAsia="zh-CN"/>
        </w:rPr>
      </w:pPr>
      <w:r>
        <w:rPr>
          <w:rFonts w:hint="eastAsia" w:ascii="宋体"/>
          <w:color w:val="auto"/>
          <w:szCs w:val="21"/>
          <w:highlight w:val="none"/>
        </w:rPr>
        <w:t>3）熟悉相关知识，</w:t>
      </w:r>
      <w:r>
        <w:rPr>
          <w:rFonts w:hint="eastAsia" w:ascii="新宋体" w:eastAsia="新宋体"/>
          <w:b/>
          <w:bCs/>
          <w:color w:val="auto"/>
          <w:sz w:val="22"/>
          <w:highlight w:val="none"/>
        </w:rPr>
        <w:t>取得保安资格证书。</w:t>
      </w:r>
      <w:r>
        <w:rPr>
          <w:rFonts w:hint="eastAsia" w:ascii="新宋体" w:eastAsia="新宋体"/>
          <w:b/>
          <w:bCs/>
          <w:color w:val="auto"/>
          <w:sz w:val="22"/>
          <w:highlight w:val="none"/>
          <w:lang w:val="en-US" w:eastAsia="zh-CN"/>
        </w:rPr>
        <w:t>消防控制室值班人员还需取得消防控制证书。</w:t>
      </w:r>
    </w:p>
    <w:p w14:paraId="2F88C9D5">
      <w:pPr>
        <w:spacing w:line="460" w:lineRule="exact"/>
        <w:ind w:firstLine="420" w:firstLineChars="200"/>
        <w:rPr>
          <w:rFonts w:hint="eastAsia" w:ascii="宋体"/>
          <w:color w:val="auto"/>
          <w:szCs w:val="21"/>
          <w:highlight w:val="none"/>
        </w:rPr>
      </w:pPr>
      <w:r>
        <w:rPr>
          <w:rFonts w:hint="eastAsia" w:ascii="宋体"/>
          <w:color w:val="auto"/>
          <w:szCs w:val="21"/>
          <w:highlight w:val="none"/>
        </w:rPr>
        <w:t>4）遵守</w:t>
      </w:r>
      <w:r>
        <w:rPr>
          <w:rFonts w:hint="eastAsia" w:ascii="宋体"/>
          <w:color w:val="auto"/>
          <w:szCs w:val="21"/>
          <w:highlight w:val="none"/>
          <w:lang w:eastAsia="zh-CN"/>
        </w:rPr>
        <w:t>我站</w:t>
      </w:r>
      <w:r>
        <w:rPr>
          <w:rFonts w:hint="eastAsia" w:ascii="宋体"/>
          <w:color w:val="auto"/>
          <w:szCs w:val="21"/>
          <w:highlight w:val="none"/>
        </w:rPr>
        <w:t>制定的各类规章制度</w:t>
      </w:r>
      <w:r>
        <w:rPr>
          <w:rFonts w:hint="eastAsia" w:ascii="宋体"/>
          <w:color w:val="auto"/>
          <w:szCs w:val="21"/>
          <w:highlight w:val="none"/>
          <w:lang w:eastAsia="zh-CN"/>
        </w:rPr>
        <w:t>并</w:t>
      </w:r>
      <w:r>
        <w:rPr>
          <w:rFonts w:hint="eastAsia" w:ascii="宋体"/>
          <w:color w:val="auto"/>
          <w:szCs w:val="21"/>
          <w:highlight w:val="none"/>
        </w:rPr>
        <w:t>服从管理。</w:t>
      </w:r>
    </w:p>
    <w:p w14:paraId="5AF47891">
      <w:pPr>
        <w:spacing w:line="460" w:lineRule="exact"/>
        <w:ind w:firstLine="422" w:firstLineChars="200"/>
        <w:rPr>
          <w:rFonts w:hint="eastAsia" w:ascii="宋体"/>
          <w:b/>
          <w:bCs/>
          <w:color w:val="auto"/>
          <w:szCs w:val="21"/>
          <w:highlight w:val="none"/>
          <w:lang w:val="en-US" w:eastAsia="zh-CN"/>
        </w:rPr>
      </w:pPr>
      <w:r>
        <w:rPr>
          <w:rFonts w:hint="eastAsia" w:ascii="宋体"/>
          <w:b/>
          <w:bCs/>
          <w:color w:val="auto"/>
          <w:szCs w:val="21"/>
          <w:highlight w:val="none"/>
          <w:lang w:val="en-US" w:eastAsia="zh-CN"/>
        </w:rPr>
        <w:t>2、</w:t>
      </w:r>
      <w:r>
        <w:rPr>
          <w:rFonts w:hint="eastAsia" w:ascii="宋体"/>
          <w:b/>
          <w:bCs/>
          <w:color w:val="auto"/>
          <w:szCs w:val="21"/>
          <w:highlight w:val="none"/>
          <w:lang w:eastAsia="zh-CN"/>
        </w:rPr>
        <w:t>保安岗位</w:t>
      </w:r>
      <w:r>
        <w:rPr>
          <w:rFonts w:hint="eastAsia" w:ascii="宋体"/>
          <w:b/>
          <w:bCs/>
          <w:color w:val="auto"/>
          <w:szCs w:val="21"/>
          <w:highlight w:val="none"/>
          <w:lang w:val="en-US" w:eastAsia="zh-CN"/>
        </w:rPr>
        <w:t>职责</w:t>
      </w:r>
    </w:p>
    <w:p w14:paraId="48A630EB">
      <w:pPr>
        <w:spacing w:line="460" w:lineRule="exact"/>
        <w:ind w:firstLine="440" w:firstLineChars="200"/>
        <w:rPr>
          <w:rFonts w:hint="eastAsia" w:ascii="新宋体" w:hAnsi="新宋体" w:eastAsia="新宋体"/>
          <w:bCs/>
          <w:color w:val="auto"/>
          <w:sz w:val="22"/>
          <w:highlight w:val="none"/>
        </w:rPr>
      </w:pPr>
      <w:r>
        <w:rPr>
          <w:rFonts w:hint="eastAsia" w:ascii="新宋体" w:hAnsi="新宋体" w:eastAsia="新宋体"/>
          <w:bCs/>
          <w:color w:val="auto"/>
          <w:sz w:val="22"/>
          <w:highlight w:val="none"/>
        </w:rPr>
        <w:t>（1）发现异常情况，及时向相关部门报告。负责邮件、快递、报纸杂志等收发。</w:t>
      </w:r>
    </w:p>
    <w:p w14:paraId="135DA59B">
      <w:pPr>
        <w:spacing w:line="460" w:lineRule="exact"/>
        <w:ind w:firstLine="440" w:firstLineChars="200"/>
        <w:rPr>
          <w:rFonts w:hint="default" w:ascii="新宋体" w:hAnsi="新宋体" w:eastAsia="新宋体"/>
          <w:bCs/>
          <w:color w:val="auto"/>
          <w:sz w:val="22"/>
          <w:highlight w:val="none"/>
          <w:lang w:val="en-US" w:eastAsia="zh-CN"/>
        </w:rPr>
      </w:pPr>
      <w:r>
        <w:rPr>
          <w:rFonts w:hint="eastAsia" w:ascii="新宋体" w:hAnsi="新宋体" w:eastAsia="新宋体"/>
          <w:bCs/>
          <w:color w:val="auto"/>
          <w:sz w:val="22"/>
          <w:highlight w:val="none"/>
        </w:rPr>
        <w:t>（2）</w:t>
      </w:r>
      <w:r>
        <w:rPr>
          <w:rFonts w:hint="eastAsia" w:ascii="新宋体" w:hAnsi="新宋体" w:eastAsia="新宋体"/>
          <w:bCs/>
          <w:color w:val="auto"/>
          <w:sz w:val="22"/>
          <w:highlight w:val="none"/>
          <w:lang w:eastAsia="zh-CN"/>
        </w:rPr>
        <w:t>负责</w:t>
      </w:r>
      <w:r>
        <w:rPr>
          <w:rFonts w:hint="eastAsia" w:ascii="新宋体" w:hAnsi="新宋体" w:eastAsia="新宋体"/>
          <w:bCs/>
          <w:color w:val="auto"/>
          <w:sz w:val="22"/>
          <w:highlight w:val="none"/>
        </w:rPr>
        <w:t>保障出入口通道畅通，维持进出车辆的秩序。负责核查进出大门人员的证件及对进出大门的车辆进行查验登记，禁止无关人员和车辆进出</w:t>
      </w:r>
      <w:r>
        <w:rPr>
          <w:rFonts w:hint="eastAsia" w:ascii="新宋体" w:hAnsi="新宋体" w:eastAsia="新宋体"/>
          <w:bCs/>
          <w:color w:val="auto"/>
          <w:sz w:val="22"/>
          <w:highlight w:val="none"/>
          <w:lang w:eastAsia="zh-CN"/>
        </w:rPr>
        <w:t>，</w:t>
      </w:r>
      <w:r>
        <w:rPr>
          <w:rFonts w:hint="eastAsia" w:ascii="新宋体" w:hAnsi="新宋体" w:eastAsia="新宋体"/>
          <w:bCs/>
          <w:color w:val="auto"/>
          <w:sz w:val="22"/>
          <w:highlight w:val="none"/>
          <w:lang w:val="en-US" w:eastAsia="zh-CN"/>
        </w:rPr>
        <w:t>并负责</w:t>
      </w:r>
      <w:r>
        <w:rPr>
          <w:rFonts w:hint="default" w:ascii="新宋体" w:hAnsi="新宋体" w:eastAsia="新宋体"/>
          <w:bCs/>
          <w:color w:val="auto"/>
          <w:sz w:val="22"/>
          <w:highlight w:val="none"/>
          <w:lang w:eastAsia="zh-CN"/>
        </w:rPr>
        <w:t>救助</w:t>
      </w:r>
      <w:r>
        <w:rPr>
          <w:rFonts w:hint="eastAsia" w:ascii="新宋体" w:hAnsi="新宋体" w:eastAsia="新宋体"/>
          <w:bCs/>
          <w:color w:val="auto"/>
          <w:sz w:val="22"/>
          <w:highlight w:val="none"/>
          <w:lang w:val="en-US" w:eastAsia="zh-CN"/>
        </w:rPr>
        <w:t>人员安检、登记、卫生防疫等综合性工作。</w:t>
      </w:r>
    </w:p>
    <w:p w14:paraId="7950E968">
      <w:pPr>
        <w:spacing w:line="460" w:lineRule="exact"/>
        <w:ind w:firstLine="440" w:firstLineChars="200"/>
        <w:rPr>
          <w:rFonts w:hint="eastAsia" w:ascii="新宋体" w:hAnsi="新宋体" w:eastAsia="新宋体"/>
          <w:bCs/>
          <w:color w:val="auto"/>
          <w:sz w:val="22"/>
          <w:highlight w:val="none"/>
        </w:rPr>
      </w:pPr>
      <w:r>
        <w:rPr>
          <w:rFonts w:hint="eastAsia" w:ascii="新宋体" w:hAnsi="新宋体" w:eastAsia="新宋体"/>
          <w:bCs/>
          <w:color w:val="auto"/>
          <w:sz w:val="22"/>
          <w:highlight w:val="none"/>
        </w:rPr>
        <w:t>（3）负责引导车辆停放到指定的位置，纠正乱停乱放现象，保证停车场车道畅通。</w:t>
      </w:r>
    </w:p>
    <w:p w14:paraId="5F6FB966">
      <w:pPr>
        <w:spacing w:line="460" w:lineRule="exact"/>
        <w:ind w:firstLine="440" w:firstLineChars="200"/>
        <w:rPr>
          <w:rFonts w:hint="eastAsia" w:ascii="新宋体" w:hAnsi="新宋体" w:eastAsia="新宋体"/>
          <w:bCs/>
          <w:color w:val="auto"/>
          <w:sz w:val="22"/>
          <w:highlight w:val="none"/>
        </w:rPr>
      </w:pPr>
      <w:r>
        <w:rPr>
          <w:rFonts w:hint="eastAsia" w:ascii="新宋体" w:hAnsi="新宋体" w:eastAsia="新宋体"/>
          <w:bCs/>
          <w:color w:val="auto"/>
          <w:sz w:val="22"/>
          <w:highlight w:val="none"/>
        </w:rPr>
        <w:t>（4）负责大楼的安全巡查工作，发现有盗窃或可能危及安全的隐患</w:t>
      </w:r>
      <w:r>
        <w:rPr>
          <w:rFonts w:hint="eastAsia" w:ascii="新宋体" w:hAnsi="新宋体" w:eastAsia="新宋体"/>
          <w:bCs/>
          <w:color w:val="auto"/>
          <w:sz w:val="22"/>
          <w:highlight w:val="none"/>
          <w:lang w:eastAsia="zh-CN"/>
        </w:rPr>
        <w:t>，</w:t>
      </w:r>
      <w:r>
        <w:rPr>
          <w:rFonts w:hint="eastAsia" w:ascii="新宋体" w:hAnsi="新宋体" w:eastAsia="新宋体"/>
          <w:bCs/>
          <w:color w:val="auto"/>
          <w:sz w:val="22"/>
          <w:highlight w:val="none"/>
        </w:rPr>
        <w:t>要及时处置并向有关部门报告，维护正常秩序。</w:t>
      </w:r>
    </w:p>
    <w:p w14:paraId="756861AF">
      <w:pPr>
        <w:spacing w:line="460" w:lineRule="exact"/>
        <w:ind w:firstLine="440" w:firstLineChars="200"/>
        <w:rPr>
          <w:rFonts w:hint="eastAsia" w:ascii="新宋体" w:hAnsi="新宋体" w:eastAsia="新宋体"/>
          <w:bCs/>
          <w:color w:val="auto"/>
          <w:sz w:val="22"/>
          <w:highlight w:val="none"/>
        </w:rPr>
      </w:pPr>
      <w:r>
        <w:rPr>
          <w:rFonts w:hint="eastAsia" w:ascii="新宋体" w:hAnsi="新宋体" w:eastAsia="新宋体"/>
          <w:bCs/>
          <w:color w:val="auto"/>
          <w:sz w:val="22"/>
          <w:highlight w:val="none"/>
        </w:rPr>
        <w:t>（5）</w:t>
      </w:r>
      <w:r>
        <w:rPr>
          <w:rFonts w:hint="eastAsia" w:ascii="新宋体" w:hAnsi="新宋体" w:eastAsia="新宋体"/>
          <w:bCs/>
          <w:color w:val="auto"/>
          <w:sz w:val="22"/>
          <w:highlight w:val="none"/>
          <w:lang w:eastAsia="zh-CN"/>
        </w:rPr>
        <w:t>负责</w:t>
      </w:r>
      <w:r>
        <w:rPr>
          <w:rFonts w:hint="eastAsia" w:ascii="新宋体" w:hAnsi="新宋体" w:eastAsia="新宋体"/>
          <w:bCs/>
          <w:color w:val="auto"/>
          <w:sz w:val="22"/>
          <w:highlight w:val="none"/>
        </w:rPr>
        <w:t>消</w:t>
      </w:r>
      <w:r>
        <w:rPr>
          <w:rFonts w:hint="eastAsia" w:ascii="新宋体" w:hAnsi="新宋体" w:eastAsia="新宋体"/>
          <w:bCs/>
          <w:color w:val="auto"/>
          <w:sz w:val="22"/>
          <w:highlight w:val="none"/>
          <w:lang w:eastAsia="zh-CN"/>
        </w:rPr>
        <w:t>防监控室</w:t>
      </w:r>
      <w:r>
        <w:rPr>
          <w:rFonts w:hint="eastAsia" w:ascii="新宋体" w:hAnsi="新宋体" w:eastAsia="新宋体"/>
          <w:bCs/>
          <w:color w:val="auto"/>
          <w:sz w:val="22"/>
          <w:highlight w:val="none"/>
        </w:rPr>
        <w:t>24小时值班，做好值班记录，不准删减影像资料，随时提供监控资料，杜绝非工作人员进入，保证仪器和设备的安全。在消</w:t>
      </w:r>
      <w:r>
        <w:rPr>
          <w:rFonts w:hint="eastAsia" w:ascii="新宋体" w:hAnsi="新宋体" w:eastAsia="新宋体"/>
          <w:bCs/>
          <w:color w:val="auto"/>
          <w:sz w:val="22"/>
          <w:highlight w:val="none"/>
          <w:lang w:eastAsia="zh-CN"/>
        </w:rPr>
        <w:t>防</w:t>
      </w:r>
      <w:r>
        <w:rPr>
          <w:rFonts w:hint="eastAsia" w:ascii="新宋体" w:hAnsi="新宋体" w:eastAsia="新宋体"/>
          <w:bCs/>
          <w:color w:val="auto"/>
          <w:sz w:val="22"/>
          <w:highlight w:val="none"/>
        </w:rPr>
        <w:t>监控室上岗的保安工作人员由</w:t>
      </w:r>
      <w:r>
        <w:rPr>
          <w:rFonts w:hint="eastAsia" w:ascii="新宋体" w:hAnsi="新宋体" w:eastAsia="新宋体"/>
          <w:bCs/>
          <w:color w:val="auto"/>
          <w:sz w:val="22"/>
          <w:highlight w:val="none"/>
          <w:lang w:eastAsia="zh-CN"/>
        </w:rPr>
        <w:t>成交供应商</w:t>
      </w:r>
      <w:r>
        <w:rPr>
          <w:rFonts w:hint="eastAsia" w:ascii="新宋体" w:hAnsi="新宋体" w:eastAsia="新宋体"/>
          <w:bCs/>
          <w:color w:val="auto"/>
          <w:sz w:val="22"/>
          <w:highlight w:val="none"/>
        </w:rPr>
        <w:t>负责技术培训工作</w:t>
      </w:r>
      <w:r>
        <w:rPr>
          <w:rFonts w:hint="eastAsia" w:ascii="新宋体" w:hAnsi="新宋体" w:eastAsia="新宋体"/>
          <w:b/>
          <w:bCs/>
          <w:color w:val="auto"/>
          <w:sz w:val="22"/>
          <w:highlight w:val="none"/>
        </w:rPr>
        <w:t>，并取得消控</w:t>
      </w:r>
      <w:r>
        <w:rPr>
          <w:rFonts w:hint="default" w:ascii="新宋体" w:hAnsi="新宋体" w:eastAsia="新宋体"/>
          <w:b/>
          <w:bCs/>
          <w:color w:val="auto"/>
          <w:sz w:val="22"/>
          <w:highlight w:val="none"/>
        </w:rPr>
        <w:t>证</w:t>
      </w:r>
      <w:r>
        <w:rPr>
          <w:rFonts w:hint="eastAsia" w:ascii="新宋体" w:hAnsi="新宋体" w:eastAsia="新宋体"/>
          <w:b/>
          <w:bCs/>
          <w:color w:val="auto"/>
          <w:sz w:val="22"/>
          <w:highlight w:val="none"/>
        </w:rPr>
        <w:t>等相应资格证书</w:t>
      </w:r>
      <w:r>
        <w:rPr>
          <w:rFonts w:hint="eastAsia" w:ascii="新宋体" w:hAnsi="新宋体" w:eastAsia="新宋体"/>
          <w:bCs/>
          <w:color w:val="auto"/>
          <w:sz w:val="22"/>
          <w:highlight w:val="none"/>
        </w:rPr>
        <w:t>。</w:t>
      </w:r>
    </w:p>
    <w:p w14:paraId="19E6A536">
      <w:pPr>
        <w:spacing w:line="460" w:lineRule="exact"/>
        <w:ind w:firstLine="440" w:firstLineChars="200"/>
        <w:rPr>
          <w:rFonts w:hint="eastAsia" w:ascii="新宋体" w:hAnsi="新宋体" w:eastAsia="新宋体"/>
          <w:bCs/>
          <w:color w:val="auto"/>
          <w:sz w:val="22"/>
          <w:highlight w:val="none"/>
        </w:rPr>
      </w:pPr>
      <w:r>
        <w:rPr>
          <w:rFonts w:hint="eastAsia" w:ascii="新宋体" w:hAnsi="新宋体" w:eastAsia="新宋体"/>
          <w:bCs/>
          <w:color w:val="auto"/>
          <w:sz w:val="22"/>
          <w:highlight w:val="none"/>
        </w:rPr>
        <w:t>（6）定期进行消防设备的检查、保养，保证消防设备始终处于良好状态，发现火灾事故和隐患，及时处置并上报有关部门。</w:t>
      </w:r>
    </w:p>
    <w:p w14:paraId="37284970">
      <w:pPr>
        <w:spacing w:line="460" w:lineRule="exact"/>
        <w:ind w:firstLine="440" w:firstLineChars="200"/>
        <w:rPr>
          <w:rFonts w:hint="default" w:eastAsia="新宋体"/>
          <w:color w:val="auto"/>
          <w:highlight w:val="none"/>
          <w:lang w:val="en-US" w:eastAsia="zh-CN"/>
        </w:rPr>
      </w:pPr>
      <w:r>
        <w:rPr>
          <w:rFonts w:hint="eastAsia" w:ascii="新宋体" w:hAnsi="新宋体" w:eastAsia="新宋体"/>
          <w:bCs/>
          <w:color w:val="auto"/>
          <w:sz w:val="22"/>
          <w:highlight w:val="none"/>
          <w:lang w:val="en-US" w:eastAsia="zh-CN"/>
        </w:rPr>
        <w:t>（7）根据采购人要求完成其他临时性工作任务。</w:t>
      </w:r>
    </w:p>
    <w:p w14:paraId="635DBFCC">
      <w:pPr>
        <w:spacing w:line="460" w:lineRule="exact"/>
        <w:ind w:firstLine="422" w:firstLineChars="200"/>
        <w:rPr>
          <w:rFonts w:hint="eastAsia" w:ascii="宋体"/>
          <w:b/>
          <w:bCs/>
          <w:color w:val="auto"/>
          <w:spacing w:val="0"/>
          <w:kern w:val="0"/>
          <w:szCs w:val="21"/>
          <w:highlight w:val="none"/>
        </w:rPr>
      </w:pPr>
      <w:r>
        <w:rPr>
          <w:rFonts w:hint="eastAsia" w:ascii="宋体"/>
          <w:b/>
          <w:bCs/>
          <w:color w:val="auto"/>
          <w:spacing w:val="0"/>
          <w:kern w:val="0"/>
          <w:szCs w:val="21"/>
          <w:highlight w:val="none"/>
          <w:lang w:eastAsia="zh-CN"/>
        </w:rPr>
        <w:t>（三）餐饮服务</w:t>
      </w:r>
      <w:r>
        <w:rPr>
          <w:rFonts w:hint="eastAsia" w:ascii="宋体"/>
          <w:b/>
          <w:bCs/>
          <w:color w:val="auto"/>
          <w:spacing w:val="0"/>
          <w:kern w:val="0"/>
          <w:szCs w:val="21"/>
          <w:highlight w:val="none"/>
        </w:rPr>
        <w:t>：负责</w:t>
      </w:r>
      <w:r>
        <w:rPr>
          <w:rFonts w:hint="eastAsia" w:ascii="宋体"/>
          <w:b/>
          <w:bCs/>
          <w:color w:val="auto"/>
          <w:spacing w:val="0"/>
          <w:kern w:val="0"/>
          <w:szCs w:val="21"/>
          <w:highlight w:val="none"/>
          <w:lang w:eastAsia="zh-CN"/>
        </w:rPr>
        <w:t>工作</w:t>
      </w:r>
      <w:r>
        <w:rPr>
          <w:rFonts w:hint="eastAsia" w:ascii="宋体"/>
          <w:b/>
          <w:bCs/>
          <w:color w:val="auto"/>
          <w:spacing w:val="0"/>
          <w:kern w:val="0"/>
          <w:szCs w:val="21"/>
          <w:highlight w:val="none"/>
        </w:rPr>
        <w:t>人员</w:t>
      </w:r>
      <w:r>
        <w:rPr>
          <w:rFonts w:hint="eastAsia" w:ascii="宋体"/>
          <w:b/>
          <w:bCs/>
          <w:color w:val="auto"/>
          <w:spacing w:val="0"/>
          <w:kern w:val="0"/>
          <w:szCs w:val="21"/>
          <w:highlight w:val="none"/>
          <w:lang w:eastAsia="zh-CN"/>
        </w:rPr>
        <w:t>和救助对象</w:t>
      </w:r>
      <w:r>
        <w:rPr>
          <w:rFonts w:hint="eastAsia" w:ascii="宋体"/>
          <w:b/>
          <w:bCs/>
          <w:color w:val="auto"/>
          <w:spacing w:val="0"/>
          <w:kern w:val="0"/>
          <w:szCs w:val="21"/>
          <w:highlight w:val="none"/>
        </w:rPr>
        <w:t>的基本生活饮食服务。</w:t>
      </w:r>
    </w:p>
    <w:p w14:paraId="2C3E05F9">
      <w:pPr>
        <w:spacing w:line="460" w:lineRule="exact"/>
        <w:ind w:firstLine="442" w:firstLineChars="200"/>
        <w:rPr>
          <w:rFonts w:hint="default" w:ascii="新宋体" w:hAnsi="新宋体" w:eastAsia="新宋体"/>
          <w:b/>
          <w:color w:val="auto"/>
          <w:spacing w:val="0"/>
          <w:sz w:val="22"/>
          <w:szCs w:val="22"/>
          <w:highlight w:val="none"/>
        </w:rPr>
      </w:pPr>
      <w:r>
        <w:rPr>
          <w:rFonts w:hint="eastAsia" w:ascii="新宋体" w:hAnsi="新宋体" w:eastAsia="新宋体"/>
          <w:b/>
          <w:color w:val="auto"/>
          <w:spacing w:val="0"/>
          <w:sz w:val="22"/>
          <w:szCs w:val="22"/>
          <w:highlight w:val="none"/>
        </w:rPr>
        <w:t>1、食堂</w:t>
      </w:r>
      <w:r>
        <w:rPr>
          <w:rFonts w:hint="default" w:ascii="新宋体" w:hAnsi="新宋体" w:eastAsia="新宋体"/>
          <w:b/>
          <w:color w:val="auto"/>
          <w:spacing w:val="0"/>
          <w:sz w:val="22"/>
          <w:szCs w:val="22"/>
          <w:highlight w:val="none"/>
        </w:rPr>
        <w:t>工作人员条件</w:t>
      </w:r>
    </w:p>
    <w:p w14:paraId="2C02EE66">
      <w:pPr>
        <w:spacing w:line="460" w:lineRule="exact"/>
        <w:ind w:firstLine="440" w:firstLineChars="200"/>
        <w:rPr>
          <w:rFonts w:hint="eastAsia"/>
          <w:color w:val="auto"/>
          <w:spacing w:val="0"/>
          <w:highlight w:val="none"/>
        </w:rPr>
      </w:pPr>
      <w:r>
        <w:rPr>
          <w:rFonts w:hint="eastAsia" w:ascii="新宋体" w:hAnsi="新宋体" w:eastAsia="新宋体"/>
          <w:color w:val="auto"/>
          <w:spacing w:val="0"/>
          <w:sz w:val="22"/>
          <w:szCs w:val="22"/>
          <w:highlight w:val="none"/>
        </w:rPr>
        <w:t>食堂</w:t>
      </w:r>
      <w:r>
        <w:rPr>
          <w:rFonts w:hint="default" w:ascii="新宋体" w:hAnsi="新宋体" w:eastAsia="新宋体"/>
          <w:color w:val="auto"/>
          <w:spacing w:val="0"/>
          <w:sz w:val="22"/>
          <w:szCs w:val="22"/>
          <w:highlight w:val="none"/>
        </w:rPr>
        <w:t>工作人员必须持健康证方可上岗，并具备良好的职业操守。</w:t>
      </w:r>
    </w:p>
    <w:p w14:paraId="72DA30A5">
      <w:pPr>
        <w:spacing w:line="460" w:lineRule="exact"/>
        <w:ind w:firstLine="442" w:firstLineChars="200"/>
        <w:rPr>
          <w:rFonts w:hint="eastAsia" w:ascii="新宋体" w:hAnsi="新宋体" w:eastAsia="新宋体"/>
          <w:b/>
          <w:color w:val="auto"/>
          <w:spacing w:val="0"/>
          <w:sz w:val="22"/>
          <w:szCs w:val="22"/>
          <w:highlight w:val="none"/>
        </w:rPr>
      </w:pPr>
      <w:r>
        <w:rPr>
          <w:rFonts w:hint="default" w:ascii="新宋体" w:hAnsi="新宋体" w:eastAsia="新宋体"/>
          <w:b/>
          <w:color w:val="auto"/>
          <w:spacing w:val="0"/>
          <w:sz w:val="22"/>
          <w:szCs w:val="22"/>
          <w:highlight w:val="none"/>
        </w:rPr>
        <w:t>2</w:t>
      </w:r>
      <w:r>
        <w:rPr>
          <w:rFonts w:hint="eastAsia" w:ascii="新宋体" w:hAnsi="新宋体" w:eastAsia="新宋体"/>
          <w:b/>
          <w:color w:val="auto"/>
          <w:spacing w:val="0"/>
          <w:sz w:val="22"/>
          <w:szCs w:val="22"/>
          <w:highlight w:val="none"/>
        </w:rPr>
        <w:t>、食堂概况</w:t>
      </w:r>
    </w:p>
    <w:p w14:paraId="22160251">
      <w:pPr>
        <w:spacing w:line="46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正常情况下的就餐人数大约为</w:t>
      </w:r>
      <w:r>
        <w:rPr>
          <w:rFonts w:hint="eastAsia" w:ascii="新宋体" w:hAnsi="新宋体" w:eastAsia="新宋体"/>
          <w:color w:val="auto"/>
          <w:sz w:val="22"/>
          <w:szCs w:val="22"/>
          <w:highlight w:val="none"/>
          <w:u w:val="single"/>
          <w:lang w:val="en-US" w:eastAsia="zh-CN"/>
        </w:rPr>
        <w:t>40</w:t>
      </w:r>
      <w:r>
        <w:rPr>
          <w:rFonts w:hint="eastAsia" w:ascii="新宋体" w:hAnsi="新宋体" w:eastAsia="新宋体"/>
          <w:color w:val="auto"/>
          <w:sz w:val="22"/>
          <w:szCs w:val="22"/>
          <w:highlight w:val="none"/>
        </w:rPr>
        <w:t>人，</w:t>
      </w:r>
      <w:r>
        <w:rPr>
          <w:rFonts w:hint="eastAsia" w:ascii="新宋体" w:hAnsi="新宋体" w:eastAsia="新宋体"/>
          <w:color w:val="auto"/>
          <w:sz w:val="22"/>
          <w:szCs w:val="22"/>
          <w:highlight w:val="none"/>
          <w:lang w:eastAsia="zh-CN"/>
        </w:rPr>
        <w:t>提供</w:t>
      </w:r>
      <w:r>
        <w:rPr>
          <w:rFonts w:hint="eastAsia" w:ascii="新宋体" w:hAnsi="新宋体" w:eastAsia="新宋体"/>
          <w:color w:val="auto"/>
          <w:sz w:val="22"/>
          <w:szCs w:val="22"/>
          <w:highlight w:val="none"/>
        </w:rPr>
        <w:t>早餐</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rPr>
        <w:t>中餐</w:t>
      </w:r>
      <w:r>
        <w:rPr>
          <w:rFonts w:hint="eastAsia" w:ascii="新宋体" w:hAnsi="新宋体" w:eastAsia="新宋体"/>
          <w:color w:val="auto"/>
          <w:sz w:val="22"/>
          <w:szCs w:val="22"/>
          <w:highlight w:val="none"/>
          <w:lang w:eastAsia="zh-CN"/>
        </w:rPr>
        <w:t>和</w:t>
      </w:r>
      <w:r>
        <w:rPr>
          <w:rFonts w:hint="eastAsia" w:ascii="新宋体" w:hAnsi="新宋体" w:eastAsia="新宋体"/>
          <w:color w:val="auto"/>
          <w:sz w:val="22"/>
          <w:szCs w:val="22"/>
          <w:highlight w:val="none"/>
        </w:rPr>
        <w:t>晚餐</w:t>
      </w:r>
      <w:r>
        <w:rPr>
          <w:rFonts w:hint="eastAsia" w:ascii="新宋体" w:hAnsi="新宋体" w:eastAsia="新宋体"/>
          <w:color w:val="auto"/>
          <w:sz w:val="22"/>
          <w:szCs w:val="22"/>
          <w:highlight w:val="none"/>
          <w:lang w:eastAsia="zh-CN"/>
        </w:rPr>
        <w:t>，特殊情况时要为救助人员提供夜餐</w:t>
      </w:r>
      <w:r>
        <w:rPr>
          <w:rFonts w:hint="eastAsia" w:ascii="新宋体" w:hAnsi="新宋体" w:eastAsia="新宋体"/>
          <w:color w:val="auto"/>
          <w:sz w:val="22"/>
          <w:szCs w:val="22"/>
          <w:highlight w:val="none"/>
        </w:rPr>
        <w:t>。</w:t>
      </w:r>
    </w:p>
    <w:p w14:paraId="63DEA654">
      <w:pPr>
        <w:spacing w:line="460" w:lineRule="exact"/>
        <w:ind w:firstLine="442" w:firstLineChars="200"/>
        <w:rPr>
          <w:rFonts w:hint="eastAsia" w:ascii="新宋体" w:hAnsi="新宋体" w:eastAsia="新宋体"/>
          <w:b/>
          <w:color w:val="auto"/>
          <w:sz w:val="22"/>
          <w:szCs w:val="22"/>
          <w:highlight w:val="none"/>
        </w:rPr>
      </w:pPr>
      <w:r>
        <w:rPr>
          <w:rFonts w:hint="default" w:ascii="新宋体" w:hAnsi="新宋体" w:eastAsia="新宋体"/>
          <w:b/>
          <w:color w:val="auto"/>
          <w:sz w:val="22"/>
          <w:szCs w:val="22"/>
          <w:highlight w:val="none"/>
        </w:rPr>
        <w:t>3</w:t>
      </w:r>
      <w:r>
        <w:rPr>
          <w:rFonts w:hint="eastAsia" w:ascii="新宋体" w:hAnsi="新宋体" w:eastAsia="新宋体"/>
          <w:b/>
          <w:color w:val="auto"/>
          <w:sz w:val="22"/>
          <w:szCs w:val="22"/>
          <w:highlight w:val="none"/>
        </w:rPr>
        <w:t>、工作内容</w:t>
      </w:r>
    </w:p>
    <w:p w14:paraId="2F941615">
      <w:pPr>
        <w:spacing w:line="460" w:lineRule="exact"/>
        <w:ind w:firstLine="440" w:firstLineChars="200"/>
        <w:rPr>
          <w:rFonts w:hint="eastAsia" w:ascii="新宋体" w:hAnsi="新宋体" w:eastAsia="新宋体"/>
          <w:b/>
          <w:color w:val="auto"/>
          <w:sz w:val="22"/>
          <w:szCs w:val="22"/>
          <w:highlight w:val="none"/>
        </w:rPr>
      </w:pPr>
      <w:r>
        <w:rPr>
          <w:rFonts w:hint="eastAsia" w:ascii="新宋体" w:hAnsi="新宋体" w:eastAsia="新宋体"/>
          <w:color w:val="auto"/>
          <w:sz w:val="22"/>
          <w:szCs w:val="22"/>
          <w:highlight w:val="none"/>
        </w:rPr>
        <w:t>（1）负责食堂日常的食品、蔬菜、调料等原材料的</w:t>
      </w:r>
      <w:r>
        <w:rPr>
          <w:rFonts w:hint="eastAsia" w:ascii="新宋体" w:hAnsi="新宋体" w:eastAsia="新宋体"/>
          <w:color w:val="auto"/>
          <w:sz w:val="22"/>
          <w:szCs w:val="22"/>
          <w:highlight w:val="none"/>
          <w:lang w:val="en-US" w:eastAsia="zh-CN"/>
        </w:rPr>
        <w:t>配置</w:t>
      </w:r>
      <w:r>
        <w:rPr>
          <w:rFonts w:hint="eastAsia" w:ascii="新宋体" w:hAnsi="新宋体" w:eastAsia="新宋体"/>
          <w:b/>
          <w:color w:val="auto"/>
          <w:sz w:val="22"/>
          <w:szCs w:val="22"/>
          <w:highlight w:val="none"/>
        </w:rPr>
        <w:t>（采购费用由</w:t>
      </w:r>
      <w:r>
        <w:rPr>
          <w:rFonts w:hint="eastAsia" w:ascii="新宋体" w:hAnsi="新宋体" w:eastAsia="新宋体"/>
          <w:b/>
          <w:color w:val="auto"/>
          <w:sz w:val="22"/>
          <w:szCs w:val="22"/>
          <w:highlight w:val="none"/>
          <w:lang w:eastAsia="zh-CN"/>
        </w:rPr>
        <w:t>采购人</w:t>
      </w:r>
      <w:r>
        <w:rPr>
          <w:rFonts w:hint="eastAsia" w:ascii="新宋体" w:hAnsi="新宋体" w:eastAsia="新宋体"/>
          <w:b/>
          <w:color w:val="auto"/>
          <w:sz w:val="22"/>
          <w:szCs w:val="22"/>
          <w:highlight w:val="none"/>
        </w:rPr>
        <w:t>按实结算）</w:t>
      </w:r>
      <w:r>
        <w:rPr>
          <w:rFonts w:hint="eastAsia" w:ascii="新宋体" w:hAnsi="新宋体" w:eastAsia="新宋体"/>
          <w:b/>
          <w:color w:val="auto"/>
          <w:sz w:val="22"/>
          <w:szCs w:val="22"/>
          <w:highlight w:val="none"/>
          <w:lang w:eastAsia="zh-CN"/>
        </w:rPr>
        <w:t>，</w:t>
      </w:r>
      <w:r>
        <w:rPr>
          <w:rFonts w:hint="eastAsia" w:ascii="新宋体" w:hAnsi="新宋体" w:eastAsia="新宋体"/>
          <w:color w:val="auto"/>
          <w:sz w:val="22"/>
          <w:szCs w:val="22"/>
          <w:highlight w:val="none"/>
        </w:rPr>
        <w:t>采购的食品、蔬菜、调料、日常用品等原材料的清点验收、保管、存储、制作加工、管理等所有食堂后勤服务工作；食堂范围内的卫生保洁工作；做好物品的管理，定期进行库存物品的盘存，避免原材料过期、变质；投标人必须每月月底向</w:t>
      </w:r>
      <w:r>
        <w:rPr>
          <w:rFonts w:hint="eastAsia" w:ascii="新宋体" w:hAnsi="新宋体" w:eastAsia="新宋体"/>
          <w:color w:val="auto"/>
          <w:sz w:val="22"/>
          <w:szCs w:val="22"/>
          <w:highlight w:val="none"/>
          <w:lang w:eastAsia="zh-CN"/>
        </w:rPr>
        <w:t>采购人</w:t>
      </w:r>
      <w:r>
        <w:rPr>
          <w:rFonts w:hint="eastAsia" w:ascii="新宋体" w:hAnsi="新宋体" w:eastAsia="新宋体"/>
          <w:color w:val="auto"/>
          <w:sz w:val="22"/>
          <w:szCs w:val="22"/>
          <w:highlight w:val="none"/>
        </w:rPr>
        <w:t>上报一次餐饮收支台帐。</w:t>
      </w:r>
      <w:r>
        <w:rPr>
          <w:rFonts w:hint="eastAsia" w:ascii="新宋体" w:hAnsi="新宋体" w:eastAsia="新宋体"/>
          <w:b/>
          <w:color w:val="auto"/>
          <w:sz w:val="22"/>
          <w:szCs w:val="22"/>
          <w:highlight w:val="none"/>
        </w:rPr>
        <w:t>（</w:t>
      </w:r>
      <w:r>
        <w:rPr>
          <w:rFonts w:hint="eastAsia" w:ascii="新宋体" w:hAnsi="新宋体" w:eastAsia="新宋体"/>
          <w:b/>
          <w:color w:val="auto"/>
          <w:sz w:val="22"/>
          <w:szCs w:val="22"/>
          <w:highlight w:val="none"/>
          <w:lang w:eastAsia="zh-CN"/>
        </w:rPr>
        <w:t>采购人</w:t>
      </w:r>
      <w:r>
        <w:rPr>
          <w:rFonts w:hint="eastAsia" w:ascii="新宋体" w:hAnsi="新宋体" w:eastAsia="新宋体"/>
          <w:b/>
          <w:color w:val="auto"/>
          <w:sz w:val="22"/>
          <w:szCs w:val="22"/>
          <w:highlight w:val="none"/>
        </w:rPr>
        <w:t>提供食堂设施和餐饮用具，承担食堂水电、燃料的费用）</w:t>
      </w:r>
    </w:p>
    <w:p w14:paraId="62F233BD">
      <w:pPr>
        <w:spacing w:line="46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w:t>
      </w:r>
      <w:r>
        <w:rPr>
          <w:rFonts w:hint="eastAsia" w:ascii="新宋体" w:hAnsi="新宋体" w:eastAsia="新宋体"/>
          <w:color w:val="auto"/>
          <w:sz w:val="22"/>
          <w:szCs w:val="22"/>
          <w:highlight w:val="none"/>
          <w:lang w:val="en-US" w:eastAsia="zh-CN"/>
        </w:rPr>
        <w:t>2</w:t>
      </w:r>
      <w:r>
        <w:rPr>
          <w:rFonts w:hint="eastAsia" w:ascii="新宋体" w:hAnsi="新宋体" w:eastAsia="新宋体"/>
          <w:color w:val="auto"/>
          <w:sz w:val="22"/>
          <w:szCs w:val="22"/>
          <w:highlight w:val="none"/>
        </w:rPr>
        <w:t>）</w:t>
      </w:r>
      <w:r>
        <w:rPr>
          <w:rFonts w:hint="eastAsia" w:ascii="新宋体" w:hAnsi="新宋体" w:eastAsia="新宋体"/>
          <w:color w:val="auto"/>
          <w:sz w:val="22"/>
          <w:szCs w:val="22"/>
          <w:highlight w:val="none"/>
          <w:lang w:eastAsia="zh-CN"/>
        </w:rPr>
        <w:t>采购人</w:t>
      </w:r>
      <w:r>
        <w:rPr>
          <w:rFonts w:hint="eastAsia" w:ascii="新宋体" w:hAnsi="新宋体" w:eastAsia="新宋体"/>
          <w:color w:val="auto"/>
          <w:sz w:val="22"/>
          <w:szCs w:val="22"/>
          <w:highlight w:val="none"/>
        </w:rPr>
        <w:t>有权对不符合要求的服务工作人员提出更换要求；投标人以高标准、严要求的服务态度为</w:t>
      </w:r>
      <w:r>
        <w:rPr>
          <w:rFonts w:hint="eastAsia" w:ascii="新宋体" w:hAnsi="新宋体" w:eastAsia="新宋体"/>
          <w:color w:val="auto"/>
          <w:sz w:val="22"/>
          <w:szCs w:val="22"/>
          <w:highlight w:val="none"/>
          <w:lang w:eastAsia="zh-CN"/>
        </w:rPr>
        <w:t>采购人</w:t>
      </w:r>
      <w:r>
        <w:rPr>
          <w:rFonts w:hint="eastAsia" w:ascii="新宋体" w:hAnsi="新宋体" w:eastAsia="新宋体"/>
          <w:color w:val="auto"/>
          <w:sz w:val="22"/>
          <w:szCs w:val="22"/>
          <w:highlight w:val="none"/>
        </w:rPr>
        <w:t>提供优质的人员保障及就餐服务；在特殊情况下，</w:t>
      </w:r>
      <w:r>
        <w:rPr>
          <w:rFonts w:hint="eastAsia" w:ascii="新宋体" w:hAnsi="新宋体" w:eastAsia="新宋体"/>
          <w:color w:val="auto"/>
          <w:sz w:val="22"/>
          <w:szCs w:val="22"/>
          <w:highlight w:val="none"/>
          <w:lang w:eastAsia="zh-CN"/>
        </w:rPr>
        <w:t>采购人</w:t>
      </w:r>
      <w:r>
        <w:rPr>
          <w:rFonts w:hint="eastAsia" w:ascii="新宋体" w:hAnsi="新宋体" w:eastAsia="新宋体"/>
          <w:color w:val="auto"/>
          <w:sz w:val="22"/>
          <w:szCs w:val="22"/>
          <w:highlight w:val="none"/>
        </w:rPr>
        <w:t>有权调派投标人的管理人员和工作人员；投标人不得擅自制作饭菜票或收取现金，不得对外经营。</w:t>
      </w:r>
    </w:p>
    <w:p w14:paraId="60100A67">
      <w:pPr>
        <w:spacing w:line="460" w:lineRule="exact"/>
        <w:ind w:firstLine="440" w:firstLineChars="200"/>
        <w:rPr>
          <w:rFonts w:hint="default" w:eastAsia="新宋体"/>
          <w:color w:val="auto"/>
          <w:highlight w:val="none"/>
          <w:lang w:val="en-US" w:eastAsia="zh-CN"/>
        </w:rPr>
      </w:pP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lang w:val="en-US" w:eastAsia="zh-CN"/>
        </w:rPr>
        <w:t>3）做好食品留样工作，保存三天以上。</w:t>
      </w:r>
    </w:p>
    <w:p w14:paraId="27739F12">
      <w:pPr>
        <w:spacing w:line="460" w:lineRule="exact"/>
        <w:ind w:firstLine="442" w:firstLineChars="200"/>
        <w:rPr>
          <w:rFonts w:hint="eastAsia" w:ascii="新宋体" w:hAnsi="新宋体" w:eastAsia="新宋体"/>
          <w:b/>
          <w:color w:val="auto"/>
          <w:sz w:val="22"/>
          <w:szCs w:val="22"/>
          <w:highlight w:val="none"/>
        </w:rPr>
      </w:pPr>
      <w:r>
        <w:rPr>
          <w:rFonts w:hint="default" w:ascii="新宋体" w:hAnsi="新宋体" w:eastAsia="新宋体"/>
          <w:b/>
          <w:color w:val="auto"/>
          <w:sz w:val="22"/>
          <w:szCs w:val="22"/>
          <w:highlight w:val="none"/>
        </w:rPr>
        <w:t>4</w:t>
      </w:r>
      <w:r>
        <w:rPr>
          <w:rFonts w:hint="eastAsia" w:ascii="新宋体" w:hAnsi="新宋体" w:eastAsia="新宋体"/>
          <w:b/>
          <w:color w:val="auto"/>
          <w:sz w:val="22"/>
          <w:szCs w:val="22"/>
          <w:highlight w:val="none"/>
        </w:rPr>
        <w:t>、服务工作及设备维护</w:t>
      </w:r>
    </w:p>
    <w:p w14:paraId="38288DB0">
      <w:pPr>
        <w:spacing w:line="460" w:lineRule="exact"/>
        <w:ind w:firstLine="442" w:firstLineChars="200"/>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（1）食堂设备、工具等</w:t>
      </w:r>
    </w:p>
    <w:p w14:paraId="3055C7AC">
      <w:pPr>
        <w:spacing w:line="46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w:t>
      </w:r>
      <w:r>
        <w:rPr>
          <w:rFonts w:hint="eastAsia" w:ascii="新宋体" w:hAnsi="新宋体" w:eastAsia="新宋体"/>
          <w:b/>
          <w:bCs/>
          <w:color w:val="auto"/>
          <w:sz w:val="22"/>
          <w:szCs w:val="22"/>
          <w:highlight w:val="none"/>
          <w:lang w:eastAsia="zh-CN"/>
        </w:rPr>
        <w:t>采购人</w:t>
      </w:r>
      <w:r>
        <w:rPr>
          <w:rFonts w:hint="eastAsia" w:ascii="新宋体" w:hAnsi="新宋体" w:eastAsia="新宋体"/>
          <w:b/>
          <w:bCs/>
          <w:color w:val="auto"/>
          <w:sz w:val="22"/>
          <w:szCs w:val="22"/>
          <w:highlight w:val="none"/>
        </w:rPr>
        <w:t>食堂室内外均已装修</w:t>
      </w:r>
      <w:r>
        <w:rPr>
          <w:rFonts w:hint="eastAsia" w:ascii="新宋体" w:hAnsi="新宋体" w:eastAsia="新宋体"/>
          <w:color w:val="auto"/>
          <w:sz w:val="22"/>
          <w:szCs w:val="22"/>
          <w:highlight w:val="none"/>
        </w:rPr>
        <w:t>，投标人不应改变。如确需改动的，必须经</w:t>
      </w:r>
      <w:r>
        <w:rPr>
          <w:rFonts w:hint="eastAsia" w:ascii="新宋体" w:hAnsi="新宋体" w:eastAsia="新宋体"/>
          <w:color w:val="auto"/>
          <w:sz w:val="22"/>
          <w:szCs w:val="22"/>
          <w:highlight w:val="none"/>
          <w:lang w:eastAsia="zh-CN"/>
        </w:rPr>
        <w:t>采购人</w:t>
      </w:r>
      <w:r>
        <w:rPr>
          <w:rFonts w:hint="eastAsia" w:ascii="新宋体" w:hAnsi="新宋体" w:eastAsia="新宋体"/>
          <w:color w:val="auto"/>
          <w:sz w:val="22"/>
          <w:szCs w:val="22"/>
          <w:highlight w:val="none"/>
        </w:rPr>
        <w:t>同意，方可改动。</w:t>
      </w:r>
    </w:p>
    <w:p w14:paraId="78DA6554">
      <w:pPr>
        <w:spacing w:line="46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2）食堂的桌椅、厨房设备，提供给投标人免费使用，投标人应爱惜财物保持其完好性。日常维护由</w:t>
      </w:r>
      <w:r>
        <w:rPr>
          <w:rFonts w:hint="eastAsia" w:ascii="新宋体" w:hAnsi="新宋体" w:eastAsia="新宋体"/>
          <w:color w:val="auto"/>
          <w:sz w:val="22"/>
          <w:szCs w:val="22"/>
          <w:highlight w:val="none"/>
          <w:lang w:eastAsia="zh-CN"/>
        </w:rPr>
        <w:t>采购人</w:t>
      </w:r>
      <w:r>
        <w:rPr>
          <w:rFonts w:hint="eastAsia" w:ascii="新宋体" w:hAnsi="新宋体" w:eastAsia="新宋体"/>
          <w:color w:val="auto"/>
          <w:sz w:val="22"/>
          <w:szCs w:val="22"/>
          <w:highlight w:val="none"/>
        </w:rPr>
        <w:t>负责。如发现属人工操作不当或故意损坏由投标人负责维修和赔偿。</w:t>
      </w:r>
    </w:p>
    <w:p w14:paraId="21E3EB0F">
      <w:pPr>
        <w:spacing w:line="46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3）碗、勺、筷、盘、酒杯等日常餐具由</w:t>
      </w:r>
      <w:r>
        <w:rPr>
          <w:rFonts w:hint="eastAsia" w:ascii="新宋体" w:hAnsi="新宋体" w:eastAsia="新宋体"/>
          <w:color w:val="auto"/>
          <w:sz w:val="22"/>
          <w:szCs w:val="22"/>
          <w:highlight w:val="none"/>
          <w:lang w:eastAsia="zh-CN"/>
        </w:rPr>
        <w:t>投</w:t>
      </w:r>
      <w:r>
        <w:rPr>
          <w:rFonts w:hint="eastAsia" w:ascii="新宋体" w:hAnsi="新宋体" w:eastAsia="新宋体"/>
          <w:color w:val="auto"/>
          <w:sz w:val="22"/>
          <w:szCs w:val="22"/>
          <w:highlight w:val="none"/>
        </w:rPr>
        <w:t>标人统一调配，</w:t>
      </w:r>
      <w:r>
        <w:rPr>
          <w:rFonts w:hint="eastAsia" w:ascii="新宋体" w:hAnsi="新宋体" w:eastAsia="新宋体"/>
          <w:color w:val="auto"/>
          <w:sz w:val="22"/>
          <w:szCs w:val="22"/>
          <w:highlight w:val="none"/>
          <w:lang w:val="en-US" w:eastAsia="zh-CN"/>
        </w:rPr>
        <w:t>并做好保管工作。</w:t>
      </w:r>
    </w:p>
    <w:p w14:paraId="255941A6">
      <w:pPr>
        <w:spacing w:line="460" w:lineRule="exact"/>
        <w:ind w:firstLine="442" w:firstLineChars="200"/>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（2）用餐时间及服务</w:t>
      </w:r>
    </w:p>
    <w:p w14:paraId="791D3722">
      <w:pPr>
        <w:spacing w:line="46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1）投标人提供早餐、中餐、晚餐服务。早餐服务时间为7:00-8:20；午餐服务时间为11:30-13:00；晚餐服务时间为17:30-18:30（具体就餐时间根据作息时间作相应调整，双休日、节假日、抗台等特殊情况另作调整）。</w:t>
      </w:r>
    </w:p>
    <w:p w14:paraId="0C5E996A">
      <w:pPr>
        <w:spacing w:line="460" w:lineRule="exact"/>
        <w:ind w:firstLine="539" w:firstLineChars="245"/>
        <w:rPr>
          <w:rFonts w:hint="eastAsia" w:ascii="新宋体" w:hAnsi="新宋体" w:eastAsia="新宋体"/>
          <w:b/>
          <w:color w:val="auto"/>
          <w:sz w:val="22"/>
          <w:szCs w:val="22"/>
          <w:highlight w:val="none"/>
          <w:u w:val="single"/>
          <w:lang w:eastAsia="zh-CN"/>
        </w:rPr>
      </w:pPr>
      <w:r>
        <w:rPr>
          <w:rFonts w:hint="eastAsia" w:ascii="新宋体" w:hAnsi="新宋体" w:eastAsia="新宋体"/>
          <w:color w:val="auto"/>
          <w:sz w:val="22"/>
          <w:szCs w:val="22"/>
          <w:highlight w:val="none"/>
        </w:rPr>
        <w:t>2）投标人必须科学安排菜谱，菜单必须</w:t>
      </w:r>
      <w:r>
        <w:rPr>
          <w:rFonts w:hint="eastAsia" w:ascii="新宋体" w:hAnsi="新宋体" w:eastAsia="新宋体"/>
          <w:color w:val="auto"/>
          <w:sz w:val="22"/>
          <w:szCs w:val="22"/>
          <w:highlight w:val="none"/>
          <w:lang w:val="en-US" w:eastAsia="zh-CN"/>
        </w:rPr>
        <w:t>提前一周</w:t>
      </w:r>
      <w:r>
        <w:rPr>
          <w:rFonts w:hint="eastAsia" w:ascii="新宋体" w:hAnsi="新宋体" w:eastAsia="新宋体"/>
          <w:color w:val="auto"/>
          <w:sz w:val="22"/>
          <w:szCs w:val="22"/>
          <w:highlight w:val="none"/>
        </w:rPr>
        <w:t>经</w:t>
      </w:r>
      <w:r>
        <w:rPr>
          <w:rFonts w:hint="eastAsia" w:ascii="新宋体" w:hAnsi="新宋体" w:eastAsia="新宋体"/>
          <w:color w:val="auto"/>
          <w:sz w:val="22"/>
          <w:szCs w:val="22"/>
          <w:highlight w:val="none"/>
          <w:lang w:eastAsia="zh-CN"/>
        </w:rPr>
        <w:t>采购人</w:t>
      </w:r>
      <w:r>
        <w:rPr>
          <w:rFonts w:hint="eastAsia" w:ascii="新宋体" w:hAnsi="新宋体" w:eastAsia="新宋体"/>
          <w:color w:val="auto"/>
          <w:sz w:val="22"/>
          <w:szCs w:val="22"/>
          <w:highlight w:val="none"/>
        </w:rPr>
        <w:t>及其委托的管理人员认可方可执行</w:t>
      </w:r>
      <w:r>
        <w:rPr>
          <w:rFonts w:hint="eastAsia" w:ascii="新宋体" w:hAnsi="新宋体" w:eastAsia="新宋体"/>
          <w:color w:val="auto"/>
          <w:sz w:val="22"/>
          <w:szCs w:val="22"/>
          <w:highlight w:val="none"/>
          <w:lang w:eastAsia="zh-CN"/>
        </w:rPr>
        <w:t>。</w:t>
      </w:r>
    </w:p>
    <w:p w14:paraId="226D0B1E">
      <w:pPr>
        <w:spacing w:line="460" w:lineRule="exact"/>
        <w:ind w:firstLine="440" w:firstLineChars="200"/>
        <w:rPr>
          <w:rFonts w:hint="eastAsia" w:ascii="新宋体" w:hAnsi="新宋体" w:eastAsia="新宋体"/>
          <w:b/>
          <w:bCs/>
          <w:color w:val="auto"/>
          <w:sz w:val="22"/>
          <w:szCs w:val="22"/>
          <w:highlight w:val="none"/>
        </w:rPr>
      </w:pPr>
      <w:r>
        <w:rPr>
          <w:rFonts w:hint="eastAsia" w:ascii="新宋体" w:hAnsi="新宋体" w:eastAsia="新宋体"/>
          <w:color w:val="auto"/>
          <w:sz w:val="22"/>
          <w:szCs w:val="22"/>
          <w:highlight w:val="none"/>
        </w:rPr>
        <w:t>3）投标人在承包区域的各项服务，其工作时间，必须满足</w:t>
      </w:r>
      <w:r>
        <w:rPr>
          <w:rFonts w:hint="eastAsia" w:ascii="新宋体" w:hAnsi="新宋体" w:eastAsia="新宋体"/>
          <w:color w:val="auto"/>
          <w:sz w:val="22"/>
          <w:szCs w:val="22"/>
          <w:highlight w:val="none"/>
          <w:lang w:eastAsia="zh-CN"/>
        </w:rPr>
        <w:t>采购人</w:t>
      </w:r>
      <w:r>
        <w:rPr>
          <w:rFonts w:hint="eastAsia" w:ascii="新宋体" w:hAnsi="新宋体" w:eastAsia="新宋体"/>
          <w:color w:val="auto"/>
          <w:sz w:val="22"/>
          <w:szCs w:val="22"/>
          <w:highlight w:val="none"/>
        </w:rPr>
        <w:t>的工作要求，包括双休日及、公众假期及抗台等特殊时期用餐。遇特殊情况，</w:t>
      </w:r>
      <w:r>
        <w:rPr>
          <w:rFonts w:hint="eastAsia" w:ascii="新宋体" w:hAnsi="新宋体" w:eastAsia="新宋体"/>
          <w:color w:val="auto"/>
          <w:sz w:val="22"/>
          <w:szCs w:val="22"/>
          <w:highlight w:val="none"/>
          <w:lang w:eastAsia="zh-CN"/>
        </w:rPr>
        <w:t>采购人</w:t>
      </w:r>
      <w:r>
        <w:rPr>
          <w:rFonts w:hint="eastAsia" w:ascii="新宋体" w:hAnsi="新宋体" w:eastAsia="新宋体"/>
          <w:color w:val="auto"/>
          <w:sz w:val="22"/>
          <w:szCs w:val="22"/>
          <w:highlight w:val="none"/>
        </w:rPr>
        <w:t>认为应提供方便或提高服务质量时，可要求投标人调整工作时间直至全天二十四小时工作。</w:t>
      </w:r>
      <w:r>
        <w:rPr>
          <w:rFonts w:hint="eastAsia" w:ascii="新宋体" w:hAnsi="新宋体" w:eastAsia="新宋体"/>
          <w:color w:val="auto"/>
          <w:sz w:val="22"/>
          <w:szCs w:val="22"/>
          <w:highlight w:val="none"/>
          <w:lang w:eastAsia="zh-CN"/>
        </w:rPr>
        <w:t>采购人因接待需要提出工作接待餐要求时，投标人必须无条件执行。</w:t>
      </w:r>
    </w:p>
    <w:p w14:paraId="27A3A8BC">
      <w:pPr>
        <w:spacing w:line="460" w:lineRule="exact"/>
        <w:ind w:firstLine="442" w:firstLineChars="200"/>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（3）服务质量要求</w:t>
      </w:r>
    </w:p>
    <w:p w14:paraId="671B7676">
      <w:pPr>
        <w:spacing w:line="46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w:t>
      </w:r>
      <w:r>
        <w:rPr>
          <w:rFonts w:ascii="新宋体" w:hAnsi="新宋体" w:eastAsia="新宋体"/>
          <w:color w:val="auto"/>
          <w:sz w:val="22"/>
          <w:szCs w:val="22"/>
          <w:highlight w:val="none"/>
        </w:rPr>
        <w:t>从食品质量、花色品种、</w:t>
      </w:r>
      <w:r>
        <w:rPr>
          <w:rFonts w:hint="eastAsia" w:ascii="新宋体" w:hAnsi="新宋体" w:eastAsia="新宋体"/>
          <w:color w:val="auto"/>
          <w:sz w:val="22"/>
          <w:szCs w:val="22"/>
          <w:highlight w:val="none"/>
        </w:rPr>
        <w:t>口感味道、</w:t>
      </w:r>
      <w:r>
        <w:rPr>
          <w:rFonts w:ascii="新宋体" w:hAnsi="新宋体" w:eastAsia="新宋体"/>
          <w:color w:val="auto"/>
          <w:sz w:val="22"/>
          <w:szCs w:val="22"/>
          <w:highlight w:val="none"/>
        </w:rPr>
        <w:t>服务方式、饮食卫生等方面制定服务规范或质量标准，不断提高食堂的服务水平。</w:t>
      </w:r>
    </w:p>
    <w:p w14:paraId="7F1F832A">
      <w:pPr>
        <w:spacing w:line="46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w:t>
      </w:r>
      <w:r>
        <w:rPr>
          <w:rFonts w:ascii="新宋体" w:hAnsi="新宋体" w:eastAsia="新宋体"/>
          <w:color w:val="auto"/>
          <w:sz w:val="22"/>
          <w:szCs w:val="22"/>
          <w:highlight w:val="none"/>
        </w:rPr>
        <w:t>对食堂工作的全过程，即</w:t>
      </w:r>
      <w:r>
        <w:rPr>
          <w:rFonts w:hint="eastAsia" w:ascii="新宋体" w:hAnsi="新宋体" w:eastAsia="新宋体"/>
          <w:color w:val="auto"/>
          <w:sz w:val="22"/>
          <w:szCs w:val="22"/>
          <w:highlight w:val="none"/>
        </w:rPr>
        <w:t>对食品及原材料、调料的清点验收、</w:t>
      </w:r>
      <w:r>
        <w:rPr>
          <w:rFonts w:ascii="新宋体" w:hAnsi="新宋体" w:eastAsia="新宋体"/>
          <w:color w:val="auto"/>
          <w:sz w:val="22"/>
          <w:szCs w:val="22"/>
          <w:highlight w:val="none"/>
        </w:rPr>
        <w:t>保管、</w:t>
      </w:r>
      <w:r>
        <w:rPr>
          <w:rFonts w:hint="eastAsia" w:ascii="新宋体" w:hAnsi="新宋体" w:eastAsia="新宋体"/>
          <w:color w:val="auto"/>
          <w:sz w:val="22"/>
          <w:szCs w:val="22"/>
          <w:highlight w:val="none"/>
        </w:rPr>
        <w:t>储存、制作</w:t>
      </w:r>
      <w:r>
        <w:rPr>
          <w:rFonts w:ascii="新宋体" w:hAnsi="新宋体" w:eastAsia="新宋体"/>
          <w:color w:val="auto"/>
          <w:sz w:val="22"/>
          <w:szCs w:val="22"/>
          <w:highlight w:val="none"/>
        </w:rPr>
        <w:t>加工等工作进行全面质量管理，对食堂职工进行质量管理教育，</w:t>
      </w:r>
      <w:r>
        <w:rPr>
          <w:rFonts w:hint="eastAsia" w:ascii="新宋体" w:hAnsi="新宋体" w:eastAsia="新宋体"/>
          <w:color w:val="auto"/>
          <w:sz w:val="22"/>
          <w:szCs w:val="22"/>
          <w:highlight w:val="none"/>
          <w:lang w:eastAsia="zh-CN"/>
        </w:rPr>
        <w:t>了</w:t>
      </w:r>
      <w:r>
        <w:rPr>
          <w:rFonts w:ascii="新宋体" w:hAnsi="新宋体" w:eastAsia="新宋体"/>
          <w:color w:val="auto"/>
          <w:sz w:val="22"/>
          <w:szCs w:val="22"/>
          <w:highlight w:val="none"/>
        </w:rPr>
        <w:t>解全面质量管理的基本知识和方法，树立质量意识。</w:t>
      </w:r>
    </w:p>
    <w:p w14:paraId="0D2AC664">
      <w:pPr>
        <w:spacing w:line="46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w:t>
      </w:r>
      <w:r>
        <w:rPr>
          <w:rFonts w:ascii="新宋体" w:hAnsi="新宋体" w:eastAsia="新宋体"/>
          <w:color w:val="auto"/>
          <w:sz w:val="22"/>
          <w:szCs w:val="22"/>
          <w:highlight w:val="none"/>
        </w:rPr>
        <w:t>加强</w:t>
      </w:r>
      <w:r>
        <w:rPr>
          <w:rFonts w:hint="eastAsia" w:ascii="新宋体" w:hAnsi="新宋体" w:eastAsia="新宋体"/>
          <w:color w:val="auto"/>
          <w:sz w:val="22"/>
          <w:szCs w:val="22"/>
          <w:highlight w:val="none"/>
        </w:rPr>
        <w:t>内部</w:t>
      </w:r>
      <w:r>
        <w:rPr>
          <w:rFonts w:ascii="新宋体" w:hAnsi="新宋体" w:eastAsia="新宋体"/>
          <w:color w:val="auto"/>
          <w:sz w:val="22"/>
          <w:szCs w:val="22"/>
          <w:highlight w:val="none"/>
        </w:rPr>
        <w:t>质量</w:t>
      </w:r>
      <w:r>
        <w:rPr>
          <w:rFonts w:hint="eastAsia" w:ascii="新宋体" w:hAnsi="新宋体" w:eastAsia="新宋体"/>
          <w:color w:val="auto"/>
          <w:sz w:val="22"/>
          <w:szCs w:val="22"/>
          <w:highlight w:val="none"/>
        </w:rPr>
        <w:t>自查和自我监督</w:t>
      </w:r>
      <w:r>
        <w:rPr>
          <w:rFonts w:ascii="新宋体" w:hAnsi="新宋体" w:eastAsia="新宋体"/>
          <w:color w:val="auto"/>
          <w:sz w:val="22"/>
          <w:szCs w:val="22"/>
          <w:highlight w:val="none"/>
        </w:rPr>
        <w:t>，建立</w:t>
      </w:r>
      <w:r>
        <w:rPr>
          <w:rFonts w:hint="eastAsia" w:ascii="新宋体" w:hAnsi="新宋体" w:eastAsia="新宋体"/>
          <w:color w:val="auto"/>
          <w:sz w:val="22"/>
          <w:szCs w:val="22"/>
          <w:highlight w:val="none"/>
        </w:rPr>
        <w:t>内部</w:t>
      </w:r>
      <w:r>
        <w:rPr>
          <w:rFonts w:ascii="新宋体" w:hAnsi="新宋体" w:eastAsia="新宋体"/>
          <w:color w:val="auto"/>
          <w:sz w:val="22"/>
          <w:szCs w:val="22"/>
          <w:highlight w:val="none"/>
        </w:rPr>
        <w:t>质量检查小组，定期实施质量检查工作，记录检查结果，建立质量检查档案，组织职工在日常工作中开展质量自查、互查活动。</w:t>
      </w:r>
    </w:p>
    <w:p w14:paraId="760707F9">
      <w:pPr>
        <w:spacing w:line="46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4）服务区内垃圾用袋收集，存放在指定地点，清扫、保洁及生活服务的工作质量按国家卫生城市管理的有关标准严格验收。</w:t>
      </w:r>
    </w:p>
    <w:p w14:paraId="5CC899C2">
      <w:pPr>
        <w:spacing w:line="460" w:lineRule="exact"/>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 xml:space="preserve">    （4）食品原料的采购</w:t>
      </w:r>
    </w:p>
    <w:p w14:paraId="3E2B40B2">
      <w:pPr>
        <w:spacing w:line="460" w:lineRule="exact"/>
        <w:ind w:firstLine="539" w:firstLineChars="245"/>
        <w:rPr>
          <w:rFonts w:hint="eastAsia" w:ascii="新宋体" w:hAnsi="新宋体" w:eastAsia="新宋体"/>
          <w:b/>
          <w:bCs/>
          <w:color w:val="auto"/>
          <w:sz w:val="22"/>
          <w:szCs w:val="22"/>
          <w:highlight w:val="none"/>
        </w:rPr>
      </w:pPr>
      <w:r>
        <w:rPr>
          <w:rFonts w:hint="eastAsia" w:ascii="新宋体" w:hAnsi="新宋体" w:eastAsia="新宋体"/>
          <w:color w:val="auto"/>
          <w:sz w:val="22"/>
          <w:szCs w:val="22"/>
          <w:highlight w:val="none"/>
          <w:lang w:val="en-US" w:eastAsia="zh-CN"/>
        </w:rPr>
        <w:t>1）</w:t>
      </w:r>
      <w:r>
        <w:rPr>
          <w:rFonts w:ascii="新宋体" w:hAnsi="新宋体" w:eastAsia="新宋体"/>
          <w:color w:val="auto"/>
          <w:sz w:val="22"/>
          <w:szCs w:val="22"/>
          <w:highlight w:val="none"/>
        </w:rPr>
        <w:t>食</w:t>
      </w:r>
      <w:r>
        <w:rPr>
          <w:rFonts w:hint="eastAsia" w:ascii="新宋体" w:hAnsi="新宋体" w:eastAsia="新宋体"/>
          <w:color w:val="auto"/>
          <w:sz w:val="22"/>
          <w:szCs w:val="22"/>
          <w:highlight w:val="none"/>
        </w:rPr>
        <w:t>品</w:t>
      </w:r>
      <w:r>
        <w:rPr>
          <w:rFonts w:ascii="新宋体" w:hAnsi="新宋体" w:eastAsia="新宋体"/>
          <w:color w:val="auto"/>
          <w:sz w:val="22"/>
          <w:szCs w:val="22"/>
          <w:highlight w:val="none"/>
        </w:rPr>
        <w:t>的主料、辅料、调料等原材料的</w:t>
      </w:r>
      <w:r>
        <w:rPr>
          <w:rFonts w:hint="eastAsia" w:ascii="新宋体" w:hAnsi="新宋体" w:eastAsia="新宋体"/>
          <w:color w:val="auto"/>
          <w:sz w:val="22"/>
          <w:szCs w:val="22"/>
          <w:highlight w:val="none"/>
        </w:rPr>
        <w:t>采购，</w:t>
      </w:r>
      <w:r>
        <w:rPr>
          <w:rFonts w:hint="eastAsia" w:ascii="新宋体" w:hAnsi="新宋体" w:eastAsia="新宋体"/>
          <w:color w:val="auto"/>
          <w:sz w:val="22"/>
          <w:szCs w:val="22"/>
          <w:highlight w:val="none"/>
          <w:lang w:val="en-US" w:eastAsia="zh-CN"/>
        </w:rPr>
        <w:t>由采购人员负责，投标人具体执行</w:t>
      </w:r>
      <w:r>
        <w:rPr>
          <w:rFonts w:hint="eastAsia" w:ascii="新宋体" w:hAnsi="新宋体" w:eastAsia="新宋体"/>
          <w:color w:val="auto"/>
          <w:sz w:val="22"/>
          <w:szCs w:val="22"/>
          <w:highlight w:val="none"/>
          <w:lang w:eastAsia="zh-CN"/>
        </w:rPr>
        <w:t>，</w:t>
      </w:r>
      <w:r>
        <w:rPr>
          <w:rFonts w:hint="eastAsia" w:ascii="新宋体" w:hAnsi="新宋体" w:eastAsia="新宋体"/>
          <w:b/>
          <w:bCs/>
          <w:color w:val="auto"/>
          <w:sz w:val="22"/>
          <w:szCs w:val="22"/>
          <w:highlight w:val="none"/>
        </w:rPr>
        <w:t>采购的食品及原料在移交</w:t>
      </w:r>
      <w:r>
        <w:rPr>
          <w:rFonts w:hint="eastAsia" w:ascii="新宋体" w:hAnsi="新宋体" w:eastAsia="新宋体"/>
          <w:b/>
          <w:bCs/>
          <w:color w:val="auto"/>
          <w:sz w:val="22"/>
          <w:szCs w:val="22"/>
          <w:highlight w:val="none"/>
          <w:lang w:val="en-US" w:eastAsia="zh-CN"/>
        </w:rPr>
        <w:t>采购人</w:t>
      </w:r>
      <w:r>
        <w:rPr>
          <w:rFonts w:hint="eastAsia" w:ascii="新宋体" w:hAnsi="新宋体" w:eastAsia="新宋体"/>
          <w:b/>
          <w:bCs/>
          <w:color w:val="auto"/>
          <w:sz w:val="22"/>
          <w:szCs w:val="22"/>
          <w:highlight w:val="none"/>
        </w:rPr>
        <w:t>时投标人应专人</w:t>
      </w:r>
      <w:r>
        <w:rPr>
          <w:rFonts w:hint="eastAsia" w:ascii="新宋体" w:hAnsi="新宋体" w:eastAsia="新宋体"/>
          <w:b/>
          <w:bCs/>
          <w:color w:val="auto"/>
          <w:sz w:val="22"/>
          <w:szCs w:val="22"/>
          <w:highlight w:val="none"/>
          <w:lang w:eastAsia="zh-CN"/>
        </w:rPr>
        <w:t>（至少两人以上，一人清点，一人监督）</w:t>
      </w:r>
      <w:r>
        <w:rPr>
          <w:rFonts w:hint="eastAsia" w:ascii="新宋体" w:hAnsi="新宋体" w:eastAsia="新宋体"/>
          <w:b/>
          <w:bCs/>
          <w:color w:val="auto"/>
          <w:sz w:val="22"/>
          <w:szCs w:val="22"/>
          <w:highlight w:val="none"/>
        </w:rPr>
        <w:t>负责做好清点验收工作。</w:t>
      </w:r>
    </w:p>
    <w:p w14:paraId="0ECB9A08">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2）</w:t>
      </w:r>
      <w:r>
        <w:rPr>
          <w:rFonts w:hint="eastAsia" w:ascii="新宋体" w:hAnsi="新宋体" w:eastAsia="新宋体"/>
          <w:color w:val="auto"/>
          <w:sz w:val="22"/>
          <w:szCs w:val="22"/>
          <w:highlight w:val="none"/>
        </w:rPr>
        <w:t>采购的食品及原料每天都要有登记，记录品名、采购点、价格、数量和金额等。</w:t>
      </w:r>
    </w:p>
    <w:p w14:paraId="35C15CC2">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3）</w:t>
      </w:r>
      <w:r>
        <w:rPr>
          <w:rFonts w:hint="eastAsia" w:ascii="新宋体" w:hAnsi="新宋体" w:eastAsia="新宋体"/>
          <w:color w:val="auto"/>
          <w:sz w:val="22"/>
          <w:szCs w:val="22"/>
          <w:highlight w:val="none"/>
        </w:rPr>
        <w:t>食品采购验收人员对清点验收的加工食品及原料，必须检查其商标、出产地（厂家）、检验合格证等是否齐全，并整理归档，严禁接收加工无证产品。</w:t>
      </w:r>
    </w:p>
    <w:p w14:paraId="10445255">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4）</w:t>
      </w:r>
      <w:r>
        <w:rPr>
          <w:rFonts w:hint="eastAsia" w:ascii="新宋体" w:hAnsi="新宋体" w:eastAsia="新宋体"/>
          <w:color w:val="auto"/>
          <w:sz w:val="22"/>
          <w:szCs w:val="22"/>
          <w:highlight w:val="none"/>
        </w:rPr>
        <w:t>必须严格遵守国家新颁布的《餐饮业食品卫生管理办法》，发现有毒、有害、腐烂变质、酸败、霉变、生虫、污秽、不洁、混有异物或者其他感官性状异常的食品，无检验合格证明的食品，超过保质期限及其他不符合食品标签规定的定型包装食品，应禁止接收或加工制作，并上报</w:t>
      </w:r>
      <w:r>
        <w:rPr>
          <w:rFonts w:hint="eastAsia" w:ascii="新宋体" w:hAnsi="新宋体" w:eastAsia="新宋体"/>
          <w:color w:val="auto"/>
          <w:sz w:val="22"/>
          <w:szCs w:val="22"/>
          <w:highlight w:val="none"/>
          <w:lang w:eastAsia="zh-CN"/>
        </w:rPr>
        <w:t>采购人</w:t>
      </w:r>
      <w:r>
        <w:rPr>
          <w:rFonts w:hint="eastAsia" w:ascii="新宋体" w:hAnsi="新宋体" w:eastAsia="新宋体"/>
          <w:color w:val="auto"/>
          <w:sz w:val="22"/>
          <w:szCs w:val="22"/>
          <w:highlight w:val="none"/>
        </w:rPr>
        <w:t>处理。</w:t>
      </w:r>
    </w:p>
    <w:p w14:paraId="0C124480">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（5）餐饮具消毒卫生</w:t>
      </w:r>
    </w:p>
    <w:p w14:paraId="6E2AA0CE">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1）</w:t>
      </w:r>
      <w:r>
        <w:rPr>
          <w:rFonts w:hint="eastAsia" w:ascii="新宋体" w:hAnsi="新宋体" w:eastAsia="新宋体"/>
          <w:color w:val="auto"/>
          <w:sz w:val="22"/>
          <w:szCs w:val="22"/>
          <w:highlight w:val="none"/>
        </w:rPr>
        <w:t>餐饮具使用前必须做到一清、二洗、三消毒、四保洁，符合国家有关卫生标准。未经消毒的餐饮均不得使用，禁止重复使用—次性餐具。</w:t>
      </w:r>
    </w:p>
    <w:p w14:paraId="547B005D">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2）</w:t>
      </w:r>
      <w:r>
        <w:rPr>
          <w:rFonts w:hint="eastAsia" w:ascii="新宋体" w:hAnsi="新宋体" w:eastAsia="新宋体"/>
          <w:color w:val="auto"/>
          <w:sz w:val="22"/>
          <w:szCs w:val="22"/>
          <w:highlight w:val="none"/>
        </w:rPr>
        <w:t>洗刷餐饮具必须在专用水池，不得与清洗蔬菜、肉类及其他水池混用。</w:t>
      </w:r>
    </w:p>
    <w:p w14:paraId="53D1F9F8">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3）</w:t>
      </w:r>
      <w:r>
        <w:rPr>
          <w:rFonts w:hint="eastAsia" w:ascii="新宋体" w:hAnsi="新宋体" w:eastAsia="新宋体"/>
          <w:color w:val="auto"/>
          <w:sz w:val="22"/>
          <w:szCs w:val="22"/>
          <w:highlight w:val="none"/>
        </w:rPr>
        <w:t>洗涤消毒餐饮具使用的洗涤剂、消毒剂必须符合食品卫生标准要求。</w:t>
      </w:r>
    </w:p>
    <w:p w14:paraId="3484D4C4">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4）</w:t>
      </w:r>
      <w:r>
        <w:rPr>
          <w:rFonts w:hint="eastAsia" w:ascii="新宋体" w:hAnsi="新宋体" w:eastAsia="新宋体"/>
          <w:color w:val="auto"/>
          <w:sz w:val="22"/>
          <w:szCs w:val="22"/>
          <w:highlight w:val="none"/>
        </w:rPr>
        <w:t>餐饮具，尤其是配餐餐饮具，每餐洗净后必须放入电子消毒柜中消毒或高温消毒；若用消毒剂消毒必须按正确的使用剂量和规定时间程序消毒清洗。</w:t>
      </w:r>
    </w:p>
    <w:p w14:paraId="3EE3339E">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5）</w:t>
      </w:r>
      <w:r>
        <w:rPr>
          <w:rFonts w:hint="eastAsia" w:ascii="新宋体" w:hAnsi="新宋体" w:eastAsia="新宋体"/>
          <w:color w:val="auto"/>
          <w:sz w:val="22"/>
          <w:szCs w:val="22"/>
          <w:highlight w:val="none"/>
        </w:rPr>
        <w:t>消毒后的餐饮具必须贮存在餐饮具专用保洁柜内备用；已经消毒与末消毒的餐饮具应分开存放，并在餐饮具贮存柜上有明显标志。</w:t>
      </w:r>
    </w:p>
    <w:p w14:paraId="244819C8">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6）</w:t>
      </w:r>
      <w:r>
        <w:rPr>
          <w:rFonts w:hint="eastAsia" w:ascii="新宋体" w:hAnsi="新宋体" w:eastAsia="新宋体"/>
          <w:color w:val="auto"/>
          <w:sz w:val="22"/>
          <w:szCs w:val="22"/>
          <w:highlight w:val="none"/>
        </w:rPr>
        <w:t>餐饮具保洁柜应当定期清洗，保持洁净。</w:t>
      </w:r>
    </w:p>
    <w:p w14:paraId="071FE3AE">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7</w:t>
      </w:r>
      <w:r>
        <w:rPr>
          <w:rFonts w:hint="eastAsia" w:ascii="新宋体" w:hAnsi="新宋体" w:eastAsia="新宋体"/>
          <w:color w:val="auto"/>
          <w:sz w:val="22"/>
          <w:szCs w:val="22"/>
          <w:highlight w:val="none"/>
        </w:rPr>
        <w:t>）要保持餐厅</w:t>
      </w:r>
      <w:r>
        <w:rPr>
          <w:rFonts w:hint="eastAsia" w:ascii="新宋体" w:hAnsi="新宋体" w:eastAsia="新宋体"/>
          <w:color w:val="auto"/>
          <w:sz w:val="22"/>
          <w:szCs w:val="22"/>
          <w:highlight w:val="none"/>
          <w:lang w:eastAsia="zh-CN"/>
        </w:rPr>
        <w:t>（包括接待客人餐厅）</w:t>
      </w:r>
      <w:r>
        <w:rPr>
          <w:rFonts w:hint="eastAsia" w:ascii="新宋体" w:hAnsi="新宋体" w:eastAsia="新宋体"/>
          <w:color w:val="auto"/>
          <w:sz w:val="22"/>
          <w:szCs w:val="22"/>
          <w:highlight w:val="none"/>
        </w:rPr>
        <w:t>内餐桌、餐椅、墙面、地面等环境设施的消毒清洁。每次售餐完毕后，应按卫生管理规范收放好食品，清洗餐具、柜台，清扫场地。保持室内空气流通，严防各种污染。</w:t>
      </w:r>
    </w:p>
    <w:p w14:paraId="7372AA72">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8</w:t>
      </w:r>
      <w:r>
        <w:rPr>
          <w:rFonts w:hint="eastAsia" w:ascii="新宋体" w:hAnsi="新宋体" w:eastAsia="新宋体"/>
          <w:color w:val="auto"/>
          <w:sz w:val="22"/>
          <w:szCs w:val="22"/>
          <w:highlight w:val="none"/>
        </w:rPr>
        <w:t>）洗碗间、冷菜间、烹调制作间保持清洁卫生，厨房用具应及时清洗、消毒，严格做到生熟分开。</w:t>
      </w:r>
    </w:p>
    <w:p w14:paraId="36B0E5E3">
      <w:pPr>
        <w:spacing w:line="460" w:lineRule="exact"/>
        <w:ind w:firstLine="422" w:firstLineChars="200"/>
        <w:rPr>
          <w:rFonts w:hint="eastAsia" w:ascii="宋体"/>
          <w:b/>
          <w:bCs/>
          <w:color w:val="auto"/>
          <w:spacing w:val="0"/>
          <w:kern w:val="0"/>
          <w:szCs w:val="21"/>
          <w:highlight w:val="none"/>
        </w:rPr>
      </w:pPr>
      <w:r>
        <w:rPr>
          <w:rFonts w:hint="eastAsia" w:ascii="宋体"/>
          <w:b/>
          <w:bCs/>
          <w:color w:val="auto"/>
          <w:spacing w:val="0"/>
          <w:kern w:val="0"/>
          <w:szCs w:val="21"/>
          <w:highlight w:val="none"/>
          <w:lang w:eastAsia="zh-CN"/>
        </w:rPr>
        <w:t>（</w:t>
      </w:r>
      <w:r>
        <w:rPr>
          <w:rFonts w:hint="eastAsia" w:ascii="宋体"/>
          <w:b/>
          <w:bCs/>
          <w:color w:val="auto"/>
          <w:spacing w:val="0"/>
          <w:kern w:val="0"/>
          <w:szCs w:val="21"/>
          <w:highlight w:val="none"/>
          <w:lang w:val="en-US" w:eastAsia="zh-CN"/>
        </w:rPr>
        <w:t>四</w:t>
      </w:r>
      <w:r>
        <w:rPr>
          <w:rFonts w:hint="eastAsia" w:ascii="宋体"/>
          <w:b/>
          <w:bCs/>
          <w:color w:val="auto"/>
          <w:spacing w:val="0"/>
          <w:kern w:val="0"/>
          <w:szCs w:val="21"/>
          <w:highlight w:val="none"/>
          <w:lang w:eastAsia="zh-CN"/>
        </w:rPr>
        <w:t>）</w:t>
      </w:r>
      <w:r>
        <w:rPr>
          <w:rFonts w:hint="eastAsia" w:ascii="宋体"/>
          <w:b/>
          <w:bCs/>
          <w:color w:val="auto"/>
          <w:spacing w:val="0"/>
          <w:kern w:val="0"/>
          <w:szCs w:val="21"/>
          <w:highlight w:val="none"/>
          <w:lang w:val="en-US" w:eastAsia="zh-CN"/>
        </w:rPr>
        <w:t>卫生服务</w:t>
      </w:r>
      <w:r>
        <w:rPr>
          <w:rFonts w:hint="eastAsia" w:ascii="宋体"/>
          <w:b/>
          <w:bCs/>
          <w:color w:val="auto"/>
          <w:spacing w:val="0"/>
          <w:kern w:val="0"/>
          <w:szCs w:val="21"/>
          <w:highlight w:val="none"/>
        </w:rPr>
        <w:t>：负责</w:t>
      </w:r>
      <w:r>
        <w:rPr>
          <w:rFonts w:hint="eastAsia" w:ascii="宋体"/>
          <w:b/>
          <w:bCs/>
          <w:color w:val="auto"/>
          <w:spacing w:val="0"/>
          <w:kern w:val="0"/>
          <w:szCs w:val="21"/>
          <w:highlight w:val="none"/>
          <w:lang w:val="en-US" w:eastAsia="zh-CN"/>
        </w:rPr>
        <w:t>办公区域和公共场地区域</w:t>
      </w:r>
      <w:r>
        <w:rPr>
          <w:rFonts w:hint="eastAsia" w:ascii="宋体"/>
          <w:b/>
          <w:bCs/>
          <w:color w:val="auto"/>
          <w:spacing w:val="0"/>
          <w:kern w:val="0"/>
          <w:szCs w:val="21"/>
          <w:highlight w:val="none"/>
        </w:rPr>
        <w:t>。</w:t>
      </w:r>
    </w:p>
    <w:p w14:paraId="7A00D748">
      <w:pPr>
        <w:pStyle w:val="2"/>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Times New Roman"/>
          <w:bCs w:val="0"/>
          <w:color w:val="auto"/>
          <w:kern w:val="2"/>
          <w:sz w:val="22"/>
          <w:szCs w:val="22"/>
          <w:highlight w:val="none"/>
          <w:lang w:val="en-US" w:eastAsia="zh-CN" w:bidi="ar-SA"/>
        </w:rPr>
      </w:pPr>
      <w:r>
        <w:rPr>
          <w:rFonts w:hint="eastAsia" w:ascii="新宋体" w:hAnsi="新宋体" w:eastAsia="新宋体" w:cs="Times New Roman"/>
          <w:bCs w:val="0"/>
          <w:color w:val="auto"/>
          <w:kern w:val="2"/>
          <w:sz w:val="22"/>
          <w:szCs w:val="22"/>
          <w:highlight w:val="none"/>
          <w:lang w:val="en-US" w:eastAsia="zh-CN" w:bidi="ar-SA"/>
        </w:rPr>
        <w:t>（1）室内保洁</w:t>
      </w:r>
    </w:p>
    <w:p w14:paraId="6BC6E90A">
      <w:pPr>
        <w:pStyle w:val="2"/>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Times New Roman"/>
          <w:bCs w:val="0"/>
          <w:color w:val="auto"/>
          <w:kern w:val="2"/>
          <w:sz w:val="22"/>
          <w:szCs w:val="22"/>
          <w:highlight w:val="none"/>
          <w:lang w:val="en-US" w:eastAsia="zh-CN" w:bidi="ar-SA"/>
        </w:rPr>
      </w:pPr>
      <w:r>
        <w:rPr>
          <w:rFonts w:hint="eastAsia" w:ascii="新宋体" w:hAnsi="新宋体" w:eastAsia="新宋体" w:cs="Times New Roman"/>
          <w:bCs w:val="0"/>
          <w:color w:val="auto"/>
          <w:kern w:val="2"/>
          <w:sz w:val="22"/>
          <w:szCs w:val="22"/>
          <w:highlight w:val="none"/>
          <w:lang w:val="en-US" w:eastAsia="zh-CN" w:bidi="ar-SA"/>
        </w:rPr>
        <w:t xml:space="preserve">会议室、电梯、通道、楼梯、卫生间、办公室及其它用房地面、墙面、天花板，门窗玻璃、墙壁附体、普通机器的保洁要做到无蜘蛛网、无灰尘。外围地面无堆积物或废弃物，室内保洁区域无果壳、纸屑等污物，无积水、砂石等堆积。各类垃圾运到规定的地方放置。 </w:t>
      </w:r>
    </w:p>
    <w:p w14:paraId="02F049DD">
      <w:pPr>
        <w:pStyle w:val="2"/>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Times New Roman"/>
          <w:bCs w:val="0"/>
          <w:color w:val="auto"/>
          <w:kern w:val="2"/>
          <w:sz w:val="22"/>
          <w:szCs w:val="22"/>
          <w:highlight w:val="none"/>
          <w:lang w:val="en-US" w:eastAsia="zh-CN" w:bidi="ar-SA"/>
        </w:rPr>
      </w:pPr>
      <w:r>
        <w:rPr>
          <w:rFonts w:hint="eastAsia" w:ascii="新宋体" w:hAnsi="新宋体" w:eastAsia="新宋体" w:cs="Times New Roman"/>
          <w:bCs w:val="0"/>
          <w:color w:val="auto"/>
          <w:kern w:val="2"/>
          <w:sz w:val="22"/>
          <w:szCs w:val="22"/>
          <w:highlight w:val="none"/>
          <w:lang w:val="en-US" w:eastAsia="zh-CN" w:bidi="ar-SA"/>
        </w:rPr>
        <w:t>（2）公共场所</w:t>
      </w:r>
    </w:p>
    <w:p w14:paraId="6CD16C25">
      <w:pPr>
        <w:pStyle w:val="2"/>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Times New Roman"/>
          <w:bCs w:val="0"/>
          <w:color w:val="auto"/>
          <w:kern w:val="2"/>
          <w:sz w:val="22"/>
          <w:szCs w:val="22"/>
          <w:highlight w:val="none"/>
          <w:lang w:val="en-US" w:eastAsia="zh-CN" w:bidi="ar-SA"/>
        </w:rPr>
      </w:pPr>
      <w:r>
        <w:rPr>
          <w:rFonts w:hint="eastAsia" w:ascii="新宋体" w:hAnsi="新宋体" w:eastAsia="新宋体" w:cs="Times New Roman"/>
          <w:bCs w:val="0"/>
          <w:color w:val="auto"/>
          <w:kern w:val="2"/>
          <w:sz w:val="22"/>
          <w:szCs w:val="22"/>
          <w:highlight w:val="none"/>
          <w:lang w:val="en-US" w:eastAsia="zh-CN" w:bidi="ar-SA"/>
        </w:rPr>
        <w:t>地面、墙面（水泥、大理石、花岗岩）、地毯、扶手，门窗玻璃、幕玻璃，附体，各类宣传牌、橱窗及有关附体，天花板、栏杆、绿化区域等。2米以下的外墙下沿及5米以下的幕玻璃下沿等要做到无灰尘堆积、无明显垃圾。顶篷、露天阳台等区域，包括各幢楼的屋顶、露天阳台、沟槽、地面、雨篷、边角区域及各种附体的表面要定期清扫，防止下水道堵塞。</w:t>
      </w:r>
    </w:p>
    <w:p w14:paraId="44DCCD91">
      <w:pPr>
        <w:pStyle w:val="2"/>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Times New Roman"/>
          <w:bCs w:val="0"/>
          <w:color w:val="auto"/>
          <w:kern w:val="2"/>
          <w:sz w:val="22"/>
          <w:szCs w:val="22"/>
          <w:highlight w:val="none"/>
          <w:lang w:val="en-US" w:eastAsia="zh-CN" w:bidi="ar-SA"/>
        </w:rPr>
      </w:pPr>
      <w:r>
        <w:rPr>
          <w:rFonts w:hint="eastAsia" w:ascii="新宋体" w:hAnsi="新宋体" w:eastAsia="新宋体" w:cs="Times New Roman"/>
          <w:bCs w:val="0"/>
          <w:color w:val="auto"/>
          <w:kern w:val="2"/>
          <w:sz w:val="22"/>
          <w:szCs w:val="22"/>
          <w:highlight w:val="none"/>
          <w:lang w:val="en-US" w:eastAsia="zh-CN" w:bidi="ar-SA"/>
        </w:rPr>
        <w:t>（3）配合做好预防隐蔽性和活动性虫害，如白蚁、老鼠、蟑螂、蚊子、苍蝇等。</w:t>
      </w:r>
    </w:p>
    <w:p w14:paraId="3D4D8C2F">
      <w:pPr>
        <w:pStyle w:val="2"/>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Times New Roman"/>
          <w:bCs w:val="0"/>
          <w:color w:val="auto"/>
          <w:kern w:val="2"/>
          <w:sz w:val="22"/>
          <w:szCs w:val="22"/>
          <w:highlight w:val="none"/>
          <w:lang w:val="en-US" w:eastAsia="zh-CN" w:bidi="ar-SA"/>
        </w:rPr>
      </w:pPr>
      <w:r>
        <w:rPr>
          <w:rFonts w:hint="eastAsia" w:ascii="新宋体" w:hAnsi="新宋体" w:eastAsia="新宋体" w:cs="Times New Roman"/>
          <w:bCs w:val="0"/>
          <w:color w:val="auto"/>
          <w:kern w:val="2"/>
          <w:sz w:val="22"/>
          <w:szCs w:val="22"/>
          <w:highlight w:val="none"/>
          <w:lang w:val="en-US" w:eastAsia="zh-CN" w:bidi="ar-SA"/>
        </w:rPr>
        <w:t>（4）楼层地面干净无尘，厕所无污垢异味并保持干爽。玻璃光亮透明无手印，墙面无浮尘，楼梯扶手光亮无污渍，天花板及灯饰干净明亮，废物箱表面干净无污渍。</w:t>
      </w:r>
    </w:p>
    <w:p w14:paraId="104A2FF9">
      <w:pPr>
        <w:pStyle w:val="2"/>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Times New Roman"/>
          <w:bCs w:val="0"/>
          <w:color w:val="auto"/>
          <w:kern w:val="2"/>
          <w:sz w:val="22"/>
          <w:szCs w:val="22"/>
          <w:highlight w:val="none"/>
          <w:lang w:val="en-US" w:eastAsia="zh-CN" w:bidi="ar-SA"/>
        </w:rPr>
      </w:pPr>
      <w:r>
        <w:rPr>
          <w:rFonts w:hint="eastAsia" w:ascii="新宋体" w:hAnsi="新宋体" w:eastAsia="新宋体" w:cs="Times New Roman"/>
          <w:bCs w:val="0"/>
          <w:color w:val="auto"/>
          <w:kern w:val="2"/>
          <w:sz w:val="22"/>
          <w:szCs w:val="22"/>
          <w:highlight w:val="none"/>
          <w:lang w:val="en-US" w:eastAsia="zh-CN" w:bidi="ar-SA"/>
        </w:rPr>
        <w:t>（5）统一着装，具有良好的职业道德和修养，节约用水，随手关灯。</w:t>
      </w:r>
    </w:p>
    <w:p w14:paraId="6951A37B">
      <w:pPr>
        <w:pStyle w:val="2"/>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Times New Roman"/>
          <w:bCs w:val="0"/>
          <w:color w:val="auto"/>
          <w:kern w:val="2"/>
          <w:sz w:val="22"/>
          <w:szCs w:val="22"/>
          <w:highlight w:val="none"/>
          <w:lang w:val="en-US" w:eastAsia="zh-CN" w:bidi="ar-SA"/>
        </w:rPr>
      </w:pPr>
      <w:r>
        <w:rPr>
          <w:rFonts w:hint="eastAsia" w:ascii="新宋体" w:hAnsi="新宋体" w:eastAsia="新宋体" w:cs="Times New Roman"/>
          <w:bCs w:val="0"/>
          <w:color w:val="auto"/>
          <w:kern w:val="2"/>
          <w:sz w:val="22"/>
          <w:szCs w:val="22"/>
          <w:highlight w:val="none"/>
          <w:lang w:val="en-US" w:eastAsia="zh-CN" w:bidi="ar-SA"/>
        </w:rPr>
        <w:t>（6）保洁员巡查：保洁员不定期地巡查，及时归位公共区域的家具、茶杯等物品。</w:t>
      </w:r>
    </w:p>
    <w:p w14:paraId="0692A329">
      <w:pPr>
        <w:keepNext w:val="0"/>
        <w:keepLines w:val="0"/>
        <w:pageBreakBefore w:val="0"/>
        <w:kinsoku/>
        <w:wordWrap/>
        <w:overflowPunct/>
        <w:topLinePunct w:val="0"/>
        <w:bidi w:val="0"/>
        <w:spacing w:line="460" w:lineRule="exact"/>
        <w:outlineLvl w:val="9"/>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rPr>
        <w:t xml:space="preserve">    </w:t>
      </w:r>
      <w:bookmarkStart w:id="5" w:name="_Toc522523246"/>
      <w:r>
        <w:rPr>
          <w:rFonts w:hint="eastAsia" w:ascii="新宋体" w:hAnsi="新宋体" w:eastAsia="新宋体" w:cs="新宋体"/>
          <w:b/>
          <w:color w:val="auto"/>
          <w:sz w:val="22"/>
          <w:szCs w:val="22"/>
          <w:highlight w:val="none"/>
        </w:rPr>
        <w:t>（</w:t>
      </w:r>
      <w:r>
        <w:rPr>
          <w:rFonts w:hint="eastAsia" w:ascii="新宋体" w:hAnsi="新宋体" w:eastAsia="新宋体" w:cs="新宋体"/>
          <w:b/>
          <w:color w:val="auto"/>
          <w:sz w:val="22"/>
          <w:szCs w:val="22"/>
          <w:highlight w:val="none"/>
          <w:lang w:val="en-US" w:eastAsia="zh-CN"/>
        </w:rPr>
        <w:t>五</w:t>
      </w:r>
      <w:r>
        <w:rPr>
          <w:rFonts w:hint="eastAsia" w:ascii="新宋体" w:hAnsi="新宋体" w:eastAsia="新宋体" w:cs="新宋体"/>
          <w:b/>
          <w:color w:val="auto"/>
          <w:sz w:val="22"/>
          <w:szCs w:val="22"/>
          <w:highlight w:val="none"/>
        </w:rPr>
        <w:t>）</w:t>
      </w:r>
      <w:bookmarkEnd w:id="5"/>
      <w:r>
        <w:rPr>
          <w:rFonts w:hint="eastAsia" w:ascii="新宋体" w:hAnsi="新宋体" w:eastAsia="新宋体" w:cs="新宋体"/>
          <w:b/>
          <w:color w:val="auto"/>
          <w:sz w:val="22"/>
          <w:szCs w:val="22"/>
          <w:highlight w:val="none"/>
          <w:lang w:eastAsia="zh-CN"/>
        </w:rPr>
        <w:t>服务用品及场所</w:t>
      </w:r>
    </w:p>
    <w:p w14:paraId="7EE890AA">
      <w:pPr>
        <w:keepNext w:val="0"/>
        <w:keepLines w:val="0"/>
        <w:pageBreakBefore w:val="0"/>
        <w:kinsoku/>
        <w:wordWrap/>
        <w:overflowPunct/>
        <w:topLinePunct w:val="0"/>
        <w:bidi w:val="0"/>
        <w:spacing w:line="460" w:lineRule="exact"/>
        <w:ind w:firstLine="541" w:firstLineChars="245"/>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w:t>
      </w:r>
      <w:r>
        <w:rPr>
          <w:rFonts w:hint="eastAsia" w:ascii="新宋体" w:hAnsi="新宋体" w:eastAsia="新宋体" w:cs="新宋体"/>
          <w:b/>
          <w:color w:val="auto"/>
          <w:sz w:val="22"/>
          <w:szCs w:val="22"/>
          <w:highlight w:val="none"/>
          <w:lang w:eastAsia="zh-CN"/>
        </w:rPr>
        <w:t>各项</w:t>
      </w:r>
      <w:r>
        <w:rPr>
          <w:rFonts w:hint="eastAsia" w:ascii="新宋体" w:hAnsi="新宋体" w:eastAsia="新宋体" w:cs="新宋体"/>
          <w:b/>
          <w:color w:val="auto"/>
          <w:sz w:val="22"/>
          <w:szCs w:val="22"/>
          <w:highlight w:val="none"/>
        </w:rPr>
        <w:t>服务管理所需的清洁维护工具、设备、低值易耗品与一次性用品由</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提供。</w:t>
      </w:r>
    </w:p>
    <w:p w14:paraId="4F4D09FC">
      <w:pPr>
        <w:keepNext w:val="0"/>
        <w:keepLines w:val="0"/>
        <w:pageBreakBefore w:val="0"/>
        <w:kinsoku/>
        <w:wordWrap/>
        <w:overflowPunct/>
        <w:topLinePunct w:val="0"/>
        <w:bidi w:val="0"/>
        <w:spacing w:line="460" w:lineRule="exact"/>
        <w:ind w:firstLine="541" w:firstLineChars="245"/>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2、服务管理必须的仓库、办公等用房由</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无偿提供。</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为服务管理工作人员提供</w:t>
      </w:r>
      <w:r>
        <w:rPr>
          <w:rFonts w:hint="eastAsia" w:ascii="新宋体" w:hAnsi="新宋体" w:eastAsia="新宋体" w:cs="新宋体"/>
          <w:b/>
          <w:color w:val="auto"/>
          <w:sz w:val="22"/>
          <w:szCs w:val="22"/>
          <w:highlight w:val="none"/>
          <w:lang w:eastAsia="zh-CN"/>
        </w:rPr>
        <w:t>饮食，并为</w:t>
      </w:r>
      <w:r>
        <w:rPr>
          <w:rFonts w:hint="eastAsia" w:ascii="新宋体" w:hAnsi="新宋体" w:eastAsia="新宋体" w:cs="新宋体"/>
          <w:b/>
          <w:color w:val="auto"/>
          <w:sz w:val="22"/>
          <w:szCs w:val="22"/>
          <w:highlight w:val="none"/>
          <w:lang w:val="en-US" w:eastAsia="zh-CN"/>
        </w:rPr>
        <w:t>由采购人确定的特殊岗位</w:t>
      </w:r>
      <w:r>
        <w:rPr>
          <w:rFonts w:hint="eastAsia" w:ascii="新宋体" w:hAnsi="新宋体" w:eastAsia="新宋体" w:cs="新宋体"/>
          <w:b/>
          <w:color w:val="auto"/>
          <w:sz w:val="22"/>
          <w:szCs w:val="22"/>
          <w:highlight w:val="none"/>
        </w:rPr>
        <w:t>服务管理工作人员提供</w:t>
      </w:r>
      <w:r>
        <w:rPr>
          <w:rFonts w:hint="eastAsia" w:ascii="新宋体" w:hAnsi="新宋体" w:eastAsia="新宋体" w:cs="新宋体"/>
          <w:b/>
          <w:color w:val="auto"/>
          <w:sz w:val="22"/>
          <w:szCs w:val="22"/>
          <w:highlight w:val="none"/>
          <w:lang w:eastAsia="zh-CN"/>
        </w:rPr>
        <w:t>住宿</w:t>
      </w:r>
      <w:r>
        <w:rPr>
          <w:rFonts w:hint="eastAsia" w:ascii="新宋体" w:hAnsi="新宋体" w:eastAsia="新宋体" w:cs="新宋体"/>
          <w:b/>
          <w:color w:val="auto"/>
          <w:sz w:val="22"/>
          <w:szCs w:val="22"/>
          <w:highlight w:val="none"/>
        </w:rPr>
        <w:t>场所，</w:t>
      </w:r>
      <w:r>
        <w:rPr>
          <w:rFonts w:hint="eastAsia" w:ascii="新宋体" w:hAnsi="新宋体" w:eastAsia="新宋体" w:cs="新宋体"/>
          <w:b/>
          <w:color w:val="auto"/>
          <w:sz w:val="22"/>
          <w:szCs w:val="22"/>
          <w:highlight w:val="none"/>
          <w:lang w:eastAsia="zh-CN"/>
        </w:rPr>
        <w:t>成交供应商</w:t>
      </w:r>
      <w:r>
        <w:rPr>
          <w:rFonts w:hint="eastAsia" w:ascii="新宋体" w:hAnsi="新宋体" w:eastAsia="新宋体" w:cs="新宋体"/>
          <w:b/>
          <w:color w:val="auto"/>
          <w:sz w:val="22"/>
          <w:szCs w:val="22"/>
          <w:highlight w:val="none"/>
        </w:rPr>
        <w:t>应按照</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的管理规定，</w:t>
      </w:r>
      <w:r>
        <w:rPr>
          <w:rFonts w:hint="eastAsia" w:ascii="新宋体" w:hAnsi="新宋体" w:eastAsia="新宋体" w:cs="新宋体"/>
          <w:b/>
          <w:color w:val="auto"/>
          <w:sz w:val="22"/>
          <w:szCs w:val="22"/>
          <w:highlight w:val="none"/>
          <w:lang w:val="en-US" w:eastAsia="zh-CN"/>
        </w:rPr>
        <w:t>每年</w:t>
      </w:r>
      <w:r>
        <w:rPr>
          <w:rFonts w:hint="eastAsia" w:ascii="新宋体" w:hAnsi="新宋体" w:eastAsia="新宋体" w:cs="新宋体"/>
          <w:b/>
          <w:color w:val="auto"/>
          <w:sz w:val="22"/>
          <w:szCs w:val="22"/>
          <w:highlight w:val="none"/>
        </w:rPr>
        <w:t>向食堂缴纳</w:t>
      </w:r>
      <w:r>
        <w:rPr>
          <w:rFonts w:hint="eastAsia" w:ascii="新宋体" w:hAnsi="新宋体" w:eastAsia="新宋体" w:cs="新宋体"/>
          <w:b/>
          <w:color w:val="auto"/>
          <w:sz w:val="22"/>
          <w:szCs w:val="22"/>
          <w:highlight w:val="none"/>
          <w:lang w:val="en-US" w:eastAsia="zh-CN"/>
        </w:rPr>
        <w:t>人民币贰万元整（¥20000.00元）</w:t>
      </w:r>
      <w:r>
        <w:rPr>
          <w:rFonts w:hint="eastAsia" w:ascii="新宋体" w:hAnsi="新宋体" w:eastAsia="新宋体" w:cs="新宋体"/>
          <w:b/>
          <w:color w:val="auto"/>
          <w:sz w:val="22"/>
          <w:szCs w:val="22"/>
          <w:highlight w:val="none"/>
        </w:rPr>
        <w:t>的食堂</w:t>
      </w:r>
      <w:r>
        <w:rPr>
          <w:rFonts w:hint="eastAsia" w:ascii="新宋体" w:hAnsi="新宋体" w:eastAsia="新宋体" w:cs="新宋体"/>
          <w:b/>
          <w:color w:val="auto"/>
          <w:sz w:val="22"/>
          <w:szCs w:val="22"/>
          <w:highlight w:val="none"/>
          <w:lang w:val="en-US" w:eastAsia="zh-CN"/>
        </w:rPr>
        <w:t>包干费用</w:t>
      </w:r>
      <w:r>
        <w:rPr>
          <w:rFonts w:hint="eastAsia" w:ascii="新宋体" w:hAnsi="新宋体" w:eastAsia="新宋体" w:cs="新宋体"/>
          <w:b/>
          <w:color w:val="auto"/>
          <w:sz w:val="22"/>
          <w:szCs w:val="22"/>
          <w:highlight w:val="none"/>
        </w:rPr>
        <w:t>。</w:t>
      </w:r>
    </w:p>
    <w:p w14:paraId="67999F6B">
      <w:pPr>
        <w:keepNext w:val="0"/>
        <w:keepLines w:val="0"/>
        <w:pageBreakBefore w:val="0"/>
        <w:kinsoku/>
        <w:wordWrap/>
        <w:overflowPunct/>
        <w:topLinePunct w:val="0"/>
        <w:bidi w:val="0"/>
        <w:spacing w:line="460" w:lineRule="exact"/>
        <w:ind w:firstLine="541" w:firstLineChars="245"/>
        <w:outlineLvl w:val="9"/>
        <w:rPr>
          <w:rFonts w:hint="eastAsia" w:ascii="新宋体" w:hAnsi="新宋体" w:eastAsia="新宋体" w:cs="新宋体"/>
          <w:b/>
          <w:color w:val="auto"/>
          <w:sz w:val="22"/>
          <w:szCs w:val="22"/>
          <w:highlight w:val="none"/>
        </w:rPr>
      </w:pPr>
      <w:bookmarkStart w:id="6" w:name="_Toc522523247"/>
      <w:r>
        <w:rPr>
          <w:rFonts w:hint="eastAsia" w:ascii="新宋体" w:hAnsi="新宋体" w:eastAsia="新宋体" w:cs="新宋体"/>
          <w:b/>
          <w:color w:val="auto"/>
          <w:sz w:val="22"/>
          <w:szCs w:val="22"/>
          <w:highlight w:val="none"/>
        </w:rPr>
        <w:t>（</w:t>
      </w:r>
      <w:r>
        <w:rPr>
          <w:rFonts w:hint="eastAsia" w:ascii="新宋体" w:hAnsi="新宋体" w:eastAsia="新宋体" w:cs="新宋体"/>
          <w:b/>
          <w:color w:val="auto"/>
          <w:sz w:val="22"/>
          <w:szCs w:val="22"/>
          <w:highlight w:val="none"/>
          <w:lang w:val="en-US" w:eastAsia="zh-CN"/>
        </w:rPr>
        <w:t>六</w:t>
      </w:r>
      <w:r>
        <w:rPr>
          <w:rFonts w:hint="eastAsia" w:ascii="新宋体" w:hAnsi="新宋体" w:eastAsia="新宋体" w:cs="新宋体"/>
          <w:b/>
          <w:color w:val="auto"/>
          <w:sz w:val="22"/>
          <w:szCs w:val="22"/>
          <w:highlight w:val="none"/>
        </w:rPr>
        <w:t>）</w:t>
      </w:r>
      <w:r>
        <w:rPr>
          <w:rFonts w:hint="eastAsia" w:ascii="新宋体" w:hAnsi="新宋体" w:eastAsia="新宋体" w:cs="新宋体"/>
          <w:b/>
          <w:color w:val="auto"/>
          <w:sz w:val="22"/>
          <w:szCs w:val="22"/>
          <w:highlight w:val="none"/>
          <w:lang w:eastAsia="zh-CN"/>
        </w:rPr>
        <w:t>岗位</w:t>
      </w:r>
      <w:r>
        <w:rPr>
          <w:rFonts w:hint="eastAsia" w:ascii="新宋体" w:hAnsi="新宋体" w:eastAsia="新宋体" w:cs="新宋体"/>
          <w:b/>
          <w:color w:val="auto"/>
          <w:sz w:val="22"/>
          <w:szCs w:val="22"/>
          <w:highlight w:val="none"/>
        </w:rPr>
        <w:t>配置</w:t>
      </w:r>
      <w:bookmarkEnd w:id="6"/>
    </w:p>
    <w:p w14:paraId="6068A7B9">
      <w:pPr>
        <w:keepNext w:val="0"/>
        <w:keepLines w:val="0"/>
        <w:pageBreakBefore w:val="0"/>
        <w:kinsoku/>
        <w:wordWrap/>
        <w:overflowPunct/>
        <w:topLinePunct w:val="0"/>
        <w:bidi w:val="0"/>
        <w:spacing w:line="460" w:lineRule="exact"/>
        <w:ind w:firstLine="539" w:firstLineChars="245"/>
        <w:outlineLvl w:val="9"/>
        <w:rPr>
          <w:rFonts w:hint="eastAsia" w:ascii="新宋体" w:hAnsi="新宋体" w:eastAsia="新宋体" w:cs="新宋体"/>
          <w:b/>
          <w:color w:val="auto"/>
          <w:sz w:val="22"/>
          <w:szCs w:val="22"/>
          <w:highlight w:val="none"/>
          <w:u w:val="single"/>
        </w:rPr>
      </w:pPr>
      <w:r>
        <w:rPr>
          <w:rFonts w:hint="eastAsia" w:hAnsi="宋体"/>
          <w:color w:val="auto"/>
          <w:sz w:val="22"/>
          <w:szCs w:val="22"/>
          <w:highlight w:val="none"/>
        </w:rPr>
        <w:t>▲</w:t>
      </w:r>
      <w:r>
        <w:rPr>
          <w:rFonts w:hint="eastAsia" w:ascii="新宋体" w:hAnsi="新宋体" w:eastAsia="新宋体" w:cs="新宋体"/>
          <w:b/>
          <w:color w:val="auto"/>
          <w:sz w:val="22"/>
          <w:szCs w:val="22"/>
          <w:highlight w:val="none"/>
          <w:u w:val="single"/>
        </w:rPr>
        <w:t>1、</w:t>
      </w:r>
      <w:r>
        <w:rPr>
          <w:rFonts w:hint="eastAsia" w:ascii="新宋体" w:hAnsi="新宋体" w:eastAsia="新宋体" w:cs="新宋体"/>
          <w:b/>
          <w:color w:val="auto"/>
          <w:sz w:val="22"/>
          <w:szCs w:val="22"/>
          <w:highlight w:val="none"/>
          <w:u w:val="single"/>
          <w:lang w:eastAsia="zh-CN"/>
        </w:rPr>
        <w:t>岗位</w:t>
      </w:r>
      <w:r>
        <w:rPr>
          <w:rFonts w:hint="eastAsia" w:ascii="新宋体" w:hAnsi="新宋体" w:eastAsia="新宋体" w:cs="新宋体"/>
          <w:b/>
          <w:color w:val="auto"/>
          <w:sz w:val="22"/>
          <w:szCs w:val="22"/>
          <w:highlight w:val="none"/>
          <w:u w:val="single"/>
        </w:rPr>
        <w:t>最低配置：</w:t>
      </w:r>
      <w:r>
        <w:rPr>
          <w:rFonts w:hint="eastAsia" w:ascii="新宋体" w:hAnsi="新宋体" w:eastAsia="新宋体" w:cs="新宋体"/>
          <w:b/>
          <w:color w:val="auto"/>
          <w:sz w:val="22"/>
          <w:szCs w:val="22"/>
          <w:highlight w:val="none"/>
          <w:u w:val="single"/>
          <w:lang w:eastAsia="zh-CN"/>
        </w:rPr>
        <w:t>本项目服务岗位</w:t>
      </w:r>
      <w:r>
        <w:rPr>
          <w:rFonts w:hint="eastAsia" w:ascii="新宋体" w:hAnsi="新宋体" w:eastAsia="新宋体" w:cs="新宋体"/>
          <w:b/>
          <w:color w:val="auto"/>
          <w:sz w:val="22"/>
          <w:szCs w:val="22"/>
          <w:highlight w:val="none"/>
          <w:u w:val="single"/>
          <w:lang w:val="en-US" w:eastAsia="zh-CN"/>
        </w:rPr>
        <w:t>22个，其中部分岗位可兼职，但总服务人数不得少于16个，且需完成项目的所有服务内容</w:t>
      </w:r>
      <w:r>
        <w:rPr>
          <w:rFonts w:hint="eastAsia" w:ascii="新宋体" w:hAnsi="新宋体" w:eastAsia="新宋体" w:cs="新宋体"/>
          <w:b/>
          <w:color w:val="auto"/>
          <w:sz w:val="22"/>
          <w:szCs w:val="22"/>
          <w:highlight w:val="none"/>
          <w:u w:val="single"/>
          <w:lang w:eastAsia="zh-CN"/>
        </w:rPr>
        <w:t>。</w:t>
      </w:r>
    </w:p>
    <w:p w14:paraId="6B32A7D2">
      <w:pPr>
        <w:keepNext w:val="0"/>
        <w:keepLines w:val="0"/>
        <w:pageBreakBefore w:val="0"/>
        <w:kinsoku/>
        <w:wordWrap/>
        <w:overflowPunct/>
        <w:topLinePunct w:val="0"/>
        <w:bidi w:val="0"/>
        <w:spacing w:line="460" w:lineRule="exact"/>
        <w:ind w:firstLine="539" w:firstLineChars="245"/>
        <w:outlineLvl w:val="9"/>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2、人员要求：</w:t>
      </w:r>
      <w:r>
        <w:rPr>
          <w:rFonts w:hint="eastAsia" w:ascii="新宋体" w:hAnsi="新宋体" w:eastAsia="新宋体" w:cs="新宋体"/>
          <w:b w:val="0"/>
          <w:bCs w:val="0"/>
          <w:color w:val="auto"/>
          <w:sz w:val="22"/>
          <w:szCs w:val="22"/>
          <w:highlight w:val="none"/>
          <w:lang w:eastAsia="zh-CN"/>
        </w:rPr>
        <w:t>成交供应商</w:t>
      </w:r>
      <w:r>
        <w:rPr>
          <w:rFonts w:hint="eastAsia" w:ascii="新宋体" w:hAnsi="新宋体" w:eastAsia="新宋体" w:cs="新宋体"/>
          <w:b w:val="0"/>
          <w:bCs w:val="0"/>
          <w:color w:val="auto"/>
          <w:sz w:val="22"/>
          <w:szCs w:val="22"/>
          <w:highlight w:val="none"/>
        </w:rPr>
        <w:t>应将聘用人员通过政审后，提交的相关材料（包括体检证明、年龄、从事岗位、学历专业、资格证书、证明资料）等报</w:t>
      </w:r>
      <w:r>
        <w:rPr>
          <w:rFonts w:hint="eastAsia" w:ascii="新宋体" w:hAnsi="新宋体" w:eastAsia="新宋体" w:cs="新宋体"/>
          <w:b w:val="0"/>
          <w:bCs w:val="0"/>
          <w:color w:val="auto"/>
          <w:sz w:val="22"/>
          <w:szCs w:val="22"/>
          <w:highlight w:val="none"/>
          <w:lang w:eastAsia="zh-CN"/>
        </w:rPr>
        <w:t>采购人</w:t>
      </w:r>
      <w:r>
        <w:rPr>
          <w:rFonts w:hint="eastAsia" w:ascii="新宋体" w:hAnsi="新宋体" w:eastAsia="新宋体" w:cs="新宋体"/>
          <w:b w:val="0"/>
          <w:bCs w:val="0"/>
          <w:color w:val="auto"/>
          <w:sz w:val="22"/>
          <w:szCs w:val="22"/>
          <w:highlight w:val="none"/>
        </w:rPr>
        <w:t>认可备案，</w:t>
      </w:r>
      <w:r>
        <w:rPr>
          <w:rFonts w:hint="eastAsia" w:ascii="新宋体" w:hAnsi="新宋体" w:eastAsia="新宋体" w:cs="新宋体"/>
          <w:b w:val="0"/>
          <w:bCs w:val="0"/>
          <w:color w:val="auto"/>
          <w:sz w:val="22"/>
          <w:szCs w:val="22"/>
          <w:highlight w:val="none"/>
          <w:lang w:eastAsia="zh-CN"/>
        </w:rPr>
        <w:t>采购人</w:t>
      </w:r>
      <w:r>
        <w:rPr>
          <w:rFonts w:hint="eastAsia" w:ascii="新宋体" w:hAnsi="新宋体" w:eastAsia="新宋体" w:cs="新宋体"/>
          <w:b w:val="0"/>
          <w:bCs w:val="0"/>
          <w:color w:val="auto"/>
          <w:sz w:val="22"/>
          <w:szCs w:val="22"/>
          <w:highlight w:val="none"/>
        </w:rPr>
        <w:t>按照岗位匹配要求决定是否录用。如</w:t>
      </w:r>
      <w:r>
        <w:rPr>
          <w:rFonts w:hint="eastAsia" w:ascii="新宋体" w:hAnsi="新宋体" w:eastAsia="新宋体" w:cs="新宋体"/>
          <w:b w:val="0"/>
          <w:bCs w:val="0"/>
          <w:color w:val="auto"/>
          <w:sz w:val="22"/>
          <w:szCs w:val="22"/>
          <w:highlight w:val="none"/>
          <w:lang w:eastAsia="zh-CN"/>
        </w:rPr>
        <w:t>成交供应商</w:t>
      </w:r>
      <w:r>
        <w:rPr>
          <w:rFonts w:hint="eastAsia" w:ascii="新宋体" w:hAnsi="新宋体" w:eastAsia="新宋体" w:cs="新宋体"/>
          <w:b w:val="0"/>
          <w:bCs w:val="0"/>
          <w:color w:val="auto"/>
          <w:sz w:val="22"/>
          <w:szCs w:val="22"/>
          <w:highlight w:val="none"/>
        </w:rPr>
        <w:t>派出的服务人员在服务过程中，因素质、技术水平、服务质理、现场管理经验、文明安全等都不符合投标文件中的承诺，造成现场管理混乱、服务质量和进度达不到投标文件中所承诺的要求时，</w:t>
      </w:r>
      <w:r>
        <w:rPr>
          <w:rFonts w:hint="eastAsia" w:ascii="新宋体" w:hAnsi="新宋体" w:eastAsia="新宋体" w:cs="新宋体"/>
          <w:b w:val="0"/>
          <w:bCs w:val="0"/>
          <w:color w:val="auto"/>
          <w:sz w:val="22"/>
          <w:szCs w:val="22"/>
          <w:highlight w:val="none"/>
          <w:lang w:eastAsia="zh-CN"/>
        </w:rPr>
        <w:t>采购人</w:t>
      </w:r>
      <w:r>
        <w:rPr>
          <w:rFonts w:hint="eastAsia" w:ascii="新宋体" w:hAnsi="新宋体" w:eastAsia="新宋体" w:cs="新宋体"/>
          <w:b w:val="0"/>
          <w:bCs w:val="0"/>
          <w:color w:val="auto"/>
          <w:sz w:val="22"/>
          <w:szCs w:val="22"/>
          <w:highlight w:val="none"/>
        </w:rPr>
        <w:t>有权要求其重新调整服务人员，</w:t>
      </w:r>
      <w:r>
        <w:rPr>
          <w:rFonts w:hint="eastAsia" w:ascii="新宋体" w:hAnsi="新宋体" w:eastAsia="新宋体" w:cs="新宋体"/>
          <w:b w:val="0"/>
          <w:bCs w:val="0"/>
          <w:color w:val="auto"/>
          <w:sz w:val="22"/>
          <w:szCs w:val="22"/>
          <w:highlight w:val="none"/>
          <w:lang w:eastAsia="zh-CN"/>
        </w:rPr>
        <w:t>成交供应商</w:t>
      </w:r>
      <w:r>
        <w:rPr>
          <w:rFonts w:hint="eastAsia" w:ascii="新宋体" w:hAnsi="新宋体" w:eastAsia="新宋体" w:cs="新宋体"/>
          <w:b w:val="0"/>
          <w:bCs w:val="0"/>
          <w:color w:val="auto"/>
          <w:sz w:val="22"/>
          <w:szCs w:val="22"/>
          <w:highlight w:val="none"/>
        </w:rPr>
        <w:t>必须接受，否则作违约处理，此时</w:t>
      </w:r>
      <w:r>
        <w:rPr>
          <w:rFonts w:hint="eastAsia" w:ascii="新宋体" w:hAnsi="新宋体" w:eastAsia="新宋体" w:cs="新宋体"/>
          <w:b w:val="0"/>
          <w:bCs w:val="0"/>
          <w:color w:val="auto"/>
          <w:sz w:val="22"/>
          <w:szCs w:val="22"/>
          <w:highlight w:val="none"/>
          <w:lang w:eastAsia="zh-CN"/>
        </w:rPr>
        <w:t>采购人</w:t>
      </w:r>
      <w:r>
        <w:rPr>
          <w:rFonts w:hint="eastAsia" w:ascii="新宋体" w:hAnsi="新宋体" w:eastAsia="新宋体" w:cs="新宋体"/>
          <w:b w:val="0"/>
          <w:bCs w:val="0"/>
          <w:color w:val="auto"/>
          <w:sz w:val="22"/>
          <w:szCs w:val="22"/>
          <w:highlight w:val="none"/>
        </w:rPr>
        <w:t>可单方面终止合同。造成经济损失的，</w:t>
      </w:r>
      <w:r>
        <w:rPr>
          <w:rFonts w:hint="eastAsia" w:ascii="新宋体" w:hAnsi="新宋体" w:eastAsia="新宋体" w:cs="新宋体"/>
          <w:b w:val="0"/>
          <w:bCs w:val="0"/>
          <w:color w:val="auto"/>
          <w:sz w:val="22"/>
          <w:szCs w:val="22"/>
          <w:highlight w:val="none"/>
          <w:lang w:eastAsia="zh-CN"/>
        </w:rPr>
        <w:t>成交供应商</w:t>
      </w:r>
      <w:r>
        <w:rPr>
          <w:rFonts w:hint="eastAsia" w:ascii="新宋体" w:hAnsi="新宋体" w:eastAsia="新宋体" w:cs="新宋体"/>
          <w:b w:val="0"/>
          <w:bCs w:val="0"/>
          <w:color w:val="auto"/>
          <w:sz w:val="22"/>
          <w:szCs w:val="22"/>
          <w:highlight w:val="none"/>
        </w:rPr>
        <w:t>应予赔偿。</w:t>
      </w:r>
    </w:p>
    <w:p w14:paraId="4D95B75F">
      <w:pPr>
        <w:keepNext w:val="0"/>
        <w:keepLines w:val="0"/>
        <w:pageBreakBefore w:val="0"/>
        <w:kinsoku/>
        <w:wordWrap/>
        <w:overflowPunct/>
        <w:topLinePunct w:val="0"/>
        <w:bidi w:val="0"/>
        <w:spacing w:line="460" w:lineRule="exact"/>
        <w:ind w:firstLine="539" w:firstLineChars="245"/>
        <w:outlineLvl w:val="9"/>
        <w:rPr>
          <w:rFonts w:hint="eastAsia" w:ascii="新宋体" w:hAnsi="新宋体" w:eastAsia="新宋体" w:cs="新宋体"/>
          <w:b/>
          <w:bCs/>
          <w:color w:val="auto"/>
          <w:sz w:val="22"/>
          <w:szCs w:val="22"/>
          <w:highlight w:val="none"/>
        </w:rPr>
      </w:pPr>
      <w:r>
        <w:rPr>
          <w:rFonts w:hint="eastAsia" w:ascii="新宋体" w:hAnsi="新宋体" w:eastAsia="新宋体" w:cs="新宋体"/>
          <w:b w:val="0"/>
          <w:bCs/>
          <w:color w:val="auto"/>
          <w:sz w:val="22"/>
          <w:szCs w:val="22"/>
          <w:highlight w:val="none"/>
          <w:u w:val="none"/>
        </w:rPr>
        <w:t>保持员工队伍稳定性,</w:t>
      </w:r>
      <w:r>
        <w:rPr>
          <w:rFonts w:hint="eastAsia" w:ascii="新宋体" w:hAnsi="新宋体" w:eastAsia="新宋体" w:cs="新宋体"/>
          <w:b w:val="0"/>
          <w:bCs/>
          <w:color w:val="auto"/>
          <w:sz w:val="22"/>
          <w:szCs w:val="22"/>
          <w:highlight w:val="none"/>
          <w:u w:val="none"/>
          <w:lang w:eastAsia="zh-CN"/>
        </w:rPr>
        <w:t>成交供应商应优先使用本项目现有在岗人员</w:t>
      </w:r>
      <w:r>
        <w:rPr>
          <w:rFonts w:hint="eastAsia" w:ascii="新宋体" w:hAnsi="新宋体" w:eastAsia="新宋体" w:cs="新宋体"/>
          <w:b w:val="0"/>
          <w:bCs/>
          <w:color w:val="auto"/>
          <w:sz w:val="22"/>
          <w:szCs w:val="22"/>
          <w:highlight w:val="none"/>
          <w:u w:val="none"/>
        </w:rPr>
        <w:t>。如员工离职或需要更换员工,</w:t>
      </w:r>
      <w:r>
        <w:rPr>
          <w:rFonts w:hint="eastAsia" w:ascii="新宋体" w:hAnsi="新宋体" w:eastAsia="新宋体" w:cs="新宋体"/>
          <w:b w:val="0"/>
          <w:bCs/>
          <w:color w:val="auto"/>
          <w:sz w:val="22"/>
          <w:szCs w:val="22"/>
          <w:highlight w:val="none"/>
          <w:u w:val="none"/>
          <w:lang w:eastAsia="zh-CN"/>
        </w:rPr>
        <w:t>成交供应商</w:t>
      </w:r>
      <w:r>
        <w:rPr>
          <w:rFonts w:hint="eastAsia" w:ascii="新宋体" w:hAnsi="新宋体" w:eastAsia="新宋体" w:cs="新宋体"/>
          <w:b w:val="0"/>
          <w:bCs/>
          <w:color w:val="auto"/>
          <w:sz w:val="22"/>
          <w:szCs w:val="22"/>
          <w:highlight w:val="none"/>
          <w:u w:val="none"/>
        </w:rPr>
        <w:t>应报</w:t>
      </w:r>
      <w:r>
        <w:rPr>
          <w:rFonts w:hint="eastAsia" w:ascii="新宋体" w:hAnsi="新宋体" w:eastAsia="新宋体" w:cs="新宋体"/>
          <w:b w:val="0"/>
          <w:bCs/>
          <w:color w:val="auto"/>
          <w:sz w:val="22"/>
          <w:szCs w:val="22"/>
          <w:highlight w:val="none"/>
          <w:u w:val="none"/>
          <w:lang w:eastAsia="zh-CN"/>
        </w:rPr>
        <w:t>采购人</w:t>
      </w:r>
      <w:r>
        <w:rPr>
          <w:rFonts w:hint="eastAsia" w:ascii="新宋体" w:hAnsi="新宋体" w:eastAsia="新宋体" w:cs="新宋体"/>
          <w:b w:val="0"/>
          <w:bCs/>
          <w:color w:val="auto"/>
          <w:sz w:val="22"/>
          <w:szCs w:val="22"/>
          <w:highlight w:val="none"/>
          <w:u w:val="none"/>
        </w:rPr>
        <w:t>备案，</w:t>
      </w:r>
      <w:r>
        <w:rPr>
          <w:rFonts w:hint="eastAsia" w:ascii="新宋体" w:hAnsi="新宋体" w:eastAsia="新宋体" w:cs="新宋体"/>
          <w:b/>
          <w:bCs w:val="0"/>
          <w:color w:val="auto"/>
          <w:sz w:val="22"/>
          <w:szCs w:val="22"/>
          <w:highlight w:val="none"/>
          <w:u w:val="none"/>
        </w:rPr>
        <w:t>并在3天之内</w:t>
      </w:r>
      <w:r>
        <w:rPr>
          <w:rFonts w:hint="eastAsia" w:ascii="新宋体" w:hAnsi="新宋体" w:eastAsia="新宋体" w:cs="新宋体"/>
          <w:b/>
          <w:bCs w:val="0"/>
          <w:color w:val="auto"/>
          <w:sz w:val="22"/>
          <w:szCs w:val="22"/>
          <w:highlight w:val="none"/>
          <w:u w:val="none"/>
          <w:lang w:eastAsia="zh-CN"/>
        </w:rPr>
        <w:t>由</w:t>
      </w:r>
      <w:r>
        <w:rPr>
          <w:rFonts w:hint="eastAsia" w:ascii="新宋体" w:hAnsi="新宋体" w:eastAsia="新宋体" w:cs="新宋体"/>
          <w:b/>
          <w:bCs w:val="0"/>
          <w:color w:val="auto"/>
          <w:sz w:val="22"/>
          <w:szCs w:val="22"/>
          <w:highlight w:val="none"/>
          <w:u w:val="none"/>
        </w:rPr>
        <w:t>同等</w:t>
      </w:r>
      <w:r>
        <w:rPr>
          <w:rFonts w:hint="eastAsia" w:ascii="新宋体" w:hAnsi="新宋体" w:eastAsia="新宋体" w:cs="新宋体"/>
          <w:b/>
          <w:bCs w:val="0"/>
          <w:color w:val="auto"/>
          <w:sz w:val="22"/>
          <w:szCs w:val="22"/>
          <w:highlight w:val="none"/>
          <w:u w:val="none"/>
          <w:lang w:val="en-US" w:eastAsia="zh-CN"/>
        </w:rPr>
        <w:t>条件</w:t>
      </w:r>
      <w:r>
        <w:rPr>
          <w:rFonts w:hint="eastAsia" w:ascii="新宋体" w:hAnsi="新宋体" w:eastAsia="新宋体" w:cs="新宋体"/>
          <w:b/>
          <w:bCs w:val="0"/>
          <w:color w:val="auto"/>
          <w:sz w:val="22"/>
          <w:szCs w:val="22"/>
          <w:highlight w:val="none"/>
          <w:u w:val="none"/>
        </w:rPr>
        <w:t>以上的人员接替。在规定的时间内没有人接替，发现一起将</w:t>
      </w:r>
      <w:r>
        <w:rPr>
          <w:rFonts w:hint="eastAsia" w:ascii="新宋体" w:hAnsi="新宋体" w:eastAsia="新宋体" w:cs="新宋体"/>
          <w:b/>
          <w:bCs w:val="0"/>
          <w:color w:val="auto"/>
          <w:sz w:val="22"/>
          <w:szCs w:val="22"/>
          <w:highlight w:val="none"/>
          <w:u w:val="none"/>
          <w:lang w:eastAsia="zh-CN"/>
        </w:rPr>
        <w:t>在第</w:t>
      </w:r>
      <w:r>
        <w:rPr>
          <w:rFonts w:hint="eastAsia" w:ascii="新宋体" w:hAnsi="新宋体" w:eastAsia="新宋体" w:cs="新宋体"/>
          <w:b/>
          <w:bCs w:val="0"/>
          <w:color w:val="auto"/>
          <w:sz w:val="22"/>
          <w:szCs w:val="22"/>
          <w:highlight w:val="none"/>
          <w:u w:val="none"/>
          <w:lang w:val="en-US" w:eastAsia="zh-CN"/>
        </w:rPr>
        <w:t>4天起</w:t>
      </w:r>
      <w:r>
        <w:rPr>
          <w:rFonts w:hint="eastAsia" w:ascii="新宋体" w:hAnsi="新宋体" w:eastAsia="新宋体" w:cs="新宋体"/>
          <w:b/>
          <w:bCs w:val="0"/>
          <w:color w:val="auto"/>
          <w:sz w:val="22"/>
          <w:szCs w:val="22"/>
          <w:highlight w:val="none"/>
          <w:u w:val="none"/>
          <w:lang w:eastAsia="zh-CN"/>
        </w:rPr>
        <w:t>按每天</w:t>
      </w:r>
      <w:r>
        <w:rPr>
          <w:rFonts w:hint="eastAsia" w:ascii="新宋体" w:hAnsi="新宋体" w:eastAsia="新宋体" w:cs="新宋体"/>
          <w:b/>
          <w:bCs w:val="0"/>
          <w:color w:val="auto"/>
          <w:sz w:val="22"/>
          <w:szCs w:val="22"/>
          <w:highlight w:val="none"/>
          <w:u w:val="none"/>
          <w:lang w:val="en-US" w:eastAsia="zh-CN"/>
        </w:rPr>
        <w:t>100元</w:t>
      </w:r>
      <w:r>
        <w:rPr>
          <w:rFonts w:hint="eastAsia" w:ascii="新宋体" w:hAnsi="新宋体" w:eastAsia="新宋体" w:cs="新宋体"/>
          <w:b/>
          <w:bCs w:val="0"/>
          <w:color w:val="auto"/>
          <w:sz w:val="22"/>
          <w:szCs w:val="22"/>
          <w:highlight w:val="none"/>
          <w:u w:val="none"/>
        </w:rPr>
        <w:t>扣除服务费，</w:t>
      </w:r>
      <w:r>
        <w:rPr>
          <w:rFonts w:hint="eastAsia" w:ascii="新宋体" w:hAnsi="新宋体" w:eastAsia="新宋体" w:cs="新宋体"/>
          <w:b/>
          <w:bCs w:val="0"/>
          <w:color w:val="auto"/>
          <w:sz w:val="22"/>
          <w:szCs w:val="22"/>
          <w:highlight w:val="none"/>
          <w:u w:val="none"/>
          <w:lang w:eastAsia="zh-CN"/>
        </w:rPr>
        <w:t>直到人员到位为止</w:t>
      </w:r>
      <w:r>
        <w:rPr>
          <w:rFonts w:hint="eastAsia" w:ascii="新宋体" w:hAnsi="新宋体" w:eastAsia="新宋体" w:cs="新宋体"/>
          <w:b/>
          <w:bCs w:val="0"/>
          <w:color w:val="auto"/>
          <w:sz w:val="22"/>
          <w:szCs w:val="22"/>
          <w:highlight w:val="none"/>
          <w:u w:val="none"/>
        </w:rPr>
        <w:t>。</w:t>
      </w:r>
    </w:p>
    <w:p w14:paraId="71651581">
      <w:pPr>
        <w:keepNext w:val="0"/>
        <w:keepLines w:val="0"/>
        <w:pageBreakBefore w:val="0"/>
        <w:kinsoku/>
        <w:wordWrap/>
        <w:overflowPunct/>
        <w:topLinePunct w:val="0"/>
        <w:bidi w:val="0"/>
        <w:spacing w:line="460" w:lineRule="exact"/>
        <w:ind w:firstLine="541" w:firstLineChars="245"/>
        <w:outlineLvl w:val="9"/>
        <w:rPr>
          <w:rFonts w:hint="eastAsia" w:ascii="新宋体" w:hAnsi="新宋体" w:eastAsia="新宋体" w:cs="新宋体"/>
          <w:b/>
          <w:color w:val="auto"/>
          <w:sz w:val="22"/>
          <w:szCs w:val="22"/>
          <w:highlight w:val="none"/>
        </w:rPr>
      </w:pPr>
      <w:bookmarkStart w:id="7" w:name="_Toc522523249"/>
      <w:r>
        <w:rPr>
          <w:rFonts w:hint="eastAsia" w:ascii="新宋体" w:hAnsi="新宋体" w:eastAsia="新宋体" w:cs="新宋体"/>
          <w:b/>
          <w:color w:val="auto"/>
          <w:sz w:val="22"/>
          <w:szCs w:val="22"/>
          <w:highlight w:val="none"/>
        </w:rPr>
        <w:t>（</w:t>
      </w:r>
      <w:r>
        <w:rPr>
          <w:rFonts w:hint="eastAsia" w:ascii="新宋体" w:hAnsi="新宋体" w:eastAsia="新宋体" w:cs="新宋体"/>
          <w:b/>
          <w:color w:val="auto"/>
          <w:sz w:val="22"/>
          <w:szCs w:val="22"/>
          <w:highlight w:val="none"/>
          <w:lang w:val="en-US" w:eastAsia="zh-CN"/>
        </w:rPr>
        <w:t>七</w:t>
      </w:r>
      <w:r>
        <w:rPr>
          <w:rFonts w:hint="eastAsia" w:ascii="新宋体" w:hAnsi="新宋体" w:eastAsia="新宋体" w:cs="新宋体"/>
          <w:b/>
          <w:color w:val="auto"/>
          <w:sz w:val="22"/>
          <w:szCs w:val="22"/>
          <w:highlight w:val="none"/>
        </w:rPr>
        <w:t>）监督考核</w:t>
      </w:r>
      <w:bookmarkEnd w:id="7"/>
    </w:p>
    <w:p w14:paraId="612C1470">
      <w:pPr>
        <w:keepNext w:val="0"/>
        <w:keepLines w:val="0"/>
        <w:pageBreakBefore w:val="0"/>
        <w:kinsoku/>
        <w:wordWrap/>
        <w:overflowPunct/>
        <w:topLinePunct w:val="0"/>
        <w:bidi w:val="0"/>
        <w:spacing w:line="460" w:lineRule="exact"/>
        <w:ind w:firstLine="539" w:firstLineChars="245"/>
        <w:outlineLvl w:val="9"/>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 xml:space="preserve"> 投标人须严格遵守</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的各种管理制度、规定，严格履行合同要求，接受</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的考核</w:t>
      </w:r>
      <w:r>
        <w:rPr>
          <w:rFonts w:hint="eastAsia" w:ascii="新宋体" w:hAnsi="新宋体" w:eastAsia="新宋体" w:cs="新宋体"/>
          <w:color w:val="auto"/>
          <w:sz w:val="22"/>
          <w:szCs w:val="22"/>
          <w:highlight w:val="none"/>
          <w:lang w:eastAsia="zh-CN"/>
        </w:rPr>
        <w:t>。</w:t>
      </w:r>
    </w:p>
    <w:p w14:paraId="2697B275">
      <w:pPr>
        <w:keepNext w:val="0"/>
        <w:keepLines w:val="0"/>
        <w:pageBreakBefore w:val="0"/>
        <w:kinsoku/>
        <w:wordWrap/>
        <w:overflowPunct/>
        <w:topLinePunct w:val="0"/>
        <w:bidi w:val="0"/>
        <w:spacing w:line="460" w:lineRule="exact"/>
        <w:ind w:firstLine="541" w:firstLineChars="245"/>
        <w:outlineLvl w:val="9"/>
        <w:rPr>
          <w:rFonts w:hint="eastAsia" w:ascii="新宋体" w:hAnsi="新宋体" w:eastAsia="新宋体" w:cs="新宋体"/>
          <w:b/>
          <w:color w:val="auto"/>
          <w:sz w:val="22"/>
          <w:szCs w:val="22"/>
          <w:highlight w:val="none"/>
          <w:u w:val="single"/>
          <w:lang w:eastAsia="zh-CN"/>
        </w:rPr>
      </w:pPr>
      <w:r>
        <w:rPr>
          <w:rFonts w:hint="eastAsia" w:ascii="新宋体" w:hAnsi="新宋体" w:eastAsia="新宋体" w:cs="新宋体"/>
          <w:b/>
          <w:color w:val="auto"/>
          <w:sz w:val="22"/>
          <w:szCs w:val="22"/>
          <w:highlight w:val="none"/>
          <w:u w:val="single"/>
          <w:lang w:eastAsia="zh-CN"/>
        </w:rPr>
        <w:t>采购人</w:t>
      </w:r>
      <w:r>
        <w:rPr>
          <w:rFonts w:hint="eastAsia" w:ascii="新宋体" w:hAnsi="新宋体" w:eastAsia="新宋体" w:cs="新宋体"/>
          <w:b/>
          <w:color w:val="auto"/>
          <w:sz w:val="22"/>
          <w:szCs w:val="22"/>
          <w:highlight w:val="none"/>
          <w:u w:val="single"/>
        </w:rPr>
        <w:t>按照考核办法进行考核，根据考核结果进行综合评分，并严格执行奖惩规定（考核</w:t>
      </w:r>
      <w:r>
        <w:rPr>
          <w:rFonts w:hint="eastAsia" w:ascii="新宋体" w:hAnsi="新宋体" w:eastAsia="新宋体" w:cs="新宋体"/>
          <w:b/>
          <w:color w:val="auto"/>
          <w:sz w:val="22"/>
          <w:szCs w:val="22"/>
          <w:highlight w:val="none"/>
          <w:u w:val="single"/>
          <w:lang w:eastAsia="zh-CN"/>
        </w:rPr>
        <w:t>办法</w:t>
      </w:r>
      <w:r>
        <w:rPr>
          <w:rFonts w:hint="eastAsia" w:ascii="新宋体" w:hAnsi="新宋体" w:eastAsia="新宋体" w:cs="新宋体"/>
          <w:b/>
          <w:color w:val="auto"/>
          <w:sz w:val="22"/>
          <w:szCs w:val="22"/>
          <w:highlight w:val="none"/>
          <w:u w:val="single"/>
        </w:rPr>
        <w:t>见附件</w:t>
      </w:r>
      <w:r>
        <w:rPr>
          <w:rFonts w:hint="eastAsia" w:ascii="新宋体" w:hAnsi="新宋体" w:eastAsia="新宋体" w:cs="新宋体"/>
          <w:b/>
          <w:color w:val="auto"/>
          <w:sz w:val="22"/>
          <w:szCs w:val="22"/>
          <w:highlight w:val="none"/>
          <w:u w:val="single"/>
          <w:lang w:val="en-US" w:eastAsia="zh-CN"/>
        </w:rPr>
        <w:t xml:space="preserve">1 </w:t>
      </w:r>
      <w:r>
        <w:rPr>
          <w:rFonts w:hint="eastAsia" w:ascii="新宋体" w:hAnsi="新宋体" w:eastAsia="新宋体" w:cs="新宋体"/>
          <w:b/>
          <w:color w:val="auto"/>
          <w:sz w:val="22"/>
          <w:szCs w:val="22"/>
          <w:highlight w:val="none"/>
          <w:u w:val="single"/>
        </w:rPr>
        <w:t>）</w:t>
      </w:r>
      <w:r>
        <w:rPr>
          <w:rFonts w:hint="eastAsia" w:ascii="新宋体" w:hAnsi="新宋体" w:eastAsia="新宋体" w:cs="新宋体"/>
          <w:b/>
          <w:color w:val="auto"/>
          <w:sz w:val="22"/>
          <w:szCs w:val="22"/>
          <w:highlight w:val="none"/>
          <w:u w:val="single"/>
          <w:lang w:eastAsia="zh-CN"/>
        </w:rPr>
        <w:t>。</w:t>
      </w:r>
      <w:bookmarkStart w:id="8" w:name="_Toc522523250"/>
    </w:p>
    <w:p w14:paraId="538F8CD2">
      <w:pPr>
        <w:keepNext w:val="0"/>
        <w:keepLines w:val="0"/>
        <w:pageBreakBefore w:val="0"/>
        <w:kinsoku/>
        <w:wordWrap/>
        <w:overflowPunct/>
        <w:topLinePunct w:val="0"/>
        <w:bidi w:val="0"/>
        <w:spacing w:line="460" w:lineRule="exact"/>
        <w:ind w:firstLine="539" w:firstLineChars="245"/>
        <w:outlineLvl w:val="9"/>
        <w:rPr>
          <w:rFonts w:hint="eastAsia" w:ascii="新宋体" w:hAnsi="新宋体" w:eastAsia="新宋体" w:cs="新宋体"/>
          <w:b/>
          <w:color w:val="auto"/>
          <w:sz w:val="22"/>
          <w:szCs w:val="22"/>
          <w:highlight w:val="none"/>
          <w:u w:val="single"/>
          <w:lang w:eastAsia="zh-CN"/>
        </w:rPr>
      </w:pPr>
      <w:r>
        <w:rPr>
          <w:rFonts w:hint="eastAsia" w:hAnsi="宋体"/>
          <w:color w:val="auto"/>
          <w:sz w:val="22"/>
          <w:szCs w:val="22"/>
          <w:highlight w:val="none"/>
        </w:rPr>
        <w:t>▲</w:t>
      </w:r>
      <w:r>
        <w:rPr>
          <w:rFonts w:hint="eastAsia" w:ascii="新宋体" w:hAnsi="新宋体" w:eastAsia="新宋体" w:cs="新宋体"/>
          <w:b/>
          <w:color w:val="auto"/>
          <w:sz w:val="22"/>
          <w:szCs w:val="22"/>
          <w:highlight w:val="none"/>
          <w:lang w:eastAsia="zh-CN"/>
        </w:rPr>
        <w:t>三</w:t>
      </w:r>
      <w:r>
        <w:rPr>
          <w:rFonts w:hint="eastAsia" w:ascii="新宋体" w:hAnsi="新宋体" w:eastAsia="新宋体" w:cs="新宋体"/>
          <w:b/>
          <w:color w:val="auto"/>
          <w:sz w:val="22"/>
          <w:szCs w:val="22"/>
          <w:highlight w:val="none"/>
        </w:rPr>
        <w:t>、</w:t>
      </w:r>
      <w:bookmarkEnd w:id="8"/>
      <w:r>
        <w:rPr>
          <w:rFonts w:hint="eastAsia" w:ascii="新宋体" w:hAnsi="新宋体" w:eastAsia="新宋体" w:cs="新宋体"/>
          <w:b/>
          <w:bCs/>
          <w:color w:val="auto"/>
          <w:sz w:val="22"/>
          <w:szCs w:val="22"/>
          <w:highlight w:val="none"/>
          <w:lang w:eastAsia="zh-CN"/>
        </w:rPr>
        <w:t>站内救助服务</w:t>
      </w:r>
      <w:r>
        <w:rPr>
          <w:rFonts w:hint="eastAsia" w:ascii="新宋体" w:hAnsi="新宋体" w:eastAsia="新宋体" w:cs="新宋体"/>
          <w:b/>
          <w:color w:val="auto"/>
          <w:sz w:val="22"/>
          <w:szCs w:val="22"/>
          <w:highlight w:val="none"/>
        </w:rPr>
        <w:t>费用及支付</w:t>
      </w:r>
      <w:r>
        <w:rPr>
          <w:rFonts w:hint="eastAsia" w:ascii="新宋体" w:hAnsi="新宋体" w:eastAsia="新宋体" w:cs="新宋体"/>
          <w:b/>
          <w:color w:val="auto"/>
          <w:sz w:val="22"/>
          <w:szCs w:val="22"/>
          <w:highlight w:val="none"/>
          <w:u w:val="single"/>
          <w:lang w:eastAsia="zh-CN"/>
        </w:rPr>
        <w:t>（</w:t>
      </w:r>
      <w:r>
        <w:rPr>
          <w:rFonts w:hint="eastAsia" w:ascii="新宋体" w:hAnsi="新宋体" w:eastAsia="新宋体" w:cs="新宋体"/>
          <w:b/>
          <w:color w:val="auto"/>
          <w:sz w:val="22"/>
          <w:szCs w:val="22"/>
          <w:highlight w:val="none"/>
          <w:u w:val="single"/>
          <w:lang w:val="en-US" w:eastAsia="zh-CN"/>
        </w:rPr>
        <w:t>根据财政预算管理，合同按一年一签</w:t>
      </w:r>
      <w:r>
        <w:rPr>
          <w:rFonts w:hint="eastAsia" w:ascii="新宋体" w:hAnsi="新宋体" w:eastAsia="新宋体" w:cs="新宋体"/>
          <w:b/>
          <w:color w:val="auto"/>
          <w:sz w:val="22"/>
          <w:szCs w:val="22"/>
          <w:highlight w:val="none"/>
          <w:u w:val="single"/>
          <w:lang w:eastAsia="zh-CN"/>
        </w:rPr>
        <w:t>）。</w:t>
      </w:r>
    </w:p>
    <w:p w14:paraId="67BE7442">
      <w:pPr>
        <w:keepNext w:val="0"/>
        <w:keepLines w:val="0"/>
        <w:pageBreakBefore w:val="0"/>
        <w:kinsoku/>
        <w:wordWrap/>
        <w:overflowPunct/>
        <w:topLinePunct w:val="0"/>
        <w:bidi w:val="0"/>
        <w:spacing w:line="460" w:lineRule="exact"/>
        <w:ind w:firstLine="442" w:firstLineChars="200"/>
        <w:textAlignment w:val="auto"/>
        <w:outlineLvl w:val="9"/>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eastAsia="zh-CN"/>
        </w:rPr>
        <w:t>成交供应商</w:t>
      </w:r>
      <w:r>
        <w:rPr>
          <w:rFonts w:hint="eastAsia" w:ascii="新宋体" w:hAnsi="新宋体" w:eastAsia="新宋体" w:cs="新宋体"/>
          <w:b/>
          <w:bCs/>
          <w:color w:val="auto"/>
          <w:sz w:val="22"/>
          <w:szCs w:val="22"/>
          <w:highlight w:val="none"/>
          <w:lang w:val="en-US" w:eastAsia="zh-CN"/>
        </w:rPr>
        <w:t>须</w:t>
      </w:r>
      <w:r>
        <w:rPr>
          <w:rFonts w:hint="eastAsia" w:ascii="新宋体" w:hAnsi="新宋体" w:eastAsia="新宋体" w:cs="新宋体"/>
          <w:b/>
          <w:bCs/>
          <w:color w:val="auto"/>
          <w:sz w:val="22"/>
          <w:szCs w:val="22"/>
          <w:highlight w:val="none"/>
        </w:rPr>
        <w:t>向</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提供</w:t>
      </w:r>
      <w:r>
        <w:rPr>
          <w:rFonts w:hint="eastAsia" w:ascii="新宋体" w:hAnsi="新宋体" w:eastAsia="新宋体" w:cs="新宋体"/>
          <w:b/>
          <w:bCs/>
          <w:color w:val="auto"/>
          <w:sz w:val="22"/>
          <w:szCs w:val="22"/>
          <w:highlight w:val="none"/>
          <w:lang w:val="en-US" w:eastAsia="zh-CN"/>
        </w:rPr>
        <w:t>单年</w:t>
      </w:r>
      <w:r>
        <w:rPr>
          <w:rFonts w:hint="eastAsia" w:ascii="新宋体" w:hAnsi="新宋体" w:eastAsia="新宋体" w:cs="新宋体"/>
          <w:b/>
          <w:bCs/>
          <w:color w:val="auto"/>
          <w:sz w:val="22"/>
          <w:szCs w:val="22"/>
          <w:highlight w:val="none"/>
        </w:rPr>
        <w:t>合同总价</w:t>
      </w: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b/>
          <w:bCs/>
          <w:color w:val="auto"/>
          <w:sz w:val="22"/>
          <w:szCs w:val="22"/>
          <w:highlight w:val="none"/>
        </w:rPr>
        <w:t>%的履约保证金</w:t>
      </w:r>
      <w:r>
        <w:rPr>
          <w:rFonts w:hint="eastAsia" w:ascii="新宋体" w:hAnsi="新宋体" w:eastAsia="新宋体" w:cs="新宋体"/>
          <w:b/>
          <w:bCs/>
          <w:color w:val="auto"/>
          <w:sz w:val="22"/>
          <w:szCs w:val="22"/>
          <w:highlight w:val="none"/>
          <w:lang w:eastAsia="zh-CN"/>
        </w:rPr>
        <w:t>。</w:t>
      </w:r>
    </w:p>
    <w:p w14:paraId="5C868B68">
      <w:pPr>
        <w:keepNext w:val="0"/>
        <w:keepLines w:val="0"/>
        <w:pageBreakBefore w:val="0"/>
        <w:kinsoku/>
        <w:wordWrap/>
        <w:overflowPunct/>
        <w:topLinePunct w:val="0"/>
        <w:bidi w:val="0"/>
        <w:spacing w:line="460" w:lineRule="exact"/>
        <w:ind w:firstLine="442" w:firstLineChars="200"/>
        <w:textAlignment w:val="auto"/>
        <w:outlineLvl w:val="9"/>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lang w:val="en-US" w:eastAsia="zh-CN"/>
        </w:rPr>
        <w:t>2</w:t>
      </w:r>
      <w:r>
        <w:rPr>
          <w:rFonts w:hint="eastAsia" w:ascii="新宋体" w:hAnsi="新宋体" w:eastAsia="新宋体" w:cs="新宋体"/>
          <w:b/>
          <w:bCs/>
          <w:color w:val="auto"/>
          <w:sz w:val="22"/>
          <w:szCs w:val="22"/>
          <w:highlight w:val="none"/>
          <w:lang w:eastAsia="zh-CN"/>
        </w:rPr>
        <w:t>）在合同签订且具备实施条件后</w:t>
      </w:r>
      <w:r>
        <w:rPr>
          <w:rFonts w:hint="eastAsia" w:ascii="新宋体" w:hAnsi="新宋体" w:eastAsia="新宋体" w:cs="新宋体"/>
          <w:b/>
          <w:bCs/>
          <w:color w:val="auto"/>
          <w:sz w:val="22"/>
          <w:szCs w:val="22"/>
          <w:highlight w:val="none"/>
          <w:lang w:val="en-US" w:eastAsia="zh-CN"/>
        </w:rPr>
        <w:t>7个工作日</w:t>
      </w:r>
      <w:r>
        <w:rPr>
          <w:rFonts w:hint="eastAsia" w:ascii="新宋体" w:hAnsi="新宋体" w:eastAsia="新宋体" w:cs="新宋体"/>
          <w:b/>
          <w:bCs/>
          <w:color w:val="auto"/>
          <w:sz w:val="22"/>
          <w:szCs w:val="22"/>
          <w:highlight w:val="none"/>
          <w:lang w:eastAsia="zh-CN"/>
        </w:rPr>
        <w:t>内支付</w:t>
      </w:r>
      <w:r>
        <w:rPr>
          <w:rFonts w:hint="eastAsia" w:ascii="新宋体" w:hAnsi="新宋体" w:eastAsia="新宋体" w:cs="新宋体"/>
          <w:b/>
          <w:bCs/>
          <w:color w:val="auto"/>
          <w:sz w:val="22"/>
          <w:szCs w:val="22"/>
          <w:highlight w:val="none"/>
          <w:lang w:val="en-US" w:eastAsia="zh-CN"/>
        </w:rPr>
        <w:t>一年当年</w:t>
      </w:r>
      <w:r>
        <w:rPr>
          <w:rFonts w:hint="eastAsia" w:ascii="新宋体" w:hAnsi="新宋体" w:eastAsia="新宋体" w:cs="新宋体"/>
          <w:b/>
          <w:bCs/>
          <w:color w:val="auto"/>
          <w:sz w:val="22"/>
          <w:szCs w:val="22"/>
          <w:highlight w:val="none"/>
          <w:lang w:eastAsia="zh-CN"/>
        </w:rPr>
        <w:t>合同总额的</w:t>
      </w:r>
      <w:r>
        <w:rPr>
          <w:rFonts w:hint="eastAsia" w:ascii="新宋体" w:hAnsi="新宋体" w:eastAsia="新宋体" w:cs="新宋体"/>
          <w:b/>
          <w:bCs/>
          <w:color w:val="auto"/>
          <w:sz w:val="22"/>
          <w:szCs w:val="22"/>
          <w:highlight w:val="none"/>
          <w:lang w:val="en-US" w:eastAsia="zh-CN"/>
        </w:rPr>
        <w:t>3</w:t>
      </w:r>
      <w:r>
        <w:rPr>
          <w:rFonts w:hint="eastAsia" w:ascii="新宋体" w:hAnsi="新宋体" w:eastAsia="新宋体" w:cs="新宋体"/>
          <w:b/>
          <w:bCs/>
          <w:color w:val="auto"/>
          <w:sz w:val="22"/>
          <w:szCs w:val="22"/>
          <w:highlight w:val="none"/>
          <w:lang w:eastAsia="zh-CN"/>
        </w:rPr>
        <w:t>0%作为预付款。</w:t>
      </w:r>
    </w:p>
    <w:p w14:paraId="54FA567F">
      <w:pPr>
        <w:keepNext w:val="0"/>
        <w:keepLines w:val="0"/>
        <w:pageBreakBefore w:val="0"/>
        <w:kinsoku/>
        <w:wordWrap/>
        <w:overflowPunct/>
        <w:topLinePunct w:val="0"/>
        <w:bidi w:val="0"/>
        <w:spacing w:line="460" w:lineRule="exact"/>
        <w:ind w:firstLine="442" w:firstLineChars="200"/>
        <w:textAlignment w:val="auto"/>
        <w:outlineLvl w:val="9"/>
        <w:rPr>
          <w:rFonts w:hint="default"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3</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当年</w:t>
      </w:r>
      <w:r>
        <w:rPr>
          <w:rFonts w:hint="eastAsia" w:ascii="新宋体" w:hAnsi="新宋体" w:eastAsia="新宋体" w:cs="新宋体"/>
          <w:b/>
          <w:bCs/>
          <w:color w:val="auto"/>
          <w:sz w:val="22"/>
          <w:szCs w:val="22"/>
          <w:highlight w:val="none"/>
        </w:rPr>
        <w:t>服务费</w:t>
      </w:r>
      <w:r>
        <w:rPr>
          <w:rFonts w:hint="eastAsia" w:ascii="新宋体" w:hAnsi="新宋体" w:eastAsia="新宋体" w:cs="新宋体"/>
          <w:b/>
          <w:bCs/>
          <w:color w:val="auto"/>
          <w:sz w:val="22"/>
          <w:szCs w:val="22"/>
          <w:highlight w:val="none"/>
          <w:lang w:val="en-US" w:eastAsia="zh-CN"/>
        </w:rPr>
        <w:t>合同价为投标价/2,</w:t>
      </w:r>
      <w:r>
        <w:rPr>
          <w:rFonts w:hint="eastAsia" w:ascii="新宋体" w:hAnsi="新宋体" w:eastAsia="新宋体" w:cs="新宋体"/>
          <w:b/>
          <w:bCs/>
          <w:color w:val="auto"/>
          <w:sz w:val="22"/>
          <w:szCs w:val="22"/>
          <w:highlight w:val="none"/>
        </w:rPr>
        <w:t>按先服务后结算原则，每季度结算支付一次，在下一个月提供增值税普通发票后付前季度的服务费；在支付第一个季度结算款时予以扣回预付款，如不足抵扣的，则在下期扣回，以此类推；</w:t>
      </w:r>
      <w:r>
        <w:rPr>
          <w:rFonts w:hint="eastAsia" w:ascii="新宋体" w:hAnsi="新宋体" w:eastAsia="新宋体" w:cs="新宋体"/>
          <w:b/>
          <w:bCs/>
          <w:color w:val="auto"/>
          <w:sz w:val="22"/>
          <w:szCs w:val="22"/>
          <w:highlight w:val="none"/>
          <w:lang w:val="en-US" w:eastAsia="zh-CN"/>
        </w:rPr>
        <w:t>合同预留3万元</w:t>
      </w:r>
      <w:r>
        <w:rPr>
          <w:rFonts w:hint="eastAsia" w:ascii="新宋体" w:hAnsi="新宋体" w:eastAsia="新宋体" w:cs="新宋体"/>
          <w:b/>
          <w:bCs/>
          <w:color w:val="auto"/>
          <w:sz w:val="22"/>
          <w:szCs w:val="22"/>
          <w:highlight w:val="none"/>
        </w:rPr>
        <w:t>作为</w:t>
      </w:r>
      <w:r>
        <w:rPr>
          <w:rFonts w:hint="eastAsia" w:ascii="新宋体" w:hAnsi="新宋体" w:eastAsia="新宋体" w:cs="新宋体"/>
          <w:b/>
          <w:bCs/>
          <w:color w:val="auto"/>
          <w:sz w:val="22"/>
          <w:szCs w:val="22"/>
          <w:highlight w:val="none"/>
          <w:lang w:val="en-US" w:eastAsia="zh-CN"/>
        </w:rPr>
        <w:t>优秀员工</w:t>
      </w:r>
      <w:r>
        <w:rPr>
          <w:rFonts w:hint="eastAsia" w:ascii="新宋体" w:hAnsi="新宋体" w:eastAsia="新宋体" w:cs="新宋体"/>
          <w:b/>
          <w:bCs/>
          <w:color w:val="auto"/>
          <w:sz w:val="22"/>
          <w:szCs w:val="22"/>
          <w:highlight w:val="none"/>
        </w:rPr>
        <w:t>奖励金</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lang w:val="en-US" w:eastAsia="zh-CN"/>
        </w:rPr>
        <w:t>每季度随服务费一起支付给成交供应商，支付金额由采购人审核后由成交供应商直接支付给优秀员工，成交供应商不得以任何理由扣除该笔费用；优秀员工</w:t>
      </w:r>
      <w:r>
        <w:rPr>
          <w:rFonts w:hint="eastAsia" w:ascii="新宋体" w:hAnsi="新宋体" w:eastAsia="新宋体" w:cs="新宋体"/>
          <w:b/>
          <w:bCs/>
          <w:color w:val="auto"/>
          <w:sz w:val="22"/>
          <w:szCs w:val="22"/>
          <w:highlight w:val="none"/>
        </w:rPr>
        <w:t>奖励金</w:t>
      </w:r>
      <w:r>
        <w:rPr>
          <w:rFonts w:hint="eastAsia" w:ascii="新宋体" w:hAnsi="新宋体" w:eastAsia="新宋体" w:cs="新宋体"/>
          <w:b/>
          <w:bCs/>
          <w:color w:val="auto"/>
          <w:sz w:val="22"/>
          <w:szCs w:val="22"/>
          <w:highlight w:val="none"/>
          <w:lang w:val="en-US" w:eastAsia="zh-CN"/>
        </w:rPr>
        <w:t>到年终时未发完的，根据采购人每季度对成交供应商的考核情况，余额一次性支付给成交供应商；</w:t>
      </w:r>
      <w:r>
        <w:rPr>
          <w:rFonts w:hint="eastAsia" w:ascii="新宋体" w:hAnsi="新宋体" w:eastAsia="新宋体" w:cs="新宋体"/>
          <w:b/>
          <w:bCs/>
          <w:color w:val="auto"/>
          <w:sz w:val="22"/>
          <w:szCs w:val="22"/>
          <w:highlight w:val="none"/>
        </w:rPr>
        <w:t>考核办法由采购人另行制定，</w:t>
      </w:r>
      <w:r>
        <w:rPr>
          <w:rFonts w:hint="eastAsia" w:ascii="新宋体" w:hAnsi="新宋体" w:eastAsia="新宋体" w:cs="新宋体"/>
          <w:b/>
          <w:bCs/>
          <w:color w:val="auto"/>
          <w:sz w:val="22"/>
          <w:szCs w:val="22"/>
          <w:highlight w:val="none"/>
          <w:lang w:eastAsia="zh-CN"/>
        </w:rPr>
        <w:t>成交供应商</w:t>
      </w:r>
      <w:r>
        <w:rPr>
          <w:rFonts w:hint="eastAsia" w:ascii="新宋体" w:hAnsi="新宋体" w:eastAsia="新宋体" w:cs="新宋体"/>
          <w:b/>
          <w:bCs/>
          <w:color w:val="auto"/>
          <w:sz w:val="22"/>
          <w:szCs w:val="22"/>
          <w:highlight w:val="none"/>
        </w:rPr>
        <w:t>须无条件接受</w:t>
      </w:r>
      <w:r>
        <w:rPr>
          <w:rFonts w:hint="eastAsia" w:ascii="新宋体" w:hAnsi="新宋体" w:eastAsia="新宋体" w:cs="新宋体"/>
          <w:b/>
          <w:bCs/>
          <w:color w:val="auto"/>
          <w:sz w:val="22"/>
          <w:szCs w:val="22"/>
          <w:highlight w:val="none"/>
          <w:lang w:val="en-US" w:eastAsia="zh-CN"/>
        </w:rPr>
        <w:t>；</w:t>
      </w:r>
      <w:r>
        <w:rPr>
          <w:rFonts w:hint="eastAsia" w:ascii="新宋体" w:hAnsi="新宋体" w:eastAsia="新宋体" w:cs="新宋体"/>
          <w:b/>
          <w:bCs/>
          <w:color w:val="auto"/>
          <w:sz w:val="22"/>
          <w:szCs w:val="22"/>
          <w:highlight w:val="none"/>
        </w:rPr>
        <w:t>（在签订合同时，供应商明确表示无需预付款或者主动要求降低预付款比例的，可以无需预付款或者降低预付款比例。）</w:t>
      </w:r>
      <w:r>
        <w:rPr>
          <w:rFonts w:hint="eastAsia" w:ascii="新宋体" w:hAnsi="新宋体" w:eastAsia="新宋体" w:cs="新宋体"/>
          <w:b/>
          <w:bCs/>
          <w:color w:val="auto"/>
          <w:sz w:val="22"/>
          <w:szCs w:val="22"/>
          <w:highlight w:val="none"/>
          <w:lang w:val="en-US" w:eastAsia="zh-CN"/>
        </w:rPr>
        <w:t>第四季度服务费在当年12月份支付；</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凭</w:t>
      </w:r>
      <w:r>
        <w:rPr>
          <w:rFonts w:hint="eastAsia" w:ascii="新宋体" w:hAnsi="新宋体" w:eastAsia="新宋体" w:cs="新宋体"/>
          <w:b/>
          <w:bCs/>
          <w:color w:val="auto"/>
          <w:sz w:val="22"/>
          <w:szCs w:val="22"/>
          <w:highlight w:val="none"/>
          <w:lang w:eastAsia="zh-CN"/>
        </w:rPr>
        <w:t>成交供应商</w:t>
      </w:r>
      <w:r>
        <w:rPr>
          <w:rFonts w:hint="eastAsia" w:ascii="新宋体" w:hAnsi="新宋体" w:eastAsia="新宋体" w:cs="新宋体"/>
          <w:b/>
          <w:bCs/>
          <w:color w:val="auto"/>
          <w:sz w:val="22"/>
          <w:szCs w:val="22"/>
          <w:highlight w:val="none"/>
        </w:rPr>
        <w:t>开具的正式增值税专用发票和人员名单</w:t>
      </w:r>
      <w:r>
        <w:rPr>
          <w:rFonts w:hint="eastAsia" w:ascii="新宋体" w:hAnsi="新宋体" w:eastAsia="新宋体" w:cs="新宋体"/>
          <w:b/>
          <w:bCs/>
          <w:color w:val="auto"/>
          <w:sz w:val="22"/>
          <w:szCs w:val="22"/>
          <w:highlight w:val="none"/>
          <w:lang w:eastAsia="zh-CN"/>
        </w:rPr>
        <w:t>支付服务费用</w:t>
      </w:r>
      <w:r>
        <w:rPr>
          <w:rFonts w:hint="eastAsia" w:ascii="新宋体" w:hAnsi="新宋体" w:eastAsia="新宋体" w:cs="新宋体"/>
          <w:b/>
          <w:bCs/>
          <w:color w:val="auto"/>
          <w:sz w:val="22"/>
          <w:szCs w:val="22"/>
          <w:highlight w:val="none"/>
          <w:lang w:val="en-US" w:eastAsia="zh-CN"/>
        </w:rPr>
        <w:t>；每季度服务费金额计算方式：（单年合同金额-3万元）/4。</w:t>
      </w:r>
    </w:p>
    <w:p w14:paraId="0D15A252">
      <w:pPr>
        <w:keepNext w:val="0"/>
        <w:keepLines w:val="0"/>
        <w:pageBreakBefore w:val="0"/>
        <w:kinsoku/>
        <w:wordWrap/>
        <w:overflowPunct/>
        <w:topLinePunct w:val="0"/>
        <w:bidi w:val="0"/>
        <w:spacing w:line="460" w:lineRule="exact"/>
        <w:ind w:firstLine="442" w:firstLineChars="200"/>
        <w:textAlignment w:val="auto"/>
        <w:outlineLvl w:val="9"/>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4</w:t>
      </w:r>
      <w:r>
        <w:rPr>
          <w:rFonts w:hint="eastAsia" w:ascii="新宋体" w:hAnsi="新宋体" w:eastAsia="新宋体" w:cs="新宋体"/>
          <w:b/>
          <w:bCs/>
          <w:color w:val="auto"/>
          <w:sz w:val="22"/>
          <w:szCs w:val="22"/>
          <w:highlight w:val="none"/>
        </w:rPr>
        <w:t>）支付前应扣除该季服务期间没有按照招标要求的承诺规定和考核</w:t>
      </w:r>
      <w:r>
        <w:rPr>
          <w:rFonts w:hint="eastAsia" w:ascii="新宋体" w:hAnsi="新宋体" w:eastAsia="新宋体" w:cs="新宋体"/>
          <w:b/>
          <w:bCs/>
          <w:color w:val="auto"/>
          <w:sz w:val="22"/>
          <w:szCs w:val="22"/>
          <w:highlight w:val="none"/>
          <w:lang w:eastAsia="zh-CN"/>
        </w:rPr>
        <w:t>不达标（</w:t>
      </w:r>
      <w:r>
        <w:rPr>
          <w:rFonts w:hint="eastAsia" w:ascii="新宋体" w:hAnsi="新宋体" w:eastAsia="新宋体" w:cs="新宋体"/>
          <w:b/>
          <w:bCs/>
          <w:color w:val="auto"/>
          <w:sz w:val="22"/>
          <w:szCs w:val="22"/>
          <w:highlight w:val="none"/>
          <w:lang w:val="en-US" w:eastAsia="zh-CN"/>
        </w:rPr>
        <w:t>80分以下</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应扣除的费用。</w:t>
      </w:r>
    </w:p>
    <w:p w14:paraId="6D197D38">
      <w:pPr>
        <w:keepNext w:val="0"/>
        <w:keepLines w:val="0"/>
        <w:pageBreakBefore w:val="0"/>
        <w:kinsoku/>
        <w:wordWrap/>
        <w:overflowPunct/>
        <w:topLinePunct w:val="0"/>
        <w:bidi w:val="0"/>
        <w:spacing w:line="460" w:lineRule="exact"/>
        <w:ind w:firstLine="440" w:firstLineChars="200"/>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b w:val="0"/>
          <w:bCs w:val="0"/>
          <w:color w:val="auto"/>
          <w:sz w:val="22"/>
          <w:szCs w:val="22"/>
          <w:highlight w:val="none"/>
        </w:rPr>
        <w:t>承包</w:t>
      </w:r>
      <w:r>
        <w:rPr>
          <w:rFonts w:hint="eastAsia" w:ascii="新宋体" w:hAnsi="新宋体" w:eastAsia="新宋体" w:cs="新宋体"/>
          <w:color w:val="auto"/>
          <w:sz w:val="22"/>
          <w:szCs w:val="22"/>
          <w:highlight w:val="none"/>
        </w:rPr>
        <w:t>合同价格除按本合同规定外，不能作任何调整。任何计算错误皆视为已获双方接受，合同价也不会因人工、物价或汇率等的变动而作任何调整。</w:t>
      </w:r>
    </w:p>
    <w:p w14:paraId="706751A8">
      <w:pPr>
        <w:keepNext w:val="0"/>
        <w:keepLines w:val="0"/>
        <w:pageBreakBefore w:val="0"/>
        <w:kinsoku/>
        <w:wordWrap/>
        <w:overflowPunct/>
        <w:topLinePunct w:val="0"/>
        <w:bidi w:val="0"/>
        <w:spacing w:line="460" w:lineRule="exact"/>
        <w:ind w:firstLine="541" w:firstLineChars="245"/>
        <w:outlineLvl w:val="9"/>
        <w:rPr>
          <w:rFonts w:hint="eastAsia" w:ascii="新宋体" w:hAnsi="新宋体" w:eastAsia="新宋体" w:cs="新宋体"/>
          <w:b/>
          <w:color w:val="auto"/>
          <w:sz w:val="22"/>
          <w:szCs w:val="22"/>
          <w:highlight w:val="none"/>
        </w:rPr>
      </w:pPr>
      <w:bookmarkStart w:id="9" w:name="_Toc522523251"/>
      <w:bookmarkStart w:id="10" w:name="_Toc522101401"/>
      <w:r>
        <w:rPr>
          <w:rFonts w:hint="eastAsia" w:ascii="新宋体" w:hAnsi="新宋体" w:eastAsia="新宋体" w:cs="新宋体"/>
          <w:b/>
          <w:color w:val="auto"/>
          <w:sz w:val="22"/>
          <w:szCs w:val="22"/>
          <w:highlight w:val="none"/>
          <w:lang w:eastAsia="zh-CN"/>
        </w:rPr>
        <w:t>四</w:t>
      </w:r>
      <w:r>
        <w:rPr>
          <w:rFonts w:hint="eastAsia" w:ascii="新宋体" w:hAnsi="新宋体" w:eastAsia="新宋体" w:cs="新宋体"/>
          <w:b/>
          <w:color w:val="auto"/>
          <w:sz w:val="22"/>
          <w:szCs w:val="22"/>
          <w:highlight w:val="none"/>
        </w:rPr>
        <w:t>、报价说明及要求</w:t>
      </w:r>
      <w:bookmarkEnd w:id="9"/>
      <w:bookmarkEnd w:id="10"/>
    </w:p>
    <w:p w14:paraId="1A80DE9C">
      <w:pPr>
        <w:keepNext w:val="0"/>
        <w:keepLines w:val="0"/>
        <w:pageBreakBefore w:val="0"/>
        <w:kinsoku/>
        <w:wordWrap/>
        <w:overflowPunct/>
        <w:topLinePunct w:val="0"/>
        <w:bidi w:val="0"/>
        <w:spacing w:line="460" w:lineRule="exact"/>
        <w:ind w:firstLine="539" w:firstLineChars="24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1、投标人的报价为含税总价，即在满足服务需求、保证服务质量与人员配备齐全合理的前提下提供管理服务的全部费用，包括但不限于：人员工资、奖金、</w:t>
      </w:r>
      <w:r>
        <w:rPr>
          <w:rFonts w:hint="eastAsia" w:ascii="新宋体" w:hAnsi="新宋体" w:eastAsia="新宋体" w:cs="新宋体"/>
          <w:color w:val="auto"/>
          <w:sz w:val="22"/>
          <w:szCs w:val="22"/>
          <w:highlight w:val="none"/>
          <w:lang w:val="en-US" w:eastAsia="zh-CN"/>
        </w:rPr>
        <w:t>节假日</w:t>
      </w:r>
      <w:r>
        <w:rPr>
          <w:rFonts w:hint="eastAsia" w:ascii="新宋体" w:hAnsi="新宋体" w:eastAsia="新宋体" w:cs="新宋体"/>
          <w:color w:val="auto"/>
          <w:sz w:val="22"/>
          <w:szCs w:val="22"/>
          <w:highlight w:val="none"/>
        </w:rPr>
        <w:t>加班费、各种社会保险、经营管理费、税费、利润、完成合同所需的一切本身和不可或缺的所有工作开支、合同包含的所有风险、责任及所有与工作相关的服装等全部费用。实行固定费用总包干，投标人应根据上述因素自行考虑含入报价。</w:t>
      </w:r>
    </w:p>
    <w:p w14:paraId="44C74A63">
      <w:pPr>
        <w:keepNext w:val="0"/>
        <w:keepLines w:val="0"/>
        <w:pageBreakBefore w:val="0"/>
        <w:kinsoku/>
        <w:wordWrap/>
        <w:overflowPunct/>
        <w:topLinePunct w:val="0"/>
        <w:bidi w:val="0"/>
        <w:spacing w:line="460" w:lineRule="exact"/>
        <w:ind w:firstLine="539" w:firstLineChars="24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2、在保证服务质量的前提下，清洁材料、耗材与一次性用品、材料、</w:t>
      </w:r>
      <w:r>
        <w:rPr>
          <w:rFonts w:hint="eastAsia" w:ascii="新宋体" w:hAnsi="新宋体" w:eastAsia="新宋体" w:cs="新宋体"/>
          <w:color w:val="auto"/>
          <w:sz w:val="22"/>
          <w:szCs w:val="22"/>
          <w:highlight w:val="none"/>
          <w:lang w:eastAsia="zh-CN"/>
        </w:rPr>
        <w:t>配</w:t>
      </w:r>
      <w:r>
        <w:rPr>
          <w:rFonts w:hint="eastAsia" w:ascii="新宋体" w:hAnsi="新宋体" w:eastAsia="新宋体" w:cs="新宋体"/>
          <w:color w:val="auto"/>
          <w:sz w:val="22"/>
          <w:szCs w:val="22"/>
          <w:highlight w:val="none"/>
        </w:rPr>
        <w:t>件和物品由</w:t>
      </w:r>
      <w:r>
        <w:rPr>
          <w:rFonts w:hint="eastAsia" w:ascii="新宋体" w:hAnsi="新宋体" w:eastAsia="新宋体" w:cs="新宋体"/>
          <w:color w:val="auto"/>
          <w:sz w:val="22"/>
          <w:szCs w:val="22"/>
          <w:highlight w:val="none"/>
          <w:lang w:eastAsia="zh-CN"/>
        </w:rPr>
        <w:t>招标</w:t>
      </w:r>
      <w:r>
        <w:rPr>
          <w:rFonts w:hint="eastAsia" w:ascii="新宋体" w:hAnsi="新宋体" w:eastAsia="新宋体" w:cs="新宋体"/>
          <w:color w:val="auto"/>
          <w:sz w:val="22"/>
          <w:szCs w:val="22"/>
          <w:highlight w:val="none"/>
        </w:rPr>
        <w:t>标人采购提供。</w:t>
      </w:r>
      <w:r>
        <w:rPr>
          <w:rFonts w:hint="eastAsia" w:ascii="新宋体" w:hAnsi="新宋体" w:eastAsia="新宋体" w:cs="新宋体"/>
          <w:color w:val="auto"/>
          <w:sz w:val="22"/>
          <w:szCs w:val="22"/>
          <w:highlight w:val="none"/>
          <w:lang w:eastAsia="zh-CN"/>
        </w:rPr>
        <w:t>成交供应商</w:t>
      </w:r>
      <w:r>
        <w:rPr>
          <w:rFonts w:hint="eastAsia" w:ascii="新宋体" w:hAnsi="新宋体" w:eastAsia="新宋体" w:cs="新宋体"/>
          <w:color w:val="auto"/>
          <w:sz w:val="22"/>
          <w:szCs w:val="22"/>
          <w:highlight w:val="none"/>
        </w:rPr>
        <w:t>本着确保满足需求、设备设施正常可靠、高效及时、提倡节约的原则进行管理、使用，并将使用情况报</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备案。</w:t>
      </w:r>
    </w:p>
    <w:p w14:paraId="3123B410">
      <w:pPr>
        <w:keepNext w:val="0"/>
        <w:keepLines w:val="0"/>
        <w:pageBreakBefore w:val="0"/>
        <w:kinsoku/>
        <w:wordWrap/>
        <w:overflowPunct/>
        <w:topLinePunct w:val="0"/>
        <w:bidi w:val="0"/>
        <w:spacing w:line="460" w:lineRule="exact"/>
        <w:ind w:firstLine="539" w:firstLineChars="24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eastAsia="zh-CN"/>
        </w:rPr>
        <w:t>超出岗位</w:t>
      </w:r>
      <w:r>
        <w:rPr>
          <w:rFonts w:hint="eastAsia" w:ascii="新宋体" w:hAnsi="新宋体" w:eastAsia="新宋体" w:cs="新宋体"/>
          <w:color w:val="auto"/>
          <w:sz w:val="22"/>
          <w:szCs w:val="22"/>
          <w:highlight w:val="none"/>
        </w:rPr>
        <w:t>工作</w:t>
      </w:r>
      <w:r>
        <w:rPr>
          <w:rFonts w:hint="eastAsia" w:ascii="新宋体" w:hAnsi="新宋体" w:eastAsia="新宋体" w:cs="新宋体"/>
          <w:color w:val="auto"/>
          <w:sz w:val="22"/>
          <w:szCs w:val="22"/>
          <w:highlight w:val="none"/>
          <w:lang w:eastAsia="zh-CN"/>
        </w:rPr>
        <w:t>时间</w:t>
      </w:r>
      <w:r>
        <w:rPr>
          <w:rFonts w:hint="eastAsia" w:ascii="新宋体" w:hAnsi="新宋体" w:eastAsia="新宋体" w:cs="新宋体"/>
          <w:color w:val="auto"/>
          <w:sz w:val="22"/>
          <w:szCs w:val="22"/>
          <w:highlight w:val="none"/>
        </w:rPr>
        <w:t>的服务或其他活动</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由成交供应商根据相关规定支付加班费</w:t>
      </w:r>
      <w:r>
        <w:rPr>
          <w:rFonts w:hint="eastAsia" w:ascii="新宋体" w:hAnsi="新宋体" w:eastAsia="新宋体" w:cs="新宋体"/>
          <w:color w:val="auto"/>
          <w:sz w:val="22"/>
          <w:szCs w:val="22"/>
          <w:highlight w:val="none"/>
        </w:rPr>
        <w:t>。</w:t>
      </w:r>
    </w:p>
    <w:p w14:paraId="5C63EBE7">
      <w:pPr>
        <w:keepNext w:val="0"/>
        <w:keepLines w:val="0"/>
        <w:pageBreakBefore w:val="0"/>
        <w:kinsoku/>
        <w:wordWrap/>
        <w:overflowPunct/>
        <w:topLinePunct w:val="0"/>
        <w:bidi w:val="0"/>
        <w:spacing w:line="460" w:lineRule="exact"/>
        <w:ind w:firstLine="539" w:firstLineChars="245"/>
        <w:outlineLvl w:val="9"/>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、服务所需办公场地由</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免费提供，</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为服务人员提供与工作人员同等的餐饮待遇</w:t>
      </w:r>
      <w:r>
        <w:rPr>
          <w:rFonts w:hint="eastAsia" w:ascii="新宋体" w:hAnsi="新宋体" w:eastAsia="新宋体" w:cs="新宋体"/>
          <w:color w:val="auto"/>
          <w:sz w:val="22"/>
          <w:szCs w:val="22"/>
          <w:highlight w:val="none"/>
          <w:lang w:val="en-US" w:eastAsia="zh-CN"/>
        </w:rPr>
        <w:t>。</w:t>
      </w:r>
    </w:p>
    <w:p w14:paraId="78AE4CF1">
      <w:pPr>
        <w:keepNext w:val="0"/>
        <w:keepLines w:val="0"/>
        <w:pageBreakBefore w:val="0"/>
        <w:kinsoku/>
        <w:wordWrap/>
        <w:overflowPunct/>
        <w:topLinePunct w:val="0"/>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5</w:t>
      </w: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eastAsia="zh-CN"/>
        </w:rPr>
        <w:t>成交供应商</w:t>
      </w:r>
      <w:r>
        <w:rPr>
          <w:rFonts w:hint="eastAsia" w:ascii="新宋体" w:hAnsi="新宋体" w:eastAsia="新宋体" w:cs="新宋体"/>
          <w:bCs/>
          <w:color w:val="auto"/>
          <w:sz w:val="22"/>
          <w:szCs w:val="22"/>
          <w:highlight w:val="none"/>
        </w:rPr>
        <w:t>根据本项目投入全职工作人员的实际情况，依法参加社保。如因</w:t>
      </w:r>
      <w:r>
        <w:rPr>
          <w:rFonts w:hint="eastAsia" w:ascii="新宋体" w:hAnsi="新宋体" w:eastAsia="新宋体" w:cs="新宋体"/>
          <w:bCs/>
          <w:color w:val="auto"/>
          <w:sz w:val="22"/>
          <w:szCs w:val="22"/>
          <w:highlight w:val="none"/>
          <w:lang w:eastAsia="zh-CN"/>
        </w:rPr>
        <w:t>成交供应商</w:t>
      </w:r>
      <w:r>
        <w:rPr>
          <w:rFonts w:hint="eastAsia" w:ascii="新宋体" w:hAnsi="新宋体" w:eastAsia="新宋体" w:cs="新宋体"/>
          <w:bCs/>
          <w:color w:val="auto"/>
          <w:sz w:val="22"/>
          <w:szCs w:val="22"/>
          <w:highlight w:val="none"/>
        </w:rPr>
        <w:t>未按相关法律、法规缴纳社保而引起的纠纷投诉，由</w:t>
      </w:r>
      <w:r>
        <w:rPr>
          <w:rFonts w:hint="eastAsia" w:ascii="新宋体" w:hAnsi="新宋体" w:eastAsia="新宋体" w:cs="新宋体"/>
          <w:bCs/>
          <w:color w:val="auto"/>
          <w:sz w:val="22"/>
          <w:szCs w:val="22"/>
          <w:highlight w:val="none"/>
          <w:lang w:eastAsia="zh-CN"/>
        </w:rPr>
        <w:t>成交供应商</w:t>
      </w:r>
      <w:r>
        <w:rPr>
          <w:rFonts w:hint="eastAsia" w:ascii="新宋体" w:hAnsi="新宋体" w:eastAsia="新宋体" w:cs="新宋体"/>
          <w:bCs/>
          <w:color w:val="auto"/>
          <w:sz w:val="22"/>
          <w:szCs w:val="22"/>
          <w:highlight w:val="none"/>
        </w:rPr>
        <w:t>自行承担相关后果，采购人概不负责。</w:t>
      </w:r>
    </w:p>
    <w:p w14:paraId="102C41F2">
      <w:pPr>
        <w:keepNext w:val="0"/>
        <w:keepLines w:val="0"/>
        <w:pageBreakBefore w:val="0"/>
        <w:kinsoku/>
        <w:wordWrap/>
        <w:overflowPunct/>
        <w:topLinePunct w:val="0"/>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6、</w:t>
      </w:r>
      <w:r>
        <w:rPr>
          <w:rFonts w:hint="eastAsia" w:ascii="新宋体" w:hAnsi="新宋体" w:eastAsia="新宋体" w:cs="新宋体"/>
          <w:bCs/>
          <w:color w:val="auto"/>
          <w:sz w:val="22"/>
          <w:szCs w:val="22"/>
          <w:highlight w:val="none"/>
        </w:rPr>
        <w:t>结合本项目具体情况，要求本次参与投标的供应商员工基本工资最低不得低于温州市区当地最低保障工资（最低工资不包括下列四项收入：延长工作时间的工资；中班、夜班、高温、低温、有毒有害等特殊工作环境、条件下的津贴；贴补伙食、住房等支付给劳动者的非货币性收入；法律、法规和国家规定的劳动者福利待遇等）。</w:t>
      </w:r>
    </w:p>
    <w:p w14:paraId="68C3EB1D">
      <w:pPr>
        <w:keepNext w:val="0"/>
        <w:keepLines w:val="0"/>
        <w:pageBreakBefore w:val="0"/>
        <w:kinsoku/>
        <w:wordWrap/>
        <w:overflowPunct/>
        <w:topLinePunct w:val="0"/>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7</w:t>
      </w: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eastAsia="zh-CN"/>
        </w:rPr>
        <w:t>成交供应商应根据投标人的要求</w:t>
      </w:r>
      <w:r>
        <w:rPr>
          <w:rFonts w:hint="eastAsia" w:ascii="新宋体" w:hAnsi="新宋体" w:eastAsia="新宋体" w:cs="新宋体"/>
          <w:bCs/>
          <w:color w:val="auto"/>
          <w:sz w:val="22"/>
          <w:szCs w:val="22"/>
          <w:highlight w:val="none"/>
        </w:rPr>
        <w:t>应合理安排人员进行节假日加班，节假日补贴按国家相关规定发放。</w:t>
      </w:r>
    </w:p>
    <w:p w14:paraId="6388D719">
      <w:pPr>
        <w:keepNext w:val="0"/>
        <w:keepLines w:val="0"/>
        <w:pageBreakBefore w:val="0"/>
        <w:kinsoku/>
        <w:wordWrap/>
        <w:overflowPunct/>
        <w:topLinePunct w:val="0"/>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8</w:t>
      </w:r>
      <w:r>
        <w:rPr>
          <w:rFonts w:hint="eastAsia" w:ascii="新宋体" w:hAnsi="新宋体" w:eastAsia="新宋体" w:cs="新宋体"/>
          <w:bCs/>
          <w:color w:val="auto"/>
          <w:sz w:val="22"/>
          <w:szCs w:val="22"/>
          <w:highlight w:val="none"/>
        </w:rPr>
        <w:t>、高温补贴共4个月（六、七、八、九共4月，逐月发放）按相关规定标准发放。</w:t>
      </w:r>
    </w:p>
    <w:p w14:paraId="6F1134D1">
      <w:pPr>
        <w:keepNext w:val="0"/>
        <w:keepLines w:val="0"/>
        <w:pageBreakBefore w:val="0"/>
        <w:kinsoku/>
        <w:wordWrap/>
        <w:overflowPunct/>
        <w:topLinePunct w:val="0"/>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9</w:t>
      </w:r>
      <w:r>
        <w:rPr>
          <w:rFonts w:hint="eastAsia" w:ascii="新宋体" w:hAnsi="新宋体" w:eastAsia="新宋体" w:cs="新宋体"/>
          <w:bCs/>
          <w:color w:val="auto"/>
          <w:sz w:val="22"/>
          <w:szCs w:val="22"/>
          <w:highlight w:val="none"/>
        </w:rPr>
        <w:t>、所有人员的服装费用由</w:t>
      </w:r>
      <w:r>
        <w:rPr>
          <w:rFonts w:hint="eastAsia" w:ascii="新宋体" w:hAnsi="新宋体" w:eastAsia="新宋体" w:cs="新宋体"/>
          <w:bCs/>
          <w:color w:val="auto"/>
          <w:sz w:val="22"/>
          <w:szCs w:val="22"/>
          <w:highlight w:val="none"/>
          <w:lang w:eastAsia="zh-CN"/>
        </w:rPr>
        <w:t>成交供应商</w:t>
      </w:r>
      <w:r>
        <w:rPr>
          <w:rFonts w:hint="eastAsia" w:ascii="新宋体" w:hAnsi="新宋体" w:eastAsia="新宋体" w:cs="新宋体"/>
          <w:bCs/>
          <w:color w:val="auto"/>
          <w:sz w:val="22"/>
          <w:szCs w:val="22"/>
          <w:highlight w:val="none"/>
        </w:rPr>
        <w:t>自行负责配备，分类统一着装，但服装样式需经采购人核准，服装费包含在投标总价中。</w:t>
      </w:r>
    </w:p>
    <w:p w14:paraId="2EDE72B8">
      <w:pPr>
        <w:keepNext w:val="0"/>
        <w:keepLines w:val="0"/>
        <w:pageBreakBefore w:val="0"/>
        <w:kinsoku/>
        <w:wordWrap/>
        <w:overflowPunct/>
        <w:topLinePunct w:val="0"/>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10</w:t>
      </w:r>
      <w:r>
        <w:rPr>
          <w:rFonts w:hint="eastAsia" w:ascii="新宋体" w:hAnsi="新宋体" w:eastAsia="新宋体" w:cs="新宋体"/>
          <w:bCs/>
          <w:color w:val="auto"/>
          <w:sz w:val="22"/>
          <w:szCs w:val="22"/>
          <w:highlight w:val="none"/>
        </w:rPr>
        <w:t>、本次采购，在服务期内如因政策性因素调整导致相关人员的工资、社保、节假日、高温补贴出现变化的，该部分费用由</w:t>
      </w:r>
      <w:r>
        <w:rPr>
          <w:rFonts w:hint="eastAsia" w:ascii="新宋体" w:hAnsi="新宋体" w:eastAsia="新宋体" w:cs="新宋体"/>
          <w:bCs/>
          <w:color w:val="auto"/>
          <w:sz w:val="22"/>
          <w:szCs w:val="22"/>
          <w:highlight w:val="none"/>
          <w:lang w:eastAsia="zh-CN"/>
        </w:rPr>
        <w:t>成交供应商</w:t>
      </w:r>
      <w:r>
        <w:rPr>
          <w:rFonts w:hint="eastAsia" w:ascii="新宋体" w:hAnsi="新宋体" w:eastAsia="新宋体" w:cs="新宋体"/>
          <w:bCs/>
          <w:color w:val="auto"/>
          <w:sz w:val="22"/>
          <w:szCs w:val="22"/>
          <w:highlight w:val="none"/>
        </w:rPr>
        <w:t>自行承担，</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不予以调整该部分费用，各</w:t>
      </w:r>
      <w:r>
        <w:rPr>
          <w:rFonts w:hint="eastAsia" w:ascii="新宋体" w:hAnsi="新宋体" w:eastAsia="新宋体" w:cs="新宋体"/>
          <w:bCs/>
          <w:color w:val="auto"/>
          <w:sz w:val="22"/>
          <w:szCs w:val="22"/>
          <w:highlight w:val="none"/>
          <w:lang w:eastAsia="zh-CN"/>
        </w:rPr>
        <w:t>投标人</w:t>
      </w:r>
      <w:r>
        <w:rPr>
          <w:rFonts w:hint="eastAsia" w:ascii="新宋体" w:hAnsi="新宋体" w:eastAsia="新宋体" w:cs="新宋体"/>
          <w:bCs/>
          <w:color w:val="auto"/>
          <w:sz w:val="22"/>
          <w:szCs w:val="22"/>
          <w:highlight w:val="none"/>
        </w:rPr>
        <w:t>在报价时须综合考虑风险。</w:t>
      </w:r>
    </w:p>
    <w:p w14:paraId="36D262C7">
      <w:pPr>
        <w:autoSpaceDE w:val="0"/>
        <w:autoSpaceDN w:val="0"/>
        <w:adjustRightInd w:val="0"/>
        <w:snapToGrid w:val="0"/>
        <w:spacing w:line="460" w:lineRule="atLeast"/>
        <w:ind w:firstLine="411" w:firstLineChars="196"/>
        <w:textAlignment w:val="bottom"/>
        <w:rPr>
          <w:color w:val="auto"/>
          <w:highlight w:val="none"/>
        </w:rPr>
      </w:pPr>
    </w:p>
    <w:p w14:paraId="5A8AF503">
      <w:pPr>
        <w:pStyle w:val="2"/>
        <w:rPr>
          <w:color w:val="auto"/>
          <w:highlight w:val="none"/>
        </w:rPr>
      </w:pPr>
    </w:p>
    <w:p w14:paraId="0C4CF058">
      <w:pPr>
        <w:pStyle w:val="3"/>
        <w:rPr>
          <w:color w:val="auto"/>
          <w:highlight w:val="none"/>
        </w:rPr>
      </w:pPr>
    </w:p>
    <w:p w14:paraId="57D2E222">
      <w:pPr>
        <w:pStyle w:val="3"/>
        <w:rPr>
          <w:color w:val="auto"/>
          <w:highlight w:val="none"/>
        </w:rPr>
      </w:pPr>
    </w:p>
    <w:p w14:paraId="6A4371F8">
      <w:pPr>
        <w:pStyle w:val="3"/>
        <w:rPr>
          <w:color w:val="auto"/>
          <w:highlight w:val="none"/>
        </w:rPr>
      </w:pPr>
    </w:p>
    <w:p w14:paraId="1A990029">
      <w:pPr>
        <w:pStyle w:val="3"/>
        <w:rPr>
          <w:color w:val="auto"/>
          <w:highlight w:val="none"/>
        </w:rPr>
      </w:pPr>
    </w:p>
    <w:p w14:paraId="739CAE36">
      <w:pPr>
        <w:pStyle w:val="3"/>
        <w:rPr>
          <w:color w:val="auto"/>
          <w:highlight w:val="none"/>
        </w:rPr>
      </w:pPr>
    </w:p>
    <w:p w14:paraId="0F23292A">
      <w:pPr>
        <w:pStyle w:val="3"/>
        <w:rPr>
          <w:color w:val="auto"/>
          <w:highlight w:val="none"/>
        </w:rPr>
      </w:pPr>
    </w:p>
    <w:p w14:paraId="1CCC0ACC">
      <w:pPr>
        <w:pStyle w:val="3"/>
        <w:rPr>
          <w:color w:val="auto"/>
          <w:highlight w:val="none"/>
        </w:rPr>
      </w:pPr>
    </w:p>
    <w:p w14:paraId="0B685865">
      <w:pPr>
        <w:pStyle w:val="3"/>
        <w:rPr>
          <w:color w:val="auto"/>
          <w:highlight w:val="none"/>
        </w:rPr>
      </w:pPr>
    </w:p>
    <w:p w14:paraId="26B6EE65">
      <w:pPr>
        <w:pStyle w:val="3"/>
        <w:rPr>
          <w:color w:val="auto"/>
          <w:highlight w:val="none"/>
        </w:rPr>
      </w:pPr>
    </w:p>
    <w:p w14:paraId="79CFFC41">
      <w:pPr>
        <w:pStyle w:val="3"/>
        <w:rPr>
          <w:color w:val="auto"/>
          <w:highlight w:val="none"/>
        </w:rPr>
      </w:pPr>
    </w:p>
    <w:p w14:paraId="1A45AD0A">
      <w:pPr>
        <w:pStyle w:val="3"/>
        <w:rPr>
          <w:color w:val="auto"/>
          <w:highlight w:val="none"/>
        </w:rPr>
      </w:pPr>
    </w:p>
    <w:p w14:paraId="727093A7">
      <w:pPr>
        <w:keepNext w:val="0"/>
        <w:keepLines w:val="0"/>
        <w:pageBreakBefore w:val="0"/>
        <w:tabs>
          <w:tab w:val="left" w:pos="223"/>
          <w:tab w:val="center" w:pos="6980"/>
        </w:tabs>
        <w:kinsoku/>
        <w:wordWrap/>
        <w:overflowPunct/>
        <w:topLinePunct w:val="0"/>
        <w:bidi w:val="0"/>
        <w:adjustRightInd w:val="0"/>
        <w:snapToGrid w:val="0"/>
        <w:spacing w:line="460" w:lineRule="exact"/>
        <w:jc w:val="center"/>
        <w:outlineLvl w:val="9"/>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 xml:space="preserve">附1  </w:t>
      </w:r>
      <w:bookmarkStart w:id="11" w:name="_Toc1645_WPSOffice_Level2"/>
      <w:bookmarkStart w:id="12" w:name="_Toc20684_WPSOffice_Level2"/>
      <w:r>
        <w:rPr>
          <w:rFonts w:hint="eastAsia" w:ascii="新宋体" w:hAnsi="新宋体" w:eastAsia="新宋体" w:cs="新宋体"/>
          <w:b/>
          <w:bCs/>
          <w:color w:val="auto"/>
          <w:sz w:val="22"/>
          <w:szCs w:val="22"/>
          <w:highlight w:val="none"/>
        </w:rPr>
        <w:t>考核标准及奖惩办法</w:t>
      </w:r>
      <w:bookmarkEnd w:id="11"/>
      <w:bookmarkEnd w:id="12"/>
    </w:p>
    <w:p w14:paraId="0D3A959B">
      <w:pPr>
        <w:keepNext w:val="0"/>
        <w:keepLines w:val="0"/>
        <w:pageBreakBefore w:val="0"/>
        <w:kinsoku/>
        <w:wordWrap/>
        <w:overflowPunct/>
        <w:topLinePunct w:val="0"/>
        <w:bidi w:val="0"/>
        <w:adjustRightInd w:val="0"/>
        <w:snapToGrid w:val="0"/>
        <w:spacing w:line="460" w:lineRule="exact"/>
        <w:jc w:val="center"/>
        <w:outlineLvl w:val="9"/>
        <w:rPr>
          <w:rFonts w:hint="eastAsia" w:ascii="新宋体" w:hAnsi="新宋体" w:eastAsia="新宋体" w:cs="新宋体"/>
          <w:b/>
          <w:bCs/>
          <w:color w:val="auto"/>
          <w:sz w:val="22"/>
          <w:szCs w:val="22"/>
          <w:highlight w:val="none"/>
        </w:rPr>
      </w:pPr>
    </w:p>
    <w:p w14:paraId="27CE3679">
      <w:pPr>
        <w:keepNext w:val="0"/>
        <w:keepLines w:val="0"/>
        <w:pageBreakBefore w:val="0"/>
        <w:kinsoku/>
        <w:wordWrap/>
        <w:overflowPunct/>
        <w:topLinePunct w:val="0"/>
        <w:bidi w:val="0"/>
        <w:adjustRightInd w:val="0"/>
        <w:snapToGrid w:val="0"/>
        <w:spacing w:line="460" w:lineRule="exact"/>
        <w:jc w:val="center"/>
        <w:outlineLvl w:val="9"/>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温州市救助管理站</w:t>
      </w:r>
      <w:r>
        <w:rPr>
          <w:rFonts w:hint="eastAsia" w:ascii="新宋体" w:hAnsi="新宋体" w:eastAsia="新宋体" w:cs="新宋体"/>
          <w:b/>
          <w:bCs/>
          <w:color w:val="auto"/>
          <w:sz w:val="22"/>
          <w:szCs w:val="22"/>
          <w:highlight w:val="none"/>
          <w:lang w:eastAsia="zh-CN"/>
        </w:rPr>
        <w:t>站内救助服务</w:t>
      </w:r>
      <w:r>
        <w:rPr>
          <w:rFonts w:hint="eastAsia" w:ascii="新宋体" w:hAnsi="新宋体" w:eastAsia="新宋体" w:cs="新宋体"/>
          <w:b/>
          <w:bCs/>
          <w:color w:val="auto"/>
          <w:sz w:val="22"/>
          <w:szCs w:val="22"/>
          <w:highlight w:val="none"/>
        </w:rPr>
        <w:t>考核办法</w:t>
      </w:r>
    </w:p>
    <w:p w14:paraId="116A4601">
      <w:pPr>
        <w:keepNext w:val="0"/>
        <w:keepLines w:val="0"/>
        <w:pageBreakBefore w:val="0"/>
        <w:kinsoku/>
        <w:wordWrap/>
        <w:overflowPunct/>
        <w:topLinePunct w:val="0"/>
        <w:bidi w:val="0"/>
        <w:adjustRightInd w:val="0"/>
        <w:snapToGrid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第一条  为推进</w:t>
      </w:r>
      <w:r>
        <w:rPr>
          <w:rFonts w:hint="eastAsia" w:ascii="新宋体" w:hAnsi="新宋体" w:eastAsia="新宋体" w:cs="新宋体"/>
          <w:color w:val="auto"/>
          <w:sz w:val="22"/>
          <w:szCs w:val="22"/>
          <w:highlight w:val="none"/>
          <w:lang w:eastAsia="zh-CN"/>
        </w:rPr>
        <w:t>站内救助</w:t>
      </w:r>
      <w:r>
        <w:rPr>
          <w:rFonts w:hint="eastAsia" w:ascii="新宋体" w:hAnsi="新宋体" w:eastAsia="新宋体" w:cs="新宋体"/>
          <w:color w:val="auto"/>
          <w:sz w:val="22"/>
          <w:szCs w:val="22"/>
          <w:highlight w:val="none"/>
        </w:rPr>
        <w:t>服务制度化、规范化、科学化,提升服务质量，达到“三优三满意一保证”（保证安全、优美环境、优质服务、优化功能、领导满意、服务对象满意、群众满意），确保</w:t>
      </w:r>
      <w:r>
        <w:rPr>
          <w:rFonts w:hint="eastAsia" w:ascii="新宋体" w:hAnsi="新宋体" w:eastAsia="新宋体" w:cs="新宋体"/>
          <w:color w:val="auto"/>
          <w:sz w:val="22"/>
          <w:szCs w:val="22"/>
          <w:highlight w:val="none"/>
          <w:lang w:val="en-US" w:eastAsia="zh-CN"/>
        </w:rPr>
        <w:t>温州市救助管理站</w:t>
      </w:r>
      <w:r>
        <w:rPr>
          <w:rFonts w:hint="eastAsia" w:ascii="新宋体" w:hAnsi="新宋体" w:eastAsia="新宋体" w:cs="新宋体"/>
          <w:color w:val="auto"/>
          <w:sz w:val="22"/>
          <w:szCs w:val="22"/>
          <w:highlight w:val="none"/>
        </w:rPr>
        <w:t>高效、安全、有序运行，圆满完成各项工作目标，特制定本办法。</w:t>
      </w:r>
    </w:p>
    <w:p w14:paraId="1E24CC7C">
      <w:pPr>
        <w:keepNext w:val="0"/>
        <w:keepLines w:val="0"/>
        <w:pageBreakBefore w:val="0"/>
        <w:kinsoku/>
        <w:wordWrap/>
        <w:overflowPunct/>
        <w:topLinePunct w:val="0"/>
        <w:bidi w:val="0"/>
        <w:adjustRightInd w:val="0"/>
        <w:snapToGrid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第二条  考核对象为承担</w:t>
      </w:r>
      <w:r>
        <w:rPr>
          <w:rFonts w:hint="eastAsia" w:ascii="新宋体" w:hAnsi="新宋体" w:eastAsia="新宋体" w:cs="新宋体"/>
          <w:color w:val="auto"/>
          <w:sz w:val="22"/>
          <w:szCs w:val="22"/>
          <w:highlight w:val="none"/>
          <w:lang w:val="en-US" w:eastAsia="zh-CN"/>
        </w:rPr>
        <w:t>温州市救助管理站</w:t>
      </w:r>
      <w:r>
        <w:rPr>
          <w:rFonts w:hint="eastAsia" w:ascii="新宋体" w:hAnsi="新宋体" w:eastAsia="新宋体" w:cs="新宋体"/>
          <w:color w:val="auto"/>
          <w:sz w:val="22"/>
          <w:szCs w:val="22"/>
          <w:highlight w:val="none"/>
          <w:lang w:eastAsia="zh-CN"/>
        </w:rPr>
        <w:t>站内救助服务</w:t>
      </w:r>
      <w:r>
        <w:rPr>
          <w:rFonts w:hint="eastAsia" w:ascii="新宋体" w:hAnsi="新宋体" w:eastAsia="新宋体" w:cs="新宋体"/>
          <w:b w:val="0"/>
          <w:bCs w:val="0"/>
          <w:color w:val="auto"/>
          <w:sz w:val="22"/>
          <w:szCs w:val="22"/>
          <w:highlight w:val="none"/>
        </w:rPr>
        <w:t>（救助区域生活照料</w:t>
      </w:r>
      <w:r>
        <w:rPr>
          <w:rFonts w:hint="eastAsia" w:ascii="新宋体" w:hAnsi="新宋体" w:eastAsia="新宋体" w:cs="新宋体"/>
          <w:b w:val="0"/>
          <w:bCs w:val="0"/>
          <w:color w:val="auto"/>
          <w:sz w:val="22"/>
          <w:szCs w:val="22"/>
          <w:highlight w:val="none"/>
          <w:lang w:eastAsia="zh-CN"/>
        </w:rPr>
        <w:t>服务、</w:t>
      </w:r>
      <w:r>
        <w:rPr>
          <w:rFonts w:hint="eastAsia" w:ascii="新宋体" w:hAnsi="新宋体" w:eastAsia="新宋体" w:cs="新宋体"/>
          <w:b w:val="0"/>
          <w:bCs w:val="0"/>
          <w:color w:val="auto"/>
          <w:sz w:val="22"/>
          <w:szCs w:val="22"/>
          <w:highlight w:val="none"/>
        </w:rPr>
        <w:t>安保</w:t>
      </w:r>
      <w:r>
        <w:rPr>
          <w:rFonts w:hint="eastAsia" w:ascii="新宋体" w:hAnsi="新宋体" w:eastAsia="新宋体" w:cs="新宋体"/>
          <w:b w:val="0"/>
          <w:bCs w:val="0"/>
          <w:color w:val="auto"/>
          <w:sz w:val="22"/>
          <w:szCs w:val="22"/>
          <w:highlight w:val="none"/>
          <w:lang w:eastAsia="zh-CN"/>
        </w:rPr>
        <w:t>服务</w:t>
      </w:r>
      <w:r>
        <w:rPr>
          <w:rFonts w:hint="eastAsia" w:ascii="新宋体" w:hAnsi="新宋体" w:eastAsia="新宋体" w:cs="新宋体"/>
          <w:b w:val="0"/>
          <w:bCs w:val="0"/>
          <w:color w:val="auto"/>
          <w:sz w:val="22"/>
          <w:szCs w:val="22"/>
          <w:highlight w:val="none"/>
        </w:rPr>
        <w:t>、食堂餐</w:t>
      </w:r>
      <w:r>
        <w:rPr>
          <w:rFonts w:hint="eastAsia" w:ascii="新宋体" w:hAnsi="新宋体" w:eastAsia="新宋体" w:cs="新宋体"/>
          <w:color w:val="auto"/>
          <w:sz w:val="22"/>
          <w:szCs w:val="22"/>
          <w:highlight w:val="none"/>
        </w:rPr>
        <w:t>饮服务</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卫生服务</w:t>
      </w:r>
      <w:r>
        <w:rPr>
          <w:rFonts w:hint="eastAsia" w:ascii="新宋体" w:hAnsi="新宋体" w:eastAsia="新宋体" w:cs="新宋体"/>
          <w:color w:val="auto"/>
          <w:sz w:val="22"/>
          <w:szCs w:val="22"/>
          <w:highlight w:val="none"/>
        </w:rPr>
        <w:t>）的服务单位。</w:t>
      </w:r>
    </w:p>
    <w:p w14:paraId="0C48C086">
      <w:pPr>
        <w:keepNext w:val="0"/>
        <w:keepLines w:val="0"/>
        <w:pageBreakBefore w:val="0"/>
        <w:kinsoku/>
        <w:wordWrap/>
        <w:overflowPunct/>
        <w:topLinePunct w:val="0"/>
        <w:bidi w:val="0"/>
        <w:adjustRightInd w:val="0"/>
        <w:snapToGrid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第三条  考核内容</w:t>
      </w:r>
    </w:p>
    <w:p w14:paraId="627C65AB">
      <w:pPr>
        <w:keepNext w:val="0"/>
        <w:keepLines w:val="0"/>
        <w:pageBreakBefore w:val="0"/>
        <w:kinsoku/>
        <w:wordWrap/>
        <w:overflowPunct/>
        <w:topLinePunct w:val="0"/>
        <w:bidi w:val="0"/>
        <w:adjustRightInd w:val="0"/>
        <w:snapToGrid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1、基础管理,分值</w:t>
      </w:r>
      <w:r>
        <w:rPr>
          <w:rFonts w:hint="eastAsia" w:ascii="新宋体" w:hAnsi="新宋体" w:eastAsia="新宋体" w:cs="新宋体"/>
          <w:color w:val="auto"/>
          <w:sz w:val="22"/>
          <w:szCs w:val="22"/>
          <w:highlight w:val="none"/>
          <w:lang w:val="en-US" w:eastAsia="zh-CN"/>
        </w:rPr>
        <w:t>20</w:t>
      </w:r>
      <w:r>
        <w:rPr>
          <w:rFonts w:hint="eastAsia" w:ascii="新宋体" w:hAnsi="新宋体" w:eastAsia="新宋体" w:cs="新宋体"/>
          <w:color w:val="auto"/>
          <w:sz w:val="22"/>
          <w:szCs w:val="22"/>
          <w:highlight w:val="none"/>
        </w:rPr>
        <w:t>分。思想作风建设：考核职业道德、文明礼貌、工作作风、办事效率、团队精神、爱岗敬业和培训教育等。组织管理：考核组织框架层级管理、人员素质、人员管理等。制度建设：考核各项规章制度。培训教育：考核培训计划、内容、效果，员工的业务素质提高。能力建设：考核交办任务完成和应急事件处理，奖罚情况和满意率。具体见</w:t>
      </w:r>
      <w:r>
        <w:rPr>
          <w:rFonts w:hint="eastAsia" w:ascii="新宋体" w:hAnsi="新宋体" w:eastAsia="新宋体" w:cs="新宋体"/>
          <w:color w:val="auto"/>
          <w:sz w:val="22"/>
          <w:szCs w:val="22"/>
          <w:highlight w:val="none"/>
          <w:lang w:val="en-US" w:eastAsia="zh-CN"/>
        </w:rPr>
        <w:t>附件表2</w:t>
      </w:r>
      <w:r>
        <w:rPr>
          <w:rFonts w:hint="eastAsia" w:ascii="新宋体" w:hAnsi="新宋体" w:eastAsia="新宋体" w:cs="新宋体"/>
          <w:color w:val="auto"/>
          <w:sz w:val="22"/>
          <w:szCs w:val="22"/>
          <w:highlight w:val="none"/>
        </w:rPr>
        <w:t>。</w:t>
      </w:r>
    </w:p>
    <w:p w14:paraId="6D083F19">
      <w:pPr>
        <w:keepNext w:val="0"/>
        <w:keepLines w:val="0"/>
        <w:pageBreakBefore w:val="0"/>
        <w:kinsoku/>
        <w:wordWrap/>
        <w:overflowPunct/>
        <w:topLinePunct w:val="0"/>
        <w:bidi w:val="0"/>
        <w:adjustRightInd w:val="0"/>
        <w:snapToGrid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eastAsia="zh-CN"/>
        </w:rPr>
        <w:t>服务内容</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分值</w:t>
      </w:r>
      <w:r>
        <w:rPr>
          <w:rFonts w:hint="eastAsia" w:ascii="新宋体" w:hAnsi="新宋体" w:eastAsia="新宋体" w:cs="新宋体"/>
          <w:color w:val="auto"/>
          <w:sz w:val="22"/>
          <w:szCs w:val="22"/>
          <w:highlight w:val="none"/>
          <w:lang w:val="en-US" w:eastAsia="zh-CN"/>
        </w:rPr>
        <w:t>80分。服务内容包括救助区域生活照料服务、</w:t>
      </w:r>
      <w:r>
        <w:rPr>
          <w:rFonts w:hint="eastAsia" w:ascii="新宋体" w:hAnsi="新宋体" w:eastAsia="新宋体" w:cs="新宋体"/>
          <w:color w:val="auto"/>
          <w:sz w:val="22"/>
          <w:szCs w:val="22"/>
          <w:highlight w:val="none"/>
        </w:rPr>
        <w:t>安保</w:t>
      </w:r>
      <w:r>
        <w:rPr>
          <w:rFonts w:hint="eastAsia" w:ascii="新宋体" w:hAnsi="新宋体" w:eastAsia="新宋体" w:cs="新宋体"/>
          <w:color w:val="auto"/>
          <w:sz w:val="22"/>
          <w:szCs w:val="22"/>
          <w:highlight w:val="none"/>
          <w:lang w:eastAsia="zh-CN"/>
        </w:rPr>
        <w:t>服务</w:t>
      </w:r>
      <w:r>
        <w:rPr>
          <w:rFonts w:hint="eastAsia" w:ascii="新宋体" w:hAnsi="新宋体" w:eastAsia="新宋体" w:cs="新宋体"/>
          <w:color w:val="auto"/>
          <w:sz w:val="22"/>
          <w:szCs w:val="22"/>
          <w:highlight w:val="none"/>
        </w:rPr>
        <w:t>、食堂餐饮服务</w:t>
      </w:r>
      <w:r>
        <w:rPr>
          <w:rFonts w:hint="eastAsia" w:ascii="新宋体" w:hAnsi="新宋体" w:eastAsia="新宋体" w:cs="新宋体"/>
          <w:color w:val="auto"/>
          <w:sz w:val="22"/>
          <w:szCs w:val="22"/>
          <w:highlight w:val="none"/>
          <w:lang w:val="en-US" w:eastAsia="zh-CN"/>
        </w:rPr>
        <w:t>三</w:t>
      </w:r>
      <w:r>
        <w:rPr>
          <w:rFonts w:hint="eastAsia" w:ascii="新宋体" w:hAnsi="新宋体" w:eastAsia="新宋体" w:cs="新宋体"/>
          <w:color w:val="auto"/>
          <w:sz w:val="22"/>
          <w:szCs w:val="22"/>
          <w:highlight w:val="none"/>
        </w:rPr>
        <w:t>项，分值</w:t>
      </w:r>
      <w:r>
        <w:rPr>
          <w:rFonts w:hint="eastAsia" w:ascii="新宋体" w:hAnsi="新宋体" w:eastAsia="新宋体" w:cs="新宋体"/>
          <w:color w:val="auto"/>
          <w:sz w:val="22"/>
          <w:szCs w:val="22"/>
          <w:highlight w:val="none"/>
          <w:lang w:eastAsia="zh-CN"/>
        </w:rPr>
        <w:t>总分为</w:t>
      </w:r>
      <w:r>
        <w:rPr>
          <w:rFonts w:hint="eastAsia" w:ascii="新宋体" w:hAnsi="新宋体" w:eastAsia="新宋体" w:cs="新宋体"/>
          <w:color w:val="auto"/>
          <w:sz w:val="22"/>
          <w:szCs w:val="22"/>
          <w:highlight w:val="none"/>
          <w:lang w:val="en-US" w:eastAsia="zh-CN"/>
        </w:rPr>
        <w:t>80</w:t>
      </w:r>
      <w:r>
        <w:rPr>
          <w:rFonts w:hint="eastAsia" w:ascii="新宋体" w:hAnsi="新宋体" w:eastAsia="新宋体" w:cs="新宋体"/>
          <w:color w:val="auto"/>
          <w:sz w:val="22"/>
          <w:szCs w:val="22"/>
          <w:highlight w:val="none"/>
        </w:rPr>
        <w:t>分。考核工作目标、工作机制和各项</w:t>
      </w:r>
      <w:r>
        <w:rPr>
          <w:rFonts w:hint="eastAsia" w:ascii="新宋体" w:hAnsi="新宋体" w:eastAsia="新宋体" w:cs="新宋体"/>
          <w:color w:val="auto"/>
          <w:sz w:val="22"/>
          <w:szCs w:val="22"/>
          <w:highlight w:val="none"/>
          <w:lang w:eastAsia="zh-CN"/>
        </w:rPr>
        <w:t>服务内容</w:t>
      </w:r>
      <w:r>
        <w:rPr>
          <w:rFonts w:hint="eastAsia" w:ascii="新宋体" w:hAnsi="新宋体" w:eastAsia="新宋体" w:cs="新宋体"/>
          <w:color w:val="auto"/>
          <w:sz w:val="22"/>
          <w:szCs w:val="22"/>
          <w:highlight w:val="none"/>
        </w:rPr>
        <w:t>落实，考核合同约定的各项义务履行。具体见</w:t>
      </w:r>
      <w:r>
        <w:rPr>
          <w:rFonts w:hint="eastAsia" w:ascii="新宋体" w:hAnsi="新宋体" w:eastAsia="新宋体" w:cs="新宋体"/>
          <w:color w:val="auto"/>
          <w:sz w:val="22"/>
          <w:szCs w:val="22"/>
          <w:highlight w:val="none"/>
          <w:lang w:val="en-US" w:eastAsia="zh-CN"/>
        </w:rPr>
        <w:t>附件表3、表4、表5、表6</w:t>
      </w:r>
      <w:r>
        <w:rPr>
          <w:rFonts w:hint="eastAsia" w:ascii="新宋体" w:hAnsi="新宋体" w:eastAsia="新宋体" w:cs="新宋体"/>
          <w:color w:val="auto"/>
          <w:sz w:val="22"/>
          <w:szCs w:val="22"/>
          <w:highlight w:val="none"/>
        </w:rPr>
        <w:t>。</w:t>
      </w:r>
    </w:p>
    <w:p w14:paraId="3D7AB66C">
      <w:pPr>
        <w:keepNext w:val="0"/>
        <w:keepLines w:val="0"/>
        <w:pageBreakBefore w:val="0"/>
        <w:kinsoku/>
        <w:wordWrap/>
        <w:overflowPunct/>
        <w:topLinePunct w:val="0"/>
        <w:bidi w:val="0"/>
        <w:adjustRightInd w:val="0"/>
        <w:snapToGrid w:val="0"/>
        <w:spacing w:line="460" w:lineRule="exact"/>
        <w:ind w:firstLine="440" w:firstLineChars="200"/>
        <w:outlineLvl w:val="9"/>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3、加减分方面，总分值不设限</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各加减项按实际情况设定分值。主要设人员管理、问题整改、服务满意度回访、领导重要批示等考核内容。具体见</w:t>
      </w:r>
      <w:r>
        <w:rPr>
          <w:rFonts w:hint="eastAsia" w:ascii="新宋体" w:hAnsi="新宋体" w:eastAsia="新宋体" w:cs="新宋体"/>
          <w:color w:val="auto"/>
          <w:sz w:val="22"/>
          <w:szCs w:val="22"/>
          <w:highlight w:val="none"/>
          <w:lang w:val="en-US" w:eastAsia="zh-CN"/>
        </w:rPr>
        <w:t>附件表7。</w:t>
      </w:r>
    </w:p>
    <w:p w14:paraId="4FEECA9F">
      <w:pPr>
        <w:keepNext w:val="0"/>
        <w:keepLines w:val="0"/>
        <w:pageBreakBefore w:val="0"/>
        <w:kinsoku/>
        <w:wordWrap/>
        <w:overflowPunct/>
        <w:topLinePunct w:val="0"/>
        <w:bidi w:val="0"/>
        <w:adjustRightInd w:val="0"/>
        <w:snapToGrid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4、综合评定。由基础管理和</w:t>
      </w:r>
      <w:r>
        <w:rPr>
          <w:rFonts w:hint="eastAsia" w:ascii="新宋体" w:hAnsi="新宋体" w:eastAsia="新宋体" w:cs="新宋体"/>
          <w:color w:val="auto"/>
          <w:sz w:val="22"/>
          <w:szCs w:val="22"/>
          <w:highlight w:val="none"/>
          <w:lang w:eastAsia="zh-CN"/>
        </w:rPr>
        <w:t>服务内容两方面</w:t>
      </w:r>
      <w:r>
        <w:rPr>
          <w:rFonts w:hint="eastAsia" w:ascii="新宋体" w:hAnsi="新宋体" w:eastAsia="新宋体" w:cs="新宋体"/>
          <w:color w:val="auto"/>
          <w:sz w:val="22"/>
          <w:szCs w:val="22"/>
          <w:highlight w:val="none"/>
        </w:rPr>
        <w:t>组成。具体见</w:t>
      </w:r>
      <w:r>
        <w:rPr>
          <w:rFonts w:hint="eastAsia" w:ascii="新宋体" w:hAnsi="新宋体" w:eastAsia="新宋体" w:cs="新宋体"/>
          <w:color w:val="auto"/>
          <w:sz w:val="22"/>
          <w:szCs w:val="22"/>
          <w:highlight w:val="none"/>
          <w:lang w:val="en-US" w:eastAsia="zh-CN"/>
        </w:rPr>
        <w:t>附件表1</w:t>
      </w:r>
      <w:r>
        <w:rPr>
          <w:rFonts w:hint="eastAsia" w:ascii="新宋体" w:hAnsi="新宋体" w:eastAsia="新宋体" w:cs="新宋体"/>
          <w:color w:val="auto"/>
          <w:sz w:val="22"/>
          <w:szCs w:val="22"/>
          <w:highlight w:val="none"/>
        </w:rPr>
        <w:t>。</w:t>
      </w:r>
    </w:p>
    <w:p w14:paraId="490DF598">
      <w:pPr>
        <w:keepNext w:val="0"/>
        <w:keepLines w:val="0"/>
        <w:pageBreakBefore w:val="0"/>
        <w:kinsoku/>
        <w:wordWrap/>
        <w:overflowPunct/>
        <w:topLinePunct w:val="0"/>
        <w:bidi w:val="0"/>
        <w:adjustRightInd w:val="0"/>
        <w:snapToGrid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第四条  加减分评定表单</w:t>
      </w:r>
    </w:p>
    <w:p w14:paraId="63CB7310">
      <w:pPr>
        <w:keepNext w:val="0"/>
        <w:keepLines w:val="0"/>
        <w:pageBreakBefore w:val="0"/>
        <w:kinsoku/>
        <w:wordWrap/>
        <w:overflowPunct/>
        <w:topLinePunct w:val="0"/>
        <w:bidi w:val="0"/>
        <w:adjustRightInd w:val="0"/>
        <w:snapToGrid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1、人员管理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采取定期与不定期、明查和暗访等方式进行督查。</w:t>
      </w:r>
    </w:p>
    <w:p w14:paraId="2DE921C8">
      <w:pPr>
        <w:keepNext w:val="0"/>
        <w:keepLines w:val="0"/>
        <w:pageBreakBefore w:val="0"/>
        <w:kinsoku/>
        <w:wordWrap/>
        <w:overflowPunct/>
        <w:topLinePunct w:val="0"/>
        <w:bidi w:val="0"/>
        <w:adjustRightInd w:val="0"/>
        <w:snapToGrid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2、问题整改。不定期抽查</w:t>
      </w:r>
      <w:r>
        <w:rPr>
          <w:rFonts w:hint="eastAsia" w:ascii="新宋体" w:hAnsi="新宋体" w:eastAsia="新宋体" w:cs="新宋体"/>
          <w:color w:val="auto"/>
          <w:sz w:val="22"/>
          <w:szCs w:val="22"/>
          <w:highlight w:val="none"/>
          <w:lang w:eastAsia="zh-CN"/>
        </w:rPr>
        <w:t>服务内容</w:t>
      </w:r>
      <w:r>
        <w:rPr>
          <w:rFonts w:hint="eastAsia" w:ascii="新宋体" w:hAnsi="新宋体" w:eastAsia="新宋体" w:cs="新宋体"/>
          <w:color w:val="auto"/>
          <w:sz w:val="22"/>
          <w:szCs w:val="22"/>
          <w:highlight w:val="none"/>
        </w:rPr>
        <w:t>执行情况，对日常督促项目发放整改通知，纳入加减分考核</w:t>
      </w:r>
    </w:p>
    <w:p w14:paraId="08DEF0B2">
      <w:pPr>
        <w:keepNext w:val="0"/>
        <w:keepLines w:val="0"/>
        <w:pageBreakBefore w:val="0"/>
        <w:kinsoku/>
        <w:wordWrap/>
        <w:overflowPunct/>
        <w:topLinePunct w:val="0"/>
        <w:bidi w:val="0"/>
        <w:adjustRightInd w:val="0"/>
        <w:snapToGrid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pacing w:val="-6"/>
          <w:sz w:val="22"/>
          <w:szCs w:val="22"/>
          <w:highlight w:val="none"/>
        </w:rPr>
        <w:t>领导批示。根据事件造成的影响及各级领导的批示，视情况加减分。</w:t>
      </w:r>
    </w:p>
    <w:p w14:paraId="7CFDE084">
      <w:pPr>
        <w:keepNext w:val="0"/>
        <w:keepLines w:val="0"/>
        <w:pageBreakBefore w:val="0"/>
        <w:kinsoku/>
        <w:wordWrap/>
        <w:overflowPunct/>
        <w:topLinePunct w:val="0"/>
        <w:bidi w:val="0"/>
        <w:adjustRightInd w:val="0"/>
        <w:snapToGrid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4、根据被服务单位和工作人员回访满意度，视情况加减分。</w:t>
      </w:r>
    </w:p>
    <w:p w14:paraId="378045D0">
      <w:pPr>
        <w:keepNext w:val="0"/>
        <w:keepLines w:val="0"/>
        <w:pageBreakBefore w:val="0"/>
        <w:kinsoku/>
        <w:wordWrap/>
        <w:overflowPunct/>
        <w:topLinePunct w:val="0"/>
        <w:bidi w:val="0"/>
        <w:adjustRightInd w:val="0"/>
        <w:snapToGrid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第五条  合同书及合同补充条款或说明、中标通知书、承诺书（含询标记录和优惠条款）、招标文件约定的各项具体工作任务、目标、要求和标准作为考核依据。</w:t>
      </w:r>
    </w:p>
    <w:p w14:paraId="5A1AC449">
      <w:pPr>
        <w:keepNext w:val="0"/>
        <w:keepLines w:val="0"/>
        <w:pageBreakBefore w:val="0"/>
        <w:kinsoku/>
        <w:wordWrap/>
        <w:overflowPunct/>
        <w:topLinePunct w:val="0"/>
        <w:bidi w:val="0"/>
        <w:adjustRightInd w:val="0"/>
        <w:snapToGrid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第六条  温州市</w:t>
      </w:r>
      <w:r>
        <w:rPr>
          <w:rFonts w:hint="eastAsia" w:ascii="新宋体" w:hAnsi="新宋体" w:eastAsia="新宋体" w:cs="新宋体"/>
          <w:color w:val="auto"/>
          <w:sz w:val="22"/>
          <w:szCs w:val="22"/>
          <w:highlight w:val="none"/>
          <w:lang w:val="en-US" w:eastAsia="zh-CN"/>
        </w:rPr>
        <w:t>救助管理站</w:t>
      </w:r>
      <w:r>
        <w:rPr>
          <w:rFonts w:hint="eastAsia" w:ascii="新宋体" w:hAnsi="新宋体" w:eastAsia="新宋体" w:cs="新宋体"/>
          <w:color w:val="auto"/>
          <w:sz w:val="22"/>
          <w:szCs w:val="22"/>
          <w:highlight w:val="none"/>
        </w:rPr>
        <w:t>作为考核人负责具体考核：按照考核细则、服务质量要求进行评定。考核采用每季进行一次考核的方式，在季初完成上个季度的考核。</w:t>
      </w:r>
    </w:p>
    <w:p w14:paraId="36409BB4">
      <w:pPr>
        <w:keepNext w:val="0"/>
        <w:keepLines w:val="0"/>
        <w:pageBreakBefore w:val="0"/>
        <w:kinsoku/>
        <w:wordWrap/>
        <w:overflowPunct/>
        <w:topLinePunct w:val="0"/>
        <w:bidi w:val="0"/>
        <w:adjustRightInd w:val="0"/>
        <w:snapToGrid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第七条  考核人应将考核结果</w:t>
      </w:r>
      <w:r>
        <w:rPr>
          <w:rFonts w:hint="eastAsia" w:ascii="新宋体" w:hAnsi="新宋体" w:eastAsia="新宋体" w:cs="新宋体"/>
          <w:color w:val="auto"/>
          <w:sz w:val="22"/>
          <w:szCs w:val="22"/>
          <w:highlight w:val="none"/>
          <w:lang w:val="en-US" w:eastAsia="zh-CN"/>
        </w:rPr>
        <w:t>及时</w:t>
      </w:r>
      <w:r>
        <w:rPr>
          <w:rFonts w:hint="eastAsia" w:ascii="新宋体" w:hAnsi="新宋体" w:eastAsia="新宋体" w:cs="新宋体"/>
          <w:color w:val="auto"/>
          <w:sz w:val="22"/>
          <w:szCs w:val="22"/>
          <w:highlight w:val="none"/>
        </w:rPr>
        <w:t>通知考核对象，考核对象对考核结果有异议的，应在3天内向</w:t>
      </w:r>
      <w:r>
        <w:rPr>
          <w:rFonts w:hint="eastAsia" w:ascii="新宋体" w:hAnsi="新宋体" w:eastAsia="新宋体" w:cs="新宋体"/>
          <w:color w:val="auto"/>
          <w:sz w:val="22"/>
          <w:szCs w:val="22"/>
          <w:highlight w:val="none"/>
          <w:lang w:eastAsia="zh-CN"/>
        </w:rPr>
        <w:t>站</w:t>
      </w:r>
      <w:r>
        <w:rPr>
          <w:rFonts w:hint="eastAsia" w:ascii="新宋体" w:hAnsi="新宋体" w:eastAsia="新宋体" w:cs="新宋体"/>
          <w:color w:val="auto"/>
          <w:sz w:val="22"/>
          <w:szCs w:val="22"/>
          <w:highlight w:val="none"/>
        </w:rPr>
        <w:t>办公室提出书面申请，逾期考核结果自动生效。考核人与考核对象意见</w:t>
      </w:r>
      <w:r>
        <w:rPr>
          <w:rFonts w:hint="eastAsia" w:ascii="新宋体" w:hAnsi="新宋体" w:eastAsia="新宋体" w:cs="新宋体"/>
          <w:color w:val="auto"/>
          <w:sz w:val="22"/>
          <w:szCs w:val="22"/>
          <w:highlight w:val="none"/>
          <w:lang w:eastAsia="zh-CN"/>
        </w:rPr>
        <w:t>不一致时</w:t>
      </w:r>
      <w:r>
        <w:rPr>
          <w:rFonts w:hint="eastAsia" w:ascii="新宋体" w:hAnsi="新宋体" w:eastAsia="新宋体" w:cs="新宋体"/>
          <w:color w:val="auto"/>
          <w:sz w:val="22"/>
          <w:szCs w:val="22"/>
          <w:highlight w:val="none"/>
        </w:rPr>
        <w:t>，由</w:t>
      </w:r>
      <w:r>
        <w:rPr>
          <w:rFonts w:hint="eastAsia" w:ascii="新宋体" w:hAnsi="新宋体" w:eastAsia="新宋体" w:cs="新宋体"/>
          <w:color w:val="auto"/>
          <w:sz w:val="22"/>
          <w:szCs w:val="22"/>
          <w:highlight w:val="none"/>
          <w:lang w:eastAsia="zh-CN"/>
        </w:rPr>
        <w:t>双方协商解决</w:t>
      </w:r>
      <w:r>
        <w:rPr>
          <w:rFonts w:hint="eastAsia" w:ascii="新宋体" w:hAnsi="新宋体" w:eastAsia="新宋体" w:cs="新宋体"/>
          <w:color w:val="auto"/>
          <w:sz w:val="22"/>
          <w:szCs w:val="22"/>
          <w:highlight w:val="none"/>
        </w:rPr>
        <w:t>。</w:t>
      </w:r>
    </w:p>
    <w:p w14:paraId="396E8480">
      <w:pPr>
        <w:keepNext w:val="0"/>
        <w:keepLines w:val="0"/>
        <w:pageBreakBefore w:val="0"/>
        <w:kinsoku/>
        <w:wordWrap/>
        <w:overflowPunct/>
        <w:topLinePunct w:val="0"/>
        <w:bidi w:val="0"/>
        <w:adjustRightInd w:val="0"/>
        <w:snapToGrid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第八条  考核结果应用</w:t>
      </w:r>
    </w:p>
    <w:p w14:paraId="6CE43CC1">
      <w:pPr>
        <w:keepNext w:val="0"/>
        <w:keepLines w:val="0"/>
        <w:pageBreakBefore w:val="0"/>
        <w:kinsoku/>
        <w:wordWrap/>
        <w:overflowPunct/>
        <w:topLinePunct w:val="0"/>
        <w:bidi w:val="0"/>
        <w:adjustRightInd w:val="0"/>
        <w:snapToGrid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综合评定分在80分以下的考核不达标，给予通报批评，并扣罚服务费</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万元。</w:t>
      </w:r>
    </w:p>
    <w:p w14:paraId="56C503FB">
      <w:pPr>
        <w:keepNext w:val="0"/>
        <w:keepLines w:val="0"/>
        <w:pageBreakBefore w:val="0"/>
        <w:kinsoku/>
        <w:wordWrap/>
        <w:overflowPunct/>
        <w:topLinePunct w:val="0"/>
        <w:bidi w:val="0"/>
        <w:adjustRightInd w:val="0"/>
        <w:snapToGrid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若考核对象年度累计2次考核不达标，作为考核对象违约，终止服务承包合同。</w:t>
      </w:r>
    </w:p>
    <w:p w14:paraId="4177B370">
      <w:pPr>
        <w:keepNext w:val="0"/>
        <w:keepLines w:val="0"/>
        <w:pageBreakBefore w:val="0"/>
        <w:kinsoku/>
        <w:wordWrap/>
        <w:overflowPunct/>
        <w:topLinePunct w:val="0"/>
        <w:bidi w:val="0"/>
        <w:adjustRightInd w:val="0"/>
        <w:snapToGrid w:val="0"/>
        <w:spacing w:line="460" w:lineRule="exact"/>
        <w:ind w:firstLine="440" w:firstLineChars="200"/>
        <w:outlineLvl w:val="9"/>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考核结果作为次年续签合同的依据。</w:t>
      </w:r>
    </w:p>
    <w:p w14:paraId="1DB47B6E">
      <w:pPr>
        <w:keepNext w:val="0"/>
        <w:keepLines w:val="0"/>
        <w:pageBreakBefore w:val="0"/>
        <w:kinsoku/>
        <w:wordWrap/>
        <w:overflowPunct/>
        <w:topLinePunct w:val="0"/>
        <w:bidi w:val="0"/>
        <w:adjustRightInd w:val="0"/>
        <w:snapToGrid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第九条  服务单位须按照合同约定在</w:t>
      </w:r>
      <w:r>
        <w:rPr>
          <w:rFonts w:hint="eastAsia" w:ascii="新宋体" w:hAnsi="新宋体" w:eastAsia="新宋体" w:cs="新宋体"/>
          <w:color w:val="auto"/>
          <w:sz w:val="22"/>
          <w:szCs w:val="22"/>
          <w:highlight w:val="none"/>
          <w:lang w:eastAsia="zh-CN"/>
        </w:rPr>
        <w:t>温州市救助管理站</w:t>
      </w:r>
      <w:r>
        <w:rPr>
          <w:rFonts w:hint="eastAsia" w:ascii="新宋体" w:hAnsi="新宋体" w:eastAsia="新宋体" w:cs="新宋体"/>
          <w:color w:val="auto"/>
          <w:sz w:val="22"/>
          <w:szCs w:val="22"/>
          <w:highlight w:val="none"/>
        </w:rPr>
        <w:t>内配置</w:t>
      </w:r>
      <w:r>
        <w:rPr>
          <w:rFonts w:hint="eastAsia" w:ascii="新宋体" w:hAnsi="新宋体" w:eastAsia="新宋体" w:cs="新宋体"/>
          <w:color w:val="auto"/>
          <w:sz w:val="22"/>
          <w:szCs w:val="22"/>
          <w:highlight w:val="none"/>
          <w:lang w:eastAsia="zh-CN"/>
        </w:rPr>
        <w:t>岗位</w:t>
      </w:r>
      <w:r>
        <w:rPr>
          <w:rFonts w:hint="eastAsia" w:ascii="新宋体" w:hAnsi="新宋体" w:eastAsia="新宋体" w:cs="新宋体"/>
          <w:color w:val="auto"/>
          <w:sz w:val="22"/>
          <w:szCs w:val="22"/>
          <w:highlight w:val="none"/>
        </w:rPr>
        <w:t>工作人员。否则，每缺编1名人员扣减服务单位服务费3000元/月。</w:t>
      </w:r>
    </w:p>
    <w:p w14:paraId="71DF4C1E">
      <w:pPr>
        <w:keepNext w:val="0"/>
        <w:keepLines w:val="0"/>
        <w:pageBreakBefore w:val="0"/>
        <w:kinsoku/>
        <w:wordWrap/>
        <w:overflowPunct/>
        <w:topLinePunct w:val="0"/>
        <w:bidi w:val="0"/>
        <w:adjustRightInd w:val="0"/>
        <w:snapToGrid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第十条  服务单位在考核期限内发生重大责任事故或安全事故，在当季服务费中扣除1万元/次。</w:t>
      </w:r>
    </w:p>
    <w:p w14:paraId="132323E4">
      <w:pPr>
        <w:keepNext w:val="0"/>
        <w:keepLines w:val="0"/>
        <w:pageBreakBefore w:val="0"/>
        <w:kinsoku/>
        <w:wordWrap/>
        <w:overflowPunct/>
        <w:topLinePunct w:val="0"/>
        <w:bidi w:val="0"/>
        <w:adjustRightInd w:val="0"/>
        <w:snapToGrid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第十一条  对出现的问题，经指正后不按要求整改的，相关部门及领导反映并核查属实的，发生问题后报告不及时的，除了按规定直接扣分外，另加倍扣分。</w:t>
      </w:r>
    </w:p>
    <w:p w14:paraId="746A4341">
      <w:pPr>
        <w:keepNext w:val="0"/>
        <w:keepLines w:val="0"/>
        <w:pageBreakBefore w:val="0"/>
        <w:kinsoku/>
        <w:wordWrap/>
        <w:overflowPunct/>
        <w:topLinePunct w:val="0"/>
        <w:bidi w:val="0"/>
        <w:adjustRightInd w:val="0"/>
        <w:snapToGrid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第十二条  服务单位如不能及时或不能按标准完成承包范围内的服务工作，</w:t>
      </w:r>
      <w:r>
        <w:rPr>
          <w:rFonts w:hint="eastAsia" w:ascii="新宋体" w:hAnsi="新宋体" w:eastAsia="新宋体" w:cs="新宋体"/>
          <w:color w:val="auto"/>
          <w:sz w:val="22"/>
          <w:szCs w:val="22"/>
          <w:highlight w:val="none"/>
          <w:lang w:eastAsia="zh-CN"/>
        </w:rPr>
        <w:t>市救助管理站</w:t>
      </w:r>
      <w:r>
        <w:rPr>
          <w:rFonts w:hint="eastAsia" w:ascii="新宋体" w:hAnsi="新宋体" w:eastAsia="新宋体" w:cs="新宋体"/>
          <w:color w:val="auto"/>
          <w:sz w:val="22"/>
          <w:szCs w:val="22"/>
          <w:highlight w:val="none"/>
        </w:rPr>
        <w:t>有权安排第三方进行服务，所发生的费用由</w:t>
      </w:r>
      <w:r>
        <w:rPr>
          <w:rFonts w:hint="eastAsia" w:ascii="新宋体" w:hAnsi="新宋体" w:eastAsia="新宋体" w:cs="新宋体"/>
          <w:color w:val="auto"/>
          <w:sz w:val="22"/>
          <w:szCs w:val="22"/>
          <w:highlight w:val="none"/>
          <w:lang w:eastAsia="zh-CN"/>
        </w:rPr>
        <w:t>服务单位</w:t>
      </w:r>
      <w:r>
        <w:rPr>
          <w:rFonts w:hint="eastAsia" w:ascii="新宋体" w:hAnsi="新宋体" w:eastAsia="新宋体" w:cs="新宋体"/>
          <w:color w:val="auto"/>
          <w:sz w:val="22"/>
          <w:szCs w:val="22"/>
          <w:highlight w:val="none"/>
        </w:rPr>
        <w:t>承担。</w:t>
      </w:r>
    </w:p>
    <w:p w14:paraId="232AF837">
      <w:pPr>
        <w:keepNext w:val="0"/>
        <w:keepLines w:val="0"/>
        <w:pageBreakBefore w:val="0"/>
        <w:kinsoku/>
        <w:wordWrap/>
        <w:overflowPunct/>
        <w:topLinePunct w:val="0"/>
        <w:bidi w:val="0"/>
        <w:adjustRightInd w:val="0"/>
        <w:snapToGrid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第十三条  服务单位发生重大安全事故，经核实，该期内的考核分为零分。服务单位由于不可抗力或者其他客观因素造成某项工作不能完成的，应提交书面报告酌情处理。</w:t>
      </w:r>
    </w:p>
    <w:p w14:paraId="6CEEF0CE">
      <w:pPr>
        <w:keepNext w:val="0"/>
        <w:keepLines w:val="0"/>
        <w:pageBreakBefore w:val="0"/>
        <w:kinsoku/>
        <w:wordWrap/>
        <w:overflowPunct/>
        <w:topLinePunct w:val="0"/>
        <w:bidi w:val="0"/>
        <w:adjustRightInd w:val="0"/>
        <w:snapToGrid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第十四条  服务单位如未按合同进行服务管理或未经批准进行分包、转包，市</w:t>
      </w:r>
      <w:r>
        <w:rPr>
          <w:rFonts w:hint="eastAsia" w:ascii="新宋体" w:hAnsi="新宋体" w:eastAsia="新宋体" w:cs="新宋体"/>
          <w:color w:val="auto"/>
          <w:sz w:val="22"/>
          <w:szCs w:val="22"/>
          <w:highlight w:val="none"/>
          <w:lang w:eastAsia="zh-CN"/>
        </w:rPr>
        <w:t>救助管理站</w:t>
      </w:r>
      <w:r>
        <w:rPr>
          <w:rFonts w:hint="eastAsia" w:ascii="新宋体" w:hAnsi="新宋体" w:eastAsia="新宋体" w:cs="新宋体"/>
          <w:color w:val="auto"/>
          <w:sz w:val="22"/>
          <w:szCs w:val="22"/>
          <w:highlight w:val="none"/>
        </w:rPr>
        <w:t>有权单方面终止协议，所有损失由服务单位承担。</w:t>
      </w:r>
    </w:p>
    <w:p w14:paraId="34360054">
      <w:pPr>
        <w:keepNext w:val="0"/>
        <w:keepLines w:val="0"/>
        <w:pageBreakBefore w:val="0"/>
        <w:kinsoku/>
        <w:wordWrap/>
        <w:overflowPunct/>
        <w:topLinePunct w:val="0"/>
        <w:bidi w:val="0"/>
        <w:adjustRightInd w:val="0"/>
        <w:snapToGrid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52F0A50C">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sz w:val="22"/>
          <w:szCs w:val="22"/>
          <w:highlight w:val="none"/>
        </w:rPr>
      </w:pPr>
    </w:p>
    <w:p w14:paraId="7D487DF2">
      <w:pPr>
        <w:keepNext w:val="0"/>
        <w:keepLines w:val="0"/>
        <w:pageBreakBefore w:val="0"/>
        <w:kinsoku/>
        <w:wordWrap/>
        <w:overflowPunct/>
        <w:topLinePunct w:val="0"/>
        <w:bidi w:val="0"/>
        <w:adjustRightInd w:val="0"/>
        <w:snapToGrid w:val="0"/>
        <w:spacing w:line="460" w:lineRule="exact"/>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color w:val="auto"/>
          <w:sz w:val="22"/>
          <w:szCs w:val="22"/>
          <w:highlight w:val="none"/>
        </w:rPr>
        <w:t>附件：</w:t>
      </w:r>
    </w:p>
    <w:p w14:paraId="719A9C61">
      <w:pPr>
        <w:keepNext w:val="0"/>
        <w:keepLines w:val="0"/>
        <w:pageBreakBefore w:val="0"/>
        <w:kinsoku/>
        <w:wordWrap/>
        <w:overflowPunct/>
        <w:topLinePunct w:val="0"/>
        <w:bidi w:val="0"/>
        <w:adjustRightInd w:val="0"/>
        <w:snapToGrid w:val="0"/>
        <w:spacing w:line="460" w:lineRule="exact"/>
        <w:ind w:firstLine="660" w:firstLineChars="3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表1：</w:t>
      </w:r>
      <w:r>
        <w:rPr>
          <w:rFonts w:hint="eastAsia" w:ascii="新宋体" w:hAnsi="新宋体" w:eastAsia="新宋体" w:cs="新宋体"/>
          <w:color w:val="auto"/>
          <w:sz w:val="22"/>
          <w:szCs w:val="22"/>
          <w:highlight w:val="none"/>
          <w:lang w:eastAsia="zh-CN"/>
        </w:rPr>
        <w:t>温州市救助管理站站内救助服务</w:t>
      </w:r>
      <w:r>
        <w:rPr>
          <w:rFonts w:hint="eastAsia" w:ascii="新宋体" w:hAnsi="新宋体" w:eastAsia="新宋体" w:cs="新宋体"/>
          <w:color w:val="auto"/>
          <w:sz w:val="22"/>
          <w:szCs w:val="22"/>
          <w:highlight w:val="none"/>
        </w:rPr>
        <w:t>考核综合评定表</w:t>
      </w:r>
    </w:p>
    <w:p w14:paraId="32BF6EF5">
      <w:pPr>
        <w:keepNext w:val="0"/>
        <w:keepLines w:val="0"/>
        <w:pageBreakBefore w:val="0"/>
        <w:kinsoku/>
        <w:wordWrap/>
        <w:overflowPunct/>
        <w:topLinePunct w:val="0"/>
        <w:bidi w:val="0"/>
        <w:adjustRightInd w:val="0"/>
        <w:snapToGrid w:val="0"/>
        <w:spacing w:line="460" w:lineRule="exact"/>
        <w:ind w:firstLine="56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表2：</w:t>
      </w:r>
      <w:r>
        <w:rPr>
          <w:rFonts w:hint="eastAsia" w:ascii="新宋体" w:hAnsi="新宋体" w:eastAsia="新宋体" w:cs="新宋体"/>
          <w:color w:val="auto"/>
          <w:sz w:val="22"/>
          <w:szCs w:val="22"/>
          <w:highlight w:val="none"/>
          <w:lang w:eastAsia="zh-CN"/>
        </w:rPr>
        <w:t>温州市救助管理站站内救助服务</w:t>
      </w:r>
      <w:r>
        <w:rPr>
          <w:rFonts w:hint="eastAsia" w:ascii="新宋体" w:hAnsi="新宋体" w:eastAsia="新宋体" w:cs="新宋体"/>
          <w:color w:val="auto"/>
          <w:sz w:val="22"/>
          <w:szCs w:val="22"/>
          <w:highlight w:val="none"/>
        </w:rPr>
        <w:t>考核细则（基础管理）</w:t>
      </w:r>
    </w:p>
    <w:p w14:paraId="17EE2B03">
      <w:pPr>
        <w:keepNext w:val="0"/>
        <w:keepLines w:val="0"/>
        <w:pageBreakBefore w:val="0"/>
        <w:kinsoku/>
        <w:wordWrap/>
        <w:overflowPunct/>
        <w:topLinePunct w:val="0"/>
        <w:bidi w:val="0"/>
        <w:adjustRightInd w:val="0"/>
        <w:snapToGrid w:val="0"/>
        <w:spacing w:line="460" w:lineRule="exact"/>
        <w:ind w:firstLine="56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表3：</w:t>
      </w:r>
      <w:r>
        <w:rPr>
          <w:rFonts w:hint="eastAsia" w:ascii="新宋体" w:hAnsi="新宋体" w:eastAsia="新宋体" w:cs="新宋体"/>
          <w:color w:val="auto"/>
          <w:sz w:val="22"/>
          <w:szCs w:val="22"/>
          <w:highlight w:val="none"/>
          <w:lang w:eastAsia="zh-CN"/>
        </w:rPr>
        <w:t>温州市救助管理站站内救助服务</w:t>
      </w:r>
      <w:r>
        <w:rPr>
          <w:rFonts w:hint="eastAsia" w:ascii="新宋体" w:hAnsi="新宋体" w:eastAsia="新宋体" w:cs="新宋体"/>
          <w:color w:val="auto"/>
          <w:sz w:val="22"/>
          <w:szCs w:val="22"/>
          <w:highlight w:val="none"/>
        </w:rPr>
        <w:t>考核细则（食堂餐饮）</w:t>
      </w:r>
    </w:p>
    <w:p w14:paraId="3DAC9E06">
      <w:pPr>
        <w:keepNext w:val="0"/>
        <w:keepLines w:val="0"/>
        <w:pageBreakBefore w:val="0"/>
        <w:kinsoku/>
        <w:wordWrap/>
        <w:overflowPunct/>
        <w:topLinePunct w:val="0"/>
        <w:bidi w:val="0"/>
        <w:adjustRightInd w:val="0"/>
        <w:snapToGrid w:val="0"/>
        <w:spacing w:line="460" w:lineRule="exact"/>
        <w:ind w:firstLine="56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表4：</w:t>
      </w:r>
      <w:r>
        <w:rPr>
          <w:rFonts w:hint="eastAsia" w:ascii="新宋体" w:hAnsi="新宋体" w:eastAsia="新宋体" w:cs="新宋体"/>
          <w:color w:val="auto"/>
          <w:sz w:val="22"/>
          <w:szCs w:val="22"/>
          <w:highlight w:val="none"/>
          <w:lang w:eastAsia="zh-CN"/>
        </w:rPr>
        <w:t>温州市救助管理站站内救助服务</w:t>
      </w:r>
      <w:r>
        <w:rPr>
          <w:rFonts w:hint="eastAsia" w:ascii="新宋体" w:hAnsi="新宋体" w:eastAsia="新宋体" w:cs="新宋体"/>
          <w:color w:val="auto"/>
          <w:sz w:val="22"/>
          <w:szCs w:val="22"/>
          <w:highlight w:val="none"/>
        </w:rPr>
        <w:t>考核细则（保安</w:t>
      </w:r>
      <w:r>
        <w:rPr>
          <w:rFonts w:hint="eastAsia" w:ascii="新宋体" w:hAnsi="新宋体" w:eastAsia="新宋体" w:cs="新宋体"/>
          <w:color w:val="auto"/>
          <w:sz w:val="22"/>
          <w:szCs w:val="22"/>
          <w:highlight w:val="none"/>
          <w:lang w:eastAsia="zh-CN"/>
        </w:rPr>
        <w:t>服务</w:t>
      </w:r>
      <w:r>
        <w:rPr>
          <w:rFonts w:hint="eastAsia" w:ascii="新宋体" w:hAnsi="新宋体" w:eastAsia="新宋体" w:cs="新宋体"/>
          <w:color w:val="auto"/>
          <w:sz w:val="22"/>
          <w:szCs w:val="22"/>
          <w:highlight w:val="none"/>
        </w:rPr>
        <w:t>）</w:t>
      </w:r>
    </w:p>
    <w:p w14:paraId="77CCBB54">
      <w:pPr>
        <w:keepNext w:val="0"/>
        <w:keepLines w:val="0"/>
        <w:pageBreakBefore w:val="0"/>
        <w:kinsoku/>
        <w:wordWrap/>
        <w:overflowPunct/>
        <w:topLinePunct w:val="0"/>
        <w:bidi w:val="0"/>
        <w:adjustRightInd w:val="0"/>
        <w:snapToGrid w:val="0"/>
        <w:spacing w:line="460" w:lineRule="exact"/>
        <w:ind w:firstLine="56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表5：</w:t>
      </w:r>
      <w:r>
        <w:rPr>
          <w:rFonts w:hint="eastAsia" w:ascii="新宋体" w:hAnsi="新宋体" w:eastAsia="新宋体" w:cs="新宋体"/>
          <w:color w:val="auto"/>
          <w:sz w:val="22"/>
          <w:szCs w:val="22"/>
          <w:highlight w:val="none"/>
          <w:lang w:eastAsia="zh-CN"/>
        </w:rPr>
        <w:t>温州市救助管理站站内救助服务</w:t>
      </w:r>
      <w:r>
        <w:rPr>
          <w:rFonts w:hint="eastAsia" w:ascii="新宋体" w:hAnsi="新宋体" w:eastAsia="新宋体" w:cs="新宋体"/>
          <w:color w:val="auto"/>
          <w:sz w:val="22"/>
          <w:szCs w:val="22"/>
          <w:highlight w:val="none"/>
        </w:rPr>
        <w:t>考核细则（</w:t>
      </w:r>
      <w:r>
        <w:rPr>
          <w:rFonts w:hint="eastAsia" w:ascii="新宋体" w:hAnsi="新宋体" w:eastAsia="新宋体" w:cs="新宋体"/>
          <w:color w:val="auto"/>
          <w:sz w:val="22"/>
          <w:szCs w:val="22"/>
          <w:highlight w:val="none"/>
          <w:lang w:val="en-US" w:eastAsia="zh-CN"/>
        </w:rPr>
        <w:t>生活照料服务</w:t>
      </w:r>
      <w:r>
        <w:rPr>
          <w:rFonts w:hint="eastAsia" w:ascii="新宋体" w:hAnsi="新宋体" w:eastAsia="新宋体" w:cs="新宋体"/>
          <w:color w:val="auto"/>
          <w:sz w:val="22"/>
          <w:szCs w:val="22"/>
          <w:highlight w:val="none"/>
        </w:rPr>
        <w:t>）</w:t>
      </w:r>
    </w:p>
    <w:p w14:paraId="4576BDF2">
      <w:pPr>
        <w:keepNext w:val="0"/>
        <w:keepLines w:val="0"/>
        <w:pageBreakBefore w:val="0"/>
        <w:kinsoku/>
        <w:wordWrap/>
        <w:overflowPunct/>
        <w:topLinePunct w:val="0"/>
        <w:bidi w:val="0"/>
        <w:adjustRightInd w:val="0"/>
        <w:snapToGrid w:val="0"/>
        <w:spacing w:line="460" w:lineRule="exact"/>
        <w:ind w:firstLine="560"/>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表6：</w:t>
      </w:r>
      <w:r>
        <w:rPr>
          <w:rFonts w:hint="eastAsia" w:ascii="新宋体" w:hAnsi="新宋体" w:eastAsia="新宋体" w:cs="新宋体"/>
          <w:color w:val="auto"/>
          <w:sz w:val="22"/>
          <w:szCs w:val="22"/>
          <w:highlight w:val="none"/>
          <w:lang w:eastAsia="zh-CN"/>
        </w:rPr>
        <w:t>温州市救助管理站站内救助服务</w:t>
      </w:r>
      <w:r>
        <w:rPr>
          <w:rFonts w:hint="eastAsia" w:ascii="新宋体" w:hAnsi="新宋体" w:eastAsia="新宋体" w:cs="新宋体"/>
          <w:color w:val="auto"/>
          <w:sz w:val="22"/>
          <w:szCs w:val="22"/>
          <w:highlight w:val="none"/>
        </w:rPr>
        <w:t>考核细则（</w:t>
      </w:r>
      <w:r>
        <w:rPr>
          <w:rFonts w:hint="eastAsia" w:ascii="新宋体" w:hAnsi="新宋体" w:eastAsia="新宋体" w:cs="新宋体"/>
          <w:color w:val="auto"/>
          <w:sz w:val="22"/>
          <w:szCs w:val="22"/>
          <w:highlight w:val="none"/>
          <w:lang w:val="en-US" w:eastAsia="zh-CN"/>
        </w:rPr>
        <w:t>卫生服务</w:t>
      </w:r>
      <w:r>
        <w:rPr>
          <w:rFonts w:hint="eastAsia" w:ascii="新宋体" w:hAnsi="新宋体" w:eastAsia="新宋体" w:cs="新宋体"/>
          <w:color w:val="auto"/>
          <w:sz w:val="22"/>
          <w:szCs w:val="22"/>
          <w:highlight w:val="none"/>
        </w:rPr>
        <w:t>）</w:t>
      </w:r>
    </w:p>
    <w:p w14:paraId="5A446A78">
      <w:pPr>
        <w:keepNext w:val="0"/>
        <w:keepLines w:val="0"/>
        <w:pageBreakBefore w:val="0"/>
        <w:kinsoku/>
        <w:wordWrap/>
        <w:overflowPunct/>
        <w:topLinePunct w:val="0"/>
        <w:bidi w:val="0"/>
        <w:adjustRightInd w:val="0"/>
        <w:snapToGrid w:val="0"/>
        <w:spacing w:line="460" w:lineRule="exact"/>
        <w:ind w:firstLine="56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表7：</w:t>
      </w:r>
      <w:r>
        <w:rPr>
          <w:rFonts w:hint="eastAsia" w:ascii="新宋体" w:hAnsi="新宋体" w:eastAsia="新宋体" w:cs="新宋体"/>
          <w:color w:val="auto"/>
          <w:sz w:val="22"/>
          <w:szCs w:val="22"/>
          <w:highlight w:val="none"/>
          <w:lang w:eastAsia="zh-CN"/>
        </w:rPr>
        <w:t>温州市救助管理站站内救助服务</w:t>
      </w:r>
      <w:r>
        <w:rPr>
          <w:rFonts w:hint="eastAsia" w:ascii="新宋体" w:hAnsi="新宋体" w:eastAsia="新宋体" w:cs="新宋体"/>
          <w:color w:val="auto"/>
          <w:sz w:val="22"/>
          <w:szCs w:val="22"/>
          <w:highlight w:val="none"/>
        </w:rPr>
        <w:t>加减分考核细则</w:t>
      </w:r>
    </w:p>
    <w:p w14:paraId="5E5379AF">
      <w:pPr>
        <w:keepNext w:val="0"/>
        <w:keepLines w:val="0"/>
        <w:pageBreakBefore w:val="0"/>
        <w:kinsoku/>
        <w:wordWrap/>
        <w:overflowPunct/>
        <w:topLinePunct w:val="0"/>
        <w:bidi w:val="0"/>
        <w:adjustRightInd w:val="0"/>
        <w:snapToGrid w:val="0"/>
        <w:spacing w:line="460" w:lineRule="exact"/>
        <w:ind w:firstLine="3630" w:firstLineChars="1650"/>
        <w:outlineLvl w:val="9"/>
        <w:rPr>
          <w:rFonts w:hint="eastAsia" w:ascii="新宋体" w:hAnsi="新宋体" w:eastAsia="新宋体" w:cs="新宋体"/>
          <w:color w:val="auto"/>
          <w:sz w:val="22"/>
          <w:szCs w:val="22"/>
          <w:highlight w:val="none"/>
        </w:rPr>
      </w:pPr>
    </w:p>
    <w:p w14:paraId="13BD1168">
      <w:pPr>
        <w:keepNext w:val="0"/>
        <w:keepLines w:val="0"/>
        <w:pageBreakBefore w:val="0"/>
        <w:kinsoku/>
        <w:wordWrap/>
        <w:overflowPunct/>
        <w:topLinePunct w:val="0"/>
        <w:bidi w:val="0"/>
        <w:adjustRightInd w:val="0"/>
        <w:snapToGrid w:val="0"/>
        <w:spacing w:line="460" w:lineRule="exact"/>
        <w:ind w:firstLine="3630" w:firstLineChars="1650"/>
        <w:outlineLvl w:val="9"/>
        <w:rPr>
          <w:rFonts w:hint="eastAsia" w:ascii="新宋体" w:hAnsi="新宋体" w:eastAsia="新宋体" w:cs="新宋体"/>
          <w:color w:val="auto"/>
          <w:sz w:val="22"/>
          <w:szCs w:val="22"/>
          <w:highlight w:val="none"/>
        </w:rPr>
      </w:pPr>
    </w:p>
    <w:p w14:paraId="76C78CCD">
      <w:pPr>
        <w:keepNext w:val="0"/>
        <w:keepLines w:val="0"/>
        <w:pageBreakBefore w:val="0"/>
        <w:kinsoku/>
        <w:wordWrap/>
        <w:overflowPunct/>
        <w:topLinePunct w:val="0"/>
        <w:bidi w:val="0"/>
        <w:adjustRightInd w:val="0"/>
        <w:snapToGrid w:val="0"/>
        <w:spacing w:line="460" w:lineRule="exact"/>
        <w:ind w:firstLine="3630" w:firstLineChars="1650"/>
        <w:outlineLvl w:val="9"/>
        <w:rPr>
          <w:rFonts w:hint="eastAsia" w:ascii="新宋体" w:hAnsi="新宋体" w:eastAsia="新宋体" w:cs="新宋体"/>
          <w:color w:val="auto"/>
          <w:sz w:val="22"/>
          <w:szCs w:val="22"/>
          <w:highlight w:val="none"/>
        </w:rPr>
      </w:pPr>
    </w:p>
    <w:p w14:paraId="65662BA3">
      <w:pPr>
        <w:keepNext w:val="0"/>
        <w:keepLines w:val="0"/>
        <w:pageBreakBefore w:val="0"/>
        <w:kinsoku/>
        <w:wordWrap/>
        <w:overflowPunct/>
        <w:topLinePunct w:val="0"/>
        <w:bidi w:val="0"/>
        <w:adjustRightInd w:val="0"/>
        <w:snapToGrid w:val="0"/>
        <w:spacing w:line="460" w:lineRule="exact"/>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685DF9A2">
      <w:pPr>
        <w:keepNext w:val="0"/>
        <w:keepLines w:val="0"/>
        <w:pageBreakBefore w:val="0"/>
        <w:kinsoku/>
        <w:wordWrap/>
        <w:overflowPunct/>
        <w:topLinePunct w:val="0"/>
        <w:bidi w:val="0"/>
        <w:adjustRightInd w:val="0"/>
        <w:snapToGrid w:val="0"/>
        <w:spacing w:line="460" w:lineRule="exact"/>
        <w:ind w:firstLine="3630" w:firstLineChars="1650"/>
        <w:outlineLvl w:val="9"/>
        <w:rPr>
          <w:rFonts w:hint="eastAsia" w:ascii="新宋体" w:hAnsi="新宋体" w:eastAsia="新宋体" w:cs="新宋体"/>
          <w:color w:val="auto"/>
          <w:sz w:val="22"/>
          <w:szCs w:val="22"/>
          <w:highlight w:val="none"/>
        </w:rPr>
      </w:pPr>
    </w:p>
    <w:p w14:paraId="49E37E7E">
      <w:pPr>
        <w:keepNext w:val="0"/>
        <w:keepLines w:val="0"/>
        <w:pageBreakBefore w:val="0"/>
        <w:kinsoku/>
        <w:wordWrap/>
        <w:overflowPunct/>
        <w:topLinePunct w:val="0"/>
        <w:bidi w:val="0"/>
        <w:adjustRightInd w:val="0"/>
        <w:spacing w:line="460" w:lineRule="exact"/>
        <w:jc w:val="left"/>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color w:val="auto"/>
          <w:sz w:val="22"/>
          <w:szCs w:val="22"/>
          <w:highlight w:val="none"/>
        </w:rPr>
        <w:t>表1：</w:t>
      </w:r>
    </w:p>
    <w:p w14:paraId="7848B7C3">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b/>
          <w:color w:val="auto"/>
          <w:spacing w:val="-10"/>
          <w:w w:val="90"/>
          <w:sz w:val="22"/>
          <w:szCs w:val="22"/>
          <w:highlight w:val="none"/>
        </w:rPr>
      </w:pPr>
      <w:r>
        <w:rPr>
          <w:rFonts w:hint="eastAsia" w:ascii="新宋体" w:hAnsi="新宋体" w:eastAsia="新宋体" w:cs="新宋体"/>
          <w:b/>
          <w:color w:val="auto"/>
          <w:spacing w:val="0"/>
          <w:w w:val="90"/>
          <w:sz w:val="22"/>
          <w:szCs w:val="22"/>
          <w:highlight w:val="none"/>
          <w:lang w:eastAsia="zh-CN"/>
        </w:rPr>
        <w:t>温州市救助管理站站内救助服务</w:t>
      </w:r>
      <w:r>
        <w:rPr>
          <w:rFonts w:hint="eastAsia" w:ascii="新宋体" w:hAnsi="新宋体" w:eastAsia="新宋体" w:cs="新宋体"/>
          <w:b/>
          <w:bCs/>
          <w:color w:val="auto"/>
          <w:spacing w:val="0"/>
          <w:w w:val="90"/>
          <w:kern w:val="0"/>
          <w:sz w:val="22"/>
          <w:szCs w:val="22"/>
          <w:highlight w:val="none"/>
        </w:rPr>
        <w:t>考核综合评定表</w:t>
      </w:r>
    </w:p>
    <w:p w14:paraId="2B230B68">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p w14:paraId="47A7128E">
      <w:pPr>
        <w:keepNext w:val="0"/>
        <w:keepLines w:val="0"/>
        <w:pageBreakBefore w:val="0"/>
        <w:kinsoku/>
        <w:wordWrap/>
        <w:overflowPunct/>
        <w:topLinePunct w:val="0"/>
        <w:bidi w:val="0"/>
        <w:adjustRightInd w:val="0"/>
        <w:spacing w:line="460" w:lineRule="exact"/>
        <w:outlineLvl w:val="9"/>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考核组成员：</w:t>
      </w:r>
      <w:r>
        <w:rPr>
          <w:rFonts w:hint="eastAsia" w:ascii="新宋体" w:hAnsi="新宋体" w:eastAsia="新宋体" w:cs="新宋体"/>
          <w:color w:val="auto"/>
          <w:sz w:val="22"/>
          <w:szCs w:val="22"/>
          <w:highlight w:val="none"/>
          <w:u w:val="single"/>
        </w:rPr>
        <w:t xml:space="preserve">                                                                     </w:t>
      </w:r>
    </w:p>
    <w:p w14:paraId="152ADF89">
      <w:pPr>
        <w:keepNext w:val="0"/>
        <w:keepLines w:val="0"/>
        <w:pageBreakBefore w:val="0"/>
        <w:kinsoku/>
        <w:wordWrap/>
        <w:overflowPunct/>
        <w:topLinePunct w:val="0"/>
        <w:bidi w:val="0"/>
        <w:adjustRightInd w:val="0"/>
        <w:spacing w:line="460" w:lineRule="exact"/>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考核项目：</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 考核日期：</w:t>
      </w:r>
      <w:r>
        <w:rPr>
          <w:rFonts w:hint="eastAsia" w:ascii="新宋体" w:hAnsi="新宋体" w:eastAsia="新宋体" w:cs="新宋体"/>
          <w:color w:val="auto"/>
          <w:sz w:val="22"/>
          <w:szCs w:val="22"/>
          <w:highlight w:val="none"/>
          <w:u w:val="single"/>
        </w:rPr>
        <w:t xml:space="preserve">           </w:t>
      </w:r>
    </w:p>
    <w:p w14:paraId="1BA31514">
      <w:pPr>
        <w:keepNext w:val="0"/>
        <w:keepLines w:val="0"/>
        <w:pageBreakBefore w:val="0"/>
        <w:kinsoku/>
        <w:wordWrap/>
        <w:overflowPunct/>
        <w:topLinePunct w:val="0"/>
        <w:bidi w:val="0"/>
        <w:adjustRightInd w:val="0"/>
        <w:spacing w:line="460" w:lineRule="exact"/>
        <w:outlineLvl w:val="9"/>
        <w:rPr>
          <w:rFonts w:hint="eastAsia" w:ascii="新宋体" w:hAnsi="新宋体" w:eastAsia="新宋体" w:cs="新宋体"/>
          <w:color w:val="auto"/>
          <w:sz w:val="22"/>
          <w:szCs w:val="22"/>
          <w:highlight w:val="none"/>
        </w:rPr>
      </w:pPr>
    </w:p>
    <w:tbl>
      <w:tblPr>
        <w:tblStyle w:val="65"/>
        <w:tblW w:w="8814" w:type="dxa"/>
        <w:jc w:val="center"/>
        <w:tblLayout w:type="fixed"/>
        <w:tblCellMar>
          <w:top w:w="0" w:type="dxa"/>
          <w:left w:w="108" w:type="dxa"/>
          <w:bottom w:w="0" w:type="dxa"/>
          <w:right w:w="108" w:type="dxa"/>
        </w:tblCellMar>
      </w:tblPr>
      <w:tblGrid>
        <w:gridCol w:w="760"/>
        <w:gridCol w:w="1747"/>
        <w:gridCol w:w="1165"/>
        <w:gridCol w:w="2577"/>
        <w:gridCol w:w="2565"/>
      </w:tblGrid>
      <w:tr w14:paraId="559B6D2E">
        <w:tblPrEx>
          <w:tblCellMar>
            <w:top w:w="0" w:type="dxa"/>
            <w:left w:w="108" w:type="dxa"/>
            <w:bottom w:w="0" w:type="dxa"/>
            <w:right w:w="108" w:type="dxa"/>
          </w:tblCellMar>
        </w:tblPrEx>
        <w:trPr>
          <w:trHeight w:val="535" w:hRule="atLeast"/>
          <w:jc w:val="center"/>
        </w:trPr>
        <w:tc>
          <w:tcPr>
            <w:tcW w:w="2507" w:type="dxa"/>
            <w:gridSpan w:val="2"/>
            <w:tcBorders>
              <w:top w:val="single" w:color="auto" w:sz="4" w:space="0"/>
              <w:left w:val="single" w:color="auto" w:sz="4" w:space="0"/>
              <w:bottom w:val="single" w:color="auto" w:sz="4" w:space="0"/>
              <w:right w:val="single" w:color="auto" w:sz="4" w:space="0"/>
            </w:tcBorders>
            <w:noWrap w:val="0"/>
            <w:vAlign w:val="center"/>
          </w:tcPr>
          <w:p w14:paraId="1296959A">
            <w:pPr>
              <w:keepNext w:val="0"/>
              <w:keepLines w:val="0"/>
              <w:pageBreakBefore w:val="0"/>
              <w:widowControl/>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考核内容</w:t>
            </w:r>
          </w:p>
        </w:tc>
        <w:tc>
          <w:tcPr>
            <w:tcW w:w="1165" w:type="dxa"/>
            <w:tcBorders>
              <w:top w:val="single" w:color="auto" w:sz="4" w:space="0"/>
              <w:left w:val="nil"/>
              <w:bottom w:val="single" w:color="auto" w:sz="4" w:space="0"/>
              <w:right w:val="single" w:color="auto" w:sz="4" w:space="0"/>
            </w:tcBorders>
            <w:noWrap w:val="0"/>
            <w:vAlign w:val="center"/>
          </w:tcPr>
          <w:p w14:paraId="4BD96A02">
            <w:pPr>
              <w:keepNext w:val="0"/>
              <w:keepLines w:val="0"/>
              <w:pageBreakBefore w:val="0"/>
              <w:widowControl/>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分值</w:t>
            </w:r>
          </w:p>
        </w:tc>
        <w:tc>
          <w:tcPr>
            <w:tcW w:w="2577" w:type="dxa"/>
            <w:tcBorders>
              <w:top w:val="single" w:color="auto" w:sz="4" w:space="0"/>
              <w:left w:val="nil"/>
              <w:bottom w:val="single" w:color="auto" w:sz="4" w:space="0"/>
              <w:right w:val="single" w:color="auto" w:sz="4" w:space="0"/>
            </w:tcBorders>
            <w:noWrap w:val="0"/>
            <w:vAlign w:val="center"/>
          </w:tcPr>
          <w:p w14:paraId="1A7A8190">
            <w:pPr>
              <w:keepNext w:val="0"/>
              <w:keepLines w:val="0"/>
              <w:pageBreakBefore w:val="0"/>
              <w:widowControl/>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得分情况</w:t>
            </w:r>
          </w:p>
        </w:tc>
        <w:tc>
          <w:tcPr>
            <w:tcW w:w="2565" w:type="dxa"/>
            <w:tcBorders>
              <w:top w:val="single" w:color="auto" w:sz="4" w:space="0"/>
              <w:left w:val="nil"/>
              <w:bottom w:val="single" w:color="auto" w:sz="4" w:space="0"/>
              <w:right w:val="single" w:color="auto" w:sz="4" w:space="0"/>
            </w:tcBorders>
            <w:noWrap w:val="0"/>
            <w:vAlign w:val="center"/>
          </w:tcPr>
          <w:p w14:paraId="634BCDC9">
            <w:pPr>
              <w:keepNext w:val="0"/>
              <w:keepLines w:val="0"/>
              <w:pageBreakBefore w:val="0"/>
              <w:widowControl/>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扣分情况</w:t>
            </w:r>
          </w:p>
        </w:tc>
      </w:tr>
      <w:tr w14:paraId="27845A93">
        <w:tblPrEx>
          <w:tblCellMar>
            <w:top w:w="0" w:type="dxa"/>
            <w:left w:w="108" w:type="dxa"/>
            <w:bottom w:w="0" w:type="dxa"/>
            <w:right w:w="108" w:type="dxa"/>
          </w:tblCellMar>
        </w:tblPrEx>
        <w:trPr>
          <w:trHeight w:val="535" w:hRule="atLeast"/>
          <w:jc w:val="center"/>
        </w:trPr>
        <w:tc>
          <w:tcPr>
            <w:tcW w:w="760" w:type="dxa"/>
            <w:vMerge w:val="restart"/>
            <w:tcBorders>
              <w:top w:val="single" w:color="auto" w:sz="4" w:space="0"/>
              <w:left w:val="single" w:color="auto" w:sz="4" w:space="0"/>
              <w:right w:val="single" w:color="auto" w:sz="4" w:space="0"/>
            </w:tcBorders>
            <w:noWrap w:val="0"/>
            <w:vAlign w:val="center"/>
          </w:tcPr>
          <w:p w14:paraId="3D6ADC93">
            <w:pPr>
              <w:keepNext w:val="0"/>
              <w:keepLines w:val="0"/>
              <w:pageBreakBefore w:val="0"/>
              <w:widowControl/>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服务质量评估</w:t>
            </w:r>
          </w:p>
          <w:p w14:paraId="033A16FB">
            <w:pPr>
              <w:keepNext w:val="0"/>
              <w:keepLines w:val="0"/>
              <w:pageBreakBefore w:val="0"/>
              <w:widowControl/>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合计</w:t>
            </w:r>
          </w:p>
        </w:tc>
        <w:tc>
          <w:tcPr>
            <w:tcW w:w="1747" w:type="dxa"/>
            <w:tcBorders>
              <w:top w:val="nil"/>
              <w:left w:val="nil"/>
              <w:bottom w:val="single" w:color="auto" w:sz="4" w:space="0"/>
              <w:right w:val="single" w:color="auto" w:sz="4" w:space="0"/>
            </w:tcBorders>
            <w:noWrap w:val="0"/>
            <w:vAlign w:val="center"/>
          </w:tcPr>
          <w:p w14:paraId="764053AA">
            <w:pPr>
              <w:keepNext w:val="0"/>
              <w:keepLines w:val="0"/>
              <w:pageBreakBefore w:val="0"/>
              <w:widowControl/>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基础管理</w:t>
            </w:r>
          </w:p>
        </w:tc>
        <w:tc>
          <w:tcPr>
            <w:tcW w:w="1165" w:type="dxa"/>
            <w:tcBorders>
              <w:top w:val="nil"/>
              <w:left w:val="nil"/>
              <w:bottom w:val="single" w:color="auto" w:sz="4" w:space="0"/>
              <w:right w:val="single" w:color="auto" w:sz="4" w:space="0"/>
            </w:tcBorders>
            <w:noWrap w:val="0"/>
            <w:vAlign w:val="center"/>
          </w:tcPr>
          <w:p w14:paraId="614AC316">
            <w:pPr>
              <w:keepNext w:val="0"/>
              <w:keepLines w:val="0"/>
              <w:pageBreakBefore w:val="0"/>
              <w:widowControl/>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20</w:t>
            </w:r>
          </w:p>
        </w:tc>
        <w:tc>
          <w:tcPr>
            <w:tcW w:w="2577" w:type="dxa"/>
            <w:tcBorders>
              <w:top w:val="nil"/>
              <w:left w:val="nil"/>
              <w:bottom w:val="single" w:color="auto" w:sz="4" w:space="0"/>
              <w:right w:val="single" w:color="auto" w:sz="4" w:space="0"/>
            </w:tcBorders>
            <w:noWrap w:val="0"/>
            <w:vAlign w:val="center"/>
          </w:tcPr>
          <w:p w14:paraId="5BB6F04B">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2565" w:type="dxa"/>
            <w:tcBorders>
              <w:top w:val="nil"/>
              <w:left w:val="nil"/>
              <w:bottom w:val="single" w:color="auto" w:sz="4" w:space="0"/>
              <w:right w:val="single" w:color="auto" w:sz="4" w:space="0"/>
            </w:tcBorders>
            <w:noWrap w:val="0"/>
            <w:vAlign w:val="center"/>
          </w:tcPr>
          <w:p w14:paraId="6F2D6CB7">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r>
      <w:tr w14:paraId="5151474F">
        <w:tblPrEx>
          <w:tblCellMar>
            <w:top w:w="0" w:type="dxa"/>
            <w:left w:w="108" w:type="dxa"/>
            <w:bottom w:w="0" w:type="dxa"/>
            <w:right w:w="108" w:type="dxa"/>
          </w:tblCellMar>
        </w:tblPrEx>
        <w:trPr>
          <w:trHeight w:val="535" w:hRule="atLeast"/>
          <w:jc w:val="center"/>
        </w:trPr>
        <w:tc>
          <w:tcPr>
            <w:tcW w:w="760" w:type="dxa"/>
            <w:vMerge w:val="continue"/>
            <w:tcBorders>
              <w:left w:val="single" w:color="auto" w:sz="4" w:space="0"/>
              <w:right w:val="single" w:color="auto" w:sz="4" w:space="0"/>
            </w:tcBorders>
            <w:noWrap w:val="0"/>
            <w:vAlign w:val="center"/>
          </w:tcPr>
          <w:p w14:paraId="055D6BFD">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1747" w:type="dxa"/>
            <w:tcBorders>
              <w:top w:val="nil"/>
              <w:left w:val="nil"/>
              <w:bottom w:val="single" w:color="auto" w:sz="4" w:space="0"/>
              <w:right w:val="single" w:color="auto" w:sz="4" w:space="0"/>
            </w:tcBorders>
            <w:noWrap w:val="0"/>
            <w:vAlign w:val="center"/>
          </w:tcPr>
          <w:p w14:paraId="3F2C3192">
            <w:pPr>
              <w:keepNext w:val="0"/>
              <w:keepLines w:val="0"/>
              <w:pageBreakBefore w:val="0"/>
              <w:widowControl/>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生活照料服务</w:t>
            </w:r>
          </w:p>
        </w:tc>
        <w:tc>
          <w:tcPr>
            <w:tcW w:w="1165" w:type="dxa"/>
            <w:tcBorders>
              <w:top w:val="nil"/>
              <w:left w:val="nil"/>
              <w:bottom w:val="single" w:color="auto" w:sz="4" w:space="0"/>
              <w:right w:val="single" w:color="auto" w:sz="4" w:space="0"/>
            </w:tcBorders>
            <w:noWrap w:val="0"/>
            <w:vAlign w:val="center"/>
          </w:tcPr>
          <w:p w14:paraId="2C6CC6F3">
            <w:pPr>
              <w:keepNext w:val="0"/>
              <w:keepLines w:val="0"/>
              <w:pageBreakBefore w:val="0"/>
              <w:widowControl/>
              <w:kinsoku/>
              <w:wordWrap/>
              <w:overflowPunct/>
              <w:topLinePunct w:val="0"/>
              <w:bidi w:val="0"/>
              <w:spacing w:line="460" w:lineRule="exact"/>
              <w:jc w:val="center"/>
              <w:outlineLvl w:val="9"/>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30</w:t>
            </w:r>
          </w:p>
        </w:tc>
        <w:tc>
          <w:tcPr>
            <w:tcW w:w="2577" w:type="dxa"/>
            <w:tcBorders>
              <w:top w:val="single" w:color="auto" w:sz="4" w:space="0"/>
              <w:left w:val="nil"/>
              <w:bottom w:val="single" w:color="auto" w:sz="4" w:space="0"/>
              <w:right w:val="single" w:color="000000" w:sz="4" w:space="0"/>
            </w:tcBorders>
            <w:noWrap w:val="0"/>
            <w:vAlign w:val="center"/>
          </w:tcPr>
          <w:p w14:paraId="12AEB2E6">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2565" w:type="dxa"/>
            <w:tcBorders>
              <w:top w:val="single" w:color="auto" w:sz="4" w:space="0"/>
              <w:left w:val="nil"/>
              <w:bottom w:val="single" w:color="auto" w:sz="4" w:space="0"/>
              <w:right w:val="single" w:color="000000" w:sz="4" w:space="0"/>
            </w:tcBorders>
            <w:noWrap w:val="0"/>
            <w:vAlign w:val="center"/>
          </w:tcPr>
          <w:p w14:paraId="57993317">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r>
      <w:tr w14:paraId="6EE790B5">
        <w:tblPrEx>
          <w:tblCellMar>
            <w:top w:w="0" w:type="dxa"/>
            <w:left w:w="108" w:type="dxa"/>
            <w:bottom w:w="0" w:type="dxa"/>
            <w:right w:w="108" w:type="dxa"/>
          </w:tblCellMar>
        </w:tblPrEx>
        <w:trPr>
          <w:trHeight w:val="535" w:hRule="atLeast"/>
          <w:jc w:val="center"/>
        </w:trPr>
        <w:tc>
          <w:tcPr>
            <w:tcW w:w="760" w:type="dxa"/>
            <w:vMerge w:val="continue"/>
            <w:tcBorders>
              <w:left w:val="single" w:color="auto" w:sz="4" w:space="0"/>
              <w:right w:val="single" w:color="auto" w:sz="4" w:space="0"/>
            </w:tcBorders>
            <w:noWrap w:val="0"/>
            <w:vAlign w:val="center"/>
          </w:tcPr>
          <w:p w14:paraId="493523D9">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1747" w:type="dxa"/>
            <w:tcBorders>
              <w:top w:val="nil"/>
              <w:left w:val="nil"/>
              <w:bottom w:val="single" w:color="auto" w:sz="4" w:space="0"/>
              <w:right w:val="single" w:color="auto" w:sz="4" w:space="0"/>
            </w:tcBorders>
            <w:noWrap w:val="0"/>
            <w:vAlign w:val="center"/>
          </w:tcPr>
          <w:p w14:paraId="6A080FC9">
            <w:pPr>
              <w:keepNext w:val="0"/>
              <w:keepLines w:val="0"/>
              <w:pageBreakBefore w:val="0"/>
              <w:widowControl/>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保安</w:t>
            </w:r>
            <w:r>
              <w:rPr>
                <w:rFonts w:hint="eastAsia" w:ascii="新宋体" w:hAnsi="新宋体" w:eastAsia="新宋体" w:cs="新宋体"/>
                <w:color w:val="auto"/>
                <w:kern w:val="0"/>
                <w:sz w:val="22"/>
                <w:szCs w:val="22"/>
                <w:highlight w:val="none"/>
                <w:lang w:eastAsia="zh-CN"/>
              </w:rPr>
              <w:t>服务</w:t>
            </w:r>
          </w:p>
        </w:tc>
        <w:tc>
          <w:tcPr>
            <w:tcW w:w="1165" w:type="dxa"/>
            <w:tcBorders>
              <w:top w:val="nil"/>
              <w:left w:val="nil"/>
              <w:bottom w:val="single" w:color="auto" w:sz="4" w:space="0"/>
              <w:right w:val="single" w:color="auto" w:sz="4" w:space="0"/>
            </w:tcBorders>
            <w:noWrap w:val="0"/>
            <w:vAlign w:val="center"/>
          </w:tcPr>
          <w:p w14:paraId="7B5DD78F">
            <w:pPr>
              <w:keepNext w:val="0"/>
              <w:keepLines w:val="0"/>
              <w:pageBreakBefore w:val="0"/>
              <w:widowControl/>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20</w:t>
            </w:r>
          </w:p>
        </w:tc>
        <w:tc>
          <w:tcPr>
            <w:tcW w:w="2577" w:type="dxa"/>
            <w:tcBorders>
              <w:top w:val="single" w:color="auto" w:sz="4" w:space="0"/>
              <w:left w:val="nil"/>
              <w:bottom w:val="single" w:color="auto" w:sz="4" w:space="0"/>
              <w:right w:val="single" w:color="000000" w:sz="4" w:space="0"/>
            </w:tcBorders>
            <w:noWrap w:val="0"/>
            <w:vAlign w:val="center"/>
          </w:tcPr>
          <w:p w14:paraId="4D8C4C1D">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2565" w:type="dxa"/>
            <w:tcBorders>
              <w:top w:val="single" w:color="auto" w:sz="4" w:space="0"/>
              <w:left w:val="nil"/>
              <w:bottom w:val="single" w:color="auto" w:sz="4" w:space="0"/>
              <w:right w:val="single" w:color="000000" w:sz="4" w:space="0"/>
            </w:tcBorders>
            <w:noWrap w:val="0"/>
            <w:vAlign w:val="center"/>
          </w:tcPr>
          <w:p w14:paraId="46E412C9">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r>
      <w:tr w14:paraId="04DD1903">
        <w:tblPrEx>
          <w:tblCellMar>
            <w:top w:w="0" w:type="dxa"/>
            <w:left w:w="108" w:type="dxa"/>
            <w:bottom w:w="0" w:type="dxa"/>
            <w:right w:w="108" w:type="dxa"/>
          </w:tblCellMar>
        </w:tblPrEx>
        <w:trPr>
          <w:trHeight w:val="535" w:hRule="atLeast"/>
          <w:jc w:val="center"/>
        </w:trPr>
        <w:tc>
          <w:tcPr>
            <w:tcW w:w="760" w:type="dxa"/>
            <w:vMerge w:val="continue"/>
            <w:tcBorders>
              <w:left w:val="single" w:color="auto" w:sz="4" w:space="0"/>
              <w:right w:val="single" w:color="auto" w:sz="4" w:space="0"/>
            </w:tcBorders>
            <w:noWrap w:val="0"/>
            <w:vAlign w:val="center"/>
          </w:tcPr>
          <w:p w14:paraId="0D3B1B85">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1747" w:type="dxa"/>
            <w:tcBorders>
              <w:top w:val="nil"/>
              <w:left w:val="nil"/>
              <w:bottom w:val="single" w:color="auto" w:sz="4" w:space="0"/>
              <w:right w:val="single" w:color="auto" w:sz="4" w:space="0"/>
            </w:tcBorders>
            <w:noWrap w:val="0"/>
            <w:vAlign w:val="center"/>
          </w:tcPr>
          <w:p w14:paraId="4DE51445">
            <w:pPr>
              <w:keepNext w:val="0"/>
              <w:keepLines w:val="0"/>
              <w:pageBreakBefore w:val="0"/>
              <w:widowControl/>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食堂餐饮</w:t>
            </w:r>
          </w:p>
        </w:tc>
        <w:tc>
          <w:tcPr>
            <w:tcW w:w="1165" w:type="dxa"/>
            <w:tcBorders>
              <w:top w:val="nil"/>
              <w:left w:val="nil"/>
              <w:bottom w:val="single" w:color="auto" w:sz="4" w:space="0"/>
              <w:right w:val="single" w:color="auto" w:sz="4" w:space="0"/>
            </w:tcBorders>
            <w:noWrap w:val="0"/>
            <w:vAlign w:val="center"/>
          </w:tcPr>
          <w:p w14:paraId="6C217B50">
            <w:pPr>
              <w:keepNext w:val="0"/>
              <w:keepLines w:val="0"/>
              <w:pageBreakBefore w:val="0"/>
              <w:widowControl/>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20</w:t>
            </w:r>
          </w:p>
        </w:tc>
        <w:tc>
          <w:tcPr>
            <w:tcW w:w="2577" w:type="dxa"/>
            <w:tcBorders>
              <w:top w:val="single" w:color="auto" w:sz="4" w:space="0"/>
              <w:left w:val="nil"/>
              <w:bottom w:val="single" w:color="auto" w:sz="4" w:space="0"/>
              <w:right w:val="single" w:color="000000" w:sz="4" w:space="0"/>
            </w:tcBorders>
            <w:noWrap w:val="0"/>
            <w:vAlign w:val="center"/>
          </w:tcPr>
          <w:p w14:paraId="2514B2A4">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2565" w:type="dxa"/>
            <w:tcBorders>
              <w:top w:val="single" w:color="auto" w:sz="4" w:space="0"/>
              <w:left w:val="nil"/>
              <w:bottom w:val="single" w:color="auto" w:sz="4" w:space="0"/>
              <w:right w:val="single" w:color="000000" w:sz="4" w:space="0"/>
            </w:tcBorders>
            <w:noWrap w:val="0"/>
            <w:vAlign w:val="center"/>
          </w:tcPr>
          <w:p w14:paraId="446D761A">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r>
      <w:tr w14:paraId="54A4D789">
        <w:tblPrEx>
          <w:tblCellMar>
            <w:top w:w="0" w:type="dxa"/>
            <w:left w:w="108" w:type="dxa"/>
            <w:bottom w:w="0" w:type="dxa"/>
            <w:right w:w="108" w:type="dxa"/>
          </w:tblCellMar>
        </w:tblPrEx>
        <w:trPr>
          <w:trHeight w:val="535" w:hRule="atLeast"/>
          <w:jc w:val="center"/>
        </w:trPr>
        <w:tc>
          <w:tcPr>
            <w:tcW w:w="760" w:type="dxa"/>
            <w:vMerge w:val="continue"/>
            <w:tcBorders>
              <w:left w:val="single" w:color="auto" w:sz="4" w:space="0"/>
              <w:right w:val="single" w:color="auto" w:sz="4" w:space="0"/>
            </w:tcBorders>
            <w:noWrap w:val="0"/>
            <w:vAlign w:val="center"/>
          </w:tcPr>
          <w:p w14:paraId="5DDDADEF">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1747" w:type="dxa"/>
            <w:tcBorders>
              <w:top w:val="nil"/>
              <w:left w:val="nil"/>
              <w:bottom w:val="single" w:color="auto" w:sz="4" w:space="0"/>
              <w:right w:val="single" w:color="auto" w:sz="4" w:space="0"/>
            </w:tcBorders>
            <w:noWrap w:val="0"/>
            <w:vAlign w:val="center"/>
          </w:tcPr>
          <w:p w14:paraId="7A2C7D7A">
            <w:pPr>
              <w:keepNext w:val="0"/>
              <w:keepLines w:val="0"/>
              <w:pageBreakBefore w:val="0"/>
              <w:widowControl/>
              <w:kinsoku/>
              <w:wordWrap/>
              <w:overflowPunct/>
              <w:topLinePunct w:val="0"/>
              <w:bidi w:val="0"/>
              <w:spacing w:line="460" w:lineRule="exact"/>
              <w:jc w:val="center"/>
              <w:outlineLvl w:val="9"/>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卫生服务</w:t>
            </w:r>
          </w:p>
        </w:tc>
        <w:tc>
          <w:tcPr>
            <w:tcW w:w="1165" w:type="dxa"/>
            <w:tcBorders>
              <w:top w:val="nil"/>
              <w:left w:val="nil"/>
              <w:bottom w:val="single" w:color="auto" w:sz="4" w:space="0"/>
              <w:right w:val="single" w:color="auto" w:sz="4" w:space="0"/>
            </w:tcBorders>
            <w:noWrap w:val="0"/>
            <w:vAlign w:val="center"/>
          </w:tcPr>
          <w:p w14:paraId="328B2E7C">
            <w:pPr>
              <w:keepNext w:val="0"/>
              <w:keepLines w:val="0"/>
              <w:pageBreakBefore w:val="0"/>
              <w:widowControl/>
              <w:kinsoku/>
              <w:wordWrap/>
              <w:overflowPunct/>
              <w:topLinePunct w:val="0"/>
              <w:bidi w:val="0"/>
              <w:spacing w:line="460" w:lineRule="exact"/>
              <w:jc w:val="center"/>
              <w:outlineLvl w:val="9"/>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10</w:t>
            </w:r>
          </w:p>
        </w:tc>
        <w:tc>
          <w:tcPr>
            <w:tcW w:w="2577" w:type="dxa"/>
            <w:tcBorders>
              <w:top w:val="single" w:color="auto" w:sz="4" w:space="0"/>
              <w:left w:val="nil"/>
              <w:bottom w:val="single" w:color="auto" w:sz="4" w:space="0"/>
              <w:right w:val="single" w:color="000000" w:sz="4" w:space="0"/>
            </w:tcBorders>
            <w:noWrap w:val="0"/>
            <w:vAlign w:val="center"/>
          </w:tcPr>
          <w:p w14:paraId="4C073742">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2565" w:type="dxa"/>
            <w:tcBorders>
              <w:top w:val="single" w:color="auto" w:sz="4" w:space="0"/>
              <w:left w:val="nil"/>
              <w:bottom w:val="single" w:color="auto" w:sz="4" w:space="0"/>
              <w:right w:val="single" w:color="000000" w:sz="4" w:space="0"/>
            </w:tcBorders>
            <w:noWrap w:val="0"/>
            <w:vAlign w:val="center"/>
          </w:tcPr>
          <w:p w14:paraId="041B8797">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r>
      <w:tr w14:paraId="2C2C5BEF">
        <w:tblPrEx>
          <w:tblCellMar>
            <w:top w:w="0" w:type="dxa"/>
            <w:left w:w="108" w:type="dxa"/>
            <w:bottom w:w="0" w:type="dxa"/>
            <w:right w:w="108" w:type="dxa"/>
          </w:tblCellMar>
        </w:tblPrEx>
        <w:trPr>
          <w:trHeight w:val="535" w:hRule="atLeast"/>
          <w:jc w:val="center"/>
        </w:trPr>
        <w:tc>
          <w:tcPr>
            <w:tcW w:w="760" w:type="dxa"/>
            <w:vMerge w:val="continue"/>
            <w:tcBorders>
              <w:left w:val="single" w:color="auto" w:sz="4" w:space="0"/>
              <w:right w:val="single" w:color="auto" w:sz="4" w:space="0"/>
            </w:tcBorders>
            <w:noWrap w:val="0"/>
            <w:vAlign w:val="center"/>
          </w:tcPr>
          <w:p w14:paraId="0E27C03F">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14:paraId="6D9B7670">
            <w:pPr>
              <w:keepNext w:val="0"/>
              <w:keepLines w:val="0"/>
              <w:pageBreakBefore w:val="0"/>
              <w:widowControl/>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加减分</w:t>
            </w:r>
          </w:p>
        </w:tc>
        <w:tc>
          <w:tcPr>
            <w:tcW w:w="1165" w:type="dxa"/>
            <w:tcBorders>
              <w:top w:val="single" w:color="auto" w:sz="4" w:space="0"/>
              <w:left w:val="single" w:color="auto" w:sz="4" w:space="0"/>
              <w:bottom w:val="single" w:color="auto" w:sz="4" w:space="0"/>
              <w:right w:val="single" w:color="auto" w:sz="4" w:space="0"/>
            </w:tcBorders>
            <w:noWrap w:val="0"/>
            <w:vAlign w:val="center"/>
          </w:tcPr>
          <w:p w14:paraId="4BAC1B8D">
            <w:pPr>
              <w:keepNext w:val="0"/>
              <w:keepLines w:val="0"/>
              <w:pageBreakBefore w:val="0"/>
              <w:widowControl/>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w:t>
            </w:r>
          </w:p>
        </w:tc>
        <w:tc>
          <w:tcPr>
            <w:tcW w:w="2577" w:type="dxa"/>
            <w:tcBorders>
              <w:top w:val="single" w:color="auto" w:sz="4" w:space="0"/>
              <w:left w:val="nil"/>
              <w:bottom w:val="single" w:color="auto" w:sz="4" w:space="0"/>
              <w:right w:val="single" w:color="000000" w:sz="4" w:space="0"/>
            </w:tcBorders>
            <w:noWrap w:val="0"/>
            <w:vAlign w:val="center"/>
          </w:tcPr>
          <w:p w14:paraId="741A1E65">
            <w:pPr>
              <w:keepNext w:val="0"/>
              <w:keepLines w:val="0"/>
              <w:pageBreakBefore w:val="0"/>
              <w:widowControl/>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c>
          <w:tcPr>
            <w:tcW w:w="2565" w:type="dxa"/>
            <w:tcBorders>
              <w:top w:val="single" w:color="auto" w:sz="4" w:space="0"/>
              <w:left w:val="nil"/>
              <w:bottom w:val="single" w:color="auto" w:sz="4" w:space="0"/>
              <w:right w:val="single" w:color="000000" w:sz="4" w:space="0"/>
            </w:tcBorders>
            <w:noWrap w:val="0"/>
            <w:vAlign w:val="center"/>
          </w:tcPr>
          <w:p w14:paraId="4564EFFF">
            <w:pPr>
              <w:keepNext w:val="0"/>
              <w:keepLines w:val="0"/>
              <w:pageBreakBefore w:val="0"/>
              <w:widowControl/>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p>
        </w:tc>
      </w:tr>
      <w:tr w14:paraId="707D2D97">
        <w:tblPrEx>
          <w:tblCellMar>
            <w:top w:w="0" w:type="dxa"/>
            <w:left w:w="108" w:type="dxa"/>
            <w:bottom w:w="0" w:type="dxa"/>
            <w:right w:w="108" w:type="dxa"/>
          </w:tblCellMar>
        </w:tblPrEx>
        <w:trPr>
          <w:trHeight w:val="535" w:hRule="atLeast"/>
          <w:jc w:val="center"/>
        </w:trPr>
        <w:tc>
          <w:tcPr>
            <w:tcW w:w="760" w:type="dxa"/>
            <w:vMerge w:val="continue"/>
            <w:tcBorders>
              <w:left w:val="single" w:color="auto" w:sz="4" w:space="0"/>
              <w:bottom w:val="single" w:color="auto" w:sz="4" w:space="0"/>
              <w:right w:val="single" w:color="auto" w:sz="4" w:space="0"/>
            </w:tcBorders>
            <w:noWrap w:val="0"/>
            <w:vAlign w:val="center"/>
          </w:tcPr>
          <w:p w14:paraId="3D2FD878">
            <w:pPr>
              <w:keepNext w:val="0"/>
              <w:keepLines w:val="0"/>
              <w:pageBreakBefore w:val="0"/>
              <w:widowControl/>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14:paraId="7EF328E8">
            <w:pPr>
              <w:keepNext w:val="0"/>
              <w:keepLines w:val="0"/>
              <w:pageBreakBefore w:val="0"/>
              <w:widowControl/>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100</w:t>
            </w:r>
          </w:p>
        </w:tc>
        <w:tc>
          <w:tcPr>
            <w:tcW w:w="1165" w:type="dxa"/>
            <w:tcBorders>
              <w:top w:val="single" w:color="auto" w:sz="4" w:space="0"/>
              <w:left w:val="nil"/>
              <w:bottom w:val="single" w:color="auto" w:sz="4" w:space="0"/>
              <w:right w:val="single" w:color="000000" w:sz="4" w:space="0"/>
            </w:tcBorders>
            <w:noWrap w:val="0"/>
            <w:vAlign w:val="center"/>
          </w:tcPr>
          <w:p w14:paraId="5166C050">
            <w:pPr>
              <w:keepNext w:val="0"/>
              <w:keepLines w:val="0"/>
              <w:pageBreakBefore w:val="0"/>
              <w:widowControl/>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p>
        </w:tc>
        <w:tc>
          <w:tcPr>
            <w:tcW w:w="2577" w:type="dxa"/>
            <w:tcBorders>
              <w:top w:val="single" w:color="auto" w:sz="4" w:space="0"/>
              <w:left w:val="nil"/>
              <w:bottom w:val="single" w:color="auto" w:sz="4" w:space="0"/>
              <w:right w:val="single" w:color="000000" w:sz="4" w:space="0"/>
            </w:tcBorders>
            <w:noWrap w:val="0"/>
            <w:vAlign w:val="center"/>
          </w:tcPr>
          <w:p w14:paraId="7B891F1B">
            <w:pPr>
              <w:keepNext w:val="0"/>
              <w:keepLines w:val="0"/>
              <w:pageBreakBefore w:val="0"/>
              <w:widowControl/>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p>
        </w:tc>
        <w:tc>
          <w:tcPr>
            <w:tcW w:w="2565" w:type="dxa"/>
            <w:tcBorders>
              <w:top w:val="single" w:color="auto" w:sz="4" w:space="0"/>
              <w:left w:val="nil"/>
              <w:bottom w:val="single" w:color="auto" w:sz="4" w:space="0"/>
              <w:right w:val="single" w:color="000000" w:sz="4" w:space="0"/>
            </w:tcBorders>
            <w:noWrap w:val="0"/>
            <w:vAlign w:val="center"/>
          </w:tcPr>
          <w:p w14:paraId="7AB49314">
            <w:pPr>
              <w:keepNext w:val="0"/>
              <w:keepLines w:val="0"/>
              <w:pageBreakBefore w:val="0"/>
              <w:widowControl/>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p>
        </w:tc>
      </w:tr>
      <w:tr w14:paraId="57EA35CA">
        <w:tblPrEx>
          <w:tblCellMar>
            <w:top w:w="0" w:type="dxa"/>
            <w:left w:w="108" w:type="dxa"/>
            <w:bottom w:w="0" w:type="dxa"/>
            <w:right w:w="108" w:type="dxa"/>
          </w:tblCellMar>
        </w:tblPrEx>
        <w:trPr>
          <w:trHeight w:val="535" w:hRule="atLeast"/>
          <w:jc w:val="center"/>
        </w:trPr>
        <w:tc>
          <w:tcPr>
            <w:tcW w:w="2507" w:type="dxa"/>
            <w:gridSpan w:val="2"/>
            <w:tcBorders>
              <w:top w:val="single" w:color="auto" w:sz="4" w:space="0"/>
              <w:left w:val="single" w:color="auto" w:sz="4" w:space="0"/>
              <w:bottom w:val="single" w:color="auto" w:sz="4" w:space="0"/>
              <w:right w:val="single" w:color="auto" w:sz="4" w:space="0"/>
            </w:tcBorders>
            <w:noWrap w:val="0"/>
            <w:vAlign w:val="center"/>
          </w:tcPr>
          <w:p w14:paraId="5E050B65">
            <w:pPr>
              <w:keepNext w:val="0"/>
              <w:keepLines w:val="0"/>
              <w:pageBreakBefore w:val="0"/>
              <w:widowControl/>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合计</w:t>
            </w:r>
          </w:p>
        </w:tc>
        <w:tc>
          <w:tcPr>
            <w:tcW w:w="1165" w:type="dxa"/>
            <w:tcBorders>
              <w:top w:val="single" w:color="auto" w:sz="4" w:space="0"/>
              <w:left w:val="single" w:color="auto" w:sz="4" w:space="0"/>
              <w:bottom w:val="single" w:color="auto" w:sz="4" w:space="0"/>
              <w:right w:val="single" w:color="auto" w:sz="4" w:space="0"/>
            </w:tcBorders>
            <w:noWrap w:val="0"/>
            <w:vAlign w:val="center"/>
          </w:tcPr>
          <w:p w14:paraId="7EE6BF3E">
            <w:pPr>
              <w:keepNext w:val="0"/>
              <w:keepLines w:val="0"/>
              <w:pageBreakBefore w:val="0"/>
              <w:widowControl/>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p>
        </w:tc>
        <w:tc>
          <w:tcPr>
            <w:tcW w:w="2577" w:type="dxa"/>
            <w:tcBorders>
              <w:top w:val="single" w:color="auto" w:sz="4" w:space="0"/>
              <w:left w:val="nil"/>
              <w:bottom w:val="single" w:color="auto" w:sz="4" w:space="0"/>
              <w:right w:val="single" w:color="000000" w:sz="4" w:space="0"/>
            </w:tcBorders>
            <w:noWrap w:val="0"/>
            <w:vAlign w:val="center"/>
          </w:tcPr>
          <w:p w14:paraId="3CF7B37A">
            <w:pPr>
              <w:keepNext w:val="0"/>
              <w:keepLines w:val="0"/>
              <w:pageBreakBefore w:val="0"/>
              <w:widowControl/>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p>
        </w:tc>
        <w:tc>
          <w:tcPr>
            <w:tcW w:w="2565" w:type="dxa"/>
            <w:tcBorders>
              <w:top w:val="single" w:color="auto" w:sz="4" w:space="0"/>
              <w:left w:val="nil"/>
              <w:bottom w:val="single" w:color="auto" w:sz="4" w:space="0"/>
              <w:right w:val="single" w:color="000000" w:sz="4" w:space="0"/>
            </w:tcBorders>
            <w:noWrap w:val="0"/>
            <w:vAlign w:val="center"/>
          </w:tcPr>
          <w:p w14:paraId="27C549FF">
            <w:pPr>
              <w:keepNext w:val="0"/>
              <w:keepLines w:val="0"/>
              <w:pageBreakBefore w:val="0"/>
              <w:widowControl/>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p>
        </w:tc>
      </w:tr>
    </w:tbl>
    <w:p w14:paraId="2A705A61">
      <w:pPr>
        <w:keepNext w:val="0"/>
        <w:keepLines w:val="0"/>
        <w:pageBreakBefore w:val="0"/>
        <w:kinsoku/>
        <w:wordWrap/>
        <w:overflowPunct/>
        <w:topLinePunct w:val="0"/>
        <w:bidi w:val="0"/>
        <w:adjustRightInd w:val="0"/>
        <w:spacing w:line="460" w:lineRule="exact"/>
        <w:ind w:firstLine="877" w:firstLineChars="399"/>
        <w:outlineLvl w:val="9"/>
        <w:rPr>
          <w:rFonts w:hint="eastAsia" w:ascii="新宋体" w:hAnsi="新宋体" w:eastAsia="新宋体" w:cs="新宋体"/>
          <w:color w:val="auto"/>
          <w:sz w:val="22"/>
          <w:szCs w:val="22"/>
          <w:highlight w:val="none"/>
        </w:rPr>
      </w:pPr>
    </w:p>
    <w:p w14:paraId="72735790">
      <w:pPr>
        <w:keepNext w:val="0"/>
        <w:keepLines w:val="0"/>
        <w:pageBreakBefore w:val="0"/>
        <w:kinsoku/>
        <w:wordWrap/>
        <w:overflowPunct/>
        <w:topLinePunct w:val="0"/>
        <w:bidi w:val="0"/>
        <w:adjustRightInd w:val="0"/>
        <w:spacing w:line="460" w:lineRule="exact"/>
        <w:ind w:firstLine="220" w:firstLineChars="1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综合评分：                                       等级：</w:t>
      </w:r>
    </w:p>
    <w:p w14:paraId="67FFD2F2">
      <w:pPr>
        <w:keepNext w:val="0"/>
        <w:keepLines w:val="0"/>
        <w:pageBreakBefore w:val="0"/>
        <w:kinsoku/>
        <w:wordWrap/>
        <w:overflowPunct/>
        <w:topLinePunct w:val="0"/>
        <w:bidi w:val="0"/>
        <w:adjustRightInd w:val="0"/>
        <w:spacing w:line="460" w:lineRule="exact"/>
        <w:ind w:firstLine="550" w:firstLineChars="250"/>
        <w:outlineLvl w:val="9"/>
        <w:rPr>
          <w:rFonts w:hint="eastAsia" w:ascii="新宋体" w:hAnsi="新宋体" w:eastAsia="新宋体" w:cs="新宋体"/>
          <w:color w:val="auto"/>
          <w:sz w:val="22"/>
          <w:szCs w:val="22"/>
          <w:highlight w:val="none"/>
        </w:rPr>
      </w:pPr>
    </w:p>
    <w:p w14:paraId="1B61B801">
      <w:pPr>
        <w:keepNext w:val="0"/>
        <w:keepLines w:val="0"/>
        <w:pageBreakBefore w:val="0"/>
        <w:kinsoku/>
        <w:wordWrap/>
        <w:overflowPunct/>
        <w:topLinePunct w:val="0"/>
        <w:bidi w:val="0"/>
        <w:adjustRightInd w:val="0"/>
        <w:spacing w:line="460" w:lineRule="exact"/>
        <w:outlineLvl w:val="9"/>
        <w:rPr>
          <w:rFonts w:hint="eastAsia" w:ascii="新宋体" w:hAnsi="新宋体" w:eastAsia="新宋体" w:cs="新宋体"/>
          <w:color w:val="auto"/>
          <w:sz w:val="22"/>
          <w:szCs w:val="22"/>
          <w:highlight w:val="none"/>
        </w:rPr>
      </w:pPr>
    </w:p>
    <w:p w14:paraId="4F8D9528">
      <w:pPr>
        <w:keepNext w:val="0"/>
        <w:keepLines w:val="0"/>
        <w:pageBreakBefore w:val="0"/>
        <w:kinsoku/>
        <w:wordWrap/>
        <w:overflowPunct/>
        <w:topLinePunct w:val="0"/>
        <w:bidi w:val="0"/>
        <w:adjustRightInd w:val="0"/>
        <w:spacing w:line="460" w:lineRule="exact"/>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以上得分及等级情况，如有疑问，请接到反馈表三日内到</w:t>
      </w:r>
      <w:r>
        <w:rPr>
          <w:rFonts w:hint="eastAsia" w:ascii="新宋体" w:hAnsi="新宋体" w:eastAsia="新宋体" w:cs="新宋体"/>
          <w:color w:val="auto"/>
          <w:sz w:val="22"/>
          <w:szCs w:val="22"/>
          <w:highlight w:val="none"/>
          <w:lang w:eastAsia="zh-CN"/>
        </w:rPr>
        <w:t>站</w:t>
      </w:r>
      <w:r>
        <w:rPr>
          <w:rFonts w:hint="eastAsia" w:ascii="新宋体" w:hAnsi="新宋体" w:eastAsia="新宋体" w:cs="新宋体"/>
          <w:color w:val="auto"/>
          <w:sz w:val="22"/>
          <w:szCs w:val="22"/>
          <w:highlight w:val="none"/>
        </w:rPr>
        <w:t>办公室进行异议申请，逾期则自动生效。</w:t>
      </w:r>
    </w:p>
    <w:p w14:paraId="0C0BA5D2">
      <w:pPr>
        <w:keepNext w:val="0"/>
        <w:keepLines w:val="0"/>
        <w:pageBreakBefore w:val="0"/>
        <w:kinsoku/>
        <w:wordWrap/>
        <w:overflowPunct/>
        <w:topLinePunct w:val="0"/>
        <w:bidi w:val="0"/>
        <w:adjustRightInd w:val="0"/>
        <w:snapToGrid w:val="0"/>
        <w:spacing w:line="460" w:lineRule="exact"/>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w:t>
      </w:r>
      <w:r>
        <w:rPr>
          <w:rFonts w:hint="eastAsia" w:ascii="新宋体" w:hAnsi="新宋体" w:eastAsia="新宋体" w:cs="新宋体"/>
          <w:color w:val="auto"/>
          <w:spacing w:val="-8"/>
          <w:sz w:val="22"/>
          <w:szCs w:val="22"/>
          <w:highlight w:val="none"/>
        </w:rPr>
        <w:t>评分等级  优秀（85分以上）、良好（80-85分）、不合格（80分以下）</w:t>
      </w:r>
      <w:r>
        <w:rPr>
          <w:rFonts w:hint="eastAsia" w:ascii="新宋体" w:hAnsi="新宋体" w:eastAsia="新宋体" w:cs="新宋体"/>
          <w:color w:val="auto"/>
          <w:sz w:val="22"/>
          <w:szCs w:val="22"/>
          <w:highlight w:val="none"/>
        </w:rPr>
        <w:br w:type="page"/>
      </w:r>
      <w:r>
        <w:rPr>
          <w:rFonts w:hint="eastAsia" w:ascii="新宋体" w:hAnsi="新宋体" w:eastAsia="新宋体" w:cs="新宋体"/>
          <w:color w:val="auto"/>
          <w:sz w:val="22"/>
          <w:szCs w:val="22"/>
          <w:highlight w:val="none"/>
        </w:rPr>
        <w:t>表</w:t>
      </w:r>
      <w:r>
        <w:rPr>
          <w:rFonts w:hint="eastAsia" w:ascii="新宋体" w:hAnsi="新宋体" w:eastAsia="新宋体" w:cs="新宋体"/>
          <w:color w:val="auto"/>
          <w:sz w:val="22"/>
          <w:szCs w:val="22"/>
          <w:highlight w:val="none"/>
          <w:lang w:val="en-US" w:eastAsia="zh-CN"/>
        </w:rPr>
        <w:t>2：</w:t>
      </w:r>
    </w:p>
    <w:p w14:paraId="7EFED754">
      <w:pPr>
        <w:keepNext w:val="0"/>
        <w:keepLines w:val="0"/>
        <w:pageBreakBefore w:val="0"/>
        <w:kinsoku/>
        <w:wordWrap/>
        <w:overflowPunct/>
        <w:topLinePunct w:val="0"/>
        <w:bidi w:val="0"/>
        <w:adjustRightInd w:val="0"/>
        <w:snapToGrid w:val="0"/>
        <w:spacing w:after="120" w:afterLines="50" w:line="460" w:lineRule="exact"/>
        <w:jc w:val="center"/>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pacing w:val="-10"/>
          <w:w w:val="90"/>
          <w:sz w:val="22"/>
          <w:szCs w:val="22"/>
          <w:highlight w:val="none"/>
          <w:lang w:val="en-US" w:eastAsia="zh-CN"/>
        </w:rPr>
        <w:t>温州市救助管理站</w:t>
      </w:r>
      <w:r>
        <w:rPr>
          <w:rFonts w:hint="eastAsia" w:ascii="新宋体" w:hAnsi="新宋体" w:eastAsia="新宋体" w:cs="新宋体"/>
          <w:b/>
          <w:color w:val="auto"/>
          <w:spacing w:val="-10"/>
          <w:w w:val="90"/>
          <w:sz w:val="22"/>
          <w:szCs w:val="22"/>
          <w:highlight w:val="none"/>
          <w:lang w:eastAsia="zh-CN"/>
        </w:rPr>
        <w:t>站内救助服务</w:t>
      </w:r>
      <w:r>
        <w:rPr>
          <w:rFonts w:hint="eastAsia" w:ascii="新宋体" w:hAnsi="新宋体" w:eastAsia="新宋体" w:cs="新宋体"/>
          <w:b/>
          <w:bCs/>
          <w:color w:val="auto"/>
          <w:kern w:val="0"/>
          <w:sz w:val="22"/>
          <w:szCs w:val="22"/>
          <w:highlight w:val="none"/>
        </w:rPr>
        <w:t>考核细则（基础管理）</w:t>
      </w:r>
    </w:p>
    <w:tbl>
      <w:tblPr>
        <w:tblStyle w:val="65"/>
        <w:tblW w:w="9660" w:type="dxa"/>
        <w:tblInd w:w="0" w:type="dxa"/>
        <w:tblLayout w:type="fixed"/>
        <w:tblCellMar>
          <w:top w:w="15" w:type="dxa"/>
          <w:left w:w="15" w:type="dxa"/>
          <w:bottom w:w="15" w:type="dxa"/>
          <w:right w:w="15" w:type="dxa"/>
        </w:tblCellMar>
      </w:tblPr>
      <w:tblGrid>
        <w:gridCol w:w="505"/>
        <w:gridCol w:w="1016"/>
        <w:gridCol w:w="6069"/>
        <w:gridCol w:w="2070"/>
      </w:tblGrid>
      <w:tr w14:paraId="0BFB7E32">
        <w:tblPrEx>
          <w:tblCellMar>
            <w:top w:w="15" w:type="dxa"/>
            <w:left w:w="15" w:type="dxa"/>
            <w:bottom w:w="15" w:type="dxa"/>
            <w:right w:w="15" w:type="dxa"/>
          </w:tblCellMar>
        </w:tblPrEx>
        <w:trPr>
          <w:trHeight w:val="343"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14:paraId="65F7D3E3">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序号</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14:paraId="36274631">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内 容</w:t>
            </w:r>
          </w:p>
        </w:tc>
        <w:tc>
          <w:tcPr>
            <w:tcW w:w="6069" w:type="dxa"/>
            <w:tcBorders>
              <w:top w:val="single" w:color="000000" w:sz="4" w:space="0"/>
              <w:left w:val="single" w:color="000000" w:sz="4" w:space="0"/>
              <w:bottom w:val="single" w:color="000000" w:sz="4" w:space="0"/>
              <w:right w:val="single" w:color="000000" w:sz="4" w:space="0"/>
            </w:tcBorders>
            <w:noWrap w:val="0"/>
            <w:vAlign w:val="center"/>
          </w:tcPr>
          <w:p w14:paraId="74AB1C3E">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考   评   内   容</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6E3219BD">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扣分标准</w:t>
            </w:r>
          </w:p>
        </w:tc>
      </w:tr>
      <w:tr w14:paraId="5ABCD73C">
        <w:tblPrEx>
          <w:tblCellMar>
            <w:top w:w="15" w:type="dxa"/>
            <w:left w:w="15" w:type="dxa"/>
            <w:bottom w:w="15" w:type="dxa"/>
            <w:right w:w="15" w:type="dxa"/>
          </w:tblCellMar>
        </w:tblPrEx>
        <w:trPr>
          <w:trHeight w:val="1079"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14:paraId="0EFFAD9C">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p>
        </w:tc>
        <w:tc>
          <w:tcPr>
            <w:tcW w:w="1016" w:type="dxa"/>
            <w:tcBorders>
              <w:top w:val="single" w:color="000000" w:sz="4" w:space="0"/>
              <w:left w:val="single" w:color="000000" w:sz="4" w:space="0"/>
              <w:right w:val="single" w:color="000000" w:sz="4" w:space="0"/>
            </w:tcBorders>
            <w:noWrap w:val="0"/>
            <w:vAlign w:val="center"/>
          </w:tcPr>
          <w:p w14:paraId="2F6C7DFD">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思想作风建设</w:t>
            </w:r>
          </w:p>
        </w:tc>
        <w:tc>
          <w:tcPr>
            <w:tcW w:w="6069" w:type="dxa"/>
            <w:tcBorders>
              <w:top w:val="single" w:color="000000" w:sz="4" w:space="0"/>
              <w:left w:val="single" w:color="000000" w:sz="4" w:space="0"/>
              <w:bottom w:val="single" w:color="000000" w:sz="4" w:space="0"/>
              <w:right w:val="single" w:color="000000" w:sz="4" w:space="0"/>
            </w:tcBorders>
            <w:noWrap w:val="0"/>
            <w:vAlign w:val="center"/>
          </w:tcPr>
          <w:p w14:paraId="22BEDDED">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 员工的职业道德、工作作风、办事效率等良好，能爱岗敬业、遵章守纪、仪表端正、语言得当、举止得体，态度友善；不从事非法违规活动，不从事有损委托方利益的活动。</w:t>
            </w:r>
            <w:r>
              <w:rPr>
                <w:rStyle w:val="295"/>
                <w:rFonts w:hint="eastAsia" w:ascii="新宋体" w:hAnsi="新宋体" w:eastAsia="新宋体" w:cs="新宋体"/>
                <w:color w:val="auto"/>
                <w:sz w:val="22"/>
                <w:szCs w:val="22"/>
                <w:highlight w:val="none"/>
              </w:rPr>
              <w:t xml:space="preserve">              </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26696179">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每发现一例扣0.5分</w:t>
            </w:r>
          </w:p>
        </w:tc>
      </w:tr>
      <w:tr w14:paraId="110795DB">
        <w:tblPrEx>
          <w:tblCellMar>
            <w:top w:w="15" w:type="dxa"/>
            <w:left w:w="15" w:type="dxa"/>
            <w:bottom w:w="15" w:type="dxa"/>
            <w:right w:w="15" w:type="dxa"/>
          </w:tblCellMar>
        </w:tblPrEx>
        <w:trPr>
          <w:trHeight w:val="832"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14:paraId="5385B2BC">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w:t>
            </w:r>
          </w:p>
        </w:tc>
        <w:tc>
          <w:tcPr>
            <w:tcW w:w="1016" w:type="dxa"/>
            <w:tcBorders>
              <w:top w:val="single" w:color="000000" w:sz="4" w:space="0"/>
              <w:left w:val="single" w:color="000000" w:sz="4" w:space="0"/>
              <w:right w:val="single" w:color="000000" w:sz="4" w:space="0"/>
            </w:tcBorders>
            <w:noWrap w:val="0"/>
            <w:vAlign w:val="center"/>
          </w:tcPr>
          <w:p w14:paraId="54976DB3">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组织管理</w:t>
            </w:r>
          </w:p>
        </w:tc>
        <w:tc>
          <w:tcPr>
            <w:tcW w:w="6069" w:type="dxa"/>
            <w:tcBorders>
              <w:top w:val="single" w:color="000000" w:sz="4" w:space="0"/>
              <w:left w:val="single" w:color="000000" w:sz="4" w:space="0"/>
              <w:bottom w:val="single" w:color="000000" w:sz="4" w:space="0"/>
              <w:right w:val="single" w:color="000000" w:sz="4" w:space="0"/>
            </w:tcBorders>
            <w:noWrap w:val="0"/>
            <w:vAlign w:val="center"/>
          </w:tcPr>
          <w:p w14:paraId="5AAD20F9">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组织框架层级结构合理，人员素质满足要求，配备的人员符合有关用工规定，满足岗位要求，应持证的持证上岗。人员配置到位、变动备案及时，人员工资设置合理。                            </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549694C5">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每发现一例扣0.5分</w:t>
            </w:r>
          </w:p>
        </w:tc>
      </w:tr>
      <w:tr w14:paraId="4C2AAFEC">
        <w:tblPrEx>
          <w:tblCellMar>
            <w:top w:w="15" w:type="dxa"/>
            <w:left w:w="15" w:type="dxa"/>
            <w:bottom w:w="15" w:type="dxa"/>
            <w:right w:w="15" w:type="dxa"/>
          </w:tblCellMar>
        </w:tblPrEx>
        <w:trPr>
          <w:trHeight w:val="1083"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14:paraId="66FB8FF2">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3</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14:paraId="0725644D">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制度建设</w:t>
            </w:r>
          </w:p>
        </w:tc>
        <w:tc>
          <w:tcPr>
            <w:tcW w:w="6069" w:type="dxa"/>
            <w:tcBorders>
              <w:top w:val="single" w:color="000000" w:sz="4" w:space="0"/>
              <w:left w:val="single" w:color="000000" w:sz="4" w:space="0"/>
              <w:bottom w:val="single" w:color="000000" w:sz="4" w:space="0"/>
              <w:right w:val="single" w:color="000000" w:sz="4" w:space="0"/>
            </w:tcBorders>
            <w:noWrap w:val="0"/>
            <w:vAlign w:val="center"/>
          </w:tcPr>
          <w:p w14:paraId="3643D0B8">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已制订工作目标、年度计划和具体实施方案，已建立各项制度、各岗位职责、工作标准，编制了各类操作规程、安全规程，制度完善且落实到位，建立的检查制度、例会制度等落实记录齐全，考核激励措施有效。 </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78F363C9">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每发现一例扣0.5分</w:t>
            </w:r>
          </w:p>
        </w:tc>
      </w:tr>
      <w:tr w14:paraId="5F292A9F">
        <w:tblPrEx>
          <w:tblCellMar>
            <w:top w:w="15" w:type="dxa"/>
            <w:left w:w="15" w:type="dxa"/>
            <w:bottom w:w="15" w:type="dxa"/>
            <w:right w:w="15" w:type="dxa"/>
          </w:tblCellMar>
        </w:tblPrEx>
        <w:trPr>
          <w:trHeight w:val="1019"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14:paraId="1C7F1E41">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4</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14:paraId="4EB1EF1E">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培训教育</w:t>
            </w:r>
          </w:p>
        </w:tc>
        <w:tc>
          <w:tcPr>
            <w:tcW w:w="6069" w:type="dxa"/>
            <w:tcBorders>
              <w:top w:val="single" w:color="000000" w:sz="4" w:space="0"/>
              <w:left w:val="single" w:color="000000" w:sz="4" w:space="0"/>
              <w:bottom w:val="single" w:color="000000" w:sz="4" w:space="0"/>
              <w:right w:val="single" w:color="000000" w:sz="4" w:space="0"/>
            </w:tcBorders>
            <w:noWrap w:val="0"/>
            <w:vAlign w:val="center"/>
          </w:tcPr>
          <w:p w14:paraId="362D9919">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制定完整的培训计划，有明确的培训内容、培训对象，使新老员工的业务素质不断提高。培训记录规范、齐全、真实，积极组织考察学习，进一步开展项目部文化建设。                         </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49531AEE">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每发现一例扣0.5分</w:t>
            </w:r>
          </w:p>
        </w:tc>
      </w:tr>
      <w:tr w14:paraId="474A1DC1">
        <w:tblPrEx>
          <w:tblCellMar>
            <w:top w:w="15" w:type="dxa"/>
            <w:left w:w="15" w:type="dxa"/>
            <w:bottom w:w="15" w:type="dxa"/>
            <w:right w:w="15" w:type="dxa"/>
          </w:tblCellMar>
        </w:tblPrEx>
        <w:trPr>
          <w:trHeight w:val="1336"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14:paraId="5610AFFF">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5</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14:paraId="7C980D47">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完成任务</w:t>
            </w:r>
          </w:p>
        </w:tc>
        <w:tc>
          <w:tcPr>
            <w:tcW w:w="6069" w:type="dxa"/>
            <w:tcBorders>
              <w:top w:val="single" w:color="000000" w:sz="4" w:space="0"/>
              <w:left w:val="single" w:color="000000" w:sz="4" w:space="0"/>
              <w:bottom w:val="single" w:color="000000" w:sz="4" w:space="0"/>
              <w:right w:val="single" w:color="000000" w:sz="4" w:space="0"/>
            </w:tcBorders>
            <w:noWrap w:val="0"/>
            <w:vAlign w:val="center"/>
          </w:tcPr>
          <w:p w14:paraId="14454989">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严格遵守委托方的各种制度、规定，以创建节约型文明机关为核心，不断深化服务管理，推行标准化服务，不断提升服务质量、服务管理水平，开展文明大</w:t>
            </w:r>
            <w:r>
              <w:rPr>
                <w:rFonts w:hint="eastAsia" w:ascii="新宋体" w:hAnsi="新宋体" w:eastAsia="新宋体" w:cs="新宋体"/>
                <w:color w:val="auto"/>
                <w:kern w:val="0"/>
                <w:sz w:val="22"/>
                <w:szCs w:val="22"/>
                <w:highlight w:val="none"/>
                <w:lang w:eastAsia="zh-CN"/>
              </w:rPr>
              <w:t>楼</w:t>
            </w:r>
            <w:r>
              <w:rPr>
                <w:rFonts w:hint="eastAsia" w:ascii="新宋体" w:hAnsi="新宋体" w:eastAsia="新宋体" w:cs="新宋体"/>
                <w:color w:val="auto"/>
                <w:kern w:val="0"/>
                <w:sz w:val="22"/>
                <w:szCs w:val="22"/>
                <w:highlight w:val="none"/>
              </w:rPr>
              <w:t>、平安大</w:t>
            </w:r>
            <w:r>
              <w:rPr>
                <w:rFonts w:hint="eastAsia" w:ascii="新宋体" w:hAnsi="新宋体" w:eastAsia="新宋体" w:cs="新宋体"/>
                <w:color w:val="auto"/>
                <w:kern w:val="0"/>
                <w:sz w:val="22"/>
                <w:szCs w:val="22"/>
                <w:highlight w:val="none"/>
                <w:lang w:eastAsia="zh-CN"/>
              </w:rPr>
              <w:t>楼</w:t>
            </w:r>
            <w:r>
              <w:rPr>
                <w:rFonts w:hint="eastAsia" w:ascii="新宋体" w:hAnsi="新宋体" w:eastAsia="新宋体" w:cs="新宋体"/>
                <w:color w:val="auto"/>
                <w:kern w:val="0"/>
                <w:sz w:val="22"/>
                <w:szCs w:val="22"/>
                <w:highlight w:val="none"/>
              </w:rPr>
              <w:t xml:space="preserve">创建。         </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2A78F067">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每发现一例扣0.5分</w:t>
            </w:r>
          </w:p>
        </w:tc>
      </w:tr>
      <w:tr w14:paraId="5A7B20FA">
        <w:tblPrEx>
          <w:tblCellMar>
            <w:top w:w="15" w:type="dxa"/>
            <w:left w:w="15" w:type="dxa"/>
            <w:bottom w:w="15" w:type="dxa"/>
            <w:right w:w="15" w:type="dxa"/>
          </w:tblCellMar>
        </w:tblPrEx>
        <w:trPr>
          <w:trHeight w:val="580"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14:paraId="5D51EAF7">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6</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14:paraId="55977196">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节能</w:t>
            </w:r>
          </w:p>
        </w:tc>
        <w:tc>
          <w:tcPr>
            <w:tcW w:w="6069" w:type="dxa"/>
            <w:tcBorders>
              <w:top w:val="single" w:color="000000" w:sz="4" w:space="0"/>
              <w:left w:val="single" w:color="000000" w:sz="4" w:space="0"/>
              <w:bottom w:val="single" w:color="000000" w:sz="4" w:space="0"/>
              <w:right w:val="single" w:color="000000" w:sz="4" w:space="0"/>
            </w:tcBorders>
            <w:noWrap w:val="0"/>
            <w:vAlign w:val="center"/>
          </w:tcPr>
          <w:p w14:paraId="3EF11534">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加强节能管理，落实节能措施。</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420A1D1D">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每发现一例扣0.5分</w:t>
            </w:r>
          </w:p>
        </w:tc>
      </w:tr>
      <w:tr w14:paraId="44160749">
        <w:tblPrEx>
          <w:tblCellMar>
            <w:top w:w="15" w:type="dxa"/>
            <w:left w:w="15" w:type="dxa"/>
            <w:bottom w:w="15" w:type="dxa"/>
            <w:right w:w="15" w:type="dxa"/>
          </w:tblCellMar>
        </w:tblPrEx>
        <w:trPr>
          <w:trHeight w:val="832" w:hRule="atLeast"/>
        </w:trPr>
        <w:tc>
          <w:tcPr>
            <w:tcW w:w="505" w:type="dxa"/>
            <w:tcBorders>
              <w:top w:val="single" w:color="000000" w:sz="4" w:space="0"/>
              <w:left w:val="single" w:color="000000" w:sz="4" w:space="0"/>
              <w:bottom w:val="single" w:color="auto" w:sz="4" w:space="0"/>
              <w:right w:val="single" w:color="000000" w:sz="4" w:space="0"/>
            </w:tcBorders>
            <w:noWrap w:val="0"/>
            <w:vAlign w:val="center"/>
          </w:tcPr>
          <w:p w14:paraId="633FD366">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7</w:t>
            </w:r>
          </w:p>
        </w:tc>
        <w:tc>
          <w:tcPr>
            <w:tcW w:w="1016" w:type="dxa"/>
            <w:tcBorders>
              <w:top w:val="single" w:color="000000" w:sz="4" w:space="0"/>
              <w:left w:val="single" w:color="000000" w:sz="4" w:space="0"/>
              <w:bottom w:val="single" w:color="auto" w:sz="4" w:space="0"/>
              <w:right w:val="single" w:color="000000" w:sz="4" w:space="0"/>
            </w:tcBorders>
            <w:noWrap w:val="0"/>
            <w:vAlign w:val="center"/>
          </w:tcPr>
          <w:p w14:paraId="015E04C5">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考核、工资、服装</w:t>
            </w:r>
          </w:p>
        </w:tc>
        <w:tc>
          <w:tcPr>
            <w:tcW w:w="6069" w:type="dxa"/>
            <w:tcBorders>
              <w:top w:val="single" w:color="000000" w:sz="4" w:space="0"/>
              <w:left w:val="single" w:color="000000" w:sz="4" w:space="0"/>
              <w:bottom w:val="single" w:color="auto" w:sz="4" w:space="0"/>
              <w:right w:val="single" w:color="000000" w:sz="4" w:space="0"/>
            </w:tcBorders>
            <w:noWrap w:val="0"/>
            <w:vAlign w:val="center"/>
          </w:tcPr>
          <w:p w14:paraId="1628A7F1">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有考核激励办法和稳定人员、提升人员素质的具体措施，并严格履行、落实到位。人员薪金体系合理，支出备案及时；服装和劳保用品发放满足委托方要求，材料和样式经审核同意。</w:t>
            </w:r>
          </w:p>
        </w:tc>
        <w:tc>
          <w:tcPr>
            <w:tcW w:w="2070" w:type="dxa"/>
            <w:tcBorders>
              <w:top w:val="single" w:color="000000" w:sz="4" w:space="0"/>
              <w:left w:val="single" w:color="000000" w:sz="4" w:space="0"/>
              <w:bottom w:val="single" w:color="auto" w:sz="4" w:space="0"/>
              <w:right w:val="single" w:color="000000" w:sz="4" w:space="0"/>
            </w:tcBorders>
            <w:noWrap w:val="0"/>
            <w:vAlign w:val="center"/>
          </w:tcPr>
          <w:p w14:paraId="20BEBE08">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每发现一例扣0.5分</w:t>
            </w:r>
          </w:p>
        </w:tc>
      </w:tr>
      <w:tr w14:paraId="60C881AB">
        <w:tblPrEx>
          <w:tblCellMar>
            <w:top w:w="15" w:type="dxa"/>
            <w:left w:w="15" w:type="dxa"/>
            <w:bottom w:w="15" w:type="dxa"/>
            <w:right w:w="15" w:type="dxa"/>
          </w:tblCellMar>
        </w:tblPrEx>
        <w:trPr>
          <w:trHeight w:val="1588" w:hRule="atLeast"/>
        </w:trPr>
        <w:tc>
          <w:tcPr>
            <w:tcW w:w="505" w:type="dxa"/>
            <w:tcBorders>
              <w:top w:val="single" w:color="auto" w:sz="4" w:space="0"/>
              <w:left w:val="single" w:color="000000" w:sz="4" w:space="0"/>
              <w:bottom w:val="single" w:color="000000" w:sz="4" w:space="0"/>
              <w:right w:val="single" w:color="000000" w:sz="4" w:space="0"/>
            </w:tcBorders>
            <w:noWrap w:val="0"/>
            <w:vAlign w:val="center"/>
          </w:tcPr>
          <w:p w14:paraId="62C1523E">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016" w:type="dxa"/>
            <w:tcBorders>
              <w:top w:val="single" w:color="auto" w:sz="4" w:space="0"/>
              <w:left w:val="single" w:color="000000" w:sz="4" w:space="0"/>
              <w:bottom w:val="single" w:color="000000" w:sz="4" w:space="0"/>
              <w:right w:val="single" w:color="000000" w:sz="4" w:space="0"/>
            </w:tcBorders>
            <w:noWrap w:val="0"/>
            <w:vAlign w:val="center"/>
          </w:tcPr>
          <w:p w14:paraId="0CF0F66F">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人员管理</w:t>
            </w:r>
          </w:p>
        </w:tc>
        <w:tc>
          <w:tcPr>
            <w:tcW w:w="6069" w:type="dxa"/>
            <w:tcBorders>
              <w:top w:val="single" w:color="auto" w:sz="4" w:space="0"/>
              <w:left w:val="single" w:color="000000" w:sz="4" w:space="0"/>
              <w:bottom w:val="single" w:color="000000" w:sz="4" w:space="0"/>
              <w:right w:val="single" w:color="000000" w:sz="4" w:space="0"/>
            </w:tcBorders>
            <w:noWrap w:val="0"/>
            <w:vAlign w:val="center"/>
          </w:tcPr>
          <w:p w14:paraId="226AB79C">
            <w:pPr>
              <w:keepNext w:val="0"/>
              <w:keepLines w:val="0"/>
              <w:pageBreakBefore w:val="0"/>
              <w:numPr>
                <w:ilvl w:val="0"/>
                <w:numId w:val="0"/>
              </w:numPr>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rPr>
              <w:t>着装不规范，仪容仪表不端庄的；</w:t>
            </w:r>
            <w:r>
              <w:rPr>
                <w:rFonts w:hint="eastAsia" w:ascii="新宋体" w:hAnsi="新宋体" w:eastAsia="新宋体" w:cs="新宋体"/>
                <w:color w:val="auto"/>
                <w:kern w:val="0"/>
                <w:sz w:val="22"/>
                <w:szCs w:val="22"/>
                <w:highlight w:val="none"/>
                <w:lang w:val="en-US" w:eastAsia="zh-CN"/>
              </w:rPr>
              <w:t>未查询无犯罪记录的</w:t>
            </w:r>
            <w:r>
              <w:rPr>
                <w:rFonts w:hint="eastAsia" w:ascii="新宋体" w:hAnsi="新宋体" w:eastAsia="新宋体" w:cs="新宋体"/>
                <w:color w:val="auto"/>
                <w:kern w:val="0"/>
                <w:sz w:val="22"/>
                <w:szCs w:val="22"/>
                <w:highlight w:val="none"/>
              </w:rPr>
              <w:t>；无故脱岗、串岗，迟到早退，服务态度差，不服从上级指挥管理，酒后上班，私自带人等违反劳动纪律的</w:t>
            </w:r>
            <w:r>
              <w:rPr>
                <w:rFonts w:hint="eastAsia" w:ascii="新宋体" w:hAnsi="新宋体" w:eastAsia="新宋体" w:cs="新宋体"/>
                <w:color w:val="auto"/>
                <w:kern w:val="0"/>
                <w:sz w:val="22"/>
                <w:szCs w:val="22"/>
                <w:highlight w:val="none"/>
                <w:lang w:eastAsia="zh-CN"/>
              </w:rPr>
              <w:t>。</w:t>
            </w:r>
          </w:p>
        </w:tc>
        <w:tc>
          <w:tcPr>
            <w:tcW w:w="2070" w:type="dxa"/>
            <w:tcBorders>
              <w:top w:val="single" w:color="auto" w:sz="4" w:space="0"/>
              <w:left w:val="single" w:color="000000" w:sz="4" w:space="0"/>
              <w:bottom w:val="single" w:color="000000" w:sz="4" w:space="0"/>
              <w:right w:val="single" w:color="000000" w:sz="4" w:space="0"/>
            </w:tcBorders>
            <w:noWrap w:val="0"/>
            <w:vAlign w:val="center"/>
          </w:tcPr>
          <w:p w14:paraId="7BCF03E2">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每发现一例扣0.5分</w:t>
            </w:r>
          </w:p>
        </w:tc>
      </w:tr>
      <w:tr w14:paraId="06C28D85">
        <w:tblPrEx>
          <w:tblCellMar>
            <w:top w:w="15" w:type="dxa"/>
            <w:left w:w="15" w:type="dxa"/>
            <w:bottom w:w="15" w:type="dxa"/>
            <w:right w:w="15" w:type="dxa"/>
          </w:tblCellMar>
        </w:tblPrEx>
        <w:trPr>
          <w:trHeight w:val="886"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14:paraId="69D09E60">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lang w:val="en-US" w:eastAsia="zh-CN"/>
              </w:rPr>
              <w:t>9</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14:paraId="4705968D">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持续改进</w:t>
            </w:r>
          </w:p>
        </w:tc>
        <w:tc>
          <w:tcPr>
            <w:tcW w:w="6069" w:type="dxa"/>
            <w:tcBorders>
              <w:top w:val="single" w:color="000000" w:sz="4" w:space="0"/>
              <w:left w:val="single" w:color="000000" w:sz="4" w:space="0"/>
              <w:bottom w:val="single" w:color="000000" w:sz="4" w:space="0"/>
              <w:right w:val="single" w:color="000000" w:sz="4" w:space="0"/>
            </w:tcBorders>
            <w:noWrap w:val="0"/>
            <w:vAlign w:val="center"/>
          </w:tcPr>
          <w:p w14:paraId="56512579">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定期向相关方征询意见，自觉配合考核，并根据反馈意见、考核结果及时调整改进、优化提高。员工合理化建议积极，及时落实有效可行建议。 </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5430680B">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每发现一例扣0.5分</w:t>
            </w:r>
          </w:p>
        </w:tc>
      </w:tr>
      <w:tr w14:paraId="11737AD0">
        <w:tblPrEx>
          <w:tblCellMar>
            <w:top w:w="15" w:type="dxa"/>
            <w:left w:w="15" w:type="dxa"/>
            <w:bottom w:w="15" w:type="dxa"/>
            <w:right w:w="15" w:type="dxa"/>
          </w:tblCellMar>
        </w:tblPrEx>
        <w:trPr>
          <w:trHeight w:val="832"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14:paraId="7FD064A2">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kern w:val="0"/>
                <w:sz w:val="22"/>
                <w:szCs w:val="22"/>
                <w:highlight w:val="none"/>
                <w:lang w:val="en-US" w:eastAsia="zh-CN"/>
              </w:rPr>
              <w:t>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14:paraId="47B2E1D2">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应急能力</w:t>
            </w:r>
          </w:p>
        </w:tc>
        <w:tc>
          <w:tcPr>
            <w:tcW w:w="6069" w:type="dxa"/>
            <w:tcBorders>
              <w:top w:val="single" w:color="000000" w:sz="4" w:space="0"/>
              <w:left w:val="single" w:color="000000" w:sz="4" w:space="0"/>
              <w:bottom w:val="single" w:color="000000" w:sz="4" w:space="0"/>
              <w:right w:val="single" w:color="000000" w:sz="4" w:space="0"/>
            </w:tcBorders>
            <w:noWrap w:val="0"/>
            <w:vAlign w:val="center"/>
          </w:tcPr>
          <w:p w14:paraId="7C680CE5">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应急事件处理合理、效果良好，临时交办的任务及时完成、完成结果令人满意。重大任务必须事先制订周密的工作计划，并按照计划实施。</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1EAA09C8">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每发现一例扣</w:t>
            </w:r>
          </w:p>
          <w:p w14:paraId="0782FCBD">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1-1.5分</w:t>
            </w:r>
          </w:p>
        </w:tc>
      </w:tr>
      <w:tr w14:paraId="190ACA7B">
        <w:tblPrEx>
          <w:tblCellMar>
            <w:top w:w="15" w:type="dxa"/>
            <w:left w:w="15" w:type="dxa"/>
            <w:bottom w:w="15" w:type="dxa"/>
            <w:right w:w="15" w:type="dxa"/>
          </w:tblCellMar>
        </w:tblPrEx>
        <w:trPr>
          <w:trHeight w:val="677" w:hRule="atLeast"/>
        </w:trPr>
        <w:tc>
          <w:tcPr>
            <w:tcW w:w="9660" w:type="dxa"/>
            <w:gridSpan w:val="4"/>
            <w:tcBorders>
              <w:top w:val="single" w:color="000000" w:sz="4" w:space="0"/>
              <w:left w:val="single" w:color="000000" w:sz="4" w:space="0"/>
              <w:bottom w:val="single" w:color="000000" w:sz="4" w:space="0"/>
              <w:right w:val="single" w:color="000000" w:sz="4" w:space="0"/>
            </w:tcBorders>
            <w:noWrap w:val="0"/>
            <w:vAlign w:val="center"/>
          </w:tcPr>
          <w:p w14:paraId="58CE08ED">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总分值</w:t>
            </w:r>
            <w:r>
              <w:rPr>
                <w:rFonts w:hint="eastAsia" w:ascii="新宋体" w:hAnsi="新宋体" w:eastAsia="新宋体" w:cs="新宋体"/>
                <w:color w:val="auto"/>
                <w:kern w:val="0"/>
                <w:sz w:val="22"/>
                <w:szCs w:val="22"/>
                <w:highlight w:val="none"/>
                <w:lang w:val="en-US" w:eastAsia="zh-CN"/>
              </w:rPr>
              <w:t>20</w:t>
            </w:r>
            <w:r>
              <w:rPr>
                <w:rFonts w:hint="eastAsia" w:ascii="新宋体" w:hAnsi="新宋体" w:eastAsia="新宋体" w:cs="新宋体"/>
                <w:color w:val="auto"/>
                <w:kern w:val="0"/>
                <w:sz w:val="22"/>
                <w:szCs w:val="22"/>
                <w:highlight w:val="none"/>
              </w:rPr>
              <w:t>分，每发现一个不符合项，按照</w:t>
            </w:r>
            <w:r>
              <w:rPr>
                <w:rFonts w:hint="eastAsia" w:ascii="新宋体" w:hAnsi="新宋体" w:eastAsia="新宋体" w:cs="新宋体"/>
                <w:color w:val="auto"/>
                <w:kern w:val="0"/>
                <w:sz w:val="22"/>
                <w:szCs w:val="22"/>
                <w:highlight w:val="none"/>
                <w:lang w:val="en-US" w:eastAsia="zh-CN"/>
              </w:rPr>
              <w:t>规定</w:t>
            </w:r>
            <w:r>
              <w:rPr>
                <w:rFonts w:hint="eastAsia" w:ascii="新宋体" w:hAnsi="新宋体" w:eastAsia="新宋体" w:cs="新宋体"/>
                <w:color w:val="auto"/>
                <w:kern w:val="0"/>
                <w:sz w:val="22"/>
                <w:szCs w:val="22"/>
                <w:highlight w:val="none"/>
              </w:rPr>
              <w:t>扣分。</w:t>
            </w:r>
          </w:p>
        </w:tc>
      </w:tr>
    </w:tbl>
    <w:p w14:paraId="480F236D">
      <w:pPr>
        <w:keepNext w:val="0"/>
        <w:keepLines w:val="0"/>
        <w:pageBreakBefore w:val="0"/>
        <w:kinsoku/>
        <w:wordWrap/>
        <w:overflowPunct/>
        <w:topLinePunct w:val="0"/>
        <w:bidi w:val="0"/>
        <w:adjustRightInd w:val="0"/>
        <w:spacing w:line="460" w:lineRule="exact"/>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color w:val="auto"/>
          <w:sz w:val="22"/>
          <w:szCs w:val="22"/>
          <w:highlight w:val="none"/>
        </w:rPr>
        <w:t>表</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w:t>
      </w:r>
    </w:p>
    <w:p w14:paraId="5F4FDEE2">
      <w:pPr>
        <w:keepNext w:val="0"/>
        <w:keepLines w:val="0"/>
        <w:pageBreakBefore w:val="0"/>
        <w:kinsoku/>
        <w:wordWrap/>
        <w:overflowPunct/>
        <w:topLinePunct w:val="0"/>
        <w:bidi w:val="0"/>
        <w:adjustRightInd w:val="0"/>
        <w:spacing w:after="120" w:afterLines="50" w:line="460" w:lineRule="exact"/>
        <w:jc w:val="center"/>
        <w:outlineLvl w:val="9"/>
        <w:rPr>
          <w:rFonts w:hint="eastAsia" w:ascii="新宋体" w:hAnsi="新宋体" w:eastAsia="新宋体" w:cs="新宋体"/>
          <w:b/>
          <w:color w:val="auto"/>
          <w:spacing w:val="0"/>
          <w:w w:val="90"/>
          <w:sz w:val="22"/>
          <w:szCs w:val="22"/>
          <w:highlight w:val="none"/>
          <w:lang w:eastAsia="zh-CN"/>
        </w:rPr>
      </w:pPr>
      <w:r>
        <w:rPr>
          <w:rFonts w:hint="eastAsia" w:ascii="新宋体" w:hAnsi="新宋体" w:eastAsia="新宋体" w:cs="新宋体"/>
          <w:b/>
          <w:color w:val="auto"/>
          <w:spacing w:val="0"/>
          <w:w w:val="90"/>
          <w:sz w:val="22"/>
          <w:szCs w:val="22"/>
          <w:highlight w:val="none"/>
          <w:lang w:val="en-US" w:eastAsia="zh-CN"/>
        </w:rPr>
        <w:t>温州市救助管理站</w:t>
      </w:r>
      <w:r>
        <w:rPr>
          <w:rFonts w:hint="eastAsia" w:ascii="新宋体" w:hAnsi="新宋体" w:eastAsia="新宋体" w:cs="新宋体"/>
          <w:b/>
          <w:color w:val="auto"/>
          <w:spacing w:val="0"/>
          <w:w w:val="90"/>
          <w:sz w:val="22"/>
          <w:szCs w:val="22"/>
          <w:highlight w:val="none"/>
          <w:lang w:eastAsia="zh-CN"/>
        </w:rPr>
        <w:t>站内救助服务</w:t>
      </w:r>
      <w:r>
        <w:rPr>
          <w:rFonts w:hint="eastAsia" w:ascii="新宋体" w:hAnsi="新宋体" w:eastAsia="新宋体" w:cs="新宋体"/>
          <w:b/>
          <w:color w:val="auto"/>
          <w:spacing w:val="0"/>
          <w:w w:val="90"/>
          <w:sz w:val="22"/>
          <w:szCs w:val="22"/>
          <w:highlight w:val="none"/>
        </w:rPr>
        <w:t>考核细则（食堂餐饮</w:t>
      </w:r>
      <w:r>
        <w:rPr>
          <w:rFonts w:hint="eastAsia" w:ascii="新宋体" w:hAnsi="新宋体" w:eastAsia="新宋体" w:cs="新宋体"/>
          <w:b/>
          <w:color w:val="auto"/>
          <w:spacing w:val="0"/>
          <w:w w:val="90"/>
          <w:sz w:val="22"/>
          <w:szCs w:val="22"/>
          <w:highlight w:val="none"/>
          <w:lang w:eastAsia="zh-CN"/>
        </w:rPr>
        <w:t>）</w:t>
      </w:r>
    </w:p>
    <w:tbl>
      <w:tblPr>
        <w:tblStyle w:val="65"/>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6664"/>
        <w:gridCol w:w="2275"/>
      </w:tblGrid>
      <w:tr w14:paraId="48DD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jc w:val="center"/>
        </w:trPr>
        <w:tc>
          <w:tcPr>
            <w:tcW w:w="7191" w:type="dxa"/>
            <w:gridSpan w:val="2"/>
            <w:tcBorders>
              <w:top w:val="single" w:color="auto" w:sz="4" w:space="0"/>
              <w:left w:val="single" w:color="auto" w:sz="4" w:space="0"/>
              <w:bottom w:val="single" w:color="auto" w:sz="4" w:space="0"/>
              <w:right w:val="single" w:color="auto" w:sz="4" w:space="0"/>
            </w:tcBorders>
            <w:noWrap w:val="0"/>
            <w:vAlign w:val="center"/>
          </w:tcPr>
          <w:p w14:paraId="4592623D">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考评内容</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13A20DA8">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扣分标准</w:t>
            </w:r>
          </w:p>
        </w:tc>
      </w:tr>
      <w:tr w14:paraId="5365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14:paraId="758B6F37">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厨房间环境卫生</w:t>
            </w:r>
          </w:p>
        </w:tc>
        <w:tc>
          <w:tcPr>
            <w:tcW w:w="6664" w:type="dxa"/>
            <w:tcBorders>
              <w:top w:val="single" w:color="auto" w:sz="4" w:space="0"/>
              <w:left w:val="single" w:color="auto" w:sz="4" w:space="0"/>
              <w:bottom w:val="single" w:color="auto" w:sz="4" w:space="0"/>
              <w:right w:val="single" w:color="auto" w:sz="4" w:space="0"/>
            </w:tcBorders>
            <w:noWrap w:val="0"/>
            <w:vAlign w:val="center"/>
          </w:tcPr>
          <w:p w14:paraId="4B459838">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1、地面、下水道、明沟积有污水、污物视情节</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24FBAD6C">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7076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1B23CCC3">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0E6A4F1C">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2、墙壁、门窗、天花板有积尘、油污、蜘蛛网和涂层脱落；</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59652F3F">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439B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2590B8A8">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4DDCDE2E">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3、有关设备、设施、用具没有保持卫生清洁，有污渍视情节</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5A690935">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48C8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115B9F90">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427C785B">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4、垃圾桶没有及时加盖</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6A62D208">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75ED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64B47CA7">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5652FA0A">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5、地面、灶台、厨具卫生保洁没有按规定每天定时清洗；</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3A9CF8F2">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发现一次扣0.2分</w:t>
            </w:r>
          </w:p>
        </w:tc>
      </w:tr>
      <w:tr w14:paraId="620B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5ED230DA">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6F6BC826">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6、冷库没有按要求做到专人负责保管、使用及定时清洗；</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3FC2E769">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发现一次扣0.2分</w:t>
            </w:r>
          </w:p>
        </w:tc>
      </w:tr>
      <w:tr w14:paraId="0CA2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662B3447">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5062584C">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7、禁止无关人员进入厨房间，如发现属于本工作人员带入视情节轻重</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4ADDF13A">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发现一次扣0.2分</w:t>
            </w:r>
          </w:p>
        </w:tc>
      </w:tr>
      <w:tr w14:paraId="0918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14:paraId="7C1DA4FD">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粗加工、配菜、烹调卫生</w:t>
            </w:r>
          </w:p>
        </w:tc>
        <w:tc>
          <w:tcPr>
            <w:tcW w:w="6664" w:type="dxa"/>
            <w:tcBorders>
              <w:top w:val="single" w:color="auto" w:sz="4" w:space="0"/>
              <w:left w:val="single" w:color="auto" w:sz="4" w:space="0"/>
              <w:bottom w:val="single" w:color="auto" w:sz="4" w:space="0"/>
              <w:right w:val="single" w:color="auto" w:sz="4" w:space="0"/>
            </w:tcBorders>
            <w:noWrap w:val="0"/>
            <w:vAlign w:val="center"/>
          </w:tcPr>
          <w:p w14:paraId="57028DAE">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1、荤、素食品没有按要求做到分池（定位）清洗视情节</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19812C5B">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39F37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68C4CE91">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5AE369E9">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2、清洗后的食品不能接触地面如发现视情节</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00CFDD12">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3747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420CE170">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237280FE">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3、鸡蛋在使用前必须清洗后方可使用，发现不经清洗直接使用</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463C2BB5">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3D15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29B945F9">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52150FBC">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4、加工生、熟食品的刀、砧板及盛器要分开，如发现混用</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3096DF6A">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62E0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6F0E4FFD">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76FFFFC5">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5、配菜没有做到科学合理（要求做到色、香、味俱全）</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71FE1304">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发现一次扣0.2分</w:t>
            </w:r>
          </w:p>
        </w:tc>
      </w:tr>
      <w:tr w14:paraId="2F2D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5177F2A6">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27FB5473">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6、食物加工半生不熟的</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3A9638EF">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发现一次扣0.2分</w:t>
            </w:r>
          </w:p>
        </w:tc>
      </w:tr>
      <w:tr w14:paraId="2F5A5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1868191E">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1EB1A711">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7、菜肴里或汤里、米饭里发现有杂物，按问题严重程度扣分</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3A019B13">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发现一次扣0.5分</w:t>
            </w:r>
          </w:p>
        </w:tc>
      </w:tr>
      <w:tr w14:paraId="170B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2551A649">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7C988D20">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8、各种盛调味品的容器没有按要求做到及时定期清洗</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5D7B08A7">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79CE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339AE589">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2445176A">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9、每天配菜的数量要求在提供用餐人数的基础上上下浮动10%，如出现失误视情节轻重</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0A993F18">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发现一次扣0.5分</w:t>
            </w:r>
          </w:p>
        </w:tc>
      </w:tr>
      <w:tr w14:paraId="207C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72ABA5C9">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19880918">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10、要提倡节约不浪费，发现无故浪费现象视情节轻重</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32930EF7">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发现一次扣0.2分</w:t>
            </w:r>
          </w:p>
        </w:tc>
      </w:tr>
      <w:tr w14:paraId="1025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6D028E7B">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52079CD3">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11、食堂没有按规定要求建立卫生台帐</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14897275">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发现一次扣0.2分</w:t>
            </w:r>
          </w:p>
        </w:tc>
      </w:tr>
      <w:tr w14:paraId="6D11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14:paraId="1C6478A0">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个人卫生及要求 </w:t>
            </w:r>
          </w:p>
        </w:tc>
        <w:tc>
          <w:tcPr>
            <w:tcW w:w="6664" w:type="dxa"/>
            <w:tcBorders>
              <w:top w:val="single" w:color="auto" w:sz="4" w:space="0"/>
              <w:left w:val="single" w:color="auto" w:sz="4" w:space="0"/>
              <w:bottom w:val="single" w:color="auto" w:sz="4" w:space="0"/>
              <w:right w:val="single" w:color="auto" w:sz="4" w:space="0"/>
            </w:tcBorders>
            <w:noWrap w:val="0"/>
            <w:vAlign w:val="center"/>
          </w:tcPr>
          <w:p w14:paraId="42281DED">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1、员工的健康证和卫生知识培训合格证是否在有效期内，如发现过期还在使用</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0AD930D7">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发现一次扣0.5分</w:t>
            </w:r>
          </w:p>
        </w:tc>
      </w:tr>
      <w:tr w14:paraId="3DF2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16ECC2A5">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08C2BA9B">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2、要求定期对员工进行培训，新上岗的员工要求做到先培训后上岗，发现未经培训直接上岗</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419953E2">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发现一次扣0.2分</w:t>
            </w:r>
          </w:p>
        </w:tc>
      </w:tr>
      <w:tr w14:paraId="70B4C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4B90F601">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3991F318">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3、员工上班时间不能留长指甲、涂指甲油、戴戒指及化生活装，经检查发现存在问题</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2B630AA8">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5E29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197C1B59">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39CA2C59">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4、员工上班时间没有按要求穿戴工作服、衣帽、穿戴不整洁或穿拖鞋上班</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66B41F16">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324E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2A66569B">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2D093BC0">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5、员工戴的工作帽要求遮盖全部头发，发现不整齐</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60D22465">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7CDD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41DEEE2B">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7EB1219F">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6、发现上班时间工作人员在工作区内吸烟、吃零食</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27C54890">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7D2D7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08A33493">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06E83ACD">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7、员工上班时间没有按规定佩带健康证上岗</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6EF4569B">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3A8E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32DC524C">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093FAE54">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r>
              <w:rPr>
                <w:rFonts w:hint="eastAsia" w:ascii="新宋体" w:hAnsi="新宋体" w:eastAsia="新宋体" w:cs="新宋体"/>
                <w:color w:val="auto"/>
                <w:kern w:val="0"/>
                <w:sz w:val="22"/>
                <w:szCs w:val="22"/>
                <w:highlight w:val="none"/>
                <w:lang w:val="en-US" w:eastAsia="zh-CN"/>
              </w:rPr>
              <w:t>打</w:t>
            </w:r>
            <w:r>
              <w:rPr>
                <w:rFonts w:hint="eastAsia" w:ascii="新宋体" w:hAnsi="新宋体" w:eastAsia="新宋体" w:cs="新宋体"/>
                <w:color w:val="auto"/>
                <w:kern w:val="0"/>
                <w:sz w:val="22"/>
                <w:szCs w:val="22"/>
                <w:highlight w:val="none"/>
              </w:rPr>
              <w:t>饭菜时员工一律要求带一次性手套及一次性口罩，擅自不戴</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120DFADB">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05F9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73E91E19">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014B889B">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9、就餐人员遗失在餐厅的物品，应妥善保管经核实后归还，如发现食堂工作人员占为己有</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0A8C6BA9">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64708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14:paraId="54BD3529">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专间卫生</w:t>
            </w:r>
          </w:p>
        </w:tc>
        <w:tc>
          <w:tcPr>
            <w:tcW w:w="6664" w:type="dxa"/>
            <w:tcBorders>
              <w:top w:val="single" w:color="auto" w:sz="4" w:space="0"/>
              <w:left w:val="single" w:color="auto" w:sz="4" w:space="0"/>
              <w:bottom w:val="single" w:color="auto" w:sz="4" w:space="0"/>
              <w:right w:val="single" w:color="auto" w:sz="4" w:space="0"/>
            </w:tcBorders>
            <w:noWrap w:val="0"/>
            <w:vAlign w:val="center"/>
          </w:tcPr>
          <w:p w14:paraId="45B25C61">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1、有非专间人员进入专用加工间</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2D646610">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1166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3CFE4446">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1588B41D">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2、专间内空调、冰箱、冰柜不在正常使用</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3C7E2B0B">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3A06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5E6B5DB1">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0494D2D2">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3、供加工凉菜用的蔬菜、水果有未经清洗带入凉菜间</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1AE6F62B">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4279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160CE7EE">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637A0D12">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4、用于加工直接入口食品的工用具（如刀、砧板、抹布）没有做到专用的</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3BEB85C7">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720B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544382C7">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03942B9D">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5、专间内刀、砧板、抹布等工用具使用前没有经过消毒直接使用</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05EBACE9">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30CB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6CE1C386">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12AAD948">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6、凉菜间内的食物必须是可直接使用，发现生、熟混用</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756F534F">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6534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0F03CDA7">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69306F36">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7、专间内不准堆放拖把、书报、个人用品等物品，如发现杂物</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15411641">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5850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6A0C2FEE">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04041605">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8、专间操作人员没有按规定穿戴专用工作衣帽、口罩、一次性手套，手部没有清洗消毒</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5D070B01">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540F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14:paraId="6ABB0D19">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食品采购与贮存</w:t>
            </w:r>
          </w:p>
        </w:tc>
        <w:tc>
          <w:tcPr>
            <w:tcW w:w="6664" w:type="dxa"/>
            <w:tcBorders>
              <w:top w:val="single" w:color="auto" w:sz="4" w:space="0"/>
              <w:left w:val="single" w:color="auto" w:sz="4" w:space="0"/>
              <w:bottom w:val="single" w:color="auto" w:sz="4" w:space="0"/>
              <w:right w:val="single" w:color="auto" w:sz="4" w:space="0"/>
            </w:tcBorders>
            <w:noWrap w:val="0"/>
            <w:vAlign w:val="center"/>
          </w:tcPr>
          <w:p w14:paraId="166B332C">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1、食品出入库要求专人负责验收、登记，发现不经验收，直接领用</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1F6914C4">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发现一次扣0.2分</w:t>
            </w:r>
          </w:p>
        </w:tc>
      </w:tr>
      <w:tr w14:paraId="1E3F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4318D97A">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6C771C83">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2、如验收时发现食品质量有问题或超过保质期，没有及时反映或隐瞒，视情节轻重</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1F294C71">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发现一次扣0.2分</w:t>
            </w:r>
          </w:p>
        </w:tc>
      </w:tr>
      <w:tr w14:paraId="2A3E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7D0D7CBC">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2F52C98E">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3、使用超过保质期的食品，造成事故，视情节轻重</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1E40FBD6">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发现一次扣0.2分</w:t>
            </w:r>
          </w:p>
        </w:tc>
      </w:tr>
      <w:tr w14:paraId="4142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7696E414">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541284CF">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4、库房内食品没有做到分类、分架、离地、离墙整齐堆放</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261CDA77">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2364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38FC284F">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146F534D">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5、不准将食品与有毒有害物品（如老鼠药、杀虫剂）存放在同一场所，经检查发现存在隐患</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15A74EEE">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发现一次扣0.2分</w:t>
            </w:r>
          </w:p>
        </w:tc>
      </w:tr>
      <w:tr w14:paraId="1685E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757DDC9E">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06AC282E">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6、冰箱、冰柜内食品生熟混放</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64B3D5F3">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发现一次扣0.2分</w:t>
            </w:r>
          </w:p>
        </w:tc>
      </w:tr>
      <w:tr w14:paraId="7975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1D686D0B">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0F9363A3">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7、冰箱、冰柜没有正常运转，造成食品腐烂，造成损失</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4D5A86FE">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发现一次扣0.2分</w:t>
            </w:r>
          </w:p>
        </w:tc>
      </w:tr>
      <w:tr w14:paraId="00FB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14:paraId="69715EFC">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餐具、餐厅卫生</w:t>
            </w:r>
          </w:p>
        </w:tc>
        <w:tc>
          <w:tcPr>
            <w:tcW w:w="6664" w:type="dxa"/>
            <w:tcBorders>
              <w:top w:val="single" w:color="auto" w:sz="4" w:space="0"/>
              <w:left w:val="single" w:color="auto" w:sz="4" w:space="0"/>
              <w:bottom w:val="single" w:color="auto" w:sz="4" w:space="0"/>
              <w:right w:val="single" w:color="auto" w:sz="4" w:space="0"/>
            </w:tcBorders>
            <w:noWrap w:val="0"/>
            <w:vAlign w:val="center"/>
          </w:tcPr>
          <w:p w14:paraId="1DA6FD3C">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1、餐具使用前没有做好清洗、消毒工作，直接使用</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7BBB08EA">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发现一次扣0.2分</w:t>
            </w:r>
          </w:p>
        </w:tc>
      </w:tr>
      <w:tr w14:paraId="1B1E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72F2300B">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37DEEA3F">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2、清洗、消毒餐具的水及水池不能与其它混用，如发现混用</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7620ABF4">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发现一次扣0.2分</w:t>
            </w:r>
          </w:p>
        </w:tc>
      </w:tr>
      <w:tr w14:paraId="3808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64E16E72">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092715DF">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3、消毒后的餐饮具要求存放在保洁柜里，发现乱放</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32F2DB13">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发现一次扣0.2分</w:t>
            </w:r>
          </w:p>
        </w:tc>
      </w:tr>
      <w:tr w14:paraId="435A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618FE736">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093F491C">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4、保洁柜没有保持清洁，或堆放其它杂物</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67A2ED76">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4F07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63F51FCC">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4F4F771A">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5、放餐饮具的保洁柜没有及时关门</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4BDAC2EF">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65E9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1D212830">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25AB3A72">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6、用餐环境保持清洁、卫生，没有异味、苍蝇、蚊虫，天花板没有蜘蛛网，发现卫生不到位</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03539F4A">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61FC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76CE652B">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4B6BD6C2">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7、餐桌上摆放的餐饮用具不清洁光亮，有污迹</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06577CB5">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18C3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2F6D34F0">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03E5D32F">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8、用餐桌没有随时打扫、清理</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1E4BE1A0">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6C1C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1733DC3A">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7553CFDD">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9、备餐柜内要求清洁卫生，没有异味，柜内没有杂物，如发现不卫生，有异味、有杂物</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7B18F701">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6E95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4B484F81">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52A935E3">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10、餐桌上摆放的调味品没有根据用量要求定期更换、清理</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2A42A3FA">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786A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28DF03BA">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6E5584F0">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11、盛放筷子、汤勺的容器不清洁卫生，有油污</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14F71AEA">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741E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14:paraId="03A9E897">
            <w:pPr>
              <w:keepNext w:val="0"/>
              <w:keepLines w:val="0"/>
              <w:pageBreakBefore w:val="0"/>
              <w:widowControl/>
              <w:kinsoku/>
              <w:wordWrap/>
              <w:overflowPunct/>
              <w:topLinePunct w:val="0"/>
              <w:bidi w:val="0"/>
              <w:spacing w:line="460" w:lineRule="exact"/>
              <w:jc w:val="left"/>
              <w:outlineLvl w:val="9"/>
              <w:rPr>
                <w:rFonts w:hint="eastAsia" w:ascii="新宋体" w:hAnsi="新宋体" w:eastAsia="新宋体" w:cs="新宋体"/>
                <w:color w:val="auto"/>
                <w:kern w:val="0"/>
                <w:sz w:val="22"/>
                <w:szCs w:val="22"/>
                <w:highlight w:val="none"/>
              </w:rPr>
            </w:pPr>
          </w:p>
        </w:tc>
        <w:tc>
          <w:tcPr>
            <w:tcW w:w="6664" w:type="dxa"/>
            <w:tcBorders>
              <w:top w:val="single" w:color="auto" w:sz="4" w:space="0"/>
              <w:left w:val="single" w:color="auto" w:sz="4" w:space="0"/>
              <w:bottom w:val="single" w:color="auto" w:sz="4" w:space="0"/>
              <w:right w:val="single" w:color="auto" w:sz="4" w:space="0"/>
            </w:tcBorders>
            <w:noWrap w:val="0"/>
            <w:vAlign w:val="center"/>
          </w:tcPr>
          <w:p w14:paraId="4EA94DD6">
            <w:pPr>
              <w:keepNext w:val="0"/>
              <w:keepLines w:val="0"/>
              <w:pageBreakBefore w:val="0"/>
              <w:kinsoku/>
              <w:wordWrap/>
              <w:overflowPunct/>
              <w:topLinePunct w:val="0"/>
              <w:bidi w:val="0"/>
              <w:spacing w:line="460" w:lineRule="exact"/>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12、发现快餐盘、碗、筷子、汤勺等上面有油污、杂物，视情节轻重</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6C1EFE4D">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发现一次扣0.1分</w:t>
            </w:r>
          </w:p>
        </w:tc>
      </w:tr>
      <w:tr w14:paraId="2DA6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9466" w:type="dxa"/>
            <w:gridSpan w:val="3"/>
            <w:tcBorders>
              <w:left w:val="single" w:color="auto" w:sz="4" w:space="0"/>
              <w:bottom w:val="single" w:color="auto" w:sz="4" w:space="0"/>
              <w:right w:val="single" w:color="auto" w:sz="4" w:space="0"/>
            </w:tcBorders>
            <w:noWrap w:val="0"/>
            <w:vAlign w:val="center"/>
          </w:tcPr>
          <w:p w14:paraId="63690210">
            <w:pPr>
              <w:keepNext w:val="0"/>
              <w:keepLines w:val="0"/>
              <w:pageBreakBefore w:val="0"/>
              <w:kinsoku/>
              <w:wordWrap/>
              <w:overflowPunct/>
              <w:topLinePunct w:val="0"/>
              <w:bidi w:val="0"/>
              <w:spacing w:line="460" w:lineRule="exact"/>
              <w:jc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总分值</w:t>
            </w:r>
            <w:r>
              <w:rPr>
                <w:rFonts w:hint="eastAsia" w:ascii="新宋体" w:hAnsi="新宋体" w:eastAsia="新宋体" w:cs="新宋体"/>
                <w:color w:val="auto"/>
                <w:kern w:val="0"/>
                <w:sz w:val="22"/>
                <w:szCs w:val="22"/>
                <w:highlight w:val="none"/>
                <w:lang w:val="en-US" w:eastAsia="zh-CN"/>
              </w:rPr>
              <w:t>20</w:t>
            </w:r>
            <w:r>
              <w:rPr>
                <w:rFonts w:hint="eastAsia" w:ascii="新宋体" w:hAnsi="新宋体" w:eastAsia="新宋体" w:cs="新宋体"/>
                <w:color w:val="auto"/>
                <w:kern w:val="0"/>
                <w:sz w:val="22"/>
                <w:szCs w:val="22"/>
                <w:highlight w:val="none"/>
              </w:rPr>
              <w:t>分，每发现一个不符合项，按照扣分标准扣分。</w:t>
            </w:r>
          </w:p>
        </w:tc>
      </w:tr>
    </w:tbl>
    <w:p w14:paraId="5BBFFD89">
      <w:pPr>
        <w:keepNext w:val="0"/>
        <w:keepLines w:val="0"/>
        <w:pageBreakBefore w:val="0"/>
        <w:kinsoku/>
        <w:wordWrap/>
        <w:overflowPunct/>
        <w:topLinePunct w:val="0"/>
        <w:bidi w:val="0"/>
        <w:adjustRightInd w:val="0"/>
        <w:spacing w:after="120" w:afterLines="50" w:line="460" w:lineRule="exact"/>
        <w:outlineLvl w:val="9"/>
        <w:rPr>
          <w:rFonts w:hint="eastAsia" w:ascii="新宋体" w:hAnsi="新宋体" w:eastAsia="新宋体" w:cs="新宋体"/>
          <w:b/>
          <w:color w:val="auto"/>
          <w:spacing w:val="-10"/>
          <w:w w:val="90"/>
          <w:sz w:val="22"/>
          <w:szCs w:val="22"/>
          <w:highlight w:val="none"/>
        </w:rPr>
      </w:pPr>
    </w:p>
    <w:p w14:paraId="167D0D69">
      <w:pPr>
        <w:keepNext w:val="0"/>
        <w:keepLines w:val="0"/>
        <w:pageBreakBefore w:val="0"/>
        <w:kinsoku/>
        <w:wordWrap/>
        <w:overflowPunct/>
        <w:topLinePunct w:val="0"/>
        <w:bidi w:val="0"/>
        <w:adjustRightInd w:val="0"/>
        <w:spacing w:after="120" w:afterLines="50" w:line="460" w:lineRule="exact"/>
        <w:jc w:val="center"/>
        <w:outlineLvl w:val="9"/>
        <w:rPr>
          <w:rFonts w:hint="eastAsia" w:ascii="新宋体" w:hAnsi="新宋体" w:eastAsia="新宋体" w:cs="新宋体"/>
          <w:b/>
          <w:color w:val="auto"/>
          <w:spacing w:val="-10"/>
          <w:w w:val="90"/>
          <w:sz w:val="22"/>
          <w:szCs w:val="22"/>
          <w:highlight w:val="none"/>
        </w:rPr>
      </w:pPr>
    </w:p>
    <w:p w14:paraId="54C106BF">
      <w:pPr>
        <w:keepNext w:val="0"/>
        <w:keepLines w:val="0"/>
        <w:pageBreakBefore w:val="0"/>
        <w:kinsoku/>
        <w:wordWrap/>
        <w:overflowPunct/>
        <w:topLinePunct w:val="0"/>
        <w:bidi w:val="0"/>
        <w:adjustRightInd w:val="0"/>
        <w:spacing w:line="460" w:lineRule="exact"/>
        <w:jc w:val="left"/>
        <w:outlineLvl w:val="9"/>
        <w:rPr>
          <w:rFonts w:hint="eastAsia" w:ascii="新宋体" w:hAnsi="新宋体" w:eastAsia="新宋体" w:cs="新宋体"/>
          <w:color w:val="auto"/>
          <w:sz w:val="22"/>
          <w:szCs w:val="22"/>
          <w:highlight w:val="none"/>
        </w:rPr>
      </w:pPr>
    </w:p>
    <w:p w14:paraId="78512425">
      <w:pPr>
        <w:keepNext w:val="0"/>
        <w:keepLines w:val="0"/>
        <w:pageBreakBefore w:val="0"/>
        <w:kinsoku/>
        <w:wordWrap/>
        <w:overflowPunct/>
        <w:topLinePunct w:val="0"/>
        <w:bidi w:val="0"/>
        <w:adjustRightInd w:val="0"/>
        <w:spacing w:line="460" w:lineRule="exact"/>
        <w:jc w:val="left"/>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color w:val="auto"/>
          <w:sz w:val="22"/>
          <w:szCs w:val="22"/>
          <w:highlight w:val="none"/>
        </w:rPr>
        <w:t>表</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w:t>
      </w:r>
    </w:p>
    <w:p w14:paraId="404E934D">
      <w:pPr>
        <w:keepNext w:val="0"/>
        <w:keepLines w:val="0"/>
        <w:pageBreakBefore w:val="0"/>
        <w:kinsoku/>
        <w:wordWrap/>
        <w:overflowPunct/>
        <w:topLinePunct w:val="0"/>
        <w:bidi w:val="0"/>
        <w:adjustRightInd w:val="0"/>
        <w:spacing w:after="120" w:afterLines="50" w:line="460" w:lineRule="exact"/>
        <w:jc w:val="center"/>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pacing w:val="0"/>
          <w:w w:val="90"/>
          <w:sz w:val="22"/>
          <w:szCs w:val="22"/>
          <w:highlight w:val="none"/>
          <w:lang w:val="en-US" w:eastAsia="zh-CN"/>
        </w:rPr>
        <w:t>温州市救助管理站</w:t>
      </w:r>
      <w:r>
        <w:rPr>
          <w:rFonts w:hint="eastAsia" w:ascii="新宋体" w:hAnsi="新宋体" w:eastAsia="新宋体" w:cs="新宋体"/>
          <w:b/>
          <w:color w:val="auto"/>
          <w:spacing w:val="0"/>
          <w:w w:val="90"/>
          <w:sz w:val="22"/>
          <w:szCs w:val="22"/>
          <w:highlight w:val="none"/>
          <w:lang w:eastAsia="zh-CN"/>
        </w:rPr>
        <w:t>站内救助服务</w:t>
      </w:r>
      <w:r>
        <w:rPr>
          <w:rFonts w:hint="eastAsia" w:ascii="新宋体" w:hAnsi="新宋体" w:eastAsia="新宋体" w:cs="新宋体"/>
          <w:b/>
          <w:color w:val="auto"/>
          <w:spacing w:val="0"/>
          <w:sz w:val="22"/>
          <w:szCs w:val="22"/>
          <w:highlight w:val="none"/>
        </w:rPr>
        <w:t>考核细则（保安</w:t>
      </w:r>
      <w:r>
        <w:rPr>
          <w:rFonts w:hint="eastAsia" w:ascii="新宋体" w:hAnsi="新宋体" w:eastAsia="新宋体" w:cs="新宋体"/>
          <w:b/>
          <w:color w:val="auto"/>
          <w:spacing w:val="0"/>
          <w:sz w:val="22"/>
          <w:szCs w:val="22"/>
          <w:highlight w:val="none"/>
          <w:lang w:eastAsia="zh-CN"/>
        </w:rPr>
        <w:t>服务</w:t>
      </w:r>
      <w:r>
        <w:rPr>
          <w:rFonts w:hint="eastAsia" w:ascii="新宋体" w:hAnsi="新宋体" w:eastAsia="新宋体" w:cs="新宋体"/>
          <w:b/>
          <w:color w:val="auto"/>
          <w:spacing w:val="0"/>
          <w:sz w:val="22"/>
          <w:szCs w:val="22"/>
          <w:highlight w:val="none"/>
        </w:rPr>
        <w:t>）</w:t>
      </w:r>
    </w:p>
    <w:tbl>
      <w:tblPr>
        <w:tblStyle w:val="65"/>
        <w:tblW w:w="9904" w:type="dxa"/>
        <w:jc w:val="center"/>
        <w:tblLayout w:type="fixed"/>
        <w:tblCellMar>
          <w:top w:w="28" w:type="dxa"/>
          <w:left w:w="15" w:type="dxa"/>
          <w:bottom w:w="28" w:type="dxa"/>
          <w:right w:w="15" w:type="dxa"/>
        </w:tblCellMar>
      </w:tblPr>
      <w:tblGrid>
        <w:gridCol w:w="484"/>
        <w:gridCol w:w="525"/>
        <w:gridCol w:w="6887"/>
        <w:gridCol w:w="2008"/>
      </w:tblGrid>
      <w:tr w14:paraId="10C2BEE4">
        <w:tblPrEx>
          <w:tblCellMar>
            <w:top w:w="28" w:type="dxa"/>
            <w:left w:w="15" w:type="dxa"/>
            <w:bottom w:w="28" w:type="dxa"/>
            <w:right w:w="15" w:type="dxa"/>
          </w:tblCellMar>
        </w:tblPrEx>
        <w:trPr>
          <w:trHeight w:val="379" w:hRule="atLeast"/>
          <w:jc w:val="center"/>
        </w:trPr>
        <w:tc>
          <w:tcPr>
            <w:tcW w:w="484" w:type="dxa"/>
            <w:tcBorders>
              <w:top w:val="single" w:color="auto" w:sz="4" w:space="0"/>
              <w:left w:val="single" w:color="000000" w:sz="4" w:space="0"/>
              <w:bottom w:val="single" w:color="000000" w:sz="4" w:space="0"/>
              <w:right w:val="single" w:color="000000" w:sz="4" w:space="0"/>
            </w:tcBorders>
            <w:noWrap w:val="0"/>
            <w:vAlign w:val="center"/>
          </w:tcPr>
          <w:p w14:paraId="1018237D">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序号</w:t>
            </w:r>
          </w:p>
        </w:tc>
        <w:tc>
          <w:tcPr>
            <w:tcW w:w="525" w:type="dxa"/>
            <w:tcBorders>
              <w:top w:val="single" w:color="auto" w:sz="4" w:space="0"/>
              <w:left w:val="single" w:color="000000" w:sz="4" w:space="0"/>
              <w:bottom w:val="single" w:color="000000" w:sz="4" w:space="0"/>
              <w:right w:val="single" w:color="000000" w:sz="4" w:space="0"/>
            </w:tcBorders>
            <w:noWrap w:val="0"/>
            <w:vAlign w:val="center"/>
          </w:tcPr>
          <w:p w14:paraId="52BE5FFE">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内容</w:t>
            </w:r>
          </w:p>
        </w:tc>
        <w:tc>
          <w:tcPr>
            <w:tcW w:w="6887" w:type="dxa"/>
            <w:tcBorders>
              <w:top w:val="single" w:color="auto" w:sz="4" w:space="0"/>
              <w:left w:val="single" w:color="000000" w:sz="4" w:space="0"/>
              <w:bottom w:val="single" w:color="000000" w:sz="4" w:space="0"/>
              <w:right w:val="single" w:color="000000" w:sz="4" w:space="0"/>
            </w:tcBorders>
            <w:noWrap w:val="0"/>
            <w:vAlign w:val="center"/>
          </w:tcPr>
          <w:p w14:paraId="6DFBEB70">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考   评   内   容</w:t>
            </w:r>
          </w:p>
        </w:tc>
        <w:tc>
          <w:tcPr>
            <w:tcW w:w="2008" w:type="dxa"/>
            <w:tcBorders>
              <w:top w:val="single" w:color="auto" w:sz="4" w:space="0"/>
              <w:left w:val="single" w:color="000000" w:sz="4" w:space="0"/>
              <w:bottom w:val="single" w:color="000000" w:sz="4" w:space="0"/>
              <w:right w:val="single" w:color="000000" w:sz="4" w:space="0"/>
            </w:tcBorders>
            <w:noWrap w:val="0"/>
            <w:vAlign w:val="center"/>
          </w:tcPr>
          <w:p w14:paraId="6BC8C310">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扣分标准</w:t>
            </w:r>
          </w:p>
        </w:tc>
      </w:tr>
      <w:tr w14:paraId="6F15462B">
        <w:tblPrEx>
          <w:tblCellMar>
            <w:top w:w="28" w:type="dxa"/>
            <w:left w:w="15" w:type="dxa"/>
            <w:bottom w:w="28" w:type="dxa"/>
            <w:right w:w="15" w:type="dxa"/>
          </w:tblCellMar>
        </w:tblPrEx>
        <w:trPr>
          <w:jc w:val="center"/>
        </w:trPr>
        <w:tc>
          <w:tcPr>
            <w:tcW w:w="484" w:type="dxa"/>
            <w:vMerge w:val="restart"/>
            <w:tcBorders>
              <w:top w:val="single" w:color="000000" w:sz="4" w:space="0"/>
              <w:left w:val="single" w:color="000000" w:sz="4" w:space="0"/>
              <w:right w:val="single" w:color="000000" w:sz="4" w:space="0"/>
            </w:tcBorders>
            <w:noWrap w:val="0"/>
            <w:vAlign w:val="center"/>
          </w:tcPr>
          <w:p w14:paraId="2C695427">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p>
        </w:tc>
        <w:tc>
          <w:tcPr>
            <w:tcW w:w="525" w:type="dxa"/>
            <w:vMerge w:val="restart"/>
            <w:tcBorders>
              <w:top w:val="single" w:color="000000" w:sz="4" w:space="0"/>
              <w:left w:val="single" w:color="000000" w:sz="4" w:space="0"/>
              <w:right w:val="single" w:color="000000" w:sz="4" w:space="0"/>
            </w:tcBorders>
            <w:noWrap w:val="0"/>
            <w:vAlign w:val="center"/>
          </w:tcPr>
          <w:p w14:paraId="02158D8C">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人员配备</w:t>
            </w:r>
          </w:p>
        </w:tc>
        <w:tc>
          <w:tcPr>
            <w:tcW w:w="6887" w:type="dxa"/>
            <w:tcBorders>
              <w:top w:val="single" w:color="000000" w:sz="4" w:space="0"/>
              <w:left w:val="single" w:color="000000" w:sz="4" w:space="0"/>
              <w:bottom w:val="single" w:color="000000" w:sz="4" w:space="0"/>
              <w:right w:val="single" w:color="000000" w:sz="4" w:space="0"/>
            </w:tcBorders>
            <w:noWrap w:val="0"/>
            <w:vAlign w:val="center"/>
          </w:tcPr>
          <w:p w14:paraId="315DE47B">
            <w:pPr>
              <w:keepNext w:val="0"/>
              <w:keepLines w:val="0"/>
              <w:pageBreakBefore w:val="0"/>
              <w:widowControl/>
              <w:kinsoku/>
              <w:wordWrap/>
              <w:overflowPunct/>
              <w:topLinePunct w:val="0"/>
              <w:bidi w:val="0"/>
              <w:spacing w:line="460" w:lineRule="exac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人员、岗位配置合理，配备的人员符合有关用工规定，满足岗位要求，应持证的持证上岗；整个队伍保持稳定，人员流动率小于</w:t>
            </w:r>
            <w:r>
              <w:rPr>
                <w:rFonts w:hint="eastAsia" w:ascii="新宋体" w:hAnsi="新宋体" w:eastAsia="新宋体" w:cs="新宋体"/>
                <w:color w:val="auto"/>
                <w:kern w:val="0"/>
                <w:sz w:val="22"/>
                <w:szCs w:val="22"/>
                <w:highlight w:val="none"/>
                <w:lang w:val="en-US" w:eastAsia="zh-CN"/>
              </w:rPr>
              <w:t>5</w:t>
            </w:r>
            <w:r>
              <w:rPr>
                <w:rFonts w:hint="eastAsia" w:ascii="新宋体" w:hAnsi="新宋体" w:eastAsia="新宋体" w:cs="新宋体"/>
                <w:color w:val="auto"/>
                <w:kern w:val="0"/>
                <w:sz w:val="22"/>
                <w:szCs w:val="22"/>
                <w:highlight w:val="none"/>
              </w:rPr>
              <w:t>0%/年；</w:t>
            </w:r>
          </w:p>
        </w:tc>
        <w:tc>
          <w:tcPr>
            <w:tcW w:w="2008" w:type="dxa"/>
            <w:vMerge w:val="restart"/>
            <w:tcBorders>
              <w:top w:val="single" w:color="000000" w:sz="4" w:space="0"/>
              <w:left w:val="single" w:color="000000" w:sz="4" w:space="0"/>
              <w:right w:val="single" w:color="000000" w:sz="4" w:space="0"/>
            </w:tcBorders>
            <w:noWrap w:val="0"/>
            <w:vAlign w:val="center"/>
          </w:tcPr>
          <w:p w14:paraId="198B2B57">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每发现一例扣</w:t>
            </w:r>
            <w:r>
              <w:rPr>
                <w:rFonts w:hint="eastAsia" w:ascii="新宋体" w:hAnsi="新宋体" w:eastAsia="新宋体" w:cs="新宋体"/>
                <w:color w:val="auto"/>
                <w:sz w:val="22"/>
                <w:szCs w:val="22"/>
                <w:highlight w:val="none"/>
                <w:lang w:val="en-US" w:eastAsia="zh-CN"/>
              </w:rPr>
              <w:t>0.5</w:t>
            </w:r>
            <w:r>
              <w:rPr>
                <w:rFonts w:hint="eastAsia" w:ascii="新宋体" w:hAnsi="新宋体" w:eastAsia="新宋体" w:cs="新宋体"/>
                <w:color w:val="auto"/>
                <w:sz w:val="22"/>
                <w:szCs w:val="22"/>
                <w:highlight w:val="none"/>
              </w:rPr>
              <w:t>分</w:t>
            </w:r>
          </w:p>
        </w:tc>
      </w:tr>
      <w:tr w14:paraId="5A2D037D">
        <w:tblPrEx>
          <w:tblCellMar>
            <w:top w:w="28" w:type="dxa"/>
            <w:left w:w="15" w:type="dxa"/>
            <w:bottom w:w="28" w:type="dxa"/>
            <w:right w:w="15" w:type="dxa"/>
          </w:tblCellMar>
        </w:tblPrEx>
        <w:trPr>
          <w:jc w:val="center"/>
        </w:trPr>
        <w:tc>
          <w:tcPr>
            <w:tcW w:w="484" w:type="dxa"/>
            <w:vMerge w:val="continue"/>
            <w:tcBorders>
              <w:top w:val="single" w:color="000000" w:sz="4" w:space="0"/>
              <w:left w:val="single" w:color="000000" w:sz="4" w:space="0"/>
              <w:right w:val="single" w:color="000000" w:sz="4" w:space="0"/>
            </w:tcBorders>
            <w:noWrap w:val="0"/>
            <w:vAlign w:val="center"/>
          </w:tcPr>
          <w:p w14:paraId="014396AA">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525" w:type="dxa"/>
            <w:vMerge w:val="continue"/>
            <w:tcBorders>
              <w:top w:val="single" w:color="000000" w:sz="4" w:space="0"/>
              <w:left w:val="single" w:color="000000" w:sz="4" w:space="0"/>
              <w:right w:val="single" w:color="000000" w:sz="4" w:space="0"/>
            </w:tcBorders>
            <w:noWrap w:val="0"/>
            <w:vAlign w:val="center"/>
          </w:tcPr>
          <w:p w14:paraId="1FE0BE32">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6887" w:type="dxa"/>
            <w:tcBorders>
              <w:top w:val="single" w:color="000000" w:sz="4" w:space="0"/>
              <w:left w:val="single" w:color="000000" w:sz="4" w:space="0"/>
              <w:bottom w:val="single" w:color="000000" w:sz="4" w:space="0"/>
              <w:right w:val="single" w:color="000000" w:sz="4" w:space="0"/>
            </w:tcBorders>
            <w:noWrap w:val="0"/>
            <w:vAlign w:val="center"/>
          </w:tcPr>
          <w:p w14:paraId="7EF378AE">
            <w:pPr>
              <w:keepNext w:val="0"/>
              <w:keepLines w:val="0"/>
              <w:pageBreakBefore w:val="0"/>
              <w:widowControl/>
              <w:kinsoku/>
              <w:wordWrap/>
              <w:overflowPunct/>
              <w:topLinePunct w:val="0"/>
              <w:bidi w:val="0"/>
              <w:spacing w:line="460" w:lineRule="exac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消控人员经政审合格，持证上岗，了解设备工作原理，能处理一些简单问题，熟悉掌握操作规程，及时消除故障；</w:t>
            </w:r>
          </w:p>
        </w:tc>
        <w:tc>
          <w:tcPr>
            <w:tcW w:w="2008" w:type="dxa"/>
            <w:vMerge w:val="continue"/>
            <w:tcBorders>
              <w:left w:val="single" w:color="000000" w:sz="4" w:space="0"/>
              <w:right w:val="single" w:color="000000" w:sz="4" w:space="0"/>
            </w:tcBorders>
            <w:noWrap w:val="0"/>
            <w:vAlign w:val="center"/>
          </w:tcPr>
          <w:p w14:paraId="2C43F4BF">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r w14:paraId="45A7377F">
        <w:tblPrEx>
          <w:tblCellMar>
            <w:top w:w="28" w:type="dxa"/>
            <w:left w:w="15" w:type="dxa"/>
            <w:bottom w:w="28" w:type="dxa"/>
            <w:right w:w="15" w:type="dxa"/>
          </w:tblCellMar>
        </w:tblPrEx>
        <w:trPr>
          <w:jc w:val="center"/>
        </w:trPr>
        <w:tc>
          <w:tcPr>
            <w:tcW w:w="484" w:type="dxa"/>
            <w:vMerge w:val="continue"/>
            <w:tcBorders>
              <w:top w:val="single" w:color="000000" w:sz="4" w:space="0"/>
              <w:left w:val="single" w:color="000000" w:sz="4" w:space="0"/>
              <w:right w:val="single" w:color="000000" w:sz="4" w:space="0"/>
            </w:tcBorders>
            <w:noWrap w:val="0"/>
            <w:vAlign w:val="center"/>
          </w:tcPr>
          <w:p w14:paraId="06E8A979">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525" w:type="dxa"/>
            <w:vMerge w:val="continue"/>
            <w:tcBorders>
              <w:top w:val="single" w:color="000000" w:sz="4" w:space="0"/>
              <w:left w:val="single" w:color="000000" w:sz="4" w:space="0"/>
              <w:right w:val="single" w:color="000000" w:sz="4" w:space="0"/>
            </w:tcBorders>
            <w:noWrap w:val="0"/>
            <w:vAlign w:val="center"/>
          </w:tcPr>
          <w:p w14:paraId="2C3BC681">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6887" w:type="dxa"/>
            <w:tcBorders>
              <w:top w:val="single" w:color="000000" w:sz="4" w:space="0"/>
              <w:left w:val="single" w:color="000000" w:sz="4" w:space="0"/>
              <w:bottom w:val="single" w:color="000000" w:sz="4" w:space="0"/>
              <w:right w:val="single" w:color="000000" w:sz="4" w:space="0"/>
            </w:tcBorders>
            <w:noWrap w:val="0"/>
            <w:vAlign w:val="center"/>
          </w:tcPr>
          <w:p w14:paraId="32B6A49F">
            <w:pPr>
              <w:keepNext w:val="0"/>
              <w:keepLines w:val="0"/>
              <w:pageBreakBefore w:val="0"/>
              <w:widowControl/>
              <w:kinsoku/>
              <w:wordWrap/>
              <w:overflowPunct/>
              <w:topLinePunct w:val="0"/>
              <w:bidi w:val="0"/>
              <w:spacing w:line="460" w:lineRule="exac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年龄在22—</w:t>
            </w:r>
            <w:r>
              <w:rPr>
                <w:rFonts w:hint="eastAsia" w:ascii="新宋体" w:hAnsi="新宋体" w:eastAsia="新宋体" w:cs="新宋体"/>
                <w:color w:val="auto"/>
                <w:kern w:val="0"/>
                <w:sz w:val="22"/>
                <w:szCs w:val="22"/>
                <w:highlight w:val="none"/>
                <w:lang w:val="en-US" w:eastAsia="zh-CN"/>
              </w:rPr>
              <w:t>55</w:t>
            </w:r>
            <w:r>
              <w:rPr>
                <w:rFonts w:hint="eastAsia" w:ascii="新宋体" w:hAnsi="新宋体" w:eastAsia="新宋体" w:cs="新宋体"/>
                <w:color w:val="auto"/>
                <w:kern w:val="0"/>
                <w:sz w:val="22"/>
                <w:szCs w:val="22"/>
                <w:highlight w:val="none"/>
              </w:rPr>
              <w:t>岁之间，控制男女比例，女性占比不超过40%；</w:t>
            </w:r>
          </w:p>
        </w:tc>
        <w:tc>
          <w:tcPr>
            <w:tcW w:w="2008" w:type="dxa"/>
            <w:vMerge w:val="continue"/>
            <w:tcBorders>
              <w:left w:val="single" w:color="000000" w:sz="4" w:space="0"/>
              <w:right w:val="single" w:color="000000" w:sz="4" w:space="0"/>
            </w:tcBorders>
            <w:noWrap w:val="0"/>
            <w:vAlign w:val="center"/>
          </w:tcPr>
          <w:p w14:paraId="62844C4C">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r w14:paraId="32A3481D">
        <w:tblPrEx>
          <w:tblCellMar>
            <w:top w:w="28" w:type="dxa"/>
            <w:left w:w="15" w:type="dxa"/>
            <w:bottom w:w="28" w:type="dxa"/>
            <w:right w:w="15" w:type="dxa"/>
          </w:tblCellMar>
        </w:tblPrEx>
        <w:trPr>
          <w:jc w:val="center"/>
        </w:trPr>
        <w:tc>
          <w:tcPr>
            <w:tcW w:w="484" w:type="dxa"/>
            <w:vMerge w:val="restart"/>
            <w:tcBorders>
              <w:top w:val="single" w:color="000000" w:sz="4" w:space="0"/>
              <w:left w:val="single" w:color="000000" w:sz="4" w:space="0"/>
              <w:bottom w:val="single" w:color="000000" w:sz="4" w:space="0"/>
              <w:right w:val="single" w:color="000000" w:sz="4" w:space="0"/>
            </w:tcBorders>
            <w:noWrap w:val="0"/>
            <w:vAlign w:val="center"/>
          </w:tcPr>
          <w:p w14:paraId="035C2519">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w:t>
            </w:r>
          </w:p>
        </w:tc>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3D9F06D">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制度建设</w:t>
            </w:r>
          </w:p>
        </w:tc>
        <w:tc>
          <w:tcPr>
            <w:tcW w:w="6887" w:type="dxa"/>
            <w:tcBorders>
              <w:top w:val="single" w:color="000000" w:sz="4" w:space="0"/>
              <w:left w:val="single" w:color="000000" w:sz="4" w:space="0"/>
              <w:bottom w:val="single" w:color="000000" w:sz="4" w:space="0"/>
              <w:right w:val="single" w:color="000000" w:sz="4" w:space="0"/>
            </w:tcBorders>
            <w:noWrap w:val="0"/>
            <w:vAlign w:val="center"/>
          </w:tcPr>
          <w:p w14:paraId="1B9179C0">
            <w:pPr>
              <w:keepNext w:val="0"/>
              <w:keepLines w:val="0"/>
              <w:pageBreakBefore w:val="0"/>
              <w:widowControl/>
              <w:kinsoku/>
              <w:wordWrap/>
              <w:overflowPunct/>
              <w:topLinePunct w:val="0"/>
              <w:bidi w:val="0"/>
              <w:spacing w:line="460" w:lineRule="exac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消防安全管理、巡逻检查、门卫管理、车辆管理、秩序管理等制度完善；</w:t>
            </w:r>
          </w:p>
        </w:tc>
        <w:tc>
          <w:tcPr>
            <w:tcW w:w="2008" w:type="dxa"/>
            <w:vMerge w:val="restart"/>
            <w:tcBorders>
              <w:top w:val="single" w:color="000000" w:sz="4" w:space="0"/>
              <w:left w:val="single" w:color="000000" w:sz="4" w:space="0"/>
              <w:right w:val="single" w:color="000000" w:sz="4" w:space="0"/>
            </w:tcBorders>
            <w:noWrap w:val="0"/>
            <w:vAlign w:val="center"/>
          </w:tcPr>
          <w:p w14:paraId="62E05F3B">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每发现一例扣</w:t>
            </w:r>
            <w:r>
              <w:rPr>
                <w:rFonts w:hint="eastAsia" w:ascii="新宋体" w:hAnsi="新宋体" w:eastAsia="新宋体" w:cs="新宋体"/>
                <w:color w:val="auto"/>
                <w:sz w:val="22"/>
                <w:szCs w:val="22"/>
                <w:highlight w:val="none"/>
                <w:lang w:val="en-US" w:eastAsia="zh-CN"/>
              </w:rPr>
              <w:t>0.5</w:t>
            </w:r>
            <w:r>
              <w:rPr>
                <w:rFonts w:hint="eastAsia" w:ascii="新宋体" w:hAnsi="新宋体" w:eastAsia="新宋体" w:cs="新宋体"/>
                <w:color w:val="auto"/>
                <w:sz w:val="22"/>
                <w:szCs w:val="22"/>
                <w:highlight w:val="none"/>
              </w:rPr>
              <w:t>分</w:t>
            </w:r>
          </w:p>
        </w:tc>
      </w:tr>
      <w:tr w14:paraId="4ED21D1F">
        <w:tblPrEx>
          <w:tblCellMar>
            <w:top w:w="28" w:type="dxa"/>
            <w:left w:w="15" w:type="dxa"/>
            <w:bottom w:w="28" w:type="dxa"/>
            <w:right w:w="15" w:type="dxa"/>
          </w:tblCellMar>
        </w:tblPrEx>
        <w:trPr>
          <w:trHeight w:val="445" w:hRule="atLeast"/>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0EF854">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0179FB">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6887" w:type="dxa"/>
            <w:tcBorders>
              <w:top w:val="single" w:color="000000" w:sz="4" w:space="0"/>
              <w:left w:val="single" w:color="000000" w:sz="4" w:space="0"/>
              <w:bottom w:val="single" w:color="000000" w:sz="4" w:space="0"/>
              <w:right w:val="single" w:color="000000" w:sz="4" w:space="0"/>
            </w:tcBorders>
            <w:noWrap w:val="0"/>
            <w:vAlign w:val="center"/>
          </w:tcPr>
          <w:p w14:paraId="3F678A8E">
            <w:pPr>
              <w:keepNext w:val="0"/>
              <w:keepLines w:val="0"/>
              <w:pageBreakBefore w:val="0"/>
              <w:widowControl/>
              <w:kinsoku/>
              <w:wordWrap/>
              <w:overflowPunct/>
              <w:topLinePunct w:val="0"/>
              <w:bidi w:val="0"/>
              <w:spacing w:line="460" w:lineRule="exac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管理人员分工明确、合理，岗位职责明确，落实到位，能根据实际情况和要求对制度进行更新；</w:t>
            </w:r>
          </w:p>
        </w:tc>
        <w:tc>
          <w:tcPr>
            <w:tcW w:w="2008" w:type="dxa"/>
            <w:vMerge w:val="continue"/>
            <w:tcBorders>
              <w:left w:val="single" w:color="000000" w:sz="4" w:space="0"/>
              <w:right w:val="single" w:color="000000" w:sz="4" w:space="0"/>
            </w:tcBorders>
            <w:noWrap w:val="0"/>
            <w:vAlign w:val="center"/>
          </w:tcPr>
          <w:p w14:paraId="2EDCA526">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r w14:paraId="4D0857BF">
        <w:tblPrEx>
          <w:tblCellMar>
            <w:top w:w="28" w:type="dxa"/>
            <w:left w:w="15" w:type="dxa"/>
            <w:bottom w:w="28" w:type="dxa"/>
            <w:right w:w="15" w:type="dxa"/>
          </w:tblCellMar>
        </w:tblPrEx>
        <w:trPr>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16FAE6">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0B97D9">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6887" w:type="dxa"/>
            <w:tcBorders>
              <w:top w:val="single" w:color="000000" w:sz="4" w:space="0"/>
              <w:left w:val="single" w:color="000000" w:sz="4" w:space="0"/>
              <w:bottom w:val="single" w:color="000000" w:sz="4" w:space="0"/>
              <w:right w:val="single" w:color="000000" w:sz="4" w:space="0"/>
            </w:tcBorders>
            <w:noWrap w:val="0"/>
            <w:vAlign w:val="center"/>
          </w:tcPr>
          <w:p w14:paraId="5C49B2E8">
            <w:pPr>
              <w:keepNext w:val="0"/>
              <w:keepLines w:val="0"/>
              <w:pageBreakBefore w:val="0"/>
              <w:widowControl/>
              <w:kinsoku/>
              <w:wordWrap/>
              <w:overflowPunct/>
              <w:topLinePunct w:val="0"/>
              <w:bidi w:val="0"/>
              <w:spacing w:line="460" w:lineRule="exac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人员守则、纪律、权限、保密制度完善；</w:t>
            </w:r>
          </w:p>
        </w:tc>
        <w:tc>
          <w:tcPr>
            <w:tcW w:w="2008" w:type="dxa"/>
            <w:vMerge w:val="continue"/>
            <w:tcBorders>
              <w:left w:val="single" w:color="000000" w:sz="4" w:space="0"/>
              <w:right w:val="single" w:color="000000" w:sz="4" w:space="0"/>
            </w:tcBorders>
            <w:noWrap w:val="0"/>
            <w:vAlign w:val="center"/>
          </w:tcPr>
          <w:p w14:paraId="42110413">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r w14:paraId="21559BC5">
        <w:tblPrEx>
          <w:tblCellMar>
            <w:top w:w="28" w:type="dxa"/>
            <w:left w:w="15" w:type="dxa"/>
            <w:bottom w:w="28" w:type="dxa"/>
            <w:right w:w="15" w:type="dxa"/>
          </w:tblCellMar>
        </w:tblPrEx>
        <w:trPr>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751BB9">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2F600E">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6887" w:type="dxa"/>
            <w:tcBorders>
              <w:top w:val="single" w:color="000000" w:sz="4" w:space="0"/>
              <w:left w:val="single" w:color="000000" w:sz="4" w:space="0"/>
              <w:bottom w:val="single" w:color="000000" w:sz="4" w:space="0"/>
              <w:right w:val="single" w:color="000000" w:sz="4" w:space="0"/>
            </w:tcBorders>
            <w:noWrap w:val="0"/>
            <w:vAlign w:val="center"/>
          </w:tcPr>
          <w:p w14:paraId="64DE3770">
            <w:pPr>
              <w:keepNext w:val="0"/>
              <w:keepLines w:val="0"/>
              <w:pageBreakBefore w:val="0"/>
              <w:widowControl/>
              <w:kinsoku/>
              <w:wordWrap/>
              <w:overflowPunct/>
              <w:topLinePunct w:val="0"/>
              <w:bidi w:val="0"/>
              <w:spacing w:line="460" w:lineRule="exac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交接班制度、考勤制度、物资管理制度完善，记录齐全；</w:t>
            </w:r>
          </w:p>
        </w:tc>
        <w:tc>
          <w:tcPr>
            <w:tcW w:w="2008" w:type="dxa"/>
            <w:vMerge w:val="continue"/>
            <w:tcBorders>
              <w:left w:val="single" w:color="000000" w:sz="4" w:space="0"/>
              <w:right w:val="single" w:color="000000" w:sz="4" w:space="0"/>
            </w:tcBorders>
            <w:noWrap w:val="0"/>
            <w:vAlign w:val="center"/>
          </w:tcPr>
          <w:p w14:paraId="01CFEE6D">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r w14:paraId="4CDE9A05">
        <w:tblPrEx>
          <w:tblCellMar>
            <w:top w:w="28" w:type="dxa"/>
            <w:left w:w="15" w:type="dxa"/>
            <w:bottom w:w="28" w:type="dxa"/>
            <w:right w:w="15" w:type="dxa"/>
          </w:tblCellMar>
        </w:tblPrEx>
        <w:trPr>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800576">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9811C6">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6887" w:type="dxa"/>
            <w:tcBorders>
              <w:top w:val="single" w:color="000000" w:sz="4" w:space="0"/>
              <w:left w:val="single" w:color="000000" w:sz="4" w:space="0"/>
              <w:bottom w:val="single" w:color="000000" w:sz="4" w:space="0"/>
              <w:right w:val="single" w:color="000000" w:sz="4" w:space="0"/>
            </w:tcBorders>
            <w:noWrap w:val="0"/>
            <w:vAlign w:val="center"/>
          </w:tcPr>
          <w:p w14:paraId="38E6AEE4">
            <w:pPr>
              <w:keepNext w:val="0"/>
              <w:keepLines w:val="0"/>
              <w:pageBreakBefore w:val="0"/>
              <w:widowControl/>
              <w:kinsoku/>
              <w:wordWrap/>
              <w:overflowPunct/>
              <w:topLinePunct w:val="0"/>
              <w:bidi w:val="0"/>
              <w:spacing w:line="460" w:lineRule="exact"/>
              <w:textAlignment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消控室制度、监控室制度、电视监控系统的维护管理制度完善；</w:t>
            </w:r>
          </w:p>
        </w:tc>
        <w:tc>
          <w:tcPr>
            <w:tcW w:w="2008" w:type="dxa"/>
            <w:vMerge w:val="continue"/>
            <w:tcBorders>
              <w:left w:val="single" w:color="000000" w:sz="4" w:space="0"/>
              <w:bottom w:val="single" w:color="000000" w:sz="4" w:space="0"/>
              <w:right w:val="single" w:color="000000" w:sz="4" w:space="0"/>
            </w:tcBorders>
            <w:noWrap w:val="0"/>
            <w:vAlign w:val="center"/>
          </w:tcPr>
          <w:p w14:paraId="77D9C12E">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r w14:paraId="6E72D31F">
        <w:tblPrEx>
          <w:tblCellMar>
            <w:top w:w="28" w:type="dxa"/>
            <w:left w:w="15" w:type="dxa"/>
            <w:bottom w:w="28" w:type="dxa"/>
            <w:right w:w="15" w:type="dxa"/>
          </w:tblCellMar>
        </w:tblPrEx>
        <w:trPr>
          <w:jc w:val="center"/>
        </w:trPr>
        <w:tc>
          <w:tcPr>
            <w:tcW w:w="484" w:type="dxa"/>
            <w:vMerge w:val="restart"/>
            <w:tcBorders>
              <w:top w:val="single" w:color="000000" w:sz="4" w:space="0"/>
              <w:left w:val="single" w:color="000000" w:sz="4" w:space="0"/>
              <w:bottom w:val="single" w:color="000000" w:sz="4" w:space="0"/>
              <w:right w:val="single" w:color="000000" w:sz="4" w:space="0"/>
            </w:tcBorders>
            <w:noWrap w:val="0"/>
            <w:vAlign w:val="center"/>
          </w:tcPr>
          <w:p w14:paraId="2E190652">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3</w:t>
            </w:r>
          </w:p>
        </w:tc>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CC8FB78">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管理质效</w:t>
            </w:r>
          </w:p>
        </w:tc>
        <w:tc>
          <w:tcPr>
            <w:tcW w:w="6887" w:type="dxa"/>
            <w:tcBorders>
              <w:top w:val="single" w:color="000000" w:sz="4" w:space="0"/>
              <w:left w:val="single" w:color="000000" w:sz="4" w:space="0"/>
              <w:bottom w:val="single" w:color="000000" w:sz="4" w:space="0"/>
              <w:right w:val="single" w:color="000000" w:sz="4" w:space="0"/>
            </w:tcBorders>
            <w:noWrap w:val="0"/>
            <w:vAlign w:val="center"/>
          </w:tcPr>
          <w:p w14:paraId="5ED76327">
            <w:pPr>
              <w:keepNext w:val="0"/>
              <w:keepLines w:val="0"/>
              <w:pageBreakBefore w:val="0"/>
              <w:widowControl/>
              <w:kinsoku/>
              <w:wordWrap/>
              <w:overflowPunct/>
              <w:topLinePunct w:val="0"/>
              <w:bidi w:val="0"/>
              <w:spacing w:line="460" w:lineRule="exact"/>
              <w:textAlignment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每一个队员熟悉各项制度，尤其是与自身岗位相关的制度；</w:t>
            </w:r>
          </w:p>
        </w:tc>
        <w:tc>
          <w:tcPr>
            <w:tcW w:w="2008" w:type="dxa"/>
            <w:vMerge w:val="restart"/>
            <w:tcBorders>
              <w:top w:val="single" w:color="000000" w:sz="4" w:space="0"/>
              <w:left w:val="single" w:color="000000" w:sz="4" w:space="0"/>
              <w:right w:val="single" w:color="000000" w:sz="4" w:space="0"/>
            </w:tcBorders>
            <w:noWrap w:val="0"/>
            <w:vAlign w:val="center"/>
          </w:tcPr>
          <w:p w14:paraId="3F4B2830">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每发现一例扣</w:t>
            </w:r>
            <w:r>
              <w:rPr>
                <w:rFonts w:hint="eastAsia" w:ascii="新宋体" w:hAnsi="新宋体" w:eastAsia="新宋体" w:cs="新宋体"/>
                <w:color w:val="auto"/>
                <w:sz w:val="22"/>
                <w:szCs w:val="22"/>
                <w:highlight w:val="none"/>
                <w:lang w:val="en-US" w:eastAsia="zh-CN"/>
              </w:rPr>
              <w:t>0.5</w:t>
            </w:r>
            <w:r>
              <w:rPr>
                <w:rFonts w:hint="eastAsia" w:ascii="新宋体" w:hAnsi="新宋体" w:eastAsia="新宋体" w:cs="新宋体"/>
                <w:color w:val="auto"/>
                <w:sz w:val="22"/>
                <w:szCs w:val="22"/>
                <w:highlight w:val="none"/>
              </w:rPr>
              <w:t>分</w:t>
            </w:r>
          </w:p>
        </w:tc>
      </w:tr>
      <w:tr w14:paraId="4F460CBC">
        <w:tblPrEx>
          <w:tblCellMar>
            <w:top w:w="28" w:type="dxa"/>
            <w:left w:w="15" w:type="dxa"/>
            <w:bottom w:w="28" w:type="dxa"/>
            <w:right w:w="15" w:type="dxa"/>
          </w:tblCellMar>
        </w:tblPrEx>
        <w:trPr>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1F8C4B">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618882">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6887" w:type="dxa"/>
            <w:tcBorders>
              <w:top w:val="single" w:color="000000" w:sz="4" w:space="0"/>
              <w:left w:val="single" w:color="000000" w:sz="4" w:space="0"/>
              <w:bottom w:val="single" w:color="000000" w:sz="4" w:space="0"/>
              <w:right w:val="single" w:color="000000" w:sz="4" w:space="0"/>
            </w:tcBorders>
            <w:noWrap w:val="0"/>
            <w:vAlign w:val="center"/>
          </w:tcPr>
          <w:p w14:paraId="2F7FAE1D">
            <w:pPr>
              <w:keepNext w:val="0"/>
              <w:keepLines w:val="0"/>
              <w:pageBreakBefore w:val="0"/>
              <w:widowControl/>
              <w:kinsoku/>
              <w:wordWrap/>
              <w:overflowPunct/>
              <w:topLinePunct w:val="0"/>
              <w:bidi w:val="0"/>
              <w:spacing w:line="460" w:lineRule="exac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各类登记本记录完整、清晰、准确，各类台帐齐完；</w:t>
            </w:r>
          </w:p>
        </w:tc>
        <w:tc>
          <w:tcPr>
            <w:tcW w:w="2008" w:type="dxa"/>
            <w:vMerge w:val="continue"/>
            <w:tcBorders>
              <w:left w:val="single" w:color="000000" w:sz="4" w:space="0"/>
              <w:right w:val="single" w:color="000000" w:sz="4" w:space="0"/>
            </w:tcBorders>
            <w:noWrap w:val="0"/>
            <w:vAlign w:val="center"/>
          </w:tcPr>
          <w:p w14:paraId="25F45FD5">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r w14:paraId="69242AAC">
        <w:tblPrEx>
          <w:tblCellMar>
            <w:top w:w="28" w:type="dxa"/>
            <w:left w:w="15" w:type="dxa"/>
            <w:bottom w:w="28" w:type="dxa"/>
            <w:right w:w="15" w:type="dxa"/>
          </w:tblCellMar>
        </w:tblPrEx>
        <w:trPr>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5AE8E7">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0CC885">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6887" w:type="dxa"/>
            <w:tcBorders>
              <w:top w:val="single" w:color="000000" w:sz="4" w:space="0"/>
              <w:left w:val="single" w:color="000000" w:sz="4" w:space="0"/>
              <w:bottom w:val="single" w:color="000000" w:sz="4" w:space="0"/>
              <w:right w:val="single" w:color="000000" w:sz="4" w:space="0"/>
            </w:tcBorders>
            <w:noWrap w:val="0"/>
            <w:vAlign w:val="center"/>
          </w:tcPr>
          <w:p w14:paraId="3DF45FA2">
            <w:pPr>
              <w:keepNext w:val="0"/>
              <w:keepLines w:val="0"/>
              <w:pageBreakBefore w:val="0"/>
              <w:widowControl/>
              <w:kinsoku/>
              <w:wordWrap/>
              <w:overflowPunct/>
              <w:topLinePunct w:val="0"/>
              <w:bidi w:val="0"/>
              <w:spacing w:line="460" w:lineRule="exac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保安人员各项教育、专业技能培训有计划进行，落实到位，有成效；</w:t>
            </w:r>
          </w:p>
        </w:tc>
        <w:tc>
          <w:tcPr>
            <w:tcW w:w="2008" w:type="dxa"/>
            <w:vMerge w:val="continue"/>
            <w:tcBorders>
              <w:left w:val="single" w:color="000000" w:sz="4" w:space="0"/>
              <w:right w:val="single" w:color="000000" w:sz="4" w:space="0"/>
            </w:tcBorders>
            <w:noWrap w:val="0"/>
            <w:vAlign w:val="center"/>
          </w:tcPr>
          <w:p w14:paraId="1D2572A3">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r w14:paraId="47E5E5E0">
        <w:tblPrEx>
          <w:tblCellMar>
            <w:top w:w="28" w:type="dxa"/>
            <w:left w:w="15" w:type="dxa"/>
            <w:bottom w:w="28" w:type="dxa"/>
            <w:right w:w="15" w:type="dxa"/>
          </w:tblCellMar>
        </w:tblPrEx>
        <w:trPr>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1177A5">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BEB351">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6887" w:type="dxa"/>
            <w:tcBorders>
              <w:top w:val="single" w:color="000000" w:sz="4" w:space="0"/>
              <w:left w:val="single" w:color="000000" w:sz="4" w:space="0"/>
              <w:bottom w:val="single" w:color="000000" w:sz="4" w:space="0"/>
              <w:right w:val="single" w:color="000000" w:sz="4" w:space="0"/>
            </w:tcBorders>
            <w:noWrap w:val="0"/>
            <w:vAlign w:val="center"/>
          </w:tcPr>
          <w:p w14:paraId="79CF0125">
            <w:pPr>
              <w:keepNext w:val="0"/>
              <w:keepLines w:val="0"/>
              <w:pageBreakBefore w:val="0"/>
              <w:widowControl/>
              <w:kinsoku/>
              <w:wordWrap/>
              <w:overflowPunct/>
              <w:topLinePunct w:val="0"/>
              <w:bidi w:val="0"/>
              <w:spacing w:line="460" w:lineRule="exac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穿着统一的制服及许可装饰品，需经审核同意；装备设施良好，满足要求；</w:t>
            </w:r>
          </w:p>
        </w:tc>
        <w:tc>
          <w:tcPr>
            <w:tcW w:w="2008" w:type="dxa"/>
            <w:vMerge w:val="continue"/>
            <w:tcBorders>
              <w:left w:val="single" w:color="000000" w:sz="4" w:space="0"/>
              <w:right w:val="single" w:color="000000" w:sz="4" w:space="0"/>
            </w:tcBorders>
            <w:noWrap w:val="0"/>
            <w:vAlign w:val="center"/>
          </w:tcPr>
          <w:p w14:paraId="5C31B759">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r w14:paraId="63C8D6DF">
        <w:tblPrEx>
          <w:tblCellMar>
            <w:top w:w="28" w:type="dxa"/>
            <w:left w:w="15" w:type="dxa"/>
            <w:bottom w:w="28" w:type="dxa"/>
            <w:right w:w="15" w:type="dxa"/>
          </w:tblCellMar>
        </w:tblPrEx>
        <w:trPr>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5BD62B">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6BE3D9">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6887" w:type="dxa"/>
            <w:tcBorders>
              <w:top w:val="single" w:color="000000" w:sz="4" w:space="0"/>
              <w:left w:val="single" w:color="000000" w:sz="4" w:space="0"/>
              <w:bottom w:val="single" w:color="000000" w:sz="4" w:space="0"/>
              <w:right w:val="single" w:color="000000" w:sz="4" w:space="0"/>
            </w:tcBorders>
            <w:noWrap w:val="0"/>
            <w:vAlign w:val="center"/>
          </w:tcPr>
          <w:p w14:paraId="153F2BB3">
            <w:pPr>
              <w:keepNext w:val="0"/>
              <w:keepLines w:val="0"/>
              <w:pageBreakBefore w:val="0"/>
              <w:widowControl/>
              <w:kinsoku/>
              <w:wordWrap/>
              <w:overflowPunct/>
              <w:topLinePunct w:val="0"/>
              <w:bidi w:val="0"/>
              <w:spacing w:line="460" w:lineRule="exac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人员进出、工资备案及时，重要人事变动要提前报备；</w:t>
            </w:r>
          </w:p>
        </w:tc>
        <w:tc>
          <w:tcPr>
            <w:tcW w:w="2008" w:type="dxa"/>
            <w:vMerge w:val="continue"/>
            <w:tcBorders>
              <w:left w:val="single" w:color="000000" w:sz="4" w:space="0"/>
              <w:right w:val="single" w:color="000000" w:sz="4" w:space="0"/>
            </w:tcBorders>
            <w:noWrap w:val="0"/>
            <w:vAlign w:val="center"/>
          </w:tcPr>
          <w:p w14:paraId="3DE5D722">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r w14:paraId="5D02AA29">
        <w:tblPrEx>
          <w:tblCellMar>
            <w:top w:w="28" w:type="dxa"/>
            <w:left w:w="15" w:type="dxa"/>
            <w:bottom w:w="28" w:type="dxa"/>
            <w:right w:w="15" w:type="dxa"/>
          </w:tblCellMar>
        </w:tblPrEx>
        <w:trPr>
          <w:trHeight w:val="213" w:hRule="atLeast"/>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885383">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A6F075">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6887" w:type="dxa"/>
            <w:tcBorders>
              <w:top w:val="single" w:color="000000" w:sz="4" w:space="0"/>
              <w:left w:val="single" w:color="000000" w:sz="4" w:space="0"/>
              <w:bottom w:val="single" w:color="000000" w:sz="4" w:space="0"/>
              <w:right w:val="single" w:color="000000" w:sz="4" w:space="0"/>
            </w:tcBorders>
            <w:noWrap w:val="0"/>
            <w:vAlign w:val="center"/>
          </w:tcPr>
          <w:p w14:paraId="1CDA9E9F">
            <w:pPr>
              <w:keepNext w:val="0"/>
              <w:keepLines w:val="0"/>
              <w:pageBreakBefore w:val="0"/>
              <w:widowControl/>
              <w:kinsoku/>
              <w:wordWrap/>
              <w:overflowPunct/>
              <w:topLinePunct w:val="0"/>
              <w:bidi w:val="0"/>
              <w:spacing w:line="460" w:lineRule="exac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定期向队员了解工作意见和建议，向业主汇报工作，对发现问题及时处理并上报，形成畅通的沟通渠道；</w:t>
            </w:r>
          </w:p>
        </w:tc>
        <w:tc>
          <w:tcPr>
            <w:tcW w:w="2008" w:type="dxa"/>
            <w:vMerge w:val="continue"/>
            <w:tcBorders>
              <w:left w:val="single" w:color="000000" w:sz="4" w:space="0"/>
              <w:right w:val="single" w:color="000000" w:sz="4" w:space="0"/>
            </w:tcBorders>
            <w:noWrap w:val="0"/>
            <w:vAlign w:val="center"/>
          </w:tcPr>
          <w:p w14:paraId="16C3F825">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r w14:paraId="2F62EF6C">
        <w:tblPrEx>
          <w:tblCellMar>
            <w:top w:w="28" w:type="dxa"/>
            <w:left w:w="15" w:type="dxa"/>
            <w:bottom w:w="28" w:type="dxa"/>
            <w:right w:w="15" w:type="dxa"/>
          </w:tblCellMar>
        </w:tblPrEx>
        <w:trPr>
          <w:trHeight w:val="377" w:hRule="atLeast"/>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85EFC4">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A382C8">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6887" w:type="dxa"/>
            <w:tcBorders>
              <w:top w:val="single" w:color="000000" w:sz="4" w:space="0"/>
              <w:left w:val="single" w:color="000000" w:sz="4" w:space="0"/>
              <w:bottom w:val="single" w:color="000000" w:sz="4" w:space="0"/>
              <w:right w:val="single" w:color="000000" w:sz="4" w:space="0"/>
            </w:tcBorders>
            <w:noWrap w:val="0"/>
            <w:vAlign w:val="center"/>
          </w:tcPr>
          <w:p w14:paraId="7EEBA1D3">
            <w:pPr>
              <w:keepNext w:val="0"/>
              <w:keepLines w:val="0"/>
              <w:pageBreakBefore w:val="0"/>
              <w:widowControl/>
              <w:kinsoku/>
              <w:wordWrap/>
              <w:overflowPunct/>
              <w:topLinePunct w:val="0"/>
              <w:bidi w:val="0"/>
              <w:spacing w:line="460" w:lineRule="exac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遇突发事件或安全检查时，积极配合有关部门执行任务，并指定专职人员协助工作，直至完成任务；</w:t>
            </w:r>
          </w:p>
        </w:tc>
        <w:tc>
          <w:tcPr>
            <w:tcW w:w="2008" w:type="dxa"/>
            <w:vMerge w:val="continue"/>
            <w:tcBorders>
              <w:left w:val="single" w:color="000000" w:sz="4" w:space="0"/>
              <w:right w:val="single" w:color="000000" w:sz="4" w:space="0"/>
            </w:tcBorders>
            <w:noWrap w:val="0"/>
            <w:vAlign w:val="center"/>
          </w:tcPr>
          <w:p w14:paraId="7A668C4A">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r w14:paraId="5DDED3B3">
        <w:tblPrEx>
          <w:tblCellMar>
            <w:top w:w="28" w:type="dxa"/>
            <w:left w:w="15" w:type="dxa"/>
            <w:bottom w:w="28" w:type="dxa"/>
            <w:right w:w="15" w:type="dxa"/>
          </w:tblCellMar>
        </w:tblPrEx>
        <w:trPr>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8E39E8">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A0BC73">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6887" w:type="dxa"/>
            <w:tcBorders>
              <w:top w:val="single" w:color="000000" w:sz="4" w:space="0"/>
              <w:left w:val="single" w:color="000000" w:sz="4" w:space="0"/>
              <w:bottom w:val="single" w:color="000000" w:sz="4" w:space="0"/>
              <w:right w:val="single" w:color="000000" w:sz="4" w:space="0"/>
            </w:tcBorders>
            <w:noWrap w:val="0"/>
            <w:vAlign w:val="center"/>
          </w:tcPr>
          <w:p w14:paraId="71C8A1EF">
            <w:pPr>
              <w:keepNext w:val="0"/>
              <w:keepLines w:val="0"/>
              <w:pageBreakBefore w:val="0"/>
              <w:widowControl/>
              <w:kinsoku/>
              <w:wordWrap/>
              <w:overflowPunct/>
              <w:topLinePunct w:val="0"/>
              <w:bidi w:val="0"/>
              <w:spacing w:line="460" w:lineRule="exac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管理层以身作则，经常性开展认真检查和指导，发现问题及时整改或报告；</w:t>
            </w:r>
          </w:p>
        </w:tc>
        <w:tc>
          <w:tcPr>
            <w:tcW w:w="2008" w:type="dxa"/>
            <w:vMerge w:val="continue"/>
            <w:tcBorders>
              <w:left w:val="single" w:color="000000" w:sz="4" w:space="0"/>
              <w:right w:val="single" w:color="000000" w:sz="4" w:space="0"/>
            </w:tcBorders>
            <w:noWrap w:val="0"/>
            <w:vAlign w:val="center"/>
          </w:tcPr>
          <w:p w14:paraId="5ED53E6E">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r w14:paraId="030FC542">
        <w:tblPrEx>
          <w:tblCellMar>
            <w:top w:w="28" w:type="dxa"/>
            <w:left w:w="15" w:type="dxa"/>
            <w:bottom w:w="28" w:type="dxa"/>
            <w:right w:w="15" w:type="dxa"/>
          </w:tblCellMar>
        </w:tblPrEx>
        <w:trPr>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E54D48">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B1DF65">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6887" w:type="dxa"/>
            <w:tcBorders>
              <w:top w:val="single" w:color="000000" w:sz="4" w:space="0"/>
              <w:left w:val="single" w:color="000000" w:sz="4" w:space="0"/>
              <w:bottom w:val="single" w:color="000000" w:sz="4" w:space="0"/>
              <w:right w:val="single" w:color="000000" w:sz="4" w:space="0"/>
            </w:tcBorders>
            <w:noWrap w:val="0"/>
            <w:vAlign w:val="center"/>
          </w:tcPr>
          <w:p w14:paraId="04028A88">
            <w:pPr>
              <w:keepNext w:val="0"/>
              <w:keepLines w:val="0"/>
              <w:pageBreakBefore w:val="0"/>
              <w:widowControl/>
              <w:kinsoku/>
              <w:wordWrap/>
              <w:overflowPunct/>
              <w:topLinePunct w:val="0"/>
              <w:bidi w:val="0"/>
              <w:spacing w:line="460" w:lineRule="exac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有稳定有效的提升人员素质的考核激励办法和具体措施，履行、落实到位；</w:t>
            </w:r>
          </w:p>
        </w:tc>
        <w:tc>
          <w:tcPr>
            <w:tcW w:w="2008" w:type="dxa"/>
            <w:vMerge w:val="continue"/>
            <w:tcBorders>
              <w:left w:val="single" w:color="000000" w:sz="4" w:space="0"/>
              <w:bottom w:val="single" w:color="000000" w:sz="4" w:space="0"/>
              <w:right w:val="single" w:color="000000" w:sz="4" w:space="0"/>
            </w:tcBorders>
            <w:noWrap w:val="0"/>
            <w:vAlign w:val="center"/>
          </w:tcPr>
          <w:p w14:paraId="27A5F2F9">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r w14:paraId="463B34DF">
        <w:tblPrEx>
          <w:tblCellMar>
            <w:top w:w="28" w:type="dxa"/>
            <w:left w:w="15" w:type="dxa"/>
            <w:bottom w:w="28" w:type="dxa"/>
            <w:right w:w="15" w:type="dxa"/>
          </w:tblCellMar>
        </w:tblPrEx>
        <w:trPr>
          <w:jc w:val="center"/>
        </w:trPr>
        <w:tc>
          <w:tcPr>
            <w:tcW w:w="484" w:type="dxa"/>
            <w:vMerge w:val="restart"/>
            <w:tcBorders>
              <w:top w:val="single" w:color="000000" w:sz="4" w:space="0"/>
              <w:left w:val="single" w:color="000000" w:sz="4" w:space="0"/>
              <w:bottom w:val="single" w:color="000000" w:sz="4" w:space="0"/>
              <w:right w:val="single" w:color="000000" w:sz="4" w:space="0"/>
            </w:tcBorders>
            <w:noWrap w:val="0"/>
            <w:vAlign w:val="center"/>
          </w:tcPr>
          <w:p w14:paraId="4B612027">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4</w:t>
            </w:r>
          </w:p>
        </w:tc>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97BB05A">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日常服务情况</w:t>
            </w:r>
          </w:p>
        </w:tc>
        <w:tc>
          <w:tcPr>
            <w:tcW w:w="6887" w:type="dxa"/>
            <w:tcBorders>
              <w:top w:val="single" w:color="000000" w:sz="4" w:space="0"/>
              <w:left w:val="single" w:color="000000" w:sz="4" w:space="0"/>
              <w:bottom w:val="single" w:color="000000" w:sz="4" w:space="0"/>
              <w:right w:val="single" w:color="000000" w:sz="4" w:space="0"/>
            </w:tcBorders>
            <w:noWrap w:val="0"/>
            <w:vAlign w:val="center"/>
          </w:tcPr>
          <w:p w14:paraId="266E5747">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管理区域内工作生活秩序正常；</w:t>
            </w:r>
          </w:p>
        </w:tc>
        <w:tc>
          <w:tcPr>
            <w:tcW w:w="2008" w:type="dxa"/>
            <w:vMerge w:val="restart"/>
            <w:tcBorders>
              <w:top w:val="single" w:color="000000" w:sz="4" w:space="0"/>
              <w:left w:val="single" w:color="000000" w:sz="4" w:space="0"/>
              <w:right w:val="single" w:color="000000" w:sz="4" w:space="0"/>
            </w:tcBorders>
            <w:noWrap w:val="0"/>
            <w:vAlign w:val="center"/>
          </w:tcPr>
          <w:p w14:paraId="725FB558">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每发现一例扣</w:t>
            </w:r>
            <w:r>
              <w:rPr>
                <w:rFonts w:hint="eastAsia" w:ascii="新宋体" w:hAnsi="新宋体" w:eastAsia="新宋体" w:cs="新宋体"/>
                <w:color w:val="auto"/>
                <w:sz w:val="22"/>
                <w:szCs w:val="22"/>
                <w:highlight w:val="none"/>
                <w:lang w:val="en-US" w:eastAsia="zh-CN"/>
              </w:rPr>
              <w:t>0.5</w:t>
            </w:r>
            <w:r>
              <w:rPr>
                <w:rFonts w:hint="eastAsia" w:ascii="新宋体" w:hAnsi="新宋体" w:eastAsia="新宋体" w:cs="新宋体"/>
                <w:color w:val="auto"/>
                <w:sz w:val="22"/>
                <w:szCs w:val="22"/>
                <w:highlight w:val="none"/>
              </w:rPr>
              <w:t>分</w:t>
            </w:r>
          </w:p>
        </w:tc>
      </w:tr>
      <w:tr w14:paraId="52816A72">
        <w:tblPrEx>
          <w:tblCellMar>
            <w:top w:w="28" w:type="dxa"/>
            <w:left w:w="15" w:type="dxa"/>
            <w:bottom w:w="28" w:type="dxa"/>
            <w:right w:w="15" w:type="dxa"/>
          </w:tblCellMar>
        </w:tblPrEx>
        <w:trPr>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77E4C8">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6AA1BC">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6887" w:type="dxa"/>
            <w:tcBorders>
              <w:top w:val="single" w:color="000000" w:sz="4" w:space="0"/>
              <w:left w:val="single" w:color="000000" w:sz="4" w:space="0"/>
              <w:bottom w:val="single" w:color="000000" w:sz="4" w:space="0"/>
              <w:right w:val="single" w:color="000000" w:sz="4" w:space="0"/>
            </w:tcBorders>
            <w:noWrap w:val="0"/>
            <w:vAlign w:val="center"/>
          </w:tcPr>
          <w:p w14:paraId="6A3B2D36">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监控工作到位，按时做好消防巡查，消防装置完好；</w:t>
            </w:r>
          </w:p>
        </w:tc>
        <w:tc>
          <w:tcPr>
            <w:tcW w:w="2008" w:type="dxa"/>
            <w:vMerge w:val="continue"/>
            <w:tcBorders>
              <w:left w:val="single" w:color="000000" w:sz="4" w:space="0"/>
              <w:right w:val="single" w:color="000000" w:sz="4" w:space="0"/>
            </w:tcBorders>
            <w:noWrap w:val="0"/>
            <w:vAlign w:val="center"/>
          </w:tcPr>
          <w:p w14:paraId="65CAA457">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r w14:paraId="7F86EBA0">
        <w:tblPrEx>
          <w:tblCellMar>
            <w:top w:w="28" w:type="dxa"/>
            <w:left w:w="15" w:type="dxa"/>
            <w:bottom w:w="28" w:type="dxa"/>
            <w:right w:w="15" w:type="dxa"/>
          </w:tblCellMar>
        </w:tblPrEx>
        <w:trPr>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0529A6">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D68B9A">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6887" w:type="dxa"/>
            <w:tcBorders>
              <w:top w:val="single" w:color="000000" w:sz="4" w:space="0"/>
              <w:left w:val="single" w:color="000000" w:sz="4" w:space="0"/>
              <w:bottom w:val="single" w:color="000000" w:sz="4" w:space="0"/>
              <w:right w:val="single" w:color="000000" w:sz="4" w:space="0"/>
            </w:tcBorders>
            <w:noWrap w:val="0"/>
            <w:vAlign w:val="center"/>
          </w:tcPr>
          <w:p w14:paraId="0706459F">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维持停车库（场）秩序良好；</w:t>
            </w:r>
          </w:p>
        </w:tc>
        <w:tc>
          <w:tcPr>
            <w:tcW w:w="2008" w:type="dxa"/>
            <w:vMerge w:val="continue"/>
            <w:tcBorders>
              <w:left w:val="single" w:color="000000" w:sz="4" w:space="0"/>
              <w:right w:val="single" w:color="000000" w:sz="4" w:space="0"/>
            </w:tcBorders>
            <w:noWrap w:val="0"/>
            <w:vAlign w:val="center"/>
          </w:tcPr>
          <w:p w14:paraId="3AFC0E1F">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r w14:paraId="3BC7C791">
        <w:tblPrEx>
          <w:tblCellMar>
            <w:top w:w="28" w:type="dxa"/>
            <w:left w:w="15" w:type="dxa"/>
            <w:bottom w:w="28" w:type="dxa"/>
            <w:right w:w="15" w:type="dxa"/>
          </w:tblCellMar>
        </w:tblPrEx>
        <w:trPr>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F28FAA">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6F68F0">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6887" w:type="dxa"/>
            <w:tcBorders>
              <w:top w:val="single" w:color="000000" w:sz="4" w:space="0"/>
              <w:left w:val="single" w:color="000000" w:sz="4" w:space="0"/>
              <w:bottom w:val="single" w:color="000000" w:sz="4" w:space="0"/>
              <w:right w:val="single" w:color="000000" w:sz="4" w:space="0"/>
            </w:tcBorders>
            <w:noWrap w:val="0"/>
            <w:vAlign w:val="center"/>
          </w:tcPr>
          <w:p w14:paraId="25BA67A2">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人员、车辆及物资出入管理，</w:t>
            </w:r>
            <w:r>
              <w:rPr>
                <w:rFonts w:hint="eastAsia" w:ascii="新宋体" w:hAnsi="新宋体" w:eastAsia="新宋体" w:cs="新宋体"/>
                <w:color w:val="auto"/>
                <w:kern w:val="0"/>
                <w:sz w:val="22"/>
                <w:szCs w:val="22"/>
                <w:highlight w:val="none"/>
                <w:lang w:val="en-US" w:eastAsia="zh-CN"/>
              </w:rPr>
              <w:t>站</w:t>
            </w:r>
            <w:r>
              <w:rPr>
                <w:rFonts w:hint="eastAsia" w:ascii="新宋体" w:hAnsi="新宋体" w:eastAsia="新宋体" w:cs="新宋体"/>
                <w:color w:val="auto"/>
                <w:kern w:val="0"/>
                <w:sz w:val="22"/>
                <w:szCs w:val="22"/>
                <w:highlight w:val="none"/>
              </w:rPr>
              <w:t>内重要部位和附属设备的安全管理到位；</w:t>
            </w:r>
          </w:p>
        </w:tc>
        <w:tc>
          <w:tcPr>
            <w:tcW w:w="2008" w:type="dxa"/>
            <w:vMerge w:val="continue"/>
            <w:tcBorders>
              <w:left w:val="single" w:color="000000" w:sz="4" w:space="0"/>
              <w:right w:val="single" w:color="000000" w:sz="4" w:space="0"/>
            </w:tcBorders>
            <w:noWrap w:val="0"/>
            <w:vAlign w:val="center"/>
          </w:tcPr>
          <w:p w14:paraId="48A5A24C">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r w14:paraId="042D224C">
        <w:tblPrEx>
          <w:tblCellMar>
            <w:top w:w="28" w:type="dxa"/>
            <w:left w:w="15" w:type="dxa"/>
            <w:bottom w:w="28" w:type="dxa"/>
            <w:right w:w="15" w:type="dxa"/>
          </w:tblCellMar>
        </w:tblPrEx>
        <w:trPr>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13C003">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1EF7EF">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6887" w:type="dxa"/>
            <w:tcBorders>
              <w:top w:val="single" w:color="000000" w:sz="4" w:space="0"/>
              <w:left w:val="single" w:color="000000" w:sz="4" w:space="0"/>
              <w:bottom w:val="single" w:color="000000" w:sz="4" w:space="0"/>
              <w:right w:val="single" w:color="000000" w:sz="4" w:space="0"/>
            </w:tcBorders>
            <w:noWrap w:val="0"/>
            <w:vAlign w:val="center"/>
          </w:tcPr>
          <w:p w14:paraId="04F63648">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服务良好，执勤文明，廉洁自律；</w:t>
            </w:r>
          </w:p>
        </w:tc>
        <w:tc>
          <w:tcPr>
            <w:tcW w:w="2008" w:type="dxa"/>
            <w:vMerge w:val="continue"/>
            <w:tcBorders>
              <w:left w:val="single" w:color="000000" w:sz="4" w:space="0"/>
              <w:right w:val="single" w:color="000000" w:sz="4" w:space="0"/>
            </w:tcBorders>
            <w:noWrap w:val="0"/>
            <w:vAlign w:val="center"/>
          </w:tcPr>
          <w:p w14:paraId="783DED20">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r w14:paraId="7D3EFE03">
        <w:tblPrEx>
          <w:tblCellMar>
            <w:top w:w="28" w:type="dxa"/>
            <w:left w:w="15" w:type="dxa"/>
            <w:bottom w:w="28" w:type="dxa"/>
            <w:right w:w="15" w:type="dxa"/>
          </w:tblCellMar>
        </w:tblPrEx>
        <w:trPr>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7665CC">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EFEF56">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6887" w:type="dxa"/>
            <w:tcBorders>
              <w:top w:val="single" w:color="000000" w:sz="4" w:space="0"/>
              <w:left w:val="single" w:color="000000" w:sz="4" w:space="0"/>
              <w:bottom w:val="single" w:color="000000" w:sz="4" w:space="0"/>
              <w:right w:val="single" w:color="000000" w:sz="4" w:space="0"/>
            </w:tcBorders>
            <w:noWrap w:val="0"/>
            <w:vAlign w:val="center"/>
          </w:tcPr>
          <w:p w14:paraId="782672E9">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及时、出色的完成业主交办的临时性任务；</w:t>
            </w:r>
          </w:p>
        </w:tc>
        <w:tc>
          <w:tcPr>
            <w:tcW w:w="2008" w:type="dxa"/>
            <w:vMerge w:val="continue"/>
            <w:tcBorders>
              <w:left w:val="single" w:color="000000" w:sz="4" w:space="0"/>
              <w:right w:val="single" w:color="000000" w:sz="4" w:space="0"/>
            </w:tcBorders>
            <w:noWrap w:val="0"/>
            <w:vAlign w:val="center"/>
          </w:tcPr>
          <w:p w14:paraId="4F4AB9C4">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r w14:paraId="5419B58F">
        <w:tblPrEx>
          <w:tblCellMar>
            <w:top w:w="28" w:type="dxa"/>
            <w:left w:w="15" w:type="dxa"/>
            <w:bottom w:w="28" w:type="dxa"/>
            <w:right w:w="15" w:type="dxa"/>
          </w:tblCellMar>
        </w:tblPrEx>
        <w:trPr>
          <w:trHeight w:val="257" w:hRule="atLeast"/>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C4DA40">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7AA364">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6887" w:type="dxa"/>
            <w:tcBorders>
              <w:top w:val="single" w:color="000000" w:sz="4" w:space="0"/>
              <w:left w:val="single" w:color="000000" w:sz="4" w:space="0"/>
              <w:bottom w:val="single" w:color="000000" w:sz="4" w:space="0"/>
              <w:right w:val="single" w:color="000000" w:sz="4" w:space="0"/>
            </w:tcBorders>
            <w:noWrap w:val="0"/>
            <w:vAlign w:val="center"/>
          </w:tcPr>
          <w:p w14:paraId="0D42C4F3">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意外突发事件处置和报告正确、及时，避免或减少损失、危害，能堵截、防范案件、事故；</w:t>
            </w:r>
          </w:p>
        </w:tc>
        <w:tc>
          <w:tcPr>
            <w:tcW w:w="2008" w:type="dxa"/>
            <w:vMerge w:val="continue"/>
            <w:tcBorders>
              <w:left w:val="single" w:color="000000" w:sz="4" w:space="0"/>
              <w:bottom w:val="single" w:color="000000" w:sz="4" w:space="0"/>
              <w:right w:val="single" w:color="000000" w:sz="4" w:space="0"/>
            </w:tcBorders>
            <w:noWrap w:val="0"/>
            <w:vAlign w:val="center"/>
          </w:tcPr>
          <w:p w14:paraId="69F5D452">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r w14:paraId="48E9BD19">
        <w:tblPrEx>
          <w:tblCellMar>
            <w:top w:w="28" w:type="dxa"/>
            <w:left w:w="15" w:type="dxa"/>
            <w:bottom w:w="28" w:type="dxa"/>
            <w:right w:w="15" w:type="dxa"/>
          </w:tblCellMar>
        </w:tblPrEx>
        <w:trPr>
          <w:trHeight w:val="257" w:hRule="atLeast"/>
          <w:jc w:val="center"/>
        </w:trPr>
        <w:tc>
          <w:tcPr>
            <w:tcW w:w="484" w:type="dxa"/>
            <w:vMerge w:val="continue"/>
            <w:tcBorders>
              <w:left w:val="single" w:color="000000" w:sz="4" w:space="0"/>
              <w:bottom w:val="single" w:color="000000" w:sz="4" w:space="0"/>
              <w:right w:val="single" w:color="000000" w:sz="4" w:space="0"/>
            </w:tcBorders>
            <w:noWrap w:val="0"/>
            <w:vAlign w:val="center"/>
          </w:tcPr>
          <w:p w14:paraId="697AD1DD">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rPr>
            </w:pPr>
          </w:p>
        </w:tc>
        <w:tc>
          <w:tcPr>
            <w:tcW w:w="525" w:type="dxa"/>
            <w:vMerge w:val="continue"/>
            <w:tcBorders>
              <w:left w:val="single" w:color="000000" w:sz="4" w:space="0"/>
              <w:bottom w:val="single" w:color="000000" w:sz="4" w:space="0"/>
              <w:right w:val="single" w:color="000000" w:sz="4" w:space="0"/>
            </w:tcBorders>
            <w:noWrap w:val="0"/>
            <w:vAlign w:val="center"/>
          </w:tcPr>
          <w:p w14:paraId="03F3E429">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rPr>
            </w:pPr>
          </w:p>
        </w:tc>
        <w:tc>
          <w:tcPr>
            <w:tcW w:w="6887" w:type="dxa"/>
            <w:tcBorders>
              <w:top w:val="single" w:color="000000" w:sz="4" w:space="0"/>
              <w:left w:val="single" w:color="000000" w:sz="4" w:space="0"/>
              <w:bottom w:val="single" w:color="000000" w:sz="4" w:space="0"/>
              <w:right w:val="single" w:color="000000" w:sz="4" w:space="0"/>
            </w:tcBorders>
            <w:noWrap w:val="0"/>
            <w:vAlign w:val="center"/>
          </w:tcPr>
          <w:p w14:paraId="601F1A66">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监视监控、日常巡查、消防管理等日常管理到位的；</w:t>
            </w:r>
          </w:p>
        </w:tc>
        <w:tc>
          <w:tcPr>
            <w:tcW w:w="2008" w:type="dxa"/>
            <w:vMerge w:val="continue"/>
            <w:tcBorders>
              <w:left w:val="single" w:color="000000" w:sz="4" w:space="0"/>
              <w:bottom w:val="single" w:color="000000" w:sz="4" w:space="0"/>
              <w:right w:val="single" w:color="000000" w:sz="4" w:space="0"/>
            </w:tcBorders>
            <w:noWrap w:val="0"/>
            <w:vAlign w:val="center"/>
          </w:tcPr>
          <w:p w14:paraId="7F89589D">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kern w:val="0"/>
                <w:sz w:val="22"/>
                <w:szCs w:val="22"/>
                <w:highlight w:val="none"/>
              </w:rPr>
            </w:pPr>
          </w:p>
        </w:tc>
      </w:tr>
      <w:tr w14:paraId="2A460AA9">
        <w:tblPrEx>
          <w:tblCellMar>
            <w:top w:w="28" w:type="dxa"/>
            <w:left w:w="15" w:type="dxa"/>
            <w:bottom w:w="28" w:type="dxa"/>
            <w:right w:w="15" w:type="dxa"/>
          </w:tblCellMar>
        </w:tblPrEx>
        <w:trPr>
          <w:trHeight w:val="431" w:hRule="atLeast"/>
          <w:jc w:val="center"/>
        </w:trPr>
        <w:tc>
          <w:tcPr>
            <w:tcW w:w="9904" w:type="dxa"/>
            <w:gridSpan w:val="4"/>
            <w:tcBorders>
              <w:top w:val="single" w:color="000000" w:sz="4" w:space="0"/>
              <w:left w:val="single" w:color="000000" w:sz="4" w:space="0"/>
              <w:bottom w:val="single" w:color="000000" w:sz="4" w:space="0"/>
              <w:right w:val="single" w:color="000000" w:sz="4" w:space="0"/>
            </w:tcBorders>
            <w:noWrap w:val="0"/>
            <w:vAlign w:val="center"/>
          </w:tcPr>
          <w:p w14:paraId="5C08AABC">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总分值</w:t>
            </w:r>
            <w:r>
              <w:rPr>
                <w:rFonts w:hint="eastAsia" w:ascii="新宋体" w:hAnsi="新宋体" w:eastAsia="新宋体" w:cs="新宋体"/>
                <w:color w:val="auto"/>
                <w:kern w:val="0"/>
                <w:sz w:val="22"/>
                <w:szCs w:val="22"/>
                <w:highlight w:val="none"/>
                <w:lang w:val="en-US" w:eastAsia="zh-CN"/>
              </w:rPr>
              <w:t>20</w:t>
            </w:r>
            <w:r>
              <w:rPr>
                <w:rFonts w:hint="eastAsia" w:ascii="新宋体" w:hAnsi="新宋体" w:eastAsia="新宋体" w:cs="新宋体"/>
                <w:color w:val="auto"/>
                <w:kern w:val="0"/>
                <w:sz w:val="22"/>
                <w:szCs w:val="22"/>
                <w:highlight w:val="none"/>
              </w:rPr>
              <w:t>分，每发现一个不符合项，扣1分。</w:t>
            </w:r>
          </w:p>
        </w:tc>
      </w:tr>
    </w:tbl>
    <w:p w14:paraId="0A63BB71">
      <w:pPr>
        <w:keepNext w:val="0"/>
        <w:keepLines w:val="0"/>
        <w:pageBreakBefore w:val="0"/>
        <w:kinsoku/>
        <w:wordWrap/>
        <w:overflowPunct/>
        <w:topLinePunct w:val="0"/>
        <w:bidi w:val="0"/>
        <w:adjustRightInd w:val="0"/>
        <w:spacing w:line="460" w:lineRule="exact"/>
        <w:outlineLvl w:val="9"/>
        <w:rPr>
          <w:rFonts w:hint="eastAsia" w:ascii="新宋体" w:hAnsi="新宋体" w:eastAsia="新宋体" w:cs="新宋体"/>
          <w:bCs/>
          <w:color w:val="auto"/>
          <w:kern w:val="0"/>
          <w:sz w:val="22"/>
          <w:szCs w:val="22"/>
          <w:highlight w:val="none"/>
        </w:rPr>
      </w:pPr>
    </w:p>
    <w:p w14:paraId="49776112">
      <w:pPr>
        <w:keepNext w:val="0"/>
        <w:keepLines w:val="0"/>
        <w:pageBreakBefore w:val="0"/>
        <w:kinsoku/>
        <w:wordWrap/>
        <w:overflowPunct/>
        <w:topLinePunct w:val="0"/>
        <w:bidi w:val="0"/>
        <w:adjustRightInd w:val="0"/>
        <w:spacing w:line="460" w:lineRule="exact"/>
        <w:jc w:val="left"/>
        <w:outlineLvl w:val="9"/>
        <w:rPr>
          <w:rFonts w:hint="default"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Cs/>
          <w:color w:val="auto"/>
          <w:kern w:val="0"/>
          <w:sz w:val="22"/>
          <w:szCs w:val="22"/>
          <w:highlight w:val="none"/>
        </w:rPr>
        <w:br w:type="page"/>
      </w:r>
      <w:r>
        <w:rPr>
          <w:rFonts w:hint="eastAsia" w:ascii="新宋体" w:hAnsi="新宋体" w:eastAsia="新宋体" w:cs="新宋体"/>
          <w:b w:val="0"/>
          <w:bCs w:val="0"/>
          <w:color w:val="auto"/>
          <w:sz w:val="22"/>
          <w:szCs w:val="22"/>
          <w:highlight w:val="none"/>
          <w:lang w:val="en-US" w:eastAsia="zh-CN"/>
        </w:rPr>
        <w:t>表5：</w:t>
      </w:r>
    </w:p>
    <w:p w14:paraId="4A697703">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温州市救助管理站站内救助服务考核细则（生活照料服务）</w:t>
      </w:r>
    </w:p>
    <w:tbl>
      <w:tblPr>
        <w:tblStyle w:val="65"/>
        <w:tblW w:w="9940" w:type="dxa"/>
        <w:tblInd w:w="0" w:type="dxa"/>
        <w:tblLayout w:type="fixed"/>
        <w:tblCellMar>
          <w:top w:w="15" w:type="dxa"/>
          <w:left w:w="15" w:type="dxa"/>
          <w:bottom w:w="15" w:type="dxa"/>
          <w:right w:w="15" w:type="dxa"/>
        </w:tblCellMar>
      </w:tblPr>
      <w:tblGrid>
        <w:gridCol w:w="563"/>
        <w:gridCol w:w="744"/>
        <w:gridCol w:w="6733"/>
        <w:gridCol w:w="1900"/>
      </w:tblGrid>
      <w:tr w14:paraId="5E5D30FB">
        <w:tblPrEx>
          <w:tblCellMar>
            <w:top w:w="15" w:type="dxa"/>
            <w:left w:w="15" w:type="dxa"/>
            <w:bottom w:w="15" w:type="dxa"/>
            <w:right w:w="15" w:type="dxa"/>
          </w:tblCellMar>
        </w:tblPrEx>
        <w:trPr>
          <w:trHeight w:val="513" w:hRule="atLeast"/>
        </w:trPr>
        <w:tc>
          <w:tcPr>
            <w:tcW w:w="563" w:type="dxa"/>
            <w:tcBorders>
              <w:top w:val="single" w:color="000000" w:sz="4" w:space="0"/>
              <w:left w:val="single" w:color="000000" w:sz="4" w:space="0"/>
              <w:bottom w:val="single" w:color="000000" w:sz="4" w:space="0"/>
              <w:right w:val="single" w:color="000000" w:sz="4" w:space="0"/>
            </w:tcBorders>
            <w:noWrap w:val="0"/>
            <w:vAlign w:val="center"/>
          </w:tcPr>
          <w:p w14:paraId="58ACAC69">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序号</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B63F0B2">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内容</w:t>
            </w:r>
          </w:p>
        </w:tc>
        <w:tc>
          <w:tcPr>
            <w:tcW w:w="6733" w:type="dxa"/>
            <w:tcBorders>
              <w:top w:val="single" w:color="000000" w:sz="4" w:space="0"/>
              <w:left w:val="single" w:color="000000" w:sz="4" w:space="0"/>
              <w:bottom w:val="single" w:color="000000" w:sz="4" w:space="0"/>
              <w:right w:val="single" w:color="000000" w:sz="4" w:space="0"/>
            </w:tcBorders>
            <w:noWrap w:val="0"/>
            <w:vAlign w:val="center"/>
          </w:tcPr>
          <w:p w14:paraId="57A8E93E">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考   评   内   容</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72C4024A">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扣分标准</w:t>
            </w:r>
          </w:p>
        </w:tc>
      </w:tr>
      <w:tr w14:paraId="7035CCAB">
        <w:tblPrEx>
          <w:tblCellMar>
            <w:top w:w="15" w:type="dxa"/>
            <w:left w:w="15" w:type="dxa"/>
            <w:bottom w:w="15" w:type="dxa"/>
            <w:right w:w="15" w:type="dxa"/>
          </w:tblCellMar>
        </w:tblPrEx>
        <w:trPr>
          <w:trHeight w:val="774" w:hRule="atLeast"/>
        </w:trPr>
        <w:tc>
          <w:tcPr>
            <w:tcW w:w="563" w:type="dxa"/>
            <w:tcBorders>
              <w:top w:val="single" w:color="000000" w:sz="4" w:space="0"/>
              <w:left w:val="single" w:color="000000" w:sz="4" w:space="0"/>
              <w:bottom w:val="single" w:color="000000" w:sz="4" w:space="0"/>
              <w:right w:val="single" w:color="000000" w:sz="4" w:space="0"/>
            </w:tcBorders>
            <w:noWrap w:val="0"/>
            <w:vAlign w:val="center"/>
          </w:tcPr>
          <w:p w14:paraId="3B1D65E5">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3CD000F">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个人卫生</w:t>
            </w:r>
          </w:p>
        </w:tc>
        <w:tc>
          <w:tcPr>
            <w:tcW w:w="6733" w:type="dxa"/>
            <w:tcBorders>
              <w:top w:val="single" w:color="000000" w:sz="4" w:space="0"/>
              <w:left w:val="single" w:color="000000" w:sz="4" w:space="0"/>
              <w:bottom w:val="single" w:color="000000" w:sz="4" w:space="0"/>
              <w:right w:val="single" w:color="000000" w:sz="4" w:space="0"/>
            </w:tcBorders>
            <w:noWrap w:val="0"/>
            <w:vAlign w:val="center"/>
          </w:tcPr>
          <w:p w14:paraId="311DE691">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服务人员</w:t>
            </w:r>
            <w:r>
              <w:rPr>
                <w:rFonts w:hint="eastAsia" w:ascii="新宋体" w:hAnsi="新宋体" w:eastAsia="新宋体" w:cs="新宋体"/>
                <w:color w:val="auto"/>
                <w:sz w:val="22"/>
                <w:szCs w:val="22"/>
                <w:highlight w:val="none"/>
              </w:rPr>
              <w:t>指（趾）甲未及时修剪、脸部有</w:t>
            </w:r>
            <w:r>
              <w:rPr>
                <w:rFonts w:hint="eastAsia" w:ascii="新宋体" w:hAnsi="新宋体" w:eastAsia="新宋体" w:cs="新宋体"/>
                <w:color w:val="auto"/>
                <w:sz w:val="22"/>
                <w:szCs w:val="22"/>
                <w:highlight w:val="none"/>
                <w:lang w:val="en-US" w:eastAsia="zh-CN"/>
              </w:rPr>
              <w:t>眼屎</w:t>
            </w:r>
            <w:r>
              <w:rPr>
                <w:rFonts w:hint="eastAsia" w:ascii="新宋体" w:hAnsi="新宋体" w:eastAsia="新宋体" w:cs="新宋体"/>
                <w:color w:val="auto"/>
                <w:sz w:val="22"/>
                <w:szCs w:val="22"/>
                <w:highlight w:val="none"/>
              </w:rPr>
              <w:t>、流鼻涕、蓄胡须、未及时洗澡、有异味</w:t>
            </w:r>
          </w:p>
        </w:tc>
        <w:tc>
          <w:tcPr>
            <w:tcW w:w="1900" w:type="dxa"/>
            <w:vMerge w:val="restart"/>
            <w:tcBorders>
              <w:top w:val="single" w:color="000000" w:sz="4" w:space="0"/>
              <w:left w:val="single" w:color="000000" w:sz="4" w:space="0"/>
              <w:right w:val="single" w:color="000000" w:sz="4" w:space="0"/>
            </w:tcBorders>
            <w:noWrap w:val="0"/>
            <w:vAlign w:val="center"/>
          </w:tcPr>
          <w:p w14:paraId="3D2A399E">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每发现一例扣</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w:t>
            </w:r>
          </w:p>
        </w:tc>
      </w:tr>
      <w:tr w14:paraId="5B16762A">
        <w:tblPrEx>
          <w:tblCellMar>
            <w:top w:w="15" w:type="dxa"/>
            <w:left w:w="15" w:type="dxa"/>
            <w:bottom w:w="15" w:type="dxa"/>
            <w:right w:w="15" w:type="dxa"/>
          </w:tblCellMar>
        </w:tblPrEx>
        <w:trPr>
          <w:trHeight w:val="616" w:hRule="atLeast"/>
        </w:trPr>
        <w:tc>
          <w:tcPr>
            <w:tcW w:w="563" w:type="dxa"/>
            <w:vMerge w:val="restart"/>
            <w:tcBorders>
              <w:top w:val="single" w:color="000000" w:sz="4" w:space="0"/>
              <w:left w:val="single" w:color="000000" w:sz="4" w:space="0"/>
              <w:bottom w:val="single" w:color="000000" w:sz="4" w:space="0"/>
              <w:right w:val="single" w:color="000000" w:sz="4" w:space="0"/>
            </w:tcBorders>
            <w:noWrap w:val="0"/>
            <w:vAlign w:val="center"/>
          </w:tcPr>
          <w:p w14:paraId="25CDAADF">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w:t>
            </w:r>
          </w:p>
        </w:tc>
        <w:tc>
          <w:tcPr>
            <w:tcW w:w="744" w:type="dxa"/>
            <w:vMerge w:val="restart"/>
            <w:tcBorders>
              <w:top w:val="single" w:color="000000" w:sz="4" w:space="0"/>
              <w:left w:val="single" w:color="000000" w:sz="4" w:space="0"/>
              <w:bottom w:val="single" w:color="000000" w:sz="4" w:space="0"/>
              <w:right w:val="single" w:color="000000" w:sz="4" w:space="0"/>
            </w:tcBorders>
            <w:noWrap w:val="0"/>
            <w:vAlign w:val="center"/>
          </w:tcPr>
          <w:p w14:paraId="6266A8A0">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lang w:val="en-US" w:eastAsia="zh-CN"/>
              </w:rPr>
              <w:t>仪容仪表</w:t>
            </w:r>
          </w:p>
        </w:tc>
        <w:tc>
          <w:tcPr>
            <w:tcW w:w="6733" w:type="dxa"/>
            <w:tcBorders>
              <w:top w:val="single" w:color="000000" w:sz="4" w:space="0"/>
              <w:left w:val="single" w:color="000000" w:sz="4" w:space="0"/>
              <w:bottom w:val="single" w:color="000000" w:sz="4" w:space="0"/>
              <w:right w:val="single" w:color="000000" w:sz="4" w:space="0"/>
            </w:tcBorders>
            <w:noWrap w:val="0"/>
            <w:vAlign w:val="center"/>
          </w:tcPr>
          <w:p w14:paraId="0B0C17AF">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穿着不得体，不整洁</w:t>
            </w:r>
          </w:p>
        </w:tc>
        <w:tc>
          <w:tcPr>
            <w:tcW w:w="1900" w:type="dxa"/>
            <w:vMerge w:val="continue"/>
            <w:tcBorders>
              <w:left w:val="single" w:color="000000" w:sz="4" w:space="0"/>
              <w:right w:val="single" w:color="000000" w:sz="4" w:space="0"/>
            </w:tcBorders>
            <w:noWrap w:val="0"/>
            <w:vAlign w:val="center"/>
          </w:tcPr>
          <w:p w14:paraId="261F7E9A">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r w14:paraId="6F22AE1D">
        <w:tblPrEx>
          <w:tblCellMar>
            <w:top w:w="15" w:type="dxa"/>
            <w:left w:w="15" w:type="dxa"/>
            <w:bottom w:w="15" w:type="dxa"/>
            <w:right w:w="15" w:type="dxa"/>
          </w:tblCellMar>
        </w:tblPrEx>
        <w:trPr>
          <w:trHeight w:val="602" w:hRule="atLeast"/>
        </w:trPr>
        <w:tc>
          <w:tcPr>
            <w:tcW w:w="5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50E071">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A63FBF">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6733" w:type="dxa"/>
            <w:tcBorders>
              <w:top w:val="single" w:color="000000" w:sz="4" w:space="0"/>
              <w:left w:val="single" w:color="000000" w:sz="4" w:space="0"/>
              <w:bottom w:val="single" w:color="000000" w:sz="4" w:space="0"/>
              <w:right w:val="single" w:color="000000" w:sz="4" w:space="0"/>
            </w:tcBorders>
            <w:noWrap w:val="0"/>
            <w:vAlign w:val="center"/>
          </w:tcPr>
          <w:p w14:paraId="26E5F610">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蓄发蓄胡过长，不整理</w:t>
            </w:r>
          </w:p>
        </w:tc>
        <w:tc>
          <w:tcPr>
            <w:tcW w:w="1900" w:type="dxa"/>
            <w:vMerge w:val="continue"/>
            <w:tcBorders>
              <w:left w:val="single" w:color="000000" w:sz="4" w:space="0"/>
              <w:right w:val="single" w:color="000000" w:sz="4" w:space="0"/>
            </w:tcBorders>
            <w:noWrap w:val="0"/>
            <w:vAlign w:val="center"/>
          </w:tcPr>
          <w:p w14:paraId="4F1C07D5">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r w14:paraId="0CC5E906">
        <w:tblPrEx>
          <w:tblCellMar>
            <w:top w:w="15" w:type="dxa"/>
            <w:left w:w="15" w:type="dxa"/>
            <w:bottom w:w="15" w:type="dxa"/>
            <w:right w:w="15" w:type="dxa"/>
          </w:tblCellMar>
        </w:tblPrEx>
        <w:trPr>
          <w:trHeight w:val="550" w:hRule="atLeast"/>
        </w:trPr>
        <w:tc>
          <w:tcPr>
            <w:tcW w:w="563" w:type="dxa"/>
            <w:vMerge w:val="restart"/>
            <w:tcBorders>
              <w:top w:val="single" w:color="000000" w:sz="4" w:space="0"/>
              <w:left w:val="single" w:color="000000" w:sz="4" w:space="0"/>
              <w:right w:val="single" w:color="000000" w:sz="4" w:space="0"/>
            </w:tcBorders>
            <w:noWrap w:val="0"/>
            <w:vAlign w:val="center"/>
          </w:tcPr>
          <w:p w14:paraId="4C595BE6">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3</w:t>
            </w:r>
          </w:p>
        </w:tc>
        <w:tc>
          <w:tcPr>
            <w:tcW w:w="744" w:type="dxa"/>
            <w:vMerge w:val="restart"/>
            <w:tcBorders>
              <w:top w:val="single" w:color="000000" w:sz="4" w:space="0"/>
              <w:left w:val="single" w:color="000000" w:sz="4" w:space="0"/>
              <w:right w:val="single" w:color="000000" w:sz="4" w:space="0"/>
            </w:tcBorders>
            <w:noWrap w:val="0"/>
            <w:vAlign w:val="center"/>
          </w:tcPr>
          <w:p w14:paraId="23BC943C">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lang w:val="en-US" w:eastAsia="zh-CN"/>
              </w:rPr>
              <w:t>工作态度</w:t>
            </w:r>
          </w:p>
        </w:tc>
        <w:tc>
          <w:tcPr>
            <w:tcW w:w="6733" w:type="dxa"/>
            <w:tcBorders>
              <w:top w:val="single" w:color="000000" w:sz="4" w:space="0"/>
              <w:bottom w:val="single" w:color="000000" w:sz="4" w:space="0"/>
              <w:right w:val="single" w:color="000000" w:sz="4" w:space="0"/>
            </w:tcBorders>
            <w:noWrap w:val="0"/>
            <w:vAlign w:val="center"/>
          </w:tcPr>
          <w:p w14:paraId="40A67FCF">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态度和蔼、礼貌待人，用语规范文明，发现没做到的</w:t>
            </w:r>
          </w:p>
        </w:tc>
        <w:tc>
          <w:tcPr>
            <w:tcW w:w="1900" w:type="dxa"/>
            <w:vMerge w:val="continue"/>
            <w:tcBorders>
              <w:left w:val="single" w:color="000000" w:sz="4" w:space="0"/>
              <w:right w:val="single" w:color="000000" w:sz="4" w:space="0"/>
            </w:tcBorders>
            <w:noWrap w:val="0"/>
            <w:vAlign w:val="center"/>
          </w:tcPr>
          <w:p w14:paraId="68315AF1">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r w14:paraId="7DD1C76E">
        <w:tblPrEx>
          <w:tblCellMar>
            <w:top w:w="15" w:type="dxa"/>
            <w:left w:w="15" w:type="dxa"/>
            <w:bottom w:w="15" w:type="dxa"/>
            <w:right w:w="15" w:type="dxa"/>
          </w:tblCellMar>
        </w:tblPrEx>
        <w:trPr>
          <w:trHeight w:val="595" w:hRule="atLeast"/>
        </w:trPr>
        <w:tc>
          <w:tcPr>
            <w:tcW w:w="563" w:type="dxa"/>
            <w:vMerge w:val="continue"/>
            <w:tcBorders>
              <w:left w:val="single" w:color="000000" w:sz="4" w:space="0"/>
              <w:right w:val="single" w:color="000000" w:sz="4" w:space="0"/>
            </w:tcBorders>
            <w:noWrap w:val="0"/>
            <w:vAlign w:val="center"/>
          </w:tcPr>
          <w:p w14:paraId="4AFF16BA">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rPr>
            </w:pPr>
          </w:p>
        </w:tc>
        <w:tc>
          <w:tcPr>
            <w:tcW w:w="744" w:type="dxa"/>
            <w:vMerge w:val="continue"/>
            <w:tcBorders>
              <w:left w:val="single" w:color="000000" w:sz="4" w:space="0"/>
              <w:right w:val="single" w:color="000000" w:sz="4" w:space="0"/>
            </w:tcBorders>
            <w:noWrap w:val="0"/>
            <w:vAlign w:val="center"/>
          </w:tcPr>
          <w:p w14:paraId="4285C420">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rPr>
            </w:pPr>
          </w:p>
        </w:tc>
        <w:tc>
          <w:tcPr>
            <w:tcW w:w="6733" w:type="dxa"/>
            <w:tcBorders>
              <w:top w:val="single" w:color="000000" w:sz="4" w:space="0"/>
              <w:bottom w:val="single" w:color="000000" w:sz="4" w:space="0"/>
              <w:right w:val="single" w:color="000000" w:sz="4" w:space="0"/>
            </w:tcBorders>
            <w:noWrap w:val="0"/>
            <w:vAlign w:val="center"/>
          </w:tcPr>
          <w:p w14:paraId="56806F28">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工作不积极不主动</w:t>
            </w:r>
          </w:p>
        </w:tc>
        <w:tc>
          <w:tcPr>
            <w:tcW w:w="1900" w:type="dxa"/>
            <w:vMerge w:val="continue"/>
            <w:tcBorders>
              <w:left w:val="single" w:color="000000" w:sz="4" w:space="0"/>
              <w:right w:val="single" w:color="000000" w:sz="4" w:space="0"/>
            </w:tcBorders>
            <w:noWrap w:val="0"/>
            <w:vAlign w:val="center"/>
          </w:tcPr>
          <w:p w14:paraId="4D053EB7">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rPr>
            </w:pPr>
          </w:p>
        </w:tc>
      </w:tr>
      <w:tr w14:paraId="4CDD71B8">
        <w:tblPrEx>
          <w:tblCellMar>
            <w:top w:w="15" w:type="dxa"/>
            <w:left w:w="15" w:type="dxa"/>
            <w:bottom w:w="15" w:type="dxa"/>
            <w:right w:w="15" w:type="dxa"/>
          </w:tblCellMar>
        </w:tblPrEx>
        <w:trPr>
          <w:trHeight w:val="630" w:hRule="atLeast"/>
        </w:trPr>
        <w:tc>
          <w:tcPr>
            <w:tcW w:w="563" w:type="dxa"/>
            <w:vMerge w:val="continue"/>
            <w:tcBorders>
              <w:left w:val="single" w:color="000000" w:sz="4" w:space="0"/>
              <w:right w:val="single" w:color="000000" w:sz="4" w:space="0"/>
            </w:tcBorders>
            <w:noWrap w:val="0"/>
            <w:vAlign w:val="center"/>
          </w:tcPr>
          <w:p w14:paraId="2DFC6DF0">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rPr>
            </w:pPr>
          </w:p>
        </w:tc>
        <w:tc>
          <w:tcPr>
            <w:tcW w:w="744" w:type="dxa"/>
            <w:vMerge w:val="continue"/>
            <w:tcBorders>
              <w:left w:val="single" w:color="000000" w:sz="4" w:space="0"/>
              <w:right w:val="single" w:color="000000" w:sz="4" w:space="0"/>
            </w:tcBorders>
            <w:noWrap w:val="0"/>
            <w:vAlign w:val="center"/>
          </w:tcPr>
          <w:p w14:paraId="6D7136AF">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rPr>
            </w:pPr>
          </w:p>
        </w:tc>
        <w:tc>
          <w:tcPr>
            <w:tcW w:w="6733" w:type="dxa"/>
            <w:tcBorders>
              <w:top w:val="single" w:color="000000" w:sz="4" w:space="0"/>
              <w:bottom w:val="single" w:color="000000" w:sz="4" w:space="0"/>
              <w:right w:val="single" w:color="000000" w:sz="4" w:space="0"/>
            </w:tcBorders>
            <w:noWrap w:val="0"/>
            <w:vAlign w:val="center"/>
          </w:tcPr>
          <w:p w14:paraId="6BDC1C8C">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不遵守劳动纪律，不坚守岗位，干私活</w:t>
            </w:r>
          </w:p>
        </w:tc>
        <w:tc>
          <w:tcPr>
            <w:tcW w:w="1900" w:type="dxa"/>
            <w:vMerge w:val="continue"/>
            <w:tcBorders>
              <w:left w:val="single" w:color="000000" w:sz="4" w:space="0"/>
              <w:right w:val="single" w:color="000000" w:sz="4" w:space="0"/>
            </w:tcBorders>
            <w:noWrap w:val="0"/>
            <w:vAlign w:val="center"/>
          </w:tcPr>
          <w:p w14:paraId="41A8D761">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rPr>
            </w:pPr>
          </w:p>
        </w:tc>
      </w:tr>
      <w:tr w14:paraId="54D3778A">
        <w:tblPrEx>
          <w:tblCellMar>
            <w:top w:w="15" w:type="dxa"/>
            <w:left w:w="15" w:type="dxa"/>
            <w:bottom w:w="15" w:type="dxa"/>
            <w:right w:w="15" w:type="dxa"/>
          </w:tblCellMar>
        </w:tblPrEx>
        <w:trPr>
          <w:trHeight w:val="632" w:hRule="atLeast"/>
        </w:trPr>
        <w:tc>
          <w:tcPr>
            <w:tcW w:w="563" w:type="dxa"/>
            <w:vMerge w:val="continue"/>
            <w:tcBorders>
              <w:left w:val="single" w:color="000000" w:sz="4" w:space="0"/>
              <w:bottom w:val="single" w:color="000000" w:sz="4" w:space="0"/>
              <w:right w:val="single" w:color="000000" w:sz="4" w:space="0"/>
            </w:tcBorders>
            <w:noWrap w:val="0"/>
            <w:vAlign w:val="center"/>
          </w:tcPr>
          <w:p w14:paraId="017AFFB9">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kern w:val="0"/>
                <w:sz w:val="22"/>
                <w:szCs w:val="22"/>
                <w:highlight w:val="none"/>
              </w:rPr>
            </w:pPr>
          </w:p>
        </w:tc>
        <w:tc>
          <w:tcPr>
            <w:tcW w:w="744" w:type="dxa"/>
            <w:vMerge w:val="continue"/>
            <w:tcBorders>
              <w:left w:val="single" w:color="000000" w:sz="4" w:space="0"/>
              <w:right w:val="single" w:color="000000" w:sz="4" w:space="0"/>
            </w:tcBorders>
            <w:noWrap w:val="0"/>
            <w:vAlign w:val="center"/>
          </w:tcPr>
          <w:p w14:paraId="333253B4">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kern w:val="0"/>
                <w:sz w:val="22"/>
                <w:szCs w:val="22"/>
                <w:highlight w:val="none"/>
                <w:lang w:val="en-US" w:eastAsia="zh-CN"/>
              </w:rPr>
            </w:pPr>
          </w:p>
        </w:tc>
        <w:tc>
          <w:tcPr>
            <w:tcW w:w="6733" w:type="dxa"/>
            <w:tcBorders>
              <w:top w:val="single" w:color="000000" w:sz="4" w:space="0"/>
              <w:bottom w:val="single" w:color="000000" w:sz="4" w:space="0"/>
              <w:right w:val="single" w:color="000000" w:sz="4" w:space="0"/>
            </w:tcBorders>
            <w:noWrap w:val="0"/>
            <w:vAlign w:val="center"/>
          </w:tcPr>
          <w:p w14:paraId="01B7B54B">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不服从工作安排</w:t>
            </w:r>
          </w:p>
        </w:tc>
        <w:tc>
          <w:tcPr>
            <w:tcW w:w="1900" w:type="dxa"/>
            <w:vMerge w:val="continue"/>
            <w:tcBorders>
              <w:left w:val="single" w:color="000000" w:sz="4" w:space="0"/>
              <w:right w:val="single" w:color="000000" w:sz="4" w:space="0"/>
            </w:tcBorders>
            <w:noWrap w:val="0"/>
            <w:vAlign w:val="center"/>
          </w:tcPr>
          <w:p w14:paraId="0550AA3D">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r w14:paraId="0F165A16">
        <w:tblPrEx>
          <w:tblCellMar>
            <w:top w:w="15" w:type="dxa"/>
            <w:left w:w="15" w:type="dxa"/>
            <w:bottom w:w="15" w:type="dxa"/>
            <w:right w:w="15" w:type="dxa"/>
          </w:tblCellMar>
        </w:tblPrEx>
        <w:trPr>
          <w:trHeight w:val="574" w:hRule="atLeast"/>
        </w:trPr>
        <w:tc>
          <w:tcPr>
            <w:tcW w:w="563" w:type="dxa"/>
            <w:vMerge w:val="restart"/>
            <w:tcBorders>
              <w:top w:val="single" w:color="000000" w:sz="4" w:space="0"/>
              <w:left w:val="single" w:color="000000" w:sz="4" w:space="0"/>
              <w:right w:val="single" w:color="000000" w:sz="4" w:space="0"/>
            </w:tcBorders>
            <w:noWrap w:val="0"/>
            <w:vAlign w:val="center"/>
          </w:tcPr>
          <w:p w14:paraId="4D9D8ABC">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4</w:t>
            </w:r>
          </w:p>
        </w:tc>
        <w:tc>
          <w:tcPr>
            <w:tcW w:w="744" w:type="dxa"/>
            <w:vMerge w:val="restart"/>
            <w:tcBorders>
              <w:top w:val="single" w:color="000000" w:sz="4" w:space="0"/>
              <w:left w:val="single" w:color="000000" w:sz="4" w:space="0"/>
              <w:right w:val="single" w:color="000000" w:sz="4" w:space="0"/>
            </w:tcBorders>
            <w:noWrap w:val="0"/>
            <w:vAlign w:val="center"/>
          </w:tcPr>
          <w:p w14:paraId="184D367C">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lang w:val="en-US" w:eastAsia="zh-CN"/>
              </w:rPr>
              <w:t>服务质量</w:t>
            </w:r>
          </w:p>
        </w:tc>
        <w:tc>
          <w:tcPr>
            <w:tcW w:w="6733" w:type="dxa"/>
            <w:tcBorders>
              <w:top w:val="single" w:color="000000" w:sz="4" w:space="0"/>
              <w:left w:val="single" w:color="000000" w:sz="4" w:space="0"/>
              <w:bottom w:val="single" w:color="000000" w:sz="4" w:space="0"/>
              <w:right w:val="single" w:color="000000" w:sz="4" w:space="0"/>
            </w:tcBorders>
            <w:noWrap w:val="0"/>
            <w:vAlign w:val="center"/>
          </w:tcPr>
          <w:p w14:paraId="5ECD01D9">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不熟悉救助管理站站内管理制度，不严格执行遵守</w:t>
            </w:r>
          </w:p>
        </w:tc>
        <w:tc>
          <w:tcPr>
            <w:tcW w:w="1900" w:type="dxa"/>
            <w:vMerge w:val="continue"/>
            <w:tcBorders>
              <w:left w:val="single" w:color="000000" w:sz="4" w:space="0"/>
              <w:right w:val="single" w:color="000000" w:sz="4" w:space="0"/>
            </w:tcBorders>
            <w:noWrap w:val="0"/>
            <w:vAlign w:val="center"/>
          </w:tcPr>
          <w:p w14:paraId="4B6BD637">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r w14:paraId="03C1A98C">
        <w:tblPrEx>
          <w:tblCellMar>
            <w:top w:w="15" w:type="dxa"/>
            <w:left w:w="15" w:type="dxa"/>
            <w:bottom w:w="15" w:type="dxa"/>
            <w:right w:w="15" w:type="dxa"/>
          </w:tblCellMar>
        </w:tblPrEx>
        <w:trPr>
          <w:trHeight w:val="552" w:hRule="atLeast"/>
        </w:trPr>
        <w:tc>
          <w:tcPr>
            <w:tcW w:w="563" w:type="dxa"/>
            <w:vMerge w:val="continue"/>
            <w:tcBorders>
              <w:left w:val="single" w:color="000000" w:sz="4" w:space="0"/>
              <w:right w:val="single" w:color="000000" w:sz="4" w:space="0"/>
            </w:tcBorders>
            <w:noWrap w:val="0"/>
            <w:vAlign w:val="center"/>
          </w:tcPr>
          <w:p w14:paraId="43E5FE69">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744" w:type="dxa"/>
            <w:vMerge w:val="continue"/>
            <w:tcBorders>
              <w:left w:val="single" w:color="000000" w:sz="4" w:space="0"/>
              <w:right w:val="single" w:color="000000" w:sz="4" w:space="0"/>
            </w:tcBorders>
            <w:noWrap w:val="0"/>
            <w:vAlign w:val="center"/>
          </w:tcPr>
          <w:p w14:paraId="40CE4AEC">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6733" w:type="dxa"/>
            <w:tcBorders>
              <w:top w:val="single" w:color="000000" w:sz="4" w:space="0"/>
              <w:left w:val="single" w:color="000000" w:sz="4" w:space="0"/>
              <w:bottom w:val="single" w:color="000000" w:sz="4" w:space="0"/>
              <w:right w:val="single" w:color="000000" w:sz="4" w:space="0"/>
            </w:tcBorders>
            <w:noWrap w:val="0"/>
            <w:vAlign w:val="center"/>
          </w:tcPr>
          <w:p w14:paraId="5B8176E4">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未做好救助区域环境卫生清洁工作</w:t>
            </w:r>
          </w:p>
        </w:tc>
        <w:tc>
          <w:tcPr>
            <w:tcW w:w="1900" w:type="dxa"/>
            <w:vMerge w:val="continue"/>
            <w:tcBorders>
              <w:left w:val="single" w:color="000000" w:sz="4" w:space="0"/>
              <w:right w:val="single" w:color="000000" w:sz="4" w:space="0"/>
            </w:tcBorders>
            <w:noWrap w:val="0"/>
            <w:vAlign w:val="center"/>
          </w:tcPr>
          <w:p w14:paraId="3C1CB4C3">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r w14:paraId="582BEC9C">
        <w:tblPrEx>
          <w:tblCellMar>
            <w:top w:w="15" w:type="dxa"/>
            <w:left w:w="15" w:type="dxa"/>
            <w:bottom w:w="15" w:type="dxa"/>
            <w:right w:w="15" w:type="dxa"/>
          </w:tblCellMar>
        </w:tblPrEx>
        <w:trPr>
          <w:trHeight w:val="530" w:hRule="atLeast"/>
        </w:trPr>
        <w:tc>
          <w:tcPr>
            <w:tcW w:w="563" w:type="dxa"/>
            <w:vMerge w:val="continue"/>
            <w:tcBorders>
              <w:left w:val="single" w:color="000000" w:sz="4" w:space="0"/>
              <w:right w:val="single" w:color="000000" w:sz="4" w:space="0"/>
            </w:tcBorders>
            <w:noWrap w:val="0"/>
            <w:vAlign w:val="center"/>
          </w:tcPr>
          <w:p w14:paraId="1B891C8E">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kern w:val="0"/>
                <w:sz w:val="22"/>
                <w:szCs w:val="22"/>
                <w:highlight w:val="none"/>
              </w:rPr>
            </w:pPr>
          </w:p>
        </w:tc>
        <w:tc>
          <w:tcPr>
            <w:tcW w:w="744" w:type="dxa"/>
            <w:vMerge w:val="continue"/>
            <w:tcBorders>
              <w:left w:val="single" w:color="000000" w:sz="4" w:space="0"/>
              <w:right w:val="single" w:color="000000" w:sz="4" w:space="0"/>
            </w:tcBorders>
            <w:noWrap w:val="0"/>
            <w:vAlign w:val="center"/>
          </w:tcPr>
          <w:p w14:paraId="7A48F094">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kern w:val="0"/>
                <w:sz w:val="22"/>
                <w:szCs w:val="22"/>
                <w:highlight w:val="none"/>
              </w:rPr>
            </w:pPr>
          </w:p>
        </w:tc>
        <w:tc>
          <w:tcPr>
            <w:tcW w:w="6733" w:type="dxa"/>
            <w:tcBorders>
              <w:top w:val="single" w:color="000000" w:sz="4" w:space="0"/>
              <w:left w:val="single" w:color="000000" w:sz="4" w:space="0"/>
              <w:bottom w:val="single" w:color="000000" w:sz="4" w:space="0"/>
              <w:right w:val="single" w:color="000000" w:sz="4" w:space="0"/>
            </w:tcBorders>
            <w:noWrap w:val="0"/>
            <w:vAlign w:val="center"/>
          </w:tcPr>
          <w:p w14:paraId="412B109C">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未维持好救助区域秩序</w:t>
            </w:r>
          </w:p>
        </w:tc>
        <w:tc>
          <w:tcPr>
            <w:tcW w:w="1900" w:type="dxa"/>
            <w:vMerge w:val="continue"/>
            <w:tcBorders>
              <w:left w:val="single" w:color="000000" w:sz="4" w:space="0"/>
              <w:right w:val="single" w:color="000000" w:sz="4" w:space="0"/>
            </w:tcBorders>
            <w:noWrap w:val="0"/>
            <w:vAlign w:val="center"/>
          </w:tcPr>
          <w:p w14:paraId="18503129">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r w14:paraId="737B26AC">
        <w:tblPrEx>
          <w:tblCellMar>
            <w:top w:w="15" w:type="dxa"/>
            <w:left w:w="15" w:type="dxa"/>
            <w:bottom w:w="15" w:type="dxa"/>
            <w:right w:w="15" w:type="dxa"/>
          </w:tblCellMar>
        </w:tblPrEx>
        <w:trPr>
          <w:trHeight w:val="572" w:hRule="atLeast"/>
        </w:trPr>
        <w:tc>
          <w:tcPr>
            <w:tcW w:w="563" w:type="dxa"/>
            <w:vMerge w:val="continue"/>
            <w:tcBorders>
              <w:left w:val="single" w:color="000000" w:sz="4" w:space="0"/>
              <w:right w:val="single" w:color="000000" w:sz="4" w:space="0"/>
            </w:tcBorders>
            <w:noWrap w:val="0"/>
            <w:vAlign w:val="center"/>
          </w:tcPr>
          <w:p w14:paraId="1B5FD747">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p>
        </w:tc>
        <w:tc>
          <w:tcPr>
            <w:tcW w:w="744" w:type="dxa"/>
            <w:vMerge w:val="continue"/>
            <w:tcBorders>
              <w:left w:val="single" w:color="000000" w:sz="4" w:space="0"/>
              <w:right w:val="single" w:color="000000" w:sz="4" w:space="0"/>
            </w:tcBorders>
            <w:noWrap w:val="0"/>
            <w:vAlign w:val="center"/>
          </w:tcPr>
          <w:p w14:paraId="3DEA58F6">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p>
        </w:tc>
        <w:tc>
          <w:tcPr>
            <w:tcW w:w="6733" w:type="dxa"/>
            <w:tcBorders>
              <w:top w:val="single" w:color="000000" w:sz="4" w:space="0"/>
              <w:left w:val="single" w:color="000000" w:sz="4" w:space="0"/>
              <w:bottom w:val="single" w:color="000000" w:sz="4" w:space="0"/>
              <w:right w:val="single" w:color="000000" w:sz="4" w:space="0"/>
            </w:tcBorders>
            <w:noWrap w:val="0"/>
            <w:vAlign w:val="center"/>
          </w:tcPr>
          <w:p w14:paraId="4145377F">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未及时做好出入登记</w:t>
            </w:r>
          </w:p>
        </w:tc>
        <w:tc>
          <w:tcPr>
            <w:tcW w:w="1900" w:type="dxa"/>
            <w:vMerge w:val="continue"/>
            <w:tcBorders>
              <w:left w:val="single" w:color="000000" w:sz="4" w:space="0"/>
              <w:right w:val="single" w:color="000000" w:sz="4" w:space="0"/>
            </w:tcBorders>
            <w:noWrap w:val="0"/>
            <w:vAlign w:val="center"/>
          </w:tcPr>
          <w:p w14:paraId="523CEE10">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r w14:paraId="0103F802">
        <w:tblPrEx>
          <w:tblCellMar>
            <w:top w:w="15" w:type="dxa"/>
            <w:left w:w="15" w:type="dxa"/>
            <w:bottom w:w="15" w:type="dxa"/>
            <w:right w:w="15" w:type="dxa"/>
          </w:tblCellMar>
        </w:tblPrEx>
        <w:trPr>
          <w:trHeight w:val="567" w:hRule="atLeast"/>
        </w:trPr>
        <w:tc>
          <w:tcPr>
            <w:tcW w:w="563" w:type="dxa"/>
            <w:vMerge w:val="continue"/>
            <w:tcBorders>
              <w:left w:val="single" w:color="000000" w:sz="4" w:space="0"/>
              <w:right w:val="single" w:color="000000" w:sz="4" w:space="0"/>
            </w:tcBorders>
            <w:noWrap w:val="0"/>
            <w:vAlign w:val="center"/>
          </w:tcPr>
          <w:p w14:paraId="6D2E279E">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744" w:type="dxa"/>
            <w:vMerge w:val="continue"/>
            <w:tcBorders>
              <w:left w:val="single" w:color="000000" w:sz="4" w:space="0"/>
              <w:right w:val="single" w:color="000000" w:sz="4" w:space="0"/>
            </w:tcBorders>
            <w:noWrap w:val="0"/>
            <w:vAlign w:val="center"/>
          </w:tcPr>
          <w:p w14:paraId="73E95325">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c>
          <w:tcPr>
            <w:tcW w:w="6733" w:type="dxa"/>
            <w:tcBorders>
              <w:top w:val="single" w:color="000000" w:sz="4" w:space="0"/>
              <w:left w:val="single" w:color="000000" w:sz="4" w:space="0"/>
              <w:bottom w:val="single" w:color="000000" w:sz="4" w:space="0"/>
              <w:right w:val="single" w:color="000000" w:sz="4" w:space="0"/>
            </w:tcBorders>
            <w:noWrap w:val="0"/>
            <w:vAlign w:val="center"/>
          </w:tcPr>
          <w:p w14:paraId="5910CCD9">
            <w:pPr>
              <w:keepNext w:val="0"/>
              <w:keepLines w:val="0"/>
              <w:pageBreakBefore w:val="0"/>
              <w:kinsoku/>
              <w:wordWrap/>
              <w:overflowPunct/>
              <w:topLinePunct w:val="0"/>
              <w:bidi w:val="0"/>
              <w:adjustRightInd w:val="0"/>
              <w:spacing w:line="460" w:lineRule="exact"/>
              <w:textAlignment w:val="center"/>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未做好交接班工作衔接</w:t>
            </w:r>
          </w:p>
        </w:tc>
        <w:tc>
          <w:tcPr>
            <w:tcW w:w="1900" w:type="dxa"/>
            <w:vMerge w:val="continue"/>
            <w:tcBorders>
              <w:left w:val="single" w:color="000000" w:sz="4" w:space="0"/>
              <w:right w:val="single" w:color="000000" w:sz="4" w:space="0"/>
            </w:tcBorders>
            <w:noWrap w:val="0"/>
            <w:vAlign w:val="center"/>
          </w:tcPr>
          <w:p w14:paraId="7B259828">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r w14:paraId="0F4B05E4">
        <w:tblPrEx>
          <w:tblCellMar>
            <w:top w:w="15" w:type="dxa"/>
            <w:left w:w="15" w:type="dxa"/>
            <w:bottom w:w="15" w:type="dxa"/>
            <w:right w:w="15" w:type="dxa"/>
          </w:tblCellMar>
        </w:tblPrEx>
        <w:trPr>
          <w:trHeight w:val="774" w:hRule="atLeast"/>
        </w:trPr>
        <w:tc>
          <w:tcPr>
            <w:tcW w:w="9940" w:type="dxa"/>
            <w:gridSpan w:val="4"/>
            <w:tcBorders>
              <w:top w:val="single" w:color="000000" w:sz="4" w:space="0"/>
              <w:left w:val="single" w:color="000000" w:sz="4" w:space="0"/>
              <w:bottom w:val="single" w:color="000000" w:sz="4" w:space="0"/>
              <w:right w:val="single" w:color="000000" w:sz="4" w:space="0"/>
            </w:tcBorders>
            <w:noWrap w:val="0"/>
            <w:vAlign w:val="center"/>
          </w:tcPr>
          <w:p w14:paraId="1A43BA83">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总分值</w:t>
            </w:r>
            <w:r>
              <w:rPr>
                <w:rFonts w:hint="eastAsia" w:ascii="新宋体" w:hAnsi="新宋体" w:eastAsia="新宋体" w:cs="新宋体"/>
                <w:color w:val="auto"/>
                <w:kern w:val="0"/>
                <w:sz w:val="22"/>
                <w:szCs w:val="22"/>
                <w:highlight w:val="none"/>
                <w:lang w:val="en-US" w:eastAsia="zh-CN"/>
              </w:rPr>
              <w:t>30</w:t>
            </w:r>
            <w:r>
              <w:rPr>
                <w:rFonts w:hint="eastAsia" w:ascii="新宋体" w:hAnsi="新宋体" w:eastAsia="新宋体" w:cs="新宋体"/>
                <w:color w:val="auto"/>
                <w:kern w:val="0"/>
                <w:sz w:val="22"/>
                <w:szCs w:val="22"/>
                <w:highlight w:val="none"/>
              </w:rPr>
              <w:t>分，每发现一个不符合项，按照</w:t>
            </w:r>
            <w:r>
              <w:rPr>
                <w:rFonts w:hint="eastAsia" w:ascii="新宋体" w:hAnsi="新宋体" w:eastAsia="新宋体" w:cs="新宋体"/>
                <w:color w:val="auto"/>
                <w:kern w:val="0"/>
                <w:sz w:val="22"/>
                <w:szCs w:val="22"/>
                <w:highlight w:val="none"/>
                <w:lang w:val="en-US" w:eastAsia="zh-CN"/>
              </w:rPr>
              <w:t>规定</w:t>
            </w:r>
            <w:r>
              <w:rPr>
                <w:rFonts w:hint="eastAsia" w:ascii="新宋体" w:hAnsi="新宋体" w:eastAsia="新宋体" w:cs="新宋体"/>
                <w:color w:val="auto"/>
                <w:kern w:val="0"/>
                <w:sz w:val="22"/>
                <w:szCs w:val="22"/>
                <w:highlight w:val="none"/>
              </w:rPr>
              <w:t>扣分。</w:t>
            </w:r>
          </w:p>
        </w:tc>
      </w:tr>
    </w:tbl>
    <w:p w14:paraId="06A1B211">
      <w:pPr>
        <w:keepNext w:val="0"/>
        <w:keepLines w:val="0"/>
        <w:pageBreakBefore w:val="0"/>
        <w:kinsoku/>
        <w:wordWrap/>
        <w:overflowPunct/>
        <w:topLinePunct w:val="0"/>
        <w:bidi w:val="0"/>
        <w:adjustRightInd w:val="0"/>
        <w:spacing w:line="460" w:lineRule="exact"/>
        <w:jc w:val="both"/>
        <w:outlineLvl w:val="9"/>
        <w:rPr>
          <w:rFonts w:hint="eastAsia" w:ascii="新宋体" w:hAnsi="新宋体" w:eastAsia="新宋体" w:cs="新宋体"/>
          <w:color w:val="auto"/>
          <w:sz w:val="22"/>
          <w:szCs w:val="22"/>
          <w:highlight w:val="none"/>
        </w:rPr>
      </w:pPr>
    </w:p>
    <w:p w14:paraId="5110E5EE">
      <w:pPr>
        <w:keepNext w:val="0"/>
        <w:keepLines w:val="0"/>
        <w:pageBreakBefore w:val="0"/>
        <w:kinsoku/>
        <w:wordWrap/>
        <w:overflowPunct/>
        <w:topLinePunct w:val="0"/>
        <w:bidi w:val="0"/>
        <w:adjustRightInd w:val="0"/>
        <w:snapToGrid w:val="0"/>
        <w:spacing w:line="460" w:lineRule="exact"/>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04499B25">
      <w:pPr>
        <w:keepNext w:val="0"/>
        <w:keepLines w:val="0"/>
        <w:pageBreakBefore w:val="0"/>
        <w:kinsoku/>
        <w:wordWrap/>
        <w:overflowPunct/>
        <w:topLinePunct w:val="0"/>
        <w:bidi w:val="0"/>
        <w:adjustRightInd w:val="0"/>
        <w:snapToGrid w:val="0"/>
        <w:spacing w:line="460" w:lineRule="exact"/>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表6：</w:t>
      </w:r>
    </w:p>
    <w:p w14:paraId="1734BDC2">
      <w:pPr>
        <w:keepNext w:val="0"/>
        <w:keepLines w:val="0"/>
        <w:pageBreakBefore w:val="0"/>
        <w:kinsoku/>
        <w:wordWrap/>
        <w:overflowPunct/>
        <w:topLinePunct w:val="0"/>
        <w:bidi w:val="0"/>
        <w:adjustRightInd w:val="0"/>
        <w:snapToGrid w:val="0"/>
        <w:spacing w:line="460" w:lineRule="exact"/>
        <w:jc w:val="center"/>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温州市救助管理站站内救助服务考核细则（卫生服务）</w:t>
      </w:r>
    </w:p>
    <w:p w14:paraId="267DABBB">
      <w:pPr>
        <w:bidi w:val="0"/>
        <w:rPr>
          <w:rFonts w:hint="eastAsia"/>
          <w:color w:val="auto"/>
          <w:highlight w:val="none"/>
          <w:lang w:val="en-US" w:eastAsia="zh-CN"/>
        </w:rPr>
      </w:pPr>
    </w:p>
    <w:tbl>
      <w:tblPr>
        <w:tblStyle w:val="65"/>
        <w:tblW w:w="9738" w:type="dxa"/>
        <w:tblInd w:w="0" w:type="dxa"/>
        <w:tblLayout w:type="fixed"/>
        <w:tblCellMar>
          <w:top w:w="15" w:type="dxa"/>
          <w:left w:w="15" w:type="dxa"/>
          <w:bottom w:w="15" w:type="dxa"/>
          <w:right w:w="15" w:type="dxa"/>
        </w:tblCellMar>
      </w:tblPr>
      <w:tblGrid>
        <w:gridCol w:w="618"/>
        <w:gridCol w:w="819"/>
        <w:gridCol w:w="6934"/>
        <w:gridCol w:w="1367"/>
      </w:tblGrid>
      <w:tr w14:paraId="6D134F1A">
        <w:tblPrEx>
          <w:tblCellMar>
            <w:top w:w="15" w:type="dxa"/>
            <w:left w:w="15" w:type="dxa"/>
            <w:bottom w:w="15" w:type="dxa"/>
            <w:right w:w="15" w:type="dxa"/>
          </w:tblCellMar>
        </w:tblPrEx>
        <w:trPr>
          <w:trHeight w:val="349"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09C449C0">
            <w:pPr>
              <w:adjustRightInd w:val="0"/>
              <w:spacing w:line="28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序号</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1B6F98C9">
            <w:pPr>
              <w:adjustRightInd w:val="0"/>
              <w:spacing w:line="28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内容</w:t>
            </w:r>
          </w:p>
        </w:tc>
        <w:tc>
          <w:tcPr>
            <w:tcW w:w="6934" w:type="dxa"/>
            <w:tcBorders>
              <w:top w:val="single" w:color="000000" w:sz="4" w:space="0"/>
              <w:left w:val="single" w:color="000000" w:sz="4" w:space="0"/>
              <w:bottom w:val="single" w:color="000000" w:sz="4" w:space="0"/>
              <w:right w:val="single" w:color="000000" w:sz="4" w:space="0"/>
            </w:tcBorders>
            <w:noWrap w:val="0"/>
            <w:vAlign w:val="center"/>
          </w:tcPr>
          <w:p w14:paraId="26C9276D">
            <w:pPr>
              <w:adjustRightInd w:val="0"/>
              <w:spacing w:line="28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考   评   内   容</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22D00666">
            <w:pPr>
              <w:adjustRightInd w:val="0"/>
              <w:spacing w:line="28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扣分标准</w:t>
            </w:r>
          </w:p>
        </w:tc>
      </w:tr>
      <w:tr w14:paraId="75097BDF">
        <w:tblPrEx>
          <w:tblCellMar>
            <w:top w:w="15" w:type="dxa"/>
            <w:left w:w="15" w:type="dxa"/>
            <w:bottom w:w="15" w:type="dxa"/>
            <w:right w:w="15" w:type="dxa"/>
          </w:tblCellMar>
        </w:tblPrEx>
        <w:trPr>
          <w:trHeight w:val="654"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21094E1D">
            <w:pPr>
              <w:adjustRightInd w:val="0"/>
              <w:spacing w:line="28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3A25EFE2">
            <w:pPr>
              <w:adjustRightInd w:val="0"/>
              <w:spacing w:line="28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室外</w:t>
            </w:r>
          </w:p>
        </w:tc>
        <w:tc>
          <w:tcPr>
            <w:tcW w:w="6934" w:type="dxa"/>
            <w:tcBorders>
              <w:top w:val="single" w:color="000000" w:sz="4" w:space="0"/>
              <w:left w:val="single" w:color="000000" w:sz="4" w:space="0"/>
              <w:bottom w:val="single" w:color="000000" w:sz="4" w:space="0"/>
              <w:right w:val="single" w:color="000000" w:sz="4" w:space="0"/>
            </w:tcBorders>
            <w:noWrap w:val="0"/>
            <w:vAlign w:val="center"/>
          </w:tcPr>
          <w:p w14:paraId="432C0BC8">
            <w:pPr>
              <w:adjustRightInd w:val="0"/>
              <w:spacing w:line="28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地面、外墙、道路、绿地、监控探头、室外垃圾箱等清理、保洁，达到无垃圾、烟头、杂物、明显泥沙及灰尘。</w:t>
            </w:r>
          </w:p>
        </w:tc>
        <w:tc>
          <w:tcPr>
            <w:tcW w:w="1367" w:type="dxa"/>
            <w:vMerge w:val="restart"/>
            <w:tcBorders>
              <w:top w:val="single" w:color="000000" w:sz="4" w:space="0"/>
              <w:left w:val="single" w:color="000000" w:sz="4" w:space="0"/>
              <w:right w:val="single" w:color="000000" w:sz="4" w:space="0"/>
            </w:tcBorders>
            <w:noWrap w:val="0"/>
            <w:vAlign w:val="center"/>
          </w:tcPr>
          <w:p w14:paraId="68F96DC5">
            <w:pPr>
              <w:adjustRightInd w:val="0"/>
              <w:spacing w:line="28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每发现一例扣0.5分</w:t>
            </w:r>
          </w:p>
        </w:tc>
      </w:tr>
      <w:tr w14:paraId="58CC8D69">
        <w:tblPrEx>
          <w:tblCellMar>
            <w:top w:w="15" w:type="dxa"/>
            <w:left w:w="15" w:type="dxa"/>
            <w:bottom w:w="15" w:type="dxa"/>
            <w:right w:w="15" w:type="dxa"/>
          </w:tblCellMar>
        </w:tblPrEx>
        <w:trPr>
          <w:trHeight w:val="654" w:hRule="atLeast"/>
        </w:trPr>
        <w:tc>
          <w:tcPr>
            <w:tcW w:w="618" w:type="dxa"/>
            <w:vMerge w:val="restart"/>
            <w:tcBorders>
              <w:top w:val="single" w:color="000000" w:sz="4" w:space="0"/>
              <w:left w:val="single" w:color="000000" w:sz="4" w:space="0"/>
              <w:bottom w:val="single" w:color="000000" w:sz="4" w:space="0"/>
              <w:right w:val="single" w:color="000000" w:sz="4" w:space="0"/>
            </w:tcBorders>
            <w:noWrap w:val="0"/>
            <w:vAlign w:val="center"/>
          </w:tcPr>
          <w:p w14:paraId="60264B01">
            <w:pPr>
              <w:adjustRightInd w:val="0"/>
              <w:spacing w:line="28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16E074D1">
            <w:pPr>
              <w:adjustRightInd w:val="0"/>
              <w:spacing w:line="280" w:lineRule="exact"/>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公共</w:t>
            </w:r>
          </w:p>
          <w:p w14:paraId="69AA6C52">
            <w:pPr>
              <w:adjustRightInd w:val="0"/>
              <w:spacing w:line="28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区域</w:t>
            </w:r>
          </w:p>
        </w:tc>
        <w:tc>
          <w:tcPr>
            <w:tcW w:w="6934" w:type="dxa"/>
            <w:tcBorders>
              <w:top w:val="single" w:color="000000" w:sz="4" w:space="0"/>
              <w:left w:val="single" w:color="000000" w:sz="4" w:space="0"/>
              <w:bottom w:val="single" w:color="000000" w:sz="4" w:space="0"/>
              <w:right w:val="single" w:color="000000" w:sz="4" w:space="0"/>
            </w:tcBorders>
            <w:noWrap w:val="0"/>
            <w:vAlign w:val="center"/>
          </w:tcPr>
          <w:p w14:paraId="381FD4DD">
            <w:pPr>
              <w:adjustRightInd w:val="0"/>
              <w:spacing w:line="28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地面、墙面、墙脚线、玻璃窗内、烟灰缸的清洁，达到无灰尘、无污渍、光亮。</w:t>
            </w:r>
          </w:p>
        </w:tc>
        <w:tc>
          <w:tcPr>
            <w:tcW w:w="1367" w:type="dxa"/>
            <w:vMerge w:val="continue"/>
            <w:tcBorders>
              <w:left w:val="single" w:color="000000" w:sz="4" w:space="0"/>
              <w:right w:val="single" w:color="000000" w:sz="4" w:space="0"/>
            </w:tcBorders>
            <w:noWrap w:val="0"/>
            <w:vAlign w:val="center"/>
          </w:tcPr>
          <w:p w14:paraId="6C36D090">
            <w:pPr>
              <w:adjustRightInd w:val="0"/>
              <w:spacing w:line="280" w:lineRule="exact"/>
              <w:jc w:val="center"/>
              <w:rPr>
                <w:rFonts w:hint="eastAsia" w:ascii="宋体" w:hAnsi="宋体" w:eastAsia="宋体" w:cs="宋体"/>
                <w:color w:val="auto"/>
                <w:szCs w:val="21"/>
                <w:highlight w:val="none"/>
              </w:rPr>
            </w:pPr>
          </w:p>
        </w:tc>
      </w:tr>
      <w:tr w14:paraId="1A29E920">
        <w:tblPrEx>
          <w:tblCellMar>
            <w:top w:w="15" w:type="dxa"/>
            <w:left w:w="15" w:type="dxa"/>
            <w:bottom w:w="15" w:type="dxa"/>
            <w:right w:w="15" w:type="dxa"/>
          </w:tblCellMar>
        </w:tblPrEx>
        <w:trPr>
          <w:trHeight w:val="654"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676072">
            <w:pPr>
              <w:adjustRightInd w:val="0"/>
              <w:spacing w:line="280" w:lineRule="exact"/>
              <w:jc w:val="center"/>
              <w:rPr>
                <w:rFonts w:hint="eastAsia" w:ascii="宋体" w:hAnsi="宋体" w:eastAsia="宋体" w:cs="宋体"/>
                <w:color w:val="auto"/>
                <w:szCs w:val="21"/>
                <w:highlight w:val="none"/>
              </w:rPr>
            </w:pPr>
          </w:p>
        </w:tc>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DCF686">
            <w:pPr>
              <w:adjustRightInd w:val="0"/>
              <w:spacing w:line="280" w:lineRule="exact"/>
              <w:jc w:val="center"/>
              <w:rPr>
                <w:rFonts w:hint="eastAsia" w:ascii="宋体" w:hAnsi="宋体" w:eastAsia="宋体" w:cs="宋体"/>
                <w:color w:val="auto"/>
                <w:szCs w:val="21"/>
                <w:highlight w:val="none"/>
              </w:rPr>
            </w:pPr>
          </w:p>
        </w:tc>
        <w:tc>
          <w:tcPr>
            <w:tcW w:w="6934" w:type="dxa"/>
            <w:tcBorders>
              <w:top w:val="single" w:color="000000" w:sz="4" w:space="0"/>
              <w:left w:val="single" w:color="000000" w:sz="4" w:space="0"/>
              <w:bottom w:val="single" w:color="000000" w:sz="4" w:space="0"/>
              <w:right w:val="single" w:color="000000" w:sz="4" w:space="0"/>
            </w:tcBorders>
            <w:noWrap w:val="0"/>
            <w:vAlign w:val="center"/>
          </w:tcPr>
          <w:p w14:paraId="4F0F501E">
            <w:pPr>
              <w:adjustRightInd w:val="0"/>
              <w:spacing w:line="28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扶手栏杆、门窗、楼梯、标识牌、消防设施、灯箱、灯具的抹尘，达到无灰尘。</w:t>
            </w:r>
          </w:p>
        </w:tc>
        <w:tc>
          <w:tcPr>
            <w:tcW w:w="1367" w:type="dxa"/>
            <w:vMerge w:val="continue"/>
            <w:tcBorders>
              <w:left w:val="single" w:color="000000" w:sz="4" w:space="0"/>
              <w:right w:val="single" w:color="000000" w:sz="4" w:space="0"/>
            </w:tcBorders>
            <w:noWrap w:val="0"/>
            <w:vAlign w:val="center"/>
          </w:tcPr>
          <w:p w14:paraId="65ABE257">
            <w:pPr>
              <w:adjustRightInd w:val="0"/>
              <w:spacing w:line="280" w:lineRule="exact"/>
              <w:jc w:val="center"/>
              <w:rPr>
                <w:rFonts w:hint="eastAsia" w:ascii="宋体" w:hAnsi="宋体" w:eastAsia="宋体" w:cs="宋体"/>
                <w:color w:val="auto"/>
                <w:szCs w:val="21"/>
                <w:highlight w:val="none"/>
              </w:rPr>
            </w:pPr>
          </w:p>
        </w:tc>
      </w:tr>
      <w:tr w14:paraId="601876C7">
        <w:tblPrEx>
          <w:tblCellMar>
            <w:top w:w="15" w:type="dxa"/>
            <w:left w:w="15" w:type="dxa"/>
            <w:bottom w:w="15" w:type="dxa"/>
            <w:right w:w="15" w:type="dxa"/>
          </w:tblCellMar>
        </w:tblPrEx>
        <w:trPr>
          <w:trHeight w:val="349"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592B96A6">
            <w:pPr>
              <w:adjustRightInd w:val="0"/>
              <w:spacing w:line="28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p>
        </w:tc>
        <w:tc>
          <w:tcPr>
            <w:tcW w:w="819" w:type="dxa"/>
            <w:tcBorders>
              <w:top w:val="single" w:color="000000" w:sz="4" w:space="0"/>
              <w:left w:val="single" w:color="000000" w:sz="4" w:space="0"/>
              <w:right w:val="single" w:color="000000" w:sz="4" w:space="0"/>
            </w:tcBorders>
            <w:noWrap w:val="0"/>
            <w:vAlign w:val="center"/>
          </w:tcPr>
          <w:p w14:paraId="121145F7">
            <w:pPr>
              <w:adjustRightInd w:val="0"/>
              <w:spacing w:line="28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电梯</w:t>
            </w:r>
          </w:p>
        </w:tc>
        <w:tc>
          <w:tcPr>
            <w:tcW w:w="6934" w:type="dxa"/>
            <w:tcBorders>
              <w:top w:val="single" w:color="000000" w:sz="4" w:space="0"/>
              <w:bottom w:val="single" w:color="000000" w:sz="4" w:space="0"/>
              <w:right w:val="single" w:color="000000" w:sz="4" w:space="0"/>
            </w:tcBorders>
            <w:noWrap w:val="0"/>
            <w:vAlign w:val="center"/>
          </w:tcPr>
          <w:p w14:paraId="16943BDC">
            <w:pPr>
              <w:adjustRightInd w:val="0"/>
              <w:spacing w:line="28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墙面、轿门、按钮、轿厢清洁除尘，达到无灰尘、无手印、光亮。</w:t>
            </w:r>
          </w:p>
        </w:tc>
        <w:tc>
          <w:tcPr>
            <w:tcW w:w="1367" w:type="dxa"/>
            <w:vMerge w:val="continue"/>
            <w:tcBorders>
              <w:left w:val="single" w:color="000000" w:sz="4" w:space="0"/>
              <w:right w:val="single" w:color="000000" w:sz="4" w:space="0"/>
            </w:tcBorders>
            <w:noWrap w:val="0"/>
            <w:vAlign w:val="center"/>
          </w:tcPr>
          <w:p w14:paraId="7532BC8C">
            <w:pPr>
              <w:adjustRightInd w:val="0"/>
              <w:spacing w:line="280" w:lineRule="exact"/>
              <w:jc w:val="center"/>
              <w:rPr>
                <w:rFonts w:hint="eastAsia" w:ascii="宋体" w:hAnsi="宋体" w:eastAsia="宋体" w:cs="宋体"/>
                <w:color w:val="auto"/>
                <w:szCs w:val="21"/>
                <w:highlight w:val="none"/>
              </w:rPr>
            </w:pPr>
          </w:p>
        </w:tc>
      </w:tr>
      <w:tr w14:paraId="57DB6FCD">
        <w:tblPrEx>
          <w:tblCellMar>
            <w:top w:w="15" w:type="dxa"/>
            <w:left w:w="15" w:type="dxa"/>
            <w:bottom w:w="15" w:type="dxa"/>
            <w:right w:w="15" w:type="dxa"/>
          </w:tblCellMar>
        </w:tblPrEx>
        <w:trPr>
          <w:trHeight w:val="654" w:hRule="atLeast"/>
        </w:trPr>
        <w:tc>
          <w:tcPr>
            <w:tcW w:w="618" w:type="dxa"/>
            <w:vMerge w:val="restart"/>
            <w:tcBorders>
              <w:top w:val="single" w:color="000000" w:sz="4" w:space="0"/>
              <w:left w:val="single" w:color="000000" w:sz="4" w:space="0"/>
              <w:bottom w:val="single" w:color="000000" w:sz="4" w:space="0"/>
              <w:right w:val="single" w:color="000000" w:sz="4" w:space="0"/>
            </w:tcBorders>
            <w:noWrap w:val="0"/>
            <w:vAlign w:val="center"/>
          </w:tcPr>
          <w:p w14:paraId="17482093">
            <w:pPr>
              <w:adjustRightInd w:val="0"/>
              <w:spacing w:line="28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w:t>
            </w:r>
          </w:p>
        </w:tc>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31E6FC3F">
            <w:pPr>
              <w:adjustRightInd w:val="0"/>
              <w:spacing w:line="280" w:lineRule="exact"/>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茶水</w:t>
            </w:r>
          </w:p>
          <w:p w14:paraId="3EF44F0B">
            <w:pPr>
              <w:adjustRightInd w:val="0"/>
              <w:spacing w:line="280" w:lineRule="exact"/>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(洗手)</w:t>
            </w:r>
          </w:p>
          <w:p w14:paraId="32B471B2">
            <w:pPr>
              <w:adjustRightInd w:val="0"/>
              <w:spacing w:line="28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间</w:t>
            </w:r>
          </w:p>
        </w:tc>
        <w:tc>
          <w:tcPr>
            <w:tcW w:w="6934" w:type="dxa"/>
            <w:tcBorders>
              <w:top w:val="single" w:color="000000" w:sz="4" w:space="0"/>
              <w:left w:val="single" w:color="000000" w:sz="4" w:space="0"/>
              <w:bottom w:val="single" w:color="000000" w:sz="4" w:space="0"/>
              <w:right w:val="single" w:color="000000" w:sz="4" w:space="0"/>
            </w:tcBorders>
            <w:noWrap w:val="0"/>
            <w:vAlign w:val="center"/>
          </w:tcPr>
          <w:p w14:paraId="3D95A55B">
            <w:pPr>
              <w:adjustRightInd w:val="0"/>
              <w:spacing w:line="28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地面、墙面、台面、镜面、门框、玻璃窗、灯具、天花、风口的清洗消毒，达到无垃圾、无水迹、无污渍、无灰尘，垃圾桶清理及时。</w:t>
            </w:r>
          </w:p>
        </w:tc>
        <w:tc>
          <w:tcPr>
            <w:tcW w:w="1367" w:type="dxa"/>
            <w:vMerge w:val="continue"/>
            <w:tcBorders>
              <w:left w:val="single" w:color="000000" w:sz="4" w:space="0"/>
              <w:right w:val="single" w:color="000000" w:sz="4" w:space="0"/>
            </w:tcBorders>
            <w:noWrap w:val="0"/>
            <w:vAlign w:val="center"/>
          </w:tcPr>
          <w:p w14:paraId="0A47B846">
            <w:pPr>
              <w:adjustRightInd w:val="0"/>
              <w:spacing w:line="280" w:lineRule="exact"/>
              <w:jc w:val="center"/>
              <w:rPr>
                <w:rFonts w:hint="eastAsia" w:ascii="宋体" w:hAnsi="宋体" w:eastAsia="宋体" w:cs="宋体"/>
                <w:color w:val="auto"/>
                <w:szCs w:val="21"/>
                <w:highlight w:val="none"/>
              </w:rPr>
            </w:pPr>
          </w:p>
        </w:tc>
      </w:tr>
      <w:tr w14:paraId="56975628">
        <w:tblPrEx>
          <w:tblCellMar>
            <w:top w:w="15" w:type="dxa"/>
            <w:left w:w="15" w:type="dxa"/>
            <w:bottom w:w="15" w:type="dxa"/>
            <w:right w:w="15" w:type="dxa"/>
          </w:tblCellMar>
        </w:tblPrEx>
        <w:trPr>
          <w:trHeight w:val="654"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1A64AB">
            <w:pPr>
              <w:adjustRightInd w:val="0"/>
              <w:spacing w:line="280" w:lineRule="exact"/>
              <w:jc w:val="center"/>
              <w:rPr>
                <w:rFonts w:hint="eastAsia" w:ascii="宋体" w:hAnsi="宋体" w:eastAsia="宋体" w:cs="宋体"/>
                <w:color w:val="auto"/>
                <w:szCs w:val="21"/>
                <w:highlight w:val="none"/>
              </w:rPr>
            </w:pPr>
          </w:p>
        </w:tc>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C46646">
            <w:pPr>
              <w:adjustRightInd w:val="0"/>
              <w:spacing w:line="280" w:lineRule="exact"/>
              <w:jc w:val="center"/>
              <w:rPr>
                <w:rFonts w:hint="eastAsia" w:ascii="宋体" w:hAnsi="宋体" w:eastAsia="宋体" w:cs="宋体"/>
                <w:color w:val="auto"/>
                <w:szCs w:val="21"/>
                <w:highlight w:val="none"/>
              </w:rPr>
            </w:pPr>
          </w:p>
        </w:tc>
        <w:tc>
          <w:tcPr>
            <w:tcW w:w="6934" w:type="dxa"/>
            <w:tcBorders>
              <w:top w:val="single" w:color="000000" w:sz="4" w:space="0"/>
              <w:left w:val="single" w:color="000000" w:sz="4" w:space="0"/>
              <w:bottom w:val="single" w:color="000000" w:sz="4" w:space="0"/>
              <w:right w:val="single" w:color="000000" w:sz="4" w:space="0"/>
            </w:tcBorders>
            <w:noWrap w:val="0"/>
            <w:vAlign w:val="center"/>
          </w:tcPr>
          <w:p w14:paraId="3DCEC06D">
            <w:pPr>
              <w:adjustRightInd w:val="0"/>
              <w:spacing w:line="28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面盆、尿斗、坐厕清洗、水龙头除污垢、除锈斑、消毒，达到清洁无污垢、无积垢、无异味。</w:t>
            </w:r>
          </w:p>
        </w:tc>
        <w:tc>
          <w:tcPr>
            <w:tcW w:w="1367" w:type="dxa"/>
            <w:vMerge w:val="continue"/>
            <w:tcBorders>
              <w:left w:val="single" w:color="000000" w:sz="4" w:space="0"/>
              <w:right w:val="single" w:color="000000" w:sz="4" w:space="0"/>
            </w:tcBorders>
            <w:noWrap w:val="0"/>
            <w:vAlign w:val="center"/>
          </w:tcPr>
          <w:p w14:paraId="09EBFC49">
            <w:pPr>
              <w:adjustRightInd w:val="0"/>
              <w:spacing w:line="280" w:lineRule="exact"/>
              <w:jc w:val="center"/>
              <w:rPr>
                <w:rFonts w:hint="eastAsia" w:ascii="宋体" w:hAnsi="宋体" w:eastAsia="宋体" w:cs="宋体"/>
                <w:color w:val="auto"/>
                <w:szCs w:val="21"/>
                <w:highlight w:val="none"/>
              </w:rPr>
            </w:pPr>
          </w:p>
        </w:tc>
      </w:tr>
      <w:tr w14:paraId="15C67EAD">
        <w:tblPrEx>
          <w:tblCellMar>
            <w:top w:w="15" w:type="dxa"/>
            <w:left w:w="15" w:type="dxa"/>
            <w:bottom w:w="15" w:type="dxa"/>
            <w:right w:w="15" w:type="dxa"/>
          </w:tblCellMar>
        </w:tblPrEx>
        <w:trPr>
          <w:trHeight w:val="654" w:hRule="atLeast"/>
        </w:trPr>
        <w:tc>
          <w:tcPr>
            <w:tcW w:w="618" w:type="dxa"/>
            <w:vMerge w:val="restart"/>
            <w:tcBorders>
              <w:top w:val="single" w:color="000000" w:sz="4" w:space="0"/>
              <w:left w:val="single" w:color="000000" w:sz="4" w:space="0"/>
              <w:right w:val="single" w:color="000000" w:sz="4" w:space="0"/>
            </w:tcBorders>
            <w:noWrap w:val="0"/>
            <w:vAlign w:val="center"/>
          </w:tcPr>
          <w:p w14:paraId="3850A456">
            <w:pPr>
              <w:adjustRightInd w:val="0"/>
              <w:spacing w:line="28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w:t>
            </w:r>
          </w:p>
        </w:tc>
        <w:tc>
          <w:tcPr>
            <w:tcW w:w="819" w:type="dxa"/>
            <w:vMerge w:val="restart"/>
            <w:tcBorders>
              <w:top w:val="single" w:color="000000" w:sz="4" w:space="0"/>
              <w:left w:val="single" w:color="000000" w:sz="4" w:space="0"/>
              <w:right w:val="single" w:color="000000" w:sz="4" w:space="0"/>
            </w:tcBorders>
            <w:noWrap w:val="0"/>
            <w:vAlign w:val="center"/>
          </w:tcPr>
          <w:p w14:paraId="0C557E5E">
            <w:pPr>
              <w:adjustRightInd w:val="0"/>
              <w:spacing w:line="280" w:lineRule="exact"/>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消杀</w:t>
            </w:r>
          </w:p>
          <w:p w14:paraId="2EED56DE">
            <w:pPr>
              <w:adjustRightInd w:val="0"/>
              <w:spacing w:line="28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垃圾</w:t>
            </w:r>
          </w:p>
        </w:tc>
        <w:tc>
          <w:tcPr>
            <w:tcW w:w="6934" w:type="dxa"/>
            <w:tcBorders>
              <w:top w:val="single" w:color="000000" w:sz="4" w:space="0"/>
              <w:left w:val="single" w:color="000000" w:sz="4" w:space="0"/>
              <w:bottom w:val="single" w:color="000000" w:sz="4" w:space="0"/>
              <w:right w:val="single" w:color="000000" w:sz="4" w:space="0"/>
            </w:tcBorders>
            <w:noWrap w:val="0"/>
            <w:vAlign w:val="center"/>
          </w:tcPr>
          <w:p w14:paraId="3225D3DE">
            <w:pPr>
              <w:adjustRightInd w:val="0"/>
              <w:spacing w:line="28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消杀、垃圾清运的监督管理到位，记录规范,每次作业后需及时提交表单，由所辖区域的监管人确认签字。</w:t>
            </w:r>
          </w:p>
        </w:tc>
        <w:tc>
          <w:tcPr>
            <w:tcW w:w="1367" w:type="dxa"/>
            <w:vMerge w:val="continue"/>
            <w:tcBorders>
              <w:left w:val="single" w:color="000000" w:sz="4" w:space="0"/>
              <w:right w:val="single" w:color="000000" w:sz="4" w:space="0"/>
            </w:tcBorders>
            <w:noWrap w:val="0"/>
            <w:vAlign w:val="center"/>
          </w:tcPr>
          <w:p w14:paraId="380BF7B8">
            <w:pPr>
              <w:adjustRightInd w:val="0"/>
              <w:spacing w:line="280" w:lineRule="exact"/>
              <w:jc w:val="center"/>
              <w:rPr>
                <w:rFonts w:hint="eastAsia" w:ascii="宋体" w:hAnsi="宋体" w:eastAsia="宋体" w:cs="宋体"/>
                <w:color w:val="auto"/>
                <w:szCs w:val="21"/>
                <w:highlight w:val="none"/>
              </w:rPr>
            </w:pPr>
          </w:p>
        </w:tc>
      </w:tr>
      <w:tr w14:paraId="5619632D">
        <w:tblPrEx>
          <w:tblCellMar>
            <w:top w:w="15" w:type="dxa"/>
            <w:left w:w="15" w:type="dxa"/>
            <w:bottom w:w="15" w:type="dxa"/>
            <w:right w:w="15" w:type="dxa"/>
          </w:tblCellMar>
        </w:tblPrEx>
        <w:trPr>
          <w:trHeight w:val="960" w:hRule="atLeast"/>
        </w:trPr>
        <w:tc>
          <w:tcPr>
            <w:tcW w:w="618" w:type="dxa"/>
            <w:vMerge w:val="continue"/>
            <w:tcBorders>
              <w:left w:val="single" w:color="000000" w:sz="4" w:space="0"/>
              <w:right w:val="single" w:color="000000" w:sz="4" w:space="0"/>
            </w:tcBorders>
            <w:noWrap w:val="0"/>
            <w:vAlign w:val="center"/>
          </w:tcPr>
          <w:p w14:paraId="2900C424">
            <w:pPr>
              <w:adjustRightInd w:val="0"/>
              <w:spacing w:line="280" w:lineRule="exact"/>
              <w:jc w:val="center"/>
              <w:textAlignment w:val="center"/>
              <w:rPr>
                <w:rFonts w:hint="eastAsia" w:ascii="宋体" w:hAnsi="宋体" w:eastAsia="宋体" w:cs="宋体"/>
                <w:color w:val="auto"/>
                <w:kern w:val="0"/>
                <w:szCs w:val="21"/>
                <w:highlight w:val="none"/>
              </w:rPr>
            </w:pPr>
          </w:p>
        </w:tc>
        <w:tc>
          <w:tcPr>
            <w:tcW w:w="819" w:type="dxa"/>
            <w:vMerge w:val="continue"/>
            <w:tcBorders>
              <w:left w:val="single" w:color="000000" w:sz="4" w:space="0"/>
              <w:right w:val="single" w:color="000000" w:sz="4" w:space="0"/>
            </w:tcBorders>
            <w:noWrap w:val="0"/>
            <w:vAlign w:val="center"/>
          </w:tcPr>
          <w:p w14:paraId="775BBD92">
            <w:pPr>
              <w:adjustRightInd w:val="0"/>
              <w:spacing w:line="280" w:lineRule="exact"/>
              <w:jc w:val="center"/>
              <w:textAlignment w:val="center"/>
              <w:rPr>
                <w:rFonts w:hint="eastAsia" w:ascii="宋体" w:hAnsi="宋体" w:eastAsia="宋体" w:cs="宋体"/>
                <w:color w:val="auto"/>
                <w:kern w:val="0"/>
                <w:szCs w:val="21"/>
                <w:highlight w:val="none"/>
              </w:rPr>
            </w:pPr>
          </w:p>
        </w:tc>
        <w:tc>
          <w:tcPr>
            <w:tcW w:w="6934" w:type="dxa"/>
            <w:tcBorders>
              <w:top w:val="single" w:color="000000" w:sz="4" w:space="0"/>
              <w:left w:val="single" w:color="000000" w:sz="4" w:space="0"/>
              <w:bottom w:val="single" w:color="000000" w:sz="4" w:space="0"/>
              <w:right w:val="single" w:color="000000" w:sz="4" w:space="0"/>
            </w:tcBorders>
            <w:noWrap w:val="0"/>
            <w:vAlign w:val="center"/>
          </w:tcPr>
          <w:p w14:paraId="0D51F03D">
            <w:pPr>
              <w:adjustRightInd w:val="0"/>
              <w:spacing w:line="280" w:lineRule="exac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每月消杀频率：厨房灭四害4次;大楼内公共区域灭四害1次；室外垃圾桶周边灭蚊蝇3次;消杀效果：公共区域与食堂无明显鼠迹、无蚊蝇滋生地、抽查20间房蟑螂数不超过20只。</w:t>
            </w:r>
          </w:p>
        </w:tc>
        <w:tc>
          <w:tcPr>
            <w:tcW w:w="1367" w:type="dxa"/>
            <w:vMerge w:val="continue"/>
            <w:tcBorders>
              <w:left w:val="single" w:color="000000" w:sz="4" w:space="0"/>
              <w:right w:val="single" w:color="000000" w:sz="4" w:space="0"/>
            </w:tcBorders>
            <w:noWrap w:val="0"/>
            <w:vAlign w:val="center"/>
          </w:tcPr>
          <w:p w14:paraId="7965A038">
            <w:pPr>
              <w:adjustRightInd w:val="0"/>
              <w:spacing w:line="280" w:lineRule="exact"/>
              <w:jc w:val="center"/>
              <w:rPr>
                <w:rFonts w:hint="eastAsia" w:ascii="宋体" w:hAnsi="宋体" w:eastAsia="宋体" w:cs="宋体"/>
                <w:color w:val="auto"/>
                <w:szCs w:val="21"/>
                <w:highlight w:val="none"/>
              </w:rPr>
            </w:pPr>
          </w:p>
        </w:tc>
      </w:tr>
      <w:tr w14:paraId="599C46DF">
        <w:tblPrEx>
          <w:tblCellMar>
            <w:top w:w="15" w:type="dxa"/>
            <w:left w:w="15" w:type="dxa"/>
            <w:bottom w:w="15" w:type="dxa"/>
            <w:right w:w="15" w:type="dxa"/>
          </w:tblCellMar>
        </w:tblPrEx>
        <w:trPr>
          <w:trHeight w:val="654" w:hRule="atLeast"/>
        </w:trPr>
        <w:tc>
          <w:tcPr>
            <w:tcW w:w="618" w:type="dxa"/>
            <w:vMerge w:val="continue"/>
            <w:tcBorders>
              <w:left w:val="single" w:color="000000" w:sz="4" w:space="0"/>
              <w:right w:val="single" w:color="000000" w:sz="4" w:space="0"/>
            </w:tcBorders>
            <w:noWrap w:val="0"/>
            <w:vAlign w:val="center"/>
          </w:tcPr>
          <w:p w14:paraId="22712484">
            <w:pPr>
              <w:adjustRightInd w:val="0"/>
              <w:spacing w:line="280" w:lineRule="exact"/>
              <w:jc w:val="center"/>
              <w:textAlignment w:val="center"/>
              <w:rPr>
                <w:rFonts w:hint="eastAsia" w:ascii="宋体" w:hAnsi="宋体" w:eastAsia="宋体" w:cs="宋体"/>
                <w:color w:val="auto"/>
                <w:kern w:val="0"/>
                <w:szCs w:val="21"/>
                <w:highlight w:val="none"/>
              </w:rPr>
            </w:pPr>
          </w:p>
        </w:tc>
        <w:tc>
          <w:tcPr>
            <w:tcW w:w="819" w:type="dxa"/>
            <w:vMerge w:val="continue"/>
            <w:tcBorders>
              <w:left w:val="single" w:color="000000" w:sz="4" w:space="0"/>
              <w:right w:val="single" w:color="000000" w:sz="4" w:space="0"/>
            </w:tcBorders>
            <w:noWrap w:val="0"/>
            <w:vAlign w:val="center"/>
          </w:tcPr>
          <w:p w14:paraId="10B91349">
            <w:pPr>
              <w:adjustRightInd w:val="0"/>
              <w:spacing w:line="280" w:lineRule="exact"/>
              <w:jc w:val="center"/>
              <w:textAlignment w:val="center"/>
              <w:rPr>
                <w:rFonts w:hint="eastAsia" w:ascii="宋体" w:hAnsi="宋体" w:eastAsia="宋体" w:cs="宋体"/>
                <w:color w:val="auto"/>
                <w:kern w:val="0"/>
                <w:szCs w:val="21"/>
                <w:highlight w:val="none"/>
              </w:rPr>
            </w:pPr>
          </w:p>
        </w:tc>
        <w:tc>
          <w:tcPr>
            <w:tcW w:w="6934" w:type="dxa"/>
            <w:tcBorders>
              <w:top w:val="single" w:color="000000" w:sz="4" w:space="0"/>
              <w:left w:val="single" w:color="000000" w:sz="4" w:space="0"/>
              <w:bottom w:val="single" w:color="000000" w:sz="4" w:space="0"/>
              <w:right w:val="single" w:color="000000" w:sz="4" w:space="0"/>
            </w:tcBorders>
            <w:noWrap w:val="0"/>
            <w:vAlign w:val="center"/>
          </w:tcPr>
          <w:p w14:paraId="176D0685">
            <w:pPr>
              <w:adjustRightInd w:val="0"/>
              <w:spacing w:line="280" w:lineRule="exac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生活垃圾日产日清，垃圾堆放点无明显异味,建筑垃圾积满一车及时清运，不妨碍公共秩序。</w:t>
            </w:r>
          </w:p>
        </w:tc>
        <w:tc>
          <w:tcPr>
            <w:tcW w:w="1367" w:type="dxa"/>
            <w:vMerge w:val="continue"/>
            <w:tcBorders>
              <w:left w:val="single" w:color="000000" w:sz="4" w:space="0"/>
              <w:right w:val="single" w:color="000000" w:sz="4" w:space="0"/>
            </w:tcBorders>
            <w:noWrap w:val="0"/>
            <w:vAlign w:val="center"/>
          </w:tcPr>
          <w:p w14:paraId="3126BC3B">
            <w:pPr>
              <w:adjustRightInd w:val="0"/>
              <w:spacing w:line="280" w:lineRule="exact"/>
              <w:jc w:val="center"/>
              <w:rPr>
                <w:rFonts w:hint="eastAsia" w:ascii="宋体" w:hAnsi="宋体" w:eastAsia="宋体" w:cs="宋体"/>
                <w:color w:val="auto"/>
                <w:szCs w:val="21"/>
                <w:highlight w:val="none"/>
              </w:rPr>
            </w:pPr>
          </w:p>
        </w:tc>
      </w:tr>
      <w:tr w14:paraId="20D21F4D">
        <w:tblPrEx>
          <w:tblCellMar>
            <w:top w:w="15" w:type="dxa"/>
            <w:left w:w="15" w:type="dxa"/>
            <w:bottom w:w="15" w:type="dxa"/>
            <w:right w:w="15" w:type="dxa"/>
          </w:tblCellMar>
        </w:tblPrEx>
        <w:trPr>
          <w:trHeight w:val="349" w:hRule="atLeast"/>
        </w:trPr>
        <w:tc>
          <w:tcPr>
            <w:tcW w:w="618" w:type="dxa"/>
            <w:vMerge w:val="restart"/>
            <w:tcBorders>
              <w:top w:val="single" w:color="000000" w:sz="4" w:space="0"/>
              <w:left w:val="single" w:color="000000" w:sz="4" w:space="0"/>
              <w:right w:val="single" w:color="000000" w:sz="4" w:space="0"/>
            </w:tcBorders>
            <w:noWrap w:val="0"/>
            <w:vAlign w:val="center"/>
          </w:tcPr>
          <w:p w14:paraId="7470D061">
            <w:pPr>
              <w:adjustRightInd w:val="0"/>
              <w:spacing w:line="28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w:t>
            </w:r>
          </w:p>
        </w:tc>
        <w:tc>
          <w:tcPr>
            <w:tcW w:w="819" w:type="dxa"/>
            <w:vMerge w:val="restart"/>
            <w:tcBorders>
              <w:top w:val="single" w:color="000000" w:sz="4" w:space="0"/>
              <w:left w:val="single" w:color="000000" w:sz="4" w:space="0"/>
              <w:right w:val="single" w:color="000000" w:sz="4" w:space="0"/>
            </w:tcBorders>
            <w:noWrap w:val="0"/>
            <w:vAlign w:val="center"/>
          </w:tcPr>
          <w:p w14:paraId="655F2B09">
            <w:pPr>
              <w:adjustRightInd w:val="0"/>
              <w:spacing w:line="28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其它</w:t>
            </w:r>
          </w:p>
        </w:tc>
        <w:tc>
          <w:tcPr>
            <w:tcW w:w="6934" w:type="dxa"/>
            <w:tcBorders>
              <w:top w:val="single" w:color="000000" w:sz="4" w:space="0"/>
              <w:left w:val="single" w:color="000000" w:sz="4" w:space="0"/>
              <w:bottom w:val="single" w:color="000000" w:sz="4" w:space="0"/>
              <w:right w:val="single" w:color="000000" w:sz="4" w:space="0"/>
            </w:tcBorders>
            <w:noWrap w:val="0"/>
            <w:vAlign w:val="center"/>
          </w:tcPr>
          <w:p w14:paraId="4AC7364D">
            <w:pPr>
              <w:adjustRightInd w:val="0"/>
              <w:spacing w:line="28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保持办公室、服务间、仓库、休息室、更衣室的清洁，整齐有序。</w:t>
            </w:r>
          </w:p>
        </w:tc>
        <w:tc>
          <w:tcPr>
            <w:tcW w:w="1367" w:type="dxa"/>
            <w:vMerge w:val="continue"/>
            <w:tcBorders>
              <w:left w:val="single" w:color="000000" w:sz="4" w:space="0"/>
              <w:right w:val="single" w:color="000000" w:sz="4" w:space="0"/>
            </w:tcBorders>
            <w:noWrap w:val="0"/>
            <w:vAlign w:val="center"/>
          </w:tcPr>
          <w:p w14:paraId="70905D34">
            <w:pPr>
              <w:adjustRightInd w:val="0"/>
              <w:spacing w:line="280" w:lineRule="exact"/>
              <w:jc w:val="center"/>
              <w:rPr>
                <w:rFonts w:hint="eastAsia" w:ascii="宋体" w:hAnsi="宋体" w:eastAsia="宋体" w:cs="宋体"/>
                <w:color w:val="auto"/>
                <w:szCs w:val="21"/>
                <w:highlight w:val="none"/>
              </w:rPr>
            </w:pPr>
          </w:p>
        </w:tc>
      </w:tr>
      <w:tr w14:paraId="5821104C">
        <w:tblPrEx>
          <w:tblCellMar>
            <w:top w:w="15" w:type="dxa"/>
            <w:left w:w="15" w:type="dxa"/>
            <w:bottom w:w="15" w:type="dxa"/>
            <w:right w:w="15" w:type="dxa"/>
          </w:tblCellMar>
        </w:tblPrEx>
        <w:trPr>
          <w:trHeight w:val="654" w:hRule="atLeast"/>
        </w:trPr>
        <w:tc>
          <w:tcPr>
            <w:tcW w:w="618" w:type="dxa"/>
            <w:vMerge w:val="continue"/>
            <w:tcBorders>
              <w:left w:val="single" w:color="000000" w:sz="4" w:space="0"/>
              <w:right w:val="single" w:color="000000" w:sz="4" w:space="0"/>
            </w:tcBorders>
            <w:noWrap w:val="0"/>
            <w:vAlign w:val="center"/>
          </w:tcPr>
          <w:p w14:paraId="059802D8">
            <w:pPr>
              <w:adjustRightInd w:val="0"/>
              <w:spacing w:line="280" w:lineRule="exact"/>
              <w:jc w:val="center"/>
              <w:rPr>
                <w:rFonts w:hint="eastAsia" w:ascii="宋体" w:hAnsi="宋体" w:eastAsia="宋体" w:cs="宋体"/>
                <w:color w:val="auto"/>
                <w:szCs w:val="21"/>
                <w:highlight w:val="none"/>
              </w:rPr>
            </w:pPr>
          </w:p>
        </w:tc>
        <w:tc>
          <w:tcPr>
            <w:tcW w:w="819" w:type="dxa"/>
            <w:vMerge w:val="continue"/>
            <w:tcBorders>
              <w:left w:val="single" w:color="000000" w:sz="4" w:space="0"/>
              <w:right w:val="single" w:color="000000" w:sz="4" w:space="0"/>
            </w:tcBorders>
            <w:noWrap w:val="0"/>
            <w:vAlign w:val="center"/>
          </w:tcPr>
          <w:p w14:paraId="14B39749">
            <w:pPr>
              <w:adjustRightInd w:val="0"/>
              <w:spacing w:line="280" w:lineRule="exact"/>
              <w:jc w:val="center"/>
              <w:rPr>
                <w:rFonts w:hint="eastAsia" w:ascii="宋体" w:hAnsi="宋体" w:eastAsia="宋体" w:cs="宋体"/>
                <w:color w:val="auto"/>
                <w:szCs w:val="21"/>
                <w:highlight w:val="none"/>
              </w:rPr>
            </w:pPr>
          </w:p>
        </w:tc>
        <w:tc>
          <w:tcPr>
            <w:tcW w:w="6934" w:type="dxa"/>
            <w:tcBorders>
              <w:top w:val="single" w:color="000000" w:sz="4" w:space="0"/>
              <w:left w:val="single" w:color="000000" w:sz="4" w:space="0"/>
              <w:bottom w:val="single" w:color="000000" w:sz="4" w:space="0"/>
              <w:right w:val="single" w:color="000000" w:sz="4" w:space="0"/>
            </w:tcBorders>
            <w:noWrap w:val="0"/>
            <w:vAlign w:val="center"/>
          </w:tcPr>
          <w:p w14:paraId="6E18E7E1">
            <w:pPr>
              <w:adjustRightInd w:val="0"/>
              <w:spacing w:line="28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职责明确，各种制度齐全、完善，执行到位；学习培训到位；记录真实、规范。</w:t>
            </w:r>
          </w:p>
        </w:tc>
        <w:tc>
          <w:tcPr>
            <w:tcW w:w="1367" w:type="dxa"/>
            <w:vMerge w:val="continue"/>
            <w:tcBorders>
              <w:left w:val="single" w:color="000000" w:sz="4" w:space="0"/>
              <w:right w:val="single" w:color="000000" w:sz="4" w:space="0"/>
            </w:tcBorders>
            <w:noWrap w:val="0"/>
            <w:vAlign w:val="center"/>
          </w:tcPr>
          <w:p w14:paraId="7AC13BF4">
            <w:pPr>
              <w:adjustRightInd w:val="0"/>
              <w:spacing w:line="280" w:lineRule="exact"/>
              <w:jc w:val="center"/>
              <w:rPr>
                <w:rFonts w:hint="eastAsia" w:ascii="宋体" w:hAnsi="宋体" w:eastAsia="宋体" w:cs="宋体"/>
                <w:color w:val="auto"/>
                <w:szCs w:val="21"/>
                <w:highlight w:val="none"/>
              </w:rPr>
            </w:pPr>
          </w:p>
        </w:tc>
      </w:tr>
      <w:tr w14:paraId="6B62B12F">
        <w:tblPrEx>
          <w:tblCellMar>
            <w:top w:w="15" w:type="dxa"/>
            <w:left w:w="15" w:type="dxa"/>
            <w:bottom w:w="15" w:type="dxa"/>
            <w:right w:w="15" w:type="dxa"/>
          </w:tblCellMar>
        </w:tblPrEx>
        <w:trPr>
          <w:trHeight w:val="654" w:hRule="atLeast"/>
        </w:trPr>
        <w:tc>
          <w:tcPr>
            <w:tcW w:w="618" w:type="dxa"/>
            <w:vMerge w:val="continue"/>
            <w:tcBorders>
              <w:left w:val="single" w:color="000000" w:sz="4" w:space="0"/>
              <w:right w:val="single" w:color="000000" w:sz="4" w:space="0"/>
            </w:tcBorders>
            <w:noWrap w:val="0"/>
            <w:vAlign w:val="center"/>
          </w:tcPr>
          <w:p w14:paraId="6C677D6F">
            <w:pPr>
              <w:adjustRightInd w:val="0"/>
              <w:spacing w:line="280" w:lineRule="exact"/>
              <w:jc w:val="center"/>
              <w:rPr>
                <w:rFonts w:hint="eastAsia" w:ascii="宋体" w:hAnsi="宋体" w:eastAsia="宋体" w:cs="宋体"/>
                <w:color w:val="auto"/>
                <w:szCs w:val="21"/>
                <w:highlight w:val="none"/>
              </w:rPr>
            </w:pPr>
          </w:p>
        </w:tc>
        <w:tc>
          <w:tcPr>
            <w:tcW w:w="819" w:type="dxa"/>
            <w:vMerge w:val="continue"/>
            <w:tcBorders>
              <w:left w:val="single" w:color="000000" w:sz="4" w:space="0"/>
              <w:right w:val="single" w:color="000000" w:sz="4" w:space="0"/>
            </w:tcBorders>
            <w:noWrap w:val="0"/>
            <w:vAlign w:val="center"/>
          </w:tcPr>
          <w:p w14:paraId="3FCCC6A3">
            <w:pPr>
              <w:adjustRightInd w:val="0"/>
              <w:spacing w:line="280" w:lineRule="exact"/>
              <w:jc w:val="center"/>
              <w:rPr>
                <w:rFonts w:hint="eastAsia" w:ascii="宋体" w:hAnsi="宋体" w:eastAsia="宋体" w:cs="宋体"/>
                <w:color w:val="auto"/>
                <w:szCs w:val="21"/>
                <w:highlight w:val="none"/>
              </w:rPr>
            </w:pPr>
          </w:p>
        </w:tc>
        <w:tc>
          <w:tcPr>
            <w:tcW w:w="6934" w:type="dxa"/>
            <w:tcBorders>
              <w:top w:val="single" w:color="000000" w:sz="4" w:space="0"/>
              <w:left w:val="single" w:color="000000" w:sz="4" w:space="0"/>
              <w:bottom w:val="single" w:color="000000" w:sz="4" w:space="0"/>
              <w:right w:val="single" w:color="000000" w:sz="4" w:space="0"/>
            </w:tcBorders>
            <w:noWrap w:val="0"/>
            <w:vAlign w:val="center"/>
          </w:tcPr>
          <w:p w14:paraId="6EC54EC5">
            <w:pPr>
              <w:adjustRightInd w:val="0"/>
              <w:spacing w:line="28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工作流程、操作规程规范、完善，落实到位；工作计划合理，执行到位。总结及时、持续改善。</w:t>
            </w:r>
          </w:p>
        </w:tc>
        <w:tc>
          <w:tcPr>
            <w:tcW w:w="1367" w:type="dxa"/>
            <w:vMerge w:val="continue"/>
            <w:tcBorders>
              <w:left w:val="single" w:color="000000" w:sz="4" w:space="0"/>
              <w:right w:val="single" w:color="000000" w:sz="4" w:space="0"/>
            </w:tcBorders>
            <w:noWrap w:val="0"/>
            <w:vAlign w:val="center"/>
          </w:tcPr>
          <w:p w14:paraId="0E7702F5">
            <w:pPr>
              <w:adjustRightInd w:val="0"/>
              <w:spacing w:line="280" w:lineRule="exact"/>
              <w:jc w:val="center"/>
              <w:rPr>
                <w:rFonts w:hint="eastAsia" w:ascii="宋体" w:hAnsi="宋体" w:eastAsia="宋体" w:cs="宋体"/>
                <w:color w:val="auto"/>
                <w:szCs w:val="21"/>
                <w:highlight w:val="none"/>
              </w:rPr>
            </w:pPr>
          </w:p>
        </w:tc>
      </w:tr>
      <w:tr w14:paraId="32E39E33">
        <w:tblPrEx>
          <w:tblCellMar>
            <w:top w:w="15" w:type="dxa"/>
            <w:left w:w="15" w:type="dxa"/>
            <w:bottom w:w="15" w:type="dxa"/>
            <w:right w:w="15" w:type="dxa"/>
          </w:tblCellMar>
        </w:tblPrEx>
        <w:trPr>
          <w:trHeight w:val="349" w:hRule="atLeast"/>
        </w:trPr>
        <w:tc>
          <w:tcPr>
            <w:tcW w:w="618" w:type="dxa"/>
            <w:vMerge w:val="continue"/>
            <w:tcBorders>
              <w:left w:val="single" w:color="000000" w:sz="4" w:space="0"/>
              <w:right w:val="single" w:color="000000" w:sz="4" w:space="0"/>
            </w:tcBorders>
            <w:noWrap w:val="0"/>
            <w:vAlign w:val="center"/>
          </w:tcPr>
          <w:p w14:paraId="75B22582">
            <w:pPr>
              <w:adjustRightInd w:val="0"/>
              <w:spacing w:line="280" w:lineRule="exact"/>
              <w:jc w:val="center"/>
              <w:rPr>
                <w:rFonts w:hint="eastAsia" w:ascii="宋体" w:hAnsi="宋体" w:eastAsia="宋体" w:cs="宋体"/>
                <w:color w:val="auto"/>
                <w:szCs w:val="21"/>
                <w:highlight w:val="none"/>
              </w:rPr>
            </w:pPr>
          </w:p>
        </w:tc>
        <w:tc>
          <w:tcPr>
            <w:tcW w:w="819" w:type="dxa"/>
            <w:vMerge w:val="continue"/>
            <w:tcBorders>
              <w:left w:val="single" w:color="000000" w:sz="4" w:space="0"/>
              <w:right w:val="single" w:color="000000" w:sz="4" w:space="0"/>
            </w:tcBorders>
            <w:noWrap w:val="0"/>
            <w:vAlign w:val="center"/>
          </w:tcPr>
          <w:p w14:paraId="54D4C35C">
            <w:pPr>
              <w:adjustRightInd w:val="0"/>
              <w:spacing w:line="280" w:lineRule="exact"/>
              <w:jc w:val="center"/>
              <w:rPr>
                <w:rFonts w:hint="eastAsia" w:ascii="宋体" w:hAnsi="宋体" w:eastAsia="宋体" w:cs="宋体"/>
                <w:color w:val="auto"/>
                <w:szCs w:val="21"/>
                <w:highlight w:val="none"/>
              </w:rPr>
            </w:pPr>
          </w:p>
        </w:tc>
        <w:tc>
          <w:tcPr>
            <w:tcW w:w="6934" w:type="dxa"/>
            <w:tcBorders>
              <w:top w:val="single" w:color="000000" w:sz="4" w:space="0"/>
              <w:left w:val="single" w:color="000000" w:sz="4" w:space="0"/>
              <w:bottom w:val="single" w:color="000000" w:sz="4" w:space="0"/>
              <w:right w:val="single" w:color="000000" w:sz="4" w:space="0"/>
            </w:tcBorders>
            <w:noWrap w:val="0"/>
            <w:vAlign w:val="center"/>
          </w:tcPr>
          <w:p w14:paraId="5C974A7E">
            <w:pPr>
              <w:adjustRightInd w:val="0"/>
              <w:spacing w:line="28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物资（设备、工具、保洁用品）管理使用规范，备案及时。</w:t>
            </w:r>
          </w:p>
        </w:tc>
        <w:tc>
          <w:tcPr>
            <w:tcW w:w="1367" w:type="dxa"/>
            <w:vMerge w:val="continue"/>
            <w:tcBorders>
              <w:left w:val="single" w:color="000000" w:sz="4" w:space="0"/>
              <w:right w:val="single" w:color="000000" w:sz="4" w:space="0"/>
            </w:tcBorders>
            <w:noWrap w:val="0"/>
            <w:vAlign w:val="center"/>
          </w:tcPr>
          <w:p w14:paraId="77C1B8CC">
            <w:pPr>
              <w:adjustRightInd w:val="0"/>
              <w:spacing w:line="280" w:lineRule="exact"/>
              <w:jc w:val="center"/>
              <w:rPr>
                <w:rFonts w:hint="eastAsia" w:ascii="宋体" w:hAnsi="宋体" w:eastAsia="宋体" w:cs="宋体"/>
                <w:color w:val="auto"/>
                <w:szCs w:val="21"/>
                <w:highlight w:val="none"/>
              </w:rPr>
            </w:pPr>
          </w:p>
        </w:tc>
      </w:tr>
      <w:tr w14:paraId="35A9AED9">
        <w:tblPrEx>
          <w:tblCellMar>
            <w:top w:w="15" w:type="dxa"/>
            <w:left w:w="15" w:type="dxa"/>
            <w:bottom w:w="15" w:type="dxa"/>
            <w:right w:w="15" w:type="dxa"/>
          </w:tblCellMar>
        </w:tblPrEx>
        <w:trPr>
          <w:trHeight w:val="349" w:hRule="atLeast"/>
        </w:trPr>
        <w:tc>
          <w:tcPr>
            <w:tcW w:w="618" w:type="dxa"/>
            <w:vMerge w:val="continue"/>
            <w:tcBorders>
              <w:left w:val="single" w:color="000000" w:sz="4" w:space="0"/>
              <w:right w:val="single" w:color="000000" w:sz="4" w:space="0"/>
            </w:tcBorders>
            <w:noWrap w:val="0"/>
            <w:vAlign w:val="center"/>
          </w:tcPr>
          <w:p w14:paraId="68E7878B">
            <w:pPr>
              <w:adjustRightInd w:val="0"/>
              <w:spacing w:line="280" w:lineRule="exact"/>
              <w:jc w:val="center"/>
              <w:rPr>
                <w:rFonts w:hint="eastAsia" w:ascii="宋体" w:hAnsi="宋体" w:eastAsia="宋体" w:cs="宋体"/>
                <w:color w:val="auto"/>
                <w:szCs w:val="21"/>
                <w:highlight w:val="none"/>
              </w:rPr>
            </w:pPr>
          </w:p>
        </w:tc>
        <w:tc>
          <w:tcPr>
            <w:tcW w:w="819" w:type="dxa"/>
            <w:vMerge w:val="continue"/>
            <w:tcBorders>
              <w:left w:val="single" w:color="000000" w:sz="4" w:space="0"/>
              <w:right w:val="single" w:color="000000" w:sz="4" w:space="0"/>
            </w:tcBorders>
            <w:noWrap w:val="0"/>
            <w:vAlign w:val="center"/>
          </w:tcPr>
          <w:p w14:paraId="2CF0BC4C">
            <w:pPr>
              <w:adjustRightInd w:val="0"/>
              <w:spacing w:line="280" w:lineRule="exact"/>
              <w:jc w:val="center"/>
              <w:rPr>
                <w:rFonts w:hint="eastAsia" w:ascii="宋体" w:hAnsi="宋体" w:eastAsia="宋体" w:cs="宋体"/>
                <w:color w:val="auto"/>
                <w:szCs w:val="21"/>
                <w:highlight w:val="none"/>
              </w:rPr>
            </w:pPr>
          </w:p>
        </w:tc>
        <w:tc>
          <w:tcPr>
            <w:tcW w:w="6934" w:type="dxa"/>
            <w:tcBorders>
              <w:top w:val="single" w:color="000000" w:sz="4" w:space="0"/>
              <w:left w:val="single" w:color="000000" w:sz="4" w:space="0"/>
              <w:bottom w:val="single" w:color="000000" w:sz="4" w:space="0"/>
              <w:right w:val="single" w:color="000000" w:sz="4" w:space="0"/>
            </w:tcBorders>
            <w:noWrap w:val="0"/>
            <w:vAlign w:val="center"/>
          </w:tcPr>
          <w:p w14:paraId="04795F0A">
            <w:pPr>
              <w:adjustRightInd w:val="0"/>
              <w:spacing w:line="28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节能减排工作落实到位。</w:t>
            </w:r>
          </w:p>
        </w:tc>
        <w:tc>
          <w:tcPr>
            <w:tcW w:w="1367" w:type="dxa"/>
            <w:vMerge w:val="continue"/>
            <w:tcBorders>
              <w:left w:val="single" w:color="000000" w:sz="4" w:space="0"/>
              <w:right w:val="single" w:color="000000" w:sz="4" w:space="0"/>
            </w:tcBorders>
            <w:noWrap w:val="0"/>
            <w:vAlign w:val="center"/>
          </w:tcPr>
          <w:p w14:paraId="6991E2FE">
            <w:pPr>
              <w:adjustRightInd w:val="0"/>
              <w:spacing w:line="280" w:lineRule="exact"/>
              <w:jc w:val="center"/>
              <w:rPr>
                <w:rFonts w:hint="eastAsia" w:ascii="宋体" w:hAnsi="宋体" w:eastAsia="宋体" w:cs="宋体"/>
                <w:color w:val="auto"/>
                <w:szCs w:val="21"/>
                <w:highlight w:val="none"/>
              </w:rPr>
            </w:pPr>
          </w:p>
        </w:tc>
      </w:tr>
      <w:tr w14:paraId="12EA7C56">
        <w:tblPrEx>
          <w:tblCellMar>
            <w:top w:w="15" w:type="dxa"/>
            <w:left w:w="15" w:type="dxa"/>
            <w:bottom w:w="15" w:type="dxa"/>
            <w:right w:w="15" w:type="dxa"/>
          </w:tblCellMar>
        </w:tblPrEx>
        <w:trPr>
          <w:trHeight w:val="654" w:hRule="atLeast"/>
        </w:trPr>
        <w:tc>
          <w:tcPr>
            <w:tcW w:w="618" w:type="dxa"/>
            <w:vMerge w:val="continue"/>
            <w:tcBorders>
              <w:left w:val="single" w:color="000000" w:sz="4" w:space="0"/>
              <w:bottom w:val="single" w:color="000000" w:sz="4" w:space="0"/>
              <w:right w:val="single" w:color="000000" w:sz="4" w:space="0"/>
            </w:tcBorders>
            <w:noWrap w:val="0"/>
            <w:vAlign w:val="center"/>
          </w:tcPr>
          <w:p w14:paraId="4B19A568">
            <w:pPr>
              <w:adjustRightInd w:val="0"/>
              <w:spacing w:line="280" w:lineRule="exact"/>
              <w:jc w:val="center"/>
              <w:rPr>
                <w:rFonts w:hint="eastAsia" w:ascii="宋体" w:hAnsi="宋体" w:eastAsia="宋体" w:cs="宋体"/>
                <w:color w:val="auto"/>
                <w:szCs w:val="21"/>
                <w:highlight w:val="none"/>
              </w:rPr>
            </w:pPr>
          </w:p>
        </w:tc>
        <w:tc>
          <w:tcPr>
            <w:tcW w:w="819" w:type="dxa"/>
            <w:vMerge w:val="continue"/>
            <w:tcBorders>
              <w:left w:val="single" w:color="000000" w:sz="4" w:space="0"/>
              <w:bottom w:val="single" w:color="000000" w:sz="4" w:space="0"/>
              <w:right w:val="single" w:color="000000" w:sz="4" w:space="0"/>
            </w:tcBorders>
            <w:noWrap w:val="0"/>
            <w:vAlign w:val="center"/>
          </w:tcPr>
          <w:p w14:paraId="08EEEB36">
            <w:pPr>
              <w:adjustRightInd w:val="0"/>
              <w:spacing w:line="280" w:lineRule="exact"/>
              <w:jc w:val="center"/>
              <w:rPr>
                <w:rFonts w:hint="eastAsia" w:ascii="宋体" w:hAnsi="宋体" w:eastAsia="宋体" w:cs="宋体"/>
                <w:color w:val="auto"/>
                <w:szCs w:val="21"/>
                <w:highlight w:val="none"/>
              </w:rPr>
            </w:pPr>
          </w:p>
        </w:tc>
        <w:tc>
          <w:tcPr>
            <w:tcW w:w="6934" w:type="dxa"/>
            <w:tcBorders>
              <w:top w:val="single" w:color="000000" w:sz="4" w:space="0"/>
              <w:left w:val="single" w:color="000000" w:sz="4" w:space="0"/>
              <w:bottom w:val="single" w:color="000000" w:sz="4" w:space="0"/>
              <w:right w:val="single" w:color="000000" w:sz="4" w:space="0"/>
            </w:tcBorders>
            <w:noWrap w:val="0"/>
            <w:vAlign w:val="center"/>
          </w:tcPr>
          <w:p w14:paraId="5CBCBDB7">
            <w:pPr>
              <w:adjustRightInd w:val="0"/>
              <w:spacing w:line="280" w:lineRule="exac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0"/>
                <w:highlight w:val="none"/>
              </w:rPr>
              <w:t>保洁人员在工作和休息时间保持安静，不大声喧哗，遇到业主礼节性问好，热情友善。</w:t>
            </w:r>
          </w:p>
        </w:tc>
        <w:tc>
          <w:tcPr>
            <w:tcW w:w="1367" w:type="dxa"/>
            <w:vMerge w:val="continue"/>
            <w:tcBorders>
              <w:left w:val="single" w:color="000000" w:sz="4" w:space="0"/>
              <w:bottom w:val="single" w:color="000000" w:sz="4" w:space="0"/>
              <w:right w:val="single" w:color="000000" w:sz="4" w:space="0"/>
            </w:tcBorders>
            <w:noWrap w:val="0"/>
            <w:vAlign w:val="center"/>
          </w:tcPr>
          <w:p w14:paraId="0EAEE3CD">
            <w:pPr>
              <w:adjustRightInd w:val="0"/>
              <w:spacing w:line="280" w:lineRule="exact"/>
              <w:jc w:val="center"/>
              <w:rPr>
                <w:rFonts w:hint="eastAsia" w:ascii="宋体" w:hAnsi="宋体" w:eastAsia="宋体" w:cs="宋体"/>
                <w:color w:val="auto"/>
                <w:szCs w:val="21"/>
                <w:highlight w:val="none"/>
              </w:rPr>
            </w:pPr>
          </w:p>
        </w:tc>
      </w:tr>
      <w:tr w14:paraId="16DDC47C">
        <w:tblPrEx>
          <w:tblCellMar>
            <w:top w:w="15" w:type="dxa"/>
            <w:left w:w="15" w:type="dxa"/>
            <w:bottom w:w="15" w:type="dxa"/>
            <w:right w:w="15" w:type="dxa"/>
          </w:tblCellMar>
        </w:tblPrEx>
        <w:trPr>
          <w:trHeight w:val="360" w:hRule="atLeast"/>
        </w:trPr>
        <w:tc>
          <w:tcPr>
            <w:tcW w:w="9738" w:type="dxa"/>
            <w:gridSpan w:val="4"/>
            <w:tcBorders>
              <w:top w:val="single" w:color="000000" w:sz="4" w:space="0"/>
              <w:left w:val="single" w:color="000000" w:sz="4" w:space="0"/>
              <w:bottom w:val="single" w:color="000000" w:sz="4" w:space="0"/>
              <w:right w:val="single" w:color="000000" w:sz="4" w:space="0"/>
            </w:tcBorders>
            <w:noWrap w:val="0"/>
            <w:vAlign w:val="center"/>
          </w:tcPr>
          <w:p w14:paraId="2407C40F">
            <w:pPr>
              <w:adjustRightInd w:val="0"/>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总分值</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分，每发现一个不符合项，按照</w:t>
            </w:r>
            <w:r>
              <w:rPr>
                <w:rFonts w:hint="eastAsia" w:ascii="宋体" w:hAnsi="宋体" w:eastAsia="宋体" w:cs="宋体"/>
                <w:color w:val="auto"/>
                <w:kern w:val="0"/>
                <w:szCs w:val="21"/>
                <w:highlight w:val="none"/>
                <w:lang w:val="en-US" w:eastAsia="zh-CN"/>
              </w:rPr>
              <w:t>规定</w:t>
            </w:r>
            <w:r>
              <w:rPr>
                <w:rFonts w:hint="eastAsia" w:ascii="宋体" w:hAnsi="宋体" w:eastAsia="宋体" w:cs="宋体"/>
                <w:color w:val="auto"/>
                <w:kern w:val="0"/>
                <w:szCs w:val="21"/>
                <w:highlight w:val="none"/>
              </w:rPr>
              <w:t>扣分。</w:t>
            </w:r>
          </w:p>
        </w:tc>
      </w:tr>
    </w:tbl>
    <w:p w14:paraId="48AFDC43">
      <w:pPr>
        <w:keepNext w:val="0"/>
        <w:keepLines w:val="0"/>
        <w:pageBreakBefore w:val="0"/>
        <w:kinsoku/>
        <w:wordWrap/>
        <w:overflowPunct/>
        <w:topLinePunct w:val="0"/>
        <w:bidi w:val="0"/>
        <w:adjustRightInd w:val="0"/>
        <w:snapToGrid w:val="0"/>
        <w:spacing w:line="460" w:lineRule="exact"/>
        <w:outlineLvl w:val="9"/>
        <w:rPr>
          <w:rFonts w:hint="eastAsia" w:ascii="新宋体" w:hAnsi="新宋体" w:eastAsia="新宋体" w:cs="新宋体"/>
          <w:color w:val="auto"/>
          <w:sz w:val="22"/>
          <w:szCs w:val="22"/>
          <w:highlight w:val="none"/>
        </w:rPr>
      </w:pPr>
    </w:p>
    <w:p w14:paraId="5E79C6AD">
      <w:pPr>
        <w:pStyle w:val="2"/>
        <w:rPr>
          <w:rFonts w:hint="eastAsia" w:ascii="新宋体" w:hAnsi="新宋体" w:eastAsia="新宋体" w:cs="新宋体"/>
          <w:color w:val="auto"/>
          <w:sz w:val="22"/>
          <w:szCs w:val="22"/>
          <w:highlight w:val="none"/>
        </w:rPr>
      </w:pPr>
    </w:p>
    <w:p w14:paraId="7C004058">
      <w:pPr>
        <w:pStyle w:val="3"/>
        <w:rPr>
          <w:rFonts w:hint="eastAsia" w:ascii="新宋体" w:hAnsi="新宋体" w:eastAsia="新宋体" w:cs="新宋体"/>
          <w:color w:val="auto"/>
          <w:sz w:val="22"/>
          <w:szCs w:val="22"/>
          <w:highlight w:val="none"/>
        </w:rPr>
      </w:pPr>
    </w:p>
    <w:p w14:paraId="0854D2C6">
      <w:pPr>
        <w:pStyle w:val="3"/>
        <w:rPr>
          <w:rFonts w:hint="eastAsia" w:ascii="新宋体" w:hAnsi="新宋体" w:eastAsia="新宋体" w:cs="新宋体"/>
          <w:color w:val="auto"/>
          <w:sz w:val="22"/>
          <w:szCs w:val="22"/>
          <w:highlight w:val="none"/>
        </w:rPr>
      </w:pPr>
    </w:p>
    <w:p w14:paraId="4228E56B">
      <w:pPr>
        <w:pStyle w:val="3"/>
        <w:rPr>
          <w:rFonts w:hint="eastAsia" w:ascii="新宋体" w:hAnsi="新宋体" w:eastAsia="新宋体" w:cs="新宋体"/>
          <w:color w:val="auto"/>
          <w:sz w:val="22"/>
          <w:szCs w:val="22"/>
          <w:highlight w:val="none"/>
        </w:rPr>
      </w:pPr>
    </w:p>
    <w:p w14:paraId="75B5489C">
      <w:pPr>
        <w:pStyle w:val="3"/>
        <w:rPr>
          <w:rFonts w:hint="eastAsia"/>
          <w:color w:val="auto"/>
        </w:rPr>
      </w:pPr>
    </w:p>
    <w:p w14:paraId="25D03A7C">
      <w:pPr>
        <w:keepNext w:val="0"/>
        <w:keepLines w:val="0"/>
        <w:pageBreakBefore w:val="0"/>
        <w:kinsoku/>
        <w:wordWrap/>
        <w:overflowPunct/>
        <w:topLinePunct w:val="0"/>
        <w:bidi w:val="0"/>
        <w:adjustRightInd w:val="0"/>
        <w:snapToGrid w:val="0"/>
        <w:spacing w:line="460" w:lineRule="exact"/>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表</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w:t>
      </w:r>
    </w:p>
    <w:p w14:paraId="471FB87B">
      <w:pPr>
        <w:keepNext w:val="0"/>
        <w:keepLines w:val="0"/>
        <w:pageBreakBefore w:val="0"/>
        <w:kinsoku/>
        <w:wordWrap/>
        <w:overflowPunct/>
        <w:topLinePunct w:val="0"/>
        <w:bidi w:val="0"/>
        <w:adjustRightInd w:val="0"/>
        <w:snapToGrid w:val="0"/>
        <w:spacing w:after="120" w:afterLines="50" w:line="460" w:lineRule="exact"/>
        <w:jc w:val="center"/>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pacing w:val="0"/>
          <w:w w:val="90"/>
          <w:sz w:val="22"/>
          <w:szCs w:val="22"/>
          <w:highlight w:val="none"/>
          <w:lang w:eastAsia="zh-CN"/>
        </w:rPr>
        <w:t>温州市救助管理站站内救助服务</w:t>
      </w:r>
      <w:r>
        <w:rPr>
          <w:rFonts w:hint="eastAsia" w:ascii="新宋体" w:hAnsi="新宋体" w:eastAsia="新宋体" w:cs="新宋体"/>
          <w:b/>
          <w:bCs/>
          <w:color w:val="auto"/>
          <w:spacing w:val="0"/>
          <w:kern w:val="0"/>
          <w:sz w:val="22"/>
          <w:szCs w:val="22"/>
          <w:highlight w:val="none"/>
        </w:rPr>
        <w:t>加减分考核细则</w:t>
      </w:r>
    </w:p>
    <w:tbl>
      <w:tblPr>
        <w:tblStyle w:val="65"/>
        <w:tblW w:w="9533" w:type="dxa"/>
        <w:tblInd w:w="157" w:type="dxa"/>
        <w:tblLayout w:type="fixed"/>
        <w:tblCellMar>
          <w:top w:w="15" w:type="dxa"/>
          <w:left w:w="15" w:type="dxa"/>
          <w:bottom w:w="15" w:type="dxa"/>
          <w:right w:w="15" w:type="dxa"/>
        </w:tblCellMar>
      </w:tblPr>
      <w:tblGrid>
        <w:gridCol w:w="480"/>
        <w:gridCol w:w="600"/>
        <w:gridCol w:w="6771"/>
        <w:gridCol w:w="1682"/>
      </w:tblGrid>
      <w:tr w14:paraId="5DD34ED0">
        <w:tblPrEx>
          <w:tblCellMar>
            <w:top w:w="15" w:type="dxa"/>
            <w:left w:w="15" w:type="dxa"/>
            <w:bottom w:w="15" w:type="dxa"/>
            <w:right w:w="15" w:type="dxa"/>
          </w:tblCellMar>
        </w:tblPrEx>
        <w:trPr>
          <w:trHeight w:val="27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7538C96">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序号</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821EE6B">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内 容</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3343C996">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考   评   内   容</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09015BF6">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扣分标准</w:t>
            </w:r>
          </w:p>
        </w:tc>
      </w:tr>
      <w:tr w14:paraId="1EC0B9E1">
        <w:tblPrEx>
          <w:tblCellMar>
            <w:top w:w="15" w:type="dxa"/>
            <w:left w:w="15" w:type="dxa"/>
            <w:bottom w:w="15" w:type="dxa"/>
            <w:right w:w="15" w:type="dxa"/>
          </w:tblCellMar>
        </w:tblPrEx>
        <w:trPr>
          <w:trHeight w:val="23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316609B">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704E415">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人员管理</w:t>
            </w:r>
          </w:p>
          <w:p w14:paraId="5CA01E77">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5D82487F">
            <w:pPr>
              <w:keepNext w:val="0"/>
              <w:keepLines w:val="0"/>
              <w:pageBreakBefore w:val="0"/>
              <w:numPr>
                <w:ilvl w:val="0"/>
                <w:numId w:val="8"/>
              </w:numPr>
              <w:kinsoku/>
              <w:wordWrap/>
              <w:overflowPunct/>
              <w:topLinePunct w:val="0"/>
              <w:bidi w:val="0"/>
              <w:adjustRightInd w:val="0"/>
              <w:spacing w:line="460" w:lineRule="exact"/>
              <w:jc w:val="lef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因员工个人素质、工作能力、服务态度等原因，影响</w:t>
            </w:r>
            <w:r>
              <w:rPr>
                <w:rFonts w:hint="eastAsia" w:ascii="新宋体" w:hAnsi="新宋体" w:eastAsia="新宋体" w:cs="新宋体"/>
                <w:color w:val="auto"/>
                <w:sz w:val="22"/>
                <w:szCs w:val="22"/>
                <w:highlight w:val="none"/>
                <w:lang w:val="en-US" w:eastAsia="zh-CN"/>
              </w:rPr>
              <w:t>温州市救助管理站</w:t>
            </w:r>
            <w:r>
              <w:rPr>
                <w:rFonts w:hint="eastAsia" w:ascii="新宋体" w:hAnsi="新宋体" w:eastAsia="新宋体" w:cs="新宋体"/>
                <w:color w:val="auto"/>
                <w:sz w:val="22"/>
                <w:szCs w:val="22"/>
                <w:highlight w:val="none"/>
              </w:rPr>
              <w:t>正常办公或造成损失的，</w:t>
            </w:r>
            <w:r>
              <w:rPr>
                <w:rFonts w:hint="eastAsia" w:ascii="新宋体" w:hAnsi="新宋体" w:eastAsia="新宋体" w:cs="新宋体"/>
                <w:color w:val="auto"/>
                <w:kern w:val="0"/>
                <w:sz w:val="22"/>
                <w:szCs w:val="22"/>
                <w:highlight w:val="none"/>
              </w:rPr>
              <w:t>受到通报批评，被有效投诉或被第三方单位报道引发信访的，扣0.5-1.5分；</w:t>
            </w:r>
          </w:p>
          <w:p w14:paraId="0F564758">
            <w:pPr>
              <w:keepNext w:val="0"/>
              <w:keepLines w:val="0"/>
              <w:pageBreakBefore w:val="0"/>
              <w:numPr>
                <w:ilvl w:val="0"/>
                <w:numId w:val="8"/>
              </w:numPr>
              <w:kinsoku/>
              <w:wordWrap/>
              <w:overflowPunct/>
              <w:topLinePunct w:val="0"/>
              <w:bidi w:val="0"/>
              <w:adjustRightInd w:val="0"/>
              <w:spacing w:line="460" w:lineRule="exact"/>
              <w:jc w:val="lef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工作成绩突出，好人好事受表扬的，加0.5-1.5；</w:t>
            </w:r>
          </w:p>
          <w:p w14:paraId="60787321">
            <w:pPr>
              <w:keepNext w:val="0"/>
              <w:keepLines w:val="0"/>
              <w:pageBreakBefore w:val="0"/>
              <w:numPr>
                <w:ilvl w:val="0"/>
                <w:numId w:val="8"/>
              </w:numPr>
              <w:kinsoku/>
              <w:wordWrap/>
              <w:overflowPunct/>
              <w:topLinePunct w:val="0"/>
              <w:bidi w:val="0"/>
              <w:adjustRightInd w:val="0"/>
              <w:spacing w:line="460" w:lineRule="exact"/>
              <w:jc w:val="lef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采取定期与不定期、明查和暗访等方式进行督查，发现缺勤或在岗违规行为的，每次扣0.5分；</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3BF97665">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r w14:paraId="16BDA533">
        <w:tblPrEx>
          <w:tblCellMar>
            <w:top w:w="15" w:type="dxa"/>
            <w:left w:w="15" w:type="dxa"/>
            <w:bottom w:w="15" w:type="dxa"/>
            <w:right w:w="15" w:type="dxa"/>
          </w:tblCellMar>
        </w:tblPrEx>
        <w:trPr>
          <w:trHeight w:val="1353"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AA46F19">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4965F6A">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问题整改</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0B26F83D">
            <w:pPr>
              <w:keepNext w:val="0"/>
              <w:keepLines w:val="0"/>
              <w:pageBreakBefore w:val="0"/>
              <w:kinsoku/>
              <w:wordWrap/>
              <w:overflowPunct/>
              <w:topLinePunct w:val="0"/>
              <w:bidi w:val="0"/>
              <w:adjustRightInd w:val="0"/>
              <w:spacing w:line="460" w:lineRule="exact"/>
              <w:jc w:val="lef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1、日常巡查发现问题的，核实后，以整改通知单形式告知</w:t>
            </w:r>
            <w:r>
              <w:rPr>
                <w:rFonts w:hint="eastAsia" w:ascii="新宋体" w:hAnsi="新宋体" w:eastAsia="新宋体" w:cs="新宋体"/>
                <w:color w:val="auto"/>
                <w:sz w:val="22"/>
                <w:szCs w:val="22"/>
                <w:highlight w:val="none"/>
                <w:lang w:eastAsia="zh-CN"/>
              </w:rPr>
              <w:t>服务单位</w:t>
            </w:r>
            <w:r>
              <w:rPr>
                <w:rFonts w:hint="eastAsia" w:ascii="新宋体" w:hAnsi="新宋体" w:eastAsia="新宋体" w:cs="新宋体"/>
                <w:color w:val="auto"/>
                <w:sz w:val="22"/>
                <w:szCs w:val="22"/>
                <w:highlight w:val="none"/>
              </w:rPr>
              <w:t>，未按时处理或未处理无说明回复的，酌情扣分0.5-3分；</w:t>
            </w:r>
          </w:p>
          <w:p w14:paraId="2CA14C6E">
            <w:pPr>
              <w:keepNext w:val="0"/>
              <w:keepLines w:val="0"/>
              <w:pageBreakBefore w:val="0"/>
              <w:kinsoku/>
              <w:wordWrap/>
              <w:overflowPunct/>
              <w:topLinePunct w:val="0"/>
              <w:bidi w:val="0"/>
              <w:adjustRightInd w:val="0"/>
              <w:spacing w:line="460" w:lineRule="exact"/>
              <w:jc w:val="left"/>
              <w:textAlignment w:val="center"/>
              <w:outlineLvl w:val="9"/>
              <w:rPr>
                <w:rStyle w:val="275"/>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2、第三方投诉、本公司质检问题反馈、12345信访件等，以整改通知单形式告知</w:t>
            </w:r>
            <w:r>
              <w:rPr>
                <w:rFonts w:hint="eastAsia" w:ascii="新宋体" w:hAnsi="新宋体" w:eastAsia="新宋体" w:cs="新宋体"/>
                <w:color w:val="auto"/>
                <w:sz w:val="22"/>
                <w:szCs w:val="22"/>
                <w:highlight w:val="none"/>
                <w:lang w:eastAsia="zh-CN"/>
              </w:rPr>
              <w:t>服务单位</w:t>
            </w:r>
            <w:r>
              <w:rPr>
                <w:rFonts w:hint="eastAsia" w:ascii="新宋体" w:hAnsi="新宋体" w:eastAsia="新宋体" w:cs="新宋体"/>
                <w:color w:val="auto"/>
                <w:sz w:val="22"/>
                <w:szCs w:val="22"/>
                <w:highlight w:val="none"/>
              </w:rPr>
              <w:t>，但不能及时整改的，酌情扣分0.5-3分；</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3FA5A42F">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r w14:paraId="4F0942D2">
        <w:tblPrEx>
          <w:tblCellMar>
            <w:top w:w="15" w:type="dxa"/>
            <w:left w:w="15" w:type="dxa"/>
            <w:bottom w:w="15" w:type="dxa"/>
            <w:right w:w="15" w:type="dxa"/>
          </w:tblCellMar>
        </w:tblPrEx>
        <w:trPr>
          <w:trHeight w:val="23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6DE4F08">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D4DB9C2">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领导重要批示</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6A854407">
            <w:pPr>
              <w:keepNext w:val="0"/>
              <w:keepLines w:val="0"/>
              <w:pageBreakBefore w:val="0"/>
              <w:kinsoku/>
              <w:wordWrap/>
              <w:overflowPunct/>
              <w:topLinePunct w:val="0"/>
              <w:bidi w:val="0"/>
              <w:adjustRightInd w:val="0"/>
              <w:spacing w:line="460" w:lineRule="exact"/>
              <w:jc w:val="lef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1、发生事件造成严重影响的，</w:t>
            </w:r>
            <w:r>
              <w:rPr>
                <w:rFonts w:hint="eastAsia" w:ascii="新宋体" w:hAnsi="新宋体" w:eastAsia="新宋体" w:cs="新宋体"/>
                <w:color w:val="auto"/>
                <w:sz w:val="22"/>
                <w:szCs w:val="22"/>
                <w:highlight w:val="none"/>
                <w:lang w:val="en-US" w:eastAsia="zh-CN"/>
              </w:rPr>
              <w:t>站</w:t>
            </w:r>
            <w:r>
              <w:rPr>
                <w:rFonts w:hint="eastAsia" w:ascii="新宋体" w:hAnsi="新宋体" w:eastAsia="新宋体" w:cs="新宋体"/>
                <w:color w:val="auto"/>
                <w:sz w:val="22"/>
                <w:szCs w:val="22"/>
                <w:highlight w:val="none"/>
              </w:rPr>
              <w:t>主要领导有口头或书面指示的，视造成后果情况，依次扣</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-5分；</w:t>
            </w:r>
          </w:p>
          <w:p w14:paraId="7E3BA5A7">
            <w:pPr>
              <w:keepNext w:val="0"/>
              <w:keepLines w:val="0"/>
              <w:pageBreakBefore w:val="0"/>
              <w:kinsoku/>
              <w:wordWrap/>
              <w:overflowPunct/>
              <w:topLinePunct w:val="0"/>
              <w:bidi w:val="0"/>
              <w:adjustRightInd w:val="0"/>
              <w:spacing w:line="460" w:lineRule="exact"/>
              <w:jc w:val="lef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3、发生事件造成较大影响的，</w:t>
            </w:r>
            <w:r>
              <w:rPr>
                <w:rFonts w:hint="eastAsia" w:ascii="新宋体" w:hAnsi="新宋体" w:eastAsia="新宋体" w:cs="新宋体"/>
                <w:color w:val="auto"/>
                <w:sz w:val="22"/>
                <w:szCs w:val="22"/>
                <w:highlight w:val="none"/>
                <w:lang w:val="en-US" w:eastAsia="zh-CN"/>
              </w:rPr>
              <w:t>站</w:t>
            </w:r>
            <w:r>
              <w:rPr>
                <w:rFonts w:hint="eastAsia" w:ascii="新宋体" w:hAnsi="新宋体" w:eastAsia="新宋体" w:cs="新宋体"/>
                <w:color w:val="auto"/>
                <w:sz w:val="22"/>
                <w:szCs w:val="22"/>
                <w:highlight w:val="none"/>
              </w:rPr>
              <w:t>分管领导有口头或书面指示的，视造成后果情况，依次扣</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p w14:paraId="4640DB26">
            <w:pPr>
              <w:keepNext w:val="0"/>
              <w:keepLines w:val="0"/>
              <w:pageBreakBefore w:val="0"/>
              <w:kinsoku/>
              <w:wordWrap/>
              <w:overflowPunct/>
              <w:topLinePunct w:val="0"/>
              <w:bidi w:val="0"/>
              <w:adjustRightInd w:val="0"/>
              <w:spacing w:line="460" w:lineRule="exact"/>
              <w:jc w:val="lef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3、发生事件造成一般影响的，</w:t>
            </w:r>
            <w:r>
              <w:rPr>
                <w:rFonts w:hint="eastAsia" w:ascii="新宋体" w:hAnsi="新宋体" w:eastAsia="新宋体" w:cs="新宋体"/>
                <w:color w:val="auto"/>
                <w:sz w:val="22"/>
                <w:szCs w:val="22"/>
                <w:highlight w:val="none"/>
                <w:lang w:val="en-US" w:eastAsia="zh-CN"/>
              </w:rPr>
              <w:t>站</w:t>
            </w:r>
            <w:r>
              <w:rPr>
                <w:rFonts w:hint="eastAsia" w:ascii="新宋体" w:hAnsi="新宋体" w:eastAsia="新宋体" w:cs="新宋体"/>
                <w:color w:val="auto"/>
                <w:sz w:val="22"/>
                <w:szCs w:val="22"/>
                <w:highlight w:val="none"/>
              </w:rPr>
              <w:t>领导有口头或书面指示的，视造成后果情况，依次扣</w:t>
            </w:r>
            <w:r>
              <w:rPr>
                <w:rFonts w:hint="eastAsia" w:ascii="新宋体" w:hAnsi="新宋体" w:eastAsia="新宋体" w:cs="新宋体"/>
                <w:color w:val="auto"/>
                <w:sz w:val="22"/>
                <w:szCs w:val="22"/>
                <w:highlight w:val="none"/>
                <w:lang w:val="en-US" w:eastAsia="zh-CN"/>
              </w:rPr>
              <w:t>0.</w:t>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w:t>
            </w:r>
          </w:p>
          <w:p w14:paraId="40878590">
            <w:pPr>
              <w:keepNext w:val="0"/>
              <w:keepLines w:val="0"/>
              <w:pageBreakBefore w:val="0"/>
              <w:kinsoku/>
              <w:wordWrap/>
              <w:overflowPunct/>
              <w:topLinePunct w:val="0"/>
              <w:bidi w:val="0"/>
              <w:adjustRightInd w:val="0"/>
              <w:spacing w:line="460" w:lineRule="exact"/>
              <w:jc w:val="lef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4、服务工作得到各级领导口头或书面表扬的，视情况加1-5分；</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45E6F298">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r w14:paraId="76475BBF">
        <w:tblPrEx>
          <w:tblCellMar>
            <w:top w:w="15" w:type="dxa"/>
            <w:left w:w="15" w:type="dxa"/>
            <w:bottom w:w="15" w:type="dxa"/>
            <w:right w:w="15" w:type="dxa"/>
          </w:tblCellMar>
        </w:tblPrEx>
        <w:trPr>
          <w:trHeight w:val="197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C74DDED">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E8BA8E6">
            <w:pPr>
              <w:keepNext w:val="0"/>
              <w:keepLines w:val="0"/>
              <w:pageBreakBefore w:val="0"/>
              <w:kinsoku/>
              <w:wordWrap/>
              <w:overflowPunct/>
              <w:topLinePunct w:val="0"/>
              <w:bidi w:val="0"/>
              <w:adjustRightInd w:val="0"/>
              <w:spacing w:line="460" w:lineRule="exact"/>
              <w:jc w:val="center"/>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满意度回访</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428A314A">
            <w:pPr>
              <w:keepNext w:val="0"/>
              <w:keepLines w:val="0"/>
              <w:pageBreakBefore w:val="0"/>
              <w:numPr>
                <w:ilvl w:val="0"/>
                <w:numId w:val="9"/>
              </w:numPr>
              <w:kinsoku/>
              <w:wordWrap/>
              <w:overflowPunct/>
              <w:topLinePunct w:val="0"/>
              <w:bidi w:val="0"/>
              <w:adjustRightInd w:val="0"/>
              <w:spacing w:line="460" w:lineRule="exact"/>
              <w:jc w:val="left"/>
              <w:textAlignment w:val="cente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不定期开展满意度回访，服务对象满意率在90%以上的不扣分，每下降一个百分点扣0.5分，不到一个百分点的按一个百分点计算。</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4BC71BB6">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r w14:paraId="19C0FF8C">
        <w:tblPrEx>
          <w:tblCellMar>
            <w:top w:w="15" w:type="dxa"/>
            <w:left w:w="15" w:type="dxa"/>
            <w:bottom w:w="15" w:type="dxa"/>
            <w:right w:w="15" w:type="dxa"/>
          </w:tblCellMar>
        </w:tblPrEx>
        <w:trPr>
          <w:trHeight w:val="600" w:hRule="atLeast"/>
        </w:trPr>
        <w:tc>
          <w:tcPr>
            <w:tcW w:w="9533" w:type="dxa"/>
            <w:gridSpan w:val="4"/>
            <w:tcBorders>
              <w:top w:val="single" w:color="000000" w:sz="4" w:space="0"/>
              <w:left w:val="single" w:color="000000" w:sz="4" w:space="0"/>
              <w:bottom w:val="single" w:color="000000" w:sz="4" w:space="0"/>
              <w:right w:val="single" w:color="000000" w:sz="4" w:space="0"/>
            </w:tcBorders>
            <w:noWrap w:val="0"/>
            <w:vAlign w:val="center"/>
          </w:tcPr>
          <w:p w14:paraId="1C3158CD">
            <w:pPr>
              <w:keepNext w:val="0"/>
              <w:keepLines w:val="0"/>
              <w:pageBreakBefore w:val="0"/>
              <w:kinsoku/>
              <w:wordWrap/>
              <w:overflowPunct/>
              <w:topLinePunct w:val="0"/>
              <w:bidi w:val="0"/>
              <w:adjustRightInd w:val="0"/>
              <w:spacing w:line="460" w:lineRule="exact"/>
              <w:jc w:val="center"/>
              <w:outlineLvl w:val="9"/>
              <w:rPr>
                <w:rFonts w:hint="eastAsia" w:ascii="新宋体" w:hAnsi="新宋体" w:eastAsia="新宋体" w:cs="新宋体"/>
                <w:color w:val="auto"/>
                <w:sz w:val="22"/>
                <w:szCs w:val="22"/>
                <w:highlight w:val="none"/>
              </w:rPr>
            </w:pPr>
          </w:p>
        </w:tc>
      </w:tr>
    </w:tbl>
    <w:p w14:paraId="6B69EDBC">
      <w:pPr>
        <w:pStyle w:val="3"/>
        <w:rPr>
          <w:color w:val="auto"/>
          <w:highlight w:val="none"/>
        </w:rPr>
      </w:pPr>
    </w:p>
    <w:p w14:paraId="007461D1">
      <w:pPr>
        <w:autoSpaceDE w:val="0"/>
        <w:autoSpaceDN w:val="0"/>
        <w:adjustRightInd w:val="0"/>
        <w:snapToGrid w:val="0"/>
        <w:spacing w:line="460" w:lineRule="atLeast"/>
        <w:ind w:firstLine="431" w:firstLineChars="196"/>
        <w:textAlignment w:val="bottom"/>
        <w:rPr>
          <w:rFonts w:hint="eastAsia" w:ascii="宋体" w:hAnsi="宋体"/>
          <w:color w:val="auto"/>
          <w:sz w:val="22"/>
          <w:szCs w:val="22"/>
          <w:highlight w:val="none"/>
        </w:rPr>
      </w:pPr>
    </w:p>
    <w:p w14:paraId="6E2ABC3A">
      <w:pPr>
        <w:autoSpaceDE w:val="0"/>
        <w:autoSpaceDN w:val="0"/>
        <w:adjustRightInd w:val="0"/>
        <w:snapToGrid w:val="0"/>
        <w:spacing w:line="460" w:lineRule="atLeast"/>
        <w:ind w:firstLine="431" w:firstLineChars="196"/>
        <w:textAlignment w:val="bottom"/>
        <w:rPr>
          <w:rFonts w:hint="eastAsia" w:ascii="宋体" w:hAnsi="宋体"/>
          <w:color w:val="auto"/>
          <w:sz w:val="22"/>
          <w:szCs w:val="22"/>
          <w:highlight w:val="none"/>
        </w:rPr>
      </w:pPr>
    </w:p>
    <w:p w14:paraId="231AADCC">
      <w:pPr>
        <w:pStyle w:val="3"/>
        <w:rPr>
          <w:rFonts w:hint="eastAsia"/>
          <w:color w:val="auto"/>
          <w:highlight w:val="none"/>
        </w:rPr>
      </w:pPr>
    </w:p>
    <w:p w14:paraId="1C4F9974">
      <w:pPr>
        <w:pStyle w:val="52"/>
        <w:adjustRightInd w:val="0"/>
        <w:snapToGrid w:val="0"/>
        <w:spacing w:line="460" w:lineRule="atLeast"/>
        <w:ind w:firstLine="0" w:firstLineChars="0"/>
        <w:jc w:val="center"/>
        <w:outlineLvl w:val="0"/>
        <w:rPr>
          <w:rFonts w:ascii="宋体" w:hAnsi="宋体" w:eastAsia="宋体"/>
          <w:color w:val="auto"/>
          <w:sz w:val="36"/>
          <w:highlight w:val="none"/>
        </w:rPr>
      </w:pPr>
      <w:bookmarkStart w:id="13" w:name="_Toc9347"/>
      <w:r>
        <w:rPr>
          <w:rFonts w:hint="eastAsia" w:ascii="宋体" w:hAnsi="宋体" w:eastAsia="宋体"/>
          <w:color w:val="auto"/>
          <w:sz w:val="36"/>
          <w:highlight w:val="none"/>
        </w:rPr>
        <w:t xml:space="preserve">第三部分   </w:t>
      </w:r>
      <w:r>
        <w:rPr>
          <w:rFonts w:ascii="宋体" w:hAnsi="宋体" w:eastAsia="宋体"/>
          <w:color w:val="auto"/>
          <w:sz w:val="36"/>
          <w:highlight w:val="none"/>
        </w:rPr>
        <w:t xml:space="preserve"> </w:t>
      </w:r>
      <w:r>
        <w:rPr>
          <w:rFonts w:hint="eastAsia" w:ascii="宋体" w:hAnsi="宋体" w:eastAsia="宋体"/>
          <w:color w:val="auto"/>
          <w:sz w:val="36"/>
          <w:highlight w:val="none"/>
        </w:rPr>
        <w:t>供应商须知</w:t>
      </w:r>
      <w:bookmarkEnd w:id="13"/>
    </w:p>
    <w:p w14:paraId="0EB58ADF">
      <w:pPr>
        <w:pStyle w:val="5"/>
        <w:spacing w:line="440" w:lineRule="atLeast"/>
        <w:jc w:val="left"/>
        <w:rPr>
          <w:rFonts w:ascii="宋体" w:hAnsi="宋体"/>
          <w:b/>
          <w:bCs/>
          <w:color w:val="auto"/>
          <w:sz w:val="22"/>
          <w:szCs w:val="22"/>
          <w:highlight w:val="none"/>
        </w:rPr>
      </w:pPr>
      <w:bookmarkStart w:id="14" w:name="_Toc3460"/>
      <w:r>
        <w:rPr>
          <w:rFonts w:hint="eastAsia" w:ascii="宋体" w:hAnsi="宋体"/>
          <w:b/>
          <w:bCs/>
          <w:color w:val="auto"/>
          <w:sz w:val="22"/>
          <w:szCs w:val="22"/>
          <w:highlight w:val="none"/>
        </w:rPr>
        <w:t>一、说明</w:t>
      </w:r>
      <w:bookmarkEnd w:id="14"/>
    </w:p>
    <w:p w14:paraId="1F180F35">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rPr>
      </w:pPr>
      <w:r>
        <w:rPr>
          <w:rFonts w:hint="eastAsia" w:ascii="宋体" w:hAnsi="宋体"/>
          <w:color w:val="auto"/>
          <w:sz w:val="22"/>
          <w:szCs w:val="22"/>
          <w:highlight w:val="none"/>
        </w:rPr>
        <w:t>1、本次采购工作是按照《中华人民共和国政府采购法》及相关法律规章组织和实施。</w:t>
      </w:r>
    </w:p>
    <w:p w14:paraId="01123939">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rPr>
      </w:pPr>
      <w:r>
        <w:rPr>
          <w:rFonts w:hint="eastAsia" w:ascii="宋体" w:hAnsi="宋体"/>
          <w:color w:val="auto"/>
          <w:sz w:val="22"/>
          <w:szCs w:val="22"/>
          <w:highlight w:val="none"/>
        </w:rPr>
        <w:t>2、供应商必须对所有的全部内容进行报价，只对部分内容进行报价的供应商将按无效投标处理。</w:t>
      </w:r>
    </w:p>
    <w:p w14:paraId="13DBA60E">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rPr>
      </w:pPr>
      <w:r>
        <w:rPr>
          <w:rFonts w:hint="eastAsia" w:ascii="宋体" w:hAnsi="宋体"/>
          <w:color w:val="auto"/>
          <w:sz w:val="22"/>
          <w:szCs w:val="22"/>
          <w:highlight w:val="none"/>
        </w:rPr>
        <w:t>3、无论采购过程中的作法和结果如何，供应商自行承担采购活动中所发生的全部费用。</w:t>
      </w:r>
    </w:p>
    <w:p w14:paraId="52AB8400">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rPr>
      </w:pPr>
      <w:r>
        <w:rPr>
          <w:rFonts w:hint="eastAsia" w:ascii="宋体" w:hAnsi="宋体"/>
          <w:color w:val="auto"/>
          <w:sz w:val="22"/>
          <w:szCs w:val="22"/>
          <w:highlight w:val="none"/>
        </w:rPr>
        <w:t>4、</w:t>
      </w:r>
      <w:r>
        <w:rPr>
          <w:rFonts w:hint="eastAsia" w:ascii="宋体" w:hAnsi="宋体"/>
          <w:b/>
          <w:color w:val="auto"/>
          <w:sz w:val="22"/>
          <w:szCs w:val="22"/>
          <w:highlight w:val="none"/>
        </w:rPr>
        <w:t>本次采购预算见公告，如果某个（些）供应商最终报价超出采购预算的，则该供应商的报价按无效报价处理。</w:t>
      </w:r>
    </w:p>
    <w:p w14:paraId="173F39C9">
      <w:pPr>
        <w:autoSpaceDE w:val="0"/>
        <w:autoSpaceDN w:val="0"/>
        <w:adjustRightInd w:val="0"/>
        <w:snapToGrid w:val="0"/>
        <w:spacing w:line="460" w:lineRule="atLeast"/>
        <w:ind w:firstLine="431" w:firstLineChars="196"/>
        <w:textAlignment w:val="bottom"/>
        <w:rPr>
          <w:rFonts w:ascii="宋体" w:hAnsi="宋体"/>
          <w:b/>
          <w:color w:val="auto"/>
          <w:sz w:val="22"/>
          <w:szCs w:val="22"/>
          <w:highlight w:val="none"/>
        </w:rPr>
      </w:pPr>
      <w:r>
        <w:rPr>
          <w:rFonts w:hint="eastAsia" w:ascii="宋体" w:hAnsi="宋体"/>
          <w:color w:val="auto"/>
          <w:sz w:val="22"/>
          <w:szCs w:val="22"/>
          <w:highlight w:val="none"/>
        </w:rPr>
        <w:t>5、</w:t>
      </w:r>
      <w:r>
        <w:rPr>
          <w:rFonts w:hint="eastAsia" w:ascii="宋体" w:hAnsi="宋体"/>
          <w:b/>
          <w:color w:val="auto"/>
          <w:sz w:val="22"/>
          <w:szCs w:val="22"/>
          <w:highlight w:val="none"/>
        </w:rPr>
        <w:t>本项目采用竞争性磋商采购方式进行采购，在磋商过程中，磋商小组可以根据磋商文件和磋商情况实质性变动采购需求中的技术、服务要求以及合同草案条款，但不得变动磋商文件中的其他内容。实质性变动的内容，须经采购人代表确认。已提交磋商响应文件的供应商，在提交最后报价之前，可以根据磋商情况退出磋商。</w:t>
      </w:r>
    </w:p>
    <w:p w14:paraId="63159153">
      <w:pPr>
        <w:snapToGrid w:val="0"/>
        <w:spacing w:line="460" w:lineRule="atLeast"/>
        <w:ind w:firstLine="440" w:firstLineChars="200"/>
        <w:rPr>
          <w:rFonts w:ascii="宋体" w:hAnsi="宋体" w:cs="仿宋_GB2312"/>
          <w:color w:val="auto"/>
          <w:sz w:val="22"/>
          <w:highlight w:val="none"/>
          <w:lang w:val="zh-CN"/>
        </w:rPr>
      </w:pPr>
      <w:r>
        <w:rPr>
          <w:rFonts w:hint="eastAsia" w:ascii="宋体" w:hAnsi="宋体" w:cs="仿宋_GB2312"/>
          <w:color w:val="auto"/>
          <w:sz w:val="22"/>
          <w:highlight w:val="none"/>
          <w:lang w:val="zh-CN"/>
        </w:rPr>
        <w:t>6、知识产权</w:t>
      </w:r>
    </w:p>
    <w:p w14:paraId="25E65E78">
      <w:pPr>
        <w:snapToGrid w:val="0"/>
        <w:spacing w:line="460" w:lineRule="atLeast"/>
        <w:ind w:firstLine="440" w:firstLineChars="200"/>
        <w:rPr>
          <w:rFonts w:ascii="宋体" w:hAnsi="宋体" w:cs="仿宋_GB2312"/>
          <w:color w:val="auto"/>
          <w:sz w:val="22"/>
          <w:highlight w:val="none"/>
          <w:lang w:val="zh-CN"/>
        </w:rPr>
      </w:pPr>
      <w:r>
        <w:rPr>
          <w:rFonts w:hint="eastAsia" w:ascii="宋体" w:hAnsi="宋体" w:cs="仿宋_GB2312"/>
          <w:color w:val="auto"/>
          <w:sz w:val="22"/>
          <w:highlight w:val="none"/>
          <w:lang w:val="zh-CN"/>
        </w:rPr>
        <w:t>6.1投标供应商应保证，采购人在中华人民共和国使用货物和服务的任何一部分时，免受第三方提出侵犯其专利权、商标权或其它知识产权的起诉。</w:t>
      </w:r>
    </w:p>
    <w:p w14:paraId="2F9DD5BC">
      <w:pPr>
        <w:snapToGrid w:val="0"/>
        <w:spacing w:line="460" w:lineRule="atLeast"/>
        <w:ind w:firstLine="440" w:firstLineChars="200"/>
        <w:rPr>
          <w:rFonts w:ascii="宋体" w:hAnsi="宋体" w:cs="仿宋_GB2312"/>
          <w:color w:val="auto"/>
          <w:sz w:val="22"/>
          <w:highlight w:val="none"/>
          <w:lang w:val="zh-CN"/>
        </w:rPr>
      </w:pPr>
      <w:r>
        <w:rPr>
          <w:rFonts w:hint="eastAsia" w:ascii="宋体" w:hAnsi="宋体" w:cs="仿宋_GB2312"/>
          <w:color w:val="auto"/>
          <w:sz w:val="22"/>
          <w:highlight w:val="none"/>
          <w:lang w:val="zh-CN"/>
        </w:rPr>
        <w:t>6.2投标供应商应对采购人在使用该产品时所涉及到的专利权负责，不损害采购人的利益。</w:t>
      </w:r>
    </w:p>
    <w:p w14:paraId="2F58F697">
      <w:pPr>
        <w:snapToGrid w:val="0"/>
        <w:spacing w:line="460" w:lineRule="atLeast"/>
        <w:ind w:firstLine="440" w:firstLineChars="200"/>
        <w:rPr>
          <w:rFonts w:ascii="宋体" w:hAnsi="宋体" w:cs="仿宋_GB2312"/>
          <w:color w:val="auto"/>
          <w:sz w:val="22"/>
          <w:highlight w:val="none"/>
          <w:lang w:val="zh-CN"/>
        </w:rPr>
      </w:pPr>
      <w:r>
        <w:rPr>
          <w:rFonts w:hint="eastAsia" w:ascii="宋体" w:hAnsi="宋体" w:cs="仿宋_GB2312"/>
          <w:color w:val="auto"/>
          <w:sz w:val="22"/>
          <w:highlight w:val="none"/>
          <w:lang w:val="zh-CN"/>
        </w:rPr>
        <w:t>6.3报价应包括所有应支付的对专利权和版权、设计或其他知识产权而需要向其他方支付的版税。</w:t>
      </w:r>
    </w:p>
    <w:p w14:paraId="55A40169">
      <w:pPr>
        <w:snapToGrid w:val="0"/>
        <w:spacing w:line="460" w:lineRule="atLeast"/>
        <w:ind w:firstLine="440" w:firstLineChars="200"/>
        <w:rPr>
          <w:rFonts w:ascii="宋体" w:hAnsi="宋体" w:cs="仿宋_GB2312"/>
          <w:color w:val="auto"/>
          <w:sz w:val="22"/>
          <w:highlight w:val="none"/>
          <w:lang w:val="zh-CN"/>
        </w:rPr>
      </w:pPr>
      <w:r>
        <w:rPr>
          <w:rFonts w:hint="eastAsia" w:ascii="宋体" w:hAnsi="宋体" w:cs="仿宋_GB2312"/>
          <w:color w:val="auto"/>
          <w:sz w:val="22"/>
          <w:highlight w:val="none"/>
          <w:lang w:val="zh-CN"/>
        </w:rPr>
        <w:t>6.4投标供应商提供得货物或服务中如使用其他公司的相关专利，应在标书中出示相关授权，如未出示但使用了其他公司的专利，导致供应商中标而引起相关诉讼，由投标供应商承担。</w:t>
      </w:r>
    </w:p>
    <w:p w14:paraId="0009B443">
      <w:pPr>
        <w:adjustRightInd w:val="0"/>
        <w:spacing w:line="440" w:lineRule="atLeast"/>
        <w:ind w:firstLine="431" w:firstLineChars="196"/>
        <w:rPr>
          <w:rFonts w:ascii="宋体" w:hAnsi="宋体"/>
          <w:color w:val="auto"/>
          <w:sz w:val="22"/>
          <w:highlight w:val="none"/>
        </w:rPr>
      </w:pPr>
      <w:r>
        <w:rPr>
          <w:rFonts w:hint="eastAsia" w:ascii="宋体" w:hAnsi="宋体"/>
          <w:color w:val="auto"/>
          <w:sz w:val="22"/>
          <w:highlight w:val="none"/>
        </w:rPr>
        <w:t>7、单位负责人为同一人或者存在直接控股、管理关系的不同供应商，不得参加同一合同项下的政府采购活动。如在评标过程（或标后质疑投诉期内）中发现供应商间存在上述关系，存在上述关系的全部供应商均做无效投标（无效中标）处理。</w:t>
      </w:r>
    </w:p>
    <w:p w14:paraId="6DBC6251">
      <w:pPr>
        <w:snapToGrid w:val="0"/>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除单一来源采购项目外，为采购项目提供整体设计、规范编制或者项目管理、监理、检测等服务的供应商，不得再参加该采购项目的其他采购活动。</w:t>
      </w:r>
    </w:p>
    <w:p w14:paraId="3AC243C1">
      <w:pPr>
        <w:adjustRightInd w:val="0"/>
        <w:spacing w:line="440" w:lineRule="atLeast"/>
        <w:ind w:firstLine="431" w:firstLineChars="196"/>
        <w:rPr>
          <w:rFonts w:ascii="宋体" w:hAnsi="宋体"/>
          <w:b/>
          <w:color w:val="auto"/>
          <w:sz w:val="22"/>
          <w:szCs w:val="22"/>
          <w:highlight w:val="none"/>
        </w:rPr>
      </w:pPr>
      <w:r>
        <w:rPr>
          <w:rFonts w:hint="eastAsia" w:ascii="宋体" w:hAnsi="宋体"/>
          <w:color w:val="auto"/>
          <w:sz w:val="22"/>
          <w:szCs w:val="22"/>
          <w:highlight w:val="none"/>
        </w:rPr>
        <w:t>8、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14:paraId="087356D4">
      <w:pPr>
        <w:adjustRightInd w:val="0"/>
        <w:spacing w:line="440" w:lineRule="atLeast"/>
        <w:ind w:firstLine="431" w:firstLineChars="196"/>
        <w:rPr>
          <w:rFonts w:ascii="宋体" w:hAnsi="宋体"/>
          <w:b/>
          <w:color w:val="auto"/>
          <w:sz w:val="22"/>
          <w:szCs w:val="22"/>
          <w:highlight w:val="none"/>
        </w:rPr>
      </w:pPr>
      <w:r>
        <w:rPr>
          <w:rFonts w:hint="eastAsia" w:ascii="宋体" w:hAnsi="宋体"/>
          <w:color w:val="auto"/>
          <w:sz w:val="22"/>
          <w:szCs w:val="22"/>
          <w:highlight w:val="none"/>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57AB0598">
      <w:pPr>
        <w:autoSpaceDE w:val="0"/>
        <w:autoSpaceDN w:val="0"/>
        <w:adjustRightInd w:val="0"/>
        <w:snapToGrid w:val="0"/>
        <w:spacing w:line="460" w:lineRule="atLeast"/>
        <w:ind w:firstLine="422" w:firstLineChars="191"/>
        <w:textAlignment w:val="bottom"/>
        <w:rPr>
          <w:rFonts w:hint="eastAsia" w:ascii="宋体" w:hAnsi="宋体" w:cs="黑体"/>
          <w:b/>
          <w:bCs/>
          <w:color w:val="auto"/>
          <w:sz w:val="22"/>
          <w:szCs w:val="22"/>
          <w:highlight w:val="none"/>
        </w:rPr>
      </w:pPr>
      <w:r>
        <w:rPr>
          <w:rFonts w:ascii="宋体" w:hAnsi="宋体" w:cs="黑体"/>
          <w:b/>
          <w:bCs/>
          <w:color w:val="auto"/>
          <w:sz w:val="22"/>
          <w:szCs w:val="22"/>
          <w:highlight w:val="none"/>
        </w:rPr>
        <w:t>9</w:t>
      </w:r>
      <w:r>
        <w:rPr>
          <w:rFonts w:hint="eastAsia" w:ascii="宋体" w:hAnsi="宋体" w:cs="黑体"/>
          <w:b/>
          <w:bCs/>
          <w:color w:val="auto"/>
          <w:sz w:val="22"/>
          <w:szCs w:val="22"/>
          <w:highlight w:val="none"/>
        </w:rPr>
        <w:t>、根据关于印发《政府采购促进中小企业发展管理办法》的通知（财政部 工业和信息化部 财库〔2020〕46号）文件第十二条规定，</w:t>
      </w:r>
      <w:r>
        <w:rPr>
          <w:rFonts w:ascii="宋体" w:hAnsi="宋体" w:cs="黑体"/>
          <w:b/>
          <w:bCs/>
          <w:color w:val="auto"/>
          <w:sz w:val="22"/>
          <w:szCs w:val="22"/>
          <w:highlight w:val="none"/>
        </w:rPr>
        <w:t>本项目</w:t>
      </w:r>
      <w:r>
        <w:rPr>
          <w:rFonts w:hint="eastAsia" w:ascii="宋体" w:hAnsi="宋体" w:cs="黑体"/>
          <w:b/>
          <w:bCs/>
          <w:color w:val="auto"/>
          <w:sz w:val="22"/>
          <w:szCs w:val="22"/>
          <w:highlight w:val="none"/>
        </w:rPr>
        <w:t>采购标的</w:t>
      </w:r>
      <w:r>
        <w:rPr>
          <w:rFonts w:ascii="宋体" w:hAnsi="宋体" w:cs="黑体"/>
          <w:b/>
          <w:bCs/>
          <w:color w:val="auto"/>
          <w:sz w:val="22"/>
          <w:szCs w:val="22"/>
          <w:highlight w:val="none"/>
        </w:rPr>
        <w:t>所属行业为</w:t>
      </w:r>
      <w:r>
        <w:rPr>
          <w:rFonts w:hint="eastAsia" w:ascii="宋体" w:hAnsi="宋体" w:cs="黑体"/>
          <w:b/>
          <w:bCs/>
          <w:color w:val="auto"/>
          <w:sz w:val="22"/>
          <w:szCs w:val="22"/>
          <w:highlight w:val="none"/>
          <w:u w:val="single"/>
        </w:rPr>
        <w:t>租赁和商业服务业</w:t>
      </w:r>
      <w:r>
        <w:rPr>
          <w:rFonts w:hint="eastAsia" w:ascii="宋体" w:hAnsi="宋体" w:cs="黑体"/>
          <w:b/>
          <w:bCs/>
          <w:color w:val="auto"/>
          <w:sz w:val="22"/>
          <w:szCs w:val="22"/>
          <w:highlight w:val="none"/>
        </w:rPr>
        <w:t>，▲</w:t>
      </w:r>
      <w:r>
        <w:rPr>
          <w:rFonts w:hint="eastAsia" w:ascii="宋体" w:hAnsi="宋体" w:cs="黑体"/>
          <w:b/>
          <w:bCs/>
          <w:color w:val="auto"/>
          <w:sz w:val="22"/>
          <w:szCs w:val="22"/>
          <w:highlight w:val="none"/>
          <w:u w:val="single"/>
        </w:rPr>
        <w:t>投标供应商必须为采购文件中明确的行业所对应的中小企业/小微企业，否则按无效投标处理。</w:t>
      </w:r>
    </w:p>
    <w:p w14:paraId="7E62BAB7">
      <w:pPr>
        <w:autoSpaceDE w:val="0"/>
        <w:autoSpaceDN w:val="0"/>
        <w:adjustRightInd w:val="0"/>
        <w:snapToGrid w:val="0"/>
        <w:spacing w:line="460" w:lineRule="atLeast"/>
        <w:ind w:firstLine="422" w:firstLineChars="191"/>
        <w:textAlignment w:val="bottom"/>
        <w:rPr>
          <w:rFonts w:hint="eastAsia" w:ascii="宋体" w:hAnsi="宋体" w:cs="黑体"/>
          <w:b/>
          <w:bCs/>
          <w:color w:val="auto"/>
          <w:sz w:val="22"/>
          <w:szCs w:val="22"/>
          <w:highlight w:val="none"/>
        </w:rPr>
      </w:pPr>
      <w:r>
        <w:rPr>
          <w:rFonts w:hint="eastAsia" w:ascii="宋体" w:hAnsi="宋体" w:cs="黑体"/>
          <w:b/>
          <w:bCs/>
          <w:color w:val="auto"/>
          <w:sz w:val="22"/>
          <w:szCs w:val="22"/>
          <w:highlight w:val="none"/>
        </w:rPr>
        <w:t>供应商须对照</w:t>
      </w:r>
      <w:r>
        <w:rPr>
          <w:rFonts w:ascii="宋体" w:hAnsi="宋体" w:cs="黑体"/>
          <w:b/>
          <w:bCs/>
          <w:color w:val="auto"/>
          <w:sz w:val="22"/>
          <w:szCs w:val="22"/>
          <w:highlight w:val="none"/>
        </w:rPr>
        <w:t>《关于印发中小企业划型标准规定的通知》（工信部联企业[2011]300号）</w:t>
      </w:r>
      <w:r>
        <w:rPr>
          <w:rFonts w:hint="eastAsia" w:ascii="宋体" w:hAnsi="宋体" w:cs="黑体"/>
          <w:b/>
          <w:bCs/>
          <w:color w:val="auto"/>
          <w:sz w:val="22"/>
          <w:szCs w:val="22"/>
          <w:highlight w:val="none"/>
        </w:rPr>
        <w:t>标准根据真实情况提供《中小企业声明函》。</w:t>
      </w:r>
    </w:p>
    <w:p w14:paraId="4EE903AB">
      <w:pPr>
        <w:autoSpaceDE w:val="0"/>
        <w:autoSpaceDN w:val="0"/>
        <w:adjustRightInd w:val="0"/>
        <w:snapToGrid w:val="0"/>
        <w:spacing w:line="460" w:lineRule="exact"/>
        <w:ind w:firstLine="442" w:firstLineChars="200"/>
        <w:textAlignment w:val="bottom"/>
        <w:rPr>
          <w:rFonts w:ascii="宋体" w:cs="Arial"/>
          <w:b/>
          <w:bCs/>
          <w:color w:val="auto"/>
          <w:sz w:val="22"/>
          <w:szCs w:val="22"/>
          <w:highlight w:val="none"/>
        </w:rPr>
      </w:pPr>
      <w:r>
        <w:rPr>
          <w:rFonts w:hint="eastAsia" w:ascii="宋体" w:cs="Arial"/>
          <w:b/>
          <w:bCs/>
          <w:color w:val="auto"/>
          <w:sz w:val="22"/>
          <w:szCs w:val="22"/>
          <w:highlight w:val="none"/>
        </w:rPr>
        <w:t>根据关于印发《政府采购促进中小企业发展管理办法》的通知（财政部 工业和信息化部 财库〔2020〕46号）文件规定，《中小企业声明函》内容不实的，属于提供虚假资料谋求中标、成交，依照《中华人民共和国政府采购法》等国家有关规定追究相应责任。</w:t>
      </w:r>
    </w:p>
    <w:p w14:paraId="0F755855">
      <w:pPr>
        <w:autoSpaceDE w:val="0"/>
        <w:autoSpaceDN w:val="0"/>
        <w:adjustRightInd w:val="0"/>
        <w:snapToGrid w:val="0"/>
        <w:spacing w:line="460" w:lineRule="atLeast"/>
        <w:ind w:firstLine="420" w:firstLineChars="191"/>
        <w:textAlignment w:val="bottom"/>
        <w:rPr>
          <w:rFonts w:ascii="宋体" w:hAnsi="宋体" w:cs="黑体"/>
          <w:b/>
          <w:color w:val="auto"/>
          <w:sz w:val="22"/>
          <w:szCs w:val="22"/>
          <w:highlight w:val="none"/>
        </w:rPr>
      </w:pPr>
      <w:r>
        <w:rPr>
          <w:rFonts w:ascii="宋体" w:hAnsi="宋体" w:cs="黑体"/>
          <w:color w:val="auto"/>
          <w:sz w:val="22"/>
          <w:szCs w:val="22"/>
          <w:highlight w:val="none"/>
        </w:rPr>
        <w:t>10</w:t>
      </w:r>
      <w:r>
        <w:rPr>
          <w:rFonts w:hint="eastAsia" w:ascii="宋体" w:hAnsi="宋体" w:cs="黑体"/>
          <w:color w:val="auto"/>
          <w:sz w:val="22"/>
          <w:szCs w:val="22"/>
          <w:highlight w:val="none"/>
        </w:rPr>
        <w:t>、本项目采用在线投标响应方式，执行《浙江省财政厅关于印发浙江省政府采购项目电子交易管理暂行办法的通知》（浙财采监〔</w:t>
      </w:r>
      <w:r>
        <w:rPr>
          <w:rFonts w:ascii="宋体" w:hAnsi="宋体" w:cs="黑体"/>
          <w:color w:val="auto"/>
          <w:sz w:val="22"/>
          <w:szCs w:val="22"/>
          <w:highlight w:val="none"/>
        </w:rPr>
        <w:t>2019〕10 号）等相关规定。</w:t>
      </w:r>
    </w:p>
    <w:p w14:paraId="0F24D39A">
      <w:pPr>
        <w:snapToGrid w:val="0"/>
        <w:spacing w:line="460" w:lineRule="atLeast"/>
        <w:ind w:firstLine="440" w:firstLineChars="200"/>
        <w:rPr>
          <w:rFonts w:ascii="宋体" w:hAnsi="宋体" w:cs="黑体"/>
          <w:color w:val="auto"/>
          <w:sz w:val="22"/>
          <w:szCs w:val="22"/>
          <w:highlight w:val="none"/>
        </w:rPr>
      </w:pPr>
      <w:r>
        <w:rPr>
          <w:rFonts w:ascii="宋体" w:hAnsi="宋体" w:cs="黑体"/>
          <w:color w:val="auto"/>
          <w:sz w:val="22"/>
          <w:szCs w:val="22"/>
          <w:highlight w:val="none"/>
        </w:rPr>
        <w:t>11</w:t>
      </w:r>
      <w:r>
        <w:rPr>
          <w:rFonts w:hint="eastAsia" w:ascii="宋体" w:hAnsi="宋体" w:cs="黑体"/>
          <w:color w:val="auto"/>
          <w:sz w:val="22"/>
          <w:szCs w:val="22"/>
          <w:highlight w:val="none"/>
        </w:rPr>
        <w:t>、</w:t>
      </w:r>
      <w:r>
        <w:rPr>
          <w:rFonts w:ascii="宋体" w:hAnsi="宋体" w:cs="黑体"/>
          <w:color w:val="auto"/>
          <w:sz w:val="22"/>
          <w:szCs w:val="22"/>
          <w:highlight w:val="none"/>
        </w:rPr>
        <w:t>本项目在线开评标进行时，供应商授权代表需自行关注平台提示信息，期间如有发出“询标/澄清函”等相关线上函件时，因供应商自身原因逾期/错过回复时间，由此造成的后果由供应商自行承担。</w:t>
      </w:r>
    </w:p>
    <w:p w14:paraId="5FD7CAEB">
      <w:pPr>
        <w:snapToGrid w:val="0"/>
        <w:spacing w:line="460" w:lineRule="atLeast"/>
        <w:ind w:firstLine="440" w:firstLineChars="200"/>
        <w:rPr>
          <w:rFonts w:ascii="宋体" w:hAnsi="宋体"/>
          <w:color w:val="auto"/>
          <w:sz w:val="22"/>
          <w:highlight w:val="none"/>
        </w:rPr>
      </w:pPr>
      <w:r>
        <w:rPr>
          <w:rFonts w:ascii="宋体" w:hAnsi="宋体"/>
          <w:color w:val="auto"/>
          <w:sz w:val="22"/>
          <w:highlight w:val="none"/>
        </w:rPr>
        <w:t>12</w:t>
      </w:r>
      <w:r>
        <w:rPr>
          <w:rFonts w:hint="eastAsia" w:ascii="宋体" w:hAnsi="宋体"/>
          <w:color w:val="auto"/>
          <w:sz w:val="22"/>
          <w:highlight w:val="none"/>
        </w:rPr>
        <w:t>、为使供应商对本项目情况有所了解，供应商</w:t>
      </w:r>
      <w:r>
        <w:rPr>
          <w:rFonts w:hint="eastAsia" w:ascii="宋体" w:hAnsi="宋体"/>
          <w:color w:val="auto"/>
          <w:sz w:val="22"/>
          <w:highlight w:val="none"/>
          <w:lang w:val="en-US" w:eastAsia="zh-CN"/>
        </w:rPr>
        <w:t>须</w:t>
      </w:r>
      <w:r>
        <w:rPr>
          <w:rFonts w:hint="eastAsia" w:ascii="宋体" w:hAnsi="宋体"/>
          <w:color w:val="auto"/>
          <w:sz w:val="22"/>
          <w:highlight w:val="none"/>
        </w:rPr>
        <w:t>自行到采购人实地进行现场勘察，以便获取由供应商自行负责编制磋商响应文件和签订合同所需的一切资料并充分理解了为之所承担的风险、义务和责任。</w:t>
      </w:r>
    </w:p>
    <w:p w14:paraId="3905B115">
      <w:pPr>
        <w:pStyle w:val="5"/>
        <w:spacing w:line="440" w:lineRule="atLeast"/>
        <w:jc w:val="left"/>
        <w:rPr>
          <w:rFonts w:ascii="宋体" w:hAnsi="宋体"/>
          <w:b/>
          <w:bCs/>
          <w:color w:val="auto"/>
          <w:sz w:val="22"/>
          <w:szCs w:val="22"/>
          <w:highlight w:val="none"/>
        </w:rPr>
      </w:pPr>
      <w:bookmarkStart w:id="15" w:name="_Toc27647"/>
      <w:r>
        <w:rPr>
          <w:rFonts w:hint="eastAsia" w:ascii="宋体" w:hAnsi="宋体"/>
          <w:b/>
          <w:bCs/>
          <w:color w:val="auto"/>
          <w:sz w:val="22"/>
          <w:szCs w:val="22"/>
          <w:highlight w:val="none"/>
        </w:rPr>
        <w:t>二、竞争性磋商文件</w:t>
      </w:r>
      <w:bookmarkEnd w:id="15"/>
    </w:p>
    <w:p w14:paraId="7B1B04A8">
      <w:pPr>
        <w:snapToGrid w:val="0"/>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1、竞争性磋商文件</w:t>
      </w:r>
    </w:p>
    <w:p w14:paraId="2A706415">
      <w:pPr>
        <w:snapToGrid w:val="0"/>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1.1、磋商文件发放</w:t>
      </w:r>
    </w:p>
    <w:p w14:paraId="72699FE1">
      <w:pPr>
        <w:snapToGrid w:val="0"/>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投标供应商网上自行下载磋商文件。</w:t>
      </w:r>
    </w:p>
    <w:p w14:paraId="37D8BF7F">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rPr>
      </w:pPr>
      <w:r>
        <w:rPr>
          <w:rFonts w:hint="eastAsia" w:ascii="宋体" w:hAnsi="宋体"/>
          <w:color w:val="auto"/>
          <w:sz w:val="22"/>
          <w:szCs w:val="22"/>
          <w:highlight w:val="none"/>
        </w:rPr>
        <w:t>1.2、竞争性磋商文件约束力</w:t>
      </w:r>
    </w:p>
    <w:p w14:paraId="19D1DFC4">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u w:val="single"/>
        </w:rPr>
      </w:pPr>
      <w:r>
        <w:rPr>
          <w:rFonts w:hint="eastAsia" w:ascii="宋体" w:hAnsi="宋体"/>
          <w:color w:val="auto"/>
          <w:sz w:val="22"/>
          <w:szCs w:val="22"/>
          <w:highlight w:val="none"/>
        </w:rPr>
        <w:t>▲</w:t>
      </w:r>
      <w:r>
        <w:rPr>
          <w:rFonts w:hint="eastAsia" w:ascii="宋体" w:hAnsi="宋体"/>
          <w:color w:val="auto"/>
          <w:sz w:val="22"/>
          <w:szCs w:val="22"/>
          <w:highlight w:val="none"/>
          <w:u w:val="single"/>
        </w:rPr>
        <w:t>供应商一旦获取了本竞争性磋商文件并参加磋商采购，即被认为接受了本竞争性磋商文件中所有条款和规定。</w:t>
      </w:r>
    </w:p>
    <w:p w14:paraId="5D5E6DFD">
      <w:pPr>
        <w:autoSpaceDE w:val="0"/>
        <w:autoSpaceDN w:val="0"/>
        <w:adjustRightInd w:val="0"/>
        <w:snapToGrid w:val="0"/>
        <w:spacing w:line="460" w:lineRule="atLeast"/>
        <w:textAlignment w:val="bottom"/>
        <w:rPr>
          <w:rFonts w:ascii="宋体" w:hAnsi="宋体"/>
          <w:color w:val="auto"/>
          <w:sz w:val="22"/>
          <w:szCs w:val="22"/>
          <w:highlight w:val="none"/>
        </w:rPr>
      </w:pPr>
      <w:r>
        <w:rPr>
          <w:rFonts w:hint="eastAsia" w:ascii="宋体" w:hAnsi="宋体"/>
          <w:color w:val="auto"/>
          <w:sz w:val="22"/>
          <w:szCs w:val="22"/>
          <w:highlight w:val="none"/>
        </w:rPr>
        <w:t xml:space="preserve">    1.3、竞争性磋商文件的组成</w:t>
      </w:r>
    </w:p>
    <w:p w14:paraId="6F3124EE">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rPr>
      </w:pPr>
      <w:r>
        <w:rPr>
          <w:rFonts w:hint="eastAsia" w:ascii="宋体" w:hAnsi="宋体"/>
          <w:color w:val="auto"/>
          <w:sz w:val="22"/>
          <w:szCs w:val="22"/>
          <w:highlight w:val="none"/>
        </w:rPr>
        <w:t>竞争性磋商文件由竞争性磋商文件总目录所列内容及补充资料等组成。</w:t>
      </w:r>
    </w:p>
    <w:p w14:paraId="29506046">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rPr>
      </w:pPr>
      <w:r>
        <w:rPr>
          <w:rFonts w:hint="eastAsia" w:ascii="宋体" w:hAnsi="宋体"/>
          <w:color w:val="auto"/>
          <w:sz w:val="22"/>
          <w:szCs w:val="22"/>
          <w:highlight w:val="none"/>
        </w:rPr>
        <w:t>2、竞争性磋商文件的澄清</w:t>
      </w:r>
    </w:p>
    <w:p w14:paraId="2A89E88F">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rPr>
      </w:pPr>
      <w:r>
        <w:rPr>
          <w:rFonts w:hint="eastAsia" w:ascii="宋体" w:hAnsi="宋体"/>
          <w:color w:val="auto"/>
          <w:sz w:val="22"/>
          <w:szCs w:val="22"/>
          <w:highlight w:val="none"/>
        </w:rPr>
        <w:t>供应商对竞争性磋商文件如有疑点要求澄清，或认为有必要与采购人进行技术交流，可用书面形式（包括信函、传真，下同）通知采购代理机构，但通知不得迟于规定的质疑时间前使采购代理机构收到，采购代理机构将用书面形式予以答复。如有必要，可将不说明来源的答复书面发给各有关供应商并予以公告。</w:t>
      </w:r>
      <w:r>
        <w:rPr>
          <w:rFonts w:hint="eastAsia" w:ascii="宋体" w:hAnsi="宋体"/>
          <w:b/>
          <w:color w:val="auto"/>
          <w:sz w:val="22"/>
          <w:szCs w:val="22"/>
          <w:highlight w:val="none"/>
        </w:rPr>
        <w:t>任何口头答复均不作为报价依据</w:t>
      </w:r>
      <w:r>
        <w:rPr>
          <w:rFonts w:hint="eastAsia" w:ascii="宋体" w:hAnsi="宋体"/>
          <w:color w:val="auto"/>
          <w:sz w:val="22"/>
          <w:szCs w:val="22"/>
          <w:highlight w:val="none"/>
        </w:rPr>
        <w:t>。</w:t>
      </w:r>
    </w:p>
    <w:p w14:paraId="78E94ED6">
      <w:pPr>
        <w:autoSpaceDE w:val="0"/>
        <w:autoSpaceDN w:val="0"/>
        <w:adjustRightInd w:val="0"/>
        <w:snapToGrid w:val="0"/>
        <w:spacing w:line="460" w:lineRule="atLeast"/>
        <w:ind w:firstLine="541" w:firstLineChars="246"/>
        <w:textAlignment w:val="bottom"/>
        <w:rPr>
          <w:rFonts w:ascii="宋体" w:hAnsi="宋体"/>
          <w:color w:val="auto"/>
          <w:sz w:val="22"/>
          <w:szCs w:val="22"/>
          <w:highlight w:val="none"/>
        </w:rPr>
      </w:pPr>
      <w:r>
        <w:rPr>
          <w:rFonts w:hint="eastAsia" w:ascii="宋体" w:hAnsi="宋体"/>
          <w:color w:val="auto"/>
          <w:sz w:val="22"/>
          <w:szCs w:val="22"/>
          <w:highlight w:val="none"/>
        </w:rPr>
        <w:t>3、竞争性磋商文件的修改</w:t>
      </w:r>
    </w:p>
    <w:p w14:paraId="6686F94E">
      <w:pPr>
        <w:autoSpaceDE w:val="0"/>
        <w:autoSpaceDN w:val="0"/>
        <w:adjustRightInd w:val="0"/>
        <w:snapToGrid w:val="0"/>
        <w:spacing w:line="460" w:lineRule="atLeast"/>
        <w:ind w:firstLine="541" w:firstLineChars="246"/>
        <w:textAlignment w:val="bottom"/>
        <w:rPr>
          <w:rFonts w:ascii="宋体" w:hAnsi="宋体"/>
          <w:color w:val="auto"/>
          <w:sz w:val="22"/>
          <w:szCs w:val="22"/>
          <w:highlight w:val="none"/>
        </w:rPr>
      </w:pPr>
      <w:r>
        <w:rPr>
          <w:rFonts w:hint="eastAsia" w:ascii="宋体" w:hAnsi="宋体"/>
          <w:color w:val="auto"/>
          <w:sz w:val="22"/>
          <w:szCs w:val="22"/>
          <w:highlight w:val="none"/>
        </w:rPr>
        <w:t>3.1、在磋商响应文件递交截止时间前，采购人有权修改竞争性磋商文件，并通知供应商。补充文件作为竞争性磋商文件的补充和组成部分，对所有供应商均有约束力。</w:t>
      </w:r>
    </w:p>
    <w:p w14:paraId="0CE35965">
      <w:pPr>
        <w:autoSpaceDE w:val="0"/>
        <w:autoSpaceDN w:val="0"/>
        <w:adjustRightInd w:val="0"/>
        <w:snapToGrid w:val="0"/>
        <w:spacing w:line="460" w:lineRule="atLeast"/>
        <w:ind w:firstLine="541" w:firstLineChars="246"/>
        <w:textAlignment w:val="bottom"/>
        <w:rPr>
          <w:rFonts w:ascii="宋体" w:hAnsi="宋体"/>
          <w:color w:val="auto"/>
          <w:sz w:val="22"/>
          <w:szCs w:val="22"/>
          <w:highlight w:val="none"/>
        </w:rPr>
      </w:pPr>
      <w:r>
        <w:rPr>
          <w:rFonts w:hint="eastAsia" w:ascii="宋体" w:hAnsi="宋体"/>
          <w:color w:val="auto"/>
          <w:sz w:val="22"/>
          <w:szCs w:val="22"/>
          <w:highlight w:val="none"/>
        </w:rPr>
        <w:t>3.2、为使供应商有足够的时间按竞争性磋商文件要求修正磋商响应文件，采购人可酌情推迟磋商响应文件递交截止时间和开始时间，并将此变更通知供应商。</w:t>
      </w:r>
    </w:p>
    <w:p w14:paraId="64D7C0BD">
      <w:pPr>
        <w:autoSpaceDE w:val="0"/>
        <w:autoSpaceDN w:val="0"/>
        <w:adjustRightInd w:val="0"/>
        <w:snapToGrid w:val="0"/>
        <w:spacing w:line="460" w:lineRule="atLeast"/>
        <w:ind w:firstLine="543" w:firstLineChars="246"/>
        <w:textAlignment w:val="bottom"/>
        <w:rPr>
          <w:rFonts w:ascii="宋体" w:hAnsi="宋体"/>
          <w:b/>
          <w:color w:val="auto"/>
          <w:sz w:val="22"/>
          <w:szCs w:val="22"/>
          <w:highlight w:val="none"/>
        </w:rPr>
      </w:pPr>
      <w:r>
        <w:rPr>
          <w:rFonts w:hint="eastAsia" w:ascii="宋体" w:hAnsi="宋体"/>
          <w:b/>
          <w:color w:val="auto"/>
          <w:sz w:val="22"/>
          <w:szCs w:val="22"/>
          <w:highlight w:val="none"/>
        </w:rPr>
        <w:t>3.3、本项目磋商文件如有补充、更正、澄清均见浙江政府采购网。投标供应商须在磋商响应文件递交截止前自行查看是否有补充、更正、澄清文件，并按补充、更正、澄清文件要求投标，否则责任自负。</w:t>
      </w:r>
    </w:p>
    <w:p w14:paraId="51A815D8">
      <w:pPr>
        <w:pStyle w:val="5"/>
        <w:spacing w:line="440" w:lineRule="atLeast"/>
        <w:jc w:val="left"/>
        <w:rPr>
          <w:rFonts w:ascii="宋体" w:hAnsi="宋体"/>
          <w:b/>
          <w:bCs/>
          <w:color w:val="auto"/>
          <w:sz w:val="22"/>
          <w:szCs w:val="22"/>
          <w:highlight w:val="none"/>
        </w:rPr>
      </w:pPr>
      <w:bookmarkStart w:id="16" w:name="_Toc4998"/>
      <w:r>
        <w:rPr>
          <w:rFonts w:hint="eastAsia" w:ascii="宋体" w:hAnsi="宋体"/>
          <w:b/>
          <w:bCs/>
          <w:color w:val="auto"/>
          <w:sz w:val="22"/>
          <w:szCs w:val="22"/>
          <w:highlight w:val="none"/>
        </w:rPr>
        <w:t>三、磋商响应文件</w:t>
      </w:r>
      <w:bookmarkEnd w:id="16"/>
    </w:p>
    <w:p w14:paraId="1C119186">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rPr>
      </w:pPr>
      <w:r>
        <w:rPr>
          <w:rFonts w:hint="eastAsia" w:ascii="宋体" w:hAnsi="宋体"/>
          <w:color w:val="auto"/>
          <w:sz w:val="22"/>
          <w:szCs w:val="22"/>
          <w:highlight w:val="none"/>
        </w:rPr>
        <w:t>1、磋商响应文件</w:t>
      </w:r>
    </w:p>
    <w:p w14:paraId="5B8D1F03">
      <w:pPr>
        <w:autoSpaceDE w:val="0"/>
        <w:autoSpaceDN w:val="0"/>
        <w:adjustRightInd w:val="0"/>
        <w:snapToGrid w:val="0"/>
        <w:spacing w:line="460" w:lineRule="atLeast"/>
        <w:ind w:firstLine="431" w:firstLineChars="196"/>
        <w:textAlignment w:val="bottom"/>
        <w:rPr>
          <w:rFonts w:ascii="宋体" w:hAnsi="宋体" w:cs="Arial"/>
          <w:color w:val="auto"/>
          <w:sz w:val="22"/>
          <w:szCs w:val="22"/>
          <w:highlight w:val="none"/>
        </w:rPr>
      </w:pPr>
      <w:r>
        <w:rPr>
          <w:rFonts w:hint="eastAsia" w:ascii="宋体" w:hAnsi="宋体"/>
          <w:color w:val="auto"/>
          <w:sz w:val="22"/>
          <w:szCs w:val="22"/>
          <w:highlight w:val="none"/>
        </w:rPr>
        <w:t>1.1、供应商应</w:t>
      </w:r>
      <w:r>
        <w:rPr>
          <w:rFonts w:hint="eastAsia" w:ascii="宋体" w:hAnsi="宋体" w:cs="Arial"/>
          <w:color w:val="auto"/>
          <w:sz w:val="22"/>
          <w:szCs w:val="22"/>
          <w:highlight w:val="none"/>
        </w:rPr>
        <w:t>仔细阅读竞争性磋商文件中的所有内容，按照竞争性磋商文件要求，详细编制磋商响应文件。并对竞争性磋商文件的要求做出实质性响应。实质性响应的磋商响应文件应该是与竞争性磋商文件要求没有重大偏离。未实质性响应的磋商响应文件将被拒绝，但允许在基本满足采购技术要求的前提下出现的微小差异。</w:t>
      </w:r>
    </w:p>
    <w:p w14:paraId="40FADB40">
      <w:pPr>
        <w:autoSpaceDE w:val="0"/>
        <w:autoSpaceDN w:val="0"/>
        <w:adjustRightInd w:val="0"/>
        <w:snapToGrid w:val="0"/>
        <w:spacing w:line="460" w:lineRule="atLeast"/>
        <w:ind w:firstLine="440" w:firstLineChars="200"/>
        <w:textAlignment w:val="bottom"/>
        <w:rPr>
          <w:rFonts w:ascii="宋体" w:hAnsi="宋体" w:cs="Arial"/>
          <w:color w:val="auto"/>
          <w:sz w:val="22"/>
          <w:szCs w:val="22"/>
          <w:highlight w:val="none"/>
        </w:rPr>
      </w:pPr>
      <w:r>
        <w:rPr>
          <w:rFonts w:hint="eastAsia" w:ascii="宋体" w:hAnsi="宋体" w:cs="仿宋_GB2312"/>
          <w:color w:val="auto"/>
          <w:sz w:val="22"/>
          <w:szCs w:val="22"/>
          <w:highlight w:val="none"/>
          <w:lang w:val="zh-CN"/>
        </w:rPr>
        <w:t>1.2、</w:t>
      </w:r>
      <w:r>
        <w:rPr>
          <w:rFonts w:hint="eastAsia" w:ascii="宋体" w:hAnsi="宋体" w:cs="Arial"/>
          <w:color w:val="auto"/>
          <w:sz w:val="22"/>
          <w:szCs w:val="22"/>
          <w:highlight w:val="none"/>
        </w:rPr>
        <w:t>供应商必须按竞争性磋商文件的要求提供相关技术参数、资料，包括采用的计量单位，并保证</w:t>
      </w:r>
      <w:r>
        <w:rPr>
          <w:rFonts w:hint="eastAsia" w:ascii="宋体" w:hAnsi="宋体"/>
          <w:color w:val="auto"/>
          <w:sz w:val="22"/>
          <w:szCs w:val="22"/>
          <w:highlight w:val="none"/>
        </w:rPr>
        <w:t>磋商响应文件</w:t>
      </w:r>
      <w:r>
        <w:rPr>
          <w:rFonts w:hint="eastAsia" w:ascii="宋体" w:hAnsi="宋体" w:cs="Arial"/>
          <w:color w:val="auto"/>
          <w:sz w:val="22"/>
          <w:szCs w:val="22"/>
          <w:highlight w:val="none"/>
        </w:rPr>
        <w:t>的正确性和真实性。</w:t>
      </w:r>
      <w:r>
        <w:rPr>
          <w:rFonts w:hint="eastAsia" w:ascii="宋体" w:hAnsi="宋体"/>
          <w:color w:val="auto"/>
          <w:sz w:val="22"/>
          <w:szCs w:val="22"/>
          <w:highlight w:val="none"/>
        </w:rPr>
        <w:t>磋商响应文件</w:t>
      </w:r>
      <w:r>
        <w:rPr>
          <w:rFonts w:hint="eastAsia" w:ascii="宋体" w:hAnsi="宋体" w:cs="Arial"/>
          <w:color w:val="auto"/>
          <w:sz w:val="22"/>
          <w:szCs w:val="22"/>
          <w:highlight w:val="none"/>
        </w:rPr>
        <w:t>全部内容应保持一致，否则可能导致对其不利评定甚至被拒绝。技术和商务如有偏离均应填写偏离表。</w:t>
      </w:r>
    </w:p>
    <w:p w14:paraId="108A5E11">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rPr>
      </w:pPr>
      <w:r>
        <w:rPr>
          <w:rFonts w:hint="eastAsia" w:ascii="宋体" w:hAnsi="宋体" w:cs="仿宋_GB2312"/>
          <w:color w:val="auto"/>
          <w:sz w:val="22"/>
          <w:szCs w:val="22"/>
          <w:highlight w:val="none"/>
          <w:lang w:val="zh-CN"/>
        </w:rPr>
        <w:t>1.3、供应商应仔细阅读竞争性磋商文件中的所有内容，按照竞争性磋商文件要求，详细编制</w:t>
      </w:r>
      <w:r>
        <w:rPr>
          <w:rFonts w:hint="eastAsia" w:ascii="宋体" w:hAnsi="宋体"/>
          <w:color w:val="auto"/>
          <w:sz w:val="22"/>
          <w:szCs w:val="22"/>
          <w:highlight w:val="none"/>
        </w:rPr>
        <w:t>磋商响应文件</w:t>
      </w:r>
      <w:r>
        <w:rPr>
          <w:rFonts w:hint="eastAsia" w:ascii="宋体" w:hAnsi="宋体" w:cs="仿宋_GB2312"/>
          <w:color w:val="auto"/>
          <w:sz w:val="22"/>
          <w:szCs w:val="22"/>
          <w:highlight w:val="none"/>
          <w:lang w:val="zh-CN"/>
        </w:rPr>
        <w:t>，所有文件资料必须是针对本次采购。不按竞争性磋商文件的要求提供的</w:t>
      </w:r>
      <w:r>
        <w:rPr>
          <w:rFonts w:hint="eastAsia" w:ascii="宋体" w:hAnsi="宋体"/>
          <w:color w:val="auto"/>
          <w:sz w:val="22"/>
          <w:szCs w:val="22"/>
          <w:highlight w:val="none"/>
        </w:rPr>
        <w:t>磋商响应文件</w:t>
      </w:r>
      <w:r>
        <w:rPr>
          <w:rFonts w:hint="eastAsia" w:ascii="宋体" w:hAnsi="宋体" w:cs="仿宋_GB2312"/>
          <w:color w:val="auto"/>
          <w:sz w:val="22"/>
          <w:szCs w:val="22"/>
          <w:highlight w:val="none"/>
          <w:lang w:val="zh-CN"/>
        </w:rPr>
        <w:t>可能导致被拒绝。</w:t>
      </w:r>
    </w:p>
    <w:p w14:paraId="6BEF03E3">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rPr>
      </w:pPr>
      <w:r>
        <w:rPr>
          <w:rFonts w:hint="eastAsia" w:ascii="宋体" w:hAnsi="宋体"/>
          <w:color w:val="auto"/>
          <w:sz w:val="22"/>
          <w:szCs w:val="22"/>
          <w:highlight w:val="none"/>
        </w:rPr>
        <w:t xml:space="preserve">2、磋商响应文件的组成  </w:t>
      </w:r>
    </w:p>
    <w:p w14:paraId="36FAA19A">
      <w:pPr>
        <w:autoSpaceDE w:val="0"/>
        <w:autoSpaceDN w:val="0"/>
        <w:adjustRightInd w:val="0"/>
        <w:snapToGrid w:val="0"/>
        <w:spacing w:line="460" w:lineRule="atLeast"/>
        <w:ind w:firstLine="440" w:firstLineChars="200"/>
        <w:rPr>
          <w:rFonts w:ascii="宋体" w:hAnsi="宋体" w:cs="Arial"/>
          <w:b/>
          <w:bCs/>
          <w:color w:val="auto"/>
          <w:sz w:val="22"/>
          <w:szCs w:val="22"/>
          <w:highlight w:val="none"/>
          <w:u w:val="single"/>
        </w:rPr>
      </w:pPr>
      <w:r>
        <w:rPr>
          <w:rFonts w:hint="eastAsia" w:ascii="宋体" w:hAnsi="宋体"/>
          <w:color w:val="auto"/>
          <w:sz w:val="22"/>
          <w:szCs w:val="22"/>
          <w:highlight w:val="none"/>
        </w:rPr>
        <w:t>▲</w:t>
      </w:r>
      <w:r>
        <w:rPr>
          <w:rFonts w:hint="eastAsia" w:ascii="宋体" w:hAnsi="宋体" w:cs="Arial"/>
          <w:b/>
          <w:bCs/>
          <w:color w:val="auto"/>
          <w:sz w:val="22"/>
          <w:szCs w:val="22"/>
          <w:highlight w:val="none"/>
          <w:u w:val="single"/>
        </w:rPr>
        <w:t>磋商响应文件由资格文件、报价文件、商务技术文件组成。</w:t>
      </w:r>
    </w:p>
    <w:p w14:paraId="06C7C421">
      <w:pPr>
        <w:autoSpaceDE w:val="0"/>
        <w:autoSpaceDN w:val="0"/>
        <w:adjustRightInd w:val="0"/>
        <w:snapToGrid w:val="0"/>
        <w:spacing w:line="460" w:lineRule="atLeast"/>
        <w:ind w:firstLine="442" w:firstLineChars="200"/>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2.1、资格文件组成</w:t>
      </w:r>
    </w:p>
    <w:tbl>
      <w:tblPr>
        <w:tblStyle w:val="6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2A03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26FBC58">
            <w:pPr>
              <w:autoSpaceDE w:val="0"/>
              <w:autoSpaceDN w:val="0"/>
              <w:adjustRightInd w:val="0"/>
              <w:snapToGrid w:val="0"/>
              <w:spacing w:line="430" w:lineRule="atLeast"/>
              <w:jc w:val="center"/>
              <w:rPr>
                <w:rFonts w:ascii="宋体" w:hAnsi="宋体" w:cs="Courier New"/>
                <w:color w:val="auto"/>
                <w:sz w:val="22"/>
                <w:highlight w:val="none"/>
                <w:lang w:val="zh-CN"/>
              </w:rPr>
            </w:pPr>
            <w:r>
              <w:rPr>
                <w:rFonts w:hint="eastAsia" w:ascii="宋体" w:hAnsi="宋体" w:cs="Courier New"/>
                <w:color w:val="auto"/>
                <w:sz w:val="22"/>
                <w:highlight w:val="none"/>
                <w:lang w:val="zh-CN"/>
              </w:rPr>
              <w:t>序号</w:t>
            </w:r>
          </w:p>
        </w:tc>
        <w:tc>
          <w:tcPr>
            <w:tcW w:w="8747" w:type="dxa"/>
          </w:tcPr>
          <w:p w14:paraId="7BC3766C">
            <w:pPr>
              <w:autoSpaceDE w:val="0"/>
              <w:autoSpaceDN w:val="0"/>
              <w:adjustRightInd w:val="0"/>
              <w:snapToGrid w:val="0"/>
              <w:spacing w:line="430" w:lineRule="atLeast"/>
              <w:rPr>
                <w:rFonts w:ascii="宋体" w:hAnsi="宋体" w:cs="Courier New"/>
                <w:color w:val="auto"/>
                <w:sz w:val="22"/>
                <w:highlight w:val="none"/>
                <w:lang w:val="zh-CN"/>
              </w:rPr>
            </w:pPr>
            <w:r>
              <w:rPr>
                <w:rFonts w:hint="eastAsia" w:ascii="宋体" w:hAnsi="宋体" w:cs="Courier New"/>
                <w:color w:val="auto"/>
                <w:sz w:val="22"/>
                <w:highlight w:val="none"/>
                <w:lang w:val="zh-CN"/>
              </w:rPr>
              <w:t>内容（</w:t>
            </w:r>
            <w:r>
              <w:rPr>
                <w:rFonts w:hint="eastAsia" w:ascii="宋体" w:hAnsi="宋体" w:cs="Courier New"/>
                <w:b/>
                <w:color w:val="auto"/>
                <w:sz w:val="22"/>
                <w:highlight w:val="none"/>
                <w:lang w:val="zh-CN"/>
              </w:rPr>
              <w:t>以下内容投标供应商必须提供，否则不能通过资格审查的，责任自负。</w:t>
            </w:r>
            <w:r>
              <w:rPr>
                <w:rFonts w:hint="eastAsia" w:ascii="宋体" w:hAnsi="宋体" w:cs="Courier New"/>
                <w:color w:val="auto"/>
                <w:sz w:val="22"/>
                <w:highlight w:val="none"/>
                <w:lang w:val="zh-CN"/>
              </w:rPr>
              <w:t>）</w:t>
            </w:r>
          </w:p>
        </w:tc>
      </w:tr>
      <w:tr w14:paraId="7653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006DD27">
            <w:pPr>
              <w:autoSpaceDE w:val="0"/>
              <w:autoSpaceDN w:val="0"/>
              <w:adjustRightInd w:val="0"/>
              <w:snapToGrid w:val="0"/>
              <w:spacing w:line="430" w:lineRule="atLeast"/>
              <w:jc w:val="center"/>
              <w:rPr>
                <w:rFonts w:ascii="宋体" w:hAnsi="宋体" w:cs="Courier New"/>
                <w:color w:val="auto"/>
                <w:sz w:val="22"/>
                <w:highlight w:val="none"/>
                <w:lang w:val="zh-CN"/>
              </w:rPr>
            </w:pPr>
            <w:r>
              <w:rPr>
                <w:rFonts w:hint="eastAsia" w:ascii="宋体" w:hAnsi="宋体" w:cs="Courier New"/>
                <w:color w:val="auto"/>
                <w:sz w:val="22"/>
                <w:highlight w:val="none"/>
                <w:lang w:val="zh-CN"/>
              </w:rPr>
              <w:t>1</w:t>
            </w:r>
          </w:p>
        </w:tc>
        <w:tc>
          <w:tcPr>
            <w:tcW w:w="8747" w:type="dxa"/>
          </w:tcPr>
          <w:p w14:paraId="66E94933">
            <w:pPr>
              <w:autoSpaceDE w:val="0"/>
              <w:autoSpaceDN w:val="0"/>
              <w:adjustRightInd w:val="0"/>
              <w:snapToGrid w:val="0"/>
              <w:spacing w:line="430" w:lineRule="atLeast"/>
              <w:rPr>
                <w:rFonts w:ascii="宋体" w:hAnsi="宋体" w:cs="Courier New"/>
                <w:color w:val="auto"/>
                <w:sz w:val="22"/>
                <w:highlight w:val="none"/>
              </w:rPr>
            </w:pPr>
            <w:r>
              <w:rPr>
                <w:rFonts w:hint="eastAsia" w:ascii="宋体" w:hAnsi="宋体" w:cs="Courier New"/>
                <w:color w:val="auto"/>
                <w:sz w:val="22"/>
                <w:highlight w:val="none"/>
              </w:rPr>
              <w:t>投标供应商的营业执照、税务登记证（如为多证合一仅需提供营业执照，扫描件加盖公章）</w:t>
            </w:r>
          </w:p>
        </w:tc>
      </w:tr>
      <w:tr w14:paraId="681F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64813A6">
            <w:pPr>
              <w:autoSpaceDE w:val="0"/>
              <w:autoSpaceDN w:val="0"/>
              <w:adjustRightInd w:val="0"/>
              <w:snapToGrid w:val="0"/>
              <w:spacing w:line="430" w:lineRule="atLeast"/>
              <w:jc w:val="center"/>
              <w:rPr>
                <w:rFonts w:ascii="宋体" w:hAnsi="宋体" w:cs="Courier New"/>
                <w:color w:val="auto"/>
                <w:sz w:val="22"/>
                <w:highlight w:val="none"/>
                <w:lang w:val="zh-CN"/>
              </w:rPr>
            </w:pPr>
            <w:r>
              <w:rPr>
                <w:rFonts w:hint="eastAsia" w:ascii="宋体" w:hAnsi="宋体" w:cs="Courier New"/>
                <w:color w:val="auto"/>
                <w:sz w:val="22"/>
                <w:highlight w:val="none"/>
                <w:lang w:val="zh-CN"/>
              </w:rPr>
              <w:t>2</w:t>
            </w:r>
          </w:p>
        </w:tc>
        <w:tc>
          <w:tcPr>
            <w:tcW w:w="8747" w:type="dxa"/>
          </w:tcPr>
          <w:p w14:paraId="5CF7CF1F">
            <w:pPr>
              <w:autoSpaceDE w:val="0"/>
              <w:autoSpaceDN w:val="0"/>
              <w:adjustRightInd w:val="0"/>
              <w:snapToGrid w:val="0"/>
              <w:spacing w:line="430" w:lineRule="atLeast"/>
              <w:rPr>
                <w:rFonts w:ascii="宋体" w:hAnsi="宋体" w:cs="Courier New"/>
                <w:color w:val="auto"/>
                <w:sz w:val="22"/>
                <w:highlight w:val="none"/>
              </w:rPr>
            </w:pPr>
            <w:r>
              <w:rPr>
                <w:rFonts w:hint="eastAsia" w:ascii="宋体" w:hAnsi="宋体" w:cs="Courier New"/>
                <w:color w:val="auto"/>
                <w:sz w:val="22"/>
                <w:highlight w:val="none"/>
              </w:rPr>
              <w:t>投标供应商参与政府采购活动投标资格声明函（附件一）</w:t>
            </w:r>
          </w:p>
        </w:tc>
      </w:tr>
      <w:tr w14:paraId="270C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62AA173">
            <w:pPr>
              <w:autoSpaceDE w:val="0"/>
              <w:autoSpaceDN w:val="0"/>
              <w:adjustRightInd w:val="0"/>
              <w:snapToGrid w:val="0"/>
              <w:spacing w:line="430" w:lineRule="atLeast"/>
              <w:jc w:val="center"/>
              <w:rPr>
                <w:rFonts w:hint="eastAsia" w:ascii="宋体" w:hAnsi="宋体" w:eastAsia="宋体" w:cs="Courier New"/>
                <w:color w:val="auto"/>
                <w:sz w:val="22"/>
                <w:highlight w:val="none"/>
                <w:lang w:val="en-US" w:eastAsia="zh-CN"/>
              </w:rPr>
            </w:pPr>
            <w:r>
              <w:rPr>
                <w:rFonts w:hint="eastAsia" w:ascii="宋体" w:hAnsi="宋体" w:cs="Courier New"/>
                <w:color w:val="auto"/>
                <w:sz w:val="22"/>
                <w:highlight w:val="none"/>
                <w:lang w:val="en-US" w:eastAsia="zh-CN"/>
              </w:rPr>
              <w:t>3</w:t>
            </w:r>
          </w:p>
        </w:tc>
        <w:tc>
          <w:tcPr>
            <w:tcW w:w="8747" w:type="dxa"/>
          </w:tcPr>
          <w:p w14:paraId="68437DEF">
            <w:pPr>
              <w:autoSpaceDE w:val="0"/>
              <w:autoSpaceDN w:val="0"/>
              <w:adjustRightInd w:val="0"/>
              <w:snapToGrid w:val="0"/>
              <w:spacing w:line="430" w:lineRule="atLeast"/>
              <w:rPr>
                <w:rFonts w:hint="eastAsia" w:ascii="宋体" w:hAnsi="宋体" w:cs="Courier New"/>
                <w:color w:val="auto"/>
                <w:sz w:val="22"/>
                <w:highlight w:val="none"/>
              </w:rPr>
            </w:pPr>
            <w:r>
              <w:rPr>
                <w:rFonts w:hint="eastAsia" w:ascii="宋体" w:hAnsi="宋体" w:cs="宋体"/>
                <w:b/>
                <w:bCs/>
                <w:color w:val="auto"/>
                <w:sz w:val="22"/>
                <w:highlight w:val="none"/>
              </w:rPr>
              <w:t>《中小企业声明函》（加盖供应商公章，格式见采购文件第四部分附件</w:t>
            </w:r>
            <w:r>
              <w:rPr>
                <w:rFonts w:ascii="宋体" w:hAnsi="宋体" w:cs="宋体"/>
                <w:b/>
                <w:bCs/>
                <w:color w:val="auto"/>
                <w:sz w:val="22"/>
                <w:highlight w:val="none"/>
              </w:rPr>
              <w:t>1）；在政府采购活动中，监狱企业、残疾人福利性单位视同小型、微型企业。</w:t>
            </w:r>
          </w:p>
        </w:tc>
      </w:tr>
    </w:tbl>
    <w:p w14:paraId="3C97F294">
      <w:pPr>
        <w:autoSpaceDE w:val="0"/>
        <w:autoSpaceDN w:val="0"/>
        <w:adjustRightInd w:val="0"/>
        <w:snapToGrid w:val="0"/>
        <w:spacing w:line="460" w:lineRule="atLeast"/>
        <w:ind w:firstLine="442" w:firstLineChars="200"/>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2.2、报价文件组成</w:t>
      </w:r>
    </w:p>
    <w:tbl>
      <w:tblPr>
        <w:tblStyle w:val="6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027A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932336F">
            <w:pPr>
              <w:autoSpaceDE w:val="0"/>
              <w:autoSpaceDN w:val="0"/>
              <w:adjustRightInd w:val="0"/>
              <w:snapToGrid w:val="0"/>
              <w:spacing w:line="430" w:lineRule="atLeast"/>
              <w:jc w:val="center"/>
              <w:rPr>
                <w:rFonts w:ascii="宋体" w:hAnsi="宋体" w:cs="Courier New"/>
                <w:color w:val="auto"/>
                <w:sz w:val="22"/>
                <w:highlight w:val="none"/>
                <w:lang w:val="zh-CN"/>
              </w:rPr>
            </w:pPr>
            <w:r>
              <w:rPr>
                <w:rFonts w:hint="eastAsia" w:ascii="宋体" w:hAnsi="宋体" w:cs="Courier New"/>
                <w:color w:val="auto"/>
                <w:sz w:val="22"/>
                <w:highlight w:val="none"/>
                <w:lang w:val="zh-CN"/>
              </w:rPr>
              <w:t>序号</w:t>
            </w:r>
          </w:p>
        </w:tc>
        <w:tc>
          <w:tcPr>
            <w:tcW w:w="8736" w:type="dxa"/>
          </w:tcPr>
          <w:p w14:paraId="2CE1FF1F">
            <w:pPr>
              <w:autoSpaceDE w:val="0"/>
              <w:autoSpaceDN w:val="0"/>
              <w:adjustRightInd w:val="0"/>
              <w:snapToGrid w:val="0"/>
              <w:spacing w:line="430" w:lineRule="atLeast"/>
              <w:rPr>
                <w:rFonts w:ascii="宋体" w:hAnsi="宋体" w:cs="Courier New"/>
                <w:color w:val="auto"/>
                <w:sz w:val="22"/>
                <w:highlight w:val="none"/>
                <w:lang w:val="zh-CN"/>
              </w:rPr>
            </w:pPr>
            <w:r>
              <w:rPr>
                <w:rFonts w:hint="eastAsia" w:ascii="宋体" w:hAnsi="宋体" w:cs="Courier New"/>
                <w:color w:val="auto"/>
                <w:sz w:val="22"/>
                <w:highlight w:val="none"/>
                <w:lang w:val="zh-CN"/>
              </w:rPr>
              <w:t>内容（▲</w:t>
            </w:r>
            <w:r>
              <w:rPr>
                <w:rFonts w:hint="eastAsia" w:ascii="宋体" w:hAnsi="宋体" w:cs="Courier New"/>
                <w:b/>
                <w:color w:val="auto"/>
                <w:sz w:val="22"/>
                <w:highlight w:val="none"/>
                <w:lang w:val="zh-CN"/>
              </w:rPr>
              <w:t>序号2-3项投标供应商必须提供，否则不能通过符合性审查的，责任自负</w:t>
            </w:r>
            <w:r>
              <w:rPr>
                <w:rFonts w:hint="eastAsia" w:ascii="宋体" w:hAnsi="宋体" w:cs="Courier New"/>
                <w:color w:val="auto"/>
                <w:sz w:val="22"/>
                <w:highlight w:val="none"/>
                <w:lang w:val="zh-CN"/>
              </w:rPr>
              <w:t>。）</w:t>
            </w:r>
          </w:p>
        </w:tc>
      </w:tr>
      <w:tr w14:paraId="0B46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84" w:type="dxa"/>
            <w:vAlign w:val="center"/>
          </w:tcPr>
          <w:p w14:paraId="5AFF3C79">
            <w:pPr>
              <w:autoSpaceDE w:val="0"/>
              <w:autoSpaceDN w:val="0"/>
              <w:adjustRightInd w:val="0"/>
              <w:snapToGrid w:val="0"/>
              <w:spacing w:line="430" w:lineRule="atLeast"/>
              <w:jc w:val="center"/>
              <w:rPr>
                <w:rFonts w:ascii="宋体" w:hAnsi="宋体" w:cs="Courier New"/>
                <w:color w:val="auto"/>
                <w:sz w:val="22"/>
                <w:highlight w:val="none"/>
                <w:lang w:val="zh-CN"/>
              </w:rPr>
            </w:pPr>
            <w:r>
              <w:rPr>
                <w:rFonts w:hint="eastAsia" w:ascii="宋体" w:hAnsi="宋体" w:cs="Courier New"/>
                <w:color w:val="auto"/>
                <w:sz w:val="22"/>
                <w:highlight w:val="none"/>
                <w:lang w:val="zh-CN"/>
              </w:rPr>
              <w:t>1</w:t>
            </w:r>
          </w:p>
        </w:tc>
        <w:tc>
          <w:tcPr>
            <w:tcW w:w="8736" w:type="dxa"/>
          </w:tcPr>
          <w:p w14:paraId="423BEB29">
            <w:pPr>
              <w:autoSpaceDE w:val="0"/>
              <w:autoSpaceDN w:val="0"/>
              <w:adjustRightInd w:val="0"/>
              <w:snapToGrid w:val="0"/>
              <w:spacing w:line="430" w:lineRule="atLeast"/>
              <w:rPr>
                <w:rFonts w:ascii="宋体" w:hAnsi="宋体" w:cs="Courier New"/>
                <w:color w:val="auto"/>
                <w:sz w:val="22"/>
                <w:highlight w:val="none"/>
                <w:lang w:val="zh-CN"/>
              </w:rPr>
            </w:pPr>
            <w:r>
              <w:rPr>
                <w:rFonts w:hint="eastAsia" w:ascii="宋体" w:hAnsi="宋体"/>
                <w:color w:val="auto"/>
                <w:sz w:val="22"/>
                <w:szCs w:val="22"/>
                <w:highlight w:val="none"/>
              </w:rPr>
              <w:t>报价文件封面（格式自拟）</w:t>
            </w:r>
          </w:p>
        </w:tc>
      </w:tr>
      <w:tr w14:paraId="2AEF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0DE9D9C">
            <w:pPr>
              <w:autoSpaceDE w:val="0"/>
              <w:autoSpaceDN w:val="0"/>
              <w:adjustRightInd w:val="0"/>
              <w:snapToGrid w:val="0"/>
              <w:spacing w:line="430" w:lineRule="atLeast"/>
              <w:jc w:val="center"/>
              <w:rPr>
                <w:rFonts w:ascii="宋体" w:hAnsi="宋体" w:cs="Courier New"/>
                <w:color w:val="auto"/>
                <w:sz w:val="22"/>
                <w:highlight w:val="none"/>
                <w:lang w:val="zh-CN"/>
              </w:rPr>
            </w:pPr>
            <w:r>
              <w:rPr>
                <w:rFonts w:hint="eastAsia" w:ascii="宋体" w:hAnsi="宋体" w:cs="Courier New"/>
                <w:color w:val="auto"/>
                <w:sz w:val="22"/>
                <w:highlight w:val="none"/>
                <w:lang w:val="zh-CN"/>
              </w:rPr>
              <w:t>2</w:t>
            </w:r>
          </w:p>
        </w:tc>
        <w:tc>
          <w:tcPr>
            <w:tcW w:w="8736" w:type="dxa"/>
          </w:tcPr>
          <w:p w14:paraId="1C765FB6">
            <w:pPr>
              <w:autoSpaceDE w:val="0"/>
              <w:autoSpaceDN w:val="0"/>
              <w:adjustRightInd w:val="0"/>
              <w:spacing w:line="430" w:lineRule="atLeast"/>
              <w:textAlignment w:val="bottom"/>
              <w:rPr>
                <w:rFonts w:ascii="宋体" w:hAnsi="宋体" w:cs="Courier New"/>
                <w:color w:val="auto"/>
                <w:sz w:val="22"/>
                <w:highlight w:val="none"/>
              </w:rPr>
            </w:pPr>
            <w:r>
              <w:rPr>
                <w:rFonts w:hint="eastAsia" w:ascii="宋体" w:hAnsi="宋体" w:cs="Courier New"/>
                <w:color w:val="auto"/>
                <w:sz w:val="22"/>
                <w:highlight w:val="none"/>
              </w:rPr>
              <w:t>报价一览表（附件二）</w:t>
            </w:r>
          </w:p>
        </w:tc>
      </w:tr>
      <w:tr w14:paraId="4473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802E28A">
            <w:pPr>
              <w:autoSpaceDE w:val="0"/>
              <w:autoSpaceDN w:val="0"/>
              <w:adjustRightInd w:val="0"/>
              <w:snapToGrid w:val="0"/>
              <w:spacing w:line="430" w:lineRule="atLeast"/>
              <w:jc w:val="center"/>
              <w:rPr>
                <w:rFonts w:ascii="宋体" w:hAnsi="宋体" w:cs="Courier New"/>
                <w:color w:val="auto"/>
                <w:sz w:val="22"/>
                <w:highlight w:val="none"/>
                <w:lang w:val="zh-CN"/>
              </w:rPr>
            </w:pPr>
            <w:r>
              <w:rPr>
                <w:rFonts w:hint="eastAsia" w:ascii="宋体" w:hAnsi="宋体" w:cs="Courier New"/>
                <w:color w:val="auto"/>
                <w:sz w:val="22"/>
                <w:highlight w:val="none"/>
                <w:lang w:val="zh-CN"/>
              </w:rPr>
              <w:t>3</w:t>
            </w:r>
          </w:p>
        </w:tc>
        <w:tc>
          <w:tcPr>
            <w:tcW w:w="8736" w:type="dxa"/>
          </w:tcPr>
          <w:p w14:paraId="7246F2AE">
            <w:pPr>
              <w:autoSpaceDE w:val="0"/>
              <w:autoSpaceDN w:val="0"/>
              <w:adjustRightInd w:val="0"/>
              <w:spacing w:line="430" w:lineRule="atLeast"/>
              <w:textAlignment w:val="bottom"/>
              <w:rPr>
                <w:rFonts w:ascii="宋体" w:hAnsi="宋体"/>
                <w:color w:val="auto"/>
                <w:szCs w:val="21"/>
                <w:highlight w:val="none"/>
                <w:lang w:val="zh-CN"/>
              </w:rPr>
            </w:pPr>
            <w:r>
              <w:rPr>
                <w:rFonts w:hint="eastAsia" w:ascii="宋体" w:hAnsi="宋体"/>
                <w:color w:val="auto"/>
                <w:sz w:val="22"/>
                <w:highlight w:val="none"/>
              </w:rPr>
              <w:t>投标分项报价表</w:t>
            </w:r>
            <w:r>
              <w:rPr>
                <w:rFonts w:hint="eastAsia" w:ascii="宋体" w:hAnsi="宋体"/>
                <w:color w:val="auto"/>
                <w:szCs w:val="21"/>
                <w:highlight w:val="none"/>
              </w:rPr>
              <w:t>（附件三）</w:t>
            </w:r>
          </w:p>
        </w:tc>
      </w:tr>
      <w:tr w14:paraId="7054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ABCA766">
            <w:pPr>
              <w:autoSpaceDE w:val="0"/>
              <w:autoSpaceDN w:val="0"/>
              <w:adjustRightInd w:val="0"/>
              <w:snapToGrid w:val="0"/>
              <w:spacing w:line="430" w:lineRule="atLeast"/>
              <w:jc w:val="center"/>
              <w:rPr>
                <w:rFonts w:hint="eastAsia" w:ascii="宋体" w:hAnsi="宋体" w:eastAsia="宋体" w:cs="Courier New"/>
                <w:color w:val="auto"/>
                <w:sz w:val="22"/>
                <w:highlight w:val="none"/>
                <w:lang w:val="zh-CN" w:eastAsia="zh-CN"/>
              </w:rPr>
            </w:pPr>
            <w:r>
              <w:rPr>
                <w:rFonts w:hint="eastAsia" w:ascii="宋体" w:hAnsi="宋体" w:cs="Courier New"/>
                <w:color w:val="auto"/>
                <w:sz w:val="22"/>
                <w:highlight w:val="none"/>
                <w:lang w:val="en-US" w:eastAsia="zh-CN"/>
              </w:rPr>
              <w:t>4</w:t>
            </w:r>
          </w:p>
        </w:tc>
        <w:tc>
          <w:tcPr>
            <w:tcW w:w="8736" w:type="dxa"/>
          </w:tcPr>
          <w:p w14:paraId="2FFA98FF">
            <w:pPr>
              <w:snapToGrid w:val="0"/>
              <w:spacing w:line="460" w:lineRule="atLeast"/>
              <w:rPr>
                <w:rFonts w:ascii="宋体" w:hAnsi="宋体"/>
                <w:color w:val="auto"/>
                <w:sz w:val="22"/>
                <w:highlight w:val="none"/>
              </w:rPr>
            </w:pPr>
            <w:r>
              <w:rPr>
                <w:rFonts w:hint="eastAsia" w:ascii="宋体" w:hAnsi="宋体"/>
                <w:color w:val="auto"/>
                <w:sz w:val="22"/>
                <w:highlight w:val="none"/>
              </w:rPr>
              <w:t>其他供应商须说明的资料（如有则提供）</w:t>
            </w:r>
          </w:p>
        </w:tc>
      </w:tr>
    </w:tbl>
    <w:p w14:paraId="7E695BC8">
      <w:pPr>
        <w:autoSpaceDE w:val="0"/>
        <w:autoSpaceDN w:val="0"/>
        <w:adjustRightInd w:val="0"/>
        <w:snapToGrid w:val="0"/>
        <w:spacing w:line="460" w:lineRule="atLeast"/>
        <w:ind w:firstLine="442" w:firstLineChars="200"/>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2.3、商务技术文件组成</w:t>
      </w:r>
    </w:p>
    <w:tbl>
      <w:tblPr>
        <w:tblStyle w:val="6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1142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EA05108">
            <w:pPr>
              <w:autoSpaceDE w:val="0"/>
              <w:autoSpaceDN w:val="0"/>
              <w:adjustRightInd w:val="0"/>
              <w:snapToGrid w:val="0"/>
              <w:spacing w:line="430" w:lineRule="atLeast"/>
              <w:rPr>
                <w:rFonts w:ascii="宋体" w:hAnsi="宋体" w:cs="Courier New"/>
                <w:color w:val="auto"/>
                <w:sz w:val="22"/>
                <w:highlight w:val="none"/>
                <w:lang w:val="zh-CN"/>
              </w:rPr>
            </w:pPr>
            <w:r>
              <w:rPr>
                <w:rFonts w:hint="eastAsia" w:ascii="宋体" w:hAnsi="宋体" w:cs="Courier New"/>
                <w:color w:val="auto"/>
                <w:sz w:val="22"/>
                <w:highlight w:val="none"/>
                <w:lang w:val="zh-CN"/>
              </w:rPr>
              <w:t>序号</w:t>
            </w:r>
          </w:p>
        </w:tc>
        <w:tc>
          <w:tcPr>
            <w:tcW w:w="8747" w:type="dxa"/>
          </w:tcPr>
          <w:p w14:paraId="33C19549">
            <w:pPr>
              <w:autoSpaceDE w:val="0"/>
              <w:autoSpaceDN w:val="0"/>
              <w:adjustRightInd w:val="0"/>
              <w:snapToGrid w:val="0"/>
              <w:spacing w:line="430" w:lineRule="atLeast"/>
              <w:rPr>
                <w:rFonts w:ascii="宋体" w:hAnsi="宋体" w:cs="Courier New"/>
                <w:color w:val="auto"/>
                <w:sz w:val="22"/>
                <w:szCs w:val="22"/>
                <w:highlight w:val="none"/>
                <w:lang w:val="zh-CN"/>
              </w:rPr>
            </w:pPr>
            <w:r>
              <w:rPr>
                <w:rFonts w:hint="eastAsia" w:ascii="宋体" w:hAnsi="宋体" w:cs="Courier New"/>
                <w:color w:val="auto"/>
                <w:sz w:val="22"/>
                <w:szCs w:val="22"/>
                <w:highlight w:val="none"/>
                <w:lang w:val="zh-CN"/>
              </w:rPr>
              <w:t>内容（</w:t>
            </w:r>
            <w:r>
              <w:rPr>
                <w:rFonts w:hint="eastAsia" w:ascii="宋体" w:hAnsi="宋体" w:cs="Courier New"/>
                <w:b/>
                <w:color w:val="auto"/>
                <w:sz w:val="22"/>
                <w:highlight w:val="none"/>
                <w:lang w:val="zh-CN"/>
              </w:rPr>
              <w:t>投标供应商应提供相关内容，否则不能通过符合性审查的，责任自负</w:t>
            </w:r>
            <w:r>
              <w:rPr>
                <w:rFonts w:hint="eastAsia" w:ascii="宋体" w:hAnsi="宋体" w:cs="Courier New"/>
                <w:color w:val="auto"/>
                <w:sz w:val="22"/>
                <w:highlight w:val="none"/>
                <w:lang w:val="zh-CN"/>
              </w:rPr>
              <w:t>。</w:t>
            </w:r>
            <w:r>
              <w:rPr>
                <w:rFonts w:hint="eastAsia" w:ascii="宋体" w:hAnsi="宋体" w:cs="Courier New"/>
                <w:color w:val="auto"/>
                <w:sz w:val="22"/>
                <w:szCs w:val="22"/>
                <w:highlight w:val="none"/>
                <w:lang w:val="zh-CN"/>
              </w:rPr>
              <w:t>）</w:t>
            </w:r>
          </w:p>
        </w:tc>
      </w:tr>
      <w:tr w14:paraId="10A1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394B84C1">
            <w:pPr>
              <w:autoSpaceDE w:val="0"/>
              <w:autoSpaceDN w:val="0"/>
              <w:adjustRightInd w:val="0"/>
              <w:snapToGrid w:val="0"/>
              <w:spacing w:line="430" w:lineRule="atLeast"/>
              <w:jc w:val="center"/>
              <w:rPr>
                <w:rFonts w:ascii="宋体" w:hAnsi="宋体" w:cs="Courier New"/>
                <w:color w:val="auto"/>
                <w:sz w:val="22"/>
                <w:highlight w:val="none"/>
                <w:lang w:val="zh-CN"/>
              </w:rPr>
            </w:pPr>
            <w:r>
              <w:rPr>
                <w:rFonts w:hint="eastAsia" w:ascii="宋体" w:hAnsi="宋体" w:cs="Courier New"/>
                <w:color w:val="auto"/>
                <w:sz w:val="22"/>
                <w:highlight w:val="none"/>
                <w:lang w:val="zh-CN"/>
              </w:rPr>
              <w:t>1</w:t>
            </w:r>
          </w:p>
        </w:tc>
        <w:tc>
          <w:tcPr>
            <w:tcW w:w="8747" w:type="dxa"/>
          </w:tcPr>
          <w:p w14:paraId="3459EB9F">
            <w:pPr>
              <w:autoSpaceDE w:val="0"/>
              <w:autoSpaceDN w:val="0"/>
              <w:adjustRightInd w:val="0"/>
              <w:snapToGrid w:val="0"/>
              <w:spacing w:line="430" w:lineRule="atLeast"/>
              <w:rPr>
                <w:rFonts w:ascii="宋体" w:hAnsi="宋体" w:cs="Courier New"/>
                <w:color w:val="auto"/>
                <w:sz w:val="22"/>
                <w:szCs w:val="22"/>
                <w:highlight w:val="none"/>
                <w:lang w:val="zh-CN"/>
              </w:rPr>
            </w:pPr>
            <w:r>
              <w:rPr>
                <w:rFonts w:hint="eastAsia" w:ascii="宋体" w:hAnsi="宋体"/>
                <w:color w:val="auto"/>
                <w:sz w:val="22"/>
                <w:szCs w:val="22"/>
                <w:highlight w:val="none"/>
              </w:rPr>
              <w:t>商务技术文件封面（格式自拟）</w:t>
            </w:r>
          </w:p>
        </w:tc>
      </w:tr>
      <w:tr w14:paraId="1545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97A2882">
            <w:pPr>
              <w:autoSpaceDE w:val="0"/>
              <w:autoSpaceDN w:val="0"/>
              <w:adjustRightInd w:val="0"/>
              <w:snapToGrid w:val="0"/>
              <w:spacing w:line="430" w:lineRule="atLeast"/>
              <w:jc w:val="center"/>
              <w:rPr>
                <w:rFonts w:ascii="宋体" w:hAnsi="宋体" w:cs="Courier New"/>
                <w:color w:val="auto"/>
                <w:sz w:val="22"/>
                <w:highlight w:val="none"/>
                <w:lang w:val="zh-CN"/>
              </w:rPr>
            </w:pPr>
            <w:r>
              <w:rPr>
                <w:rFonts w:hint="eastAsia" w:ascii="宋体" w:hAnsi="宋体" w:cs="Courier New"/>
                <w:color w:val="auto"/>
                <w:sz w:val="22"/>
                <w:highlight w:val="none"/>
                <w:lang w:val="zh-CN"/>
              </w:rPr>
              <w:t>2</w:t>
            </w:r>
          </w:p>
        </w:tc>
        <w:tc>
          <w:tcPr>
            <w:tcW w:w="8747" w:type="dxa"/>
          </w:tcPr>
          <w:p w14:paraId="7C4F568E">
            <w:pPr>
              <w:autoSpaceDE w:val="0"/>
              <w:autoSpaceDN w:val="0"/>
              <w:adjustRightInd w:val="0"/>
              <w:snapToGrid w:val="0"/>
              <w:spacing w:line="430" w:lineRule="atLeast"/>
              <w:rPr>
                <w:rFonts w:ascii="宋体" w:hAnsi="宋体" w:cs="Courier New"/>
                <w:color w:val="auto"/>
                <w:sz w:val="22"/>
                <w:highlight w:val="none"/>
                <w:lang w:val="zh-CN"/>
              </w:rPr>
            </w:pPr>
            <w:r>
              <w:rPr>
                <w:rFonts w:hint="eastAsia" w:ascii="宋体" w:hAnsi="宋体" w:cs="Courier New"/>
                <w:color w:val="auto"/>
                <w:sz w:val="22"/>
                <w:highlight w:val="none"/>
              </w:rPr>
              <w:t>投标函（附件四）</w:t>
            </w:r>
          </w:p>
        </w:tc>
      </w:tr>
      <w:tr w14:paraId="4673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D6C8444">
            <w:pPr>
              <w:autoSpaceDE w:val="0"/>
              <w:autoSpaceDN w:val="0"/>
              <w:adjustRightInd w:val="0"/>
              <w:snapToGrid w:val="0"/>
              <w:spacing w:line="430" w:lineRule="atLeast"/>
              <w:jc w:val="center"/>
              <w:rPr>
                <w:rFonts w:ascii="宋体" w:hAnsi="宋体" w:cs="Courier New"/>
                <w:color w:val="auto"/>
                <w:sz w:val="22"/>
                <w:highlight w:val="none"/>
                <w:lang w:val="zh-CN"/>
              </w:rPr>
            </w:pPr>
            <w:r>
              <w:rPr>
                <w:rFonts w:hint="eastAsia" w:ascii="宋体" w:hAnsi="宋体" w:cs="Courier New"/>
                <w:color w:val="auto"/>
                <w:sz w:val="22"/>
                <w:highlight w:val="none"/>
                <w:lang w:val="zh-CN"/>
              </w:rPr>
              <w:t>3</w:t>
            </w:r>
          </w:p>
        </w:tc>
        <w:tc>
          <w:tcPr>
            <w:tcW w:w="8747" w:type="dxa"/>
          </w:tcPr>
          <w:p w14:paraId="2FAD0DC6">
            <w:pPr>
              <w:autoSpaceDE w:val="0"/>
              <w:autoSpaceDN w:val="0"/>
              <w:adjustRightInd w:val="0"/>
              <w:snapToGrid w:val="0"/>
              <w:spacing w:line="430" w:lineRule="atLeast"/>
              <w:rPr>
                <w:rFonts w:ascii="宋体" w:hAnsi="宋体" w:cs="Courier New"/>
                <w:color w:val="auto"/>
                <w:sz w:val="22"/>
                <w:highlight w:val="none"/>
              </w:rPr>
            </w:pPr>
            <w:r>
              <w:rPr>
                <w:rFonts w:hint="eastAsia" w:ascii="宋体" w:hAnsi="宋体" w:cs="Courier New"/>
                <w:color w:val="auto"/>
                <w:sz w:val="22"/>
                <w:highlight w:val="none"/>
              </w:rPr>
              <w:t>投标供应商法定代表人授权书（附件五）</w:t>
            </w:r>
          </w:p>
        </w:tc>
      </w:tr>
      <w:tr w14:paraId="3DBE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9A06C01">
            <w:pPr>
              <w:autoSpaceDE w:val="0"/>
              <w:autoSpaceDN w:val="0"/>
              <w:adjustRightInd w:val="0"/>
              <w:snapToGrid w:val="0"/>
              <w:spacing w:line="430" w:lineRule="atLeast"/>
              <w:jc w:val="center"/>
              <w:rPr>
                <w:rFonts w:ascii="宋体" w:hAnsi="宋体" w:cs="Courier New"/>
                <w:color w:val="auto"/>
                <w:sz w:val="22"/>
                <w:highlight w:val="none"/>
              </w:rPr>
            </w:pPr>
            <w:r>
              <w:rPr>
                <w:rFonts w:hint="eastAsia" w:ascii="宋体" w:hAnsi="宋体" w:cs="Courier New"/>
                <w:color w:val="auto"/>
                <w:sz w:val="22"/>
                <w:highlight w:val="none"/>
              </w:rPr>
              <w:t>4</w:t>
            </w:r>
          </w:p>
        </w:tc>
        <w:tc>
          <w:tcPr>
            <w:tcW w:w="8747" w:type="dxa"/>
          </w:tcPr>
          <w:p w14:paraId="3687EF2E">
            <w:pPr>
              <w:autoSpaceDE w:val="0"/>
              <w:autoSpaceDN w:val="0"/>
              <w:adjustRightInd w:val="0"/>
              <w:snapToGrid w:val="0"/>
              <w:spacing w:line="430" w:lineRule="atLeast"/>
              <w:rPr>
                <w:rFonts w:ascii="宋体" w:hAnsi="宋体" w:cs="Courier New"/>
                <w:color w:val="auto"/>
                <w:sz w:val="22"/>
                <w:highlight w:val="none"/>
              </w:rPr>
            </w:pPr>
            <w:r>
              <w:rPr>
                <w:rFonts w:hint="eastAsia" w:ascii="宋体" w:hAnsi="宋体" w:cs="Courier New"/>
                <w:color w:val="auto"/>
                <w:sz w:val="22"/>
                <w:highlight w:val="none"/>
              </w:rPr>
              <w:t>法定代表人诚信投标承诺书（附件六）</w:t>
            </w:r>
          </w:p>
        </w:tc>
      </w:tr>
      <w:tr w14:paraId="5469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BD1DE25">
            <w:pPr>
              <w:autoSpaceDE w:val="0"/>
              <w:autoSpaceDN w:val="0"/>
              <w:adjustRightInd w:val="0"/>
              <w:snapToGrid w:val="0"/>
              <w:spacing w:line="430" w:lineRule="atLeast"/>
              <w:jc w:val="center"/>
              <w:rPr>
                <w:rFonts w:ascii="宋体" w:hAnsi="宋体" w:cs="Courier New"/>
                <w:color w:val="auto"/>
                <w:sz w:val="22"/>
                <w:highlight w:val="none"/>
              </w:rPr>
            </w:pPr>
            <w:r>
              <w:rPr>
                <w:rFonts w:hint="eastAsia" w:ascii="宋体" w:hAnsi="宋体" w:cs="Courier New"/>
                <w:color w:val="auto"/>
                <w:sz w:val="22"/>
                <w:highlight w:val="none"/>
              </w:rPr>
              <w:t>5</w:t>
            </w:r>
          </w:p>
        </w:tc>
        <w:tc>
          <w:tcPr>
            <w:tcW w:w="8747" w:type="dxa"/>
          </w:tcPr>
          <w:p w14:paraId="4809085B">
            <w:pPr>
              <w:autoSpaceDE w:val="0"/>
              <w:autoSpaceDN w:val="0"/>
              <w:adjustRightInd w:val="0"/>
              <w:snapToGrid w:val="0"/>
              <w:spacing w:line="430" w:lineRule="atLeast"/>
              <w:rPr>
                <w:rFonts w:ascii="宋体" w:hAnsi="宋体" w:cs="Courier New"/>
                <w:color w:val="auto"/>
                <w:sz w:val="22"/>
                <w:highlight w:val="none"/>
              </w:rPr>
            </w:pPr>
            <w:r>
              <w:rPr>
                <w:rFonts w:hint="eastAsia" w:ascii="宋体" w:hAnsi="宋体" w:cs="Courier New"/>
                <w:color w:val="auto"/>
                <w:sz w:val="22"/>
                <w:highlight w:val="none"/>
              </w:rPr>
              <w:t>投标供应商质量体系认证证书（如有则提供，</w:t>
            </w:r>
            <w:r>
              <w:rPr>
                <w:rFonts w:hint="eastAsia" w:ascii="宋体" w:hAnsi="宋体"/>
                <w:color w:val="auto"/>
                <w:sz w:val="22"/>
                <w:szCs w:val="22"/>
                <w:highlight w:val="none"/>
              </w:rPr>
              <w:t>扫描件</w:t>
            </w:r>
            <w:r>
              <w:rPr>
                <w:rFonts w:hint="eastAsia" w:ascii="宋体" w:hAnsi="宋体" w:cs="Courier New"/>
                <w:color w:val="auto"/>
                <w:sz w:val="22"/>
                <w:highlight w:val="none"/>
              </w:rPr>
              <w:t>加盖公章）</w:t>
            </w:r>
          </w:p>
        </w:tc>
      </w:tr>
      <w:tr w14:paraId="6751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0F053914">
            <w:pPr>
              <w:autoSpaceDE w:val="0"/>
              <w:autoSpaceDN w:val="0"/>
              <w:adjustRightInd w:val="0"/>
              <w:snapToGrid w:val="0"/>
              <w:spacing w:line="430" w:lineRule="atLeast"/>
              <w:jc w:val="center"/>
              <w:rPr>
                <w:rFonts w:ascii="宋体" w:hAnsi="宋体" w:cs="Courier New"/>
                <w:color w:val="auto"/>
                <w:sz w:val="22"/>
                <w:highlight w:val="none"/>
              </w:rPr>
            </w:pPr>
            <w:r>
              <w:rPr>
                <w:rFonts w:hint="eastAsia" w:ascii="宋体" w:hAnsi="宋体" w:cs="Courier New"/>
                <w:color w:val="auto"/>
                <w:sz w:val="22"/>
                <w:highlight w:val="none"/>
              </w:rPr>
              <w:t>6</w:t>
            </w:r>
          </w:p>
        </w:tc>
        <w:tc>
          <w:tcPr>
            <w:tcW w:w="8747" w:type="dxa"/>
          </w:tcPr>
          <w:p w14:paraId="5480A479">
            <w:pPr>
              <w:autoSpaceDE w:val="0"/>
              <w:autoSpaceDN w:val="0"/>
              <w:adjustRightInd w:val="0"/>
              <w:snapToGrid w:val="0"/>
              <w:spacing w:line="430" w:lineRule="atLeast"/>
              <w:rPr>
                <w:rFonts w:ascii="宋体" w:hAnsi="宋体" w:cs="Courier New"/>
                <w:color w:val="auto"/>
                <w:sz w:val="22"/>
                <w:highlight w:val="none"/>
              </w:rPr>
            </w:pPr>
            <w:r>
              <w:rPr>
                <w:rFonts w:hint="eastAsia" w:ascii="宋体" w:hAnsi="宋体" w:cs="Courier New"/>
                <w:color w:val="auto"/>
                <w:sz w:val="22"/>
                <w:highlight w:val="none"/>
              </w:rPr>
              <w:t>投标供应商环境体系认证证书（如有则提供，</w:t>
            </w:r>
            <w:r>
              <w:rPr>
                <w:rFonts w:hint="eastAsia" w:ascii="宋体" w:hAnsi="宋体"/>
                <w:color w:val="auto"/>
                <w:sz w:val="22"/>
                <w:szCs w:val="22"/>
                <w:highlight w:val="none"/>
              </w:rPr>
              <w:t>扫描件</w:t>
            </w:r>
            <w:r>
              <w:rPr>
                <w:rFonts w:hint="eastAsia" w:ascii="宋体" w:hAnsi="宋体" w:cs="Courier New"/>
                <w:color w:val="auto"/>
                <w:sz w:val="22"/>
                <w:highlight w:val="none"/>
              </w:rPr>
              <w:t>加盖公章）</w:t>
            </w:r>
          </w:p>
        </w:tc>
      </w:tr>
      <w:tr w14:paraId="5163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37FFF739">
            <w:pPr>
              <w:autoSpaceDE w:val="0"/>
              <w:autoSpaceDN w:val="0"/>
              <w:adjustRightInd w:val="0"/>
              <w:snapToGrid w:val="0"/>
              <w:spacing w:line="430" w:lineRule="atLeast"/>
              <w:jc w:val="center"/>
              <w:rPr>
                <w:rFonts w:ascii="宋体" w:hAnsi="宋体" w:cs="Courier New"/>
                <w:color w:val="auto"/>
                <w:sz w:val="22"/>
                <w:highlight w:val="none"/>
              </w:rPr>
            </w:pPr>
            <w:r>
              <w:rPr>
                <w:rFonts w:hint="eastAsia" w:ascii="宋体" w:hAnsi="宋体" w:cs="Courier New"/>
                <w:color w:val="auto"/>
                <w:sz w:val="22"/>
                <w:highlight w:val="none"/>
              </w:rPr>
              <w:t>7</w:t>
            </w:r>
          </w:p>
        </w:tc>
        <w:tc>
          <w:tcPr>
            <w:tcW w:w="8747" w:type="dxa"/>
          </w:tcPr>
          <w:p w14:paraId="7C63CCD8">
            <w:pPr>
              <w:autoSpaceDE w:val="0"/>
              <w:autoSpaceDN w:val="0"/>
              <w:adjustRightInd w:val="0"/>
              <w:snapToGrid w:val="0"/>
              <w:spacing w:line="430" w:lineRule="atLeast"/>
              <w:rPr>
                <w:rFonts w:ascii="宋体" w:hAnsi="宋体" w:cs="Courier New"/>
                <w:color w:val="auto"/>
                <w:sz w:val="22"/>
                <w:highlight w:val="none"/>
              </w:rPr>
            </w:pPr>
            <w:r>
              <w:rPr>
                <w:rFonts w:hint="eastAsia" w:ascii="宋体" w:hAnsi="宋体" w:cs="Courier New"/>
                <w:color w:val="auto"/>
                <w:sz w:val="22"/>
                <w:highlight w:val="none"/>
              </w:rPr>
              <w:t>投标供应商职业健康体系认证证书（如有则提供，</w:t>
            </w:r>
            <w:r>
              <w:rPr>
                <w:rFonts w:hint="eastAsia" w:ascii="宋体" w:hAnsi="宋体"/>
                <w:color w:val="auto"/>
                <w:sz w:val="22"/>
                <w:szCs w:val="22"/>
                <w:highlight w:val="none"/>
              </w:rPr>
              <w:t>扫描件</w:t>
            </w:r>
            <w:r>
              <w:rPr>
                <w:rFonts w:hint="eastAsia" w:ascii="宋体" w:hAnsi="宋体" w:cs="Courier New"/>
                <w:color w:val="auto"/>
                <w:sz w:val="22"/>
                <w:highlight w:val="none"/>
              </w:rPr>
              <w:t>加盖公章）</w:t>
            </w:r>
          </w:p>
        </w:tc>
      </w:tr>
      <w:tr w14:paraId="64DB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45829CF6">
            <w:pPr>
              <w:autoSpaceDE w:val="0"/>
              <w:autoSpaceDN w:val="0"/>
              <w:adjustRightInd w:val="0"/>
              <w:snapToGrid w:val="0"/>
              <w:spacing w:line="430" w:lineRule="atLeast"/>
              <w:jc w:val="center"/>
              <w:rPr>
                <w:rFonts w:ascii="宋体" w:hAnsi="宋体" w:cs="Courier New"/>
                <w:color w:val="auto"/>
                <w:sz w:val="22"/>
                <w:highlight w:val="none"/>
              </w:rPr>
            </w:pPr>
            <w:r>
              <w:rPr>
                <w:rFonts w:hint="eastAsia" w:ascii="宋体" w:hAnsi="宋体" w:cs="Courier New"/>
                <w:color w:val="auto"/>
                <w:sz w:val="22"/>
                <w:highlight w:val="none"/>
              </w:rPr>
              <w:t>8</w:t>
            </w:r>
          </w:p>
        </w:tc>
        <w:tc>
          <w:tcPr>
            <w:tcW w:w="8747" w:type="dxa"/>
          </w:tcPr>
          <w:p w14:paraId="2F56A11B">
            <w:pPr>
              <w:autoSpaceDE w:val="0"/>
              <w:autoSpaceDN w:val="0"/>
              <w:adjustRightInd w:val="0"/>
              <w:snapToGrid w:val="0"/>
              <w:spacing w:line="430" w:lineRule="atLeast"/>
              <w:rPr>
                <w:rFonts w:ascii="宋体" w:hAnsi="宋体" w:cs="Courier New"/>
                <w:color w:val="auto"/>
                <w:sz w:val="22"/>
                <w:highlight w:val="none"/>
              </w:rPr>
            </w:pPr>
            <w:r>
              <w:rPr>
                <w:rFonts w:hint="eastAsia" w:ascii="宋体" w:hAnsi="宋体" w:cs="Courier New"/>
                <w:color w:val="auto"/>
                <w:sz w:val="22"/>
                <w:highlight w:val="none"/>
              </w:rPr>
              <w:t>投标供应商资信等级证明等（如有则提供，</w:t>
            </w:r>
            <w:r>
              <w:rPr>
                <w:rFonts w:hint="eastAsia" w:ascii="宋体" w:hAnsi="宋体"/>
                <w:color w:val="auto"/>
                <w:sz w:val="22"/>
                <w:szCs w:val="22"/>
                <w:highlight w:val="none"/>
              </w:rPr>
              <w:t>扫描件</w:t>
            </w:r>
            <w:r>
              <w:rPr>
                <w:rFonts w:hint="eastAsia" w:ascii="宋体" w:hAnsi="宋体" w:cs="Courier New"/>
                <w:color w:val="auto"/>
                <w:sz w:val="22"/>
                <w:highlight w:val="none"/>
              </w:rPr>
              <w:t>加盖公章）</w:t>
            </w:r>
          </w:p>
        </w:tc>
      </w:tr>
      <w:tr w14:paraId="35A0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FBAC85E">
            <w:pPr>
              <w:autoSpaceDE w:val="0"/>
              <w:autoSpaceDN w:val="0"/>
              <w:adjustRightInd w:val="0"/>
              <w:snapToGrid w:val="0"/>
              <w:spacing w:line="430" w:lineRule="atLeast"/>
              <w:jc w:val="center"/>
              <w:rPr>
                <w:rFonts w:ascii="宋体" w:hAnsi="宋体" w:cs="Courier New"/>
                <w:color w:val="auto"/>
                <w:sz w:val="22"/>
                <w:highlight w:val="none"/>
              </w:rPr>
            </w:pPr>
            <w:r>
              <w:rPr>
                <w:rFonts w:hint="eastAsia" w:ascii="宋体" w:hAnsi="宋体" w:cs="Courier New"/>
                <w:color w:val="auto"/>
                <w:sz w:val="22"/>
                <w:highlight w:val="none"/>
              </w:rPr>
              <w:t>9</w:t>
            </w:r>
          </w:p>
        </w:tc>
        <w:tc>
          <w:tcPr>
            <w:tcW w:w="8747" w:type="dxa"/>
          </w:tcPr>
          <w:p w14:paraId="0FAF11E8">
            <w:pPr>
              <w:autoSpaceDE w:val="0"/>
              <w:autoSpaceDN w:val="0"/>
              <w:adjustRightInd w:val="0"/>
              <w:snapToGrid w:val="0"/>
              <w:spacing w:line="430" w:lineRule="atLeast"/>
              <w:rPr>
                <w:rFonts w:ascii="宋体" w:hAnsi="宋体" w:cs="Courier New"/>
                <w:color w:val="auto"/>
                <w:sz w:val="22"/>
                <w:highlight w:val="none"/>
              </w:rPr>
            </w:pPr>
            <w:r>
              <w:rPr>
                <w:rFonts w:hint="eastAsia" w:ascii="宋体" w:hAnsi="宋体" w:cs="Courier New"/>
                <w:color w:val="auto"/>
                <w:sz w:val="22"/>
                <w:highlight w:val="none"/>
              </w:rPr>
              <w:t>投标供应商曾获得的政府部门或行业协会颁发的荣誉证书（如有则提供，</w:t>
            </w:r>
            <w:r>
              <w:rPr>
                <w:rFonts w:hint="eastAsia" w:ascii="宋体" w:hAnsi="宋体"/>
                <w:color w:val="auto"/>
                <w:sz w:val="22"/>
                <w:szCs w:val="22"/>
                <w:highlight w:val="none"/>
              </w:rPr>
              <w:t>扫描件</w:t>
            </w:r>
            <w:r>
              <w:rPr>
                <w:rFonts w:hint="eastAsia" w:ascii="宋体" w:hAnsi="宋体" w:cs="Courier New"/>
                <w:color w:val="auto"/>
                <w:sz w:val="22"/>
                <w:highlight w:val="none"/>
              </w:rPr>
              <w:t>加盖公章）</w:t>
            </w:r>
          </w:p>
        </w:tc>
      </w:tr>
      <w:tr w14:paraId="30CA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2CD96161">
            <w:pPr>
              <w:autoSpaceDE w:val="0"/>
              <w:autoSpaceDN w:val="0"/>
              <w:adjustRightInd w:val="0"/>
              <w:snapToGrid w:val="0"/>
              <w:spacing w:line="430" w:lineRule="atLeast"/>
              <w:jc w:val="center"/>
              <w:rPr>
                <w:rFonts w:ascii="宋体" w:hAnsi="宋体" w:cs="Courier New"/>
                <w:color w:val="auto"/>
                <w:sz w:val="22"/>
                <w:highlight w:val="none"/>
              </w:rPr>
            </w:pPr>
            <w:r>
              <w:rPr>
                <w:rFonts w:hint="eastAsia" w:ascii="宋体" w:hAnsi="宋体" w:cs="Courier New"/>
                <w:color w:val="auto"/>
                <w:sz w:val="22"/>
                <w:highlight w:val="none"/>
              </w:rPr>
              <w:t>10</w:t>
            </w:r>
          </w:p>
        </w:tc>
        <w:tc>
          <w:tcPr>
            <w:tcW w:w="8747" w:type="dxa"/>
          </w:tcPr>
          <w:p w14:paraId="4E4396A3">
            <w:pPr>
              <w:autoSpaceDE w:val="0"/>
              <w:autoSpaceDN w:val="0"/>
              <w:adjustRightInd w:val="0"/>
              <w:snapToGrid w:val="0"/>
              <w:spacing w:line="430" w:lineRule="atLeast"/>
              <w:rPr>
                <w:rFonts w:ascii="宋体" w:hAnsi="宋体" w:cs="Courier New"/>
                <w:color w:val="auto"/>
                <w:sz w:val="22"/>
                <w:highlight w:val="none"/>
              </w:rPr>
            </w:pPr>
            <w:r>
              <w:rPr>
                <w:rFonts w:hint="eastAsia" w:ascii="宋体" w:hAnsi="宋体" w:cs="Courier New"/>
                <w:color w:val="auto"/>
                <w:sz w:val="22"/>
                <w:highlight w:val="none"/>
              </w:rPr>
              <w:t>投标供应商具有的其它相关资质证书（如有则提供，</w:t>
            </w:r>
            <w:r>
              <w:rPr>
                <w:rFonts w:hint="eastAsia" w:ascii="宋体" w:hAnsi="宋体"/>
                <w:color w:val="auto"/>
                <w:sz w:val="22"/>
                <w:szCs w:val="22"/>
                <w:highlight w:val="none"/>
              </w:rPr>
              <w:t>扫描件</w:t>
            </w:r>
            <w:r>
              <w:rPr>
                <w:rFonts w:hint="eastAsia" w:ascii="宋体" w:hAnsi="宋体" w:cs="Courier New"/>
                <w:color w:val="auto"/>
                <w:sz w:val="22"/>
                <w:highlight w:val="none"/>
              </w:rPr>
              <w:t>加盖公章）</w:t>
            </w:r>
          </w:p>
        </w:tc>
      </w:tr>
      <w:tr w14:paraId="68A2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75EA9E8E">
            <w:pPr>
              <w:autoSpaceDE w:val="0"/>
              <w:autoSpaceDN w:val="0"/>
              <w:adjustRightInd w:val="0"/>
              <w:snapToGrid w:val="0"/>
              <w:spacing w:line="430" w:lineRule="atLeast"/>
              <w:jc w:val="center"/>
              <w:rPr>
                <w:rFonts w:ascii="宋体" w:hAnsi="宋体" w:cs="Courier New"/>
                <w:color w:val="auto"/>
                <w:sz w:val="22"/>
                <w:highlight w:val="none"/>
              </w:rPr>
            </w:pPr>
            <w:r>
              <w:rPr>
                <w:rFonts w:hint="eastAsia" w:ascii="宋体" w:hAnsi="宋体" w:cs="Courier New"/>
                <w:color w:val="auto"/>
                <w:sz w:val="22"/>
                <w:highlight w:val="none"/>
              </w:rPr>
              <w:t>11</w:t>
            </w:r>
          </w:p>
        </w:tc>
        <w:tc>
          <w:tcPr>
            <w:tcW w:w="8747" w:type="dxa"/>
          </w:tcPr>
          <w:p w14:paraId="199614AF">
            <w:pPr>
              <w:autoSpaceDE w:val="0"/>
              <w:autoSpaceDN w:val="0"/>
              <w:adjustRightInd w:val="0"/>
              <w:snapToGrid w:val="0"/>
              <w:spacing w:line="430" w:lineRule="atLeast"/>
              <w:rPr>
                <w:rFonts w:ascii="宋体" w:hAnsi="宋体" w:cs="Courier New"/>
                <w:color w:val="auto"/>
                <w:sz w:val="22"/>
                <w:highlight w:val="none"/>
              </w:rPr>
            </w:pPr>
            <w:r>
              <w:rPr>
                <w:rFonts w:hint="eastAsia" w:ascii="宋体" w:hAnsi="宋体" w:cs="Courier New"/>
                <w:color w:val="auto"/>
                <w:sz w:val="22"/>
                <w:highlight w:val="none"/>
              </w:rPr>
              <w:t>投标供应商业绩（附件七，如有则提供）</w:t>
            </w:r>
          </w:p>
        </w:tc>
      </w:tr>
      <w:tr w14:paraId="794E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1A16F7B0">
            <w:pPr>
              <w:autoSpaceDE w:val="0"/>
              <w:autoSpaceDN w:val="0"/>
              <w:adjustRightInd w:val="0"/>
              <w:snapToGrid w:val="0"/>
              <w:spacing w:line="430" w:lineRule="atLeast"/>
              <w:jc w:val="center"/>
              <w:rPr>
                <w:rFonts w:ascii="宋体" w:hAnsi="宋体" w:cs="Courier New"/>
                <w:color w:val="auto"/>
                <w:sz w:val="22"/>
                <w:highlight w:val="none"/>
              </w:rPr>
            </w:pPr>
            <w:r>
              <w:rPr>
                <w:rFonts w:hint="eastAsia" w:ascii="宋体" w:hAnsi="宋体" w:cs="Courier New"/>
                <w:color w:val="auto"/>
                <w:sz w:val="22"/>
                <w:highlight w:val="none"/>
              </w:rPr>
              <w:t>12</w:t>
            </w:r>
          </w:p>
        </w:tc>
        <w:tc>
          <w:tcPr>
            <w:tcW w:w="8747" w:type="dxa"/>
          </w:tcPr>
          <w:p w14:paraId="5589C06F">
            <w:pPr>
              <w:autoSpaceDE w:val="0"/>
              <w:autoSpaceDN w:val="0"/>
              <w:spacing w:line="400" w:lineRule="exact"/>
              <w:jc w:val="left"/>
              <w:rPr>
                <w:rFonts w:ascii="宋体" w:hAnsi="宋体"/>
                <w:color w:val="auto"/>
                <w:sz w:val="22"/>
                <w:highlight w:val="none"/>
              </w:rPr>
            </w:pPr>
            <w:r>
              <w:rPr>
                <w:rFonts w:hint="eastAsia" w:ascii="宋体" w:hAnsi="宋体"/>
                <w:color w:val="auto"/>
                <w:sz w:val="22"/>
                <w:highlight w:val="none"/>
              </w:rPr>
              <w:t>人员</w:t>
            </w:r>
            <w:r>
              <w:rPr>
                <w:rFonts w:hint="eastAsia" w:ascii="宋体" w:hAnsi="宋体"/>
                <w:color w:val="auto"/>
                <w:sz w:val="22"/>
                <w:highlight w:val="none"/>
                <w:lang w:val="en-US" w:eastAsia="zh-CN"/>
              </w:rPr>
              <w:t>情况表</w:t>
            </w:r>
            <w:r>
              <w:rPr>
                <w:rFonts w:hint="eastAsia" w:ascii="宋体" w:hAnsi="宋体"/>
                <w:color w:val="auto"/>
                <w:sz w:val="22"/>
                <w:highlight w:val="none"/>
              </w:rPr>
              <w:t>（附件八）</w:t>
            </w:r>
          </w:p>
        </w:tc>
      </w:tr>
      <w:tr w14:paraId="3B9E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15A07FA8">
            <w:pPr>
              <w:autoSpaceDE w:val="0"/>
              <w:autoSpaceDN w:val="0"/>
              <w:adjustRightInd w:val="0"/>
              <w:snapToGrid w:val="0"/>
              <w:spacing w:line="430" w:lineRule="atLeast"/>
              <w:jc w:val="center"/>
              <w:rPr>
                <w:rFonts w:ascii="宋体" w:hAnsi="宋体" w:cs="Courier New"/>
                <w:color w:val="auto"/>
                <w:sz w:val="22"/>
                <w:highlight w:val="none"/>
              </w:rPr>
            </w:pPr>
            <w:r>
              <w:rPr>
                <w:rFonts w:hint="eastAsia" w:ascii="宋体" w:hAnsi="宋体" w:cs="Courier New"/>
                <w:color w:val="auto"/>
                <w:sz w:val="22"/>
                <w:highlight w:val="none"/>
              </w:rPr>
              <w:t>1</w:t>
            </w:r>
            <w:r>
              <w:rPr>
                <w:rFonts w:ascii="宋体" w:hAnsi="宋体" w:cs="Courier New"/>
                <w:color w:val="auto"/>
                <w:sz w:val="22"/>
                <w:highlight w:val="none"/>
              </w:rPr>
              <w:t>3</w:t>
            </w:r>
          </w:p>
        </w:tc>
        <w:tc>
          <w:tcPr>
            <w:tcW w:w="8747" w:type="dxa"/>
          </w:tcPr>
          <w:p w14:paraId="1550E38E">
            <w:pPr>
              <w:autoSpaceDE w:val="0"/>
              <w:autoSpaceDN w:val="0"/>
              <w:adjustRightInd w:val="0"/>
              <w:spacing w:line="430" w:lineRule="atLeast"/>
              <w:textAlignment w:val="bottom"/>
              <w:rPr>
                <w:rFonts w:ascii="宋体" w:hAnsi="宋体"/>
                <w:color w:val="auto"/>
                <w:sz w:val="22"/>
                <w:highlight w:val="none"/>
              </w:rPr>
            </w:pPr>
            <w:r>
              <w:rPr>
                <w:rFonts w:hint="eastAsia" w:ascii="宋体" w:hAnsi="宋体"/>
                <w:color w:val="auto"/>
                <w:sz w:val="22"/>
                <w:highlight w:val="none"/>
              </w:rPr>
              <w:t>偏离表（附件九）</w:t>
            </w:r>
          </w:p>
        </w:tc>
      </w:tr>
      <w:tr w14:paraId="30A7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49C7F6D3">
            <w:pPr>
              <w:autoSpaceDE w:val="0"/>
              <w:autoSpaceDN w:val="0"/>
              <w:adjustRightInd w:val="0"/>
              <w:snapToGrid w:val="0"/>
              <w:spacing w:line="430" w:lineRule="atLeast"/>
              <w:jc w:val="center"/>
              <w:rPr>
                <w:rFonts w:ascii="宋体" w:hAnsi="宋体" w:cs="Courier New"/>
                <w:color w:val="auto"/>
                <w:sz w:val="22"/>
                <w:highlight w:val="none"/>
              </w:rPr>
            </w:pPr>
            <w:r>
              <w:rPr>
                <w:rFonts w:hint="eastAsia" w:ascii="宋体" w:hAnsi="宋体" w:cs="Courier New"/>
                <w:color w:val="auto"/>
                <w:sz w:val="22"/>
                <w:highlight w:val="none"/>
              </w:rPr>
              <w:t>1</w:t>
            </w:r>
            <w:r>
              <w:rPr>
                <w:rFonts w:ascii="宋体" w:hAnsi="宋体" w:cs="Courier New"/>
                <w:color w:val="auto"/>
                <w:sz w:val="22"/>
                <w:highlight w:val="none"/>
              </w:rPr>
              <w:t>4</w:t>
            </w:r>
          </w:p>
        </w:tc>
        <w:tc>
          <w:tcPr>
            <w:tcW w:w="8747" w:type="dxa"/>
          </w:tcPr>
          <w:p w14:paraId="50F220AE">
            <w:pPr>
              <w:autoSpaceDE w:val="0"/>
              <w:autoSpaceDN w:val="0"/>
              <w:adjustRightInd w:val="0"/>
              <w:spacing w:line="430" w:lineRule="atLeast"/>
              <w:textAlignment w:val="bottom"/>
              <w:rPr>
                <w:rFonts w:ascii="宋体" w:hAnsi="宋体"/>
                <w:color w:val="auto"/>
                <w:sz w:val="22"/>
                <w:highlight w:val="none"/>
              </w:rPr>
            </w:pPr>
            <w:r>
              <w:rPr>
                <w:rFonts w:hint="eastAsia" w:ascii="宋体" w:hAnsi="宋体"/>
                <w:color w:val="auto"/>
                <w:sz w:val="22"/>
                <w:highlight w:val="none"/>
              </w:rPr>
              <w:t>项目服务方案（对应评标办法自拟格式响应）（附件十）</w:t>
            </w:r>
          </w:p>
        </w:tc>
      </w:tr>
      <w:tr w14:paraId="2F83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73DE5564">
            <w:pPr>
              <w:autoSpaceDE w:val="0"/>
              <w:autoSpaceDN w:val="0"/>
              <w:adjustRightInd w:val="0"/>
              <w:snapToGrid w:val="0"/>
              <w:spacing w:line="430" w:lineRule="atLeast"/>
              <w:jc w:val="center"/>
              <w:rPr>
                <w:rFonts w:ascii="宋体" w:hAnsi="宋体" w:cs="Courier New"/>
                <w:color w:val="auto"/>
                <w:sz w:val="22"/>
                <w:highlight w:val="none"/>
              </w:rPr>
            </w:pPr>
            <w:r>
              <w:rPr>
                <w:rFonts w:hint="eastAsia" w:ascii="宋体" w:hAnsi="宋体" w:cs="Courier New"/>
                <w:color w:val="auto"/>
                <w:sz w:val="22"/>
                <w:highlight w:val="none"/>
              </w:rPr>
              <w:t>1</w:t>
            </w:r>
            <w:r>
              <w:rPr>
                <w:rFonts w:ascii="宋体" w:hAnsi="宋体" w:cs="Courier New"/>
                <w:color w:val="auto"/>
                <w:sz w:val="22"/>
                <w:highlight w:val="none"/>
              </w:rPr>
              <w:t>5</w:t>
            </w:r>
          </w:p>
        </w:tc>
        <w:tc>
          <w:tcPr>
            <w:tcW w:w="8747" w:type="dxa"/>
          </w:tcPr>
          <w:p w14:paraId="63D1CC3C">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根据磋商文件中的采购内容与技术要求、评标细则，需要提供的其它文件和资料。</w:t>
            </w:r>
          </w:p>
        </w:tc>
      </w:tr>
    </w:tbl>
    <w:p w14:paraId="5F60EE2C">
      <w:pPr>
        <w:autoSpaceDE w:val="0"/>
        <w:autoSpaceDN w:val="0"/>
        <w:adjustRightInd w:val="0"/>
        <w:snapToGrid w:val="0"/>
        <w:spacing w:line="460" w:lineRule="atLeast"/>
        <w:ind w:firstLine="440" w:firstLineChars="200"/>
        <w:textAlignment w:val="bottom"/>
        <w:rPr>
          <w:rFonts w:ascii="宋体" w:hAnsi="宋体" w:cs="Arial"/>
          <w:color w:val="auto"/>
          <w:sz w:val="22"/>
          <w:szCs w:val="22"/>
          <w:highlight w:val="none"/>
        </w:rPr>
      </w:pPr>
      <w:r>
        <w:rPr>
          <w:rFonts w:hint="eastAsia" w:ascii="宋体" w:hAnsi="宋体" w:cs="Arial"/>
          <w:color w:val="auto"/>
          <w:sz w:val="22"/>
          <w:szCs w:val="22"/>
          <w:highlight w:val="none"/>
        </w:rPr>
        <w:t>3、采购内容填写说明</w:t>
      </w:r>
    </w:p>
    <w:p w14:paraId="51F77FCA">
      <w:pPr>
        <w:autoSpaceDE w:val="0"/>
        <w:autoSpaceDN w:val="0"/>
        <w:adjustRightInd w:val="0"/>
        <w:snapToGrid w:val="0"/>
        <w:spacing w:line="460" w:lineRule="atLeast"/>
        <w:ind w:firstLine="440" w:firstLineChars="200"/>
        <w:textAlignment w:val="bottom"/>
        <w:rPr>
          <w:rFonts w:ascii="宋体" w:hAnsi="宋体" w:cs="Arial"/>
          <w:color w:val="auto"/>
          <w:sz w:val="22"/>
          <w:szCs w:val="22"/>
          <w:highlight w:val="none"/>
        </w:rPr>
      </w:pPr>
      <w:r>
        <w:rPr>
          <w:rFonts w:hint="eastAsia" w:ascii="宋体" w:hAnsi="宋体" w:cs="Arial"/>
          <w:color w:val="auto"/>
          <w:sz w:val="22"/>
          <w:szCs w:val="22"/>
          <w:highlight w:val="none"/>
        </w:rPr>
        <w:t>3.1、</w:t>
      </w:r>
      <w:r>
        <w:rPr>
          <w:rFonts w:hint="eastAsia" w:ascii="宋体" w:hAnsi="宋体"/>
          <w:color w:val="auto"/>
          <w:sz w:val="22"/>
          <w:szCs w:val="22"/>
          <w:highlight w:val="none"/>
        </w:rPr>
        <w:t>磋商响应文件</w:t>
      </w:r>
      <w:r>
        <w:rPr>
          <w:rFonts w:hint="eastAsia" w:ascii="宋体" w:hAnsi="宋体" w:cs="Arial"/>
          <w:color w:val="auto"/>
          <w:sz w:val="22"/>
          <w:szCs w:val="22"/>
          <w:highlight w:val="none"/>
        </w:rPr>
        <w:t>格式</w:t>
      </w:r>
    </w:p>
    <w:p w14:paraId="65BCDE7C">
      <w:pPr>
        <w:autoSpaceDE w:val="0"/>
        <w:autoSpaceDN w:val="0"/>
        <w:adjustRightInd w:val="0"/>
        <w:snapToGrid w:val="0"/>
        <w:spacing w:line="460" w:lineRule="atLeast"/>
        <w:ind w:firstLine="440" w:firstLineChars="200"/>
        <w:textAlignment w:val="bottom"/>
        <w:rPr>
          <w:rFonts w:ascii="宋体" w:hAnsi="宋体" w:cs="Arial"/>
          <w:color w:val="auto"/>
          <w:sz w:val="22"/>
          <w:szCs w:val="22"/>
          <w:highlight w:val="none"/>
        </w:rPr>
      </w:pPr>
      <w:r>
        <w:rPr>
          <w:rFonts w:hint="eastAsia" w:ascii="宋体" w:hAnsi="宋体" w:cs="Arial"/>
          <w:color w:val="auto"/>
          <w:sz w:val="22"/>
          <w:szCs w:val="22"/>
          <w:highlight w:val="none"/>
        </w:rPr>
        <w:t>供应商应按照本文件第三部分第三条第2款所列出的内容及格式</w:t>
      </w:r>
      <w:r>
        <w:rPr>
          <w:rFonts w:hint="eastAsia" w:ascii="宋体" w:hAnsi="宋体" w:cs="Arial"/>
          <w:bCs/>
          <w:color w:val="auto"/>
          <w:sz w:val="22"/>
          <w:szCs w:val="22"/>
          <w:highlight w:val="none"/>
          <w:u w:val="thick"/>
        </w:rPr>
        <w:t>逐一按顺序</w:t>
      </w:r>
      <w:r>
        <w:rPr>
          <w:rFonts w:hint="eastAsia" w:ascii="宋体" w:hAnsi="宋体" w:cs="Arial"/>
          <w:color w:val="auto"/>
          <w:sz w:val="22"/>
          <w:szCs w:val="22"/>
          <w:highlight w:val="none"/>
        </w:rPr>
        <w:t>组成</w:t>
      </w:r>
      <w:r>
        <w:rPr>
          <w:rFonts w:hint="eastAsia" w:ascii="宋体" w:hAnsi="宋体"/>
          <w:color w:val="auto"/>
          <w:sz w:val="22"/>
          <w:szCs w:val="22"/>
          <w:highlight w:val="none"/>
        </w:rPr>
        <w:t>磋商响应文件</w:t>
      </w:r>
      <w:r>
        <w:rPr>
          <w:rFonts w:hint="eastAsia" w:ascii="宋体" w:hAnsi="宋体" w:cs="Arial"/>
          <w:color w:val="auto"/>
          <w:sz w:val="22"/>
          <w:szCs w:val="22"/>
          <w:highlight w:val="none"/>
        </w:rPr>
        <w:t>。</w:t>
      </w:r>
    </w:p>
    <w:p w14:paraId="760CC423">
      <w:pPr>
        <w:autoSpaceDE w:val="0"/>
        <w:autoSpaceDN w:val="0"/>
        <w:adjustRightInd w:val="0"/>
        <w:snapToGrid w:val="0"/>
        <w:spacing w:line="460" w:lineRule="atLeast"/>
        <w:ind w:firstLine="450"/>
        <w:textAlignment w:val="bottom"/>
        <w:rPr>
          <w:rFonts w:ascii="宋体" w:hAnsi="宋体" w:cs="Arial"/>
          <w:color w:val="auto"/>
          <w:sz w:val="22"/>
          <w:szCs w:val="22"/>
          <w:highlight w:val="none"/>
        </w:rPr>
      </w:pPr>
      <w:bookmarkStart w:id="17" w:name="_Toc132122412"/>
      <w:bookmarkStart w:id="18" w:name="_Toc132122115"/>
      <w:r>
        <w:rPr>
          <w:rFonts w:hint="eastAsia" w:ascii="宋体" w:hAnsi="宋体" w:cs="Arial"/>
          <w:color w:val="auto"/>
          <w:sz w:val="22"/>
          <w:szCs w:val="22"/>
          <w:highlight w:val="none"/>
        </w:rPr>
        <w:t>4、报价</w:t>
      </w:r>
      <w:bookmarkEnd w:id="17"/>
      <w:bookmarkEnd w:id="18"/>
    </w:p>
    <w:p w14:paraId="634B2410">
      <w:pPr>
        <w:autoSpaceDE w:val="0"/>
        <w:autoSpaceDN w:val="0"/>
        <w:adjustRightInd w:val="0"/>
        <w:snapToGrid w:val="0"/>
        <w:spacing w:line="460" w:lineRule="atLeast"/>
        <w:ind w:firstLine="440" w:firstLineChars="200"/>
        <w:textAlignment w:val="bottom"/>
        <w:rPr>
          <w:rFonts w:ascii="宋体" w:hAnsi="宋体" w:cs="Arial"/>
          <w:color w:val="auto"/>
          <w:sz w:val="22"/>
          <w:szCs w:val="22"/>
          <w:highlight w:val="none"/>
        </w:rPr>
      </w:pPr>
      <w:r>
        <w:rPr>
          <w:rFonts w:hint="eastAsia" w:ascii="宋体" w:hAnsi="宋体" w:cs="Arial"/>
          <w:color w:val="auto"/>
          <w:sz w:val="22"/>
          <w:szCs w:val="22"/>
          <w:highlight w:val="none"/>
        </w:rPr>
        <w:t>4.1、供应商应按磋商文件中《报价一览表》填写投标总价。</w:t>
      </w:r>
    </w:p>
    <w:p w14:paraId="6518A90D">
      <w:pPr>
        <w:autoSpaceDE w:val="0"/>
        <w:autoSpaceDN w:val="0"/>
        <w:adjustRightInd w:val="0"/>
        <w:snapToGrid w:val="0"/>
        <w:spacing w:line="460" w:lineRule="atLeast"/>
        <w:ind w:firstLine="440" w:firstLineChars="200"/>
        <w:textAlignment w:val="bottom"/>
        <w:rPr>
          <w:rFonts w:ascii="宋体" w:hAnsi="宋体"/>
          <w:b/>
          <w:color w:val="auto"/>
          <w:sz w:val="22"/>
          <w:szCs w:val="22"/>
          <w:highlight w:val="none"/>
        </w:rPr>
      </w:pPr>
      <w:r>
        <w:rPr>
          <w:rFonts w:hint="eastAsia" w:ascii="宋体" w:hAnsi="宋体" w:cs="Arial"/>
          <w:color w:val="auto"/>
          <w:sz w:val="22"/>
          <w:szCs w:val="22"/>
          <w:highlight w:val="none"/>
        </w:rPr>
        <w:t>4.2、</w:t>
      </w:r>
      <w:r>
        <w:rPr>
          <w:rFonts w:hint="eastAsia" w:ascii="宋体" w:hAnsi="宋体"/>
          <w:b/>
          <w:color w:val="auto"/>
          <w:sz w:val="22"/>
          <w:szCs w:val="22"/>
          <w:highlight w:val="none"/>
        </w:rPr>
        <w:t>投标报价应为完成本项目全部工作所发生的所有费用、即包括人员费用、保险费用、税金、验收费用等全部费用，实行固定费用总包干，并承担一切风险责任。</w:t>
      </w:r>
    </w:p>
    <w:p w14:paraId="0F1DC54B">
      <w:pPr>
        <w:autoSpaceDE w:val="0"/>
        <w:autoSpaceDN w:val="0"/>
        <w:adjustRightInd w:val="0"/>
        <w:snapToGrid w:val="0"/>
        <w:spacing w:line="460" w:lineRule="atLeast"/>
        <w:ind w:firstLine="440" w:firstLineChars="200"/>
        <w:textAlignment w:val="bottom"/>
        <w:rPr>
          <w:rFonts w:ascii="宋体" w:hAnsi="宋体" w:cs="Arial"/>
          <w:color w:val="auto"/>
          <w:sz w:val="22"/>
          <w:szCs w:val="22"/>
          <w:highlight w:val="none"/>
        </w:rPr>
      </w:pPr>
      <w:r>
        <w:rPr>
          <w:rFonts w:hint="eastAsia" w:ascii="宋体" w:hAnsi="宋体" w:cs="Arial"/>
          <w:color w:val="auto"/>
          <w:sz w:val="22"/>
          <w:szCs w:val="22"/>
          <w:highlight w:val="none"/>
        </w:rPr>
        <w:t>4.3、</w:t>
      </w:r>
      <w:r>
        <w:rPr>
          <w:rFonts w:hint="eastAsia" w:ascii="宋体" w:hAnsi="宋体" w:cs="Arial"/>
          <w:b/>
          <w:color w:val="auto"/>
          <w:sz w:val="22"/>
          <w:szCs w:val="22"/>
          <w:highlight w:val="none"/>
        </w:rPr>
        <w:t>供应商投标报价中应充分考虑所有可能发生的费用，否则采购人将视其总价中已包括所有费用。</w:t>
      </w:r>
    </w:p>
    <w:p w14:paraId="5C14A318">
      <w:pPr>
        <w:autoSpaceDE w:val="0"/>
        <w:autoSpaceDN w:val="0"/>
        <w:adjustRightInd w:val="0"/>
        <w:snapToGrid w:val="0"/>
        <w:spacing w:line="460" w:lineRule="atLeast"/>
        <w:ind w:firstLine="442" w:firstLineChars="200"/>
        <w:textAlignment w:val="bottom"/>
        <w:rPr>
          <w:rFonts w:ascii="宋体" w:hAnsi="宋体" w:cs="Arial"/>
          <w:b/>
          <w:color w:val="auto"/>
          <w:sz w:val="22"/>
          <w:szCs w:val="22"/>
          <w:highlight w:val="none"/>
        </w:rPr>
      </w:pPr>
      <w:r>
        <w:rPr>
          <w:rFonts w:hint="eastAsia" w:ascii="宋体" w:hAnsi="宋体" w:cs="Arial"/>
          <w:b/>
          <w:color w:val="auto"/>
          <w:sz w:val="22"/>
          <w:szCs w:val="22"/>
          <w:highlight w:val="none"/>
        </w:rPr>
        <w:t>供应商对在合同执行中，除上述费用及磋商文件规定的由成交供应商负责的工作范围以外需要采购人协调或提供便利的工作应当在磋商响应文件中说明。</w:t>
      </w:r>
    </w:p>
    <w:p w14:paraId="37FDF11B">
      <w:pPr>
        <w:autoSpaceDE w:val="0"/>
        <w:autoSpaceDN w:val="0"/>
        <w:adjustRightInd w:val="0"/>
        <w:snapToGrid w:val="0"/>
        <w:spacing w:line="460" w:lineRule="atLeast"/>
        <w:ind w:firstLine="440" w:firstLineChars="200"/>
        <w:textAlignment w:val="bottom"/>
        <w:rPr>
          <w:rFonts w:ascii="宋体" w:hAnsi="宋体" w:cs="Arial"/>
          <w:color w:val="auto"/>
          <w:sz w:val="22"/>
          <w:szCs w:val="22"/>
          <w:highlight w:val="none"/>
        </w:rPr>
      </w:pPr>
      <w:r>
        <w:rPr>
          <w:rFonts w:hint="eastAsia" w:ascii="宋体" w:hAnsi="宋体" w:cs="Arial"/>
          <w:color w:val="auto"/>
          <w:sz w:val="22"/>
          <w:szCs w:val="22"/>
          <w:highlight w:val="none"/>
        </w:rPr>
        <w:t>填写报价表格时，各项费用应如实填写。</w:t>
      </w:r>
    </w:p>
    <w:p w14:paraId="13FBC152">
      <w:pPr>
        <w:autoSpaceDE w:val="0"/>
        <w:autoSpaceDN w:val="0"/>
        <w:adjustRightInd w:val="0"/>
        <w:snapToGrid w:val="0"/>
        <w:spacing w:line="460" w:lineRule="atLeast"/>
        <w:ind w:firstLine="440" w:firstLineChars="200"/>
        <w:rPr>
          <w:rFonts w:ascii="宋体" w:hAnsi="宋体" w:cs="仿宋_GB2312"/>
          <w:color w:val="auto"/>
          <w:sz w:val="22"/>
          <w:szCs w:val="22"/>
          <w:highlight w:val="none"/>
          <w:lang w:val="zh-CN"/>
        </w:rPr>
      </w:pPr>
      <w:r>
        <w:rPr>
          <w:rFonts w:hint="eastAsia" w:ascii="宋体" w:hAnsi="宋体" w:cs="Arial"/>
          <w:color w:val="auto"/>
          <w:sz w:val="22"/>
          <w:szCs w:val="22"/>
          <w:highlight w:val="none"/>
        </w:rPr>
        <w:t>5、采购人要求分类报价是为了方便评审，但在任何情况下不限制采购人以其认为最合适的条款签订合同的权利。</w:t>
      </w:r>
    </w:p>
    <w:p w14:paraId="5AFA413D">
      <w:pPr>
        <w:autoSpaceDE w:val="0"/>
        <w:autoSpaceDN w:val="0"/>
        <w:adjustRightInd w:val="0"/>
        <w:snapToGrid w:val="0"/>
        <w:spacing w:line="460" w:lineRule="atLeast"/>
        <w:ind w:firstLine="450"/>
        <w:textAlignment w:val="bottom"/>
        <w:rPr>
          <w:rFonts w:ascii="宋体" w:hAnsi="宋体" w:cs="Arial"/>
          <w:color w:val="auto"/>
          <w:sz w:val="22"/>
          <w:szCs w:val="22"/>
          <w:highlight w:val="none"/>
        </w:rPr>
      </w:pPr>
      <w:bookmarkStart w:id="19" w:name="_Toc132122116"/>
      <w:bookmarkStart w:id="20" w:name="_Toc132122413"/>
      <w:r>
        <w:rPr>
          <w:rFonts w:hint="eastAsia" w:ascii="宋体" w:hAnsi="宋体" w:cs="Arial"/>
          <w:color w:val="auto"/>
          <w:sz w:val="22"/>
          <w:szCs w:val="22"/>
          <w:highlight w:val="none"/>
        </w:rPr>
        <w:t>6、保证金</w:t>
      </w:r>
      <w:bookmarkEnd w:id="19"/>
      <w:bookmarkEnd w:id="20"/>
    </w:p>
    <w:p w14:paraId="6A61AD2F">
      <w:pPr>
        <w:autoSpaceDE w:val="0"/>
        <w:autoSpaceDN w:val="0"/>
        <w:adjustRightInd w:val="0"/>
        <w:snapToGrid w:val="0"/>
        <w:spacing w:line="460" w:lineRule="atLeast"/>
        <w:ind w:firstLine="440" w:firstLineChars="200"/>
        <w:textAlignment w:val="bottom"/>
        <w:rPr>
          <w:rFonts w:ascii="宋体" w:hAnsi="宋体" w:cs="Arial"/>
          <w:color w:val="auto"/>
          <w:sz w:val="22"/>
          <w:szCs w:val="22"/>
          <w:highlight w:val="none"/>
        </w:rPr>
      </w:pPr>
      <w:r>
        <w:rPr>
          <w:rFonts w:hint="eastAsia" w:ascii="宋体" w:hAnsi="宋体" w:cs="Arial"/>
          <w:color w:val="auto"/>
          <w:sz w:val="22"/>
          <w:szCs w:val="22"/>
          <w:highlight w:val="none"/>
        </w:rPr>
        <w:t>无</w:t>
      </w:r>
    </w:p>
    <w:p w14:paraId="5CAC7D99">
      <w:pPr>
        <w:pStyle w:val="34"/>
        <w:adjustRightInd w:val="0"/>
        <w:snapToGrid w:val="0"/>
        <w:spacing w:line="460" w:lineRule="atLeast"/>
        <w:ind w:firstLine="440" w:firstLineChars="200"/>
        <w:rPr>
          <w:rFonts w:hAnsi="宋体" w:cs="Arial"/>
          <w:color w:val="auto"/>
          <w:sz w:val="22"/>
          <w:szCs w:val="22"/>
          <w:highlight w:val="none"/>
        </w:rPr>
      </w:pPr>
      <w:bookmarkStart w:id="21" w:name="_Toc132122414"/>
      <w:bookmarkStart w:id="22" w:name="_Toc132122117"/>
      <w:r>
        <w:rPr>
          <w:rFonts w:hint="eastAsia" w:hAnsi="宋体" w:cs="Arial"/>
          <w:color w:val="auto"/>
          <w:sz w:val="22"/>
          <w:szCs w:val="22"/>
          <w:highlight w:val="none"/>
        </w:rPr>
        <w:t>7、</w:t>
      </w:r>
      <w:r>
        <w:rPr>
          <w:rFonts w:hint="eastAsia" w:hAnsi="宋体"/>
          <w:color w:val="auto"/>
          <w:sz w:val="22"/>
          <w:szCs w:val="22"/>
          <w:highlight w:val="none"/>
        </w:rPr>
        <w:t>磋商响应文件</w:t>
      </w:r>
      <w:r>
        <w:rPr>
          <w:rFonts w:hint="eastAsia" w:hAnsi="宋体" w:cs="Arial"/>
          <w:color w:val="auto"/>
          <w:sz w:val="22"/>
          <w:szCs w:val="22"/>
          <w:highlight w:val="none"/>
        </w:rPr>
        <w:t>的有效期</w:t>
      </w:r>
      <w:bookmarkEnd w:id="21"/>
      <w:bookmarkEnd w:id="22"/>
    </w:p>
    <w:p w14:paraId="2924EF6A">
      <w:pPr>
        <w:pStyle w:val="34"/>
        <w:adjustRightInd w:val="0"/>
        <w:snapToGrid w:val="0"/>
        <w:spacing w:line="460" w:lineRule="atLeast"/>
        <w:ind w:firstLine="440" w:firstLineChars="200"/>
        <w:rPr>
          <w:rFonts w:hAnsi="宋体" w:cs="Arial"/>
          <w:color w:val="auto"/>
          <w:sz w:val="22"/>
          <w:szCs w:val="22"/>
          <w:highlight w:val="none"/>
        </w:rPr>
      </w:pPr>
      <w:r>
        <w:rPr>
          <w:rFonts w:hint="eastAsia" w:hAnsi="宋体" w:cs="Arial"/>
          <w:color w:val="auto"/>
          <w:sz w:val="22"/>
          <w:szCs w:val="22"/>
          <w:highlight w:val="none"/>
        </w:rPr>
        <w:t>7.1、自响应文件递交截止时间起90天内，</w:t>
      </w:r>
      <w:r>
        <w:rPr>
          <w:rFonts w:hint="eastAsia" w:hAnsi="宋体"/>
          <w:color w:val="auto"/>
          <w:sz w:val="22"/>
          <w:szCs w:val="22"/>
          <w:highlight w:val="none"/>
        </w:rPr>
        <w:t>磋商响应文件</w:t>
      </w:r>
      <w:r>
        <w:rPr>
          <w:rFonts w:hint="eastAsia" w:hAnsi="宋体" w:cs="Arial"/>
          <w:color w:val="auto"/>
          <w:sz w:val="22"/>
          <w:szCs w:val="22"/>
          <w:highlight w:val="none"/>
        </w:rPr>
        <w:t>应保持有效。有效期短于这个规定期限的</w:t>
      </w:r>
      <w:r>
        <w:rPr>
          <w:rFonts w:hint="eastAsia" w:hAnsi="宋体"/>
          <w:color w:val="auto"/>
          <w:sz w:val="22"/>
          <w:szCs w:val="22"/>
          <w:highlight w:val="none"/>
        </w:rPr>
        <w:t>磋商响应文件</w:t>
      </w:r>
      <w:r>
        <w:rPr>
          <w:rFonts w:hint="eastAsia" w:hAnsi="宋体" w:cs="Arial"/>
          <w:color w:val="auto"/>
          <w:sz w:val="22"/>
          <w:szCs w:val="22"/>
          <w:highlight w:val="none"/>
        </w:rPr>
        <w:t>将被拒绝。</w:t>
      </w:r>
    </w:p>
    <w:p w14:paraId="6200B16D">
      <w:pPr>
        <w:pStyle w:val="34"/>
        <w:adjustRightInd w:val="0"/>
        <w:snapToGrid w:val="0"/>
        <w:spacing w:line="460" w:lineRule="atLeast"/>
        <w:ind w:firstLine="440" w:firstLineChars="200"/>
        <w:rPr>
          <w:rFonts w:hAnsi="宋体" w:cs="Arial"/>
          <w:color w:val="auto"/>
          <w:sz w:val="22"/>
          <w:szCs w:val="22"/>
          <w:highlight w:val="none"/>
        </w:rPr>
      </w:pPr>
      <w:r>
        <w:rPr>
          <w:rFonts w:hint="eastAsia" w:hAnsi="宋体" w:cs="Arial"/>
          <w:color w:val="auto"/>
          <w:sz w:val="22"/>
          <w:szCs w:val="22"/>
          <w:highlight w:val="none"/>
        </w:rPr>
        <w:t>7.2、在特殊情况下，采购人可与供应商协商延长</w:t>
      </w:r>
      <w:r>
        <w:rPr>
          <w:rFonts w:hint="eastAsia" w:hAnsi="宋体"/>
          <w:color w:val="auto"/>
          <w:sz w:val="22"/>
          <w:szCs w:val="22"/>
          <w:highlight w:val="none"/>
        </w:rPr>
        <w:t>磋商响应文件</w:t>
      </w:r>
      <w:r>
        <w:rPr>
          <w:rFonts w:hint="eastAsia" w:hAnsi="宋体" w:cs="Arial"/>
          <w:color w:val="auto"/>
          <w:sz w:val="22"/>
          <w:szCs w:val="22"/>
          <w:highlight w:val="none"/>
        </w:rPr>
        <w:t>的有效期，这种要求和答复均应以书面形式进行。</w:t>
      </w:r>
    </w:p>
    <w:p w14:paraId="764B0193">
      <w:pPr>
        <w:pStyle w:val="34"/>
        <w:adjustRightInd w:val="0"/>
        <w:snapToGrid w:val="0"/>
        <w:spacing w:line="460" w:lineRule="atLeast"/>
        <w:ind w:firstLine="440" w:firstLineChars="200"/>
        <w:rPr>
          <w:rFonts w:hAnsi="宋体" w:cs="Arial"/>
          <w:color w:val="auto"/>
          <w:sz w:val="22"/>
          <w:szCs w:val="22"/>
          <w:highlight w:val="none"/>
        </w:rPr>
      </w:pPr>
      <w:r>
        <w:rPr>
          <w:rFonts w:hint="eastAsia" w:hAnsi="宋体" w:cs="Arial"/>
          <w:color w:val="auto"/>
          <w:sz w:val="22"/>
          <w:szCs w:val="22"/>
          <w:highlight w:val="none"/>
        </w:rPr>
        <w:t>7.3、供应商可拒绝接受延期要求，同意延长有效期的供应商不能修改</w:t>
      </w:r>
      <w:r>
        <w:rPr>
          <w:rFonts w:hint="eastAsia" w:hAnsi="宋体"/>
          <w:color w:val="auto"/>
          <w:sz w:val="22"/>
          <w:szCs w:val="22"/>
          <w:highlight w:val="none"/>
        </w:rPr>
        <w:t>磋商响应文件</w:t>
      </w:r>
      <w:r>
        <w:rPr>
          <w:rFonts w:hint="eastAsia" w:hAnsi="宋体" w:cs="Arial"/>
          <w:color w:val="auto"/>
          <w:sz w:val="22"/>
          <w:szCs w:val="22"/>
          <w:highlight w:val="none"/>
        </w:rPr>
        <w:t>。</w:t>
      </w:r>
    </w:p>
    <w:p w14:paraId="223AC8C8">
      <w:pPr>
        <w:pStyle w:val="34"/>
        <w:adjustRightInd w:val="0"/>
        <w:snapToGrid w:val="0"/>
        <w:spacing w:line="460" w:lineRule="atLeast"/>
        <w:ind w:firstLine="440" w:firstLineChars="200"/>
        <w:rPr>
          <w:rFonts w:hAnsi="宋体" w:cs="Arial"/>
          <w:color w:val="auto"/>
          <w:sz w:val="22"/>
          <w:szCs w:val="22"/>
          <w:highlight w:val="none"/>
        </w:rPr>
      </w:pPr>
      <w:bookmarkStart w:id="23" w:name="_Toc132122118"/>
      <w:bookmarkStart w:id="24" w:name="_Toc132122415"/>
      <w:r>
        <w:rPr>
          <w:rFonts w:hAnsi="宋体" w:cs="Arial"/>
          <w:color w:val="auto"/>
          <w:sz w:val="22"/>
          <w:szCs w:val="22"/>
          <w:highlight w:val="none"/>
        </w:rPr>
        <w:t>8、磋商响应文件的</w:t>
      </w:r>
      <w:bookmarkEnd w:id="23"/>
      <w:bookmarkEnd w:id="24"/>
      <w:r>
        <w:rPr>
          <w:rFonts w:hAnsi="宋体" w:cs="Arial"/>
          <w:color w:val="auto"/>
          <w:sz w:val="22"/>
          <w:szCs w:val="22"/>
          <w:highlight w:val="none"/>
        </w:rPr>
        <w:t>编制</w:t>
      </w:r>
    </w:p>
    <w:p w14:paraId="43AE4B6B">
      <w:pPr>
        <w:autoSpaceDE w:val="0"/>
        <w:autoSpaceDN w:val="0"/>
        <w:adjustRightInd w:val="0"/>
        <w:snapToGrid w:val="0"/>
        <w:spacing w:line="460" w:lineRule="atLeast"/>
        <w:ind w:firstLine="442" w:firstLineChars="200"/>
        <w:textAlignment w:val="bottom"/>
        <w:rPr>
          <w:rFonts w:ascii="宋体" w:hAnsi="宋体"/>
          <w:b/>
          <w:color w:val="auto"/>
          <w:sz w:val="22"/>
          <w:szCs w:val="22"/>
          <w:highlight w:val="none"/>
        </w:rPr>
      </w:pPr>
      <w:r>
        <w:rPr>
          <w:rFonts w:ascii="宋体" w:hAnsi="宋体"/>
          <w:b/>
          <w:color w:val="auto"/>
          <w:sz w:val="22"/>
          <w:szCs w:val="22"/>
          <w:highlight w:val="none"/>
        </w:rPr>
        <w:t>8.1、本项目通过“政府采购云平台（www.zcygov.cn）”实行在线投标响应（电子投标）。供应商应通过“政采云电子交易客户端”，并按照本</w:t>
      </w:r>
      <w:r>
        <w:rPr>
          <w:rFonts w:hint="eastAsia" w:ascii="宋体" w:hAnsi="宋体"/>
          <w:b/>
          <w:color w:val="auto"/>
          <w:sz w:val="22"/>
          <w:szCs w:val="22"/>
          <w:highlight w:val="none"/>
        </w:rPr>
        <w:t>磋商</w:t>
      </w:r>
      <w:r>
        <w:rPr>
          <w:rFonts w:ascii="宋体" w:hAnsi="宋体"/>
          <w:b/>
          <w:color w:val="auto"/>
          <w:sz w:val="22"/>
          <w:szCs w:val="22"/>
          <w:highlight w:val="none"/>
        </w:rPr>
        <w:t>文件和“政府采购云平台”的要求编制并加密磋商响应文件。</w:t>
      </w:r>
    </w:p>
    <w:p w14:paraId="489FD755">
      <w:pPr>
        <w:autoSpaceDE w:val="0"/>
        <w:autoSpaceDN w:val="0"/>
        <w:adjustRightInd w:val="0"/>
        <w:snapToGrid w:val="0"/>
        <w:spacing w:line="460" w:lineRule="atLeast"/>
        <w:ind w:firstLine="442" w:firstLineChars="200"/>
        <w:textAlignment w:val="bottom"/>
        <w:rPr>
          <w:rFonts w:ascii="宋体" w:hAnsi="宋体"/>
          <w:b/>
          <w:color w:val="auto"/>
          <w:sz w:val="22"/>
          <w:szCs w:val="22"/>
          <w:highlight w:val="none"/>
        </w:rPr>
      </w:pPr>
      <w:r>
        <w:rPr>
          <w:rFonts w:ascii="宋体" w:hAnsi="宋体"/>
          <w:b/>
          <w:color w:val="auto"/>
          <w:sz w:val="22"/>
          <w:szCs w:val="22"/>
          <w:highlight w:val="none"/>
        </w:rPr>
        <w:t>8.2、投标供应商应当按照本章节“磋商响应文件组成”规定的内容及顺序在“政采云电子交易客户端”编制磋商响应文件。</w:t>
      </w:r>
    </w:p>
    <w:p w14:paraId="0548823E">
      <w:pPr>
        <w:autoSpaceDE w:val="0"/>
        <w:autoSpaceDN w:val="0"/>
        <w:adjustRightInd w:val="0"/>
        <w:snapToGrid w:val="0"/>
        <w:spacing w:line="460" w:lineRule="atLeast"/>
        <w:ind w:firstLine="442" w:firstLineChars="200"/>
        <w:textAlignment w:val="bottom"/>
        <w:rPr>
          <w:rFonts w:ascii="宋体" w:hAnsi="宋体"/>
          <w:b/>
          <w:color w:val="auto"/>
          <w:sz w:val="22"/>
          <w:szCs w:val="22"/>
          <w:highlight w:val="none"/>
        </w:rPr>
      </w:pPr>
      <w:r>
        <w:rPr>
          <w:rFonts w:ascii="宋体" w:hAnsi="宋体"/>
          <w:b/>
          <w:color w:val="auto"/>
          <w:sz w:val="22"/>
          <w:szCs w:val="22"/>
          <w:highlight w:val="none"/>
        </w:rPr>
        <w:t>8.3、本文件《第六部分 磋商响应文件格式》中有提供格式的，投标供应商参照格式进行编制（格式中要求提供相关证明材料的还需后附相关证明材料），并在指定位置根据要求进行签章，否则视为未提供；本文件《第六部分 磋商响应文件格式》未提供格式的，请各投标单位自行拟定格式。</w:t>
      </w:r>
    </w:p>
    <w:p w14:paraId="4C1BDE93">
      <w:pPr>
        <w:autoSpaceDE w:val="0"/>
        <w:autoSpaceDN w:val="0"/>
        <w:adjustRightInd w:val="0"/>
        <w:snapToGrid w:val="0"/>
        <w:spacing w:line="460" w:lineRule="atLeast"/>
        <w:ind w:firstLine="442" w:firstLineChars="200"/>
        <w:textAlignment w:val="bottom"/>
        <w:rPr>
          <w:rFonts w:ascii="宋体" w:hAnsi="宋体"/>
          <w:b/>
          <w:color w:val="auto"/>
          <w:sz w:val="22"/>
          <w:szCs w:val="22"/>
          <w:highlight w:val="none"/>
        </w:rPr>
      </w:pPr>
      <w:r>
        <w:rPr>
          <w:rFonts w:ascii="宋体" w:hAnsi="宋体"/>
          <w:b/>
          <w:color w:val="auto"/>
          <w:sz w:val="22"/>
          <w:szCs w:val="22"/>
          <w:highlight w:val="none"/>
        </w:rPr>
        <w:t>8.4、《磋商响应文件》内容不完整、编排混乱导致《磋商响应文件》被误读、漏读或者查找不到相关内容的，相关责任由投标供应商自负。</w:t>
      </w:r>
    </w:p>
    <w:p w14:paraId="2FAD448F">
      <w:pPr>
        <w:autoSpaceDE w:val="0"/>
        <w:autoSpaceDN w:val="0"/>
        <w:adjustRightInd w:val="0"/>
        <w:snapToGrid w:val="0"/>
        <w:spacing w:line="460" w:lineRule="atLeast"/>
        <w:ind w:firstLine="442" w:firstLineChars="200"/>
        <w:textAlignment w:val="bottom"/>
        <w:rPr>
          <w:rFonts w:ascii="宋体" w:hAnsi="宋体"/>
          <w:b/>
          <w:color w:val="auto"/>
          <w:sz w:val="22"/>
          <w:szCs w:val="22"/>
          <w:highlight w:val="none"/>
        </w:rPr>
      </w:pPr>
      <w:r>
        <w:rPr>
          <w:rFonts w:ascii="宋体" w:hAnsi="宋体"/>
          <w:b/>
          <w:color w:val="auto"/>
          <w:sz w:val="22"/>
          <w:szCs w:val="22"/>
          <w:highlight w:val="none"/>
        </w:rPr>
        <w:t>8.5、《磋商响应文件》因字迹潦草或表达不清所引起的后果由投标供应商负责。</w:t>
      </w:r>
    </w:p>
    <w:p w14:paraId="4BE60238">
      <w:pPr>
        <w:autoSpaceDE w:val="0"/>
        <w:autoSpaceDN w:val="0"/>
        <w:adjustRightInd w:val="0"/>
        <w:snapToGrid w:val="0"/>
        <w:spacing w:line="460" w:lineRule="atLeast"/>
        <w:ind w:firstLine="442" w:firstLineChars="200"/>
        <w:textAlignment w:val="bottom"/>
        <w:rPr>
          <w:rFonts w:ascii="宋体" w:hAnsi="宋体"/>
          <w:b/>
          <w:color w:val="auto"/>
          <w:sz w:val="22"/>
          <w:szCs w:val="22"/>
          <w:highlight w:val="none"/>
        </w:rPr>
      </w:pPr>
      <w:r>
        <w:rPr>
          <w:rFonts w:ascii="宋体" w:hAnsi="宋体"/>
          <w:b/>
          <w:color w:val="auto"/>
          <w:sz w:val="22"/>
          <w:szCs w:val="22"/>
          <w:highlight w:val="none"/>
        </w:rPr>
        <w:t>8.6、投标供应商没有按照本章节“磋商响应文件组成”要求提供全部资料，或者没有仔细阅读磋商文件，或者没有对磋商文件在各方面的要求作出实质性响应，由此造成的一切后果由投标供应商自行承担。</w:t>
      </w:r>
    </w:p>
    <w:p w14:paraId="4C005866">
      <w:pPr>
        <w:pStyle w:val="34"/>
        <w:adjustRightInd w:val="0"/>
        <w:snapToGrid w:val="0"/>
        <w:spacing w:line="460" w:lineRule="atLeast"/>
        <w:ind w:firstLine="422"/>
        <w:rPr>
          <w:rFonts w:hAnsi="宋体"/>
          <w:b/>
          <w:color w:val="auto"/>
          <w:sz w:val="22"/>
          <w:szCs w:val="22"/>
          <w:highlight w:val="none"/>
        </w:rPr>
      </w:pPr>
      <w:r>
        <w:rPr>
          <w:rFonts w:hAnsi="宋体"/>
          <w:b/>
          <w:color w:val="auto"/>
          <w:sz w:val="22"/>
          <w:szCs w:val="22"/>
          <w:highlight w:val="none"/>
        </w:rPr>
        <w:t>9、磋商响应文件的签章</w:t>
      </w:r>
    </w:p>
    <w:p w14:paraId="6E485AFE">
      <w:pPr>
        <w:autoSpaceDE w:val="0"/>
        <w:autoSpaceDN w:val="0"/>
        <w:adjustRightInd w:val="0"/>
        <w:snapToGrid w:val="0"/>
        <w:spacing w:line="460" w:lineRule="atLeast"/>
        <w:ind w:firstLine="442" w:firstLineChars="200"/>
        <w:textAlignment w:val="bottom"/>
        <w:rPr>
          <w:rFonts w:ascii="宋体" w:hAnsi="宋体"/>
          <w:b/>
          <w:color w:val="auto"/>
          <w:sz w:val="22"/>
          <w:szCs w:val="22"/>
          <w:highlight w:val="none"/>
        </w:rPr>
      </w:pPr>
      <w:r>
        <w:rPr>
          <w:rFonts w:ascii="宋体" w:hAnsi="宋体"/>
          <w:b/>
          <w:color w:val="auto"/>
          <w:sz w:val="22"/>
          <w:szCs w:val="22"/>
          <w:highlight w:val="none"/>
        </w:rPr>
        <w:t xml:space="preserve">9.1、《磋商响应文件》的签章：见《第一部分    </w:t>
      </w:r>
      <w:r>
        <w:rPr>
          <w:rFonts w:hint="eastAsia" w:ascii="宋体" w:hAnsi="宋体"/>
          <w:b/>
          <w:color w:val="auto"/>
          <w:sz w:val="22"/>
          <w:szCs w:val="22"/>
          <w:highlight w:val="none"/>
        </w:rPr>
        <w:t>磋商邀请函（供应商须知前附表）</w:t>
      </w:r>
      <w:r>
        <w:rPr>
          <w:rFonts w:ascii="宋体" w:hAnsi="宋体"/>
          <w:b/>
          <w:color w:val="auto"/>
          <w:sz w:val="22"/>
          <w:szCs w:val="22"/>
          <w:highlight w:val="none"/>
        </w:rPr>
        <w:t>》；</w:t>
      </w:r>
    </w:p>
    <w:p w14:paraId="18A5B65C">
      <w:pPr>
        <w:autoSpaceDE w:val="0"/>
        <w:autoSpaceDN w:val="0"/>
        <w:adjustRightInd w:val="0"/>
        <w:snapToGrid w:val="0"/>
        <w:spacing w:line="460" w:lineRule="atLeast"/>
        <w:ind w:firstLine="442" w:firstLineChars="200"/>
        <w:textAlignment w:val="bottom"/>
        <w:rPr>
          <w:rFonts w:ascii="宋体" w:hAnsi="宋体"/>
          <w:b/>
          <w:color w:val="auto"/>
          <w:sz w:val="22"/>
          <w:szCs w:val="22"/>
          <w:highlight w:val="none"/>
        </w:rPr>
      </w:pPr>
      <w:r>
        <w:rPr>
          <w:rFonts w:ascii="宋体" w:hAnsi="宋体"/>
          <w:b/>
          <w:color w:val="auto"/>
          <w:sz w:val="22"/>
          <w:szCs w:val="22"/>
          <w:highlight w:val="none"/>
        </w:rPr>
        <w:t>9.2、《磋商响应文件》</w:t>
      </w:r>
      <w:r>
        <w:rPr>
          <w:rFonts w:hint="eastAsia" w:ascii="宋体" w:hAnsi="宋体"/>
          <w:b/>
          <w:color w:val="auto"/>
          <w:sz w:val="22"/>
          <w:szCs w:val="22"/>
          <w:highlight w:val="none"/>
        </w:rPr>
        <w:t>：</w:t>
      </w:r>
      <w:r>
        <w:rPr>
          <w:rFonts w:ascii="宋体" w:hAnsi="宋体"/>
          <w:b/>
          <w:color w:val="auto"/>
          <w:sz w:val="22"/>
          <w:szCs w:val="22"/>
          <w:highlight w:val="none"/>
        </w:rPr>
        <w:t>根据</w:t>
      </w:r>
      <w:r>
        <w:rPr>
          <w:rFonts w:hint="eastAsia" w:ascii="宋体" w:hAnsi="宋体"/>
          <w:b/>
          <w:color w:val="auto"/>
          <w:sz w:val="22"/>
          <w:szCs w:val="22"/>
          <w:highlight w:val="none"/>
        </w:rPr>
        <w:t>磋商</w:t>
      </w:r>
      <w:r>
        <w:rPr>
          <w:rFonts w:ascii="宋体" w:hAnsi="宋体"/>
          <w:b/>
          <w:color w:val="auto"/>
          <w:sz w:val="22"/>
          <w:szCs w:val="22"/>
          <w:highlight w:val="none"/>
        </w:rPr>
        <w:t>文件要求在磋商响应文件相应位置由投标供应商法定代表人或授权代表签字（或盖章）</w:t>
      </w:r>
      <w:r>
        <w:rPr>
          <w:rFonts w:hint="eastAsia" w:ascii="宋体" w:hAnsi="宋体"/>
          <w:b/>
          <w:color w:val="auto"/>
          <w:sz w:val="22"/>
          <w:szCs w:val="22"/>
          <w:highlight w:val="none"/>
        </w:rPr>
        <w:t>，</w:t>
      </w:r>
      <w:r>
        <w:rPr>
          <w:rFonts w:ascii="宋体" w:hAnsi="宋体"/>
          <w:b/>
          <w:color w:val="auto"/>
          <w:sz w:val="22"/>
          <w:szCs w:val="22"/>
          <w:highlight w:val="none"/>
        </w:rPr>
        <w:t>需要加盖投标供应商公章的</w:t>
      </w:r>
      <w:r>
        <w:rPr>
          <w:rFonts w:hint="eastAsia" w:ascii="宋体" w:hAnsi="宋体"/>
          <w:b/>
          <w:color w:val="auto"/>
          <w:sz w:val="22"/>
          <w:szCs w:val="22"/>
          <w:highlight w:val="none"/>
        </w:rPr>
        <w:t>采用CA电子签章</w:t>
      </w:r>
      <w:r>
        <w:rPr>
          <w:rFonts w:ascii="宋体" w:hAnsi="宋体"/>
          <w:b/>
          <w:color w:val="auto"/>
          <w:sz w:val="22"/>
          <w:szCs w:val="22"/>
          <w:highlight w:val="none"/>
        </w:rPr>
        <w:t>。</w:t>
      </w:r>
    </w:p>
    <w:p w14:paraId="49CC2A37">
      <w:pPr>
        <w:autoSpaceDE w:val="0"/>
        <w:autoSpaceDN w:val="0"/>
        <w:adjustRightInd w:val="0"/>
        <w:snapToGrid w:val="0"/>
        <w:spacing w:line="460" w:lineRule="atLeast"/>
        <w:ind w:firstLine="442" w:firstLineChars="200"/>
        <w:textAlignment w:val="bottom"/>
        <w:rPr>
          <w:rFonts w:ascii="宋体" w:hAnsi="宋体"/>
          <w:b/>
          <w:color w:val="auto"/>
          <w:sz w:val="22"/>
          <w:szCs w:val="22"/>
          <w:highlight w:val="none"/>
        </w:rPr>
      </w:pPr>
      <w:r>
        <w:rPr>
          <w:rFonts w:ascii="宋体" w:hAnsi="宋体"/>
          <w:b/>
          <w:color w:val="auto"/>
          <w:sz w:val="22"/>
          <w:szCs w:val="22"/>
          <w:highlight w:val="none"/>
        </w:rPr>
        <w:t>9.3、</w:t>
      </w:r>
      <w:r>
        <w:rPr>
          <w:rFonts w:hint="eastAsia" w:ascii="宋体" w:hAnsi="宋体"/>
          <w:b/>
          <w:color w:val="auto"/>
          <w:sz w:val="22"/>
          <w:szCs w:val="22"/>
          <w:highlight w:val="none"/>
        </w:rPr>
        <w:t>CA</w:t>
      </w:r>
      <w:r>
        <w:rPr>
          <w:rFonts w:ascii="宋体" w:hAnsi="宋体"/>
          <w:b/>
          <w:color w:val="auto"/>
          <w:sz w:val="22"/>
          <w:szCs w:val="22"/>
          <w:highlight w:val="none"/>
        </w:rPr>
        <w:t>电子签章操作指南详见《</w:t>
      </w:r>
      <w:r>
        <w:rPr>
          <w:rFonts w:hint="eastAsia" w:ascii="宋体" w:hAnsi="宋体"/>
          <w:b/>
          <w:color w:val="auto"/>
          <w:sz w:val="22"/>
          <w:szCs w:val="22"/>
          <w:highlight w:val="none"/>
        </w:rPr>
        <w:t>供应商-政府采购项目电子交易操作指南</w:t>
      </w:r>
      <w:r>
        <w:rPr>
          <w:rFonts w:ascii="宋体" w:hAnsi="宋体"/>
          <w:b/>
          <w:color w:val="auto"/>
          <w:sz w:val="22"/>
          <w:szCs w:val="22"/>
          <w:highlight w:val="none"/>
        </w:rPr>
        <w:t>》</w:t>
      </w:r>
    </w:p>
    <w:p w14:paraId="0296F658">
      <w:pPr>
        <w:pStyle w:val="34"/>
        <w:adjustRightInd w:val="0"/>
        <w:snapToGrid w:val="0"/>
        <w:spacing w:line="460" w:lineRule="atLeast"/>
        <w:ind w:firstLine="422"/>
        <w:rPr>
          <w:rFonts w:hAnsi="宋体"/>
          <w:b/>
          <w:color w:val="auto"/>
          <w:sz w:val="22"/>
          <w:szCs w:val="22"/>
          <w:highlight w:val="none"/>
        </w:rPr>
      </w:pPr>
      <w:r>
        <w:rPr>
          <w:rFonts w:hAnsi="宋体"/>
          <w:b/>
          <w:color w:val="auto"/>
          <w:sz w:val="22"/>
          <w:szCs w:val="22"/>
          <w:highlight w:val="none"/>
        </w:rPr>
        <w:t>10、磋商响应文件的形式</w:t>
      </w:r>
    </w:p>
    <w:p w14:paraId="4C1136CC">
      <w:pPr>
        <w:pStyle w:val="34"/>
        <w:adjustRightInd w:val="0"/>
        <w:snapToGrid w:val="0"/>
        <w:spacing w:line="460" w:lineRule="atLeast"/>
        <w:ind w:firstLine="422"/>
        <w:rPr>
          <w:rFonts w:hAnsi="宋体"/>
          <w:b/>
          <w:color w:val="auto"/>
          <w:sz w:val="22"/>
          <w:szCs w:val="22"/>
          <w:highlight w:val="none"/>
        </w:rPr>
      </w:pPr>
      <w:r>
        <w:rPr>
          <w:rFonts w:hAnsi="宋体"/>
          <w:b/>
          <w:color w:val="auto"/>
          <w:sz w:val="22"/>
          <w:szCs w:val="22"/>
          <w:highlight w:val="none"/>
        </w:rPr>
        <w:t xml:space="preserve">10.1、磋商响应文件的形式：见《第一部分    </w:t>
      </w:r>
      <w:r>
        <w:rPr>
          <w:rFonts w:hint="eastAsia" w:hAnsi="宋体"/>
          <w:b/>
          <w:color w:val="auto"/>
          <w:sz w:val="22"/>
          <w:szCs w:val="22"/>
          <w:highlight w:val="none"/>
        </w:rPr>
        <w:t>磋商邀请函（供应商须知前附表）</w:t>
      </w:r>
      <w:r>
        <w:rPr>
          <w:rFonts w:hAnsi="宋体"/>
          <w:b/>
          <w:color w:val="auto"/>
          <w:sz w:val="22"/>
          <w:szCs w:val="22"/>
          <w:highlight w:val="none"/>
        </w:rPr>
        <w:t>》；</w:t>
      </w:r>
    </w:p>
    <w:p w14:paraId="4092E107">
      <w:pPr>
        <w:pStyle w:val="34"/>
        <w:adjustRightInd w:val="0"/>
        <w:snapToGrid w:val="0"/>
        <w:spacing w:line="460" w:lineRule="atLeast"/>
        <w:ind w:firstLine="422"/>
        <w:rPr>
          <w:rFonts w:hAnsi="宋体"/>
          <w:b/>
          <w:color w:val="auto"/>
          <w:sz w:val="22"/>
          <w:szCs w:val="22"/>
          <w:highlight w:val="none"/>
        </w:rPr>
      </w:pPr>
      <w:r>
        <w:rPr>
          <w:rFonts w:hAnsi="宋体"/>
          <w:b/>
          <w:color w:val="auto"/>
          <w:sz w:val="22"/>
          <w:szCs w:val="22"/>
          <w:highlight w:val="none"/>
        </w:rPr>
        <w:t>10.2、“电子加密磋商响应文件”：“电子加密磋商响应文件”是指通过“政采云电子交易客户端”完成磋商响应文件编制后生成并加密的数据电文形式的磋商响应文件。</w:t>
      </w:r>
    </w:p>
    <w:p w14:paraId="012FD2C6">
      <w:pPr>
        <w:pStyle w:val="34"/>
        <w:adjustRightInd w:val="0"/>
        <w:snapToGrid w:val="0"/>
        <w:spacing w:line="460" w:lineRule="atLeast"/>
        <w:ind w:firstLine="422"/>
        <w:rPr>
          <w:rFonts w:hAnsi="宋体"/>
          <w:b/>
          <w:color w:val="auto"/>
          <w:sz w:val="22"/>
          <w:szCs w:val="22"/>
          <w:highlight w:val="none"/>
        </w:rPr>
      </w:pPr>
      <w:r>
        <w:rPr>
          <w:rFonts w:hAnsi="宋体"/>
          <w:b/>
          <w:color w:val="auto"/>
          <w:sz w:val="22"/>
          <w:szCs w:val="22"/>
          <w:highlight w:val="none"/>
        </w:rPr>
        <w:t>10.</w:t>
      </w:r>
      <w:r>
        <w:rPr>
          <w:rFonts w:hint="eastAsia" w:hAnsi="宋体"/>
          <w:b/>
          <w:color w:val="auto"/>
          <w:sz w:val="22"/>
          <w:szCs w:val="22"/>
          <w:highlight w:val="none"/>
        </w:rPr>
        <w:t>3</w:t>
      </w:r>
      <w:r>
        <w:rPr>
          <w:rFonts w:hAnsi="宋体"/>
          <w:b/>
          <w:color w:val="auto"/>
          <w:sz w:val="22"/>
          <w:szCs w:val="22"/>
          <w:highlight w:val="none"/>
        </w:rPr>
        <w:t>磋商响应文件的份数</w:t>
      </w:r>
    </w:p>
    <w:p w14:paraId="7C94B8E8">
      <w:pPr>
        <w:pStyle w:val="34"/>
        <w:adjustRightInd w:val="0"/>
        <w:snapToGrid w:val="0"/>
        <w:spacing w:line="460" w:lineRule="atLeast"/>
        <w:ind w:firstLine="422"/>
        <w:rPr>
          <w:rFonts w:hAnsi="宋体"/>
          <w:b/>
          <w:color w:val="auto"/>
          <w:sz w:val="22"/>
          <w:szCs w:val="22"/>
          <w:highlight w:val="none"/>
        </w:rPr>
      </w:pPr>
      <w:r>
        <w:rPr>
          <w:rFonts w:hAnsi="宋体"/>
          <w:b/>
          <w:color w:val="auto"/>
          <w:sz w:val="22"/>
          <w:szCs w:val="22"/>
          <w:highlight w:val="none"/>
        </w:rPr>
        <w:t xml:space="preserve">磋商响应文件的份数：见《第一部分    </w:t>
      </w:r>
      <w:r>
        <w:rPr>
          <w:rFonts w:hint="eastAsia" w:hAnsi="宋体"/>
          <w:b/>
          <w:color w:val="auto"/>
          <w:sz w:val="22"/>
          <w:szCs w:val="22"/>
          <w:highlight w:val="none"/>
        </w:rPr>
        <w:t>磋商邀请函（供应商须知前附表）</w:t>
      </w:r>
      <w:r>
        <w:rPr>
          <w:rFonts w:hAnsi="宋体"/>
          <w:b/>
          <w:color w:val="auto"/>
          <w:sz w:val="22"/>
          <w:szCs w:val="22"/>
          <w:highlight w:val="none"/>
        </w:rPr>
        <w:t>》。</w:t>
      </w:r>
    </w:p>
    <w:p w14:paraId="4238289A">
      <w:pPr>
        <w:pStyle w:val="5"/>
        <w:spacing w:line="440" w:lineRule="atLeast"/>
        <w:jc w:val="left"/>
        <w:rPr>
          <w:rFonts w:ascii="宋体" w:hAnsi="宋体"/>
          <w:color w:val="auto"/>
          <w:sz w:val="22"/>
          <w:szCs w:val="22"/>
          <w:highlight w:val="none"/>
        </w:rPr>
      </w:pPr>
      <w:bookmarkStart w:id="25" w:name="_Toc132124594"/>
      <w:bookmarkStart w:id="26" w:name="_Toc132126154"/>
      <w:bookmarkStart w:id="27" w:name="_Toc132123881"/>
      <w:bookmarkStart w:id="28" w:name="_Toc132125095"/>
      <w:bookmarkStart w:id="29" w:name="_Toc132123838"/>
      <w:bookmarkStart w:id="30" w:name="_Toc132125151"/>
      <w:bookmarkStart w:id="31" w:name="_Toc132122119"/>
      <w:bookmarkStart w:id="32" w:name="_Toc132125037"/>
      <w:bookmarkStart w:id="33" w:name="_Toc132655776"/>
      <w:bookmarkStart w:id="34" w:name="_Toc132123439"/>
      <w:bookmarkStart w:id="35" w:name="_Toc132125574"/>
      <w:bookmarkStart w:id="36" w:name="_Toc132122416"/>
      <w:bookmarkStart w:id="37" w:name="_Toc132123634"/>
      <w:bookmarkStart w:id="38" w:name="_Toc26039"/>
      <w:bookmarkStart w:id="39" w:name="_Toc132125983"/>
      <w:bookmarkStart w:id="40" w:name="_Toc132123547"/>
      <w:r>
        <w:rPr>
          <w:rFonts w:hint="eastAsia" w:ascii="宋体" w:hAnsi="宋体"/>
          <w:b/>
          <w:bCs/>
          <w:color w:val="auto"/>
          <w:sz w:val="22"/>
          <w:szCs w:val="22"/>
          <w:highlight w:val="none"/>
        </w:rPr>
        <w:t>四、磋商响应文件递交</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625CF3E1">
      <w:pPr>
        <w:snapToGrid w:val="0"/>
        <w:spacing w:line="460" w:lineRule="atLeast"/>
        <w:ind w:firstLine="442" w:firstLineChars="200"/>
        <w:rPr>
          <w:rFonts w:ascii="宋体" w:hAnsi="宋体"/>
          <w:b/>
          <w:color w:val="auto"/>
          <w:sz w:val="22"/>
          <w:szCs w:val="22"/>
          <w:highlight w:val="none"/>
        </w:rPr>
      </w:pPr>
      <w:r>
        <w:rPr>
          <w:rFonts w:hint="eastAsia" w:ascii="宋体" w:hAnsi="宋体"/>
          <w:b/>
          <w:color w:val="auto"/>
          <w:sz w:val="22"/>
          <w:szCs w:val="22"/>
          <w:highlight w:val="none"/>
        </w:rPr>
        <w:t>1、磋商响应文件的上传和递交</w:t>
      </w:r>
    </w:p>
    <w:p w14:paraId="3C3EF292">
      <w:pPr>
        <w:snapToGrid w:val="0"/>
        <w:spacing w:line="460" w:lineRule="atLeast"/>
        <w:ind w:firstLine="442" w:firstLineChars="200"/>
        <w:rPr>
          <w:rFonts w:ascii="宋体" w:hAnsi="宋体"/>
          <w:b/>
          <w:color w:val="auto"/>
          <w:sz w:val="22"/>
          <w:szCs w:val="22"/>
          <w:highlight w:val="none"/>
        </w:rPr>
      </w:pPr>
      <w:r>
        <w:rPr>
          <w:rFonts w:ascii="宋体" w:hAnsi="宋体"/>
          <w:b/>
          <w:color w:val="auto"/>
          <w:sz w:val="22"/>
          <w:szCs w:val="22"/>
          <w:highlight w:val="none"/>
        </w:rPr>
        <w:t>“磋商响应文件”的上传、递交：见《</w:t>
      </w:r>
      <w:r>
        <w:rPr>
          <w:rFonts w:hint="eastAsia" w:ascii="宋体" w:hAnsi="宋体"/>
          <w:b/>
          <w:color w:val="auto"/>
          <w:sz w:val="22"/>
          <w:szCs w:val="22"/>
          <w:highlight w:val="none"/>
        </w:rPr>
        <w:t>第一部分</w:t>
      </w:r>
      <w:r>
        <w:rPr>
          <w:rFonts w:ascii="宋体" w:hAnsi="宋体"/>
          <w:b/>
          <w:color w:val="auto"/>
          <w:sz w:val="22"/>
          <w:szCs w:val="22"/>
          <w:highlight w:val="none"/>
        </w:rPr>
        <w:t xml:space="preserve">    </w:t>
      </w:r>
      <w:r>
        <w:rPr>
          <w:rFonts w:hint="eastAsia" w:ascii="宋体" w:hAnsi="宋体"/>
          <w:b/>
          <w:color w:val="auto"/>
          <w:sz w:val="22"/>
          <w:szCs w:val="22"/>
          <w:highlight w:val="none"/>
        </w:rPr>
        <w:t>磋商邀请函（供应商须知前附表）</w:t>
      </w:r>
      <w:r>
        <w:rPr>
          <w:rFonts w:ascii="宋体" w:hAnsi="宋体"/>
          <w:b/>
          <w:color w:val="auto"/>
          <w:sz w:val="22"/>
          <w:szCs w:val="22"/>
          <w:highlight w:val="none"/>
        </w:rPr>
        <w:t>》。</w:t>
      </w:r>
    </w:p>
    <w:p w14:paraId="79C5BACF">
      <w:pPr>
        <w:snapToGrid w:val="0"/>
        <w:spacing w:line="460" w:lineRule="atLeast"/>
        <w:ind w:firstLine="442" w:firstLineChars="200"/>
        <w:rPr>
          <w:rFonts w:ascii="宋体" w:hAnsi="宋体"/>
          <w:b/>
          <w:color w:val="auto"/>
          <w:sz w:val="22"/>
          <w:szCs w:val="22"/>
          <w:highlight w:val="none"/>
        </w:rPr>
      </w:pPr>
      <w:r>
        <w:rPr>
          <w:rFonts w:hint="eastAsia" w:ascii="宋体" w:hAnsi="宋体"/>
          <w:b/>
          <w:color w:val="auto"/>
          <w:sz w:val="22"/>
          <w:szCs w:val="22"/>
          <w:highlight w:val="none"/>
        </w:rPr>
        <w:t>2、“电子加密磋商响应文件”解密和异常情况处理</w:t>
      </w:r>
    </w:p>
    <w:p w14:paraId="7C4E398D">
      <w:pPr>
        <w:snapToGrid w:val="0"/>
        <w:spacing w:line="460" w:lineRule="atLeast"/>
        <w:ind w:firstLine="442" w:firstLineChars="200"/>
        <w:rPr>
          <w:rFonts w:ascii="宋体" w:hAnsi="宋体"/>
          <w:b/>
          <w:color w:val="auto"/>
          <w:sz w:val="22"/>
          <w:szCs w:val="22"/>
          <w:highlight w:val="none"/>
        </w:rPr>
      </w:pPr>
      <w:r>
        <w:rPr>
          <w:rFonts w:ascii="宋体" w:hAnsi="宋体"/>
          <w:b/>
          <w:color w:val="auto"/>
          <w:sz w:val="22"/>
          <w:szCs w:val="22"/>
          <w:highlight w:val="none"/>
        </w:rPr>
        <w:t>“电子加密磋商响应文件”解密：见《</w:t>
      </w:r>
      <w:r>
        <w:rPr>
          <w:rFonts w:hint="eastAsia" w:ascii="宋体" w:hAnsi="宋体"/>
          <w:b/>
          <w:color w:val="auto"/>
          <w:sz w:val="22"/>
          <w:szCs w:val="22"/>
          <w:highlight w:val="none"/>
        </w:rPr>
        <w:t>第一部分</w:t>
      </w:r>
      <w:r>
        <w:rPr>
          <w:rFonts w:ascii="宋体" w:hAnsi="宋体"/>
          <w:b/>
          <w:color w:val="auto"/>
          <w:sz w:val="22"/>
          <w:szCs w:val="22"/>
          <w:highlight w:val="none"/>
        </w:rPr>
        <w:t xml:space="preserve">    </w:t>
      </w:r>
      <w:r>
        <w:rPr>
          <w:rFonts w:hint="eastAsia" w:ascii="宋体" w:hAnsi="宋体"/>
          <w:b/>
          <w:color w:val="auto"/>
          <w:sz w:val="22"/>
          <w:szCs w:val="22"/>
          <w:highlight w:val="none"/>
        </w:rPr>
        <w:t>磋商邀请函（供应商须知前附表）</w:t>
      </w:r>
      <w:r>
        <w:rPr>
          <w:rFonts w:ascii="宋体" w:hAnsi="宋体"/>
          <w:b/>
          <w:color w:val="auto"/>
          <w:sz w:val="22"/>
          <w:szCs w:val="22"/>
          <w:highlight w:val="none"/>
        </w:rPr>
        <w:t>》。</w:t>
      </w:r>
    </w:p>
    <w:p w14:paraId="05FF5156">
      <w:pPr>
        <w:tabs>
          <w:tab w:val="center" w:pos="4810"/>
        </w:tabs>
        <w:snapToGrid w:val="0"/>
        <w:spacing w:line="460" w:lineRule="atLeast"/>
        <w:ind w:firstLine="442" w:firstLineChars="200"/>
        <w:rPr>
          <w:rFonts w:ascii="宋体" w:hAnsi="宋体"/>
          <w:b/>
          <w:color w:val="auto"/>
          <w:sz w:val="22"/>
          <w:szCs w:val="22"/>
          <w:highlight w:val="none"/>
        </w:rPr>
      </w:pPr>
      <w:r>
        <w:rPr>
          <w:rFonts w:hint="eastAsia" w:ascii="宋体" w:hAnsi="宋体"/>
          <w:b/>
          <w:color w:val="auto"/>
          <w:sz w:val="22"/>
          <w:szCs w:val="22"/>
          <w:highlight w:val="none"/>
        </w:rPr>
        <w:t>3、磋商响应文件的补充、修改或撤回</w:t>
      </w:r>
      <w:r>
        <w:rPr>
          <w:rFonts w:ascii="宋体" w:hAnsi="宋体"/>
          <w:b/>
          <w:color w:val="auto"/>
          <w:sz w:val="22"/>
          <w:szCs w:val="22"/>
          <w:highlight w:val="none"/>
        </w:rPr>
        <w:tab/>
      </w:r>
    </w:p>
    <w:p w14:paraId="66E1A0BD">
      <w:pPr>
        <w:snapToGrid w:val="0"/>
        <w:spacing w:line="460" w:lineRule="atLeast"/>
        <w:ind w:firstLine="442" w:firstLineChars="200"/>
        <w:rPr>
          <w:rFonts w:ascii="宋体" w:hAnsi="宋体"/>
          <w:b/>
          <w:color w:val="auto"/>
          <w:sz w:val="22"/>
          <w:szCs w:val="22"/>
          <w:highlight w:val="none"/>
        </w:rPr>
      </w:pPr>
      <w:r>
        <w:rPr>
          <w:rFonts w:ascii="宋体" w:hAnsi="宋体"/>
          <w:b/>
          <w:color w:val="auto"/>
          <w:sz w:val="22"/>
          <w:szCs w:val="22"/>
          <w:highlight w:val="none"/>
        </w:rPr>
        <w:t>3.1</w:t>
      </w:r>
      <w:r>
        <w:rPr>
          <w:rFonts w:hint="eastAsia" w:ascii="宋体" w:hAnsi="宋体"/>
          <w:b/>
          <w:color w:val="auto"/>
          <w:sz w:val="22"/>
          <w:szCs w:val="22"/>
          <w:highlight w:val="none"/>
        </w:rPr>
        <w:t>、</w:t>
      </w:r>
      <w:r>
        <w:rPr>
          <w:rFonts w:ascii="宋体" w:hAnsi="宋体"/>
          <w:b/>
          <w:color w:val="auto"/>
          <w:sz w:val="22"/>
          <w:szCs w:val="22"/>
          <w:highlight w:val="none"/>
        </w:rPr>
        <w:t>供应商应当在响应文件递交截止时间前完成磋商响应文件的上传、递交，并可以补充、修改或者撤回磋商响应文件。补充或者修改磋商响应文件的，应当先行撤回原文件，补充、修改后重新上传、递交。响应文件递交截止时间前未完成上传、递交的，视为撤回磋商响应文件。响应文件递交截止时间后递交的磋商响应文件，“政府采购云平台”将予以拒收。</w:t>
      </w:r>
    </w:p>
    <w:p w14:paraId="57A8ADF6">
      <w:pPr>
        <w:snapToGrid w:val="0"/>
        <w:spacing w:line="460" w:lineRule="atLeast"/>
        <w:ind w:firstLine="442" w:firstLineChars="200"/>
        <w:rPr>
          <w:rFonts w:ascii="宋体" w:hAnsi="宋体"/>
          <w:b/>
          <w:color w:val="auto"/>
          <w:sz w:val="22"/>
          <w:szCs w:val="22"/>
          <w:highlight w:val="none"/>
        </w:rPr>
      </w:pPr>
      <w:r>
        <w:rPr>
          <w:rFonts w:ascii="宋体" w:hAnsi="宋体"/>
          <w:b/>
          <w:color w:val="auto"/>
          <w:sz w:val="22"/>
          <w:szCs w:val="22"/>
          <w:highlight w:val="none"/>
        </w:rPr>
        <w:t>3.2</w:t>
      </w:r>
      <w:r>
        <w:rPr>
          <w:rFonts w:hint="eastAsia" w:ascii="宋体" w:hAnsi="宋体"/>
          <w:b/>
          <w:color w:val="auto"/>
          <w:sz w:val="22"/>
          <w:szCs w:val="22"/>
          <w:highlight w:val="none"/>
        </w:rPr>
        <w:t>、</w:t>
      </w:r>
      <w:r>
        <w:rPr>
          <w:rFonts w:ascii="宋体" w:hAnsi="宋体"/>
          <w:b/>
          <w:color w:val="auto"/>
          <w:sz w:val="22"/>
          <w:szCs w:val="22"/>
          <w:highlight w:val="none"/>
        </w:rPr>
        <w:t>响应文件递交截止时间后，投标供应商不得撤回、修改《磋商响应文件》。</w:t>
      </w:r>
    </w:p>
    <w:p w14:paraId="43C9C626">
      <w:pPr>
        <w:snapToGrid w:val="0"/>
        <w:spacing w:line="460" w:lineRule="atLeast"/>
        <w:ind w:firstLine="442" w:firstLineChars="200"/>
        <w:rPr>
          <w:rFonts w:ascii="宋体" w:hAnsi="宋体"/>
          <w:b/>
          <w:color w:val="auto"/>
          <w:sz w:val="22"/>
          <w:szCs w:val="22"/>
          <w:highlight w:val="none"/>
        </w:rPr>
      </w:pPr>
      <w:r>
        <w:rPr>
          <w:rFonts w:hint="eastAsia" w:ascii="宋体" w:hAnsi="宋体"/>
          <w:b/>
          <w:color w:val="auto"/>
          <w:sz w:val="22"/>
          <w:szCs w:val="22"/>
          <w:highlight w:val="none"/>
        </w:rPr>
        <w:t>4、磋商响应文件的备选方案</w:t>
      </w:r>
    </w:p>
    <w:p w14:paraId="3F3F8D47">
      <w:pPr>
        <w:pStyle w:val="2"/>
        <w:adjustRightInd w:val="0"/>
        <w:snapToGrid w:val="0"/>
        <w:spacing w:after="50" w:line="460" w:lineRule="atLeast"/>
        <w:ind w:firstLine="442" w:firstLineChars="200"/>
        <w:rPr>
          <w:rFonts w:ascii="宋体" w:hAnsi="宋体"/>
          <w:b/>
          <w:color w:val="auto"/>
          <w:sz w:val="22"/>
          <w:szCs w:val="22"/>
          <w:highlight w:val="none"/>
        </w:rPr>
      </w:pPr>
      <w:r>
        <w:rPr>
          <w:rFonts w:ascii="宋体" w:hAnsi="宋体"/>
          <w:b/>
          <w:color w:val="auto"/>
          <w:sz w:val="22"/>
          <w:szCs w:val="22"/>
          <w:highlight w:val="none"/>
        </w:rPr>
        <w:t>投标供应商不得递交任何的投标备选（替代）方案，否则其磋商响应文件将作无效标处理。</w:t>
      </w:r>
    </w:p>
    <w:p w14:paraId="591BD0F0">
      <w:pPr>
        <w:pStyle w:val="5"/>
        <w:spacing w:line="440" w:lineRule="atLeast"/>
        <w:jc w:val="left"/>
        <w:rPr>
          <w:rFonts w:ascii="宋体" w:hAnsi="宋体"/>
          <w:b/>
          <w:bCs/>
          <w:color w:val="auto"/>
          <w:sz w:val="22"/>
          <w:szCs w:val="22"/>
          <w:highlight w:val="none"/>
        </w:rPr>
      </w:pPr>
      <w:bookmarkStart w:id="41" w:name="_Toc8131"/>
      <w:r>
        <w:rPr>
          <w:rFonts w:hint="eastAsia" w:ascii="宋体" w:hAnsi="宋体"/>
          <w:b/>
          <w:bCs/>
          <w:color w:val="auto"/>
          <w:sz w:val="22"/>
          <w:szCs w:val="22"/>
          <w:highlight w:val="none"/>
        </w:rPr>
        <w:t>五、开标和评审</w:t>
      </w:r>
      <w:bookmarkEnd w:id="41"/>
    </w:p>
    <w:p w14:paraId="5B3EFD6C">
      <w:pPr>
        <w:pStyle w:val="34"/>
        <w:adjustRightInd w:val="0"/>
        <w:snapToGrid w:val="0"/>
        <w:spacing w:line="460" w:lineRule="atLeast"/>
        <w:ind w:firstLine="440" w:firstLineChars="200"/>
        <w:rPr>
          <w:rFonts w:hAnsi="宋体"/>
          <w:color w:val="auto"/>
          <w:sz w:val="22"/>
          <w:szCs w:val="22"/>
          <w:highlight w:val="none"/>
        </w:rPr>
      </w:pPr>
      <w:r>
        <w:rPr>
          <w:rFonts w:hAnsi="宋体"/>
          <w:color w:val="auto"/>
          <w:sz w:val="22"/>
          <w:szCs w:val="22"/>
          <w:highlight w:val="none"/>
        </w:rPr>
        <w:t>1、开标</w:t>
      </w:r>
    </w:p>
    <w:p w14:paraId="01CE9AAD">
      <w:pPr>
        <w:pStyle w:val="34"/>
        <w:adjustRightInd w:val="0"/>
        <w:snapToGrid w:val="0"/>
        <w:spacing w:line="460" w:lineRule="atLeast"/>
        <w:ind w:firstLine="440" w:firstLineChars="200"/>
        <w:rPr>
          <w:rFonts w:hAnsi="宋体"/>
          <w:color w:val="auto"/>
          <w:sz w:val="22"/>
          <w:szCs w:val="22"/>
          <w:highlight w:val="none"/>
        </w:rPr>
      </w:pPr>
      <w:r>
        <w:rPr>
          <w:rFonts w:hAnsi="宋体"/>
          <w:color w:val="auto"/>
          <w:sz w:val="22"/>
          <w:szCs w:val="22"/>
          <w:highlight w:val="none"/>
        </w:rPr>
        <w:t>1.1、</w:t>
      </w:r>
      <w:r>
        <w:rPr>
          <w:rFonts w:hAnsi="宋体"/>
          <w:b/>
          <w:color w:val="auto"/>
          <w:sz w:val="22"/>
          <w:szCs w:val="22"/>
          <w:highlight w:val="none"/>
        </w:rPr>
        <w:t>采购代理机构按</w:t>
      </w:r>
      <w:r>
        <w:rPr>
          <w:rFonts w:hint="eastAsia" w:hAnsi="宋体"/>
          <w:b/>
          <w:color w:val="auto"/>
          <w:sz w:val="22"/>
          <w:szCs w:val="22"/>
          <w:highlight w:val="none"/>
        </w:rPr>
        <w:t>磋商</w:t>
      </w:r>
      <w:r>
        <w:rPr>
          <w:rFonts w:hAnsi="宋体"/>
          <w:b/>
          <w:color w:val="auto"/>
          <w:sz w:val="22"/>
          <w:szCs w:val="22"/>
          <w:highlight w:val="none"/>
        </w:rPr>
        <w:t>文件规定的时间、地点通过“政府采购云平台”组织开标、开启磋商响应文件，所有供应商均应当准时在线参加。投标供应商因未在线参加开标而导致磋商响应文件无法按时解密等一切后果由供应商自己承担</w:t>
      </w:r>
      <w:r>
        <w:rPr>
          <w:rFonts w:hAnsi="宋体"/>
          <w:color w:val="auto"/>
          <w:sz w:val="22"/>
          <w:szCs w:val="22"/>
          <w:highlight w:val="none"/>
        </w:rPr>
        <w:t>。</w:t>
      </w:r>
    </w:p>
    <w:p w14:paraId="602E52FC">
      <w:pPr>
        <w:pStyle w:val="34"/>
        <w:adjustRightInd w:val="0"/>
        <w:snapToGrid w:val="0"/>
        <w:spacing w:line="460" w:lineRule="atLeast"/>
        <w:ind w:firstLine="440" w:firstLineChars="200"/>
        <w:rPr>
          <w:rFonts w:hAnsi="宋体"/>
          <w:color w:val="auto"/>
          <w:sz w:val="22"/>
          <w:szCs w:val="22"/>
          <w:highlight w:val="none"/>
        </w:rPr>
      </w:pPr>
      <w:r>
        <w:rPr>
          <w:rFonts w:hAnsi="宋体"/>
          <w:color w:val="auto"/>
          <w:sz w:val="22"/>
          <w:szCs w:val="22"/>
          <w:highlight w:val="none"/>
        </w:rPr>
        <w:t>1.</w:t>
      </w:r>
      <w:r>
        <w:rPr>
          <w:rFonts w:hint="eastAsia" w:hAnsi="宋体"/>
          <w:color w:val="auto"/>
          <w:sz w:val="22"/>
          <w:szCs w:val="22"/>
          <w:highlight w:val="none"/>
        </w:rPr>
        <w:t>2</w:t>
      </w:r>
      <w:r>
        <w:rPr>
          <w:rFonts w:hAnsi="宋体"/>
          <w:color w:val="auto"/>
          <w:sz w:val="22"/>
          <w:szCs w:val="22"/>
          <w:highlight w:val="none"/>
        </w:rPr>
        <w:t>、开标流程</w:t>
      </w:r>
    </w:p>
    <w:p w14:paraId="5EAC9B80">
      <w:pPr>
        <w:pStyle w:val="34"/>
        <w:adjustRightInd w:val="0"/>
        <w:snapToGrid w:val="0"/>
        <w:spacing w:line="460" w:lineRule="atLeast"/>
        <w:ind w:firstLine="440" w:firstLineChars="200"/>
        <w:rPr>
          <w:rFonts w:hAnsi="宋体"/>
          <w:color w:val="auto"/>
          <w:sz w:val="22"/>
          <w:szCs w:val="22"/>
          <w:highlight w:val="none"/>
        </w:rPr>
      </w:pPr>
      <w:r>
        <w:rPr>
          <w:rFonts w:hAnsi="宋体"/>
          <w:color w:val="auto"/>
          <w:sz w:val="22"/>
          <w:szCs w:val="22"/>
          <w:highlight w:val="none"/>
        </w:rPr>
        <w:t>（1）向各投标供应商发出电子加密磋商响应文件【开始解密】通知，由供应商按磋商文件规定的时间内自行进行磋商响应文件解密。</w:t>
      </w:r>
      <w:r>
        <w:rPr>
          <w:rFonts w:hAnsi="宋体"/>
          <w:b/>
          <w:color w:val="auto"/>
          <w:sz w:val="22"/>
          <w:szCs w:val="22"/>
          <w:highlight w:val="none"/>
        </w:rPr>
        <w:t>投标供应商在规定的时间内无法完成已递交的“电子加密磋商响应文件”解密的，</w:t>
      </w:r>
      <w:r>
        <w:rPr>
          <w:rFonts w:hint="eastAsia" w:hAnsi="宋体"/>
          <w:b/>
          <w:color w:val="auto"/>
          <w:sz w:val="22"/>
          <w:highlight w:val="none"/>
        </w:rPr>
        <w:t>其磋商响应文件按拒收处理</w:t>
      </w:r>
      <w:r>
        <w:rPr>
          <w:rFonts w:hint="eastAsia" w:hAnsi="宋体"/>
          <w:color w:val="auto"/>
          <w:sz w:val="22"/>
          <w:szCs w:val="22"/>
          <w:highlight w:val="none"/>
        </w:rPr>
        <w:t>。</w:t>
      </w:r>
    </w:p>
    <w:p w14:paraId="45D00975">
      <w:pPr>
        <w:pStyle w:val="34"/>
        <w:adjustRightInd w:val="0"/>
        <w:snapToGrid w:val="0"/>
        <w:spacing w:line="460" w:lineRule="atLeast"/>
        <w:ind w:firstLine="440" w:firstLineChars="200"/>
        <w:rPr>
          <w:rFonts w:hAnsi="宋体"/>
          <w:color w:val="auto"/>
          <w:sz w:val="22"/>
          <w:szCs w:val="22"/>
          <w:highlight w:val="none"/>
        </w:rPr>
      </w:pPr>
      <w:r>
        <w:rPr>
          <w:rFonts w:hAnsi="宋体"/>
          <w:color w:val="auto"/>
          <w:sz w:val="22"/>
          <w:szCs w:val="22"/>
          <w:highlight w:val="none"/>
        </w:rPr>
        <w:t>（2）磋商响应文件解密结束，</w:t>
      </w:r>
      <w:r>
        <w:rPr>
          <w:rFonts w:hint="eastAsia" w:hAnsi="宋体"/>
          <w:color w:val="auto"/>
          <w:sz w:val="22"/>
          <w:szCs w:val="22"/>
          <w:highlight w:val="none"/>
        </w:rPr>
        <w:t>磋商小组在对磋商响应文件的有效性、完整性和响应程度进行审查时，可以要求供应商对磋商响应文件中含义不明确、同类问题表述不一致或者有明显文字和计算错误的内容等作出必要的澄清、说明或者更正。供应商的澄清、说明或者更正不得超出磋商响应文件的范围或者改变磋商响应文件的实质性内容。</w:t>
      </w:r>
    </w:p>
    <w:p w14:paraId="7B1FC3EF">
      <w:pPr>
        <w:pStyle w:val="34"/>
        <w:adjustRightInd w:val="0"/>
        <w:snapToGrid w:val="0"/>
        <w:spacing w:line="460" w:lineRule="atLeast"/>
        <w:ind w:firstLine="440" w:firstLineChars="200"/>
        <w:rPr>
          <w:rFonts w:hAnsi="宋体"/>
          <w:b/>
          <w:color w:val="auto"/>
          <w:sz w:val="22"/>
          <w:szCs w:val="22"/>
          <w:highlight w:val="none"/>
        </w:rPr>
      </w:pPr>
      <w:r>
        <w:rPr>
          <w:rFonts w:hAnsi="宋体"/>
          <w:color w:val="auto"/>
          <w:sz w:val="22"/>
          <w:szCs w:val="22"/>
          <w:highlight w:val="none"/>
        </w:rPr>
        <w:t>（</w:t>
      </w:r>
      <w:r>
        <w:rPr>
          <w:rFonts w:hint="eastAsia" w:hAnsi="宋体"/>
          <w:color w:val="auto"/>
          <w:sz w:val="22"/>
          <w:szCs w:val="22"/>
          <w:highlight w:val="none"/>
        </w:rPr>
        <w:t>3</w:t>
      </w:r>
      <w:r>
        <w:rPr>
          <w:rFonts w:hAnsi="宋体"/>
          <w:color w:val="auto"/>
          <w:sz w:val="22"/>
          <w:szCs w:val="22"/>
          <w:highlight w:val="none"/>
        </w:rPr>
        <w:t>）</w:t>
      </w:r>
      <w:r>
        <w:rPr>
          <w:rFonts w:hint="eastAsia" w:hAnsi="宋体"/>
          <w:color w:val="auto"/>
          <w:sz w:val="22"/>
          <w:szCs w:val="22"/>
          <w:highlight w:val="none"/>
        </w:rPr>
        <w:t>磋商小组所有成员应当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通知所有参加磋商的供应商。供应商应当按照磋商文件的变动情况和磋商小组的要求重新提交磋商响应文件，并由其法定代表人或授权代表签字（或盖章）并加盖公章。</w:t>
      </w:r>
      <w:r>
        <w:rPr>
          <w:rFonts w:hint="eastAsia" w:hAnsi="宋体"/>
          <w:b/>
          <w:color w:val="auto"/>
          <w:sz w:val="22"/>
          <w:szCs w:val="22"/>
          <w:highlight w:val="none"/>
        </w:rPr>
        <w:t>如竞争性磋商文件所列采购内容明确不需要修改的或供应商磋商响应文件清楚明确不需要澄清的，可以不进行磋商，直接要求供应商进行最终报价。</w:t>
      </w:r>
    </w:p>
    <w:p w14:paraId="4F425775">
      <w:pPr>
        <w:pStyle w:val="34"/>
        <w:adjustRightInd w:val="0"/>
        <w:snapToGrid w:val="0"/>
        <w:spacing w:line="460" w:lineRule="atLeast"/>
        <w:ind w:firstLine="431" w:firstLineChars="196"/>
        <w:rPr>
          <w:rFonts w:hAnsi="宋体"/>
          <w:color w:val="auto"/>
          <w:sz w:val="22"/>
          <w:szCs w:val="22"/>
          <w:highlight w:val="none"/>
        </w:rPr>
      </w:pPr>
      <w:r>
        <w:rPr>
          <w:rFonts w:hAnsi="宋体"/>
          <w:color w:val="auto"/>
          <w:sz w:val="22"/>
          <w:szCs w:val="22"/>
          <w:highlight w:val="none"/>
        </w:rPr>
        <w:t>（</w:t>
      </w:r>
      <w:r>
        <w:rPr>
          <w:rFonts w:hint="eastAsia" w:hAnsi="宋体"/>
          <w:color w:val="auto"/>
          <w:sz w:val="22"/>
          <w:szCs w:val="22"/>
          <w:highlight w:val="none"/>
        </w:rPr>
        <w:t>4</w:t>
      </w:r>
      <w:r>
        <w:rPr>
          <w:rFonts w:hAnsi="宋体"/>
          <w:color w:val="auto"/>
          <w:sz w:val="22"/>
          <w:szCs w:val="22"/>
          <w:highlight w:val="none"/>
        </w:rPr>
        <w:t>）</w:t>
      </w:r>
      <w:r>
        <w:rPr>
          <w:rFonts w:hint="eastAsia" w:hAnsi="宋体"/>
          <w:color w:val="auto"/>
          <w:sz w:val="22"/>
          <w:szCs w:val="22"/>
          <w:highlight w:val="none"/>
        </w:rPr>
        <w:t>磋商结束后，磋商小组应当要求所有实质性响应的投标供应商在规定时间内提交最终报价。投标供应商未在规定时间提交最终报价的按无效投标处理。</w:t>
      </w:r>
    </w:p>
    <w:p w14:paraId="67B5DE9C">
      <w:pPr>
        <w:pStyle w:val="34"/>
        <w:adjustRightInd w:val="0"/>
        <w:snapToGrid w:val="0"/>
        <w:spacing w:line="460" w:lineRule="atLeast"/>
        <w:ind w:firstLine="431" w:firstLineChars="196"/>
        <w:rPr>
          <w:rFonts w:hAnsi="宋体"/>
          <w:color w:val="auto"/>
          <w:sz w:val="22"/>
          <w:szCs w:val="22"/>
          <w:highlight w:val="none"/>
        </w:rPr>
      </w:pPr>
      <w:r>
        <w:rPr>
          <w:rFonts w:hint="eastAsia" w:hAnsi="宋体"/>
          <w:color w:val="auto"/>
          <w:sz w:val="22"/>
          <w:szCs w:val="22"/>
          <w:highlight w:val="none"/>
        </w:rPr>
        <w:t>（5）</w:t>
      </w:r>
      <w:r>
        <w:rPr>
          <w:rFonts w:hAnsi="宋体"/>
          <w:color w:val="auto"/>
          <w:sz w:val="22"/>
          <w:szCs w:val="22"/>
          <w:highlight w:val="none"/>
        </w:rPr>
        <w:t>开启</w:t>
      </w:r>
      <w:r>
        <w:rPr>
          <w:rFonts w:hint="eastAsia" w:hAnsi="宋体"/>
          <w:color w:val="auto"/>
          <w:sz w:val="22"/>
          <w:szCs w:val="22"/>
          <w:highlight w:val="none"/>
        </w:rPr>
        <w:t>所有实质性响应的投标供应商</w:t>
      </w:r>
      <w:r>
        <w:rPr>
          <w:rFonts w:hAnsi="宋体"/>
          <w:color w:val="auto"/>
          <w:sz w:val="22"/>
          <w:szCs w:val="22"/>
          <w:highlight w:val="none"/>
        </w:rPr>
        <w:t>的</w:t>
      </w:r>
      <w:r>
        <w:rPr>
          <w:rFonts w:hint="eastAsia" w:hAnsi="宋体"/>
          <w:color w:val="auto"/>
          <w:sz w:val="22"/>
          <w:szCs w:val="22"/>
          <w:highlight w:val="none"/>
        </w:rPr>
        <w:t>最终</w:t>
      </w:r>
      <w:r>
        <w:rPr>
          <w:rFonts w:hAnsi="宋体"/>
          <w:color w:val="auto"/>
          <w:sz w:val="22"/>
          <w:szCs w:val="22"/>
          <w:highlight w:val="none"/>
        </w:rPr>
        <w:t>报价。</w:t>
      </w:r>
    </w:p>
    <w:p w14:paraId="74A4CDD5">
      <w:pPr>
        <w:pStyle w:val="34"/>
        <w:adjustRightInd w:val="0"/>
        <w:snapToGrid w:val="0"/>
        <w:spacing w:line="460" w:lineRule="atLeast"/>
        <w:ind w:firstLine="440" w:firstLineChars="200"/>
        <w:rPr>
          <w:rFonts w:hAnsi="宋体"/>
          <w:color w:val="auto"/>
          <w:sz w:val="22"/>
          <w:szCs w:val="22"/>
          <w:highlight w:val="none"/>
        </w:rPr>
      </w:pPr>
      <w:r>
        <w:rPr>
          <w:rFonts w:hAnsi="宋体"/>
          <w:color w:val="auto"/>
          <w:sz w:val="22"/>
          <w:szCs w:val="22"/>
          <w:highlight w:val="none"/>
        </w:rPr>
        <w:t>（</w:t>
      </w:r>
      <w:r>
        <w:rPr>
          <w:rFonts w:hint="eastAsia" w:hAnsi="宋体"/>
          <w:color w:val="auto"/>
          <w:sz w:val="22"/>
          <w:szCs w:val="22"/>
          <w:highlight w:val="none"/>
        </w:rPr>
        <w:t>6</w:t>
      </w:r>
      <w:r>
        <w:rPr>
          <w:rFonts w:hAnsi="宋体"/>
          <w:color w:val="auto"/>
          <w:sz w:val="22"/>
          <w:szCs w:val="22"/>
          <w:highlight w:val="none"/>
        </w:rPr>
        <w:t>）评审结束后，公布</w:t>
      </w:r>
      <w:r>
        <w:rPr>
          <w:rFonts w:hint="eastAsia" w:hAnsi="宋体"/>
          <w:color w:val="auto"/>
          <w:sz w:val="22"/>
          <w:szCs w:val="22"/>
          <w:highlight w:val="none"/>
        </w:rPr>
        <w:t>采购</w:t>
      </w:r>
      <w:r>
        <w:rPr>
          <w:rFonts w:hAnsi="宋体"/>
          <w:color w:val="auto"/>
          <w:sz w:val="22"/>
          <w:szCs w:val="22"/>
          <w:highlight w:val="none"/>
        </w:rPr>
        <w:t>结果。</w:t>
      </w:r>
    </w:p>
    <w:p w14:paraId="7A801CD5">
      <w:pPr>
        <w:pStyle w:val="34"/>
        <w:adjustRightInd w:val="0"/>
        <w:snapToGrid w:val="0"/>
        <w:spacing w:line="460" w:lineRule="atLeast"/>
        <w:ind w:firstLine="433" w:firstLineChars="196"/>
        <w:rPr>
          <w:rFonts w:hAnsi="宋体"/>
          <w:b/>
          <w:color w:val="auto"/>
          <w:sz w:val="22"/>
          <w:szCs w:val="22"/>
          <w:highlight w:val="none"/>
        </w:rPr>
      </w:pPr>
      <w:r>
        <w:rPr>
          <w:rFonts w:hAnsi="宋体"/>
          <w:b/>
          <w:color w:val="auto"/>
          <w:sz w:val="22"/>
          <w:szCs w:val="22"/>
          <w:highlight w:val="none"/>
        </w:rPr>
        <w:t>特别说明：如遇“政府采购云平台”电子化开标或评审程序调整的，按调整后程序执行。</w:t>
      </w:r>
    </w:p>
    <w:p w14:paraId="7E8F6571">
      <w:pPr>
        <w:pStyle w:val="34"/>
        <w:adjustRightInd w:val="0"/>
        <w:snapToGrid w:val="0"/>
        <w:spacing w:line="460" w:lineRule="atLeast"/>
        <w:ind w:firstLine="440" w:firstLineChars="200"/>
        <w:rPr>
          <w:rFonts w:hAnsi="宋体" w:cs="Arial"/>
          <w:color w:val="auto"/>
          <w:sz w:val="22"/>
          <w:szCs w:val="22"/>
          <w:highlight w:val="none"/>
        </w:rPr>
      </w:pPr>
      <w:r>
        <w:rPr>
          <w:rFonts w:hint="eastAsia" w:hAnsi="宋体" w:cs="Arial"/>
          <w:color w:val="auto"/>
          <w:sz w:val="22"/>
          <w:szCs w:val="22"/>
          <w:highlight w:val="none"/>
        </w:rPr>
        <w:t>2、评审</w:t>
      </w:r>
    </w:p>
    <w:p w14:paraId="43E138F5">
      <w:pPr>
        <w:pStyle w:val="34"/>
        <w:adjustRightInd w:val="0"/>
        <w:snapToGrid w:val="0"/>
        <w:spacing w:line="460" w:lineRule="atLeast"/>
        <w:ind w:firstLine="440" w:firstLineChars="200"/>
        <w:rPr>
          <w:rFonts w:hAnsi="宋体" w:cs="Arial"/>
          <w:color w:val="auto"/>
          <w:sz w:val="22"/>
          <w:szCs w:val="22"/>
          <w:highlight w:val="none"/>
        </w:rPr>
      </w:pPr>
      <w:r>
        <w:rPr>
          <w:rFonts w:hint="eastAsia" w:hAnsi="宋体" w:cs="Arial"/>
          <w:color w:val="auto"/>
          <w:sz w:val="22"/>
          <w:szCs w:val="22"/>
          <w:highlight w:val="none"/>
        </w:rPr>
        <w:t>2.1、评审由采购人依法组建的磋商小组负责</w:t>
      </w:r>
      <w:r>
        <w:rPr>
          <w:rFonts w:hint="eastAsia" w:hAnsi="宋体"/>
          <w:color w:val="auto"/>
          <w:sz w:val="22"/>
          <w:szCs w:val="22"/>
          <w:highlight w:val="none"/>
        </w:rPr>
        <w:t>，并独立履行下列职责：</w:t>
      </w:r>
    </w:p>
    <w:p w14:paraId="249683D3">
      <w:pPr>
        <w:snapToGrid w:val="0"/>
        <w:spacing w:line="460" w:lineRule="atLeast"/>
        <w:ind w:firstLine="431" w:firstLineChars="196"/>
        <w:rPr>
          <w:rFonts w:ascii="宋体" w:hAnsi="宋体"/>
          <w:color w:val="auto"/>
          <w:sz w:val="22"/>
          <w:szCs w:val="22"/>
          <w:highlight w:val="none"/>
        </w:rPr>
      </w:pPr>
      <w:r>
        <w:rPr>
          <w:rFonts w:hint="eastAsia" w:ascii="宋体" w:hAnsi="宋体"/>
          <w:color w:val="auto"/>
          <w:sz w:val="22"/>
          <w:szCs w:val="22"/>
          <w:highlight w:val="none"/>
        </w:rPr>
        <w:t>1）审查磋商响应文件是否符合竞争性磋商文件要求，并作出评价；</w:t>
      </w:r>
    </w:p>
    <w:p w14:paraId="318FE0C1">
      <w:pPr>
        <w:snapToGrid w:val="0"/>
        <w:spacing w:line="460" w:lineRule="atLeast"/>
        <w:ind w:firstLine="450"/>
        <w:rPr>
          <w:rFonts w:ascii="宋体" w:hAnsi="宋体"/>
          <w:color w:val="auto"/>
          <w:sz w:val="22"/>
          <w:szCs w:val="22"/>
          <w:highlight w:val="none"/>
        </w:rPr>
      </w:pPr>
      <w:r>
        <w:rPr>
          <w:rFonts w:hint="eastAsia" w:ascii="宋体" w:hAnsi="宋体"/>
          <w:color w:val="auto"/>
          <w:sz w:val="22"/>
          <w:szCs w:val="22"/>
          <w:highlight w:val="none"/>
        </w:rPr>
        <w:t>2）要求供应商对磋商响应文件有关事项作出解释或者澄清；</w:t>
      </w:r>
    </w:p>
    <w:p w14:paraId="1DC33CFB">
      <w:pPr>
        <w:snapToGrid w:val="0"/>
        <w:spacing w:line="460" w:lineRule="atLeast"/>
        <w:ind w:firstLine="450"/>
        <w:rPr>
          <w:rFonts w:ascii="宋体" w:hAnsi="宋体"/>
          <w:color w:val="auto"/>
          <w:sz w:val="22"/>
          <w:szCs w:val="22"/>
          <w:highlight w:val="none"/>
        </w:rPr>
      </w:pPr>
      <w:r>
        <w:rPr>
          <w:rFonts w:hint="eastAsia" w:ascii="宋体" w:hAnsi="宋体"/>
          <w:color w:val="auto"/>
          <w:sz w:val="22"/>
          <w:szCs w:val="22"/>
          <w:highlight w:val="none"/>
        </w:rPr>
        <w:t>3）按照竞争性磋商文件确定的评审办法对供应商进行排序，推荐候选供应商，将综合得分第一的供应商向采购人推荐其为成交供应商；</w:t>
      </w:r>
    </w:p>
    <w:p w14:paraId="4890103D">
      <w:pPr>
        <w:pStyle w:val="34"/>
        <w:adjustRightInd w:val="0"/>
        <w:snapToGrid w:val="0"/>
        <w:spacing w:line="460" w:lineRule="atLeast"/>
        <w:ind w:firstLine="431" w:firstLineChars="196"/>
        <w:rPr>
          <w:rFonts w:hAnsi="宋体"/>
          <w:color w:val="auto"/>
          <w:sz w:val="22"/>
          <w:szCs w:val="22"/>
          <w:highlight w:val="none"/>
        </w:rPr>
      </w:pPr>
      <w:r>
        <w:rPr>
          <w:rFonts w:hint="eastAsia" w:hAnsi="宋体"/>
          <w:color w:val="auto"/>
          <w:sz w:val="22"/>
          <w:szCs w:val="22"/>
          <w:highlight w:val="none"/>
        </w:rPr>
        <w:t>4）向采购代理机构或者有关部门报告非法干预评审工作的行为。</w:t>
      </w:r>
    </w:p>
    <w:p w14:paraId="014F3A7A">
      <w:pPr>
        <w:snapToGrid w:val="0"/>
        <w:spacing w:line="460" w:lineRule="atLeast"/>
        <w:ind w:firstLine="431" w:firstLineChars="196"/>
        <w:rPr>
          <w:rFonts w:ascii="宋体" w:hAnsi="宋体"/>
          <w:color w:val="auto"/>
          <w:sz w:val="22"/>
          <w:szCs w:val="22"/>
          <w:highlight w:val="none"/>
        </w:rPr>
      </w:pPr>
      <w:r>
        <w:rPr>
          <w:rFonts w:hint="eastAsia" w:ascii="宋体" w:hAnsi="宋体"/>
          <w:color w:val="auto"/>
          <w:sz w:val="22"/>
          <w:szCs w:val="22"/>
          <w:highlight w:val="none"/>
        </w:rPr>
        <w:t>2.2、评审应当遵循下列工作程序：</w:t>
      </w:r>
    </w:p>
    <w:p w14:paraId="0DFBC5A2">
      <w:pPr>
        <w:snapToGrid w:val="0"/>
        <w:spacing w:line="460" w:lineRule="atLeast"/>
        <w:ind w:firstLine="450"/>
        <w:rPr>
          <w:rFonts w:ascii="宋体" w:hAnsi="宋体"/>
          <w:color w:val="auto"/>
          <w:sz w:val="22"/>
          <w:szCs w:val="22"/>
          <w:highlight w:val="none"/>
        </w:rPr>
      </w:pPr>
      <w:r>
        <w:rPr>
          <w:rFonts w:hint="eastAsia" w:ascii="宋体" w:hAnsi="宋体"/>
          <w:color w:val="auto"/>
          <w:sz w:val="22"/>
          <w:szCs w:val="22"/>
          <w:highlight w:val="none"/>
        </w:rPr>
        <w:t>1）磋商响应文件初审。初审分为资格性检查和符合性检查。</w:t>
      </w:r>
    </w:p>
    <w:p w14:paraId="7CF49688">
      <w:pPr>
        <w:snapToGrid w:val="0"/>
        <w:spacing w:line="460" w:lineRule="atLeast"/>
        <w:rPr>
          <w:rFonts w:ascii="宋体" w:hAnsi="宋体"/>
          <w:color w:val="auto"/>
          <w:sz w:val="22"/>
          <w:szCs w:val="22"/>
          <w:highlight w:val="none"/>
        </w:rPr>
      </w:pPr>
      <w:r>
        <w:rPr>
          <w:rFonts w:hint="eastAsia" w:ascii="宋体" w:hAnsi="宋体"/>
          <w:color w:val="auto"/>
          <w:sz w:val="22"/>
          <w:szCs w:val="22"/>
          <w:highlight w:val="none"/>
        </w:rPr>
        <w:t xml:space="preserve">   （1</w:t>
      </w:r>
      <w:r>
        <w:rPr>
          <w:rFonts w:ascii="宋体" w:hAnsi="宋体"/>
          <w:color w:val="auto"/>
          <w:sz w:val="22"/>
          <w:szCs w:val="22"/>
          <w:highlight w:val="none"/>
        </w:rPr>
        <w:t>）</w:t>
      </w:r>
      <w:r>
        <w:rPr>
          <w:rFonts w:hint="eastAsia" w:ascii="宋体" w:hAnsi="宋体"/>
          <w:color w:val="auto"/>
          <w:sz w:val="22"/>
          <w:szCs w:val="22"/>
          <w:highlight w:val="none"/>
        </w:rPr>
        <w:t>资格性检查。依据法律法规和竞争性磋商文件的规定，对磋商响应文件中的资格证明等进行审查，以确定供应商是否具备参与磋商资格。</w:t>
      </w:r>
    </w:p>
    <w:p w14:paraId="7E67C26D">
      <w:pPr>
        <w:snapToGrid w:val="0"/>
        <w:spacing w:line="460" w:lineRule="atLeast"/>
        <w:rPr>
          <w:rFonts w:ascii="宋体" w:hAnsi="宋体"/>
          <w:color w:val="auto"/>
          <w:sz w:val="22"/>
          <w:szCs w:val="22"/>
          <w:highlight w:val="none"/>
        </w:rPr>
      </w:pPr>
      <w:r>
        <w:rPr>
          <w:rFonts w:hint="eastAsia" w:ascii="宋体" w:hAnsi="宋体"/>
          <w:color w:val="auto"/>
          <w:sz w:val="22"/>
          <w:szCs w:val="22"/>
          <w:highlight w:val="none"/>
        </w:rPr>
        <w:t xml:space="preserve">   （2</w:t>
      </w:r>
      <w:r>
        <w:rPr>
          <w:rFonts w:ascii="宋体" w:hAnsi="宋体"/>
          <w:color w:val="auto"/>
          <w:sz w:val="22"/>
          <w:szCs w:val="22"/>
          <w:highlight w:val="none"/>
        </w:rPr>
        <w:t>）</w:t>
      </w:r>
      <w:r>
        <w:rPr>
          <w:rFonts w:hint="eastAsia" w:ascii="宋体" w:hAnsi="宋体"/>
          <w:color w:val="auto"/>
          <w:sz w:val="22"/>
          <w:szCs w:val="22"/>
          <w:highlight w:val="none"/>
        </w:rPr>
        <w:t>符合性检查。依据竞争性磋商文件的规定，从磋商响应文件的有效性、完整性和对竞争性磋商文件的响应程度进行审查，以确定是否对竞争性磋商文件的实质性要求作出响应。</w:t>
      </w:r>
    </w:p>
    <w:p w14:paraId="75AFC327">
      <w:pPr>
        <w:snapToGrid w:val="0"/>
        <w:spacing w:line="460" w:lineRule="atLeast"/>
        <w:ind w:firstLine="450"/>
        <w:rPr>
          <w:rFonts w:ascii="宋体" w:hAnsi="宋体"/>
          <w:color w:val="auto"/>
          <w:sz w:val="22"/>
          <w:szCs w:val="22"/>
          <w:highlight w:val="none"/>
        </w:rPr>
      </w:pPr>
      <w:r>
        <w:rPr>
          <w:rFonts w:hint="eastAsia" w:ascii="宋体" w:hAnsi="宋体"/>
          <w:color w:val="auto"/>
          <w:sz w:val="22"/>
          <w:szCs w:val="22"/>
          <w:highlight w:val="none"/>
        </w:rPr>
        <w:t>2）澄清有关问题。对磋商响应文件中含义不明确、同类问题表述不一致或者有明显文字和计算错误的内容，磋商小组可以要求供应商对磋商响应文件中含义不明确、同类问题表述不一致或者有明显文字和计算错误的内容等作出必要的澄清、说明或者更正。供应商的澄清、说明或者更正不得超出磋商响应文件的范围或者改变磋商响应文件的实质性内容。</w:t>
      </w:r>
    </w:p>
    <w:p w14:paraId="32127799">
      <w:pPr>
        <w:snapToGrid w:val="0"/>
        <w:spacing w:line="460" w:lineRule="atLeast"/>
        <w:ind w:firstLine="450"/>
        <w:rPr>
          <w:rFonts w:ascii="宋体" w:hAnsi="宋体"/>
          <w:color w:val="auto"/>
          <w:sz w:val="22"/>
          <w:szCs w:val="22"/>
          <w:highlight w:val="none"/>
        </w:rPr>
      </w:pPr>
      <w:r>
        <w:rPr>
          <w:rFonts w:hint="eastAsia" w:ascii="宋体" w:hAnsi="宋体"/>
          <w:color w:val="auto"/>
          <w:sz w:val="22"/>
          <w:szCs w:val="22"/>
          <w:highlight w:val="none"/>
        </w:rPr>
        <w:t>3）比较与评价。按竞争性磋商文件中规定的评审方法和标准，对资格性检查和符合性检查合格的磋商响应文件进行商务和技术评估，综合比较与评价。</w:t>
      </w:r>
    </w:p>
    <w:p w14:paraId="7AAD8B70">
      <w:pPr>
        <w:pStyle w:val="34"/>
        <w:adjustRightInd w:val="0"/>
        <w:snapToGrid w:val="0"/>
        <w:spacing w:line="460" w:lineRule="atLeast"/>
        <w:ind w:firstLine="431" w:firstLineChars="196"/>
        <w:rPr>
          <w:rFonts w:hAnsi="宋体" w:cs="Arial"/>
          <w:color w:val="auto"/>
          <w:sz w:val="22"/>
          <w:szCs w:val="22"/>
          <w:highlight w:val="none"/>
        </w:rPr>
      </w:pPr>
      <w:r>
        <w:rPr>
          <w:rFonts w:hint="eastAsia" w:hAnsi="宋体" w:cs="Arial"/>
          <w:color w:val="auto"/>
          <w:sz w:val="22"/>
          <w:szCs w:val="22"/>
          <w:highlight w:val="none"/>
        </w:rPr>
        <w:t>2.3、</w:t>
      </w:r>
      <w:r>
        <w:rPr>
          <w:rFonts w:hint="eastAsia" w:hAnsi="宋体" w:cs="Arial"/>
          <w:b/>
          <w:color w:val="auto"/>
          <w:sz w:val="22"/>
          <w:szCs w:val="22"/>
          <w:highlight w:val="none"/>
        </w:rPr>
        <w:t>本次采购，供应商的最终报价均超出采购预算的，本次采购做废标处理。</w:t>
      </w:r>
    </w:p>
    <w:p w14:paraId="6070F508">
      <w:pPr>
        <w:pStyle w:val="34"/>
        <w:adjustRightInd w:val="0"/>
        <w:snapToGrid w:val="0"/>
        <w:spacing w:line="460" w:lineRule="atLeast"/>
        <w:ind w:firstLine="440" w:firstLineChars="200"/>
        <w:rPr>
          <w:rFonts w:hAnsi="宋体"/>
          <w:color w:val="auto"/>
          <w:sz w:val="22"/>
          <w:szCs w:val="22"/>
          <w:highlight w:val="none"/>
        </w:rPr>
      </w:pPr>
      <w:r>
        <w:rPr>
          <w:rFonts w:hint="eastAsia" w:hAnsi="宋体"/>
          <w:color w:val="auto"/>
          <w:sz w:val="22"/>
          <w:szCs w:val="22"/>
          <w:highlight w:val="none"/>
        </w:rPr>
        <w:t>2.4、▲</w:t>
      </w:r>
      <w:r>
        <w:rPr>
          <w:rFonts w:hint="eastAsia" w:hAnsi="宋体"/>
          <w:b/>
          <w:color w:val="auto"/>
          <w:sz w:val="22"/>
          <w:szCs w:val="22"/>
          <w:highlight w:val="none"/>
        </w:rPr>
        <w:t>供应商存在下列情况之一的，磋商响应文件按无效处理：</w:t>
      </w:r>
    </w:p>
    <w:p w14:paraId="47D151C1">
      <w:pPr>
        <w:pStyle w:val="34"/>
        <w:adjustRightInd w:val="0"/>
        <w:snapToGrid w:val="0"/>
        <w:spacing w:line="460" w:lineRule="atLeast"/>
        <w:ind w:firstLine="442" w:firstLineChars="200"/>
        <w:rPr>
          <w:rFonts w:hAnsi="宋体"/>
          <w:b/>
          <w:color w:val="auto"/>
          <w:sz w:val="22"/>
          <w:szCs w:val="22"/>
          <w:highlight w:val="none"/>
        </w:rPr>
      </w:pPr>
      <w:r>
        <w:rPr>
          <w:rFonts w:hint="eastAsia" w:hAnsi="宋体"/>
          <w:b/>
          <w:color w:val="auto"/>
          <w:sz w:val="22"/>
          <w:szCs w:val="22"/>
          <w:highlight w:val="none"/>
        </w:rPr>
        <w:t>1）磋商响应文件未按磋商文件要求签署或CA电子签章的；</w:t>
      </w:r>
    </w:p>
    <w:p w14:paraId="4B912600">
      <w:pPr>
        <w:pStyle w:val="34"/>
        <w:adjustRightInd w:val="0"/>
        <w:snapToGrid w:val="0"/>
        <w:spacing w:line="460" w:lineRule="atLeast"/>
        <w:ind w:firstLine="442" w:firstLineChars="200"/>
        <w:rPr>
          <w:rFonts w:hAnsi="宋体"/>
          <w:b/>
          <w:color w:val="auto"/>
          <w:sz w:val="22"/>
          <w:szCs w:val="22"/>
          <w:highlight w:val="none"/>
        </w:rPr>
      </w:pPr>
      <w:r>
        <w:rPr>
          <w:rFonts w:hint="eastAsia" w:hAnsi="宋体"/>
          <w:b/>
          <w:color w:val="auto"/>
          <w:sz w:val="22"/>
          <w:szCs w:val="22"/>
          <w:highlight w:val="none"/>
        </w:rPr>
        <w:t>2）不具备磋商文件中规定的资格要求的；</w:t>
      </w:r>
    </w:p>
    <w:p w14:paraId="1E93372B">
      <w:pPr>
        <w:pStyle w:val="34"/>
        <w:adjustRightInd w:val="0"/>
        <w:snapToGrid w:val="0"/>
        <w:spacing w:line="460" w:lineRule="atLeast"/>
        <w:ind w:firstLine="442" w:firstLineChars="200"/>
        <w:rPr>
          <w:rFonts w:hAnsi="宋体"/>
          <w:b/>
          <w:color w:val="auto"/>
          <w:sz w:val="22"/>
          <w:szCs w:val="22"/>
          <w:highlight w:val="none"/>
        </w:rPr>
      </w:pPr>
      <w:r>
        <w:rPr>
          <w:rFonts w:hint="eastAsia" w:hAnsi="宋体"/>
          <w:b/>
          <w:color w:val="auto"/>
          <w:sz w:val="22"/>
          <w:szCs w:val="22"/>
          <w:highlight w:val="none"/>
        </w:rPr>
        <w:t>3）最终报价超过磋商文件中规定的预算金额或者最高限价的；</w:t>
      </w:r>
    </w:p>
    <w:p w14:paraId="50A963AD">
      <w:pPr>
        <w:pStyle w:val="34"/>
        <w:adjustRightInd w:val="0"/>
        <w:snapToGrid w:val="0"/>
        <w:spacing w:line="460" w:lineRule="atLeast"/>
        <w:ind w:firstLine="442" w:firstLineChars="200"/>
        <w:rPr>
          <w:rFonts w:hAnsi="宋体"/>
          <w:b/>
          <w:color w:val="auto"/>
          <w:sz w:val="22"/>
          <w:szCs w:val="22"/>
          <w:highlight w:val="none"/>
        </w:rPr>
      </w:pPr>
      <w:r>
        <w:rPr>
          <w:rFonts w:hint="eastAsia" w:hAnsi="宋体"/>
          <w:b/>
          <w:color w:val="auto"/>
          <w:sz w:val="22"/>
          <w:szCs w:val="22"/>
          <w:highlight w:val="none"/>
        </w:rPr>
        <w:t>4）对关键条文的偏离、保留或反对，例如关于付款方式、完工期（服务期）、免费质保期、适用法律法规、标准、税费等其他内容；</w:t>
      </w:r>
    </w:p>
    <w:p w14:paraId="27D013F5">
      <w:pPr>
        <w:pStyle w:val="34"/>
        <w:adjustRightInd w:val="0"/>
        <w:snapToGrid w:val="0"/>
        <w:spacing w:line="460" w:lineRule="atLeast"/>
        <w:ind w:firstLine="442" w:firstLineChars="200"/>
        <w:rPr>
          <w:rFonts w:hAnsi="宋体"/>
          <w:b/>
          <w:color w:val="auto"/>
          <w:sz w:val="22"/>
          <w:szCs w:val="22"/>
          <w:highlight w:val="none"/>
        </w:rPr>
      </w:pPr>
      <w:r>
        <w:rPr>
          <w:rFonts w:hint="eastAsia" w:hAnsi="宋体"/>
          <w:b/>
          <w:color w:val="auto"/>
          <w:sz w:val="22"/>
          <w:szCs w:val="22"/>
          <w:highlight w:val="none"/>
        </w:rPr>
        <w:t>5）存在串标或弄虚作假情况的；</w:t>
      </w:r>
    </w:p>
    <w:p w14:paraId="50E95147">
      <w:pPr>
        <w:pStyle w:val="34"/>
        <w:adjustRightInd w:val="0"/>
        <w:snapToGrid w:val="0"/>
        <w:spacing w:line="460" w:lineRule="atLeast"/>
        <w:ind w:firstLine="442" w:firstLineChars="200"/>
        <w:rPr>
          <w:rFonts w:hAnsi="宋体"/>
          <w:b/>
          <w:color w:val="auto"/>
          <w:sz w:val="22"/>
          <w:szCs w:val="22"/>
          <w:highlight w:val="none"/>
        </w:rPr>
      </w:pPr>
      <w:r>
        <w:rPr>
          <w:rFonts w:hint="eastAsia" w:hAnsi="宋体"/>
          <w:b/>
          <w:color w:val="auto"/>
          <w:sz w:val="22"/>
          <w:szCs w:val="22"/>
          <w:highlight w:val="none"/>
        </w:rPr>
        <w:t>6）参与本项目的不同供应商单位负责人为同一人或者存在直接控股、管理关系的；</w:t>
      </w:r>
    </w:p>
    <w:p w14:paraId="32DD7560">
      <w:pPr>
        <w:pStyle w:val="34"/>
        <w:adjustRightInd w:val="0"/>
        <w:snapToGrid w:val="0"/>
        <w:spacing w:line="460" w:lineRule="atLeast"/>
        <w:ind w:firstLine="442" w:firstLineChars="200"/>
        <w:rPr>
          <w:rFonts w:hAnsi="宋体"/>
          <w:b/>
          <w:color w:val="auto"/>
          <w:sz w:val="22"/>
          <w:szCs w:val="22"/>
          <w:highlight w:val="none"/>
        </w:rPr>
      </w:pPr>
      <w:r>
        <w:rPr>
          <w:rFonts w:hint="eastAsia" w:hAnsi="宋体"/>
          <w:b/>
          <w:color w:val="auto"/>
          <w:sz w:val="22"/>
          <w:szCs w:val="22"/>
          <w:highlight w:val="none"/>
        </w:rPr>
        <w:t>7）在竞争性磋商文件未做任何调整的情况下，参与磋商的供应商最终报价超过其磋商响应文件中报价的；</w:t>
      </w:r>
    </w:p>
    <w:p w14:paraId="4F7F72AB">
      <w:pPr>
        <w:pStyle w:val="34"/>
        <w:adjustRightInd w:val="0"/>
        <w:snapToGrid w:val="0"/>
        <w:spacing w:line="460" w:lineRule="atLeast"/>
        <w:ind w:firstLine="442" w:firstLineChars="200"/>
        <w:rPr>
          <w:rFonts w:hAnsi="宋体"/>
          <w:b/>
          <w:color w:val="auto"/>
          <w:sz w:val="22"/>
          <w:szCs w:val="22"/>
          <w:highlight w:val="none"/>
        </w:rPr>
      </w:pPr>
      <w:r>
        <w:rPr>
          <w:rFonts w:hint="eastAsia" w:hAnsi="宋体"/>
          <w:b/>
          <w:color w:val="auto"/>
          <w:sz w:val="22"/>
          <w:szCs w:val="22"/>
          <w:highlight w:val="none"/>
        </w:rPr>
        <w:t>8）未在规定时间提交最终报价的；</w:t>
      </w:r>
    </w:p>
    <w:p w14:paraId="37F46148">
      <w:pPr>
        <w:pStyle w:val="34"/>
        <w:adjustRightInd w:val="0"/>
        <w:snapToGrid w:val="0"/>
        <w:spacing w:line="460" w:lineRule="atLeast"/>
        <w:ind w:firstLine="442" w:firstLineChars="200"/>
        <w:rPr>
          <w:rFonts w:hAnsi="宋体"/>
          <w:b/>
          <w:color w:val="auto"/>
          <w:sz w:val="22"/>
          <w:szCs w:val="22"/>
          <w:highlight w:val="none"/>
        </w:rPr>
      </w:pPr>
      <w:r>
        <w:rPr>
          <w:rFonts w:hint="eastAsia" w:hAnsi="宋体"/>
          <w:b/>
          <w:color w:val="auto"/>
          <w:sz w:val="22"/>
          <w:szCs w:val="22"/>
          <w:highlight w:val="none"/>
        </w:rPr>
        <w:t>9）法律、法规和磋商文件规定的其他无效情形（或出现重大偏差）。</w:t>
      </w:r>
    </w:p>
    <w:p w14:paraId="4FFF0F85">
      <w:pPr>
        <w:pStyle w:val="34"/>
        <w:adjustRightInd w:val="0"/>
        <w:snapToGrid w:val="0"/>
        <w:spacing w:line="460" w:lineRule="atLeast"/>
        <w:ind w:firstLine="440" w:firstLineChars="200"/>
        <w:rPr>
          <w:rFonts w:hAnsi="宋体"/>
          <w:color w:val="auto"/>
          <w:sz w:val="22"/>
          <w:szCs w:val="22"/>
          <w:highlight w:val="none"/>
        </w:rPr>
      </w:pPr>
      <w:r>
        <w:rPr>
          <w:rFonts w:hint="eastAsia" w:hAnsi="宋体"/>
          <w:color w:val="auto"/>
          <w:sz w:val="22"/>
          <w:szCs w:val="22"/>
          <w:highlight w:val="none"/>
        </w:rPr>
        <w:t>2.5、▲</w:t>
      </w:r>
      <w:r>
        <w:rPr>
          <w:rFonts w:hint="eastAsia" w:hAnsi="宋体"/>
          <w:b/>
          <w:color w:val="auto"/>
          <w:sz w:val="22"/>
          <w:szCs w:val="22"/>
          <w:highlight w:val="none"/>
        </w:rPr>
        <w:t>磋商小组发现磋商响应文件有下列情形之一的属于重大偏差(磋商小组按少数服从多数原则认定),按照无效投标处理</w:t>
      </w:r>
      <w:r>
        <w:rPr>
          <w:rFonts w:hint="eastAsia" w:hAnsi="宋体"/>
          <w:color w:val="auto"/>
          <w:sz w:val="22"/>
          <w:szCs w:val="22"/>
          <w:highlight w:val="none"/>
        </w:rPr>
        <w:t>：</w:t>
      </w:r>
    </w:p>
    <w:p w14:paraId="02B5519C">
      <w:pPr>
        <w:pStyle w:val="34"/>
        <w:adjustRightInd w:val="0"/>
        <w:snapToGrid w:val="0"/>
        <w:spacing w:line="460" w:lineRule="atLeast"/>
        <w:ind w:firstLine="442" w:firstLineChars="200"/>
        <w:rPr>
          <w:rFonts w:hAnsi="宋体"/>
          <w:b/>
          <w:color w:val="auto"/>
          <w:sz w:val="22"/>
          <w:szCs w:val="22"/>
          <w:highlight w:val="none"/>
        </w:rPr>
      </w:pPr>
      <w:r>
        <w:rPr>
          <w:rFonts w:hint="eastAsia" w:hAnsi="宋体"/>
          <w:b/>
          <w:color w:val="auto"/>
          <w:sz w:val="22"/>
          <w:szCs w:val="22"/>
          <w:highlight w:val="none"/>
        </w:rPr>
        <w:t>1）未按磋商文件要求编制或字迹模糊、辨认不清的磋商响应文件；</w:t>
      </w:r>
    </w:p>
    <w:p w14:paraId="6F0614FF">
      <w:pPr>
        <w:pStyle w:val="34"/>
        <w:adjustRightInd w:val="0"/>
        <w:snapToGrid w:val="0"/>
        <w:spacing w:line="460" w:lineRule="atLeast"/>
        <w:ind w:firstLine="442" w:firstLineChars="200"/>
        <w:rPr>
          <w:rFonts w:hAnsi="宋体"/>
          <w:b/>
          <w:color w:val="auto"/>
          <w:sz w:val="22"/>
          <w:szCs w:val="22"/>
          <w:highlight w:val="none"/>
        </w:rPr>
      </w:pPr>
      <w:r>
        <w:rPr>
          <w:rFonts w:hint="eastAsia" w:hAnsi="宋体"/>
          <w:b/>
          <w:color w:val="auto"/>
          <w:sz w:val="22"/>
          <w:szCs w:val="22"/>
          <w:highlight w:val="none"/>
        </w:rPr>
        <w:t>2）除2.4条款以外，出现其它明显不符合采购要求的磋商响应文件；</w:t>
      </w:r>
    </w:p>
    <w:p w14:paraId="27CA27A0">
      <w:pPr>
        <w:pStyle w:val="34"/>
        <w:adjustRightInd w:val="0"/>
        <w:snapToGrid w:val="0"/>
        <w:spacing w:line="460" w:lineRule="atLeast"/>
        <w:ind w:firstLine="442" w:firstLineChars="200"/>
        <w:rPr>
          <w:rFonts w:hAnsi="宋体"/>
          <w:color w:val="auto"/>
          <w:sz w:val="22"/>
          <w:szCs w:val="22"/>
          <w:highlight w:val="none"/>
        </w:rPr>
      </w:pPr>
      <w:r>
        <w:rPr>
          <w:rFonts w:hint="eastAsia" w:hAnsi="宋体"/>
          <w:b/>
          <w:color w:val="auto"/>
          <w:sz w:val="22"/>
          <w:szCs w:val="22"/>
          <w:highlight w:val="none"/>
        </w:rPr>
        <w:t>3）除2.4条款以外，出现其它不符合磋商文件中规定的实质性要求的磋商响应文件，是否为偏离实质性要求由磋商小组认定。</w:t>
      </w:r>
    </w:p>
    <w:p w14:paraId="172770CD">
      <w:pPr>
        <w:pStyle w:val="34"/>
        <w:adjustRightInd w:val="0"/>
        <w:snapToGrid w:val="0"/>
        <w:spacing w:line="460" w:lineRule="atLeast"/>
        <w:ind w:firstLine="440" w:firstLineChars="200"/>
        <w:rPr>
          <w:rFonts w:hAnsi="宋体"/>
          <w:color w:val="auto"/>
          <w:sz w:val="22"/>
          <w:szCs w:val="22"/>
          <w:highlight w:val="none"/>
        </w:rPr>
      </w:pPr>
      <w:r>
        <w:rPr>
          <w:rFonts w:hint="eastAsia" w:hAnsi="宋体"/>
          <w:color w:val="auto"/>
          <w:sz w:val="22"/>
          <w:szCs w:val="22"/>
          <w:highlight w:val="none"/>
        </w:rPr>
        <w:t>2.6、▲</w:t>
      </w:r>
      <w:r>
        <w:rPr>
          <w:rFonts w:hint="eastAsia" w:hAnsi="宋体"/>
          <w:b/>
          <w:color w:val="auto"/>
          <w:sz w:val="22"/>
          <w:szCs w:val="22"/>
          <w:highlight w:val="none"/>
        </w:rPr>
        <w:t>磋商小组认为供应商的最终报价明显低于其他有效供应商的最终报价，有可能影响采购质量或者不能诚信履约的，应当要求其在合理的时间内提供书面说明，必要时提交相关证明材料；供应商不能证明其报价合理性的，磋商小组应当将其作为无效投标处理</w:t>
      </w:r>
      <w:r>
        <w:rPr>
          <w:rFonts w:hint="eastAsia" w:hAnsi="宋体"/>
          <w:color w:val="auto"/>
          <w:sz w:val="22"/>
          <w:szCs w:val="22"/>
          <w:highlight w:val="none"/>
        </w:rPr>
        <w:t>。</w:t>
      </w:r>
    </w:p>
    <w:p w14:paraId="4A87FAB6">
      <w:pPr>
        <w:pStyle w:val="34"/>
        <w:adjustRightInd w:val="0"/>
        <w:snapToGrid w:val="0"/>
        <w:spacing w:line="460" w:lineRule="atLeast"/>
        <w:ind w:firstLine="440" w:firstLineChars="200"/>
        <w:rPr>
          <w:rFonts w:hAnsi="宋体"/>
          <w:color w:val="auto"/>
          <w:sz w:val="22"/>
          <w:szCs w:val="22"/>
          <w:highlight w:val="none"/>
        </w:rPr>
      </w:pPr>
      <w:r>
        <w:rPr>
          <w:rFonts w:hint="eastAsia" w:hAnsi="宋体"/>
          <w:color w:val="auto"/>
          <w:sz w:val="22"/>
          <w:szCs w:val="22"/>
          <w:highlight w:val="none"/>
        </w:rPr>
        <w:t>2.7、磋商小组在评标中，不得改变磋商文件中规定的评标标准、方法和中标条件。</w:t>
      </w:r>
    </w:p>
    <w:p w14:paraId="06F6ECD1">
      <w:pPr>
        <w:pStyle w:val="34"/>
        <w:adjustRightInd w:val="0"/>
        <w:snapToGrid w:val="0"/>
        <w:spacing w:line="460" w:lineRule="atLeast"/>
        <w:ind w:firstLine="440" w:firstLineChars="200"/>
        <w:rPr>
          <w:rFonts w:hAnsi="宋体"/>
          <w:color w:val="auto"/>
          <w:sz w:val="22"/>
          <w:szCs w:val="22"/>
          <w:highlight w:val="none"/>
        </w:rPr>
      </w:pPr>
      <w:r>
        <w:rPr>
          <w:rFonts w:hint="eastAsia" w:hAnsi="宋体"/>
          <w:color w:val="auto"/>
          <w:sz w:val="22"/>
          <w:szCs w:val="22"/>
          <w:highlight w:val="none"/>
        </w:rPr>
        <w:t>2.8、评标时如遇到磋商文件未规定的特殊情况，由磋商小组按少数服从多数原则集体决定处理。</w:t>
      </w:r>
    </w:p>
    <w:p w14:paraId="0C9233A1">
      <w:pPr>
        <w:pStyle w:val="34"/>
        <w:adjustRightInd w:val="0"/>
        <w:snapToGrid w:val="0"/>
        <w:spacing w:line="460" w:lineRule="atLeast"/>
        <w:ind w:firstLine="440" w:firstLineChars="200"/>
        <w:rPr>
          <w:rFonts w:hAnsi="宋体" w:cs="Arial"/>
          <w:color w:val="auto"/>
          <w:sz w:val="22"/>
          <w:szCs w:val="22"/>
          <w:highlight w:val="none"/>
        </w:rPr>
      </w:pPr>
      <w:r>
        <w:rPr>
          <w:rFonts w:hint="eastAsia" w:hAnsi="宋体"/>
          <w:color w:val="auto"/>
          <w:sz w:val="22"/>
          <w:szCs w:val="22"/>
          <w:highlight w:val="none"/>
        </w:rPr>
        <w:t>2.9、磋商小组对未中标的供应商不作解释。</w:t>
      </w:r>
    </w:p>
    <w:p w14:paraId="4DD6A631">
      <w:pPr>
        <w:pStyle w:val="34"/>
        <w:adjustRightInd w:val="0"/>
        <w:snapToGrid w:val="0"/>
        <w:spacing w:line="460" w:lineRule="atLeast"/>
        <w:ind w:firstLine="450"/>
        <w:rPr>
          <w:rFonts w:hAnsi="宋体" w:cs="Arial"/>
          <w:color w:val="auto"/>
          <w:sz w:val="22"/>
          <w:szCs w:val="22"/>
          <w:highlight w:val="none"/>
        </w:rPr>
      </w:pPr>
      <w:r>
        <w:rPr>
          <w:rFonts w:hint="eastAsia" w:hAnsi="宋体" w:cs="Arial"/>
          <w:color w:val="auto"/>
          <w:sz w:val="22"/>
          <w:szCs w:val="22"/>
          <w:highlight w:val="none"/>
        </w:rPr>
        <w:t>3、磋商响应文件的澄清</w:t>
      </w:r>
    </w:p>
    <w:p w14:paraId="5710B815">
      <w:pPr>
        <w:adjustRightInd w:val="0"/>
        <w:snapToGrid w:val="0"/>
        <w:spacing w:line="46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3.1、为有利于对磋商响应文件的比较和评议，必要时磋商小组可要求投标供应商对磋商响应文件相关事宜进行澄清。磋商小组将通过“政府采购云平台”在线询标的形式要求</w:t>
      </w:r>
      <w:r>
        <w:rPr>
          <w:rFonts w:ascii="宋体" w:hAnsi="宋体"/>
          <w:color w:val="auto"/>
          <w:sz w:val="22"/>
          <w:szCs w:val="22"/>
          <w:highlight w:val="none"/>
        </w:rPr>
        <w:t>投标供应商</w:t>
      </w:r>
      <w:r>
        <w:rPr>
          <w:rFonts w:hint="eastAsia" w:ascii="宋体" w:hAnsi="宋体"/>
          <w:color w:val="auto"/>
          <w:sz w:val="22"/>
          <w:szCs w:val="22"/>
          <w:highlight w:val="none"/>
        </w:rPr>
        <w:t>在规定的时间内作出必要的澄清、说明，供投标供应商澄清、说明时间不少于30分钟。</w:t>
      </w:r>
    </w:p>
    <w:p w14:paraId="2056D000">
      <w:pPr>
        <w:adjustRightInd w:val="0"/>
        <w:snapToGrid w:val="0"/>
        <w:spacing w:line="460" w:lineRule="atLeast"/>
        <w:ind w:firstLine="440" w:firstLineChars="200"/>
        <w:rPr>
          <w:rFonts w:ascii="宋体" w:hAnsi="宋体" w:cs="Arial"/>
          <w:color w:val="auto"/>
          <w:sz w:val="22"/>
          <w:szCs w:val="22"/>
          <w:highlight w:val="none"/>
        </w:rPr>
      </w:pPr>
      <w:r>
        <w:rPr>
          <w:rFonts w:hint="eastAsia" w:ascii="宋体" w:hAnsi="宋体"/>
          <w:color w:val="auto"/>
          <w:sz w:val="22"/>
          <w:szCs w:val="22"/>
          <w:highlight w:val="none"/>
        </w:rPr>
        <w:t>3.2、</w:t>
      </w:r>
      <w:r>
        <w:rPr>
          <w:rFonts w:ascii="宋体" w:hAnsi="宋体"/>
          <w:color w:val="auto"/>
          <w:sz w:val="22"/>
          <w:szCs w:val="22"/>
          <w:highlight w:val="none"/>
        </w:rPr>
        <w:t>投标供应商</w:t>
      </w:r>
      <w:r>
        <w:rPr>
          <w:rFonts w:hint="eastAsia" w:ascii="宋体" w:hAnsi="宋体"/>
          <w:color w:val="auto"/>
          <w:sz w:val="22"/>
          <w:szCs w:val="22"/>
          <w:highlight w:val="none"/>
        </w:rPr>
        <w:t>的澄清、说明应当通过“政府采购云平台”在线答复形式提交。</w:t>
      </w:r>
      <w:r>
        <w:rPr>
          <w:rFonts w:ascii="宋体" w:hAnsi="宋体"/>
          <w:color w:val="auto"/>
          <w:sz w:val="22"/>
          <w:szCs w:val="22"/>
          <w:highlight w:val="none"/>
        </w:rPr>
        <w:t>投标供应商</w:t>
      </w:r>
      <w:r>
        <w:rPr>
          <w:rFonts w:hint="eastAsia" w:ascii="宋体" w:hAnsi="宋体"/>
          <w:color w:val="auto"/>
          <w:sz w:val="22"/>
          <w:szCs w:val="22"/>
          <w:highlight w:val="none"/>
        </w:rPr>
        <w:t>的澄清、说明不得超出磋商响应文件的范围或者改变磋商响应文件的实质性内容。</w:t>
      </w:r>
    </w:p>
    <w:p w14:paraId="157A1441">
      <w:pPr>
        <w:pStyle w:val="34"/>
        <w:adjustRightInd w:val="0"/>
        <w:snapToGrid w:val="0"/>
        <w:spacing w:line="440" w:lineRule="atLeast"/>
        <w:ind w:firstLine="440" w:firstLineChars="200"/>
        <w:rPr>
          <w:rFonts w:hAnsi="宋体"/>
          <w:color w:val="auto"/>
          <w:sz w:val="22"/>
          <w:szCs w:val="22"/>
          <w:highlight w:val="none"/>
        </w:rPr>
      </w:pPr>
      <w:r>
        <w:rPr>
          <w:rFonts w:hint="eastAsia" w:hAnsi="宋体"/>
          <w:color w:val="auto"/>
          <w:sz w:val="22"/>
          <w:szCs w:val="22"/>
          <w:highlight w:val="none"/>
        </w:rPr>
        <w:t>4、响应</w:t>
      </w:r>
      <w:r>
        <w:rPr>
          <w:rFonts w:hAnsi="宋体"/>
          <w:color w:val="auto"/>
          <w:sz w:val="22"/>
          <w:szCs w:val="22"/>
          <w:highlight w:val="none"/>
        </w:rPr>
        <w:t>文件递交截止时或评审过程中有效投标供应商不足三家的，不予开标或评标</w:t>
      </w:r>
      <w:r>
        <w:rPr>
          <w:rFonts w:hint="eastAsia" w:hAnsi="宋体"/>
          <w:color w:val="auto"/>
          <w:sz w:val="22"/>
          <w:szCs w:val="22"/>
          <w:highlight w:val="none"/>
        </w:rPr>
        <w:t>，符合《财政部关于政府采购竞争性磋商采购方式管理暂行办法有关问题的补充通知》（财库【2015】124号文件）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30FB3CF">
      <w:pPr>
        <w:snapToGrid w:val="0"/>
        <w:spacing w:line="460" w:lineRule="atLeast"/>
        <w:rPr>
          <w:rFonts w:ascii="宋体" w:hAnsi="宋体"/>
          <w:color w:val="auto"/>
          <w:sz w:val="22"/>
          <w:szCs w:val="22"/>
          <w:highlight w:val="none"/>
        </w:rPr>
      </w:pPr>
      <w:r>
        <w:rPr>
          <w:rFonts w:hint="eastAsia" w:ascii="宋体" w:hAnsi="宋体"/>
          <w:color w:val="auto"/>
          <w:sz w:val="22"/>
          <w:szCs w:val="22"/>
          <w:highlight w:val="none"/>
        </w:rPr>
        <w:t xml:space="preserve">    5、评审原则</w:t>
      </w:r>
    </w:p>
    <w:p w14:paraId="498574A3">
      <w:pPr>
        <w:pStyle w:val="34"/>
        <w:adjustRightInd w:val="0"/>
        <w:snapToGrid w:val="0"/>
        <w:spacing w:line="460" w:lineRule="atLeast"/>
        <w:ind w:firstLine="450"/>
        <w:rPr>
          <w:rFonts w:hAnsi="宋体" w:cs="Arial"/>
          <w:color w:val="auto"/>
          <w:sz w:val="22"/>
          <w:szCs w:val="22"/>
          <w:highlight w:val="none"/>
        </w:rPr>
      </w:pPr>
      <w:r>
        <w:rPr>
          <w:rFonts w:hint="eastAsia" w:hAnsi="宋体"/>
          <w:color w:val="auto"/>
          <w:sz w:val="22"/>
          <w:szCs w:val="22"/>
          <w:highlight w:val="none"/>
        </w:rPr>
        <w:t>磋商小组按照竞争性磋商文件的要求和条件对磋商响应文件进行评估，综合比较与评价。</w:t>
      </w:r>
    </w:p>
    <w:p w14:paraId="37E779DB">
      <w:pPr>
        <w:pStyle w:val="34"/>
        <w:adjustRightInd w:val="0"/>
        <w:snapToGrid w:val="0"/>
        <w:spacing w:line="460" w:lineRule="atLeast"/>
        <w:ind w:firstLine="450"/>
        <w:rPr>
          <w:rFonts w:hAnsi="宋体"/>
          <w:color w:val="auto"/>
          <w:sz w:val="22"/>
          <w:szCs w:val="22"/>
          <w:highlight w:val="none"/>
        </w:rPr>
      </w:pPr>
      <w:r>
        <w:rPr>
          <w:rFonts w:hint="eastAsia" w:hAnsi="宋体"/>
          <w:color w:val="auto"/>
          <w:sz w:val="22"/>
          <w:szCs w:val="22"/>
          <w:highlight w:val="none"/>
        </w:rPr>
        <w:t>5.1、磋商小组负责审查磋商响应文件是否符合竞争性磋商文件的要求，并作出评价。磋商小组认为必要时，可向供应商进行询标澄清。</w:t>
      </w:r>
    </w:p>
    <w:p w14:paraId="4521C389">
      <w:pPr>
        <w:pStyle w:val="34"/>
        <w:adjustRightInd w:val="0"/>
        <w:snapToGrid w:val="0"/>
        <w:spacing w:line="460" w:lineRule="atLeast"/>
        <w:ind w:firstLine="450"/>
        <w:rPr>
          <w:rFonts w:hAnsi="宋体"/>
          <w:color w:val="auto"/>
          <w:sz w:val="22"/>
          <w:szCs w:val="22"/>
          <w:highlight w:val="none"/>
        </w:rPr>
      </w:pPr>
      <w:r>
        <w:rPr>
          <w:rFonts w:hint="eastAsia" w:hAnsi="宋体"/>
          <w:color w:val="auto"/>
          <w:sz w:val="22"/>
          <w:szCs w:val="22"/>
          <w:highlight w:val="none"/>
        </w:rPr>
        <w:t xml:space="preserve">5.2、磋商小组将综合分析合格供应商的各项指标，而不是以单项指标的优劣评选出成交的供应商。   </w:t>
      </w:r>
    </w:p>
    <w:p w14:paraId="2E9EF6D6">
      <w:pPr>
        <w:pStyle w:val="34"/>
        <w:adjustRightInd w:val="0"/>
        <w:snapToGrid w:val="0"/>
        <w:spacing w:line="460" w:lineRule="atLeast"/>
        <w:ind w:firstLine="450"/>
        <w:rPr>
          <w:rFonts w:hAnsi="宋体"/>
          <w:color w:val="auto"/>
          <w:sz w:val="22"/>
          <w:szCs w:val="22"/>
          <w:highlight w:val="none"/>
        </w:rPr>
      </w:pPr>
      <w:r>
        <w:rPr>
          <w:rFonts w:hint="eastAsia" w:hAnsi="宋体"/>
          <w:color w:val="auto"/>
          <w:sz w:val="22"/>
          <w:szCs w:val="22"/>
          <w:highlight w:val="none"/>
        </w:rPr>
        <w:t>5.3、磋商小组对合格供应商的磋商响应文件和最终报价进行综合评定。如竞争性磋商文件所列采购内容明确不需要修改的或供应商磋商响应文件清楚明确不需要澄清的，可以不进行磋商环节，直接要求供应商进行最终报价，进行综合评分。在竞争性磋商文件未做任何调整的情况下，参与磋商的供应商如有出现最终磋商报价超过其磋商响应文件中报价的，则该供应商的报价按无效处理。</w:t>
      </w:r>
    </w:p>
    <w:p w14:paraId="5A94B1E3">
      <w:pPr>
        <w:snapToGrid w:val="0"/>
        <w:spacing w:line="460" w:lineRule="atLeast"/>
        <w:ind w:firstLine="431" w:firstLineChars="196"/>
        <w:rPr>
          <w:rFonts w:ascii="宋体" w:hAnsi="宋体" w:cs="Arial"/>
          <w:color w:val="auto"/>
          <w:sz w:val="22"/>
          <w:szCs w:val="22"/>
          <w:highlight w:val="none"/>
        </w:rPr>
      </w:pPr>
      <w:r>
        <w:rPr>
          <w:rFonts w:hint="eastAsia" w:ascii="宋体" w:hAnsi="宋体"/>
          <w:color w:val="auto"/>
          <w:sz w:val="22"/>
          <w:szCs w:val="22"/>
          <w:highlight w:val="none"/>
        </w:rPr>
        <w:t>5.4、本次评审采用综合评分法，磋商小组根据竞争性磋商文件制定的评审办法对供应商进行评审排序，将综合得分第一的供应商向采购人推荐其为成交供应商。</w:t>
      </w:r>
    </w:p>
    <w:p w14:paraId="1262A448">
      <w:pPr>
        <w:snapToGrid w:val="0"/>
        <w:spacing w:line="460" w:lineRule="atLeast"/>
        <w:ind w:firstLine="431" w:firstLineChars="196"/>
        <w:rPr>
          <w:rFonts w:ascii="宋体" w:hAnsi="宋体" w:cs="Arial"/>
          <w:color w:val="auto"/>
          <w:sz w:val="22"/>
          <w:szCs w:val="22"/>
          <w:highlight w:val="none"/>
        </w:rPr>
      </w:pPr>
      <w:r>
        <w:rPr>
          <w:rFonts w:hint="eastAsia" w:ascii="宋体" w:hAnsi="宋体" w:cs="Arial"/>
          <w:color w:val="auto"/>
          <w:sz w:val="22"/>
          <w:szCs w:val="22"/>
          <w:highlight w:val="none"/>
        </w:rPr>
        <w:t>6、有下列情形之一的，视为供应商相互串通投标：</w:t>
      </w:r>
    </w:p>
    <w:p w14:paraId="74CB8B1B">
      <w:pPr>
        <w:snapToGrid w:val="0"/>
        <w:spacing w:line="460" w:lineRule="atLeast"/>
        <w:ind w:firstLine="431" w:firstLineChars="196"/>
        <w:rPr>
          <w:rFonts w:ascii="宋体" w:hAnsi="宋体" w:cs="Arial"/>
          <w:color w:val="auto"/>
          <w:sz w:val="22"/>
          <w:szCs w:val="22"/>
          <w:highlight w:val="none"/>
        </w:rPr>
      </w:pPr>
      <w:r>
        <w:rPr>
          <w:rFonts w:hint="eastAsia" w:ascii="宋体" w:hAnsi="宋体" w:cs="Arial"/>
          <w:color w:val="auto"/>
          <w:sz w:val="22"/>
          <w:szCs w:val="22"/>
          <w:highlight w:val="none"/>
        </w:rPr>
        <w:t>6.1、不同供应商的磋商响应文件由同一单位或者个人编制；</w:t>
      </w:r>
    </w:p>
    <w:p w14:paraId="79EC6133">
      <w:pPr>
        <w:snapToGrid w:val="0"/>
        <w:spacing w:line="460" w:lineRule="atLeast"/>
        <w:ind w:firstLine="431" w:firstLineChars="196"/>
        <w:rPr>
          <w:rFonts w:ascii="宋体" w:hAnsi="宋体" w:cs="Arial"/>
          <w:color w:val="auto"/>
          <w:sz w:val="22"/>
          <w:szCs w:val="22"/>
          <w:highlight w:val="none"/>
        </w:rPr>
      </w:pPr>
      <w:r>
        <w:rPr>
          <w:rFonts w:hint="eastAsia" w:ascii="宋体" w:hAnsi="宋体" w:cs="Arial"/>
          <w:color w:val="auto"/>
          <w:sz w:val="22"/>
          <w:szCs w:val="22"/>
          <w:highlight w:val="none"/>
        </w:rPr>
        <w:t>6.2、不同供应商委托同一单位或者个人办理投标事宜；</w:t>
      </w:r>
    </w:p>
    <w:p w14:paraId="08256C0C">
      <w:pPr>
        <w:snapToGrid w:val="0"/>
        <w:spacing w:line="460" w:lineRule="atLeast"/>
        <w:ind w:firstLine="431" w:firstLineChars="196"/>
        <w:rPr>
          <w:rFonts w:ascii="宋体" w:hAnsi="宋体" w:cs="Arial"/>
          <w:color w:val="auto"/>
          <w:sz w:val="22"/>
          <w:szCs w:val="22"/>
          <w:highlight w:val="none"/>
        </w:rPr>
      </w:pPr>
      <w:r>
        <w:rPr>
          <w:rFonts w:hint="eastAsia" w:ascii="宋体" w:hAnsi="宋体" w:cs="Arial"/>
          <w:color w:val="auto"/>
          <w:sz w:val="22"/>
          <w:szCs w:val="22"/>
          <w:highlight w:val="none"/>
        </w:rPr>
        <w:t>6.3、不同供应商的磋商响应文件载明的项目管理成员为同一人；</w:t>
      </w:r>
    </w:p>
    <w:p w14:paraId="5AB18994">
      <w:pPr>
        <w:snapToGrid w:val="0"/>
        <w:spacing w:line="460" w:lineRule="atLeast"/>
        <w:ind w:firstLine="431" w:firstLineChars="196"/>
        <w:rPr>
          <w:rFonts w:ascii="宋体" w:hAnsi="宋体" w:cs="Arial"/>
          <w:color w:val="auto"/>
          <w:sz w:val="22"/>
          <w:szCs w:val="22"/>
          <w:highlight w:val="none"/>
        </w:rPr>
      </w:pPr>
      <w:r>
        <w:rPr>
          <w:rFonts w:hint="eastAsia" w:ascii="宋体" w:hAnsi="宋体" w:cs="Arial"/>
          <w:color w:val="auto"/>
          <w:sz w:val="22"/>
          <w:szCs w:val="22"/>
          <w:highlight w:val="none"/>
        </w:rPr>
        <w:t>6.4、不同供应商的磋商响应文件异常一致或者投标报价呈规律性差异；</w:t>
      </w:r>
    </w:p>
    <w:p w14:paraId="2FA76296">
      <w:pPr>
        <w:snapToGrid w:val="0"/>
        <w:spacing w:line="460" w:lineRule="atLeast"/>
        <w:ind w:firstLine="431" w:firstLineChars="196"/>
        <w:rPr>
          <w:rFonts w:ascii="宋体" w:hAnsi="宋体" w:cs="Arial"/>
          <w:color w:val="auto"/>
          <w:sz w:val="22"/>
          <w:szCs w:val="22"/>
          <w:highlight w:val="none"/>
        </w:rPr>
      </w:pPr>
      <w:r>
        <w:rPr>
          <w:rFonts w:hint="eastAsia" w:ascii="宋体" w:hAnsi="宋体" w:cs="Arial"/>
          <w:color w:val="auto"/>
          <w:sz w:val="22"/>
          <w:szCs w:val="22"/>
          <w:highlight w:val="none"/>
        </w:rPr>
        <w:t>6.5、不同供应商的磋商响应文件相互混装；</w:t>
      </w:r>
    </w:p>
    <w:p w14:paraId="6BCB5B4B">
      <w:pPr>
        <w:snapToGrid w:val="0"/>
        <w:spacing w:line="460" w:lineRule="atLeast"/>
        <w:ind w:firstLine="431" w:firstLineChars="196"/>
        <w:rPr>
          <w:rFonts w:ascii="宋体" w:hAnsi="宋体" w:cs="Arial"/>
          <w:color w:val="auto"/>
          <w:sz w:val="22"/>
          <w:szCs w:val="22"/>
          <w:highlight w:val="none"/>
        </w:rPr>
      </w:pPr>
      <w:r>
        <w:rPr>
          <w:rFonts w:hint="eastAsia" w:ascii="宋体" w:hAnsi="宋体" w:cs="Arial"/>
          <w:color w:val="auto"/>
          <w:sz w:val="22"/>
          <w:szCs w:val="22"/>
          <w:highlight w:val="none"/>
        </w:rPr>
        <w:t>7、经磋商小组认定供应商进行串通投标的，磋商小组可以对相关供应商做出无效投标处理，并上报政府采购管理部门进行进一步处理。</w:t>
      </w:r>
    </w:p>
    <w:p w14:paraId="6FC7F49A">
      <w:pPr>
        <w:snapToGrid w:val="0"/>
        <w:spacing w:line="460" w:lineRule="atLeast"/>
        <w:ind w:firstLine="433" w:firstLineChars="196"/>
        <w:rPr>
          <w:rFonts w:ascii="宋体" w:hAnsi="宋体" w:cs="Arial"/>
          <w:b/>
          <w:color w:val="auto"/>
          <w:sz w:val="22"/>
          <w:szCs w:val="22"/>
          <w:highlight w:val="none"/>
        </w:rPr>
      </w:pPr>
      <w:r>
        <w:rPr>
          <w:rFonts w:ascii="宋体" w:hAnsi="宋体" w:cs="Arial"/>
          <w:b/>
          <w:color w:val="auto"/>
          <w:sz w:val="22"/>
          <w:szCs w:val="22"/>
          <w:highlight w:val="none"/>
        </w:rPr>
        <w:t>8、可中止电子交易活动的情形</w:t>
      </w:r>
    </w:p>
    <w:p w14:paraId="2E4E79BE">
      <w:pPr>
        <w:snapToGrid w:val="0"/>
        <w:spacing w:line="460" w:lineRule="atLeast"/>
        <w:ind w:firstLine="433" w:firstLineChars="196"/>
        <w:rPr>
          <w:rFonts w:ascii="宋体" w:hAnsi="宋体" w:cs="Arial"/>
          <w:b/>
          <w:color w:val="auto"/>
          <w:sz w:val="22"/>
          <w:szCs w:val="22"/>
          <w:highlight w:val="none"/>
        </w:rPr>
      </w:pPr>
      <w:r>
        <w:rPr>
          <w:rFonts w:ascii="宋体" w:hAnsi="宋体" w:cs="Arial"/>
          <w:b/>
          <w:color w:val="auto"/>
          <w:sz w:val="22"/>
          <w:szCs w:val="22"/>
          <w:highlight w:val="none"/>
        </w:rPr>
        <w:t>采购过程中出现以下情形，导致电子交易平台无法正常运行，或者无法保证电子交易的公平、公正和安全时，采购组织机构可中止电子交易活动：</w:t>
      </w:r>
    </w:p>
    <w:p w14:paraId="6F839A02">
      <w:pPr>
        <w:snapToGrid w:val="0"/>
        <w:spacing w:line="460" w:lineRule="atLeast"/>
        <w:ind w:firstLine="433" w:firstLineChars="196"/>
        <w:rPr>
          <w:rFonts w:ascii="宋体" w:hAnsi="宋体" w:cs="Arial"/>
          <w:b/>
          <w:color w:val="auto"/>
          <w:sz w:val="22"/>
          <w:szCs w:val="22"/>
          <w:highlight w:val="none"/>
        </w:rPr>
      </w:pPr>
      <w:r>
        <w:rPr>
          <w:rFonts w:ascii="宋体" w:hAnsi="宋体" w:cs="Arial"/>
          <w:b/>
          <w:color w:val="auto"/>
          <w:sz w:val="22"/>
          <w:szCs w:val="22"/>
          <w:highlight w:val="none"/>
        </w:rPr>
        <w:t>1）电子交易平台发生故障而无法登录访问的；</w:t>
      </w:r>
    </w:p>
    <w:p w14:paraId="7379B7CD">
      <w:pPr>
        <w:snapToGrid w:val="0"/>
        <w:spacing w:line="460" w:lineRule="atLeast"/>
        <w:ind w:firstLine="433" w:firstLineChars="196"/>
        <w:rPr>
          <w:rFonts w:ascii="宋体" w:hAnsi="宋体" w:cs="Arial"/>
          <w:b/>
          <w:color w:val="auto"/>
          <w:sz w:val="22"/>
          <w:szCs w:val="22"/>
          <w:highlight w:val="none"/>
        </w:rPr>
      </w:pPr>
      <w:r>
        <w:rPr>
          <w:rFonts w:ascii="宋体" w:hAnsi="宋体" w:cs="Arial"/>
          <w:b/>
          <w:color w:val="auto"/>
          <w:sz w:val="22"/>
          <w:szCs w:val="22"/>
          <w:highlight w:val="none"/>
        </w:rPr>
        <w:t>2）电子交易平台应用或数据库出现错误，不能进行正常操作的；</w:t>
      </w:r>
    </w:p>
    <w:p w14:paraId="20079453">
      <w:pPr>
        <w:snapToGrid w:val="0"/>
        <w:spacing w:line="460" w:lineRule="atLeast"/>
        <w:ind w:firstLine="433" w:firstLineChars="196"/>
        <w:rPr>
          <w:rFonts w:ascii="宋体" w:hAnsi="宋体" w:cs="Arial"/>
          <w:b/>
          <w:color w:val="auto"/>
          <w:sz w:val="22"/>
          <w:szCs w:val="22"/>
          <w:highlight w:val="none"/>
        </w:rPr>
      </w:pPr>
      <w:r>
        <w:rPr>
          <w:rFonts w:ascii="宋体" w:hAnsi="宋体" w:cs="Arial"/>
          <w:b/>
          <w:color w:val="auto"/>
          <w:sz w:val="22"/>
          <w:szCs w:val="22"/>
          <w:highlight w:val="none"/>
        </w:rPr>
        <w:t>3）电子交易平台发现严重安全漏洞，有潜在泄密危险的；</w:t>
      </w:r>
    </w:p>
    <w:p w14:paraId="6D12DE85">
      <w:pPr>
        <w:snapToGrid w:val="0"/>
        <w:spacing w:line="460" w:lineRule="atLeast"/>
        <w:ind w:firstLine="433" w:firstLineChars="196"/>
        <w:rPr>
          <w:rFonts w:ascii="宋体" w:hAnsi="宋体" w:cs="Arial"/>
          <w:b/>
          <w:color w:val="auto"/>
          <w:sz w:val="22"/>
          <w:szCs w:val="22"/>
          <w:highlight w:val="none"/>
        </w:rPr>
      </w:pPr>
      <w:r>
        <w:rPr>
          <w:rFonts w:ascii="宋体" w:hAnsi="宋体" w:cs="Arial"/>
          <w:b/>
          <w:color w:val="auto"/>
          <w:sz w:val="22"/>
          <w:szCs w:val="22"/>
          <w:highlight w:val="none"/>
        </w:rPr>
        <w:t>4）病毒发作导致不能进行正常操作的；</w:t>
      </w:r>
    </w:p>
    <w:p w14:paraId="1AC67F62">
      <w:pPr>
        <w:snapToGrid w:val="0"/>
        <w:spacing w:line="460" w:lineRule="atLeast"/>
        <w:ind w:firstLine="433" w:firstLineChars="196"/>
        <w:rPr>
          <w:rFonts w:ascii="宋体" w:hAnsi="宋体" w:cs="Arial"/>
          <w:b/>
          <w:color w:val="auto"/>
          <w:sz w:val="22"/>
          <w:szCs w:val="22"/>
          <w:highlight w:val="none"/>
        </w:rPr>
      </w:pPr>
      <w:r>
        <w:rPr>
          <w:rFonts w:ascii="宋体" w:hAnsi="宋体" w:cs="Arial"/>
          <w:b/>
          <w:color w:val="auto"/>
          <w:sz w:val="22"/>
          <w:szCs w:val="22"/>
          <w:highlight w:val="none"/>
        </w:rPr>
        <w:t>5）其他无法保证电子交易的公平、公正和安全的情况。</w:t>
      </w:r>
    </w:p>
    <w:p w14:paraId="10B9688C">
      <w:pPr>
        <w:snapToGrid w:val="0"/>
        <w:spacing w:line="460" w:lineRule="atLeast"/>
        <w:ind w:firstLine="433" w:firstLineChars="196"/>
        <w:rPr>
          <w:rFonts w:ascii="宋体" w:hAnsi="宋体" w:cs="Arial"/>
          <w:b/>
          <w:color w:val="auto"/>
          <w:sz w:val="22"/>
          <w:szCs w:val="22"/>
          <w:highlight w:val="none"/>
        </w:rPr>
      </w:pPr>
      <w:r>
        <w:rPr>
          <w:rFonts w:ascii="宋体" w:hAnsi="宋体" w:cs="Arial"/>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732AFAD2">
      <w:pPr>
        <w:pStyle w:val="5"/>
        <w:spacing w:line="440" w:lineRule="atLeast"/>
        <w:jc w:val="left"/>
        <w:rPr>
          <w:rFonts w:ascii="宋体" w:hAnsi="宋体"/>
          <w:b/>
          <w:bCs/>
          <w:color w:val="auto"/>
          <w:sz w:val="22"/>
          <w:szCs w:val="22"/>
          <w:highlight w:val="none"/>
        </w:rPr>
      </w:pPr>
      <w:bookmarkStart w:id="42" w:name="_Toc32500"/>
      <w:r>
        <w:rPr>
          <w:rFonts w:hint="eastAsia" w:ascii="宋体" w:hAnsi="宋体"/>
          <w:b/>
          <w:bCs/>
          <w:color w:val="auto"/>
          <w:sz w:val="22"/>
          <w:szCs w:val="22"/>
          <w:highlight w:val="none"/>
        </w:rPr>
        <w:t>六、授予合同</w:t>
      </w:r>
      <w:bookmarkEnd w:id="42"/>
    </w:p>
    <w:p w14:paraId="2FEB5ACA">
      <w:pPr>
        <w:pStyle w:val="34"/>
        <w:adjustRightInd w:val="0"/>
        <w:snapToGrid w:val="0"/>
        <w:spacing w:line="440" w:lineRule="atLeast"/>
        <w:ind w:firstLine="440" w:firstLineChars="200"/>
        <w:rPr>
          <w:rFonts w:hAnsi="宋体"/>
          <w:color w:val="auto"/>
          <w:sz w:val="22"/>
          <w:szCs w:val="22"/>
          <w:highlight w:val="none"/>
        </w:rPr>
      </w:pPr>
      <w:r>
        <w:rPr>
          <w:rFonts w:hint="eastAsia" w:hAnsi="宋体"/>
          <w:color w:val="auto"/>
          <w:sz w:val="22"/>
          <w:szCs w:val="22"/>
          <w:highlight w:val="none"/>
        </w:rPr>
        <w:t>1、决标</w:t>
      </w:r>
    </w:p>
    <w:p w14:paraId="0B74F05B">
      <w:pPr>
        <w:pStyle w:val="34"/>
        <w:adjustRightInd w:val="0"/>
        <w:snapToGrid w:val="0"/>
        <w:spacing w:line="440" w:lineRule="atLeast"/>
        <w:rPr>
          <w:rFonts w:hAnsi="宋体"/>
          <w:b/>
          <w:color w:val="auto"/>
          <w:sz w:val="22"/>
          <w:szCs w:val="22"/>
          <w:highlight w:val="none"/>
        </w:rPr>
      </w:pPr>
      <w:r>
        <w:rPr>
          <w:rFonts w:hint="eastAsia" w:hAnsi="宋体"/>
          <w:color w:val="auto"/>
          <w:sz w:val="22"/>
          <w:szCs w:val="22"/>
          <w:highlight w:val="none"/>
        </w:rPr>
        <w:t xml:space="preserve">    磋商结束后，磋商小组按照竞争性磋商文件确定的评审办法，确定成交供应商。</w:t>
      </w:r>
    </w:p>
    <w:p w14:paraId="2D373537">
      <w:pPr>
        <w:pStyle w:val="34"/>
        <w:adjustRightInd w:val="0"/>
        <w:snapToGrid w:val="0"/>
        <w:spacing w:line="440" w:lineRule="atLeast"/>
        <w:rPr>
          <w:rFonts w:hAnsi="宋体"/>
          <w:color w:val="auto"/>
          <w:sz w:val="22"/>
          <w:szCs w:val="22"/>
          <w:highlight w:val="none"/>
        </w:rPr>
      </w:pPr>
      <w:r>
        <w:rPr>
          <w:rFonts w:hint="eastAsia" w:hAnsi="宋体"/>
          <w:color w:val="auto"/>
          <w:sz w:val="22"/>
          <w:szCs w:val="22"/>
          <w:highlight w:val="none"/>
        </w:rPr>
        <w:t xml:space="preserve">    2、成交通知书</w:t>
      </w:r>
    </w:p>
    <w:p w14:paraId="1207E5AB">
      <w:pPr>
        <w:pStyle w:val="2"/>
        <w:adjustRightInd w:val="0"/>
        <w:snapToGrid w:val="0"/>
        <w:spacing w:line="44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2.1、评审结束后，采购代理机构在浙江政府采购网公告采购结果，同时发出成交通知书，成交公告期限为1个工作日。</w:t>
      </w:r>
    </w:p>
    <w:p w14:paraId="2912E808">
      <w:pPr>
        <w:adjustRightInd w:val="0"/>
        <w:snapToGrid w:val="0"/>
        <w:spacing w:line="44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2.2、成交通知书对采购人和成交供应商具有法律约束力。成交通知书发出后，采购人改变成交结果或者成交供应商放弃成交资格的，应当承担法律责任。</w:t>
      </w:r>
    </w:p>
    <w:p w14:paraId="58CB0AA1">
      <w:pPr>
        <w:adjustRightInd w:val="0"/>
        <w:snapToGrid w:val="0"/>
        <w:spacing w:line="44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2.3、成交无效</w:t>
      </w:r>
    </w:p>
    <w:p w14:paraId="1A6FA01A">
      <w:pPr>
        <w:adjustRightInd w:val="0"/>
        <w:snapToGrid w:val="0"/>
        <w:spacing w:line="44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1）发现成交供应商资格无效或成交供应商放弃成交或拒绝与采购人签订合同的,按相关规定执行。</w:t>
      </w:r>
    </w:p>
    <w:p w14:paraId="751AFBC1">
      <w:pPr>
        <w:adjustRightInd w:val="0"/>
        <w:snapToGrid w:val="0"/>
        <w:spacing w:line="44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2）有《中华人民共和国政府采购法实施条例》第七十一条、第七十二条、第七十三条、第七十四条规定的违法行为之一，由政府采购监管部门依法处理。</w:t>
      </w:r>
    </w:p>
    <w:p w14:paraId="6336F88B">
      <w:pPr>
        <w:adjustRightInd w:val="0"/>
        <w:snapToGrid w:val="0"/>
        <w:spacing w:line="440" w:lineRule="atLeast"/>
        <w:rPr>
          <w:rFonts w:ascii="宋体" w:hAnsi="宋体"/>
          <w:color w:val="auto"/>
          <w:sz w:val="22"/>
          <w:szCs w:val="22"/>
          <w:highlight w:val="none"/>
        </w:rPr>
      </w:pPr>
      <w:r>
        <w:rPr>
          <w:rFonts w:hint="eastAsia" w:ascii="宋体" w:hAnsi="宋体"/>
          <w:color w:val="auto"/>
          <w:sz w:val="22"/>
          <w:szCs w:val="22"/>
          <w:highlight w:val="none"/>
        </w:rPr>
        <w:t xml:space="preserve">    3、磋商小组对未成交的供应商不作落标原因解释。</w:t>
      </w:r>
    </w:p>
    <w:p w14:paraId="7B20DEE7">
      <w:pPr>
        <w:pStyle w:val="34"/>
        <w:adjustRightInd w:val="0"/>
        <w:snapToGrid w:val="0"/>
        <w:spacing w:line="440" w:lineRule="atLeast"/>
        <w:rPr>
          <w:rFonts w:hAnsi="宋体"/>
          <w:color w:val="auto"/>
          <w:sz w:val="22"/>
          <w:szCs w:val="22"/>
          <w:highlight w:val="none"/>
        </w:rPr>
      </w:pPr>
      <w:r>
        <w:rPr>
          <w:rFonts w:hint="eastAsia" w:hAnsi="宋体"/>
          <w:color w:val="auto"/>
          <w:sz w:val="22"/>
          <w:szCs w:val="22"/>
          <w:highlight w:val="none"/>
        </w:rPr>
        <w:t xml:space="preserve">    4、签订合同</w:t>
      </w:r>
    </w:p>
    <w:p w14:paraId="3973B7F2">
      <w:pPr>
        <w:adjustRightInd w:val="0"/>
        <w:snapToGrid w:val="0"/>
        <w:spacing w:line="44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4.1、成交供应商须主动联系采购人或采购代理机构领取成交通知书。成交供应商应当在成交通知书发出之日起30日内与采购人签订合同。成交供应商未经采购人许可，在规定时间内未到采购人处与采购人签订合同，则视为拒签合同。</w:t>
      </w:r>
    </w:p>
    <w:p w14:paraId="39390659">
      <w:pPr>
        <w:adjustRightInd w:val="0"/>
        <w:snapToGrid w:val="0"/>
        <w:spacing w:line="44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4.2、磋商文件、成交供应商的磋商响应文件及投标修改文件、评标过程中有关澄清文件及经双方签字的询标纪要（承诺）和成交通知书均作为合同附件。</w:t>
      </w:r>
    </w:p>
    <w:p w14:paraId="3C2832A3">
      <w:pPr>
        <w:pStyle w:val="34"/>
        <w:adjustRightInd w:val="0"/>
        <w:snapToGrid w:val="0"/>
        <w:spacing w:line="440" w:lineRule="atLeast"/>
        <w:rPr>
          <w:rFonts w:hAnsi="宋体"/>
          <w:color w:val="auto"/>
          <w:sz w:val="22"/>
          <w:szCs w:val="22"/>
          <w:highlight w:val="none"/>
        </w:rPr>
      </w:pPr>
      <w:r>
        <w:rPr>
          <w:rFonts w:hint="eastAsia" w:hAnsi="宋体"/>
          <w:color w:val="auto"/>
          <w:sz w:val="22"/>
          <w:szCs w:val="22"/>
          <w:highlight w:val="none"/>
        </w:rPr>
        <w:t xml:space="preserve">    4.3、拒签合同的责任</w:t>
      </w:r>
    </w:p>
    <w:p w14:paraId="087B2E57">
      <w:pPr>
        <w:pStyle w:val="34"/>
        <w:adjustRightInd w:val="0"/>
        <w:snapToGrid w:val="0"/>
        <w:spacing w:line="440" w:lineRule="atLeast"/>
        <w:rPr>
          <w:rFonts w:hAnsi="宋体"/>
          <w:color w:val="auto"/>
          <w:sz w:val="22"/>
          <w:szCs w:val="22"/>
          <w:highlight w:val="none"/>
        </w:rPr>
      </w:pPr>
      <w:r>
        <w:rPr>
          <w:rFonts w:hint="eastAsia" w:hAnsi="宋体"/>
          <w:color w:val="auto"/>
          <w:sz w:val="22"/>
          <w:szCs w:val="22"/>
          <w:highlight w:val="none"/>
        </w:rPr>
        <w:t xml:space="preserve">   成交供应商接到成交通知书后，在规定时间内借故否认已经承诺的条件而拒签合同，以违约处理，并赔偿采购人由此造成的直接经济损失；采购人重新组织采购的，所需费用由原成交供应商承担。</w:t>
      </w:r>
    </w:p>
    <w:p w14:paraId="6E3F00F3">
      <w:pPr>
        <w:pStyle w:val="34"/>
        <w:adjustRightInd w:val="0"/>
        <w:snapToGrid w:val="0"/>
        <w:spacing w:line="440" w:lineRule="atLeast"/>
        <w:rPr>
          <w:rFonts w:hAnsi="宋体"/>
          <w:color w:val="auto"/>
          <w:sz w:val="22"/>
          <w:szCs w:val="22"/>
          <w:highlight w:val="none"/>
        </w:rPr>
      </w:pPr>
      <w:r>
        <w:rPr>
          <w:rFonts w:hint="eastAsia" w:hAnsi="宋体"/>
          <w:color w:val="auto"/>
          <w:sz w:val="22"/>
          <w:szCs w:val="22"/>
          <w:highlight w:val="none"/>
        </w:rPr>
        <w:t xml:space="preserve">    5、履约保证金</w:t>
      </w:r>
    </w:p>
    <w:p w14:paraId="4F8BD234">
      <w:pPr>
        <w:pStyle w:val="34"/>
        <w:adjustRightInd w:val="0"/>
        <w:snapToGrid w:val="0"/>
        <w:spacing w:line="440" w:lineRule="atLeast"/>
        <w:ind w:firstLine="440"/>
        <w:rPr>
          <w:rFonts w:hAnsi="宋体" w:eastAsia="Times New Roman" w:cs="Courier New"/>
          <w:bCs/>
          <w:color w:val="auto"/>
          <w:sz w:val="22"/>
          <w:szCs w:val="22"/>
          <w:highlight w:val="none"/>
          <w:lang w:eastAsia="zh-Hans"/>
        </w:rPr>
      </w:pPr>
      <w:r>
        <w:rPr>
          <w:rFonts w:hint="eastAsia" w:hAnsi="宋体" w:cs="Courier New"/>
          <w:bCs/>
          <w:color w:val="auto"/>
          <w:sz w:val="22"/>
          <w:szCs w:val="22"/>
          <w:highlight w:val="none"/>
          <w:lang w:eastAsia="zh-Hans"/>
        </w:rPr>
        <w:t>本项目</w:t>
      </w:r>
      <w:r>
        <w:rPr>
          <w:rFonts w:hint="eastAsia" w:hAnsi="宋体" w:cs="宋体"/>
          <w:color w:val="auto"/>
          <w:sz w:val="22"/>
          <w:szCs w:val="22"/>
          <w:highlight w:val="none"/>
        </w:rPr>
        <w:t>合同签订后成交供应商应向采购人提供</w:t>
      </w:r>
      <w:r>
        <w:rPr>
          <w:rFonts w:hint="eastAsia" w:hAnsi="宋体" w:cs="宋体"/>
          <w:color w:val="auto"/>
          <w:sz w:val="22"/>
          <w:szCs w:val="22"/>
          <w:highlight w:val="none"/>
          <w:lang w:val="en-US" w:eastAsia="zh-CN"/>
        </w:rPr>
        <w:t>合同价</w:t>
      </w:r>
      <w:r>
        <w:rPr>
          <w:rFonts w:hAnsi="宋体" w:cs="宋体"/>
          <w:color w:val="auto"/>
          <w:sz w:val="22"/>
          <w:szCs w:val="22"/>
          <w:highlight w:val="none"/>
          <w:u w:val="single"/>
        </w:rPr>
        <w:t xml:space="preserve"> 1</w:t>
      </w:r>
      <w:r>
        <w:rPr>
          <w:rFonts w:hint="eastAsia" w:hAnsi="宋体" w:cs="宋体"/>
          <w:color w:val="auto"/>
          <w:sz w:val="22"/>
          <w:szCs w:val="22"/>
          <w:highlight w:val="none"/>
          <w:u w:val="single"/>
        </w:rPr>
        <w:t>%</w:t>
      </w:r>
      <w:r>
        <w:rPr>
          <w:rFonts w:hAnsi="宋体" w:cs="宋体"/>
          <w:color w:val="auto"/>
          <w:sz w:val="22"/>
          <w:szCs w:val="22"/>
          <w:highlight w:val="none"/>
          <w:u w:val="single"/>
        </w:rPr>
        <w:t xml:space="preserve"> </w:t>
      </w:r>
      <w:r>
        <w:rPr>
          <w:rFonts w:hint="eastAsia" w:hAnsi="宋体" w:cs="宋体"/>
          <w:color w:val="auto"/>
          <w:sz w:val="22"/>
          <w:szCs w:val="22"/>
          <w:highlight w:val="none"/>
        </w:rPr>
        <w:t>的履约保证金，</w:t>
      </w:r>
      <w:r>
        <w:rPr>
          <w:rFonts w:hint="eastAsia" w:hAnsi="宋体" w:cs="Courier New"/>
          <w:color w:val="auto"/>
          <w:sz w:val="22"/>
          <w:szCs w:val="22"/>
          <w:highlight w:val="none"/>
        </w:rPr>
        <w:t>履约保证金可以采用银行或者保险公司出具的保函等形式。</w:t>
      </w:r>
    </w:p>
    <w:p w14:paraId="593E1397">
      <w:pPr>
        <w:pStyle w:val="34"/>
        <w:adjustRightInd w:val="0"/>
        <w:snapToGrid w:val="0"/>
        <w:spacing w:line="460" w:lineRule="atLeast"/>
        <w:ind w:firstLine="440" w:firstLineChars="200"/>
        <w:rPr>
          <w:rFonts w:hint="default" w:hAnsi="宋体" w:eastAsia="宋体"/>
          <w:color w:val="auto"/>
          <w:sz w:val="22"/>
          <w:highlight w:val="none"/>
          <w:lang w:val="en-US" w:eastAsia="zh-CN"/>
        </w:rPr>
      </w:pPr>
      <w:r>
        <w:rPr>
          <w:rFonts w:hint="eastAsia" w:hAnsi="宋体"/>
          <w:color w:val="auto"/>
          <w:sz w:val="22"/>
          <w:highlight w:val="none"/>
        </w:rPr>
        <w:t>6、</w:t>
      </w:r>
      <w:r>
        <w:rPr>
          <w:rFonts w:hint="eastAsia" w:hAnsi="宋体"/>
          <w:color w:val="auto"/>
          <w:sz w:val="22"/>
          <w:highlight w:val="none"/>
          <w:lang w:val="en-US" w:eastAsia="zh-CN"/>
        </w:rPr>
        <w:t>本项目</w:t>
      </w:r>
      <w:r>
        <w:rPr>
          <w:rFonts w:hint="eastAsia" w:hAnsi="宋体"/>
          <w:color w:val="auto"/>
          <w:sz w:val="22"/>
          <w:highlight w:val="none"/>
        </w:rPr>
        <w:t>招标代理费</w:t>
      </w:r>
      <w:r>
        <w:rPr>
          <w:rFonts w:hint="eastAsia" w:hAnsi="宋体"/>
          <w:color w:val="auto"/>
          <w:sz w:val="22"/>
          <w:highlight w:val="none"/>
          <w:lang w:val="en-US" w:eastAsia="zh-CN"/>
        </w:rPr>
        <w:t>由采购人支付。</w:t>
      </w:r>
    </w:p>
    <w:p w14:paraId="4944CD24">
      <w:pPr>
        <w:autoSpaceDE w:val="0"/>
        <w:autoSpaceDN w:val="0"/>
        <w:adjustRightInd w:val="0"/>
        <w:snapToGrid w:val="0"/>
        <w:spacing w:line="420" w:lineRule="exact"/>
        <w:ind w:firstLine="440" w:firstLineChars="200"/>
        <w:textAlignment w:val="bottom"/>
        <w:rPr>
          <w:rFonts w:ascii="宋体" w:hAnsi="宋体" w:cs="Arial"/>
          <w:color w:val="auto"/>
          <w:sz w:val="22"/>
          <w:highlight w:val="none"/>
        </w:rPr>
      </w:pPr>
    </w:p>
    <w:p w14:paraId="40442C63">
      <w:pPr>
        <w:pStyle w:val="52"/>
        <w:pageBreakBefore/>
        <w:adjustRightInd w:val="0"/>
        <w:snapToGrid w:val="0"/>
        <w:spacing w:line="460" w:lineRule="atLeast"/>
        <w:ind w:firstLine="853" w:firstLineChars="237"/>
        <w:jc w:val="center"/>
        <w:outlineLvl w:val="0"/>
        <w:rPr>
          <w:rFonts w:ascii="宋体" w:hAnsi="宋体" w:eastAsia="宋体"/>
          <w:color w:val="auto"/>
          <w:sz w:val="36"/>
          <w:highlight w:val="none"/>
        </w:rPr>
      </w:pPr>
      <w:bookmarkStart w:id="43" w:name="_Toc7120"/>
      <w:r>
        <w:rPr>
          <w:rFonts w:hint="eastAsia" w:ascii="宋体" w:hAnsi="宋体" w:eastAsia="宋体"/>
          <w:color w:val="auto"/>
          <w:sz w:val="36"/>
          <w:highlight w:val="none"/>
        </w:rPr>
        <w:t xml:space="preserve">第四部分   </w:t>
      </w:r>
      <w:r>
        <w:rPr>
          <w:rFonts w:ascii="宋体" w:hAnsi="宋体" w:eastAsia="宋体"/>
          <w:color w:val="auto"/>
          <w:sz w:val="36"/>
          <w:highlight w:val="none"/>
        </w:rPr>
        <w:t xml:space="preserve"> </w:t>
      </w:r>
      <w:r>
        <w:rPr>
          <w:rFonts w:hint="eastAsia" w:ascii="宋体" w:hAnsi="宋体" w:eastAsia="宋体"/>
          <w:color w:val="auto"/>
          <w:sz w:val="36"/>
          <w:highlight w:val="none"/>
        </w:rPr>
        <w:t>政府采购政策功能相关说明</w:t>
      </w:r>
      <w:bookmarkEnd w:id="43"/>
    </w:p>
    <w:p w14:paraId="51885A91">
      <w:pPr>
        <w:snapToGrid w:val="0"/>
        <w:spacing w:line="46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一、小、微企业（含监狱企业、残疾人福利性单位）扶持政策说明</w:t>
      </w:r>
    </w:p>
    <w:p w14:paraId="460BAEDF">
      <w:pPr>
        <w:snapToGrid w:val="0"/>
        <w:spacing w:line="460" w:lineRule="atLeast"/>
        <w:ind w:firstLine="440" w:firstLineChars="200"/>
        <w:rPr>
          <w:rFonts w:hint="eastAsia" w:ascii="宋体" w:hAnsi="宋体"/>
          <w:color w:val="auto"/>
          <w:sz w:val="22"/>
          <w:szCs w:val="22"/>
          <w:highlight w:val="none"/>
        </w:rPr>
      </w:pPr>
      <w:r>
        <w:rPr>
          <w:rFonts w:ascii="宋体" w:hAnsi="宋体"/>
          <w:color w:val="auto"/>
          <w:sz w:val="22"/>
          <w:szCs w:val="22"/>
          <w:highlight w:val="none"/>
        </w:rPr>
        <w:t>1、文件依据</w:t>
      </w:r>
    </w:p>
    <w:p w14:paraId="0B65E8D7">
      <w:pPr>
        <w:snapToGrid w:val="0"/>
        <w:spacing w:line="46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w:t>
      </w:r>
      <w:r>
        <w:rPr>
          <w:rFonts w:ascii="宋体" w:hAnsi="宋体"/>
          <w:color w:val="auto"/>
          <w:sz w:val="22"/>
          <w:szCs w:val="22"/>
          <w:highlight w:val="none"/>
        </w:rPr>
        <w:t>1）</w:t>
      </w:r>
      <w:r>
        <w:rPr>
          <w:rFonts w:ascii="宋体" w:hAnsi="宋体"/>
          <w:bCs/>
          <w:color w:val="auto"/>
          <w:sz w:val="22"/>
          <w:szCs w:val="22"/>
          <w:highlight w:val="none"/>
        </w:rPr>
        <w:t>《政府采购促进中小企业发展管理办法》（财库﹝2020﹞46 号）</w:t>
      </w:r>
    </w:p>
    <w:p w14:paraId="08FBAAA4">
      <w:pPr>
        <w:snapToGrid w:val="0"/>
        <w:spacing w:line="46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w:t>
      </w:r>
      <w:r>
        <w:rPr>
          <w:rFonts w:ascii="宋体" w:hAnsi="宋体"/>
          <w:color w:val="auto"/>
          <w:sz w:val="22"/>
          <w:szCs w:val="22"/>
          <w:highlight w:val="none"/>
        </w:rPr>
        <w:t>2）浙江省省财政厅《关于开展政府采购供应商网上注册登记和诚信管理工作的通知》（浙财采监〔2010〕8号)</w:t>
      </w:r>
    </w:p>
    <w:p w14:paraId="2B3E3191">
      <w:pPr>
        <w:snapToGrid w:val="0"/>
        <w:spacing w:line="46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（3</w:t>
      </w:r>
      <w:r>
        <w:rPr>
          <w:rFonts w:ascii="宋体" w:hAnsi="宋体"/>
          <w:color w:val="auto"/>
          <w:sz w:val="22"/>
          <w:szCs w:val="22"/>
          <w:highlight w:val="none"/>
        </w:rPr>
        <w:t>）《工业和信息化部、国家统计局、国家发展和改革委员会、财政部关于印发中小企业划型标准规定的通知》（工信部联企业[2011]300号）</w:t>
      </w:r>
    </w:p>
    <w:p w14:paraId="61219681">
      <w:pPr>
        <w:snapToGrid w:val="0"/>
        <w:spacing w:line="46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（4</w:t>
      </w:r>
      <w:r>
        <w:rPr>
          <w:rFonts w:ascii="宋体" w:hAnsi="宋体"/>
          <w:color w:val="auto"/>
          <w:sz w:val="22"/>
          <w:szCs w:val="22"/>
          <w:highlight w:val="none"/>
        </w:rPr>
        <w:t>）财政部、司法部《关于政府采购支持监狱企业发展有关问题的通知》（财库〔2014〕68号）</w:t>
      </w:r>
    </w:p>
    <w:p w14:paraId="361EB37A">
      <w:pPr>
        <w:snapToGrid w:val="0"/>
        <w:spacing w:line="46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（5</w:t>
      </w:r>
      <w:r>
        <w:rPr>
          <w:rFonts w:ascii="宋体" w:hAnsi="宋体"/>
          <w:color w:val="auto"/>
          <w:sz w:val="22"/>
          <w:szCs w:val="22"/>
          <w:highlight w:val="none"/>
        </w:rPr>
        <w:t>）《财政部 民政部 中国残疾人联合会关于促进残疾人就业政府采购政策的通知》（财库〔2017〕 141号）</w:t>
      </w:r>
    </w:p>
    <w:p w14:paraId="355FC26E">
      <w:pPr>
        <w:snapToGrid w:val="0"/>
        <w:spacing w:line="46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2、</w:t>
      </w:r>
      <w:r>
        <w:rPr>
          <w:rFonts w:ascii="宋体" w:hAnsi="宋体"/>
          <w:color w:val="auto"/>
          <w:sz w:val="22"/>
          <w:szCs w:val="22"/>
          <w:highlight w:val="none"/>
        </w:rPr>
        <w:t>在政府采购活动中，供应商提供的货物、工程或者服务符合下列情形的，享受中小企业扶持政策：</w:t>
      </w:r>
    </w:p>
    <w:p w14:paraId="7898F24B">
      <w:pPr>
        <w:snapToGrid w:val="0"/>
        <w:spacing w:line="460" w:lineRule="atLeast"/>
        <w:ind w:firstLine="440" w:firstLineChars="200"/>
        <w:rPr>
          <w:rFonts w:hint="eastAsia" w:ascii="宋体" w:hAnsi="宋体"/>
          <w:color w:val="auto"/>
          <w:sz w:val="22"/>
          <w:szCs w:val="22"/>
          <w:highlight w:val="none"/>
        </w:rPr>
      </w:pPr>
      <w:r>
        <w:rPr>
          <w:rFonts w:ascii="宋体" w:hAnsi="宋体"/>
          <w:color w:val="auto"/>
          <w:sz w:val="22"/>
          <w:szCs w:val="22"/>
          <w:highlight w:val="none"/>
        </w:rPr>
        <w:t>（</w:t>
      </w:r>
      <w:r>
        <w:rPr>
          <w:rFonts w:hint="eastAsia" w:ascii="宋体" w:hAnsi="宋体"/>
          <w:color w:val="auto"/>
          <w:sz w:val="22"/>
          <w:szCs w:val="22"/>
          <w:highlight w:val="none"/>
        </w:rPr>
        <w:t>1</w:t>
      </w:r>
      <w:r>
        <w:rPr>
          <w:rFonts w:ascii="宋体" w:hAnsi="宋体"/>
          <w:color w:val="auto"/>
          <w:sz w:val="22"/>
          <w:szCs w:val="22"/>
          <w:highlight w:val="none"/>
        </w:rPr>
        <w:t xml:space="preserve">）在货物采购项目中，货物由中小企业制造，即货物由中小企业生产且使用该中小企业商号或者注册商标； </w:t>
      </w:r>
    </w:p>
    <w:p w14:paraId="3AB58D01">
      <w:pPr>
        <w:snapToGrid w:val="0"/>
        <w:spacing w:line="460" w:lineRule="atLeast"/>
        <w:ind w:firstLine="440" w:firstLineChars="200"/>
        <w:rPr>
          <w:rFonts w:hint="eastAsia" w:ascii="宋体" w:hAnsi="宋体"/>
          <w:color w:val="auto"/>
          <w:sz w:val="22"/>
          <w:szCs w:val="22"/>
          <w:highlight w:val="none"/>
        </w:rPr>
      </w:pPr>
      <w:r>
        <w:rPr>
          <w:rFonts w:ascii="宋体" w:hAnsi="宋体"/>
          <w:color w:val="auto"/>
          <w:sz w:val="22"/>
          <w:szCs w:val="22"/>
          <w:highlight w:val="none"/>
        </w:rPr>
        <w:t>（</w:t>
      </w:r>
      <w:r>
        <w:rPr>
          <w:rFonts w:hint="eastAsia" w:ascii="宋体" w:hAnsi="宋体"/>
          <w:color w:val="auto"/>
          <w:sz w:val="22"/>
          <w:szCs w:val="22"/>
          <w:highlight w:val="none"/>
        </w:rPr>
        <w:t>2</w:t>
      </w:r>
      <w:r>
        <w:rPr>
          <w:rFonts w:ascii="宋体" w:hAnsi="宋体"/>
          <w:color w:val="auto"/>
          <w:sz w:val="22"/>
          <w:szCs w:val="22"/>
          <w:highlight w:val="none"/>
        </w:rPr>
        <w:t xml:space="preserve">）在工程采购项目中，工程由中小企业承建，即工程施工单位为中小企业； </w:t>
      </w:r>
    </w:p>
    <w:p w14:paraId="2489FBDE">
      <w:pPr>
        <w:snapToGrid w:val="0"/>
        <w:spacing w:line="460" w:lineRule="atLeast"/>
        <w:ind w:firstLine="440" w:firstLineChars="200"/>
        <w:rPr>
          <w:rFonts w:hint="eastAsia" w:ascii="宋体" w:hAnsi="宋体"/>
          <w:color w:val="auto"/>
          <w:sz w:val="22"/>
          <w:szCs w:val="22"/>
          <w:highlight w:val="none"/>
        </w:rPr>
      </w:pPr>
      <w:r>
        <w:rPr>
          <w:rFonts w:ascii="宋体" w:hAnsi="宋体"/>
          <w:color w:val="auto"/>
          <w:sz w:val="22"/>
          <w:szCs w:val="22"/>
          <w:highlight w:val="none"/>
        </w:rPr>
        <w:t>（</w:t>
      </w:r>
      <w:r>
        <w:rPr>
          <w:rFonts w:hint="eastAsia" w:ascii="宋体" w:hAnsi="宋体"/>
          <w:color w:val="auto"/>
          <w:sz w:val="22"/>
          <w:szCs w:val="22"/>
          <w:highlight w:val="none"/>
        </w:rPr>
        <w:t>3</w:t>
      </w:r>
      <w:r>
        <w:rPr>
          <w:rFonts w:ascii="宋体" w:hAnsi="宋体"/>
          <w:color w:val="auto"/>
          <w:sz w:val="22"/>
          <w:szCs w:val="22"/>
          <w:highlight w:val="none"/>
        </w:rPr>
        <w:t xml:space="preserve">）在服务采购项目中，服务由中小企业承接，即提供服务的人员为中小企业依照《中华人民共和国劳动合同法》订立劳动合同的从业人员。 </w:t>
      </w:r>
    </w:p>
    <w:p w14:paraId="70F37101">
      <w:pPr>
        <w:snapToGrid w:val="0"/>
        <w:spacing w:line="460" w:lineRule="atLeast"/>
        <w:ind w:firstLine="440" w:firstLineChars="200"/>
        <w:rPr>
          <w:rFonts w:hint="eastAsia" w:ascii="宋体" w:hAnsi="宋体"/>
          <w:color w:val="auto"/>
          <w:sz w:val="22"/>
          <w:szCs w:val="22"/>
          <w:highlight w:val="none"/>
        </w:rPr>
      </w:pPr>
      <w:r>
        <w:rPr>
          <w:rFonts w:ascii="宋体" w:hAnsi="宋体"/>
          <w:color w:val="auto"/>
          <w:sz w:val="22"/>
          <w:szCs w:val="22"/>
          <w:highlight w:val="none"/>
        </w:rPr>
        <w:t>在货物采购项目中，供应商提供的货物既有中小企业制造货物，也有大型企业制造货物的，不享受规定的中小企业扶持政策。</w:t>
      </w:r>
    </w:p>
    <w:p w14:paraId="6F074252">
      <w:pPr>
        <w:snapToGrid w:val="0"/>
        <w:spacing w:line="46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3、投标供应商享受小微企业价格折扣应提供以下证明材料：</w:t>
      </w:r>
    </w:p>
    <w:p w14:paraId="74F45761">
      <w:pPr>
        <w:snapToGrid w:val="0"/>
        <w:spacing w:line="46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w:t>
      </w:r>
      <w:r>
        <w:rPr>
          <w:rFonts w:ascii="宋体" w:hAnsi="宋体"/>
          <w:color w:val="auto"/>
          <w:sz w:val="22"/>
          <w:szCs w:val="22"/>
          <w:highlight w:val="none"/>
        </w:rPr>
        <w:t>1）《中小企业声明函》（原件，加盖供应商公章，格式见附件1）</w:t>
      </w:r>
      <w:r>
        <w:rPr>
          <w:rFonts w:hint="eastAsia" w:ascii="宋体" w:hAnsi="宋体"/>
          <w:color w:val="auto"/>
          <w:sz w:val="22"/>
          <w:szCs w:val="22"/>
          <w:highlight w:val="none"/>
        </w:rPr>
        <w:t>；</w:t>
      </w:r>
    </w:p>
    <w:p w14:paraId="062B067F">
      <w:pPr>
        <w:snapToGrid w:val="0"/>
        <w:spacing w:line="460" w:lineRule="atLeast"/>
        <w:ind w:firstLine="440" w:firstLineChars="200"/>
        <w:rPr>
          <w:rFonts w:hint="eastAsia" w:ascii="宋体" w:hAnsi="宋体"/>
          <w:color w:val="auto"/>
          <w:sz w:val="22"/>
          <w:szCs w:val="22"/>
          <w:highlight w:val="none"/>
        </w:rPr>
      </w:pPr>
      <w:r>
        <w:rPr>
          <w:rFonts w:ascii="宋体" w:hAnsi="宋体"/>
          <w:color w:val="auto"/>
          <w:sz w:val="22"/>
          <w:szCs w:val="22"/>
          <w:highlight w:val="none"/>
        </w:rPr>
        <w:t>4、</w:t>
      </w:r>
      <w:r>
        <w:rPr>
          <w:rFonts w:hint="eastAsia" w:ascii="宋体" w:hAnsi="宋体"/>
          <w:color w:val="auto"/>
          <w:sz w:val="22"/>
          <w:szCs w:val="22"/>
          <w:highlight w:val="none"/>
        </w:rPr>
        <w:t>投标供应商</w:t>
      </w:r>
      <w:r>
        <w:rPr>
          <w:rFonts w:ascii="宋体" w:hAnsi="宋体"/>
          <w:color w:val="auto"/>
          <w:sz w:val="22"/>
          <w:szCs w:val="22"/>
          <w:highlight w:val="none"/>
        </w:rPr>
        <w:t>享受监狱企业价格折扣应提供以下证明材料：</w:t>
      </w:r>
    </w:p>
    <w:p w14:paraId="114FE9FE">
      <w:pPr>
        <w:snapToGrid w:val="0"/>
        <w:spacing w:line="46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w:t>
      </w:r>
      <w:r>
        <w:rPr>
          <w:rFonts w:ascii="宋体" w:hAnsi="宋体"/>
          <w:color w:val="auto"/>
          <w:sz w:val="22"/>
          <w:szCs w:val="22"/>
          <w:highlight w:val="none"/>
        </w:rPr>
        <w:t>1）监狱企业参加政府采购活动时，应当提供由省级及以上监狱管理局、戒毒管理局(含新疆生产建设兵团)出具的属于监狱企业的证明文件（</w:t>
      </w:r>
      <w:r>
        <w:rPr>
          <w:rFonts w:hint="eastAsia" w:ascii="宋体" w:hAnsi="宋体"/>
          <w:color w:val="auto"/>
          <w:sz w:val="22"/>
          <w:szCs w:val="22"/>
          <w:highlight w:val="none"/>
        </w:rPr>
        <w:t>扫描</w:t>
      </w:r>
      <w:r>
        <w:rPr>
          <w:rFonts w:ascii="宋体" w:hAnsi="宋体"/>
          <w:color w:val="auto"/>
          <w:sz w:val="22"/>
          <w:szCs w:val="22"/>
          <w:highlight w:val="none"/>
        </w:rPr>
        <w:t>件加盖供应商公章）。在政府采购活动中，监狱企业视同小型、微型企业，享受评审中价格扣除政策。</w:t>
      </w:r>
    </w:p>
    <w:p w14:paraId="7DC86AE9">
      <w:pPr>
        <w:snapToGrid w:val="0"/>
        <w:spacing w:line="460" w:lineRule="atLeast"/>
        <w:ind w:firstLine="440" w:firstLineChars="200"/>
        <w:rPr>
          <w:rFonts w:hint="eastAsia" w:ascii="宋体" w:hAnsi="宋体"/>
          <w:color w:val="auto"/>
          <w:sz w:val="22"/>
          <w:szCs w:val="22"/>
          <w:highlight w:val="none"/>
        </w:rPr>
      </w:pPr>
      <w:r>
        <w:rPr>
          <w:rFonts w:ascii="宋体" w:hAnsi="宋体"/>
          <w:color w:val="auto"/>
          <w:sz w:val="22"/>
          <w:szCs w:val="22"/>
          <w:highlight w:val="none"/>
        </w:rPr>
        <w:t>5、</w:t>
      </w:r>
      <w:r>
        <w:rPr>
          <w:rFonts w:hint="eastAsia" w:ascii="宋体" w:hAnsi="宋体"/>
          <w:color w:val="auto"/>
          <w:sz w:val="22"/>
          <w:szCs w:val="22"/>
          <w:highlight w:val="none"/>
        </w:rPr>
        <w:t>投标供应商</w:t>
      </w:r>
      <w:r>
        <w:rPr>
          <w:rFonts w:ascii="宋体" w:hAnsi="宋体"/>
          <w:color w:val="auto"/>
          <w:sz w:val="22"/>
          <w:szCs w:val="22"/>
          <w:highlight w:val="none"/>
        </w:rPr>
        <w:t>享受残疾人福利性单位价格折扣应提供以下证明材料（</w:t>
      </w:r>
      <w:r>
        <w:rPr>
          <w:rFonts w:hint="eastAsia" w:ascii="宋体" w:hAnsi="宋体"/>
          <w:color w:val="auto"/>
          <w:sz w:val="22"/>
          <w:szCs w:val="22"/>
          <w:highlight w:val="none"/>
        </w:rPr>
        <w:t>放在报价文件中</w:t>
      </w:r>
      <w:r>
        <w:rPr>
          <w:rFonts w:ascii="宋体" w:hAnsi="宋体"/>
          <w:color w:val="auto"/>
          <w:sz w:val="22"/>
          <w:szCs w:val="22"/>
          <w:highlight w:val="none"/>
        </w:rPr>
        <w:t>，不提供的不享受价格折扣）：</w:t>
      </w:r>
    </w:p>
    <w:p w14:paraId="15577D4B">
      <w:pPr>
        <w:snapToGrid w:val="0"/>
        <w:spacing w:line="46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w:t>
      </w:r>
      <w:r>
        <w:rPr>
          <w:rFonts w:ascii="宋体" w:hAnsi="宋体"/>
          <w:color w:val="auto"/>
          <w:sz w:val="22"/>
          <w:szCs w:val="22"/>
          <w:highlight w:val="none"/>
        </w:rPr>
        <w:t>1）残疾人福利性单位声明函（原件，加盖投标供应商公章，格式见附件</w:t>
      </w:r>
      <w:r>
        <w:rPr>
          <w:rFonts w:hint="eastAsia" w:ascii="宋体" w:hAnsi="宋体"/>
          <w:color w:val="auto"/>
          <w:sz w:val="22"/>
          <w:szCs w:val="22"/>
          <w:highlight w:val="none"/>
        </w:rPr>
        <w:t>2。在政府采购活动中，残疾人福利性单位视同小型、微型企业，享受评审中价格扣除政策。</w:t>
      </w:r>
    </w:p>
    <w:p w14:paraId="3CC437AC">
      <w:pPr>
        <w:snapToGrid w:val="0"/>
        <w:spacing w:line="460" w:lineRule="atLeast"/>
        <w:ind w:firstLine="440" w:firstLineChars="200"/>
        <w:rPr>
          <w:rFonts w:hint="eastAsia" w:ascii="宋体" w:hAnsi="宋体"/>
          <w:bCs/>
          <w:color w:val="auto"/>
          <w:sz w:val="22"/>
          <w:szCs w:val="22"/>
          <w:highlight w:val="none"/>
        </w:rPr>
      </w:pPr>
      <w:r>
        <w:rPr>
          <w:rFonts w:ascii="宋体" w:hAnsi="宋体"/>
          <w:bCs/>
          <w:color w:val="auto"/>
          <w:sz w:val="22"/>
          <w:szCs w:val="22"/>
          <w:highlight w:val="none"/>
        </w:rPr>
        <w:t>6、</w:t>
      </w:r>
      <w:r>
        <w:rPr>
          <w:rFonts w:hint="eastAsia" w:ascii="宋体" w:hAnsi="宋体"/>
          <w:bCs/>
          <w:color w:val="auto"/>
          <w:sz w:val="22"/>
          <w:szCs w:val="22"/>
          <w:highlight w:val="none"/>
        </w:rPr>
        <w:t>其他说明</w:t>
      </w:r>
    </w:p>
    <w:p w14:paraId="3720EE89">
      <w:pPr>
        <w:snapToGrid w:val="0"/>
        <w:spacing w:line="460" w:lineRule="atLeast"/>
        <w:ind w:firstLine="440" w:firstLineChars="200"/>
        <w:rPr>
          <w:rFonts w:hint="eastAsia" w:ascii="宋体" w:hAnsi="宋体"/>
          <w:bCs/>
          <w:color w:val="auto"/>
          <w:sz w:val="22"/>
          <w:szCs w:val="22"/>
          <w:highlight w:val="none"/>
        </w:rPr>
      </w:pPr>
      <w:r>
        <w:rPr>
          <w:rFonts w:hint="eastAsia" w:ascii="宋体" w:hAnsi="宋体"/>
          <w:bCs/>
          <w:color w:val="auto"/>
          <w:sz w:val="22"/>
          <w:szCs w:val="22"/>
          <w:highlight w:val="none"/>
        </w:rPr>
        <w:t>（</w:t>
      </w:r>
      <w:r>
        <w:rPr>
          <w:rFonts w:ascii="宋体" w:hAnsi="宋体"/>
          <w:bCs/>
          <w:color w:val="auto"/>
          <w:sz w:val="22"/>
          <w:szCs w:val="22"/>
          <w:highlight w:val="none"/>
        </w:rPr>
        <w:t>1）</w:t>
      </w:r>
      <w:r>
        <w:rPr>
          <w:rFonts w:hint="eastAsia" w:ascii="宋体" w:hAnsi="宋体"/>
          <w:bCs/>
          <w:color w:val="auto"/>
          <w:sz w:val="22"/>
          <w:szCs w:val="22"/>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0C55F15">
      <w:pPr>
        <w:snapToGrid w:val="0"/>
        <w:spacing w:line="460" w:lineRule="atLeast"/>
        <w:ind w:firstLine="440" w:firstLineChars="200"/>
        <w:rPr>
          <w:rFonts w:hint="eastAsia" w:ascii="宋体" w:hAnsi="宋体"/>
          <w:bCs/>
          <w:color w:val="auto"/>
          <w:sz w:val="22"/>
          <w:szCs w:val="22"/>
          <w:highlight w:val="none"/>
        </w:rPr>
      </w:pPr>
      <w:r>
        <w:rPr>
          <w:rFonts w:hint="eastAsia" w:ascii="宋体" w:hAnsi="宋体"/>
          <w:color w:val="auto"/>
          <w:sz w:val="22"/>
          <w:szCs w:val="22"/>
          <w:highlight w:val="none"/>
        </w:rPr>
        <w:t>（</w:t>
      </w:r>
      <w:r>
        <w:rPr>
          <w:rFonts w:ascii="宋体" w:hAnsi="宋体"/>
          <w:color w:val="auto"/>
          <w:sz w:val="22"/>
          <w:szCs w:val="22"/>
          <w:highlight w:val="none"/>
        </w:rPr>
        <w:t>2</w:t>
      </w:r>
      <w:r>
        <w:rPr>
          <w:rFonts w:hint="eastAsia" w:ascii="宋体" w:hAnsi="宋体"/>
          <w:color w:val="auto"/>
          <w:sz w:val="22"/>
          <w:szCs w:val="22"/>
          <w:highlight w:val="none"/>
        </w:rPr>
        <w:t>）采购项目如为专门面向中小企业采购项目或采购包的，不再执行价格评审优惠的扶持政策。</w:t>
      </w:r>
    </w:p>
    <w:p w14:paraId="265B8434">
      <w:pPr>
        <w:spacing w:line="460" w:lineRule="atLeast"/>
        <w:ind w:firstLine="442" w:firstLineChars="200"/>
        <w:rPr>
          <w:rFonts w:ascii="宋体" w:hAnsi="宋体"/>
          <w:b/>
          <w:color w:val="auto"/>
          <w:sz w:val="22"/>
          <w:szCs w:val="22"/>
          <w:highlight w:val="none"/>
        </w:rPr>
      </w:pPr>
    </w:p>
    <w:p w14:paraId="0037326F">
      <w:pPr>
        <w:spacing w:line="460" w:lineRule="atLeast"/>
        <w:ind w:firstLine="440" w:firstLineChars="200"/>
        <w:rPr>
          <w:rFonts w:ascii="宋体" w:hAnsi="宋体"/>
          <w:color w:val="auto"/>
          <w:sz w:val="24"/>
          <w:highlight w:val="none"/>
        </w:rPr>
      </w:pPr>
      <w:r>
        <w:rPr>
          <w:rFonts w:ascii="宋体" w:hAnsi="宋体"/>
          <w:color w:val="auto"/>
          <w:sz w:val="22"/>
          <w:szCs w:val="22"/>
          <w:highlight w:val="none"/>
        </w:rPr>
        <w:br w:type="page"/>
      </w:r>
      <w:r>
        <w:rPr>
          <w:rFonts w:hint="eastAsia" w:ascii="宋体" w:hAnsi="宋体" w:cs="宋体"/>
          <w:color w:val="auto"/>
          <w:sz w:val="22"/>
          <w:highlight w:val="none"/>
        </w:rPr>
        <w:t>附件1：</w:t>
      </w:r>
    </w:p>
    <w:p w14:paraId="32C88588">
      <w:pPr>
        <w:spacing w:line="460" w:lineRule="atLeast"/>
        <w:jc w:val="center"/>
        <w:rPr>
          <w:rFonts w:ascii="宋体" w:hAnsi="宋体"/>
          <w:bCs/>
          <w:color w:val="auto"/>
          <w:sz w:val="24"/>
          <w:highlight w:val="none"/>
        </w:rPr>
      </w:pPr>
      <w:r>
        <w:rPr>
          <w:rFonts w:hint="eastAsia" w:ascii="宋体" w:hAnsi="宋体"/>
          <w:bCs/>
          <w:color w:val="auto"/>
          <w:sz w:val="24"/>
          <w:highlight w:val="none"/>
        </w:rPr>
        <w:t>中小企业声明函（服务）</w:t>
      </w:r>
    </w:p>
    <w:p w14:paraId="7A50534D">
      <w:pPr>
        <w:spacing w:line="460" w:lineRule="atLeast"/>
        <w:ind w:firstLine="440" w:firstLineChars="200"/>
        <w:rPr>
          <w:rFonts w:ascii="宋体" w:hAnsi="宋体" w:cs="Courier New"/>
          <w:color w:val="auto"/>
          <w:sz w:val="22"/>
          <w:highlight w:val="none"/>
        </w:rPr>
      </w:pPr>
    </w:p>
    <w:p w14:paraId="60B7BF0C">
      <w:pPr>
        <w:spacing w:line="460" w:lineRule="atLeast"/>
        <w:ind w:firstLine="440" w:firstLineChars="200"/>
        <w:rPr>
          <w:rFonts w:ascii="宋体" w:hAnsi="宋体" w:cs="Courier New"/>
          <w:b/>
          <w:color w:val="auto"/>
          <w:sz w:val="22"/>
          <w:highlight w:val="none"/>
        </w:rPr>
      </w:pPr>
      <w:r>
        <w:rPr>
          <w:rFonts w:ascii="宋体" w:hAnsi="宋体" w:cs="Courier New"/>
          <w:color w:val="auto"/>
          <w:sz w:val="22"/>
          <w:highlight w:val="none"/>
        </w:rPr>
        <w:t>本公司（联合体）郑重声明，根据《政府采购促进中小企业发展管理办法》（财库﹝2020﹞46 号）的规定</w:t>
      </w:r>
      <w:r>
        <w:rPr>
          <w:rFonts w:hint="eastAsia" w:ascii="宋体" w:hAnsi="宋体" w:cs="Courier New"/>
          <w:color w:val="auto"/>
          <w:sz w:val="22"/>
          <w:highlight w:val="none"/>
        </w:rPr>
        <w:t>，本公司</w:t>
      </w:r>
      <w:r>
        <w:rPr>
          <w:rFonts w:ascii="宋体" w:hAnsi="宋体" w:cs="Courier New"/>
          <w:color w:val="auto"/>
          <w:sz w:val="22"/>
          <w:highlight w:val="none"/>
        </w:rPr>
        <w:t>（联合体）参加（</w:t>
      </w:r>
      <w:r>
        <w:rPr>
          <w:rFonts w:hint="eastAsia" w:ascii="宋体" w:hAnsi="宋体" w:cs="宋体"/>
          <w:color w:val="auto"/>
          <w:sz w:val="22"/>
          <w:szCs w:val="22"/>
          <w:highlight w:val="none"/>
          <w:u w:val="single"/>
          <w:lang w:eastAsia="zh-CN"/>
        </w:rPr>
        <w:t>温州市救助管理站</w:t>
      </w:r>
      <w:r>
        <w:rPr>
          <w:rFonts w:ascii="宋体" w:hAnsi="宋体" w:cs="Courier New"/>
          <w:color w:val="auto"/>
          <w:sz w:val="22"/>
          <w:highlight w:val="none"/>
        </w:rPr>
        <w:t>）的（</w:t>
      </w:r>
      <w:r>
        <w:rPr>
          <w:rFonts w:hint="eastAsia" w:ascii="宋体" w:hAnsi="宋体" w:cs="宋体"/>
          <w:color w:val="auto"/>
          <w:sz w:val="22"/>
          <w:szCs w:val="22"/>
          <w:highlight w:val="none"/>
          <w:u w:val="single"/>
          <w:lang w:eastAsia="zh-CN"/>
        </w:rPr>
        <w:t>温州市救助管理站站内救助管理服务项目</w:t>
      </w:r>
      <w:r>
        <w:rPr>
          <w:rFonts w:ascii="宋体" w:hAnsi="宋体" w:cs="Courier New"/>
          <w:color w:val="auto"/>
          <w:sz w:val="22"/>
          <w:highlight w:val="none"/>
          <w:u w:val="single"/>
        </w:rPr>
        <w:t>）</w:t>
      </w:r>
      <w:r>
        <w:rPr>
          <w:rFonts w:ascii="宋体" w:hAnsi="宋体" w:cs="Courier New"/>
          <w:color w:val="auto"/>
          <w:sz w:val="22"/>
          <w:highlight w:val="none"/>
        </w:rPr>
        <w:t>采购活动，服务全部由符合政策要求的中小企业承接。相关企业（含联合体中的中小企业、签订分包意向协议的中小企业）的具体情况如下：</w:t>
      </w:r>
    </w:p>
    <w:p w14:paraId="0A68349D">
      <w:pPr>
        <w:spacing w:line="460" w:lineRule="atLeast"/>
        <w:ind w:left="420" w:leftChars="200"/>
        <w:rPr>
          <w:rFonts w:ascii="宋体" w:hAnsi="宋体" w:cs="Courier New"/>
          <w:b/>
          <w:color w:val="auto"/>
          <w:sz w:val="22"/>
          <w:highlight w:val="none"/>
        </w:rPr>
      </w:pPr>
    </w:p>
    <w:p w14:paraId="7A98CB39">
      <w:pPr>
        <w:spacing w:line="460" w:lineRule="atLeast"/>
        <w:ind w:firstLine="440" w:firstLineChars="200"/>
        <w:rPr>
          <w:rFonts w:ascii="宋体" w:hAnsi="宋体" w:cs="Courier New"/>
          <w:b/>
          <w:color w:val="auto"/>
          <w:sz w:val="22"/>
          <w:highlight w:val="none"/>
        </w:rPr>
      </w:pPr>
      <w:r>
        <w:rPr>
          <w:rFonts w:ascii="宋体" w:hAnsi="宋体" w:cs="Courier New"/>
          <w:color w:val="auto"/>
          <w:sz w:val="22"/>
          <w:highlight w:val="none"/>
        </w:rPr>
        <w:t>1</w:t>
      </w:r>
      <w:r>
        <w:rPr>
          <w:rFonts w:hint="eastAsia" w:ascii="宋体" w:hAnsi="宋体" w:cs="Courier New"/>
          <w:color w:val="auto"/>
          <w:sz w:val="22"/>
          <w:highlight w:val="none"/>
        </w:rPr>
        <w:t xml:space="preserve">. </w:t>
      </w:r>
      <w:r>
        <w:rPr>
          <w:rFonts w:hint="eastAsia" w:ascii="宋体" w:hAnsi="宋体" w:cs="Courier New"/>
          <w:color w:val="auto"/>
          <w:sz w:val="22"/>
          <w:highlight w:val="none"/>
          <w:u w:val="single"/>
        </w:rPr>
        <w:t>（</w:t>
      </w:r>
      <w:r>
        <w:rPr>
          <w:rFonts w:hint="eastAsia" w:ascii="宋体" w:hAnsi="宋体" w:cs="宋体"/>
          <w:color w:val="auto"/>
          <w:sz w:val="22"/>
          <w:szCs w:val="22"/>
          <w:highlight w:val="none"/>
          <w:u w:val="single"/>
          <w:lang w:eastAsia="zh-CN"/>
        </w:rPr>
        <w:t>温州市救助管理站站内救助管理服务项目</w:t>
      </w:r>
      <w:r>
        <w:rPr>
          <w:rFonts w:hint="eastAsia" w:ascii="宋体" w:hAnsi="宋体" w:cs="Courier New"/>
          <w:color w:val="auto"/>
          <w:sz w:val="22"/>
          <w:highlight w:val="none"/>
          <w:u w:val="single"/>
        </w:rPr>
        <w:t xml:space="preserve">） </w:t>
      </w:r>
      <w:r>
        <w:rPr>
          <w:rFonts w:hint="eastAsia" w:ascii="宋体" w:hAnsi="宋体" w:cs="Courier New"/>
          <w:color w:val="auto"/>
          <w:sz w:val="22"/>
          <w:highlight w:val="none"/>
        </w:rPr>
        <w:t>，属于</w:t>
      </w:r>
      <w:r>
        <w:rPr>
          <w:rFonts w:hint="eastAsia" w:ascii="宋体" w:hAnsi="宋体" w:cs="Courier New"/>
          <w:color w:val="auto"/>
          <w:sz w:val="22"/>
          <w:highlight w:val="none"/>
          <w:u w:val="single"/>
        </w:rPr>
        <w:t>（</w:t>
      </w:r>
      <w:r>
        <w:rPr>
          <w:rFonts w:hint="eastAsia" w:ascii="宋体" w:hAnsi="宋体" w:cs="黑体"/>
          <w:b w:val="0"/>
          <w:bCs w:val="0"/>
          <w:color w:val="auto"/>
          <w:sz w:val="22"/>
          <w:szCs w:val="22"/>
          <w:highlight w:val="none"/>
          <w:u w:val="single"/>
        </w:rPr>
        <w:t>租赁和商业服务业</w:t>
      </w:r>
      <w:r>
        <w:rPr>
          <w:rFonts w:hint="eastAsia" w:ascii="宋体" w:hAnsi="宋体" w:cs="Courier New"/>
          <w:color w:val="auto"/>
          <w:sz w:val="22"/>
          <w:highlight w:val="none"/>
          <w:u w:val="single"/>
        </w:rPr>
        <w:t>）</w:t>
      </w:r>
      <w:r>
        <w:rPr>
          <w:rFonts w:hint="eastAsia" w:ascii="宋体" w:hAnsi="宋体" w:cs="Courier New"/>
          <w:color w:val="auto"/>
          <w:sz w:val="22"/>
          <w:highlight w:val="none"/>
        </w:rPr>
        <w:t>；承接企业为</w:t>
      </w:r>
      <w:r>
        <w:rPr>
          <w:rFonts w:hint="eastAsia" w:ascii="宋体" w:hAnsi="宋体" w:cs="Courier New"/>
          <w:color w:val="auto"/>
          <w:sz w:val="22"/>
          <w:highlight w:val="none"/>
          <w:u w:val="single"/>
        </w:rPr>
        <w:t>（企业名称）</w:t>
      </w:r>
      <w:r>
        <w:rPr>
          <w:rFonts w:hint="eastAsia" w:ascii="宋体" w:hAnsi="宋体" w:cs="Courier New"/>
          <w:color w:val="auto"/>
          <w:sz w:val="22"/>
          <w:highlight w:val="none"/>
        </w:rPr>
        <w:t>，从业人员</w:t>
      </w:r>
      <w:r>
        <w:rPr>
          <w:rFonts w:hint="eastAsia" w:ascii="宋体" w:hAnsi="宋体" w:cs="Courier New"/>
          <w:color w:val="auto"/>
          <w:sz w:val="22"/>
          <w:highlight w:val="none"/>
          <w:u w:val="single"/>
        </w:rPr>
        <w:t xml:space="preserve">       </w:t>
      </w:r>
      <w:r>
        <w:rPr>
          <w:rFonts w:hint="eastAsia" w:ascii="宋体" w:hAnsi="宋体" w:cs="Courier New"/>
          <w:color w:val="auto"/>
          <w:sz w:val="22"/>
          <w:highlight w:val="none"/>
        </w:rPr>
        <w:t>人，营业收入为</w:t>
      </w:r>
      <w:r>
        <w:rPr>
          <w:rFonts w:hint="eastAsia" w:ascii="宋体" w:hAnsi="宋体" w:cs="Courier New"/>
          <w:color w:val="auto"/>
          <w:sz w:val="22"/>
          <w:highlight w:val="none"/>
          <w:u w:val="single"/>
        </w:rPr>
        <w:t xml:space="preserve">       </w:t>
      </w:r>
      <w:r>
        <w:rPr>
          <w:rFonts w:hint="eastAsia" w:ascii="宋体" w:hAnsi="宋体" w:cs="Courier New"/>
          <w:color w:val="auto"/>
          <w:sz w:val="22"/>
          <w:highlight w:val="none"/>
        </w:rPr>
        <w:t>万元，资产总额为</w:t>
      </w:r>
      <w:r>
        <w:rPr>
          <w:rFonts w:hint="eastAsia" w:ascii="宋体" w:hAnsi="宋体" w:cs="Courier New"/>
          <w:color w:val="auto"/>
          <w:sz w:val="22"/>
          <w:highlight w:val="none"/>
          <w:u w:val="single"/>
        </w:rPr>
        <w:t xml:space="preserve">       </w:t>
      </w:r>
      <w:r>
        <w:rPr>
          <w:rFonts w:hint="eastAsia" w:ascii="宋体" w:hAnsi="宋体" w:cs="Courier New"/>
          <w:color w:val="auto"/>
          <w:sz w:val="22"/>
          <w:highlight w:val="none"/>
        </w:rPr>
        <w:t>万元</w:t>
      </w:r>
      <w:r>
        <w:rPr>
          <w:rFonts w:hint="eastAsia" w:ascii="宋体" w:hAnsi="宋体" w:cs="Courier New"/>
          <w:color w:val="auto"/>
          <w:sz w:val="22"/>
          <w:highlight w:val="none"/>
          <w:vertAlign w:val="superscript"/>
        </w:rPr>
        <w:t>1</w:t>
      </w:r>
      <w:r>
        <w:rPr>
          <w:rFonts w:hint="eastAsia" w:ascii="宋体" w:hAnsi="宋体" w:cs="Courier New"/>
          <w:color w:val="auto"/>
          <w:sz w:val="22"/>
          <w:highlight w:val="none"/>
        </w:rPr>
        <w:t>，属于</w:t>
      </w:r>
      <w:r>
        <w:rPr>
          <w:rFonts w:hint="eastAsia" w:ascii="宋体" w:hAnsi="宋体" w:cs="Courier New"/>
          <w:color w:val="auto"/>
          <w:sz w:val="22"/>
          <w:highlight w:val="none"/>
          <w:u w:val="single"/>
        </w:rPr>
        <w:t xml:space="preserve">     （中型企业、小型企业、微型企业）</w:t>
      </w:r>
      <w:r>
        <w:rPr>
          <w:rFonts w:hint="eastAsia" w:ascii="宋体" w:hAnsi="宋体" w:cs="Courier New"/>
          <w:color w:val="auto"/>
          <w:sz w:val="22"/>
          <w:highlight w:val="none"/>
        </w:rPr>
        <w:t>；</w:t>
      </w:r>
    </w:p>
    <w:p w14:paraId="284558C2">
      <w:pPr>
        <w:spacing w:line="460" w:lineRule="atLeast"/>
        <w:ind w:firstLine="440" w:firstLineChars="200"/>
        <w:rPr>
          <w:rFonts w:ascii="宋体" w:hAnsi="宋体" w:cs="Courier New"/>
          <w:color w:val="auto"/>
          <w:sz w:val="22"/>
          <w:highlight w:val="none"/>
        </w:rPr>
      </w:pPr>
      <w:r>
        <w:rPr>
          <w:rFonts w:hint="eastAsia" w:ascii="宋体" w:hAnsi="宋体" w:cs="Courier New"/>
          <w:color w:val="auto"/>
          <w:sz w:val="22"/>
          <w:highlight w:val="none"/>
        </w:rPr>
        <w:t xml:space="preserve">2. </w:t>
      </w:r>
      <w:r>
        <w:rPr>
          <w:rFonts w:hint="eastAsia" w:ascii="宋体" w:hAnsi="宋体" w:cs="Courier New"/>
          <w:color w:val="auto"/>
          <w:sz w:val="22"/>
          <w:highlight w:val="none"/>
          <w:u w:val="single"/>
        </w:rPr>
        <w:t xml:space="preserve">（标的名称） </w:t>
      </w:r>
      <w:r>
        <w:rPr>
          <w:rFonts w:hint="eastAsia" w:ascii="宋体" w:hAnsi="宋体" w:cs="Courier New"/>
          <w:color w:val="auto"/>
          <w:sz w:val="22"/>
          <w:highlight w:val="none"/>
        </w:rPr>
        <w:t>，属于</w:t>
      </w:r>
      <w:r>
        <w:rPr>
          <w:rFonts w:hint="eastAsia" w:ascii="宋体" w:hAnsi="宋体" w:cs="Courier New"/>
          <w:color w:val="auto"/>
          <w:sz w:val="22"/>
          <w:highlight w:val="none"/>
          <w:u w:val="single"/>
        </w:rPr>
        <w:t>（采购文件中明确的所属行业）</w:t>
      </w:r>
      <w:r>
        <w:rPr>
          <w:rFonts w:hint="eastAsia" w:ascii="宋体" w:hAnsi="宋体" w:cs="Courier New"/>
          <w:color w:val="auto"/>
          <w:sz w:val="22"/>
          <w:highlight w:val="none"/>
        </w:rPr>
        <w:t>；承接企业为</w:t>
      </w:r>
      <w:r>
        <w:rPr>
          <w:rFonts w:hint="eastAsia" w:ascii="宋体" w:hAnsi="宋体" w:cs="Courier New"/>
          <w:color w:val="auto"/>
          <w:sz w:val="22"/>
          <w:highlight w:val="none"/>
          <w:u w:val="single"/>
        </w:rPr>
        <w:t>（企业名称）</w:t>
      </w:r>
      <w:r>
        <w:rPr>
          <w:rFonts w:hint="eastAsia" w:ascii="宋体" w:hAnsi="宋体" w:cs="Courier New"/>
          <w:color w:val="auto"/>
          <w:sz w:val="22"/>
          <w:highlight w:val="none"/>
        </w:rPr>
        <w:t>，从业人员</w:t>
      </w:r>
      <w:r>
        <w:rPr>
          <w:rFonts w:hint="eastAsia" w:ascii="宋体" w:hAnsi="宋体" w:cs="Courier New"/>
          <w:color w:val="auto"/>
          <w:sz w:val="22"/>
          <w:highlight w:val="none"/>
          <w:u w:val="single"/>
        </w:rPr>
        <w:t xml:space="preserve">       </w:t>
      </w:r>
      <w:r>
        <w:rPr>
          <w:rFonts w:hint="eastAsia" w:ascii="宋体" w:hAnsi="宋体" w:cs="Courier New"/>
          <w:color w:val="auto"/>
          <w:sz w:val="22"/>
          <w:highlight w:val="none"/>
        </w:rPr>
        <w:t>人，营业收入为</w:t>
      </w:r>
      <w:r>
        <w:rPr>
          <w:rFonts w:hint="eastAsia" w:ascii="宋体" w:hAnsi="宋体" w:cs="Courier New"/>
          <w:color w:val="auto"/>
          <w:sz w:val="22"/>
          <w:highlight w:val="none"/>
          <w:u w:val="single"/>
        </w:rPr>
        <w:t xml:space="preserve">       </w:t>
      </w:r>
      <w:r>
        <w:rPr>
          <w:rFonts w:hint="eastAsia" w:ascii="宋体" w:hAnsi="宋体" w:cs="Courier New"/>
          <w:color w:val="auto"/>
          <w:sz w:val="22"/>
          <w:highlight w:val="none"/>
        </w:rPr>
        <w:t>万元，资产总额为</w:t>
      </w:r>
      <w:r>
        <w:rPr>
          <w:rFonts w:hint="eastAsia" w:ascii="宋体" w:hAnsi="宋体" w:cs="Courier New"/>
          <w:color w:val="auto"/>
          <w:sz w:val="22"/>
          <w:highlight w:val="none"/>
          <w:u w:val="single"/>
        </w:rPr>
        <w:t xml:space="preserve">       </w:t>
      </w:r>
      <w:r>
        <w:rPr>
          <w:rFonts w:hint="eastAsia" w:ascii="宋体" w:hAnsi="宋体" w:cs="Courier New"/>
          <w:color w:val="auto"/>
          <w:sz w:val="22"/>
          <w:highlight w:val="none"/>
        </w:rPr>
        <w:t>万元，属于</w:t>
      </w:r>
      <w:r>
        <w:rPr>
          <w:rFonts w:hint="eastAsia" w:ascii="宋体" w:hAnsi="宋体" w:cs="Courier New"/>
          <w:color w:val="auto"/>
          <w:sz w:val="22"/>
          <w:highlight w:val="none"/>
          <w:u w:val="single"/>
        </w:rPr>
        <w:t xml:space="preserve">     （中型企业、小型企业、微型企业）</w:t>
      </w:r>
      <w:r>
        <w:rPr>
          <w:rFonts w:hint="eastAsia" w:ascii="宋体" w:hAnsi="宋体" w:cs="Courier New"/>
          <w:color w:val="auto"/>
          <w:sz w:val="22"/>
          <w:highlight w:val="none"/>
        </w:rPr>
        <w:t>；</w:t>
      </w:r>
    </w:p>
    <w:p w14:paraId="187F19D9">
      <w:pPr>
        <w:spacing w:line="460" w:lineRule="atLeast"/>
        <w:ind w:firstLine="440" w:firstLineChars="200"/>
        <w:rPr>
          <w:rFonts w:ascii="宋体" w:hAnsi="宋体" w:cs="Courier New"/>
          <w:b/>
          <w:color w:val="auto"/>
          <w:sz w:val="22"/>
          <w:highlight w:val="none"/>
        </w:rPr>
      </w:pPr>
      <w:r>
        <w:rPr>
          <w:rFonts w:hint="eastAsia" w:ascii="宋体" w:hAnsi="宋体" w:cs="Courier New"/>
          <w:color w:val="auto"/>
          <w:sz w:val="22"/>
          <w:highlight w:val="none"/>
        </w:rPr>
        <w:t>  </w:t>
      </w:r>
      <w:r>
        <w:rPr>
          <w:rFonts w:ascii="宋体" w:hAnsi="宋体" w:cs="Courier New"/>
          <w:color w:val="auto"/>
          <w:sz w:val="22"/>
          <w:highlight w:val="none"/>
        </w:rPr>
        <w:t>……</w:t>
      </w:r>
    </w:p>
    <w:p w14:paraId="2034AA5A">
      <w:pPr>
        <w:spacing w:line="460" w:lineRule="atLeast"/>
        <w:rPr>
          <w:rFonts w:ascii="宋体" w:hAnsi="宋体" w:cs="Courier New"/>
          <w:b/>
          <w:color w:val="auto"/>
          <w:sz w:val="22"/>
          <w:highlight w:val="none"/>
        </w:rPr>
      </w:pPr>
    </w:p>
    <w:p w14:paraId="786B50EA">
      <w:pPr>
        <w:spacing w:line="460" w:lineRule="atLeast"/>
        <w:ind w:firstLine="440" w:firstLineChars="200"/>
        <w:rPr>
          <w:rFonts w:ascii="宋体" w:hAnsi="宋体" w:cs="Courier New"/>
          <w:b/>
          <w:color w:val="auto"/>
          <w:sz w:val="22"/>
          <w:highlight w:val="none"/>
        </w:rPr>
      </w:pPr>
      <w:r>
        <w:rPr>
          <w:rFonts w:ascii="宋体" w:hAnsi="宋体" w:cs="Courier New"/>
          <w:color w:val="auto"/>
          <w:sz w:val="22"/>
          <w:highlight w:val="none"/>
        </w:rPr>
        <w:t xml:space="preserve">以上企业，不属于大企业的分支机构，不存在控股股东为大企业的情形，也不存在与大企业的负责人为同一人的情形。 </w:t>
      </w:r>
    </w:p>
    <w:p w14:paraId="4A4639D3">
      <w:pPr>
        <w:spacing w:line="460" w:lineRule="atLeast"/>
        <w:ind w:firstLine="440" w:firstLineChars="200"/>
        <w:rPr>
          <w:rFonts w:ascii="宋体" w:hAnsi="宋体" w:cs="Courier New"/>
          <w:b/>
          <w:color w:val="auto"/>
          <w:sz w:val="22"/>
          <w:highlight w:val="none"/>
        </w:rPr>
      </w:pPr>
      <w:r>
        <w:rPr>
          <w:rFonts w:ascii="宋体" w:hAnsi="宋体" w:cs="Courier New"/>
          <w:color w:val="auto"/>
          <w:sz w:val="22"/>
          <w:highlight w:val="none"/>
        </w:rPr>
        <w:t xml:space="preserve">本企业对上述声明内容的真实性负责。如有虚假，将依法承担相应责任。 </w:t>
      </w:r>
    </w:p>
    <w:p w14:paraId="4AC3DBA0">
      <w:pPr>
        <w:spacing w:line="460" w:lineRule="atLeast"/>
        <w:rPr>
          <w:rFonts w:ascii="宋体" w:hAnsi="宋体" w:cs="Courier New"/>
          <w:b/>
          <w:color w:val="auto"/>
          <w:sz w:val="22"/>
          <w:highlight w:val="none"/>
        </w:rPr>
      </w:pPr>
    </w:p>
    <w:p w14:paraId="5B55F0E1">
      <w:pPr>
        <w:spacing w:line="460" w:lineRule="atLeast"/>
        <w:jc w:val="center"/>
        <w:rPr>
          <w:rFonts w:ascii="宋体" w:hAnsi="宋体" w:cs="Courier New"/>
          <w:color w:val="auto"/>
          <w:sz w:val="22"/>
          <w:highlight w:val="none"/>
        </w:rPr>
      </w:pPr>
      <w:r>
        <w:rPr>
          <w:rFonts w:hint="eastAsia" w:ascii="宋体" w:hAnsi="宋体" w:cs="Courier New"/>
          <w:color w:val="auto"/>
          <w:sz w:val="22"/>
          <w:highlight w:val="none"/>
        </w:rPr>
        <w:t xml:space="preserve"> </w:t>
      </w:r>
      <w:r>
        <w:rPr>
          <w:rFonts w:ascii="宋体" w:hAnsi="宋体" w:cs="Courier New"/>
          <w:color w:val="auto"/>
          <w:sz w:val="22"/>
          <w:highlight w:val="none"/>
        </w:rPr>
        <w:t xml:space="preserve">                         </w:t>
      </w:r>
      <w:r>
        <w:rPr>
          <w:rFonts w:hint="eastAsia" w:ascii="宋体" w:hAnsi="宋体" w:cs="Courier New"/>
          <w:color w:val="auto"/>
          <w:sz w:val="22"/>
          <w:highlight w:val="none"/>
        </w:rPr>
        <w:t>投标供应商名称（盖章）：    </w:t>
      </w:r>
    </w:p>
    <w:p w14:paraId="7207BC18">
      <w:pPr>
        <w:spacing w:line="460" w:lineRule="atLeast"/>
        <w:jc w:val="center"/>
        <w:rPr>
          <w:rFonts w:ascii="宋体" w:hAnsi="宋体" w:cs="Courier New"/>
          <w:color w:val="auto"/>
          <w:sz w:val="22"/>
          <w:highlight w:val="none"/>
        </w:rPr>
      </w:pPr>
      <w:r>
        <w:rPr>
          <w:rFonts w:hint="eastAsia" w:ascii="宋体" w:hAnsi="宋体" w:cs="Courier New"/>
          <w:color w:val="auto"/>
          <w:sz w:val="22"/>
          <w:highlight w:val="none"/>
        </w:rPr>
        <w:t>日期：</w:t>
      </w:r>
    </w:p>
    <w:p w14:paraId="20024E55">
      <w:pPr>
        <w:spacing w:line="440" w:lineRule="atLeast"/>
        <w:rPr>
          <w:rFonts w:ascii="宋体" w:hAnsi="宋体" w:cs="Courier New"/>
          <w:color w:val="auto"/>
          <w:sz w:val="22"/>
          <w:highlight w:val="none"/>
        </w:rPr>
      </w:pPr>
    </w:p>
    <w:p w14:paraId="3CBC69C0">
      <w:pPr>
        <w:spacing w:line="440" w:lineRule="atLeast"/>
        <w:rPr>
          <w:rFonts w:ascii="宋体" w:hAnsi="宋体" w:cs="Courier New"/>
          <w:color w:val="auto"/>
          <w:sz w:val="22"/>
          <w:highlight w:val="none"/>
        </w:rPr>
      </w:pPr>
    </w:p>
    <w:p w14:paraId="5569277F">
      <w:pPr>
        <w:spacing w:line="440" w:lineRule="atLeast"/>
        <w:rPr>
          <w:rFonts w:ascii="宋体" w:hAnsi="宋体" w:cs="Courier New"/>
          <w:b/>
          <w:bCs/>
          <w:color w:val="auto"/>
          <w:sz w:val="22"/>
          <w:highlight w:val="none"/>
        </w:rPr>
      </w:pPr>
      <w:r>
        <w:rPr>
          <w:rFonts w:ascii="宋体" w:hAnsi="宋体" w:cs="Courier New"/>
          <w:color w:val="auto"/>
          <w:sz w:val="22"/>
          <w:highlight w:val="none"/>
        </w:rPr>
        <w:t xml:space="preserve">   </w:t>
      </w:r>
      <w:r>
        <w:rPr>
          <w:rFonts w:ascii="宋体" w:hAnsi="宋体" w:cs="Courier New"/>
          <w:bCs/>
          <w:color w:val="auto"/>
          <w:sz w:val="22"/>
          <w:highlight w:val="none"/>
        </w:rPr>
        <w:t xml:space="preserve"> </w:t>
      </w:r>
      <w:r>
        <w:rPr>
          <w:rFonts w:hint="eastAsia" w:ascii="宋体" w:hAnsi="宋体" w:cs="Courier New"/>
          <w:bCs/>
          <w:color w:val="auto"/>
          <w:sz w:val="22"/>
          <w:highlight w:val="none"/>
        </w:rPr>
        <w:t>说明：</w:t>
      </w:r>
    </w:p>
    <w:p w14:paraId="4567AB9A">
      <w:pPr>
        <w:spacing w:line="440" w:lineRule="atLeast"/>
        <w:rPr>
          <w:rFonts w:ascii="宋体" w:hAnsi="宋体" w:cs="Courier New"/>
          <w:b/>
          <w:bCs/>
          <w:color w:val="auto"/>
          <w:sz w:val="22"/>
          <w:highlight w:val="none"/>
        </w:rPr>
      </w:pPr>
      <w:r>
        <w:rPr>
          <w:rFonts w:ascii="宋体" w:hAnsi="宋体" w:cs="Courier New"/>
          <w:bCs/>
          <w:color w:val="auto"/>
          <w:sz w:val="22"/>
          <w:highlight w:val="none"/>
        </w:rPr>
        <w:t xml:space="preserve">    1</w:t>
      </w:r>
      <w:r>
        <w:rPr>
          <w:rFonts w:hint="eastAsia" w:ascii="宋体" w:hAnsi="宋体" w:cs="Courier New"/>
          <w:bCs/>
          <w:color w:val="auto"/>
          <w:sz w:val="22"/>
          <w:highlight w:val="none"/>
        </w:rPr>
        <w:t>、从业人员、营业收入、资产总额填报上一年度数据，无上一年度数据的新成立企业可不填报。</w:t>
      </w:r>
    </w:p>
    <w:p w14:paraId="08D310DC">
      <w:pPr>
        <w:spacing w:line="440" w:lineRule="atLeast"/>
        <w:rPr>
          <w:rFonts w:ascii="宋体" w:hAnsi="宋体" w:cs="Courier New"/>
          <w:b/>
          <w:bCs/>
          <w:color w:val="auto"/>
          <w:sz w:val="22"/>
          <w:highlight w:val="none"/>
        </w:rPr>
      </w:pPr>
      <w:r>
        <w:rPr>
          <w:rFonts w:ascii="宋体" w:hAnsi="宋体" w:cs="Courier New"/>
          <w:bCs/>
          <w:color w:val="auto"/>
          <w:sz w:val="22"/>
          <w:highlight w:val="none"/>
        </w:rPr>
        <w:t xml:space="preserve">    2</w:t>
      </w:r>
      <w:r>
        <w:rPr>
          <w:rFonts w:hint="eastAsia" w:ascii="宋体" w:hAnsi="宋体" w:cs="Courier New"/>
          <w:bCs/>
          <w:color w:val="auto"/>
          <w:sz w:val="22"/>
          <w:highlight w:val="none"/>
        </w:rPr>
        <w:t>、如中标，将在采购结果公告中将此中小企业声明函予以公示，接受社会监督。</w:t>
      </w:r>
    </w:p>
    <w:p w14:paraId="585EAC15">
      <w:pPr>
        <w:spacing w:line="440" w:lineRule="atLeast"/>
        <w:rPr>
          <w:rFonts w:ascii="宋体" w:hAnsi="宋体" w:cs="Courier New"/>
          <w:color w:val="auto"/>
          <w:sz w:val="22"/>
          <w:highlight w:val="none"/>
        </w:rPr>
      </w:pPr>
    </w:p>
    <w:p w14:paraId="4EDD9838">
      <w:pPr>
        <w:spacing w:line="440" w:lineRule="atLeast"/>
        <w:rPr>
          <w:rFonts w:ascii="宋体" w:hAnsi="宋体" w:cs="宋体"/>
          <w:color w:val="auto"/>
          <w:sz w:val="22"/>
          <w:highlight w:val="none"/>
        </w:rPr>
      </w:pPr>
    </w:p>
    <w:p w14:paraId="0C3FA98D">
      <w:pPr>
        <w:spacing w:line="440" w:lineRule="atLeast"/>
        <w:rPr>
          <w:rFonts w:ascii="宋体" w:hAnsi="宋体" w:cs="宋体"/>
          <w:color w:val="auto"/>
          <w:sz w:val="22"/>
          <w:highlight w:val="none"/>
        </w:rPr>
      </w:pPr>
    </w:p>
    <w:p w14:paraId="3426E013">
      <w:pPr>
        <w:spacing w:line="440" w:lineRule="atLeast"/>
        <w:rPr>
          <w:rFonts w:ascii="宋体" w:hAnsi="宋体" w:cs="宋体"/>
          <w:color w:val="auto"/>
          <w:sz w:val="22"/>
          <w:highlight w:val="none"/>
        </w:rPr>
      </w:pPr>
    </w:p>
    <w:p w14:paraId="4E931B6E">
      <w:pPr>
        <w:spacing w:line="460" w:lineRule="exact"/>
        <w:rPr>
          <w:rFonts w:ascii="宋体" w:hAnsi="宋体" w:cs="宋体"/>
          <w:color w:val="auto"/>
          <w:sz w:val="22"/>
          <w:highlight w:val="none"/>
        </w:rPr>
      </w:pPr>
      <w:r>
        <w:rPr>
          <w:rFonts w:ascii="宋体" w:hAnsi="宋体" w:cs="宋体"/>
          <w:color w:val="auto"/>
          <w:sz w:val="22"/>
          <w:highlight w:val="none"/>
        </w:rPr>
        <w:br w:type="page"/>
      </w:r>
      <w:r>
        <w:rPr>
          <w:rFonts w:hint="eastAsia" w:ascii="宋体" w:hAnsi="宋体" w:cs="宋体"/>
          <w:color w:val="auto"/>
          <w:sz w:val="22"/>
          <w:highlight w:val="none"/>
        </w:rPr>
        <w:t>附件2</w:t>
      </w:r>
    </w:p>
    <w:p w14:paraId="3BC8ADA3">
      <w:pPr>
        <w:spacing w:line="460" w:lineRule="exact"/>
        <w:jc w:val="center"/>
        <w:rPr>
          <w:rFonts w:ascii="宋体" w:hAnsi="宋体" w:cs="宋体"/>
          <w:color w:val="auto"/>
          <w:sz w:val="22"/>
          <w:highlight w:val="none"/>
        </w:rPr>
      </w:pPr>
      <w:bookmarkStart w:id="44" w:name="OLE_LINK13"/>
      <w:bookmarkStart w:id="45" w:name="OLE_LINK14"/>
      <w:r>
        <w:rPr>
          <w:rFonts w:hint="eastAsia" w:ascii="宋体" w:hAnsi="宋体" w:cs="宋体"/>
          <w:color w:val="auto"/>
          <w:sz w:val="22"/>
          <w:highlight w:val="none"/>
        </w:rPr>
        <w:t>残疾人福利性单位声明函</w:t>
      </w:r>
    </w:p>
    <w:bookmarkEnd w:id="44"/>
    <w:bookmarkEnd w:id="45"/>
    <w:p w14:paraId="6F842E52">
      <w:pPr>
        <w:spacing w:line="588" w:lineRule="exact"/>
        <w:rPr>
          <w:rFonts w:ascii="宋体" w:hAnsi="宋体"/>
          <w:color w:val="auto"/>
          <w:spacing w:val="6"/>
          <w:sz w:val="30"/>
          <w:szCs w:val="30"/>
          <w:highlight w:val="none"/>
        </w:rPr>
      </w:pPr>
    </w:p>
    <w:p w14:paraId="1F77D1C6">
      <w:pPr>
        <w:spacing w:line="588"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本单位郑重声明，根据《财政部 民政部 中国残疾人联合会关于促进残疾人就业政府采购政策的通知》（财库〔2017〕 141号）的规定，本单位为符合条件的残疾人福利性单位，且本单位参加</w:t>
      </w:r>
      <w:r>
        <w:rPr>
          <w:rFonts w:ascii="宋体" w:hAnsi="宋体" w:cs="宋体"/>
          <w:color w:val="auto"/>
          <w:sz w:val="22"/>
          <w:highlight w:val="none"/>
        </w:rPr>
        <w:t>______单位的______项目采购活动提供本单位制造的货物（由本单位承担工程/提供服务），或者提供其他残疾人福利性单位制造的货物（不包括使用非残疾人福利性单位注册商标的货物）。</w:t>
      </w:r>
    </w:p>
    <w:p w14:paraId="1883C907">
      <w:pPr>
        <w:spacing w:line="588"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本单位对上述声明的真实性负责。如有虚假，将依法承担相应责任。</w:t>
      </w:r>
    </w:p>
    <w:p w14:paraId="0AE6BD45">
      <w:pPr>
        <w:spacing w:line="588" w:lineRule="exact"/>
        <w:ind w:firstLine="624" w:firstLineChars="200"/>
        <w:rPr>
          <w:rFonts w:ascii="宋体" w:hAnsi="宋体"/>
          <w:color w:val="auto"/>
          <w:spacing w:val="6"/>
          <w:sz w:val="30"/>
          <w:szCs w:val="30"/>
          <w:highlight w:val="none"/>
        </w:rPr>
      </w:pPr>
    </w:p>
    <w:p w14:paraId="4BE4676B">
      <w:pPr>
        <w:spacing w:line="588" w:lineRule="exact"/>
        <w:ind w:firstLine="624" w:firstLineChars="200"/>
        <w:rPr>
          <w:rFonts w:ascii="宋体" w:hAnsi="宋体"/>
          <w:color w:val="auto"/>
          <w:spacing w:val="6"/>
          <w:sz w:val="30"/>
          <w:szCs w:val="30"/>
          <w:highlight w:val="none"/>
        </w:rPr>
      </w:pPr>
    </w:p>
    <w:p w14:paraId="49D2F6F9">
      <w:pPr>
        <w:spacing w:line="460" w:lineRule="atLeast"/>
        <w:rPr>
          <w:rFonts w:ascii="宋体" w:hAnsi="宋体" w:cs="宋体"/>
          <w:color w:val="auto"/>
          <w:sz w:val="22"/>
          <w:highlight w:val="none"/>
        </w:rPr>
      </w:pPr>
      <w:r>
        <w:rPr>
          <w:rFonts w:hint="eastAsia" w:ascii="宋体" w:hAnsi="宋体" w:cs="宋体"/>
          <w:color w:val="auto"/>
          <w:sz w:val="22"/>
          <w:highlight w:val="none"/>
        </w:rPr>
        <w:t>供应商名称（盖章）：                </w:t>
      </w:r>
    </w:p>
    <w:p w14:paraId="24ADCC0F">
      <w:pPr>
        <w:spacing w:line="460" w:lineRule="atLeast"/>
        <w:rPr>
          <w:rFonts w:ascii="宋体" w:hAnsi="宋体" w:cs="宋体"/>
          <w:color w:val="auto"/>
          <w:sz w:val="22"/>
          <w:highlight w:val="none"/>
        </w:rPr>
      </w:pPr>
      <w:r>
        <w:rPr>
          <w:rFonts w:hint="eastAsia" w:ascii="宋体" w:hAnsi="宋体" w:cs="宋体"/>
          <w:color w:val="auto"/>
          <w:sz w:val="22"/>
          <w:highlight w:val="none"/>
        </w:rPr>
        <w:t>日期：</w:t>
      </w:r>
    </w:p>
    <w:p w14:paraId="538048AD">
      <w:pPr>
        <w:tabs>
          <w:tab w:val="left" w:pos="4860"/>
        </w:tabs>
        <w:spacing w:line="588" w:lineRule="exact"/>
        <w:ind w:right="1560" w:firstLine="624" w:firstLineChars="200"/>
        <w:jc w:val="center"/>
        <w:rPr>
          <w:rFonts w:ascii="宋体" w:hAnsi="宋体"/>
          <w:color w:val="auto"/>
          <w:spacing w:val="6"/>
          <w:sz w:val="30"/>
          <w:szCs w:val="30"/>
          <w:highlight w:val="none"/>
        </w:rPr>
      </w:pPr>
    </w:p>
    <w:p w14:paraId="70E304EA">
      <w:pPr>
        <w:tabs>
          <w:tab w:val="left" w:pos="4860"/>
        </w:tabs>
        <w:spacing w:line="588" w:lineRule="exact"/>
        <w:ind w:right="1560" w:firstLine="624" w:firstLineChars="200"/>
        <w:jc w:val="center"/>
        <w:rPr>
          <w:rFonts w:ascii="宋体" w:hAnsi="宋体"/>
          <w:color w:val="auto"/>
          <w:spacing w:val="6"/>
          <w:sz w:val="30"/>
          <w:szCs w:val="30"/>
          <w:highlight w:val="none"/>
        </w:rPr>
      </w:pPr>
    </w:p>
    <w:p w14:paraId="288CC666">
      <w:pPr>
        <w:tabs>
          <w:tab w:val="left" w:pos="4860"/>
        </w:tabs>
        <w:spacing w:line="588" w:lineRule="exact"/>
        <w:ind w:right="1560"/>
        <w:jc w:val="left"/>
        <w:rPr>
          <w:rFonts w:ascii="宋体" w:hAnsi="宋体"/>
          <w:color w:val="auto"/>
          <w:sz w:val="22"/>
          <w:szCs w:val="22"/>
          <w:highlight w:val="none"/>
        </w:rPr>
      </w:pPr>
      <w:r>
        <w:rPr>
          <w:rFonts w:hint="eastAsia" w:ascii="宋体" w:hAnsi="宋体"/>
          <w:color w:val="auto"/>
          <w:sz w:val="22"/>
          <w:szCs w:val="22"/>
          <w:highlight w:val="none"/>
        </w:rPr>
        <w:t>备注说明：</w:t>
      </w:r>
    </w:p>
    <w:p w14:paraId="7351BE73">
      <w:pPr>
        <w:spacing w:line="588"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1、如中标，将在成交公告中将此残疾人福利性单位声明函予以公示，接受社会监督；</w:t>
      </w:r>
    </w:p>
    <w:p w14:paraId="6C2DD263">
      <w:pPr>
        <w:snapToGrid w:val="0"/>
        <w:spacing w:line="460" w:lineRule="atLeast"/>
        <w:ind w:firstLine="440" w:firstLineChars="200"/>
        <w:rPr>
          <w:rFonts w:ascii="宋体" w:hAns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、供应商提供的《残疾人福利性单位声明函》与事实不符的，依照《政府采购法》第七十七条第一款的规定追究法律责任。</w:t>
      </w:r>
    </w:p>
    <w:p w14:paraId="18525B6A">
      <w:pPr>
        <w:pStyle w:val="3"/>
        <w:ind w:firstLine="210"/>
        <w:rPr>
          <w:color w:val="auto"/>
          <w:highlight w:val="none"/>
        </w:rPr>
      </w:pPr>
    </w:p>
    <w:p w14:paraId="4E6D32D7">
      <w:pPr>
        <w:spacing w:line="588"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二、</w:t>
      </w:r>
      <w:r>
        <w:rPr>
          <w:rFonts w:ascii="宋体" w:hAnsi="宋体" w:cs="宋体"/>
          <w:b/>
          <w:bCs/>
          <w:color w:val="auto"/>
          <w:sz w:val="22"/>
          <w:highlight w:val="none"/>
        </w:rPr>
        <w:t>信贷政策</w:t>
      </w:r>
    </w:p>
    <w:p w14:paraId="3C867A28">
      <w:pPr>
        <w:spacing w:line="588"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为支持和促进中小企业发展，进一步发挥政府采购政策功能，温州市财政局已出台《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091E4451">
      <w:pPr>
        <w:pStyle w:val="5"/>
        <w:spacing w:line="360" w:lineRule="auto"/>
        <w:rPr>
          <w:rFonts w:ascii="宋体" w:hAnsi="宋体"/>
          <w:color w:val="auto"/>
          <w:sz w:val="36"/>
          <w:highlight w:val="none"/>
        </w:rPr>
      </w:pPr>
      <w:bookmarkStart w:id="46" w:name="_Toc11939"/>
      <w:r>
        <w:rPr>
          <w:rFonts w:hint="eastAsia" w:ascii="宋体" w:hAnsi="宋体"/>
          <w:color w:val="auto"/>
          <w:sz w:val="36"/>
          <w:highlight w:val="none"/>
        </w:rPr>
        <w:t>第五部分</w:t>
      </w:r>
      <w:r>
        <w:rPr>
          <w:rFonts w:ascii="宋体" w:hAnsi="宋体"/>
          <w:color w:val="auto"/>
          <w:sz w:val="36"/>
          <w:highlight w:val="none"/>
        </w:rPr>
        <w:t xml:space="preserve">    </w:t>
      </w:r>
      <w:r>
        <w:rPr>
          <w:rFonts w:hint="eastAsia" w:ascii="宋体" w:hAnsi="宋体"/>
          <w:color w:val="auto"/>
          <w:sz w:val="36"/>
          <w:highlight w:val="none"/>
        </w:rPr>
        <w:t>合同格式</w:t>
      </w:r>
      <w:bookmarkEnd w:id="46"/>
    </w:p>
    <w:p w14:paraId="3E849225">
      <w:pPr>
        <w:ind w:firstLine="541" w:firstLineChars="245"/>
        <w:outlineLvl w:val="1"/>
        <w:rPr>
          <w:rFonts w:hint="eastAsia" w:ascii="新宋体" w:hAnsi="新宋体" w:eastAsia="新宋体" w:cs="新宋体"/>
          <w:b/>
          <w:color w:val="auto"/>
          <w:sz w:val="22"/>
          <w:szCs w:val="22"/>
          <w:highlight w:val="none"/>
        </w:rPr>
      </w:pPr>
      <w:bookmarkStart w:id="47" w:name="_Toc12267"/>
      <w:r>
        <w:rPr>
          <w:rFonts w:hint="eastAsia" w:ascii="新宋体" w:hAnsi="新宋体" w:eastAsia="新宋体" w:cs="新宋体"/>
          <w:b/>
          <w:color w:val="auto"/>
          <w:sz w:val="22"/>
          <w:szCs w:val="22"/>
          <w:highlight w:val="none"/>
        </w:rPr>
        <w:t>一、合同总则</w:t>
      </w:r>
      <w:bookmarkEnd w:id="47"/>
    </w:p>
    <w:p w14:paraId="39DE829A">
      <w:pPr>
        <w:pStyle w:val="34"/>
        <w:tabs>
          <w:tab w:val="left" w:pos="1651"/>
          <w:tab w:val="left" w:pos="3828"/>
        </w:tabs>
        <w:spacing w:line="460" w:lineRule="exact"/>
        <w:ind w:firstLine="420" w:firstLineChars="200"/>
        <w:rPr>
          <w:rFonts w:eastAsia="宋体"/>
          <w:color w:val="auto"/>
          <w:highlight w:val="none"/>
        </w:rPr>
      </w:pPr>
      <w:r>
        <w:rPr>
          <w:rFonts w:hint="eastAsia" w:eastAsia="宋体"/>
          <w:color w:val="auto"/>
          <w:highlight w:val="none"/>
        </w:rPr>
        <w:t>温州市救助管理站以公开招标方式采购</w:t>
      </w:r>
      <w:r>
        <w:rPr>
          <w:rFonts w:hint="eastAsia"/>
          <w:color w:val="auto"/>
          <w:sz w:val="22"/>
          <w:highlight w:val="none"/>
          <w:lang w:eastAsia="zh-CN"/>
        </w:rPr>
        <w:t>温州市救助管理站站内救助管理服务项目</w:t>
      </w:r>
      <w:r>
        <w:rPr>
          <w:rFonts w:hint="eastAsia" w:eastAsia="宋体"/>
          <w:color w:val="auto"/>
          <w:highlight w:val="none"/>
        </w:rPr>
        <w:t>（采购编号：</w:t>
      </w:r>
      <w:r>
        <w:rPr>
          <w:rFonts w:hint="eastAsia" w:eastAsia="宋体"/>
          <w:color w:val="auto"/>
          <w:highlight w:val="none"/>
          <w:u w:val="single"/>
        </w:rPr>
        <w:t xml:space="preserve">                    </w:t>
      </w:r>
      <w:r>
        <w:rPr>
          <w:rFonts w:hint="eastAsia" w:eastAsia="宋体"/>
          <w:color w:val="auto"/>
          <w:highlight w:val="none"/>
        </w:rPr>
        <w:t>）。经</w:t>
      </w:r>
      <w:r>
        <w:rPr>
          <w:rFonts w:hint="eastAsia"/>
          <w:color w:val="auto"/>
          <w:highlight w:val="none"/>
          <w:lang w:eastAsia="zh-CN"/>
        </w:rPr>
        <w:t>采购人</w:t>
      </w:r>
      <w:r>
        <w:rPr>
          <w:rFonts w:hint="eastAsia" w:eastAsia="宋体"/>
          <w:color w:val="auto"/>
          <w:highlight w:val="none"/>
        </w:rPr>
        <w:t>定标</w:t>
      </w:r>
      <w:r>
        <w:rPr>
          <w:rFonts w:hint="eastAsia" w:eastAsia="宋体"/>
          <w:color w:val="auto"/>
          <w:highlight w:val="none"/>
          <w:u w:val="single"/>
        </w:rPr>
        <w:t xml:space="preserve">          </w:t>
      </w:r>
      <w:r>
        <w:rPr>
          <w:rFonts w:hint="eastAsia"/>
          <w:color w:val="auto"/>
          <w:highlight w:val="none"/>
          <w:lang w:eastAsia="zh-CN"/>
        </w:rPr>
        <w:t>成交供应商</w:t>
      </w:r>
      <w:r>
        <w:rPr>
          <w:rFonts w:hint="eastAsia" w:eastAsia="宋体"/>
          <w:color w:val="auto"/>
          <w:highlight w:val="none"/>
        </w:rPr>
        <w:t>为</w:t>
      </w:r>
      <w:r>
        <w:rPr>
          <w:rFonts w:hint="eastAsia" w:eastAsia="宋体"/>
          <w:color w:val="auto"/>
          <w:highlight w:val="none"/>
          <w:u w:val="single"/>
        </w:rPr>
        <w:t xml:space="preserve">                    </w:t>
      </w:r>
      <w:r>
        <w:rPr>
          <w:rFonts w:hint="eastAsia" w:eastAsia="宋体"/>
          <w:color w:val="auto"/>
          <w:highlight w:val="none"/>
        </w:rPr>
        <w:t>公司。买、卖双方同意按照下面的条款和条件，签署本合同。</w:t>
      </w:r>
    </w:p>
    <w:p w14:paraId="7244F604">
      <w:pPr>
        <w:pStyle w:val="34"/>
        <w:spacing w:line="460" w:lineRule="exact"/>
        <w:ind w:firstLine="420" w:firstLineChars="200"/>
        <w:rPr>
          <w:rFonts w:eastAsia="宋体"/>
          <w:color w:val="auto"/>
          <w:highlight w:val="none"/>
        </w:rPr>
      </w:pPr>
      <w:r>
        <w:rPr>
          <w:rFonts w:hint="eastAsia" w:eastAsia="宋体"/>
          <w:color w:val="auto"/>
          <w:highlight w:val="none"/>
        </w:rPr>
        <w:t>1、合同文件：下列文件构成本合同的组成部分：</w:t>
      </w:r>
    </w:p>
    <w:p w14:paraId="7E31391F">
      <w:pPr>
        <w:adjustRightInd w:val="0"/>
        <w:snapToGrid w:val="0"/>
        <w:spacing w:line="460" w:lineRule="exact"/>
        <w:ind w:firstLine="630"/>
        <w:rPr>
          <w:rFonts w:hint="eastAsia" w:ascii="宋体"/>
          <w:snapToGrid w:val="0"/>
          <w:color w:val="auto"/>
          <w:kern w:val="0"/>
          <w:szCs w:val="21"/>
          <w:highlight w:val="none"/>
        </w:rPr>
      </w:pPr>
      <w:r>
        <w:rPr>
          <w:rFonts w:hint="eastAsia" w:ascii="宋体"/>
          <w:snapToGrid w:val="0"/>
          <w:color w:val="auto"/>
          <w:kern w:val="0"/>
          <w:szCs w:val="21"/>
          <w:highlight w:val="none"/>
        </w:rPr>
        <w:t>a. 合同补充条款或说明</w:t>
      </w:r>
    </w:p>
    <w:p w14:paraId="2459628F">
      <w:pPr>
        <w:adjustRightInd w:val="0"/>
        <w:snapToGrid w:val="0"/>
        <w:spacing w:line="460" w:lineRule="exact"/>
        <w:ind w:firstLine="630"/>
        <w:rPr>
          <w:rFonts w:hint="eastAsia" w:ascii="宋体"/>
          <w:snapToGrid w:val="0"/>
          <w:color w:val="auto"/>
          <w:kern w:val="0"/>
          <w:szCs w:val="21"/>
          <w:highlight w:val="none"/>
        </w:rPr>
      </w:pPr>
      <w:r>
        <w:rPr>
          <w:rFonts w:hint="eastAsia" w:ascii="宋体"/>
          <w:snapToGrid w:val="0"/>
          <w:color w:val="auto"/>
          <w:kern w:val="0"/>
          <w:szCs w:val="21"/>
          <w:highlight w:val="none"/>
        </w:rPr>
        <w:t>b. 合同主要条款</w:t>
      </w:r>
    </w:p>
    <w:p w14:paraId="6867674B">
      <w:pPr>
        <w:adjustRightInd w:val="0"/>
        <w:snapToGrid w:val="0"/>
        <w:spacing w:line="460" w:lineRule="exact"/>
        <w:ind w:firstLine="630"/>
        <w:rPr>
          <w:rFonts w:hint="eastAsia" w:ascii="宋体"/>
          <w:snapToGrid w:val="0"/>
          <w:color w:val="auto"/>
          <w:kern w:val="0"/>
          <w:szCs w:val="21"/>
          <w:highlight w:val="none"/>
        </w:rPr>
      </w:pPr>
      <w:r>
        <w:rPr>
          <w:rFonts w:hint="eastAsia" w:ascii="宋体"/>
          <w:snapToGrid w:val="0"/>
          <w:color w:val="auto"/>
          <w:kern w:val="0"/>
          <w:szCs w:val="21"/>
          <w:highlight w:val="none"/>
        </w:rPr>
        <w:t xml:space="preserve">c. 中标通知书               </w:t>
      </w:r>
    </w:p>
    <w:p w14:paraId="28B4BF39">
      <w:pPr>
        <w:adjustRightInd w:val="0"/>
        <w:snapToGrid w:val="0"/>
        <w:spacing w:line="460" w:lineRule="exact"/>
        <w:ind w:firstLine="630"/>
        <w:rPr>
          <w:rFonts w:hint="eastAsia" w:ascii="宋体"/>
          <w:snapToGrid w:val="0"/>
          <w:color w:val="auto"/>
          <w:kern w:val="0"/>
          <w:szCs w:val="21"/>
          <w:highlight w:val="none"/>
        </w:rPr>
      </w:pPr>
      <w:r>
        <w:rPr>
          <w:rFonts w:hint="eastAsia" w:ascii="宋体"/>
          <w:snapToGrid w:val="0"/>
          <w:color w:val="auto"/>
          <w:kern w:val="0"/>
          <w:szCs w:val="21"/>
          <w:highlight w:val="none"/>
        </w:rPr>
        <w:t>d. 招标文件</w:t>
      </w:r>
    </w:p>
    <w:p w14:paraId="0C3059D3">
      <w:pPr>
        <w:adjustRightInd w:val="0"/>
        <w:snapToGrid w:val="0"/>
        <w:spacing w:line="460" w:lineRule="exact"/>
        <w:ind w:firstLine="630"/>
        <w:rPr>
          <w:rFonts w:hint="eastAsia" w:ascii="宋体"/>
          <w:snapToGrid w:val="0"/>
          <w:color w:val="auto"/>
          <w:kern w:val="0"/>
          <w:szCs w:val="21"/>
          <w:highlight w:val="none"/>
        </w:rPr>
      </w:pPr>
      <w:r>
        <w:rPr>
          <w:rFonts w:hint="eastAsia" w:ascii="宋体"/>
          <w:snapToGrid w:val="0"/>
          <w:color w:val="auto"/>
          <w:kern w:val="0"/>
          <w:szCs w:val="21"/>
          <w:highlight w:val="none"/>
        </w:rPr>
        <w:t>e. 承诺书</w:t>
      </w:r>
    </w:p>
    <w:p w14:paraId="39E17FC4">
      <w:pPr>
        <w:adjustRightInd w:val="0"/>
        <w:snapToGrid w:val="0"/>
        <w:spacing w:line="460" w:lineRule="exact"/>
        <w:ind w:firstLine="630"/>
        <w:rPr>
          <w:rFonts w:hint="eastAsia" w:ascii="宋体"/>
          <w:snapToGrid w:val="0"/>
          <w:color w:val="auto"/>
          <w:kern w:val="0"/>
          <w:szCs w:val="21"/>
          <w:highlight w:val="none"/>
        </w:rPr>
      </w:pPr>
      <w:r>
        <w:rPr>
          <w:rFonts w:hint="eastAsia" w:ascii="宋体"/>
          <w:snapToGrid w:val="0"/>
          <w:color w:val="auto"/>
          <w:kern w:val="0"/>
          <w:szCs w:val="21"/>
          <w:highlight w:val="none"/>
        </w:rPr>
        <w:t>f. 投标文件</w:t>
      </w:r>
    </w:p>
    <w:p w14:paraId="2D363508">
      <w:pPr>
        <w:adjustRightInd w:val="0"/>
        <w:snapToGrid w:val="0"/>
        <w:spacing w:line="460" w:lineRule="exact"/>
        <w:ind w:firstLine="630"/>
        <w:rPr>
          <w:rFonts w:hint="eastAsia" w:ascii="宋体"/>
          <w:snapToGrid w:val="0"/>
          <w:color w:val="auto"/>
          <w:kern w:val="0"/>
          <w:szCs w:val="21"/>
          <w:highlight w:val="none"/>
        </w:rPr>
      </w:pPr>
      <w:r>
        <w:rPr>
          <w:rFonts w:hint="eastAsia" w:ascii="宋体"/>
          <w:snapToGrid w:val="0"/>
          <w:color w:val="auto"/>
          <w:kern w:val="0"/>
          <w:szCs w:val="21"/>
          <w:highlight w:val="none"/>
        </w:rPr>
        <w:t>g. 履约保证金</w:t>
      </w:r>
    </w:p>
    <w:p w14:paraId="0A2FCA54">
      <w:pPr>
        <w:pStyle w:val="34"/>
        <w:spacing w:line="460" w:lineRule="exact"/>
        <w:ind w:firstLine="420" w:firstLineChars="200"/>
        <w:rPr>
          <w:rFonts w:eastAsia="宋体"/>
          <w:color w:val="auto"/>
          <w:highlight w:val="none"/>
        </w:rPr>
      </w:pPr>
      <w:r>
        <w:rPr>
          <w:rFonts w:hint="eastAsia" w:eastAsia="宋体"/>
          <w:color w:val="auto"/>
          <w:highlight w:val="none"/>
        </w:rPr>
        <w:t>合同条款以上述条款的先后顺序作为依据。</w:t>
      </w:r>
    </w:p>
    <w:p w14:paraId="27FFA9DF">
      <w:pPr>
        <w:pStyle w:val="34"/>
        <w:spacing w:line="460" w:lineRule="exact"/>
        <w:ind w:firstLine="420" w:firstLineChars="200"/>
        <w:rPr>
          <w:rFonts w:eastAsia="宋体"/>
          <w:color w:val="auto"/>
          <w:highlight w:val="none"/>
        </w:rPr>
      </w:pPr>
      <w:r>
        <w:rPr>
          <w:rFonts w:hint="eastAsia" w:eastAsia="宋体"/>
          <w:color w:val="auto"/>
          <w:highlight w:val="none"/>
        </w:rPr>
        <w:t>2、合同范围和条件：本合同的范围和条件应与上述规定的合同文件内容一致。</w:t>
      </w:r>
    </w:p>
    <w:p w14:paraId="188B846A">
      <w:pPr>
        <w:pStyle w:val="34"/>
        <w:spacing w:line="460" w:lineRule="exact"/>
        <w:ind w:firstLine="420" w:firstLineChars="200"/>
        <w:rPr>
          <w:rFonts w:eastAsia="宋体"/>
          <w:color w:val="auto"/>
          <w:highlight w:val="none"/>
        </w:rPr>
      </w:pPr>
      <w:r>
        <w:rPr>
          <w:rFonts w:hint="eastAsia" w:eastAsia="宋体"/>
          <w:color w:val="auto"/>
          <w:highlight w:val="none"/>
        </w:rPr>
        <w:t>3、服务和内容：本合同要求提供的服务和内容见合同附件。</w:t>
      </w:r>
    </w:p>
    <w:p w14:paraId="37F4EFBF">
      <w:pPr>
        <w:pStyle w:val="34"/>
        <w:spacing w:line="460" w:lineRule="exact"/>
        <w:ind w:firstLine="420" w:firstLineChars="200"/>
        <w:rPr>
          <w:rFonts w:eastAsia="宋体"/>
          <w:color w:val="auto"/>
          <w:highlight w:val="none"/>
        </w:rPr>
      </w:pPr>
      <w:r>
        <w:rPr>
          <w:rFonts w:hint="eastAsia" w:eastAsia="宋体"/>
          <w:color w:val="auto"/>
          <w:highlight w:val="none"/>
        </w:rPr>
        <w:t>4、服务费用及支付</w:t>
      </w:r>
    </w:p>
    <w:p w14:paraId="18187428">
      <w:pPr>
        <w:spacing w:line="460" w:lineRule="exact"/>
        <w:ind w:firstLine="422" w:firstLineChars="200"/>
        <w:rPr>
          <w:rFonts w:hint="eastAsia" w:ascii="宋体"/>
          <w:b/>
          <w:color w:val="auto"/>
          <w:highlight w:val="none"/>
        </w:rPr>
      </w:pPr>
      <w:r>
        <w:rPr>
          <w:rFonts w:hint="eastAsia" w:ascii="宋体"/>
          <w:b/>
          <w:color w:val="auto"/>
          <w:highlight w:val="none"/>
        </w:rPr>
        <w:t>1）合同价格：人民币（大写）：</w:t>
      </w:r>
      <w:r>
        <w:rPr>
          <w:rFonts w:hint="eastAsia" w:ascii="宋体"/>
          <w:b/>
          <w:color w:val="auto"/>
          <w:highlight w:val="none"/>
          <w:u w:val="single"/>
        </w:rPr>
        <w:t xml:space="preserve">                 </w:t>
      </w:r>
      <w:r>
        <w:rPr>
          <w:rFonts w:hint="eastAsia" w:ascii="宋体"/>
          <w:b/>
          <w:color w:val="auto"/>
          <w:highlight w:val="none"/>
        </w:rPr>
        <w:t xml:space="preserve"> 元。 小写：</w:t>
      </w:r>
      <w:r>
        <w:rPr>
          <w:rFonts w:hint="eastAsia" w:ascii="宋体"/>
          <w:b/>
          <w:color w:val="auto"/>
          <w:highlight w:val="none"/>
          <w:u w:val="single"/>
        </w:rPr>
        <w:t xml:space="preserve">             </w:t>
      </w:r>
      <w:r>
        <w:rPr>
          <w:rFonts w:hint="eastAsia" w:ascii="宋体"/>
          <w:b/>
          <w:color w:val="auto"/>
          <w:highlight w:val="none"/>
        </w:rPr>
        <w:t>元整。该价格已包括派遣的全职人员及在项目区域内提供救助区域</w:t>
      </w:r>
      <w:r>
        <w:rPr>
          <w:rFonts w:hint="eastAsia"/>
          <w:b/>
          <w:bCs/>
          <w:color w:val="auto"/>
          <w:highlight w:val="none"/>
          <w:lang w:eastAsia="zh-CN"/>
        </w:rPr>
        <w:t>生活照料服务、安保巡查</w:t>
      </w:r>
      <w:r>
        <w:rPr>
          <w:rFonts w:hint="eastAsia"/>
          <w:b/>
          <w:bCs/>
          <w:color w:val="auto"/>
          <w:highlight w:val="none"/>
        </w:rPr>
        <w:t>服务、餐饮服务等</w:t>
      </w:r>
      <w:r>
        <w:rPr>
          <w:rFonts w:hint="eastAsia" w:ascii="宋体"/>
          <w:b/>
          <w:color w:val="auto"/>
          <w:highlight w:val="none"/>
        </w:rPr>
        <w:t>其他所有服务所需的一切人员工资、奖金、各种加班费、夜餐费、各种社会保险、食宿与交通、服装、安全、仓储、维修、管理费用、税费、利润、完成合同所需的一切本身和不可或缺的所有工作开支、政策性文件规定计合同包含的所有风险、责任等各项全部费用。</w:t>
      </w:r>
    </w:p>
    <w:p w14:paraId="1E4C6008">
      <w:pPr>
        <w:spacing w:line="460" w:lineRule="exact"/>
        <w:ind w:firstLine="422" w:firstLineChars="200"/>
        <w:rPr>
          <w:rFonts w:hint="eastAsia" w:ascii="宋体"/>
          <w:b/>
          <w:color w:val="auto"/>
          <w:highlight w:val="none"/>
        </w:rPr>
      </w:pPr>
      <w:r>
        <w:rPr>
          <w:rFonts w:hint="eastAsia" w:ascii="宋体"/>
          <w:b/>
          <w:color w:val="auto"/>
          <w:highlight w:val="none"/>
        </w:rPr>
        <w:t>2）合同价格中留取</w:t>
      </w:r>
      <w:r>
        <w:rPr>
          <w:rFonts w:hint="eastAsia" w:ascii="宋体"/>
          <w:b/>
          <w:color w:val="auto"/>
          <w:highlight w:val="none"/>
          <w:u w:val="single"/>
          <w:lang w:val="en-US" w:eastAsia="zh-CN"/>
        </w:rPr>
        <w:t xml:space="preserve">    </w:t>
      </w:r>
      <w:r>
        <w:rPr>
          <w:rFonts w:hint="eastAsia" w:ascii="宋体"/>
          <w:b/>
          <w:color w:val="auto"/>
          <w:highlight w:val="none"/>
        </w:rPr>
        <w:t>万元</w:t>
      </w:r>
      <w:r>
        <w:rPr>
          <w:rFonts w:hint="eastAsia" w:ascii="宋体"/>
          <w:b/>
          <w:bCs/>
          <w:color w:val="auto"/>
          <w:highlight w:val="none"/>
        </w:rPr>
        <w:t>，作为奖罚金。</w:t>
      </w:r>
      <w:r>
        <w:rPr>
          <w:rFonts w:hint="eastAsia" w:ascii="Calibri" w:hAnsi="Calibri" w:eastAsia="宋体"/>
          <w:b/>
          <w:bCs/>
          <w:color w:val="auto"/>
          <w:highlight w:val="none"/>
        </w:rPr>
        <w:t>如果乙方的服务质量使</w:t>
      </w:r>
      <w:r>
        <w:rPr>
          <w:rFonts w:hint="eastAsia" w:ascii="Calibri" w:hAnsi="Calibri"/>
          <w:b/>
          <w:bCs/>
          <w:color w:val="auto"/>
          <w:highlight w:val="none"/>
          <w:lang w:eastAsia="zh-CN"/>
        </w:rPr>
        <w:t>采购人</w:t>
      </w:r>
      <w:r>
        <w:rPr>
          <w:rFonts w:hint="eastAsia" w:ascii="Calibri" w:hAnsi="Calibri" w:eastAsia="宋体"/>
          <w:b/>
          <w:bCs/>
          <w:color w:val="auto"/>
          <w:highlight w:val="none"/>
        </w:rPr>
        <w:t>满意，且达到合同规定的各项要求</w:t>
      </w:r>
      <w:r>
        <w:rPr>
          <w:rFonts w:ascii="Calibri" w:hAnsi="Calibri" w:eastAsia="宋体"/>
          <w:b/>
          <w:bCs/>
          <w:color w:val="auto"/>
          <w:highlight w:val="none"/>
        </w:rPr>
        <w:t>，合同期满后予以支付</w:t>
      </w:r>
      <w:r>
        <w:rPr>
          <w:rFonts w:hint="eastAsia" w:ascii="宋体"/>
          <w:b/>
          <w:bCs/>
          <w:color w:val="auto"/>
          <w:highlight w:val="none"/>
        </w:rPr>
        <w:t>。</w:t>
      </w:r>
    </w:p>
    <w:p w14:paraId="662BFCFC">
      <w:pPr>
        <w:pStyle w:val="34"/>
        <w:spacing w:line="460" w:lineRule="exact"/>
        <w:ind w:firstLine="420" w:firstLineChars="200"/>
        <w:rPr>
          <w:rFonts w:eastAsia="宋体"/>
          <w:color w:val="auto"/>
          <w:highlight w:val="none"/>
        </w:rPr>
      </w:pPr>
      <w:r>
        <w:rPr>
          <w:rFonts w:hint="eastAsia" w:eastAsia="宋体"/>
          <w:color w:val="auto"/>
          <w:highlight w:val="none"/>
        </w:rPr>
        <w:t>5、</w:t>
      </w:r>
      <w:r>
        <w:rPr>
          <w:rFonts w:eastAsia="宋体"/>
          <w:color w:val="auto"/>
          <w:highlight w:val="none"/>
        </w:rPr>
        <w:t>服务</w:t>
      </w:r>
      <w:r>
        <w:rPr>
          <w:rFonts w:hint="eastAsia" w:eastAsia="宋体"/>
          <w:color w:val="auto"/>
          <w:highlight w:val="none"/>
        </w:rPr>
        <w:t>期限：</w:t>
      </w:r>
      <w:r>
        <w:rPr>
          <w:rFonts w:hint="eastAsia" w:ascii="Calibri" w:hAnsi="Calibri" w:eastAsia="宋体"/>
          <w:b w:val="0"/>
          <w:color w:val="auto"/>
          <w:highlight w:val="none"/>
        </w:rPr>
        <w:t>本项目提供服</w:t>
      </w:r>
      <w:r>
        <w:rPr>
          <w:rFonts w:hint="eastAsia" w:ascii="宋体" w:hAnsi="宋体" w:eastAsia="宋体" w:cs="宋体"/>
          <w:b w:val="0"/>
          <w:color w:val="auto"/>
          <w:highlight w:val="none"/>
        </w:rPr>
        <w:t>务期限为12个月（即20</w:t>
      </w:r>
      <w:r>
        <w:rPr>
          <w:rFonts w:hint="eastAsia" w:ascii="宋体" w:hAnsi="宋体" w:eastAsia="宋体" w:cs="宋体"/>
          <w:b w:val="0"/>
          <w:color w:val="auto"/>
          <w:highlight w:val="none"/>
          <w:u w:val="single"/>
          <w:lang w:val="en-US" w:eastAsia="zh-CN"/>
        </w:rPr>
        <w:t xml:space="preserve">  </w:t>
      </w:r>
      <w:r>
        <w:rPr>
          <w:rFonts w:hint="eastAsia" w:ascii="宋体" w:hAnsi="宋体" w:eastAsia="宋体" w:cs="宋体"/>
          <w:b w:val="0"/>
          <w:color w:val="auto"/>
          <w:highlight w:val="none"/>
        </w:rPr>
        <w:t>年</w:t>
      </w:r>
      <w:r>
        <w:rPr>
          <w:rFonts w:hint="eastAsia" w:ascii="宋体" w:hAnsi="宋体" w:eastAsia="宋体" w:cs="宋体"/>
          <w:b w:val="0"/>
          <w:color w:val="auto"/>
          <w:highlight w:val="none"/>
          <w:u w:val="single"/>
          <w:lang w:val="en-US" w:eastAsia="zh-CN"/>
        </w:rPr>
        <w:t xml:space="preserve">  </w:t>
      </w:r>
      <w:r>
        <w:rPr>
          <w:rFonts w:hint="eastAsia" w:ascii="宋体" w:hAnsi="宋体" w:eastAsia="宋体" w:cs="宋体"/>
          <w:b w:val="0"/>
          <w:color w:val="auto"/>
          <w:highlight w:val="none"/>
        </w:rPr>
        <w:t>月</w:t>
      </w:r>
      <w:r>
        <w:rPr>
          <w:rFonts w:hint="eastAsia" w:ascii="宋体" w:hAnsi="宋体" w:eastAsia="宋体" w:cs="宋体"/>
          <w:b w:val="0"/>
          <w:color w:val="auto"/>
          <w:highlight w:val="none"/>
          <w:u w:val="single"/>
          <w:lang w:val="en-US" w:eastAsia="zh-CN"/>
        </w:rPr>
        <w:t xml:space="preserve">  </w:t>
      </w:r>
      <w:r>
        <w:rPr>
          <w:rFonts w:hint="eastAsia" w:ascii="宋体" w:hAnsi="宋体" w:eastAsia="宋体" w:cs="宋体"/>
          <w:b w:val="0"/>
          <w:color w:val="auto"/>
          <w:highlight w:val="none"/>
        </w:rPr>
        <w:t>日-20</w:t>
      </w:r>
      <w:r>
        <w:rPr>
          <w:rFonts w:hint="eastAsia" w:ascii="宋体" w:hAnsi="宋体" w:eastAsia="宋体" w:cs="宋体"/>
          <w:b w:val="0"/>
          <w:color w:val="auto"/>
          <w:highlight w:val="none"/>
          <w:u w:val="single"/>
          <w:lang w:val="en-US" w:eastAsia="zh-CN"/>
        </w:rPr>
        <w:t xml:space="preserve">  </w:t>
      </w:r>
      <w:r>
        <w:rPr>
          <w:rFonts w:hint="eastAsia" w:ascii="宋体" w:hAnsi="宋体" w:eastAsia="宋体" w:cs="宋体"/>
          <w:b w:val="0"/>
          <w:color w:val="auto"/>
          <w:highlight w:val="none"/>
        </w:rPr>
        <w:t>年</w:t>
      </w:r>
      <w:r>
        <w:rPr>
          <w:rFonts w:hint="eastAsia" w:ascii="宋体" w:hAnsi="宋体" w:eastAsia="宋体" w:cs="宋体"/>
          <w:b w:val="0"/>
          <w:color w:val="auto"/>
          <w:highlight w:val="none"/>
          <w:u w:val="single"/>
          <w:lang w:val="en-US" w:eastAsia="zh-CN"/>
        </w:rPr>
        <w:t xml:space="preserve">  </w:t>
      </w:r>
      <w:r>
        <w:rPr>
          <w:rFonts w:hint="eastAsia" w:ascii="宋体" w:hAnsi="宋体" w:eastAsia="宋体" w:cs="宋体"/>
          <w:b w:val="0"/>
          <w:color w:val="auto"/>
          <w:highlight w:val="none"/>
        </w:rPr>
        <w:t>月</w:t>
      </w:r>
      <w:r>
        <w:rPr>
          <w:rFonts w:hint="eastAsia" w:ascii="宋体" w:hAnsi="宋体" w:eastAsia="宋体" w:cs="宋体"/>
          <w:b w:val="0"/>
          <w:color w:val="auto"/>
          <w:highlight w:val="none"/>
          <w:u w:val="single"/>
          <w:lang w:val="en-US" w:eastAsia="zh-CN"/>
        </w:rPr>
        <w:t xml:space="preserve">  </w:t>
      </w:r>
      <w:r>
        <w:rPr>
          <w:rFonts w:hint="eastAsia" w:ascii="宋体" w:hAnsi="宋体" w:eastAsia="宋体" w:cs="宋体"/>
          <w:b w:val="0"/>
          <w:color w:val="auto"/>
          <w:highlight w:val="none"/>
        </w:rPr>
        <w:t>日)。</w:t>
      </w:r>
    </w:p>
    <w:p w14:paraId="12DC2346">
      <w:pPr>
        <w:pStyle w:val="34"/>
        <w:spacing w:line="460" w:lineRule="exact"/>
        <w:ind w:firstLine="420" w:firstLineChars="200"/>
        <w:rPr>
          <w:rFonts w:hint="default" w:eastAsia="宋体" w:cs="仿宋_GB2312"/>
          <w:color w:val="auto"/>
          <w:highlight w:val="none"/>
          <w:lang w:val="en-US" w:eastAsia="zh-CN" w:bidi="ar-SA"/>
        </w:rPr>
      </w:pPr>
      <w:r>
        <w:rPr>
          <w:rFonts w:hint="eastAsia" w:eastAsia="宋体"/>
          <w:color w:val="auto"/>
          <w:highlight w:val="none"/>
        </w:rPr>
        <w:t>6、服务地点：</w:t>
      </w:r>
      <w:r>
        <w:rPr>
          <w:rFonts w:hint="eastAsia" w:eastAsia="宋体" w:cs="仿宋_GB2312"/>
          <w:color w:val="auto"/>
          <w:highlight w:val="none"/>
          <w:lang w:bidi="ar-SA"/>
        </w:rPr>
        <w:t xml:space="preserve"> </w:t>
      </w:r>
      <w:r>
        <w:rPr>
          <w:rFonts w:hint="eastAsia" w:eastAsia="宋体" w:cs="仿宋_GB2312"/>
          <w:color w:val="auto"/>
          <w:highlight w:val="none"/>
          <w:lang w:val="en-US" w:eastAsia="zh-CN" w:bidi="ar-SA"/>
        </w:rPr>
        <w:t>甲方指定地点。</w:t>
      </w:r>
    </w:p>
    <w:p w14:paraId="550DD124">
      <w:pPr>
        <w:spacing w:line="420" w:lineRule="exact"/>
        <w:ind w:firstLine="435"/>
        <w:rPr>
          <w:rFonts w:hint="default" w:eastAsia="宋体"/>
          <w:color w:val="auto"/>
          <w:highlight w:val="none"/>
          <w:lang w:val="en-US" w:eastAsia="zh-CN"/>
        </w:rPr>
      </w:pPr>
      <w:r>
        <w:rPr>
          <w:rFonts w:hint="eastAsia" w:ascii="宋体"/>
          <w:b/>
          <w:bCs/>
          <w:color w:val="auto"/>
          <w:sz w:val="22"/>
          <w:highlight w:val="none"/>
          <w:lang w:val="en-US" w:eastAsia="zh-CN"/>
        </w:rPr>
        <w:t>7</w:t>
      </w:r>
      <w:r>
        <w:rPr>
          <w:rFonts w:hint="eastAsia" w:ascii="宋体"/>
          <w:b/>
          <w:bCs/>
          <w:color w:val="auto"/>
          <w:sz w:val="22"/>
          <w:highlight w:val="none"/>
        </w:rPr>
        <w:t>．付款方式：</w:t>
      </w:r>
      <w:r>
        <w:rPr>
          <w:rFonts w:hint="eastAsia" w:ascii="宋体"/>
          <w:b/>
          <w:bCs/>
          <w:color w:val="auto"/>
          <w:sz w:val="22"/>
          <w:highlight w:val="none"/>
          <w:lang w:val="en-US" w:eastAsia="zh-CN"/>
        </w:rPr>
        <w:t>见采购文件第二部分采购内容及要求</w:t>
      </w:r>
    </w:p>
    <w:p w14:paraId="20D317B4">
      <w:pPr>
        <w:spacing w:line="460" w:lineRule="exact"/>
        <w:ind w:firstLine="541" w:firstLineChars="245"/>
        <w:outlineLvl w:val="1"/>
        <w:rPr>
          <w:rFonts w:hint="eastAsia" w:ascii="新宋体" w:hAnsi="新宋体" w:eastAsia="新宋体" w:cs="新宋体"/>
          <w:b/>
          <w:color w:val="auto"/>
          <w:sz w:val="22"/>
          <w:szCs w:val="22"/>
          <w:highlight w:val="none"/>
        </w:rPr>
      </w:pPr>
      <w:bookmarkStart w:id="48" w:name="_Toc23804"/>
      <w:r>
        <w:rPr>
          <w:rFonts w:hint="eastAsia" w:ascii="新宋体" w:hAnsi="新宋体" w:eastAsia="新宋体" w:cs="新宋体"/>
          <w:b/>
          <w:color w:val="auto"/>
          <w:sz w:val="22"/>
          <w:szCs w:val="22"/>
          <w:highlight w:val="none"/>
          <w:lang w:val="en-US" w:eastAsia="zh-CN"/>
        </w:rPr>
        <w:t>二</w:t>
      </w:r>
      <w:r>
        <w:rPr>
          <w:rFonts w:hint="eastAsia" w:ascii="新宋体" w:hAnsi="新宋体" w:eastAsia="新宋体" w:cs="新宋体"/>
          <w:b/>
          <w:color w:val="auto"/>
          <w:sz w:val="22"/>
          <w:szCs w:val="22"/>
          <w:highlight w:val="none"/>
        </w:rPr>
        <w:t>、双方权利义务</w:t>
      </w:r>
      <w:bookmarkEnd w:id="48"/>
    </w:p>
    <w:p w14:paraId="757982BB">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（一）乙方</w:t>
      </w:r>
    </w:p>
    <w:p w14:paraId="26E5DC07">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1、乙方应接受甲方或其授权的人员对承包区域内各项服务质量进行检查。</w:t>
      </w:r>
    </w:p>
    <w:p w14:paraId="54425E35">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2、乙方在承包区域的各项服务，其工作时间，必须满足甲方的工作要求，包括双休日及公众假期。遇特殊情况，甲方认为应提供方便或提高服务质量时，可要求乙方调整工作时间。</w:t>
      </w:r>
    </w:p>
    <w:p w14:paraId="31DD3B9D">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3、乙方负责人全权代表乙方与甲方保持密切联系并保证承包区域服务工作。</w:t>
      </w:r>
    </w:p>
    <w:p w14:paraId="5A027896">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4、乙方聘用的工作人员必须符合劳动部门有关用工规定，并经乙方相关专业培训考核合格后持证上岗，甲方有权进行审核，该类费用开支由乙方负担。</w:t>
      </w:r>
    </w:p>
    <w:p w14:paraId="29C9F21B">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5、乙方必须按照甲方要求做好承包区域工作，并接受甲方的监督与检查。乙方要确保为甲方提供优质、高效的专业服务，并根据甲方要求改变不满意的服务状况。</w:t>
      </w:r>
    </w:p>
    <w:p w14:paraId="6B8CBF28">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乙方所有工作人员，必须无条件服从甲方管理人员的调度、指挥，如发现不符合甲方管理要求的工作人员，甲方有权提出整改、更换，如3天内整改、更换、不及时或不到位，经协商无效，甲方有权终止合同。乙方更换或调整人员应提前征求甲方意见，在征得甲方同意后方可更换、调整。</w:t>
      </w:r>
    </w:p>
    <w:p w14:paraId="399E32D9">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7、乙方应将聘用人员的相关材料（包括体检证明、年龄、从事岗位）等报甲方审查，特殊岗位必须持证上岗，上岗人员要求政治上可靠、身体素质好、无不良行为记录方可录用。</w:t>
      </w:r>
    </w:p>
    <w:p w14:paraId="7E1B1199">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在承包期内乙方应保持承包区域内的设施完好、环境状况良好，并接受甲方或其授权人员的检查，对由乙方引起或造成设施的损坏及环境卫生不理想状况，甲方将书面通知乙方修复或整改，在书面通知下达一周后，仍未按要求修复或整改，甲方将负责完成这一工作，所需费用及管理费全部有乙方承担。甲方提供的所有设备、设施、工具由乙方使用的，除正常使用折旧外，乙方保证各设备、设施、工具的完好性。</w:t>
      </w:r>
    </w:p>
    <w:p w14:paraId="2B2EA4F1">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9、乙方应切实做好节水、节电、节油、节粮、节气、防盗、防火、饭菜食品的卫生安全工作，若有发生责任事故，如属加工环节所造成的，后果由乙方全部承担，甲方有权进行监督和检查。</w:t>
      </w:r>
    </w:p>
    <w:p w14:paraId="67EA1F20">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10、乙方应加强对员工的管理，做好节电节水，非常温天气要保证冷暖气供应。</w:t>
      </w:r>
    </w:p>
    <w:p w14:paraId="619474B7">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11、遇卫生、消防、安全检查或突发事件时，乙方必须配合甲方及有关部门做好工作，并指定专职人员协助工作，直到完成。</w:t>
      </w:r>
    </w:p>
    <w:p w14:paraId="3456DB73">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12、承包期满或合同解除，甲方按原移交清单进行财产清单验收，除正常损耗外，如有短缺或损坏，乙方应承担赔偿责任。</w:t>
      </w:r>
    </w:p>
    <w:p w14:paraId="39DC92E2">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13、合同期内，食堂消防、安全、卫生均由乙方负责，如因乙方责任发生火灾、食物中毒、环境污染、安全等事故，所有损失由乙方承担，并依照相关法律追究责任。</w:t>
      </w:r>
    </w:p>
    <w:p w14:paraId="6B8C4218">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14、禁止事项</w:t>
      </w:r>
    </w:p>
    <w:p w14:paraId="27048E82">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（1）乙方不得以任何理由向甲方工作人员支付小费或赠送实物，违者将终止合同。</w:t>
      </w:r>
    </w:p>
    <w:p w14:paraId="7EFCAE4E">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（2）乙方不得在承包区域住宿或从事非法活动，也不得从事有损甲方利益的活动，同时不允许在承包区域对甲方正常办公有滋扰性的行为。</w:t>
      </w:r>
    </w:p>
    <w:p w14:paraId="35C17B3A">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（3）未获甲方书面同意，乙方任何时候都不能在承包区域存放易燃易爆有毒、挥发性大或气味浓烈的物品等。</w:t>
      </w:r>
    </w:p>
    <w:p w14:paraId="28B7FAF5">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（4）乙方不得将承包的食堂不准改变用途、不准转包，一旦发现中止合同，没收履约保证金。</w:t>
      </w:r>
    </w:p>
    <w:p w14:paraId="3270E2FD">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 xml:space="preserve">（二）甲方 </w:t>
      </w:r>
    </w:p>
    <w:p w14:paraId="5D69D78A">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1、甲方保证乙方的员工按规定正常进入承包区域开展服务工作。</w:t>
      </w:r>
    </w:p>
    <w:p w14:paraId="0DD1D760">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2、甲方保证乙方正常的水、电能源供应，如出现故障，应及时维修，确保乙方正常开展服务。</w:t>
      </w:r>
    </w:p>
    <w:p w14:paraId="76829BF8">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3、甲方提供食堂场地、水、电、煤气、餐具和相关厨房用具。</w:t>
      </w:r>
    </w:p>
    <w:p w14:paraId="4CD8D611">
      <w:pPr>
        <w:spacing w:line="460" w:lineRule="exact"/>
        <w:ind w:firstLine="541" w:firstLineChars="245"/>
        <w:outlineLvl w:val="1"/>
        <w:rPr>
          <w:rFonts w:hint="eastAsia" w:ascii="新宋体" w:hAnsi="新宋体" w:eastAsia="新宋体" w:cs="新宋体"/>
          <w:b/>
          <w:color w:val="auto"/>
          <w:sz w:val="22"/>
          <w:szCs w:val="22"/>
          <w:highlight w:val="none"/>
        </w:rPr>
      </w:pPr>
      <w:bookmarkStart w:id="49" w:name="_Toc26746"/>
      <w:r>
        <w:rPr>
          <w:rFonts w:hint="eastAsia" w:ascii="新宋体" w:hAnsi="新宋体" w:eastAsia="新宋体" w:cs="新宋体"/>
          <w:b/>
          <w:color w:val="auto"/>
          <w:sz w:val="22"/>
          <w:szCs w:val="22"/>
          <w:highlight w:val="none"/>
          <w:lang w:val="en-US" w:eastAsia="zh-CN"/>
        </w:rPr>
        <w:t>三</w:t>
      </w:r>
      <w:r>
        <w:rPr>
          <w:rFonts w:hint="eastAsia" w:ascii="新宋体" w:hAnsi="新宋体" w:eastAsia="新宋体" w:cs="新宋体"/>
          <w:b/>
          <w:color w:val="auto"/>
          <w:sz w:val="22"/>
          <w:szCs w:val="22"/>
          <w:highlight w:val="none"/>
        </w:rPr>
        <w:t>、履约保证金</w:t>
      </w:r>
      <w:bookmarkEnd w:id="49"/>
    </w:p>
    <w:p w14:paraId="56721C58">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1、乙方必须向甲方指定银行账户交纳合同总价</w:t>
      </w:r>
      <w:r>
        <w:rPr>
          <w:rFonts w:hint="eastAsia" w:ascii="新宋体" w:hAnsi="新宋体" w:eastAsia="新宋体" w:cs="新宋体"/>
          <w:bCs/>
          <w:color w:val="auto"/>
          <w:sz w:val="22"/>
          <w:szCs w:val="22"/>
          <w:highlight w:val="none"/>
          <w:lang w:val="en-US" w:eastAsia="zh-CN"/>
        </w:rPr>
        <w:t>1</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金额作为履约保证金，以保证乙方遵守本合同的一切条款、条件和承诺，该保证金在甲方的规定存续期间不计息。</w:t>
      </w:r>
    </w:p>
    <w:p w14:paraId="70055AA9">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甲方在任何时候都有权从履约保证金中扣除用于修复乙方损坏甲方的设备、设施、场地或因乙方违约而导致损失的金额或违约金，且乙方应在接到扣除履约保证金通知后一周内补足扣除差额，保证承包期间履约保证金的完整。</w:t>
      </w:r>
    </w:p>
    <w:p w14:paraId="0D733660">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3、甲方认为乙方在承包期内没有涉及乙方的应付而未付金额或违约行为，甲方在承包期满后或提前终止承包后一个月内全额退还履约保证金，否则，甲方将在扣除乙方应付金额或违约金后退还保证金余额。</w:t>
      </w:r>
    </w:p>
    <w:p w14:paraId="2B539D2E">
      <w:pPr>
        <w:spacing w:line="460" w:lineRule="exact"/>
        <w:ind w:firstLine="541" w:firstLineChars="245"/>
        <w:outlineLvl w:val="1"/>
        <w:rPr>
          <w:rFonts w:hint="eastAsia" w:ascii="新宋体" w:hAnsi="新宋体" w:eastAsia="新宋体" w:cs="新宋体"/>
          <w:b/>
          <w:color w:val="auto"/>
          <w:sz w:val="22"/>
          <w:szCs w:val="22"/>
          <w:highlight w:val="none"/>
        </w:rPr>
      </w:pPr>
      <w:bookmarkStart w:id="50" w:name="_Toc23967"/>
      <w:r>
        <w:rPr>
          <w:rFonts w:hint="eastAsia" w:ascii="新宋体" w:hAnsi="新宋体" w:eastAsia="新宋体" w:cs="新宋体"/>
          <w:b/>
          <w:color w:val="auto"/>
          <w:sz w:val="22"/>
          <w:szCs w:val="22"/>
          <w:highlight w:val="none"/>
          <w:lang w:val="en-US" w:eastAsia="zh-CN"/>
        </w:rPr>
        <w:t>四</w:t>
      </w:r>
      <w:r>
        <w:rPr>
          <w:rFonts w:hint="eastAsia" w:ascii="新宋体" w:hAnsi="新宋体" w:eastAsia="新宋体" w:cs="新宋体"/>
          <w:b/>
          <w:color w:val="auto"/>
          <w:sz w:val="22"/>
          <w:szCs w:val="22"/>
          <w:highlight w:val="none"/>
        </w:rPr>
        <w:t>、不可抗力</w:t>
      </w:r>
      <w:bookmarkEnd w:id="50"/>
    </w:p>
    <w:p w14:paraId="241956FA">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1、在承包期间发生地震及其他不可抗力，导致承包区域不能正常</w:t>
      </w:r>
      <w:r>
        <w:rPr>
          <w:rFonts w:hint="eastAsia" w:ascii="新宋体" w:hAnsi="新宋体" w:eastAsia="新宋体" w:cs="新宋体"/>
          <w:bCs/>
          <w:color w:val="auto"/>
          <w:sz w:val="22"/>
          <w:szCs w:val="22"/>
          <w:highlight w:val="none"/>
          <w:lang w:val="en-US" w:eastAsia="zh-CN"/>
        </w:rPr>
        <w:t>提供服务</w:t>
      </w:r>
      <w:r>
        <w:rPr>
          <w:rFonts w:hint="eastAsia" w:ascii="新宋体" w:hAnsi="新宋体" w:eastAsia="新宋体" w:cs="新宋体"/>
          <w:bCs/>
          <w:color w:val="auto"/>
          <w:sz w:val="22"/>
          <w:szCs w:val="22"/>
          <w:highlight w:val="none"/>
        </w:rPr>
        <w:t>，合同不能或不能全部履行。双方可以按以下各项执行：</w:t>
      </w:r>
    </w:p>
    <w:p w14:paraId="1211BE63">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（1）因不可抗力导致合同终止，并不影响任何一方对不可抗力先前发生的违约行为合法追偿。</w:t>
      </w:r>
    </w:p>
    <w:p w14:paraId="358752E9">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（2）甲方不承担因不可抗力造成合同不能正常履行的责任。</w:t>
      </w:r>
    </w:p>
    <w:p w14:paraId="2266331F">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（3）因不可抗力造成甲方的损害，甲方的保险赔偿不受影响。对恢复承包合同期间的价格及其它费用双方可以协商解决。</w:t>
      </w:r>
    </w:p>
    <w:p w14:paraId="12A6B747">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2、遇国家政策性调整，影响合同履行，双方协商解决。</w:t>
      </w:r>
    </w:p>
    <w:p w14:paraId="24EA8B8D">
      <w:pPr>
        <w:spacing w:line="460" w:lineRule="exact"/>
        <w:ind w:firstLine="541" w:firstLineChars="245"/>
        <w:outlineLvl w:val="1"/>
        <w:rPr>
          <w:rFonts w:hint="eastAsia" w:ascii="新宋体" w:hAnsi="新宋体" w:eastAsia="新宋体" w:cs="新宋体"/>
          <w:b/>
          <w:color w:val="auto"/>
          <w:sz w:val="22"/>
          <w:szCs w:val="22"/>
          <w:highlight w:val="none"/>
        </w:rPr>
      </w:pPr>
      <w:bookmarkStart w:id="51" w:name="_Toc2113"/>
      <w:r>
        <w:rPr>
          <w:rFonts w:hint="eastAsia" w:ascii="新宋体" w:hAnsi="新宋体" w:eastAsia="新宋体" w:cs="新宋体"/>
          <w:b/>
          <w:color w:val="auto"/>
          <w:sz w:val="22"/>
          <w:szCs w:val="22"/>
          <w:highlight w:val="none"/>
          <w:lang w:val="en-US" w:eastAsia="zh-CN"/>
        </w:rPr>
        <w:t>五</w:t>
      </w:r>
      <w:r>
        <w:rPr>
          <w:rFonts w:hint="eastAsia" w:ascii="新宋体" w:hAnsi="新宋体" w:eastAsia="新宋体" w:cs="新宋体"/>
          <w:b/>
          <w:color w:val="auto"/>
          <w:sz w:val="22"/>
          <w:szCs w:val="22"/>
          <w:highlight w:val="none"/>
        </w:rPr>
        <w:t>、合同生效和终止</w:t>
      </w:r>
      <w:bookmarkEnd w:id="51"/>
    </w:p>
    <w:p w14:paraId="6FDAAD40">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1、本合同经双方授权代表签字盖章后生效。</w:t>
      </w:r>
    </w:p>
    <w:p w14:paraId="0D5806A8">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2、终止</w:t>
      </w:r>
    </w:p>
    <w:p w14:paraId="539D9B0C">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（1）提前终止</w:t>
      </w:r>
    </w:p>
    <w:p w14:paraId="32654E76">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① 因乙方未符合</w:t>
      </w:r>
      <w:r>
        <w:rPr>
          <w:rFonts w:hint="eastAsia" w:ascii="新宋体" w:hAnsi="新宋体" w:eastAsia="新宋体" w:cs="新宋体"/>
          <w:bCs/>
          <w:color w:val="auto"/>
          <w:sz w:val="22"/>
          <w:szCs w:val="22"/>
          <w:highlight w:val="none"/>
          <w:lang w:val="en-US" w:eastAsia="zh-CN"/>
        </w:rPr>
        <w:t>考核</w:t>
      </w:r>
      <w:r>
        <w:rPr>
          <w:rFonts w:hint="eastAsia" w:ascii="新宋体" w:hAnsi="新宋体" w:eastAsia="新宋体" w:cs="新宋体"/>
          <w:bCs/>
          <w:color w:val="auto"/>
          <w:sz w:val="22"/>
          <w:szCs w:val="22"/>
          <w:highlight w:val="none"/>
        </w:rPr>
        <w:t>规定的相关要求，通知整改而不见成效时，甲方有权向乙方发出书面通知终止承包。</w:t>
      </w:r>
    </w:p>
    <w:p w14:paraId="6BD118CB">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② 乙方未能履行合同和遵守有关规定，在甲方发出书面警告后仍无采取补救措施可立即终止承包。</w:t>
      </w:r>
    </w:p>
    <w:p w14:paraId="30DDA63D">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③ 乙方破产清算、重组及兼并等事实发生，或被债权人接管经营，甲方无需通知乙方即可终止承包。</w:t>
      </w:r>
    </w:p>
    <w:p w14:paraId="0C89EA0E">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④ 承包期内，如乙方从事违法犯罪活动或其他损害甲方形象或声誉的活动，则甲方有权单方解除合同。</w:t>
      </w:r>
    </w:p>
    <w:p w14:paraId="0C992128">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⑤ 合同规定的其他终止情况。</w:t>
      </w:r>
    </w:p>
    <w:p w14:paraId="5F6A76A2">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（2）协议终止</w:t>
      </w:r>
    </w:p>
    <w:p w14:paraId="6BE1ECDA">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经双方协商同意，可在任何时候终止承包。</w:t>
      </w:r>
    </w:p>
    <w:p w14:paraId="53786E81">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（3）自然终止</w:t>
      </w:r>
    </w:p>
    <w:p w14:paraId="03A538AB">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合同规定的承包期满，承包自然终止。</w:t>
      </w:r>
    </w:p>
    <w:p w14:paraId="4766D2EA">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3、承包终止后果</w:t>
      </w:r>
    </w:p>
    <w:p w14:paraId="349B5951">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（1）终止承包，不影响根据合同规定进行的赔偿、补偿。</w:t>
      </w:r>
    </w:p>
    <w:p w14:paraId="62C4FD6E">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（2）承包终止时，双方应进行结算，甲方同时进行乙方承包区域设施、设备状况检查并要求乙方三天内将乙方物品撤离承包区域，否则甲方将代理处理，并追偿甲方代理费及15%的手续费。</w:t>
      </w:r>
    </w:p>
    <w:p w14:paraId="171FC5CE">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4、不放弃权利</w:t>
      </w:r>
    </w:p>
    <w:p w14:paraId="7113004D">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甲方接受乙方的服务，但不放弃对乙方违约行为进行追究的权利；同时，若甲方对乙方某一违约行为放弃进行追究的权利，但不放弃对乙方其他违约行为进行追究的权利。</w:t>
      </w:r>
    </w:p>
    <w:p w14:paraId="268ADF98">
      <w:pPr>
        <w:spacing w:line="460" w:lineRule="exact"/>
        <w:ind w:firstLine="541" w:firstLineChars="245"/>
        <w:outlineLvl w:val="1"/>
        <w:rPr>
          <w:rFonts w:hint="eastAsia" w:ascii="新宋体" w:hAnsi="新宋体" w:eastAsia="新宋体" w:cs="新宋体"/>
          <w:b/>
          <w:color w:val="auto"/>
          <w:sz w:val="22"/>
          <w:szCs w:val="22"/>
          <w:highlight w:val="none"/>
        </w:rPr>
      </w:pPr>
      <w:bookmarkStart w:id="52" w:name="_Toc14168"/>
      <w:r>
        <w:rPr>
          <w:rFonts w:hint="eastAsia" w:ascii="新宋体" w:hAnsi="新宋体" w:eastAsia="新宋体" w:cs="新宋体"/>
          <w:b/>
          <w:color w:val="auto"/>
          <w:sz w:val="22"/>
          <w:szCs w:val="22"/>
          <w:highlight w:val="none"/>
          <w:lang w:val="en-US" w:eastAsia="zh-CN"/>
        </w:rPr>
        <w:t>六</w:t>
      </w:r>
      <w:r>
        <w:rPr>
          <w:rFonts w:hint="eastAsia" w:ascii="新宋体" w:hAnsi="新宋体" w:eastAsia="新宋体" w:cs="新宋体"/>
          <w:b/>
          <w:color w:val="auto"/>
          <w:sz w:val="22"/>
          <w:szCs w:val="22"/>
          <w:highlight w:val="none"/>
        </w:rPr>
        <w:t>、其他</w:t>
      </w:r>
      <w:bookmarkEnd w:id="52"/>
    </w:p>
    <w:p w14:paraId="05B8776D">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1、在乙方的责任区内由于乙方原因导致第三方的事故由乙方负责，甲方不承担任何责任。</w:t>
      </w:r>
    </w:p>
    <w:p w14:paraId="5A4A8B1C">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2、本合同中所述通知，必须为书面形式，并有送达签收。</w:t>
      </w:r>
    </w:p>
    <w:p w14:paraId="6C5C463C">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3、关于本合同争议，应双方友好协商解决，若协商不成，提交温州仲裁委员会仲裁。</w:t>
      </w:r>
    </w:p>
    <w:p w14:paraId="19EA05E9">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4、未尽事宜由双方协商解决，并以书面形式修改或补充本合同条款；合同的附件、修改（补充）件均与本主合同有同等的法律效力。</w:t>
      </w:r>
    </w:p>
    <w:p w14:paraId="6D7DF3B9">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5、本合同一式五份，甲乙双方各执两份，交招标代理机构备案一份。</w:t>
      </w:r>
    </w:p>
    <w:p w14:paraId="12210155">
      <w:pPr>
        <w:spacing w:line="460" w:lineRule="exact"/>
        <w:ind w:firstLine="539" w:firstLineChars="245"/>
        <w:rPr>
          <w:rFonts w:hint="eastAsia" w:ascii="宋体"/>
          <w:color w:val="auto"/>
          <w:sz w:val="22"/>
          <w:highlight w:val="none"/>
        </w:rPr>
      </w:pPr>
      <w:r>
        <w:rPr>
          <w:rFonts w:hint="eastAsia" w:ascii="宋体"/>
          <w:color w:val="auto"/>
          <w:sz w:val="22"/>
          <w:highlight w:val="none"/>
        </w:rPr>
        <w:t>买方：（印章）                        卖方：（印章）</w:t>
      </w:r>
    </w:p>
    <w:p w14:paraId="1E3FDC65">
      <w:pPr>
        <w:spacing w:line="460" w:lineRule="exact"/>
        <w:ind w:firstLine="539" w:firstLineChars="245"/>
        <w:rPr>
          <w:rFonts w:hint="eastAsia" w:ascii="宋体"/>
          <w:color w:val="auto"/>
          <w:sz w:val="22"/>
          <w:highlight w:val="none"/>
        </w:rPr>
      </w:pPr>
      <w:r>
        <w:rPr>
          <w:rFonts w:hint="eastAsia" w:ascii="新宋体" w:hAnsi="新宋体" w:eastAsia="新宋体" w:cs="新宋体"/>
          <w:bCs/>
          <w:color w:val="auto"/>
          <w:sz w:val="22"/>
          <w:szCs w:val="22"/>
          <w:highlight w:val="none"/>
        </w:rPr>
        <w:t>全权代表</w:t>
      </w:r>
      <w:r>
        <w:rPr>
          <w:rFonts w:hint="eastAsia" w:ascii="宋体"/>
          <w:color w:val="auto"/>
          <w:sz w:val="22"/>
          <w:highlight w:val="none"/>
        </w:rPr>
        <w:t>:（签字）                    全权代表:（签字）</w:t>
      </w:r>
    </w:p>
    <w:p w14:paraId="23F16E3F">
      <w:pPr>
        <w:spacing w:line="460" w:lineRule="exact"/>
        <w:ind w:firstLine="539" w:firstLineChars="245"/>
        <w:rPr>
          <w:rFonts w:hint="eastAsia" w:ascii="宋体"/>
          <w:color w:val="auto"/>
          <w:sz w:val="22"/>
          <w:highlight w:val="none"/>
        </w:rPr>
      </w:pPr>
      <w:r>
        <w:rPr>
          <w:rFonts w:hint="eastAsia" w:ascii="宋体"/>
          <w:color w:val="auto"/>
          <w:sz w:val="22"/>
          <w:highlight w:val="none"/>
        </w:rPr>
        <w:t>地址：                               地址：</w:t>
      </w:r>
    </w:p>
    <w:p w14:paraId="491DD287">
      <w:pPr>
        <w:spacing w:line="460" w:lineRule="exact"/>
        <w:ind w:firstLine="539" w:firstLineChars="245"/>
        <w:rPr>
          <w:rFonts w:hint="eastAsia" w:ascii="宋体"/>
          <w:color w:val="auto"/>
          <w:sz w:val="22"/>
          <w:highlight w:val="none"/>
        </w:rPr>
      </w:pPr>
      <w:r>
        <w:rPr>
          <w:rFonts w:hint="eastAsia" w:ascii="新宋体" w:hAnsi="新宋体" w:eastAsia="新宋体" w:cs="新宋体"/>
          <w:bCs/>
          <w:color w:val="auto"/>
          <w:sz w:val="22"/>
          <w:szCs w:val="22"/>
          <w:highlight w:val="none"/>
        </w:rPr>
        <w:t>邮政编码</w:t>
      </w:r>
      <w:r>
        <w:rPr>
          <w:rFonts w:hint="eastAsia" w:ascii="宋体"/>
          <w:color w:val="auto"/>
          <w:sz w:val="22"/>
          <w:highlight w:val="none"/>
        </w:rPr>
        <w:t>：                           邮政编码：</w:t>
      </w:r>
    </w:p>
    <w:p w14:paraId="3E27F245">
      <w:pPr>
        <w:spacing w:line="460" w:lineRule="exact"/>
        <w:ind w:firstLine="539" w:firstLineChars="245"/>
        <w:rPr>
          <w:rFonts w:hint="eastAsia" w:ascii="新宋体" w:hAnsi="新宋体" w:eastAsia="新宋体" w:cs="新宋体"/>
          <w:bCs/>
          <w:color w:val="auto"/>
          <w:sz w:val="22"/>
          <w:szCs w:val="22"/>
          <w:highlight w:val="none"/>
        </w:rPr>
      </w:pPr>
      <w:r>
        <w:rPr>
          <w:rFonts w:hint="eastAsia" w:ascii="宋体"/>
          <w:color w:val="auto"/>
          <w:sz w:val="22"/>
          <w:highlight w:val="none"/>
        </w:rPr>
        <w:t>电话：</w:t>
      </w:r>
      <w:r>
        <w:rPr>
          <w:rFonts w:hint="eastAsia" w:ascii="新宋体" w:hAnsi="新宋体" w:eastAsia="新宋体" w:cs="新宋体"/>
          <w:bCs/>
          <w:color w:val="auto"/>
          <w:sz w:val="22"/>
          <w:szCs w:val="22"/>
          <w:highlight w:val="none"/>
        </w:rPr>
        <w:t xml:space="preserve">                               电话：</w:t>
      </w:r>
    </w:p>
    <w:p w14:paraId="77346606">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传真：                               传真：</w:t>
      </w:r>
    </w:p>
    <w:p w14:paraId="3C1F4BBB">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开户银行：                           开户银行：</w:t>
      </w:r>
    </w:p>
    <w:p w14:paraId="3C4C8ABD">
      <w:pPr>
        <w:spacing w:line="460" w:lineRule="exact"/>
        <w:ind w:firstLine="539" w:firstLineChars="245"/>
        <w:rPr>
          <w:rFonts w:hint="eastAsia" w:ascii="宋体" w:hAnsi="宋体" w:eastAsia="宋体" w:cs="宋体"/>
          <w:bCs/>
          <w:color w:val="auto"/>
          <w:sz w:val="22"/>
          <w:szCs w:val="22"/>
          <w:highlight w:val="none"/>
        </w:rPr>
      </w:pPr>
      <w:r>
        <w:rPr>
          <w:rFonts w:hint="eastAsia" w:ascii="新宋体" w:hAnsi="新宋体" w:eastAsia="新宋体" w:cs="新宋体"/>
          <w:bCs/>
          <w:color w:val="auto"/>
          <w:sz w:val="22"/>
          <w:szCs w:val="22"/>
          <w:highlight w:val="none"/>
        </w:rPr>
        <w:t xml:space="preserve">帐号：          </w:t>
      </w:r>
      <w:r>
        <w:rPr>
          <w:rFonts w:hint="eastAsia" w:ascii="宋体"/>
          <w:color w:val="auto"/>
          <w:sz w:val="22"/>
          <w:highlight w:val="none"/>
        </w:rPr>
        <w:t xml:space="preserve">                     帐号：</w:t>
      </w:r>
    </w:p>
    <w:p w14:paraId="18A2DB29">
      <w:pPr>
        <w:spacing w:line="400" w:lineRule="exact"/>
        <w:ind w:firstLine="1210" w:firstLineChars="550"/>
        <w:rPr>
          <w:rFonts w:ascii="宋体" w:hAnsi="宋体" w:cs="仿宋"/>
          <w:bCs/>
          <w:color w:val="auto"/>
          <w:kern w:val="0"/>
          <w:sz w:val="22"/>
          <w:szCs w:val="22"/>
          <w:highlight w:val="none"/>
        </w:rPr>
      </w:pPr>
    </w:p>
    <w:p w14:paraId="26024887">
      <w:pPr>
        <w:tabs>
          <w:tab w:val="left" w:pos="0"/>
        </w:tabs>
        <w:spacing w:line="360" w:lineRule="auto"/>
        <w:rPr>
          <w:rFonts w:ascii="宋体" w:hAnsi="宋体"/>
          <w:bCs/>
          <w:color w:val="auto"/>
          <w:sz w:val="22"/>
          <w:szCs w:val="22"/>
          <w:highlight w:val="none"/>
        </w:rPr>
      </w:pPr>
    </w:p>
    <w:p w14:paraId="4F0182F0">
      <w:pPr>
        <w:tabs>
          <w:tab w:val="left" w:pos="0"/>
        </w:tabs>
        <w:spacing w:line="360" w:lineRule="auto"/>
        <w:rPr>
          <w:rFonts w:ascii="宋体" w:hAnsi="宋体"/>
          <w:bCs/>
          <w:color w:val="auto"/>
          <w:sz w:val="22"/>
          <w:szCs w:val="22"/>
          <w:highlight w:val="none"/>
        </w:rPr>
      </w:pPr>
    </w:p>
    <w:p w14:paraId="5A9534B4">
      <w:pPr>
        <w:tabs>
          <w:tab w:val="left" w:pos="0"/>
        </w:tabs>
        <w:spacing w:line="360" w:lineRule="auto"/>
        <w:rPr>
          <w:rFonts w:ascii="宋体" w:hAnsi="宋体"/>
          <w:bCs/>
          <w:color w:val="auto"/>
          <w:sz w:val="22"/>
          <w:szCs w:val="22"/>
          <w:highlight w:val="none"/>
        </w:rPr>
      </w:pPr>
    </w:p>
    <w:p w14:paraId="6218C95D">
      <w:pPr>
        <w:tabs>
          <w:tab w:val="left" w:pos="0"/>
        </w:tabs>
        <w:spacing w:line="360" w:lineRule="auto"/>
        <w:rPr>
          <w:rFonts w:ascii="宋体" w:hAnsi="宋体"/>
          <w:b/>
          <w:bCs/>
          <w:color w:val="auto"/>
          <w:sz w:val="22"/>
          <w:szCs w:val="22"/>
          <w:highlight w:val="none"/>
        </w:rPr>
      </w:pPr>
      <w:r>
        <w:rPr>
          <w:rFonts w:hint="eastAsia" w:ascii="宋体" w:hAnsi="宋体" w:cs="宋体"/>
          <w:bCs/>
          <w:color w:val="auto"/>
          <w:sz w:val="22"/>
          <w:szCs w:val="22"/>
          <w:highlight w:val="none"/>
          <w:u w:val="wave"/>
        </w:rPr>
        <w:t>注：本合同为为示范文本，具体以中标方与采购人所签定正式合同为准。</w:t>
      </w:r>
    </w:p>
    <w:p w14:paraId="09B665A0">
      <w:pPr>
        <w:pStyle w:val="5"/>
        <w:spacing w:line="360" w:lineRule="auto"/>
        <w:rPr>
          <w:rFonts w:hAnsi="宋体"/>
          <w:color w:val="auto"/>
          <w:sz w:val="36"/>
          <w:szCs w:val="36"/>
          <w:highlight w:val="none"/>
        </w:rPr>
      </w:pPr>
      <w:r>
        <w:rPr>
          <w:rFonts w:hAnsi="宋体"/>
          <w:color w:val="auto"/>
          <w:sz w:val="36"/>
          <w:szCs w:val="36"/>
          <w:highlight w:val="none"/>
        </w:rPr>
        <w:br w:type="page"/>
      </w:r>
      <w:bookmarkStart w:id="53" w:name="_Toc30097"/>
      <w:r>
        <w:rPr>
          <w:rFonts w:hint="eastAsia" w:ascii="宋体" w:hAnsi="宋体"/>
          <w:color w:val="auto"/>
          <w:sz w:val="36"/>
          <w:highlight w:val="none"/>
        </w:rPr>
        <w:t>第六部分    附件---磋商响应文件格式</w:t>
      </w:r>
      <w:bookmarkEnd w:id="53"/>
    </w:p>
    <w:p w14:paraId="07C529C2">
      <w:pPr>
        <w:pStyle w:val="5"/>
        <w:spacing w:line="276" w:lineRule="auto"/>
        <w:rPr>
          <w:rFonts w:ascii="宋体" w:hAnsi="宋体"/>
          <w:color w:val="auto"/>
          <w:sz w:val="36"/>
          <w:highlight w:val="none"/>
        </w:rPr>
      </w:pPr>
      <w:bookmarkStart w:id="54" w:name="_Toc3869"/>
      <w:r>
        <w:rPr>
          <w:rFonts w:hint="eastAsia" w:ascii="宋体" w:hAnsi="宋体"/>
          <w:color w:val="auto"/>
          <w:sz w:val="36"/>
          <w:highlight w:val="none"/>
        </w:rPr>
        <w:t>一、资格文件格式</w:t>
      </w:r>
      <w:bookmarkEnd w:id="54"/>
    </w:p>
    <w:p w14:paraId="70DD955D">
      <w:pPr>
        <w:pStyle w:val="34"/>
        <w:adjustRightInd w:val="0"/>
        <w:snapToGrid w:val="0"/>
        <w:spacing w:line="440" w:lineRule="atLeast"/>
        <w:jc w:val="left"/>
        <w:outlineLvl w:val="1"/>
        <w:rPr>
          <w:rFonts w:hAnsi="宋体"/>
          <w:color w:val="auto"/>
          <w:sz w:val="30"/>
          <w:highlight w:val="none"/>
        </w:rPr>
      </w:pPr>
      <w:bookmarkStart w:id="55" w:name="_Toc25030"/>
      <w:r>
        <w:rPr>
          <w:rFonts w:hint="eastAsia" w:hAnsi="宋体"/>
          <w:color w:val="auto"/>
          <w:sz w:val="30"/>
          <w:highlight w:val="none"/>
        </w:rPr>
        <w:t>附件一</w:t>
      </w:r>
      <w:bookmarkEnd w:id="55"/>
    </w:p>
    <w:p w14:paraId="23C96D8B">
      <w:pPr>
        <w:pStyle w:val="34"/>
        <w:adjustRightInd w:val="0"/>
        <w:snapToGrid w:val="0"/>
        <w:spacing w:line="440" w:lineRule="atLeast"/>
        <w:ind w:firstLine="440"/>
        <w:jc w:val="center"/>
        <w:outlineLvl w:val="1"/>
        <w:rPr>
          <w:rFonts w:hAnsi="宋体" w:cs="Arial"/>
          <w:bCs/>
          <w:color w:val="auto"/>
          <w:sz w:val="36"/>
          <w:szCs w:val="36"/>
          <w:highlight w:val="none"/>
          <w:lang w:val="zh-CN"/>
        </w:rPr>
      </w:pPr>
      <w:bookmarkStart w:id="56" w:name="_Toc30738"/>
      <w:r>
        <w:rPr>
          <w:rFonts w:hint="eastAsia" w:hAnsi="宋体" w:cs="Arial"/>
          <w:bCs/>
          <w:color w:val="auto"/>
          <w:sz w:val="36"/>
          <w:szCs w:val="36"/>
          <w:highlight w:val="none"/>
          <w:lang w:val="zh-CN"/>
        </w:rPr>
        <w:t>投标供应商参与政府采购活动投标资格声明函</w:t>
      </w:r>
      <w:bookmarkEnd w:id="56"/>
    </w:p>
    <w:tbl>
      <w:tblPr>
        <w:tblStyle w:val="6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52D5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20" w:type="dxa"/>
          </w:tcPr>
          <w:p w14:paraId="70769945">
            <w:pPr>
              <w:pStyle w:val="34"/>
              <w:adjustRightInd w:val="0"/>
              <w:snapToGrid w:val="0"/>
              <w:spacing w:line="440" w:lineRule="exact"/>
              <w:rPr>
                <w:rFonts w:hAnsi="宋体"/>
                <w:color w:val="auto"/>
                <w:sz w:val="22"/>
                <w:szCs w:val="22"/>
                <w:highlight w:val="none"/>
              </w:rPr>
            </w:pPr>
            <w:r>
              <w:rPr>
                <w:rFonts w:hAnsi="宋体"/>
                <w:color w:val="auto"/>
                <w:sz w:val="22"/>
                <w:szCs w:val="22"/>
                <w:highlight w:val="none"/>
              </w:rPr>
              <w:t>项目名称</w:t>
            </w:r>
          </w:p>
        </w:tc>
        <w:tc>
          <w:tcPr>
            <w:tcW w:w="7992" w:type="dxa"/>
          </w:tcPr>
          <w:p w14:paraId="0D186116">
            <w:pPr>
              <w:pStyle w:val="34"/>
              <w:adjustRightInd w:val="0"/>
              <w:snapToGrid w:val="0"/>
              <w:spacing w:line="440" w:lineRule="exact"/>
              <w:rPr>
                <w:rFonts w:hAnsi="宋体"/>
                <w:color w:val="auto"/>
                <w:sz w:val="22"/>
                <w:szCs w:val="22"/>
                <w:highlight w:val="none"/>
              </w:rPr>
            </w:pPr>
          </w:p>
        </w:tc>
      </w:tr>
      <w:tr w14:paraId="6200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20" w:type="dxa"/>
          </w:tcPr>
          <w:p w14:paraId="19C4539B">
            <w:pPr>
              <w:pStyle w:val="34"/>
              <w:adjustRightInd w:val="0"/>
              <w:snapToGrid w:val="0"/>
              <w:spacing w:line="440" w:lineRule="exact"/>
              <w:rPr>
                <w:rFonts w:hAnsi="宋体"/>
                <w:color w:val="auto"/>
                <w:sz w:val="22"/>
                <w:szCs w:val="22"/>
                <w:highlight w:val="none"/>
              </w:rPr>
            </w:pPr>
            <w:r>
              <w:rPr>
                <w:rFonts w:hAnsi="宋体"/>
                <w:color w:val="auto"/>
                <w:sz w:val="22"/>
                <w:szCs w:val="22"/>
                <w:highlight w:val="none"/>
              </w:rPr>
              <w:t>招标编号</w:t>
            </w:r>
          </w:p>
        </w:tc>
        <w:tc>
          <w:tcPr>
            <w:tcW w:w="7992" w:type="dxa"/>
          </w:tcPr>
          <w:p w14:paraId="48CEC593">
            <w:pPr>
              <w:pStyle w:val="34"/>
              <w:adjustRightInd w:val="0"/>
              <w:snapToGrid w:val="0"/>
              <w:spacing w:line="440" w:lineRule="exact"/>
              <w:rPr>
                <w:rFonts w:hAnsi="宋体"/>
                <w:color w:val="auto"/>
                <w:sz w:val="22"/>
                <w:szCs w:val="22"/>
                <w:highlight w:val="none"/>
              </w:rPr>
            </w:pPr>
          </w:p>
        </w:tc>
      </w:tr>
      <w:tr w14:paraId="358E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32FA44BB">
            <w:pPr>
              <w:pStyle w:val="34"/>
              <w:adjustRightInd w:val="0"/>
              <w:snapToGrid w:val="0"/>
              <w:spacing w:line="440" w:lineRule="exact"/>
              <w:rPr>
                <w:rFonts w:hAnsi="宋体"/>
                <w:color w:val="auto"/>
                <w:sz w:val="22"/>
                <w:szCs w:val="22"/>
                <w:highlight w:val="none"/>
              </w:rPr>
            </w:pPr>
            <w:r>
              <w:rPr>
                <w:rFonts w:hAnsi="宋体"/>
                <w:color w:val="auto"/>
                <w:sz w:val="22"/>
                <w:szCs w:val="22"/>
                <w:highlight w:val="none"/>
              </w:rPr>
              <w:t>时    间</w:t>
            </w:r>
          </w:p>
        </w:tc>
        <w:tc>
          <w:tcPr>
            <w:tcW w:w="7992" w:type="dxa"/>
          </w:tcPr>
          <w:p w14:paraId="27C652CB">
            <w:pPr>
              <w:pStyle w:val="34"/>
              <w:adjustRightInd w:val="0"/>
              <w:snapToGrid w:val="0"/>
              <w:spacing w:line="440" w:lineRule="exact"/>
              <w:rPr>
                <w:rFonts w:hAnsi="宋体"/>
                <w:color w:val="auto"/>
                <w:sz w:val="22"/>
                <w:szCs w:val="22"/>
                <w:highlight w:val="none"/>
              </w:rPr>
            </w:pPr>
            <w:r>
              <w:rPr>
                <w:rFonts w:hAnsi="宋体" w:cs="宋体"/>
                <w:color w:val="auto"/>
                <w:sz w:val="22"/>
                <w:szCs w:val="22"/>
                <w:highlight w:val="none"/>
              </w:rPr>
              <w:t>响应文件递交截止时间前</w:t>
            </w:r>
          </w:p>
        </w:tc>
      </w:tr>
      <w:tr w14:paraId="738E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7FC8B8CE">
            <w:pPr>
              <w:pStyle w:val="34"/>
              <w:adjustRightInd w:val="0"/>
              <w:snapToGrid w:val="0"/>
              <w:spacing w:line="400" w:lineRule="exact"/>
              <w:ind w:firstLine="450"/>
              <w:rPr>
                <w:rFonts w:hAnsi="宋体"/>
                <w:color w:val="auto"/>
                <w:szCs w:val="22"/>
                <w:highlight w:val="none"/>
              </w:rPr>
            </w:pPr>
            <w:r>
              <w:rPr>
                <w:rFonts w:hAnsi="宋体"/>
                <w:color w:val="auto"/>
                <w:szCs w:val="22"/>
                <w:highlight w:val="none"/>
              </w:rPr>
              <w:t>我单位参与</w:t>
            </w:r>
            <w:r>
              <w:rPr>
                <w:rFonts w:hint="eastAsia" w:hAnsi="宋体"/>
                <w:color w:val="auto"/>
                <w:szCs w:val="22"/>
                <w:highlight w:val="none"/>
                <w:u w:val="single"/>
                <w:lang w:eastAsia="zh-CN"/>
              </w:rPr>
              <w:t>温州市救助管理站站内救助管理服务项目</w:t>
            </w:r>
            <w:r>
              <w:rPr>
                <w:rFonts w:hAnsi="宋体"/>
                <w:color w:val="auto"/>
                <w:szCs w:val="22"/>
                <w:highlight w:val="none"/>
              </w:rPr>
              <w:t>投标，现声明如下：</w:t>
            </w:r>
          </w:p>
          <w:p w14:paraId="070104AD">
            <w:pPr>
              <w:pStyle w:val="34"/>
              <w:adjustRightInd w:val="0"/>
              <w:snapToGrid w:val="0"/>
              <w:spacing w:line="400" w:lineRule="exact"/>
              <w:ind w:firstLine="450"/>
              <w:rPr>
                <w:rFonts w:hAnsi="宋体"/>
                <w:color w:val="auto"/>
                <w:szCs w:val="22"/>
                <w:highlight w:val="none"/>
              </w:rPr>
            </w:pPr>
            <w:r>
              <w:rPr>
                <w:rFonts w:hAnsi="宋体"/>
                <w:color w:val="auto"/>
                <w:szCs w:val="22"/>
                <w:highlight w:val="none"/>
              </w:rPr>
              <w:t>1、我单位符合政府采购法第二十二条规定。</w:t>
            </w:r>
          </w:p>
          <w:p w14:paraId="4789AAF7">
            <w:pPr>
              <w:pStyle w:val="34"/>
              <w:adjustRightInd w:val="0"/>
              <w:snapToGrid w:val="0"/>
              <w:spacing w:line="400" w:lineRule="exact"/>
              <w:ind w:firstLine="450"/>
              <w:rPr>
                <w:rFonts w:hAnsi="宋体"/>
                <w:color w:val="auto"/>
                <w:szCs w:val="22"/>
                <w:highlight w:val="none"/>
              </w:rPr>
            </w:pPr>
            <w:r>
              <w:rPr>
                <w:rFonts w:hAnsi="宋体"/>
                <w:color w:val="auto"/>
                <w:szCs w:val="22"/>
                <w:highlight w:val="none"/>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hAnsi="宋体"/>
                <w:color w:val="auto"/>
                <w:highlight w:val="none"/>
                <w:u w:val="single"/>
              </w:rPr>
              <w:t>□</w:t>
            </w:r>
            <w:r>
              <w:rPr>
                <w:rFonts w:hAnsi="宋体"/>
                <w:color w:val="auto"/>
                <w:szCs w:val="22"/>
                <w:highlight w:val="none"/>
                <w:u w:val="single"/>
              </w:rPr>
              <w:t>存在</w:t>
            </w:r>
            <w:r>
              <w:rPr>
                <w:rFonts w:hint="eastAsia" w:hAnsi="宋体"/>
                <w:color w:val="auto"/>
                <w:szCs w:val="22"/>
                <w:highlight w:val="none"/>
                <w:u w:val="single"/>
                <w:lang w:val="en-US" w:eastAsia="zh-CN"/>
              </w:rPr>
              <w:t xml:space="preserve">   </w:t>
            </w:r>
            <w:r>
              <w:rPr>
                <w:rFonts w:hAnsi="宋体"/>
                <w:color w:val="auto"/>
                <w:szCs w:val="22"/>
                <w:highlight w:val="none"/>
                <w:u w:val="single"/>
              </w:rPr>
              <w:t>/</w:t>
            </w:r>
            <w:r>
              <w:rPr>
                <w:rFonts w:hint="eastAsia" w:hAnsi="宋体"/>
                <w:color w:val="auto"/>
                <w:szCs w:val="22"/>
                <w:highlight w:val="none"/>
                <w:u w:val="single"/>
                <w:lang w:val="en-US" w:eastAsia="zh-CN"/>
              </w:rPr>
              <w:t xml:space="preserve">  </w:t>
            </w:r>
            <w:r>
              <w:rPr>
                <w:rFonts w:hint="eastAsia" w:hAnsi="宋体"/>
                <w:color w:val="auto"/>
                <w:highlight w:val="none"/>
                <w:u w:val="single"/>
                <w:lang w:eastAsia="zh-CN"/>
              </w:rPr>
              <w:t>□</w:t>
            </w:r>
            <w:r>
              <w:rPr>
                <w:rFonts w:hAnsi="宋体"/>
                <w:color w:val="auto"/>
                <w:szCs w:val="22"/>
                <w:highlight w:val="none"/>
                <w:u w:val="single"/>
              </w:rPr>
              <w:t>不存在</w:t>
            </w:r>
            <w:r>
              <w:rPr>
                <w:rFonts w:hAnsi="宋体"/>
                <w:color w:val="auto"/>
                <w:szCs w:val="22"/>
                <w:highlight w:val="none"/>
              </w:rPr>
              <w:t>上述文件规定依法限制参与政府采购的情况。（说明：在</w:t>
            </w:r>
            <w:r>
              <w:rPr>
                <w:rFonts w:hAnsi="宋体"/>
                <w:color w:val="auto"/>
                <w:highlight w:val="none"/>
              </w:rPr>
              <w:t>□</w:t>
            </w:r>
            <w:r>
              <w:rPr>
                <w:rFonts w:hAnsi="宋体"/>
                <w:color w:val="auto"/>
                <w:szCs w:val="22"/>
                <w:highlight w:val="none"/>
              </w:rPr>
              <w:t>上打</w:t>
            </w:r>
            <w:r>
              <w:rPr>
                <w:rFonts w:hAnsi="宋体"/>
                <w:color w:val="auto"/>
                <w:highlight w:val="none"/>
              </w:rPr>
              <w:t>√</w:t>
            </w:r>
            <w:r>
              <w:rPr>
                <w:rFonts w:hAnsi="宋体" w:cs="MS Mincho"/>
                <w:color w:val="auto"/>
                <w:szCs w:val="22"/>
                <w:highlight w:val="none"/>
              </w:rPr>
              <w:t>。</w:t>
            </w:r>
            <w:r>
              <w:rPr>
                <w:rFonts w:hAnsi="宋体"/>
                <w:color w:val="auto"/>
                <w:szCs w:val="22"/>
                <w:highlight w:val="none"/>
              </w:rPr>
              <w:t>）</w:t>
            </w:r>
          </w:p>
          <w:p w14:paraId="35F26477">
            <w:pPr>
              <w:tabs>
                <w:tab w:val="center" w:pos="4483"/>
              </w:tabs>
              <w:adjustRightInd w:val="0"/>
              <w:spacing w:line="400" w:lineRule="exact"/>
              <w:ind w:firstLine="400"/>
              <w:rPr>
                <w:rFonts w:ascii="宋体" w:hAnsi="宋体"/>
                <w:color w:val="auto"/>
                <w:highlight w:val="none"/>
              </w:rPr>
            </w:pPr>
            <w:r>
              <w:rPr>
                <w:rFonts w:ascii="宋体" w:hAnsi="宋体"/>
                <w:color w:val="auto"/>
                <w:highlight w:val="none"/>
              </w:rPr>
              <w:t>3、我单位</w:t>
            </w:r>
            <w:r>
              <w:rPr>
                <w:rFonts w:hint="eastAsia" w:ascii="宋体" w:hAnsi="宋体"/>
                <w:color w:val="auto"/>
                <w:highlight w:val="none"/>
                <w:lang w:eastAsia="zh-CN"/>
              </w:rPr>
              <w:t>□</w:t>
            </w:r>
            <w:r>
              <w:rPr>
                <w:rFonts w:ascii="宋体" w:hAnsi="宋体"/>
                <w:color w:val="auto"/>
                <w:highlight w:val="none"/>
              </w:rPr>
              <w:t>没有被限制参加政府采购活动</w:t>
            </w:r>
            <w:r>
              <w:rPr>
                <w:rFonts w:hint="eastAsia" w:ascii="宋体" w:hAnsi="宋体"/>
                <w:color w:val="auto"/>
                <w:highlight w:val="none"/>
                <w:lang w:val="en-US" w:eastAsia="zh-CN"/>
              </w:rPr>
              <w:t xml:space="preserve">  </w:t>
            </w:r>
            <w:r>
              <w:rPr>
                <w:rFonts w:ascii="宋体" w:hAnsi="宋体"/>
                <w:color w:val="auto"/>
                <w:highlight w:val="none"/>
              </w:rPr>
              <w:t>/</w:t>
            </w:r>
            <w:r>
              <w:rPr>
                <w:rFonts w:hint="eastAsia" w:ascii="宋体" w:hAnsi="宋体"/>
                <w:color w:val="auto"/>
                <w:highlight w:val="none"/>
                <w:lang w:val="en-US" w:eastAsia="zh-CN"/>
              </w:rPr>
              <w:t xml:space="preserve">   </w:t>
            </w:r>
            <w:r>
              <w:rPr>
                <w:rFonts w:hint="eastAsia" w:ascii="宋体" w:hAnsi="宋体"/>
                <w:color w:val="auto"/>
                <w:highlight w:val="none"/>
                <w:lang w:eastAsia="zh-CN"/>
              </w:rPr>
              <w:t>□</w:t>
            </w:r>
            <w:r>
              <w:rPr>
                <w:rFonts w:ascii="宋体" w:hAnsi="宋体"/>
                <w:color w:val="auto"/>
                <w:highlight w:val="none"/>
              </w:rPr>
              <w:t>在参加政府采购活动前3年内因违法经营被禁止在一定期限内参加政府采购活动，但期限届满，已可以参加政府采购活动。（说明：在□上打√</w:t>
            </w:r>
            <w:r>
              <w:rPr>
                <w:rFonts w:ascii="宋体" w:hAnsi="宋体" w:cs="MS Mincho"/>
                <w:color w:val="auto"/>
                <w:highlight w:val="none"/>
              </w:rPr>
              <w:t>。</w:t>
            </w:r>
            <w:r>
              <w:rPr>
                <w:rFonts w:ascii="宋体" w:hAnsi="宋体"/>
                <w:color w:val="auto"/>
                <w:highlight w:val="none"/>
              </w:rPr>
              <w:t>）</w:t>
            </w:r>
          </w:p>
          <w:p w14:paraId="76CA3DB0">
            <w:pPr>
              <w:tabs>
                <w:tab w:val="center" w:pos="4483"/>
              </w:tabs>
              <w:adjustRightInd w:val="0"/>
              <w:spacing w:line="400" w:lineRule="exact"/>
              <w:ind w:firstLine="400"/>
              <w:rPr>
                <w:rFonts w:ascii="宋体" w:hAnsi="宋体" w:cs="宋体"/>
                <w:color w:val="auto"/>
                <w:sz w:val="20"/>
                <w:highlight w:val="none"/>
                <w:u w:val="single"/>
              </w:rPr>
            </w:pPr>
            <w:r>
              <w:rPr>
                <w:rFonts w:hint="eastAsia" w:ascii="宋体" w:hAnsi="宋体" w:cs="宋体"/>
                <w:color w:val="auto"/>
                <w:sz w:val="20"/>
                <w:highlight w:val="none"/>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hAnsi="宋体" w:cs="宋体"/>
                <w:color w:val="auto"/>
                <w:sz w:val="20"/>
                <w:highlight w:val="none"/>
                <w:u w:val="single"/>
              </w:rPr>
              <w:t xml:space="preserve">                    </w:t>
            </w:r>
          </w:p>
          <w:p w14:paraId="2EA301F3">
            <w:pPr>
              <w:tabs>
                <w:tab w:val="center" w:pos="4483"/>
              </w:tabs>
              <w:adjustRightInd w:val="0"/>
              <w:spacing w:line="400" w:lineRule="exact"/>
              <w:ind w:firstLine="400"/>
              <w:rPr>
                <w:rFonts w:ascii="宋体" w:hAnsi="宋体" w:cs="宋体"/>
                <w:color w:val="auto"/>
                <w:sz w:val="20"/>
                <w:highlight w:val="none"/>
              </w:rPr>
            </w:pPr>
            <w:r>
              <w:rPr>
                <w:rFonts w:hint="eastAsia" w:ascii="宋体" w:hAnsi="宋体" w:cs="宋体"/>
                <w:color w:val="auto"/>
                <w:sz w:val="20"/>
                <w:highlight w:val="none"/>
              </w:rPr>
              <w:t>5、我单位符合本项目特定资格条件：</w:t>
            </w:r>
            <w:r>
              <w:rPr>
                <w:rFonts w:hint="eastAsia" w:ascii="宋体" w:hAnsi="宋体" w:cs="宋体"/>
                <w:color w:val="auto"/>
                <w:sz w:val="20"/>
                <w:highlight w:val="none"/>
                <w:u w:val="single"/>
              </w:rPr>
              <w:t xml:space="preserve">      </w:t>
            </w:r>
            <w:r>
              <w:rPr>
                <w:rFonts w:hint="eastAsia" w:ascii="宋体" w:hAnsi="宋体" w:cs="宋体"/>
                <w:color w:val="auto"/>
                <w:sz w:val="20"/>
                <w:highlight w:val="none"/>
                <w:u w:val="single"/>
                <w:lang w:val="en-US" w:eastAsia="zh-CN"/>
              </w:rPr>
              <w:t>/</w:t>
            </w:r>
            <w:r>
              <w:rPr>
                <w:rFonts w:hint="eastAsia" w:ascii="宋体" w:hAnsi="宋体" w:cs="宋体"/>
                <w:color w:val="auto"/>
                <w:sz w:val="20"/>
                <w:highlight w:val="none"/>
                <w:u w:val="single"/>
              </w:rPr>
              <w:t xml:space="preserve">         </w:t>
            </w:r>
            <w:r>
              <w:rPr>
                <w:rFonts w:hint="eastAsia" w:ascii="宋体" w:hAnsi="宋体" w:cs="宋体"/>
                <w:color w:val="auto"/>
                <w:sz w:val="20"/>
                <w:highlight w:val="none"/>
              </w:rPr>
              <w:t>的要求，并在磋商响应文件中提供了相应的证明材料（磋商文件没有要求特定资格条件的，本条款空格处可以空白）</w:t>
            </w:r>
          </w:p>
          <w:p w14:paraId="0235BE71">
            <w:pPr>
              <w:tabs>
                <w:tab w:val="center" w:pos="4483"/>
              </w:tabs>
              <w:adjustRightInd w:val="0"/>
              <w:spacing w:line="400" w:lineRule="exact"/>
              <w:ind w:firstLine="400" w:firstLineChars="200"/>
              <w:rPr>
                <w:rFonts w:ascii="宋体" w:hAnsi="宋体" w:cs="宋体"/>
                <w:color w:val="auto"/>
                <w:sz w:val="20"/>
                <w:highlight w:val="none"/>
              </w:rPr>
            </w:pPr>
            <w:r>
              <w:rPr>
                <w:rFonts w:hint="eastAsia" w:ascii="宋体" w:hAnsi="宋体" w:cs="宋体"/>
                <w:color w:val="auto"/>
                <w:sz w:val="20"/>
                <w:highlight w:val="none"/>
              </w:rPr>
              <w:t>6、我单位与参加本次项目同一合同项下政府采购活动的其他供应商不存在单位负责人为同一人或者直接控股、管理关系。</w:t>
            </w:r>
          </w:p>
          <w:p w14:paraId="04CCB3EE">
            <w:pPr>
              <w:tabs>
                <w:tab w:val="center" w:pos="4483"/>
              </w:tabs>
              <w:adjustRightInd w:val="0"/>
              <w:spacing w:line="400" w:lineRule="exact"/>
              <w:ind w:firstLine="400" w:firstLineChars="200"/>
              <w:rPr>
                <w:rFonts w:ascii="宋体" w:hAnsi="宋体"/>
                <w:bCs/>
                <w:color w:val="auto"/>
                <w:sz w:val="20"/>
                <w:highlight w:val="none"/>
              </w:rPr>
            </w:pPr>
            <w:r>
              <w:rPr>
                <w:rFonts w:hint="eastAsia" w:ascii="宋体" w:hAnsi="宋体" w:cs="宋体"/>
                <w:color w:val="auto"/>
                <w:sz w:val="20"/>
                <w:highlight w:val="none"/>
              </w:rPr>
              <w:t>7、本公司所提交的声明和陈述均是真实的、准确的。若与真实情况不符，本公司愿意承担由此而产生的一切后果。</w:t>
            </w:r>
          </w:p>
        </w:tc>
      </w:tr>
      <w:tr w14:paraId="6F5F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0C129320">
            <w:pPr>
              <w:pStyle w:val="34"/>
              <w:adjustRightInd w:val="0"/>
              <w:snapToGrid w:val="0"/>
              <w:spacing w:line="440" w:lineRule="exact"/>
              <w:rPr>
                <w:rFonts w:hAnsi="宋体"/>
                <w:color w:val="auto"/>
                <w:sz w:val="22"/>
                <w:szCs w:val="22"/>
                <w:highlight w:val="none"/>
              </w:rPr>
            </w:pPr>
            <w:r>
              <w:rPr>
                <w:rFonts w:hint="eastAsia" w:hAnsi="宋体"/>
                <w:color w:val="auto"/>
                <w:sz w:val="22"/>
                <w:szCs w:val="22"/>
                <w:highlight w:val="none"/>
                <w:lang w:val="zh-CN"/>
              </w:rPr>
              <w:t>投标供应商（盖章）：</w:t>
            </w:r>
          </w:p>
        </w:tc>
      </w:tr>
      <w:tr w14:paraId="3F0F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2" w:type="dxa"/>
            <w:gridSpan w:val="2"/>
            <w:vAlign w:val="center"/>
          </w:tcPr>
          <w:p w14:paraId="12CCF023">
            <w:pPr>
              <w:pStyle w:val="34"/>
              <w:adjustRightInd w:val="0"/>
              <w:snapToGrid w:val="0"/>
              <w:spacing w:line="440" w:lineRule="exact"/>
              <w:rPr>
                <w:rFonts w:hAnsi="宋体"/>
                <w:color w:val="auto"/>
                <w:sz w:val="22"/>
                <w:szCs w:val="22"/>
                <w:highlight w:val="none"/>
              </w:rPr>
            </w:pPr>
            <w:r>
              <w:rPr>
                <w:rFonts w:hAnsi="宋体"/>
                <w:color w:val="auto"/>
                <w:sz w:val="22"/>
                <w:szCs w:val="22"/>
                <w:highlight w:val="none"/>
              </w:rPr>
              <w:t>法定代表人或授权代表（签字或盖章）：</w:t>
            </w:r>
          </w:p>
        </w:tc>
      </w:tr>
      <w:tr w14:paraId="63F8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612" w:type="dxa"/>
            <w:gridSpan w:val="2"/>
            <w:vAlign w:val="center"/>
          </w:tcPr>
          <w:p w14:paraId="57B3A2FC">
            <w:pPr>
              <w:pStyle w:val="34"/>
              <w:adjustRightInd w:val="0"/>
              <w:snapToGrid w:val="0"/>
              <w:spacing w:line="440" w:lineRule="exact"/>
              <w:rPr>
                <w:rFonts w:hAnsi="宋体"/>
                <w:color w:val="auto"/>
                <w:sz w:val="22"/>
                <w:szCs w:val="22"/>
                <w:highlight w:val="none"/>
              </w:rPr>
            </w:pPr>
            <w:r>
              <w:rPr>
                <w:rFonts w:hAnsi="宋体"/>
                <w:color w:val="auto"/>
                <w:sz w:val="22"/>
                <w:szCs w:val="22"/>
                <w:highlight w:val="none"/>
              </w:rPr>
              <w:t>签署日期：</w:t>
            </w:r>
          </w:p>
        </w:tc>
      </w:tr>
    </w:tbl>
    <w:p w14:paraId="11AA1FC5">
      <w:pPr>
        <w:pStyle w:val="5"/>
        <w:spacing w:line="276" w:lineRule="auto"/>
        <w:rPr>
          <w:rFonts w:hAnsi="宋体"/>
          <w:color w:val="auto"/>
          <w:sz w:val="36"/>
          <w:highlight w:val="none"/>
        </w:rPr>
      </w:pPr>
      <w:r>
        <w:rPr>
          <w:rFonts w:hAnsi="宋体"/>
          <w:color w:val="auto"/>
          <w:sz w:val="36"/>
          <w:highlight w:val="none"/>
        </w:rPr>
        <w:br w:type="page"/>
      </w:r>
      <w:bookmarkStart w:id="57" w:name="_Toc1478"/>
      <w:bookmarkStart w:id="58" w:name="_Toc493530212"/>
      <w:r>
        <w:rPr>
          <w:rFonts w:hint="eastAsia" w:ascii="宋体" w:hAnsi="宋体"/>
          <w:color w:val="auto"/>
          <w:sz w:val="36"/>
          <w:highlight w:val="none"/>
        </w:rPr>
        <w:t>二、报价文件格式</w:t>
      </w:r>
      <w:bookmarkEnd w:id="57"/>
    </w:p>
    <w:p w14:paraId="48293DDE">
      <w:pPr>
        <w:pStyle w:val="34"/>
        <w:adjustRightInd w:val="0"/>
        <w:snapToGrid w:val="0"/>
        <w:spacing w:line="440" w:lineRule="atLeast"/>
        <w:jc w:val="left"/>
        <w:outlineLvl w:val="1"/>
        <w:rPr>
          <w:rFonts w:hAnsi="宋体"/>
          <w:color w:val="auto"/>
          <w:sz w:val="30"/>
          <w:highlight w:val="none"/>
          <w:lang w:val="zh-CN"/>
        </w:rPr>
      </w:pPr>
      <w:bookmarkStart w:id="59" w:name="_Toc14484"/>
      <w:r>
        <w:rPr>
          <w:rFonts w:hint="eastAsia" w:hAnsi="宋体"/>
          <w:color w:val="auto"/>
          <w:sz w:val="30"/>
          <w:highlight w:val="none"/>
        </w:rPr>
        <w:t>附件</w:t>
      </w:r>
      <w:r>
        <w:rPr>
          <w:rFonts w:hint="eastAsia" w:hAnsi="宋体"/>
          <w:color w:val="auto"/>
          <w:sz w:val="30"/>
          <w:highlight w:val="none"/>
          <w:lang w:val="zh-CN"/>
        </w:rPr>
        <w:t>二</w:t>
      </w:r>
      <w:bookmarkEnd w:id="59"/>
    </w:p>
    <w:p w14:paraId="2F662224">
      <w:pPr>
        <w:pStyle w:val="34"/>
        <w:adjustRightInd w:val="0"/>
        <w:snapToGrid w:val="0"/>
        <w:spacing w:line="440" w:lineRule="atLeast"/>
        <w:ind w:firstLine="440"/>
        <w:jc w:val="center"/>
        <w:outlineLvl w:val="1"/>
        <w:rPr>
          <w:rFonts w:hAnsi="宋体" w:cs="Arial"/>
          <w:bCs/>
          <w:color w:val="auto"/>
          <w:sz w:val="36"/>
          <w:szCs w:val="36"/>
          <w:highlight w:val="none"/>
          <w:lang w:val="zh-CN"/>
        </w:rPr>
      </w:pPr>
      <w:bookmarkStart w:id="60" w:name="_Toc25438"/>
      <w:r>
        <w:rPr>
          <w:rFonts w:hint="eastAsia" w:hAnsi="宋体" w:cs="Arial"/>
          <w:bCs/>
          <w:color w:val="auto"/>
          <w:sz w:val="36"/>
          <w:szCs w:val="36"/>
          <w:highlight w:val="none"/>
          <w:lang w:val="zh-CN"/>
        </w:rPr>
        <w:t>报价一览表</w:t>
      </w:r>
      <w:bookmarkEnd w:id="58"/>
      <w:bookmarkEnd w:id="60"/>
    </w:p>
    <w:p w14:paraId="0917B8F3">
      <w:pPr>
        <w:pStyle w:val="34"/>
        <w:spacing w:line="460" w:lineRule="exact"/>
        <w:rPr>
          <w:rFonts w:hAnsi="宋体"/>
          <w:color w:val="auto"/>
          <w:highlight w:val="none"/>
        </w:rPr>
      </w:pPr>
      <w:r>
        <w:rPr>
          <w:rFonts w:hint="eastAsia" w:hAnsi="宋体"/>
          <w:color w:val="auto"/>
          <w:highlight w:val="none"/>
        </w:rPr>
        <w:t>项目名称：                                 采购编号：                        单位：元</w:t>
      </w:r>
    </w:p>
    <w:tbl>
      <w:tblPr>
        <w:tblStyle w:val="6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6054"/>
      </w:tblGrid>
      <w:tr w14:paraId="66CE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686" w:type="dxa"/>
            <w:vAlign w:val="center"/>
          </w:tcPr>
          <w:p w14:paraId="60C41118">
            <w:pPr>
              <w:pStyle w:val="34"/>
              <w:ind w:firstLine="442"/>
              <w:jc w:val="center"/>
              <w:rPr>
                <w:rFonts w:hAnsi="宋体" w:cs="宋体"/>
                <w:color w:val="auto"/>
                <w:sz w:val="22"/>
                <w:highlight w:val="none"/>
              </w:rPr>
            </w:pPr>
            <w:r>
              <w:rPr>
                <w:rFonts w:hint="eastAsia" w:hAnsi="宋体" w:cs="宋体"/>
                <w:color w:val="auto"/>
                <w:sz w:val="22"/>
                <w:highlight w:val="none"/>
              </w:rPr>
              <w:t>项目名称</w:t>
            </w:r>
          </w:p>
        </w:tc>
        <w:tc>
          <w:tcPr>
            <w:tcW w:w="6054" w:type="dxa"/>
            <w:vAlign w:val="center"/>
          </w:tcPr>
          <w:p w14:paraId="7F6CA594">
            <w:pPr>
              <w:pStyle w:val="34"/>
              <w:ind w:firstLine="442"/>
              <w:jc w:val="center"/>
              <w:rPr>
                <w:rFonts w:hint="eastAsia" w:hAnsi="宋体" w:eastAsia="宋体" w:cs="宋体"/>
                <w:color w:val="auto"/>
                <w:sz w:val="22"/>
                <w:highlight w:val="none"/>
                <w:lang w:val="en-US" w:eastAsia="zh-CN"/>
              </w:rPr>
            </w:pPr>
            <w:r>
              <w:rPr>
                <w:rFonts w:hint="eastAsia" w:hAnsi="宋体" w:cs="宋体"/>
                <w:color w:val="auto"/>
                <w:sz w:val="22"/>
                <w:highlight w:val="none"/>
              </w:rPr>
              <w:t>投标价（</w:t>
            </w:r>
            <w:r>
              <w:rPr>
                <w:rFonts w:hint="eastAsia" w:hAnsi="宋体" w:cs="宋体"/>
                <w:color w:val="auto"/>
                <w:sz w:val="22"/>
                <w:highlight w:val="none"/>
                <w:lang w:val="en-US" w:eastAsia="zh-CN"/>
              </w:rPr>
              <w:t>两年）</w:t>
            </w:r>
          </w:p>
        </w:tc>
      </w:tr>
      <w:tr w14:paraId="1D2D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trPr>
        <w:tc>
          <w:tcPr>
            <w:tcW w:w="3686" w:type="dxa"/>
            <w:vAlign w:val="center"/>
          </w:tcPr>
          <w:p w14:paraId="4084EEC4">
            <w:pPr>
              <w:pStyle w:val="34"/>
              <w:jc w:val="center"/>
              <w:rPr>
                <w:rFonts w:hint="eastAsia" w:hAnsi="宋体" w:eastAsia="宋体" w:cs="宋体"/>
                <w:color w:val="auto"/>
                <w:sz w:val="22"/>
                <w:highlight w:val="none"/>
                <w:lang w:eastAsia="zh-CN"/>
              </w:rPr>
            </w:pPr>
            <w:r>
              <w:rPr>
                <w:rFonts w:hint="eastAsia" w:hAnsi="宋体" w:cs="宋体"/>
                <w:color w:val="auto"/>
                <w:sz w:val="22"/>
                <w:highlight w:val="none"/>
                <w:lang w:eastAsia="zh-CN"/>
              </w:rPr>
              <w:t>温州市救助管理站站内救助管理服务项目</w:t>
            </w:r>
          </w:p>
        </w:tc>
        <w:tc>
          <w:tcPr>
            <w:tcW w:w="6054" w:type="dxa"/>
            <w:vAlign w:val="center"/>
          </w:tcPr>
          <w:p w14:paraId="69D5BA53">
            <w:pPr>
              <w:pStyle w:val="34"/>
              <w:jc w:val="left"/>
              <w:rPr>
                <w:rFonts w:hAnsi="宋体" w:cs="宋体"/>
                <w:color w:val="auto"/>
                <w:sz w:val="22"/>
                <w:highlight w:val="none"/>
              </w:rPr>
            </w:pPr>
            <w:r>
              <w:rPr>
                <w:rFonts w:hint="eastAsia" w:hAnsi="宋体" w:cs="宋体"/>
                <w:color w:val="auto"/>
                <w:sz w:val="22"/>
                <w:highlight w:val="none"/>
              </w:rPr>
              <w:t>大写：</w:t>
            </w:r>
          </w:p>
          <w:p w14:paraId="7C7EC82D">
            <w:pPr>
              <w:pStyle w:val="34"/>
              <w:jc w:val="left"/>
              <w:rPr>
                <w:rFonts w:hAnsi="宋体" w:cs="宋体"/>
                <w:color w:val="auto"/>
                <w:sz w:val="22"/>
                <w:highlight w:val="none"/>
              </w:rPr>
            </w:pPr>
          </w:p>
          <w:p w14:paraId="782EA623">
            <w:pPr>
              <w:pStyle w:val="34"/>
              <w:jc w:val="left"/>
              <w:rPr>
                <w:rFonts w:hAnsi="宋体" w:cs="宋体"/>
                <w:color w:val="auto"/>
                <w:sz w:val="22"/>
                <w:highlight w:val="none"/>
              </w:rPr>
            </w:pPr>
          </w:p>
          <w:p w14:paraId="7DCFED7D">
            <w:pPr>
              <w:pStyle w:val="34"/>
              <w:jc w:val="left"/>
              <w:rPr>
                <w:rFonts w:hAnsi="宋体" w:cs="宋体"/>
                <w:color w:val="auto"/>
                <w:sz w:val="22"/>
                <w:highlight w:val="none"/>
              </w:rPr>
            </w:pPr>
          </w:p>
          <w:p w14:paraId="5747FC65">
            <w:pPr>
              <w:pStyle w:val="34"/>
              <w:jc w:val="left"/>
              <w:rPr>
                <w:rFonts w:hAnsi="宋体" w:cs="宋体"/>
                <w:color w:val="auto"/>
                <w:sz w:val="22"/>
                <w:highlight w:val="none"/>
              </w:rPr>
            </w:pPr>
            <w:r>
              <w:rPr>
                <w:rFonts w:hint="eastAsia" w:hAnsi="宋体" w:cs="宋体"/>
                <w:color w:val="auto"/>
                <w:sz w:val="22"/>
                <w:highlight w:val="none"/>
              </w:rPr>
              <w:t>小写：</w:t>
            </w:r>
          </w:p>
        </w:tc>
      </w:tr>
    </w:tbl>
    <w:p w14:paraId="1F911A19">
      <w:pPr>
        <w:spacing w:line="460" w:lineRule="exact"/>
        <w:rPr>
          <w:rFonts w:ascii="宋体" w:hAnsi="宋体" w:cs="仿宋_GB2312"/>
          <w:b/>
          <w:bCs/>
          <w:color w:val="auto"/>
          <w:sz w:val="22"/>
          <w:highlight w:val="none"/>
        </w:rPr>
      </w:pPr>
      <w:r>
        <w:rPr>
          <w:rFonts w:hint="eastAsia" w:ascii="宋体" w:hAnsi="宋体" w:cs="仿宋_GB2312"/>
          <w:b/>
          <w:bCs/>
          <w:color w:val="auto"/>
          <w:sz w:val="22"/>
          <w:highlight w:val="none"/>
        </w:rPr>
        <w:t>说明：</w:t>
      </w:r>
    </w:p>
    <w:p w14:paraId="6DFAFE61">
      <w:pPr>
        <w:spacing w:line="460" w:lineRule="atLeast"/>
        <w:rPr>
          <w:rFonts w:ascii="宋体" w:hAnsi="宋体"/>
          <w:color w:val="auto"/>
          <w:kern w:val="0"/>
          <w:sz w:val="22"/>
          <w:highlight w:val="none"/>
        </w:rPr>
      </w:pPr>
      <w:r>
        <w:rPr>
          <w:rFonts w:hint="eastAsia" w:ascii="宋体" w:hAnsi="宋体"/>
          <w:color w:val="auto"/>
          <w:kern w:val="0"/>
          <w:sz w:val="22"/>
          <w:highlight w:val="none"/>
        </w:rPr>
        <w:t>▲报价一览表中投标价为符合磋商文件要求的全部费用。</w:t>
      </w:r>
    </w:p>
    <w:p w14:paraId="186FFD6D">
      <w:pPr>
        <w:spacing w:line="460" w:lineRule="atLeast"/>
        <w:rPr>
          <w:rFonts w:ascii="宋体" w:hAnsi="宋体"/>
          <w:color w:val="auto"/>
          <w:kern w:val="0"/>
          <w:sz w:val="22"/>
          <w:highlight w:val="none"/>
        </w:rPr>
      </w:pPr>
      <w:r>
        <w:rPr>
          <w:rFonts w:hint="eastAsia" w:ascii="宋体" w:hAnsi="宋体"/>
          <w:color w:val="auto"/>
          <w:kern w:val="0"/>
          <w:sz w:val="22"/>
          <w:highlight w:val="none"/>
        </w:rPr>
        <w:t xml:space="preserve">▲此报价一览表中投标价应与“投标分项报价表”中“合计报价”相一致。 </w:t>
      </w:r>
    </w:p>
    <w:p w14:paraId="72F4C447">
      <w:pPr>
        <w:spacing w:line="440" w:lineRule="atLeast"/>
        <w:rPr>
          <w:rFonts w:ascii="宋体" w:hAnsi="宋体"/>
          <w:b/>
          <w:color w:val="auto"/>
          <w:kern w:val="0"/>
          <w:sz w:val="22"/>
          <w:highlight w:val="none"/>
        </w:rPr>
      </w:pPr>
      <w:r>
        <w:rPr>
          <w:rFonts w:hint="eastAsia" w:ascii="宋体" w:hAnsi="宋体"/>
          <w:color w:val="auto"/>
          <w:kern w:val="0"/>
          <w:sz w:val="22"/>
          <w:highlight w:val="none"/>
        </w:rPr>
        <w:t>▲不提供此表格的将视为没有实质性响应磋商文件。</w:t>
      </w:r>
    </w:p>
    <w:p w14:paraId="48841107">
      <w:pPr>
        <w:spacing w:line="460" w:lineRule="exact"/>
        <w:rPr>
          <w:rFonts w:ascii="宋体" w:hAnsi="宋体" w:cs="仿宋_GB2312"/>
          <w:b/>
          <w:bCs/>
          <w:color w:val="auto"/>
          <w:sz w:val="22"/>
          <w:highlight w:val="none"/>
        </w:rPr>
      </w:pPr>
    </w:p>
    <w:p w14:paraId="155404CA">
      <w:pPr>
        <w:spacing w:line="460" w:lineRule="exact"/>
        <w:rPr>
          <w:rFonts w:ascii="宋体" w:hAnsi="宋体" w:cs="仿宋_GB2312"/>
          <w:b/>
          <w:bCs/>
          <w:color w:val="auto"/>
          <w:sz w:val="22"/>
          <w:highlight w:val="none"/>
        </w:rPr>
      </w:pPr>
    </w:p>
    <w:p w14:paraId="1FCE777C">
      <w:pPr>
        <w:spacing w:line="460" w:lineRule="exact"/>
        <w:rPr>
          <w:rFonts w:ascii="宋体" w:hAnsi="宋体" w:cs="仿宋_GB2312"/>
          <w:bCs/>
          <w:color w:val="auto"/>
          <w:sz w:val="22"/>
          <w:highlight w:val="none"/>
        </w:rPr>
      </w:pPr>
      <w:r>
        <w:rPr>
          <w:rFonts w:hint="eastAsia" w:ascii="宋体" w:hAnsi="宋体"/>
          <w:color w:val="auto"/>
          <w:sz w:val="22"/>
          <w:szCs w:val="22"/>
          <w:highlight w:val="none"/>
          <w:lang w:val="zh-CN"/>
        </w:rPr>
        <w:t>投标供应商（盖章）：</w:t>
      </w:r>
    </w:p>
    <w:p w14:paraId="4DEE2ED9">
      <w:pPr>
        <w:spacing w:line="460" w:lineRule="exact"/>
        <w:rPr>
          <w:rFonts w:ascii="宋体" w:hAnsi="宋体" w:cs="仿宋_GB2312"/>
          <w:bCs/>
          <w:color w:val="auto"/>
          <w:sz w:val="22"/>
          <w:highlight w:val="none"/>
        </w:rPr>
      </w:pPr>
      <w:r>
        <w:rPr>
          <w:rFonts w:hint="eastAsia" w:ascii="宋体" w:hAnsi="宋体" w:cs="仿宋_GB2312"/>
          <w:bCs/>
          <w:color w:val="auto"/>
          <w:sz w:val="22"/>
          <w:highlight w:val="none"/>
        </w:rPr>
        <w:t>法定代表人或授权代表（签字或盖章）：</w:t>
      </w:r>
    </w:p>
    <w:p w14:paraId="33AB2F18">
      <w:pPr>
        <w:spacing w:line="460" w:lineRule="exact"/>
        <w:rPr>
          <w:rFonts w:ascii="宋体" w:hAnsi="宋体" w:cs="仿宋_GB2312"/>
          <w:bCs/>
          <w:color w:val="auto"/>
          <w:sz w:val="22"/>
          <w:highlight w:val="none"/>
        </w:rPr>
      </w:pPr>
      <w:r>
        <w:rPr>
          <w:rFonts w:hint="eastAsia" w:ascii="宋体" w:hAnsi="宋体" w:cs="仿宋_GB2312"/>
          <w:bCs/>
          <w:color w:val="auto"/>
          <w:sz w:val="22"/>
          <w:highlight w:val="none"/>
        </w:rPr>
        <w:t>日期：</w:t>
      </w:r>
      <w:r>
        <w:rPr>
          <w:rFonts w:ascii="宋体" w:hAnsi="宋体" w:cs="仿宋_GB2312"/>
          <w:bCs/>
          <w:color w:val="auto"/>
          <w:sz w:val="22"/>
          <w:highlight w:val="none"/>
        </w:rPr>
        <w:t xml:space="preserve"> </w:t>
      </w:r>
    </w:p>
    <w:p w14:paraId="3CCDB469">
      <w:pPr>
        <w:pStyle w:val="34"/>
        <w:spacing w:line="460" w:lineRule="atLeast"/>
        <w:ind w:firstLine="550" w:firstLineChars="250"/>
        <w:rPr>
          <w:rFonts w:hAnsi="宋体"/>
          <w:color w:val="auto"/>
          <w:sz w:val="22"/>
          <w:szCs w:val="22"/>
          <w:highlight w:val="none"/>
        </w:rPr>
        <w:sectPr>
          <w:footerReference r:id="rId7" w:type="first"/>
          <w:headerReference r:id="rId3" w:type="default"/>
          <w:footerReference r:id="rId5" w:type="default"/>
          <w:headerReference r:id="rId4" w:type="even"/>
          <w:footerReference r:id="rId6" w:type="even"/>
          <w:pgSz w:w="11907" w:h="16840"/>
          <w:pgMar w:top="1440" w:right="1080" w:bottom="1440" w:left="1080" w:header="720" w:footer="720" w:gutter="0"/>
          <w:pgNumType w:start="0"/>
          <w:cols w:space="720" w:num="1"/>
          <w:titlePg/>
          <w:docGrid w:linePitch="286" w:charSpace="-3831"/>
        </w:sectPr>
      </w:pPr>
    </w:p>
    <w:p w14:paraId="0B8589A2">
      <w:pPr>
        <w:pStyle w:val="34"/>
        <w:adjustRightInd w:val="0"/>
        <w:snapToGrid w:val="0"/>
        <w:spacing w:line="440" w:lineRule="atLeast"/>
        <w:jc w:val="left"/>
        <w:outlineLvl w:val="1"/>
        <w:rPr>
          <w:rFonts w:hAnsi="宋体"/>
          <w:color w:val="auto"/>
          <w:sz w:val="30"/>
          <w:highlight w:val="none"/>
        </w:rPr>
      </w:pPr>
      <w:bookmarkStart w:id="61" w:name="_Toc21649"/>
      <w:r>
        <w:rPr>
          <w:rFonts w:hint="eastAsia" w:hAnsi="宋体"/>
          <w:color w:val="auto"/>
          <w:sz w:val="30"/>
          <w:highlight w:val="none"/>
        </w:rPr>
        <w:t>附件三</w:t>
      </w:r>
      <w:bookmarkEnd w:id="61"/>
      <w:r>
        <w:rPr>
          <w:rFonts w:hint="eastAsia" w:hAnsi="宋体"/>
          <w:color w:val="auto"/>
          <w:sz w:val="30"/>
          <w:highlight w:val="none"/>
        </w:rPr>
        <w:t xml:space="preserve"> </w:t>
      </w:r>
    </w:p>
    <w:p w14:paraId="2143310B">
      <w:pPr>
        <w:pStyle w:val="34"/>
        <w:adjustRightInd w:val="0"/>
        <w:snapToGrid w:val="0"/>
        <w:spacing w:line="440" w:lineRule="atLeast"/>
        <w:ind w:firstLine="440"/>
        <w:jc w:val="center"/>
        <w:outlineLvl w:val="1"/>
        <w:rPr>
          <w:rFonts w:hAnsi="宋体" w:cs="Arial"/>
          <w:bCs/>
          <w:color w:val="auto"/>
          <w:sz w:val="36"/>
          <w:szCs w:val="36"/>
          <w:highlight w:val="none"/>
          <w:lang w:val="zh-CN"/>
        </w:rPr>
      </w:pPr>
      <w:bookmarkStart w:id="62" w:name="_Toc15030"/>
      <w:r>
        <w:rPr>
          <w:rFonts w:hint="eastAsia" w:hAnsi="宋体" w:cs="Arial"/>
          <w:bCs/>
          <w:color w:val="auto"/>
          <w:sz w:val="36"/>
          <w:szCs w:val="36"/>
          <w:highlight w:val="none"/>
          <w:lang w:val="zh-CN"/>
        </w:rPr>
        <w:t>投标分项报价表</w:t>
      </w:r>
      <w:bookmarkEnd w:id="62"/>
    </w:p>
    <w:p w14:paraId="3D38091B">
      <w:pPr>
        <w:pStyle w:val="34"/>
        <w:adjustRightInd w:val="0"/>
        <w:snapToGrid w:val="0"/>
        <w:spacing w:line="440" w:lineRule="atLeast"/>
        <w:jc w:val="right"/>
        <w:rPr>
          <w:rFonts w:hAnsi="宋体"/>
          <w:color w:val="auto"/>
          <w:sz w:val="22"/>
          <w:szCs w:val="22"/>
          <w:highlight w:val="none"/>
        </w:rPr>
      </w:pPr>
      <w:r>
        <w:rPr>
          <w:rFonts w:hint="eastAsia" w:hAnsi="宋体"/>
          <w:color w:val="auto"/>
          <w:sz w:val="22"/>
          <w:szCs w:val="22"/>
          <w:highlight w:val="none"/>
        </w:rPr>
        <w:t>（价格单位：元）</w:t>
      </w:r>
    </w:p>
    <w:tbl>
      <w:tblPr>
        <w:tblStyle w:val="65"/>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095"/>
        <w:gridCol w:w="1729"/>
        <w:gridCol w:w="1668"/>
        <w:gridCol w:w="1573"/>
        <w:gridCol w:w="1568"/>
        <w:gridCol w:w="1523"/>
      </w:tblGrid>
      <w:tr w14:paraId="21B0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62" w:type="dxa"/>
            <w:noWrap w:val="0"/>
            <w:vAlign w:val="center"/>
          </w:tcPr>
          <w:p w14:paraId="6682FD8A">
            <w:pPr>
              <w:spacing w:line="300" w:lineRule="exact"/>
              <w:jc w:val="center"/>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序号</w:t>
            </w:r>
          </w:p>
        </w:tc>
        <w:tc>
          <w:tcPr>
            <w:tcW w:w="2824" w:type="dxa"/>
            <w:gridSpan w:val="2"/>
            <w:noWrap w:val="0"/>
            <w:vAlign w:val="center"/>
          </w:tcPr>
          <w:p w14:paraId="355A190A">
            <w:pPr>
              <w:spacing w:line="300" w:lineRule="exact"/>
              <w:jc w:val="center"/>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费用名称</w:t>
            </w:r>
          </w:p>
        </w:tc>
        <w:tc>
          <w:tcPr>
            <w:tcW w:w="1668" w:type="dxa"/>
            <w:noWrap w:val="0"/>
            <w:vAlign w:val="center"/>
          </w:tcPr>
          <w:p w14:paraId="1E660CEF">
            <w:pPr>
              <w:spacing w:line="300" w:lineRule="exact"/>
              <w:jc w:val="center"/>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单价（</w:t>
            </w:r>
            <w:r>
              <w:rPr>
                <w:rFonts w:hint="eastAsia" w:ascii="宋体" w:hAnsi="宋体" w:eastAsia="宋体" w:cs="宋体"/>
                <w:b/>
                <w:color w:val="auto"/>
                <w:sz w:val="22"/>
                <w:szCs w:val="22"/>
                <w:highlight w:val="none"/>
                <w:u w:val="none"/>
                <w:lang w:val="en-US" w:eastAsia="zh-CN"/>
              </w:rPr>
              <w:t>每人每</w:t>
            </w:r>
            <w:r>
              <w:rPr>
                <w:rFonts w:hint="eastAsia" w:ascii="宋体" w:hAnsi="宋体" w:eastAsia="宋体" w:cs="宋体"/>
                <w:b/>
                <w:color w:val="auto"/>
                <w:sz w:val="22"/>
                <w:szCs w:val="22"/>
                <w:highlight w:val="none"/>
                <w:u w:val="none"/>
              </w:rPr>
              <w:t>月金额）</w:t>
            </w:r>
          </w:p>
        </w:tc>
        <w:tc>
          <w:tcPr>
            <w:tcW w:w="1573" w:type="dxa"/>
            <w:noWrap w:val="0"/>
            <w:vAlign w:val="center"/>
          </w:tcPr>
          <w:p w14:paraId="52E294AF">
            <w:pPr>
              <w:spacing w:line="300" w:lineRule="exact"/>
              <w:jc w:val="center"/>
              <w:rPr>
                <w:rFonts w:hint="eastAsia" w:ascii="宋体" w:hAnsi="宋体" w:eastAsia="宋体" w:cs="宋体"/>
                <w:b/>
                <w:color w:val="auto"/>
                <w:sz w:val="22"/>
                <w:szCs w:val="22"/>
                <w:highlight w:val="none"/>
                <w:u w:val="none"/>
                <w:lang w:val="en-US" w:eastAsia="zh-CN"/>
              </w:rPr>
            </w:pPr>
            <w:r>
              <w:rPr>
                <w:rFonts w:hint="eastAsia" w:ascii="宋体" w:hAnsi="宋体" w:eastAsia="宋体" w:cs="宋体"/>
                <w:b/>
                <w:color w:val="auto"/>
                <w:sz w:val="22"/>
                <w:szCs w:val="22"/>
                <w:highlight w:val="none"/>
                <w:u w:val="none"/>
                <w:lang w:val="en-US" w:eastAsia="zh-CN"/>
              </w:rPr>
              <w:t>数量（人）</w:t>
            </w:r>
          </w:p>
        </w:tc>
        <w:tc>
          <w:tcPr>
            <w:tcW w:w="1568" w:type="dxa"/>
            <w:noWrap w:val="0"/>
            <w:vAlign w:val="center"/>
          </w:tcPr>
          <w:p w14:paraId="151FFB10">
            <w:pPr>
              <w:spacing w:line="300" w:lineRule="exact"/>
              <w:jc w:val="center"/>
              <w:rPr>
                <w:rFonts w:hint="eastAsia" w:ascii="宋体" w:hAnsi="宋体" w:eastAsia="宋体" w:cs="宋体"/>
                <w:b/>
                <w:color w:val="auto"/>
                <w:sz w:val="22"/>
                <w:szCs w:val="22"/>
                <w:highlight w:val="none"/>
                <w:u w:val="none"/>
                <w:lang w:eastAsia="zh-CN"/>
              </w:rPr>
            </w:pPr>
            <w:r>
              <w:rPr>
                <w:rFonts w:hint="eastAsia" w:ascii="宋体" w:hAnsi="宋体" w:eastAsia="宋体" w:cs="宋体"/>
                <w:b/>
                <w:color w:val="auto"/>
                <w:sz w:val="22"/>
                <w:szCs w:val="22"/>
                <w:highlight w:val="none"/>
                <w:u w:val="none"/>
                <w:lang w:val="en-US" w:eastAsia="zh-CN"/>
              </w:rPr>
              <w:t>一</w:t>
            </w:r>
            <w:r>
              <w:rPr>
                <w:rFonts w:hint="eastAsia" w:ascii="宋体" w:hAnsi="宋体" w:eastAsia="宋体" w:cs="宋体"/>
                <w:b/>
                <w:color w:val="auto"/>
                <w:sz w:val="22"/>
                <w:szCs w:val="22"/>
                <w:highlight w:val="none"/>
                <w:u w:val="none"/>
              </w:rPr>
              <w:t>年</w:t>
            </w:r>
            <w:r>
              <w:rPr>
                <w:rFonts w:hint="eastAsia" w:ascii="宋体" w:hAnsi="宋体" w:eastAsia="宋体" w:cs="宋体"/>
                <w:b/>
                <w:color w:val="auto"/>
                <w:sz w:val="22"/>
                <w:szCs w:val="22"/>
                <w:highlight w:val="none"/>
                <w:u w:val="none"/>
                <w:lang w:val="en-US" w:eastAsia="zh-CN"/>
              </w:rPr>
              <w:t>费用</w:t>
            </w:r>
          </w:p>
        </w:tc>
        <w:tc>
          <w:tcPr>
            <w:tcW w:w="1523" w:type="dxa"/>
            <w:noWrap w:val="0"/>
            <w:vAlign w:val="center"/>
          </w:tcPr>
          <w:p w14:paraId="4CD078BE">
            <w:pPr>
              <w:spacing w:line="300" w:lineRule="exact"/>
              <w:jc w:val="center"/>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总价（</w:t>
            </w:r>
            <w:r>
              <w:rPr>
                <w:rFonts w:hint="eastAsia" w:ascii="宋体" w:hAnsi="宋体" w:cs="宋体"/>
                <w:b/>
                <w:color w:val="auto"/>
                <w:sz w:val="22"/>
                <w:szCs w:val="22"/>
                <w:highlight w:val="none"/>
                <w:u w:val="none"/>
                <w:lang w:val="en-US" w:eastAsia="zh-CN"/>
              </w:rPr>
              <w:t>两</w:t>
            </w:r>
            <w:r>
              <w:rPr>
                <w:rFonts w:hint="eastAsia" w:ascii="宋体" w:hAnsi="宋体" w:eastAsia="宋体" w:cs="宋体"/>
                <w:b/>
                <w:color w:val="auto"/>
                <w:sz w:val="22"/>
                <w:szCs w:val="22"/>
                <w:highlight w:val="none"/>
                <w:u w:val="none"/>
              </w:rPr>
              <w:t>年</w:t>
            </w:r>
            <w:r>
              <w:rPr>
                <w:rFonts w:hint="eastAsia" w:ascii="宋体" w:hAnsi="宋体" w:cs="宋体"/>
                <w:b/>
                <w:color w:val="auto"/>
                <w:sz w:val="22"/>
                <w:szCs w:val="22"/>
                <w:highlight w:val="none"/>
                <w:u w:val="none"/>
                <w:lang w:val="en-US" w:eastAsia="zh-CN"/>
              </w:rPr>
              <w:t>费用</w:t>
            </w:r>
            <w:r>
              <w:rPr>
                <w:rFonts w:hint="eastAsia" w:ascii="宋体" w:hAnsi="宋体" w:eastAsia="宋体" w:cs="宋体"/>
                <w:b/>
                <w:color w:val="auto"/>
                <w:sz w:val="22"/>
                <w:szCs w:val="22"/>
                <w:highlight w:val="none"/>
                <w:u w:val="none"/>
              </w:rPr>
              <w:t>）</w:t>
            </w:r>
          </w:p>
        </w:tc>
      </w:tr>
      <w:tr w14:paraId="7B47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62" w:type="dxa"/>
            <w:vMerge w:val="restart"/>
            <w:noWrap w:val="0"/>
            <w:vAlign w:val="center"/>
          </w:tcPr>
          <w:p w14:paraId="67953086">
            <w:pPr>
              <w:spacing w:line="300" w:lineRule="exact"/>
              <w:jc w:val="center"/>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w:t>
            </w:r>
          </w:p>
        </w:tc>
        <w:tc>
          <w:tcPr>
            <w:tcW w:w="1095" w:type="dxa"/>
            <w:vMerge w:val="restart"/>
            <w:noWrap w:val="0"/>
            <w:vAlign w:val="center"/>
          </w:tcPr>
          <w:p w14:paraId="3EBCFFB9">
            <w:pPr>
              <w:spacing w:line="300" w:lineRule="exact"/>
              <w:jc w:val="center"/>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人员费用（含工资、社保）</w:t>
            </w:r>
          </w:p>
        </w:tc>
        <w:tc>
          <w:tcPr>
            <w:tcW w:w="1729" w:type="dxa"/>
            <w:noWrap w:val="0"/>
            <w:vAlign w:val="center"/>
          </w:tcPr>
          <w:p w14:paraId="04025A3C">
            <w:pPr>
              <w:pStyle w:val="2"/>
              <w:adjustRightInd w:val="0"/>
              <w:snapToGrid w:val="0"/>
              <w:spacing w:after="0" w:line="460" w:lineRule="exact"/>
              <w:jc w:val="center"/>
              <w:rPr>
                <w:rFonts w:hint="eastAsia" w:ascii="宋体" w:hAnsi="宋体" w:eastAsia="宋体" w:cs="宋体"/>
                <w:b w:val="0"/>
                <w:bCs/>
                <w:color w:val="auto"/>
                <w:sz w:val="22"/>
                <w:szCs w:val="22"/>
                <w:highlight w:val="none"/>
                <w:u w:val="none"/>
              </w:rPr>
            </w:pPr>
          </w:p>
        </w:tc>
        <w:tc>
          <w:tcPr>
            <w:tcW w:w="1668" w:type="dxa"/>
            <w:noWrap w:val="0"/>
            <w:vAlign w:val="center"/>
          </w:tcPr>
          <w:p w14:paraId="066B4C5E">
            <w:pPr>
              <w:pStyle w:val="2"/>
              <w:adjustRightInd w:val="0"/>
              <w:snapToGrid w:val="0"/>
              <w:spacing w:after="0" w:line="460" w:lineRule="exact"/>
              <w:jc w:val="center"/>
              <w:rPr>
                <w:rFonts w:hint="eastAsia" w:ascii="宋体" w:hAnsi="宋体" w:eastAsia="宋体" w:cs="宋体"/>
                <w:b w:val="0"/>
                <w:bCs/>
                <w:color w:val="auto"/>
                <w:sz w:val="22"/>
                <w:szCs w:val="22"/>
                <w:highlight w:val="none"/>
                <w:u w:val="none"/>
              </w:rPr>
            </w:pPr>
          </w:p>
        </w:tc>
        <w:tc>
          <w:tcPr>
            <w:tcW w:w="1573" w:type="dxa"/>
            <w:noWrap w:val="0"/>
            <w:vAlign w:val="center"/>
          </w:tcPr>
          <w:p w14:paraId="01649F61">
            <w:pPr>
              <w:pStyle w:val="2"/>
              <w:adjustRightInd w:val="0"/>
              <w:snapToGrid w:val="0"/>
              <w:spacing w:after="0" w:line="460" w:lineRule="exact"/>
              <w:jc w:val="center"/>
              <w:rPr>
                <w:rFonts w:hint="eastAsia" w:ascii="宋体" w:hAnsi="宋体" w:eastAsia="宋体" w:cs="宋体"/>
                <w:color w:val="auto"/>
                <w:sz w:val="22"/>
                <w:szCs w:val="22"/>
                <w:highlight w:val="none"/>
                <w:u w:val="none"/>
              </w:rPr>
            </w:pPr>
          </w:p>
        </w:tc>
        <w:tc>
          <w:tcPr>
            <w:tcW w:w="1568" w:type="dxa"/>
            <w:noWrap w:val="0"/>
            <w:vAlign w:val="center"/>
          </w:tcPr>
          <w:p w14:paraId="203D625F">
            <w:pPr>
              <w:spacing w:line="300" w:lineRule="exact"/>
              <w:jc w:val="center"/>
              <w:rPr>
                <w:rFonts w:hint="eastAsia" w:ascii="宋体" w:hAnsi="宋体" w:eastAsia="宋体" w:cs="宋体"/>
                <w:color w:val="auto"/>
                <w:sz w:val="22"/>
                <w:szCs w:val="22"/>
                <w:highlight w:val="none"/>
                <w:u w:val="none"/>
              </w:rPr>
            </w:pPr>
          </w:p>
        </w:tc>
        <w:tc>
          <w:tcPr>
            <w:tcW w:w="1523" w:type="dxa"/>
            <w:noWrap w:val="0"/>
            <w:vAlign w:val="center"/>
          </w:tcPr>
          <w:p w14:paraId="5206BFBC">
            <w:pPr>
              <w:pStyle w:val="2"/>
              <w:adjustRightInd w:val="0"/>
              <w:snapToGrid w:val="0"/>
              <w:spacing w:after="0" w:line="460" w:lineRule="exact"/>
              <w:jc w:val="center"/>
              <w:rPr>
                <w:rFonts w:hint="eastAsia" w:ascii="宋体" w:hAnsi="宋体" w:eastAsia="宋体" w:cs="宋体"/>
                <w:b w:val="0"/>
                <w:bCs/>
                <w:color w:val="auto"/>
                <w:sz w:val="22"/>
                <w:szCs w:val="22"/>
                <w:highlight w:val="none"/>
                <w:u w:val="none"/>
              </w:rPr>
            </w:pPr>
          </w:p>
        </w:tc>
      </w:tr>
      <w:tr w14:paraId="01A5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62" w:type="dxa"/>
            <w:vMerge w:val="continue"/>
            <w:noWrap w:val="0"/>
            <w:vAlign w:val="center"/>
          </w:tcPr>
          <w:p w14:paraId="7E055C69">
            <w:pPr>
              <w:spacing w:line="300" w:lineRule="exact"/>
              <w:jc w:val="center"/>
              <w:rPr>
                <w:rFonts w:hint="eastAsia" w:ascii="宋体" w:hAnsi="宋体" w:eastAsia="宋体" w:cs="宋体"/>
                <w:color w:val="auto"/>
                <w:sz w:val="22"/>
                <w:szCs w:val="22"/>
                <w:highlight w:val="none"/>
                <w:u w:val="none"/>
              </w:rPr>
            </w:pPr>
          </w:p>
        </w:tc>
        <w:tc>
          <w:tcPr>
            <w:tcW w:w="1095" w:type="dxa"/>
            <w:vMerge w:val="continue"/>
            <w:noWrap w:val="0"/>
            <w:vAlign w:val="center"/>
          </w:tcPr>
          <w:p w14:paraId="3007E327">
            <w:pPr>
              <w:spacing w:line="300" w:lineRule="exact"/>
              <w:jc w:val="center"/>
              <w:rPr>
                <w:rFonts w:hint="eastAsia" w:ascii="宋体" w:hAnsi="宋体" w:eastAsia="宋体" w:cs="宋体"/>
                <w:color w:val="auto"/>
                <w:sz w:val="22"/>
                <w:szCs w:val="22"/>
                <w:highlight w:val="none"/>
                <w:u w:val="none"/>
              </w:rPr>
            </w:pPr>
          </w:p>
        </w:tc>
        <w:tc>
          <w:tcPr>
            <w:tcW w:w="1729" w:type="dxa"/>
            <w:noWrap w:val="0"/>
            <w:vAlign w:val="center"/>
          </w:tcPr>
          <w:p w14:paraId="3441DCC5">
            <w:pPr>
              <w:pStyle w:val="2"/>
              <w:adjustRightInd w:val="0"/>
              <w:snapToGrid w:val="0"/>
              <w:spacing w:after="0" w:line="460" w:lineRule="exact"/>
              <w:jc w:val="center"/>
              <w:rPr>
                <w:rFonts w:hint="eastAsia" w:ascii="宋体" w:hAnsi="宋体" w:eastAsia="宋体" w:cs="宋体"/>
                <w:b w:val="0"/>
                <w:bCs/>
                <w:color w:val="auto"/>
                <w:sz w:val="22"/>
                <w:szCs w:val="22"/>
                <w:highlight w:val="none"/>
                <w:u w:val="none"/>
              </w:rPr>
            </w:pPr>
          </w:p>
        </w:tc>
        <w:tc>
          <w:tcPr>
            <w:tcW w:w="1668" w:type="dxa"/>
            <w:noWrap w:val="0"/>
            <w:vAlign w:val="center"/>
          </w:tcPr>
          <w:p w14:paraId="08FE58B7">
            <w:pPr>
              <w:pStyle w:val="2"/>
              <w:adjustRightInd w:val="0"/>
              <w:snapToGrid w:val="0"/>
              <w:spacing w:after="0" w:line="460" w:lineRule="exact"/>
              <w:jc w:val="center"/>
              <w:rPr>
                <w:rFonts w:hint="eastAsia" w:ascii="宋体" w:hAnsi="宋体" w:eastAsia="宋体" w:cs="宋体"/>
                <w:b w:val="0"/>
                <w:bCs/>
                <w:color w:val="auto"/>
                <w:sz w:val="22"/>
                <w:szCs w:val="22"/>
                <w:highlight w:val="none"/>
                <w:u w:val="none"/>
              </w:rPr>
            </w:pPr>
          </w:p>
        </w:tc>
        <w:tc>
          <w:tcPr>
            <w:tcW w:w="1573" w:type="dxa"/>
            <w:noWrap w:val="0"/>
            <w:vAlign w:val="center"/>
          </w:tcPr>
          <w:p w14:paraId="27D6122B">
            <w:pPr>
              <w:pStyle w:val="2"/>
              <w:adjustRightInd w:val="0"/>
              <w:snapToGrid w:val="0"/>
              <w:spacing w:after="0" w:line="460" w:lineRule="exact"/>
              <w:jc w:val="center"/>
              <w:rPr>
                <w:rFonts w:hint="eastAsia" w:ascii="宋体" w:hAnsi="宋体" w:eastAsia="宋体" w:cs="宋体"/>
                <w:color w:val="auto"/>
                <w:sz w:val="22"/>
                <w:szCs w:val="22"/>
                <w:highlight w:val="none"/>
                <w:u w:val="none"/>
              </w:rPr>
            </w:pPr>
          </w:p>
        </w:tc>
        <w:tc>
          <w:tcPr>
            <w:tcW w:w="1568" w:type="dxa"/>
            <w:noWrap w:val="0"/>
            <w:vAlign w:val="center"/>
          </w:tcPr>
          <w:p w14:paraId="5ACA8BE7">
            <w:pPr>
              <w:spacing w:line="300" w:lineRule="exact"/>
              <w:jc w:val="center"/>
              <w:rPr>
                <w:rFonts w:hint="eastAsia" w:ascii="宋体" w:hAnsi="宋体" w:eastAsia="宋体" w:cs="宋体"/>
                <w:color w:val="auto"/>
                <w:sz w:val="22"/>
                <w:szCs w:val="22"/>
                <w:highlight w:val="none"/>
                <w:u w:val="none"/>
              </w:rPr>
            </w:pPr>
          </w:p>
        </w:tc>
        <w:tc>
          <w:tcPr>
            <w:tcW w:w="1523" w:type="dxa"/>
            <w:noWrap w:val="0"/>
            <w:vAlign w:val="center"/>
          </w:tcPr>
          <w:p w14:paraId="1DED8F17">
            <w:pPr>
              <w:pStyle w:val="2"/>
              <w:adjustRightInd w:val="0"/>
              <w:snapToGrid w:val="0"/>
              <w:spacing w:after="0" w:line="460" w:lineRule="exact"/>
              <w:jc w:val="center"/>
              <w:rPr>
                <w:rFonts w:hint="eastAsia" w:ascii="宋体" w:hAnsi="宋体" w:eastAsia="宋体" w:cs="宋体"/>
                <w:b w:val="0"/>
                <w:bCs/>
                <w:color w:val="auto"/>
                <w:sz w:val="22"/>
                <w:szCs w:val="22"/>
                <w:highlight w:val="none"/>
                <w:u w:val="none"/>
              </w:rPr>
            </w:pPr>
          </w:p>
        </w:tc>
      </w:tr>
      <w:tr w14:paraId="634A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62" w:type="dxa"/>
            <w:vMerge w:val="continue"/>
            <w:noWrap w:val="0"/>
            <w:vAlign w:val="center"/>
          </w:tcPr>
          <w:p w14:paraId="5C1AEA87">
            <w:pPr>
              <w:spacing w:line="300" w:lineRule="exact"/>
              <w:jc w:val="center"/>
              <w:rPr>
                <w:rFonts w:hint="eastAsia" w:ascii="宋体" w:hAnsi="宋体" w:eastAsia="宋体" w:cs="宋体"/>
                <w:color w:val="auto"/>
                <w:sz w:val="22"/>
                <w:szCs w:val="22"/>
                <w:highlight w:val="none"/>
                <w:u w:val="none"/>
              </w:rPr>
            </w:pPr>
          </w:p>
        </w:tc>
        <w:tc>
          <w:tcPr>
            <w:tcW w:w="1095" w:type="dxa"/>
            <w:vMerge w:val="continue"/>
            <w:noWrap w:val="0"/>
            <w:vAlign w:val="center"/>
          </w:tcPr>
          <w:p w14:paraId="2908C177">
            <w:pPr>
              <w:spacing w:line="300" w:lineRule="exact"/>
              <w:jc w:val="center"/>
              <w:rPr>
                <w:rFonts w:hint="eastAsia" w:ascii="宋体" w:hAnsi="宋体" w:eastAsia="宋体" w:cs="宋体"/>
                <w:color w:val="auto"/>
                <w:sz w:val="22"/>
                <w:szCs w:val="22"/>
                <w:highlight w:val="none"/>
                <w:u w:val="none"/>
              </w:rPr>
            </w:pPr>
          </w:p>
        </w:tc>
        <w:tc>
          <w:tcPr>
            <w:tcW w:w="1729" w:type="dxa"/>
            <w:noWrap w:val="0"/>
            <w:vAlign w:val="center"/>
          </w:tcPr>
          <w:p w14:paraId="04EE9377">
            <w:pPr>
              <w:pStyle w:val="2"/>
              <w:adjustRightInd w:val="0"/>
              <w:snapToGrid w:val="0"/>
              <w:spacing w:after="0" w:line="460" w:lineRule="exact"/>
              <w:jc w:val="center"/>
              <w:rPr>
                <w:rFonts w:hint="eastAsia" w:ascii="宋体" w:hAnsi="宋体" w:eastAsia="宋体" w:cs="宋体"/>
                <w:b w:val="0"/>
                <w:bCs/>
                <w:color w:val="auto"/>
                <w:sz w:val="22"/>
                <w:szCs w:val="22"/>
                <w:highlight w:val="none"/>
                <w:u w:val="none"/>
              </w:rPr>
            </w:pPr>
          </w:p>
        </w:tc>
        <w:tc>
          <w:tcPr>
            <w:tcW w:w="1668" w:type="dxa"/>
            <w:noWrap w:val="0"/>
            <w:vAlign w:val="center"/>
          </w:tcPr>
          <w:p w14:paraId="2906968C">
            <w:pPr>
              <w:pStyle w:val="2"/>
              <w:adjustRightInd w:val="0"/>
              <w:snapToGrid w:val="0"/>
              <w:spacing w:after="0" w:line="460" w:lineRule="exact"/>
              <w:jc w:val="center"/>
              <w:rPr>
                <w:rFonts w:hint="eastAsia" w:ascii="宋体" w:hAnsi="宋体" w:eastAsia="宋体" w:cs="宋体"/>
                <w:b w:val="0"/>
                <w:bCs/>
                <w:color w:val="auto"/>
                <w:sz w:val="22"/>
                <w:szCs w:val="22"/>
                <w:highlight w:val="none"/>
                <w:u w:val="none"/>
              </w:rPr>
            </w:pPr>
          </w:p>
        </w:tc>
        <w:tc>
          <w:tcPr>
            <w:tcW w:w="1573" w:type="dxa"/>
            <w:noWrap w:val="0"/>
            <w:vAlign w:val="center"/>
          </w:tcPr>
          <w:p w14:paraId="2FD6FE58">
            <w:pPr>
              <w:pStyle w:val="2"/>
              <w:adjustRightInd w:val="0"/>
              <w:snapToGrid w:val="0"/>
              <w:spacing w:after="0" w:line="460" w:lineRule="exact"/>
              <w:jc w:val="center"/>
              <w:rPr>
                <w:rFonts w:hint="eastAsia" w:ascii="宋体" w:hAnsi="宋体" w:eastAsia="宋体" w:cs="宋体"/>
                <w:color w:val="auto"/>
                <w:sz w:val="22"/>
                <w:szCs w:val="22"/>
                <w:highlight w:val="none"/>
                <w:u w:val="none"/>
              </w:rPr>
            </w:pPr>
          </w:p>
        </w:tc>
        <w:tc>
          <w:tcPr>
            <w:tcW w:w="1568" w:type="dxa"/>
            <w:noWrap w:val="0"/>
            <w:vAlign w:val="center"/>
          </w:tcPr>
          <w:p w14:paraId="18E74C6C">
            <w:pPr>
              <w:spacing w:line="300" w:lineRule="exact"/>
              <w:jc w:val="center"/>
              <w:rPr>
                <w:rFonts w:hint="eastAsia" w:ascii="宋体" w:hAnsi="宋体" w:eastAsia="宋体" w:cs="宋体"/>
                <w:color w:val="auto"/>
                <w:sz w:val="22"/>
                <w:szCs w:val="22"/>
                <w:highlight w:val="none"/>
                <w:u w:val="none"/>
              </w:rPr>
            </w:pPr>
          </w:p>
        </w:tc>
        <w:tc>
          <w:tcPr>
            <w:tcW w:w="1523" w:type="dxa"/>
            <w:noWrap w:val="0"/>
            <w:vAlign w:val="center"/>
          </w:tcPr>
          <w:p w14:paraId="00560BC1">
            <w:pPr>
              <w:pStyle w:val="2"/>
              <w:adjustRightInd w:val="0"/>
              <w:snapToGrid w:val="0"/>
              <w:spacing w:after="0" w:line="460" w:lineRule="exact"/>
              <w:jc w:val="center"/>
              <w:rPr>
                <w:rFonts w:hint="eastAsia" w:ascii="宋体" w:hAnsi="宋体" w:eastAsia="宋体" w:cs="宋体"/>
                <w:b w:val="0"/>
                <w:bCs/>
                <w:color w:val="auto"/>
                <w:sz w:val="22"/>
                <w:szCs w:val="22"/>
                <w:highlight w:val="none"/>
                <w:u w:val="none"/>
              </w:rPr>
            </w:pPr>
          </w:p>
        </w:tc>
      </w:tr>
      <w:tr w14:paraId="1B1D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62" w:type="dxa"/>
            <w:vMerge w:val="continue"/>
            <w:noWrap w:val="0"/>
            <w:vAlign w:val="center"/>
          </w:tcPr>
          <w:p w14:paraId="1FEF592C">
            <w:pPr>
              <w:spacing w:line="300" w:lineRule="exact"/>
              <w:jc w:val="center"/>
              <w:rPr>
                <w:rFonts w:hint="eastAsia" w:ascii="宋体" w:hAnsi="宋体" w:eastAsia="宋体" w:cs="宋体"/>
                <w:color w:val="auto"/>
                <w:sz w:val="22"/>
                <w:szCs w:val="22"/>
                <w:highlight w:val="none"/>
                <w:u w:val="none"/>
              </w:rPr>
            </w:pPr>
          </w:p>
        </w:tc>
        <w:tc>
          <w:tcPr>
            <w:tcW w:w="1095" w:type="dxa"/>
            <w:vMerge w:val="continue"/>
            <w:noWrap w:val="0"/>
            <w:vAlign w:val="center"/>
          </w:tcPr>
          <w:p w14:paraId="713624AF">
            <w:pPr>
              <w:spacing w:line="300" w:lineRule="exact"/>
              <w:jc w:val="center"/>
              <w:rPr>
                <w:rFonts w:hint="eastAsia" w:ascii="宋体" w:hAnsi="宋体" w:eastAsia="宋体" w:cs="宋体"/>
                <w:color w:val="auto"/>
                <w:sz w:val="22"/>
                <w:szCs w:val="22"/>
                <w:highlight w:val="none"/>
                <w:u w:val="none"/>
              </w:rPr>
            </w:pPr>
          </w:p>
        </w:tc>
        <w:tc>
          <w:tcPr>
            <w:tcW w:w="1729" w:type="dxa"/>
            <w:noWrap w:val="0"/>
            <w:vAlign w:val="center"/>
          </w:tcPr>
          <w:p w14:paraId="5408892E">
            <w:pPr>
              <w:pStyle w:val="2"/>
              <w:adjustRightInd w:val="0"/>
              <w:snapToGrid w:val="0"/>
              <w:spacing w:after="0" w:line="460" w:lineRule="exact"/>
              <w:jc w:val="center"/>
              <w:rPr>
                <w:rFonts w:hint="eastAsia" w:ascii="宋体" w:hAnsi="宋体" w:eastAsia="宋体" w:cs="宋体"/>
                <w:b w:val="0"/>
                <w:bCs/>
                <w:color w:val="auto"/>
                <w:sz w:val="22"/>
                <w:szCs w:val="22"/>
                <w:highlight w:val="none"/>
                <w:u w:val="none"/>
              </w:rPr>
            </w:pPr>
          </w:p>
        </w:tc>
        <w:tc>
          <w:tcPr>
            <w:tcW w:w="1668" w:type="dxa"/>
            <w:noWrap w:val="0"/>
            <w:vAlign w:val="center"/>
          </w:tcPr>
          <w:p w14:paraId="01821D70">
            <w:pPr>
              <w:pStyle w:val="2"/>
              <w:adjustRightInd w:val="0"/>
              <w:snapToGrid w:val="0"/>
              <w:spacing w:after="0" w:line="460" w:lineRule="exact"/>
              <w:jc w:val="center"/>
              <w:rPr>
                <w:rFonts w:hint="eastAsia" w:ascii="宋体" w:hAnsi="宋体" w:eastAsia="宋体" w:cs="宋体"/>
                <w:b w:val="0"/>
                <w:bCs/>
                <w:color w:val="auto"/>
                <w:sz w:val="22"/>
                <w:szCs w:val="22"/>
                <w:highlight w:val="none"/>
                <w:u w:val="none"/>
              </w:rPr>
            </w:pPr>
          </w:p>
        </w:tc>
        <w:tc>
          <w:tcPr>
            <w:tcW w:w="1573" w:type="dxa"/>
            <w:noWrap w:val="0"/>
            <w:vAlign w:val="center"/>
          </w:tcPr>
          <w:p w14:paraId="57CF6F64">
            <w:pPr>
              <w:pStyle w:val="2"/>
              <w:adjustRightInd w:val="0"/>
              <w:snapToGrid w:val="0"/>
              <w:spacing w:after="0" w:line="460" w:lineRule="exact"/>
              <w:jc w:val="center"/>
              <w:rPr>
                <w:rFonts w:hint="eastAsia" w:ascii="宋体" w:hAnsi="宋体" w:eastAsia="宋体" w:cs="宋体"/>
                <w:color w:val="auto"/>
                <w:sz w:val="22"/>
                <w:szCs w:val="22"/>
                <w:highlight w:val="none"/>
                <w:u w:val="none"/>
              </w:rPr>
            </w:pPr>
          </w:p>
        </w:tc>
        <w:tc>
          <w:tcPr>
            <w:tcW w:w="1568" w:type="dxa"/>
            <w:noWrap w:val="0"/>
            <w:vAlign w:val="center"/>
          </w:tcPr>
          <w:p w14:paraId="7F512CC4">
            <w:pPr>
              <w:spacing w:line="300" w:lineRule="exact"/>
              <w:jc w:val="center"/>
              <w:rPr>
                <w:rFonts w:hint="eastAsia" w:ascii="宋体" w:hAnsi="宋体" w:eastAsia="宋体" w:cs="宋体"/>
                <w:color w:val="auto"/>
                <w:sz w:val="22"/>
                <w:szCs w:val="22"/>
                <w:highlight w:val="none"/>
                <w:u w:val="none"/>
              </w:rPr>
            </w:pPr>
          </w:p>
        </w:tc>
        <w:tc>
          <w:tcPr>
            <w:tcW w:w="1523" w:type="dxa"/>
            <w:noWrap w:val="0"/>
            <w:vAlign w:val="center"/>
          </w:tcPr>
          <w:p w14:paraId="18EFD89E">
            <w:pPr>
              <w:pStyle w:val="2"/>
              <w:adjustRightInd w:val="0"/>
              <w:snapToGrid w:val="0"/>
              <w:spacing w:after="0" w:line="460" w:lineRule="exact"/>
              <w:jc w:val="center"/>
              <w:rPr>
                <w:rFonts w:hint="eastAsia" w:ascii="宋体" w:hAnsi="宋体" w:eastAsia="宋体" w:cs="宋体"/>
                <w:b w:val="0"/>
                <w:bCs/>
                <w:color w:val="auto"/>
                <w:sz w:val="22"/>
                <w:szCs w:val="22"/>
                <w:highlight w:val="none"/>
                <w:u w:val="none"/>
              </w:rPr>
            </w:pPr>
          </w:p>
        </w:tc>
      </w:tr>
      <w:tr w14:paraId="2326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62" w:type="dxa"/>
            <w:vMerge w:val="continue"/>
            <w:noWrap w:val="0"/>
            <w:vAlign w:val="center"/>
          </w:tcPr>
          <w:p w14:paraId="71BD8EED">
            <w:pPr>
              <w:spacing w:line="300" w:lineRule="exact"/>
              <w:jc w:val="center"/>
              <w:rPr>
                <w:rFonts w:hint="eastAsia" w:ascii="宋体" w:hAnsi="宋体" w:eastAsia="宋体" w:cs="宋体"/>
                <w:color w:val="auto"/>
                <w:sz w:val="22"/>
                <w:szCs w:val="22"/>
                <w:highlight w:val="none"/>
                <w:u w:val="none"/>
              </w:rPr>
            </w:pPr>
          </w:p>
        </w:tc>
        <w:tc>
          <w:tcPr>
            <w:tcW w:w="1095" w:type="dxa"/>
            <w:vMerge w:val="continue"/>
            <w:noWrap w:val="0"/>
            <w:vAlign w:val="center"/>
          </w:tcPr>
          <w:p w14:paraId="716B37DE">
            <w:pPr>
              <w:spacing w:line="300" w:lineRule="exact"/>
              <w:jc w:val="center"/>
              <w:rPr>
                <w:rFonts w:hint="eastAsia" w:ascii="宋体" w:hAnsi="宋体" w:eastAsia="宋体" w:cs="宋体"/>
                <w:color w:val="auto"/>
                <w:sz w:val="22"/>
                <w:szCs w:val="22"/>
                <w:highlight w:val="none"/>
                <w:u w:val="none"/>
              </w:rPr>
            </w:pPr>
          </w:p>
        </w:tc>
        <w:tc>
          <w:tcPr>
            <w:tcW w:w="1729" w:type="dxa"/>
            <w:noWrap w:val="0"/>
            <w:vAlign w:val="center"/>
          </w:tcPr>
          <w:p w14:paraId="51E30B8F">
            <w:pPr>
              <w:pStyle w:val="2"/>
              <w:adjustRightInd w:val="0"/>
              <w:snapToGrid w:val="0"/>
              <w:spacing w:after="0" w:line="460" w:lineRule="exact"/>
              <w:jc w:val="center"/>
              <w:rPr>
                <w:rFonts w:hint="eastAsia" w:ascii="宋体" w:hAnsi="宋体" w:eastAsia="宋体" w:cs="宋体"/>
                <w:b w:val="0"/>
                <w:bCs/>
                <w:color w:val="auto"/>
                <w:sz w:val="22"/>
                <w:szCs w:val="22"/>
                <w:highlight w:val="none"/>
                <w:u w:val="none"/>
              </w:rPr>
            </w:pPr>
          </w:p>
        </w:tc>
        <w:tc>
          <w:tcPr>
            <w:tcW w:w="1668" w:type="dxa"/>
            <w:noWrap w:val="0"/>
            <w:vAlign w:val="center"/>
          </w:tcPr>
          <w:p w14:paraId="7690A3F3">
            <w:pPr>
              <w:pStyle w:val="2"/>
              <w:adjustRightInd w:val="0"/>
              <w:snapToGrid w:val="0"/>
              <w:spacing w:after="0" w:line="460" w:lineRule="exact"/>
              <w:jc w:val="center"/>
              <w:rPr>
                <w:rFonts w:hint="eastAsia" w:ascii="宋体" w:hAnsi="宋体" w:eastAsia="宋体" w:cs="宋体"/>
                <w:b w:val="0"/>
                <w:bCs/>
                <w:color w:val="auto"/>
                <w:sz w:val="22"/>
                <w:szCs w:val="22"/>
                <w:highlight w:val="none"/>
                <w:u w:val="none"/>
              </w:rPr>
            </w:pPr>
          </w:p>
        </w:tc>
        <w:tc>
          <w:tcPr>
            <w:tcW w:w="1573" w:type="dxa"/>
            <w:noWrap w:val="0"/>
            <w:vAlign w:val="center"/>
          </w:tcPr>
          <w:p w14:paraId="5B2DC633">
            <w:pPr>
              <w:pStyle w:val="2"/>
              <w:adjustRightInd w:val="0"/>
              <w:snapToGrid w:val="0"/>
              <w:spacing w:after="0" w:line="460" w:lineRule="exact"/>
              <w:jc w:val="center"/>
              <w:rPr>
                <w:rFonts w:hint="eastAsia" w:ascii="宋体" w:hAnsi="宋体" w:eastAsia="宋体" w:cs="宋体"/>
                <w:color w:val="auto"/>
                <w:sz w:val="22"/>
                <w:szCs w:val="22"/>
                <w:highlight w:val="none"/>
                <w:u w:val="none"/>
              </w:rPr>
            </w:pPr>
          </w:p>
        </w:tc>
        <w:tc>
          <w:tcPr>
            <w:tcW w:w="1568" w:type="dxa"/>
            <w:noWrap w:val="0"/>
            <w:vAlign w:val="center"/>
          </w:tcPr>
          <w:p w14:paraId="4AD07D96">
            <w:pPr>
              <w:spacing w:line="300" w:lineRule="exact"/>
              <w:jc w:val="center"/>
              <w:rPr>
                <w:rFonts w:hint="eastAsia" w:ascii="宋体" w:hAnsi="宋体" w:eastAsia="宋体" w:cs="宋体"/>
                <w:color w:val="auto"/>
                <w:sz w:val="22"/>
                <w:szCs w:val="22"/>
                <w:highlight w:val="none"/>
                <w:u w:val="none"/>
              </w:rPr>
            </w:pPr>
          </w:p>
        </w:tc>
        <w:tc>
          <w:tcPr>
            <w:tcW w:w="1523" w:type="dxa"/>
            <w:noWrap w:val="0"/>
            <w:vAlign w:val="center"/>
          </w:tcPr>
          <w:p w14:paraId="1FAF57FC">
            <w:pPr>
              <w:pStyle w:val="2"/>
              <w:adjustRightInd w:val="0"/>
              <w:snapToGrid w:val="0"/>
              <w:spacing w:after="0" w:line="460" w:lineRule="exact"/>
              <w:jc w:val="center"/>
              <w:rPr>
                <w:rFonts w:hint="eastAsia" w:ascii="宋体" w:hAnsi="宋体" w:eastAsia="宋体" w:cs="宋体"/>
                <w:b w:val="0"/>
                <w:bCs/>
                <w:color w:val="auto"/>
                <w:sz w:val="22"/>
                <w:szCs w:val="22"/>
                <w:highlight w:val="none"/>
                <w:u w:val="none"/>
              </w:rPr>
            </w:pPr>
          </w:p>
        </w:tc>
      </w:tr>
      <w:tr w14:paraId="32BB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62" w:type="dxa"/>
            <w:vMerge w:val="continue"/>
            <w:noWrap w:val="0"/>
            <w:vAlign w:val="center"/>
          </w:tcPr>
          <w:p w14:paraId="7B4012FD">
            <w:pPr>
              <w:spacing w:line="300" w:lineRule="exact"/>
              <w:jc w:val="center"/>
              <w:rPr>
                <w:rFonts w:hint="eastAsia" w:ascii="宋体" w:hAnsi="宋体" w:eastAsia="宋体" w:cs="宋体"/>
                <w:color w:val="auto"/>
                <w:sz w:val="22"/>
                <w:szCs w:val="22"/>
                <w:highlight w:val="none"/>
                <w:u w:val="none"/>
              </w:rPr>
            </w:pPr>
          </w:p>
        </w:tc>
        <w:tc>
          <w:tcPr>
            <w:tcW w:w="1095" w:type="dxa"/>
            <w:vMerge w:val="continue"/>
            <w:noWrap w:val="0"/>
            <w:vAlign w:val="center"/>
          </w:tcPr>
          <w:p w14:paraId="627C0558">
            <w:pPr>
              <w:spacing w:line="300" w:lineRule="exact"/>
              <w:jc w:val="center"/>
              <w:rPr>
                <w:rFonts w:hint="eastAsia" w:ascii="宋体" w:hAnsi="宋体" w:eastAsia="宋体" w:cs="宋体"/>
                <w:color w:val="auto"/>
                <w:sz w:val="22"/>
                <w:szCs w:val="22"/>
                <w:highlight w:val="none"/>
                <w:u w:val="none"/>
              </w:rPr>
            </w:pPr>
          </w:p>
        </w:tc>
        <w:tc>
          <w:tcPr>
            <w:tcW w:w="1729" w:type="dxa"/>
            <w:noWrap w:val="0"/>
            <w:vAlign w:val="center"/>
          </w:tcPr>
          <w:p w14:paraId="1D28D4FA">
            <w:pPr>
              <w:pStyle w:val="2"/>
              <w:adjustRightInd w:val="0"/>
              <w:snapToGrid w:val="0"/>
              <w:spacing w:after="0" w:line="460" w:lineRule="exact"/>
              <w:jc w:val="center"/>
              <w:rPr>
                <w:rFonts w:hint="eastAsia" w:ascii="宋体" w:hAnsi="宋体" w:eastAsia="宋体" w:cs="宋体"/>
                <w:b w:val="0"/>
                <w:bCs/>
                <w:color w:val="auto"/>
                <w:sz w:val="22"/>
                <w:szCs w:val="22"/>
                <w:highlight w:val="none"/>
                <w:u w:val="none"/>
              </w:rPr>
            </w:pPr>
          </w:p>
        </w:tc>
        <w:tc>
          <w:tcPr>
            <w:tcW w:w="1668" w:type="dxa"/>
            <w:noWrap w:val="0"/>
            <w:vAlign w:val="center"/>
          </w:tcPr>
          <w:p w14:paraId="52E35752">
            <w:pPr>
              <w:pStyle w:val="2"/>
              <w:adjustRightInd w:val="0"/>
              <w:snapToGrid w:val="0"/>
              <w:spacing w:after="0" w:line="460" w:lineRule="exact"/>
              <w:jc w:val="center"/>
              <w:rPr>
                <w:rFonts w:hint="eastAsia" w:ascii="宋体" w:hAnsi="宋体" w:eastAsia="宋体" w:cs="宋体"/>
                <w:b w:val="0"/>
                <w:bCs/>
                <w:color w:val="auto"/>
                <w:sz w:val="22"/>
                <w:szCs w:val="22"/>
                <w:highlight w:val="none"/>
                <w:u w:val="none"/>
              </w:rPr>
            </w:pPr>
          </w:p>
        </w:tc>
        <w:tc>
          <w:tcPr>
            <w:tcW w:w="1573" w:type="dxa"/>
            <w:noWrap w:val="0"/>
            <w:vAlign w:val="center"/>
          </w:tcPr>
          <w:p w14:paraId="3499822E">
            <w:pPr>
              <w:pStyle w:val="2"/>
              <w:adjustRightInd w:val="0"/>
              <w:snapToGrid w:val="0"/>
              <w:spacing w:after="0" w:line="460" w:lineRule="exact"/>
              <w:jc w:val="center"/>
              <w:rPr>
                <w:rFonts w:hint="eastAsia" w:ascii="宋体" w:hAnsi="宋体" w:eastAsia="宋体" w:cs="宋体"/>
                <w:color w:val="auto"/>
                <w:sz w:val="22"/>
                <w:szCs w:val="22"/>
                <w:highlight w:val="none"/>
                <w:u w:val="none"/>
              </w:rPr>
            </w:pPr>
          </w:p>
        </w:tc>
        <w:tc>
          <w:tcPr>
            <w:tcW w:w="1568" w:type="dxa"/>
            <w:noWrap w:val="0"/>
            <w:vAlign w:val="center"/>
          </w:tcPr>
          <w:p w14:paraId="725F4B8A">
            <w:pPr>
              <w:spacing w:line="300" w:lineRule="exact"/>
              <w:jc w:val="center"/>
              <w:rPr>
                <w:rFonts w:hint="eastAsia" w:ascii="宋体" w:hAnsi="宋体" w:eastAsia="宋体" w:cs="宋体"/>
                <w:color w:val="auto"/>
                <w:sz w:val="22"/>
                <w:szCs w:val="22"/>
                <w:highlight w:val="none"/>
                <w:u w:val="none"/>
              </w:rPr>
            </w:pPr>
          </w:p>
        </w:tc>
        <w:tc>
          <w:tcPr>
            <w:tcW w:w="1523" w:type="dxa"/>
            <w:noWrap w:val="0"/>
            <w:vAlign w:val="center"/>
          </w:tcPr>
          <w:p w14:paraId="216F3392">
            <w:pPr>
              <w:pStyle w:val="2"/>
              <w:adjustRightInd w:val="0"/>
              <w:snapToGrid w:val="0"/>
              <w:spacing w:after="0" w:line="460" w:lineRule="exact"/>
              <w:jc w:val="center"/>
              <w:rPr>
                <w:rFonts w:hint="eastAsia" w:ascii="宋体" w:hAnsi="宋体" w:eastAsia="宋体" w:cs="宋体"/>
                <w:b w:val="0"/>
                <w:bCs/>
                <w:color w:val="auto"/>
                <w:sz w:val="22"/>
                <w:szCs w:val="22"/>
                <w:highlight w:val="none"/>
                <w:u w:val="none"/>
              </w:rPr>
            </w:pPr>
          </w:p>
        </w:tc>
      </w:tr>
      <w:tr w14:paraId="6AB31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62" w:type="dxa"/>
            <w:vMerge w:val="continue"/>
            <w:noWrap w:val="0"/>
            <w:vAlign w:val="center"/>
          </w:tcPr>
          <w:p w14:paraId="5095A9E1">
            <w:pPr>
              <w:spacing w:line="300" w:lineRule="exact"/>
              <w:jc w:val="center"/>
              <w:rPr>
                <w:rFonts w:hint="eastAsia" w:ascii="宋体" w:hAnsi="宋体" w:eastAsia="宋体" w:cs="宋体"/>
                <w:color w:val="auto"/>
                <w:sz w:val="22"/>
                <w:szCs w:val="22"/>
                <w:highlight w:val="none"/>
                <w:u w:val="none"/>
              </w:rPr>
            </w:pPr>
          </w:p>
        </w:tc>
        <w:tc>
          <w:tcPr>
            <w:tcW w:w="1095" w:type="dxa"/>
            <w:vMerge w:val="continue"/>
            <w:noWrap w:val="0"/>
            <w:vAlign w:val="center"/>
          </w:tcPr>
          <w:p w14:paraId="56FD5DB3">
            <w:pPr>
              <w:spacing w:line="300" w:lineRule="exact"/>
              <w:jc w:val="center"/>
              <w:rPr>
                <w:rFonts w:hint="eastAsia" w:ascii="宋体" w:hAnsi="宋体" w:eastAsia="宋体" w:cs="宋体"/>
                <w:color w:val="auto"/>
                <w:sz w:val="22"/>
                <w:szCs w:val="22"/>
                <w:highlight w:val="none"/>
                <w:u w:val="none"/>
              </w:rPr>
            </w:pPr>
          </w:p>
        </w:tc>
        <w:tc>
          <w:tcPr>
            <w:tcW w:w="1729" w:type="dxa"/>
            <w:noWrap w:val="0"/>
            <w:vAlign w:val="center"/>
          </w:tcPr>
          <w:p w14:paraId="4BA67196">
            <w:pPr>
              <w:pStyle w:val="2"/>
              <w:adjustRightInd w:val="0"/>
              <w:snapToGrid w:val="0"/>
              <w:spacing w:after="0" w:line="460" w:lineRule="exact"/>
              <w:jc w:val="center"/>
              <w:rPr>
                <w:rFonts w:hint="eastAsia" w:ascii="宋体" w:hAnsi="宋体" w:eastAsia="宋体" w:cs="宋体"/>
                <w:b w:val="0"/>
                <w:bCs/>
                <w:color w:val="auto"/>
                <w:sz w:val="22"/>
                <w:szCs w:val="22"/>
                <w:highlight w:val="none"/>
                <w:u w:val="none"/>
                <w:lang w:val="en-US" w:eastAsia="zh-CN"/>
              </w:rPr>
            </w:pPr>
            <w:r>
              <w:rPr>
                <w:rFonts w:hint="eastAsia" w:ascii="宋体" w:hAnsi="宋体" w:eastAsia="宋体" w:cs="宋体"/>
                <w:b w:val="0"/>
                <w:bCs/>
                <w:color w:val="auto"/>
                <w:sz w:val="22"/>
                <w:szCs w:val="22"/>
                <w:highlight w:val="none"/>
                <w:u w:val="none"/>
                <w:lang w:val="en-US" w:eastAsia="zh-CN"/>
              </w:rPr>
              <w:t>...</w:t>
            </w:r>
          </w:p>
        </w:tc>
        <w:tc>
          <w:tcPr>
            <w:tcW w:w="1668" w:type="dxa"/>
            <w:noWrap w:val="0"/>
            <w:vAlign w:val="center"/>
          </w:tcPr>
          <w:p w14:paraId="370C8F95">
            <w:pPr>
              <w:pStyle w:val="2"/>
              <w:adjustRightInd w:val="0"/>
              <w:snapToGrid w:val="0"/>
              <w:spacing w:after="0" w:line="460" w:lineRule="exact"/>
              <w:jc w:val="center"/>
              <w:rPr>
                <w:rFonts w:hint="eastAsia" w:ascii="宋体" w:hAnsi="宋体" w:eastAsia="宋体" w:cs="宋体"/>
                <w:b w:val="0"/>
                <w:bCs/>
                <w:color w:val="auto"/>
                <w:sz w:val="22"/>
                <w:szCs w:val="22"/>
                <w:highlight w:val="none"/>
                <w:u w:val="none"/>
              </w:rPr>
            </w:pPr>
          </w:p>
        </w:tc>
        <w:tc>
          <w:tcPr>
            <w:tcW w:w="1573" w:type="dxa"/>
            <w:noWrap w:val="0"/>
            <w:vAlign w:val="center"/>
          </w:tcPr>
          <w:p w14:paraId="6EC76BE8">
            <w:pPr>
              <w:pStyle w:val="2"/>
              <w:adjustRightInd w:val="0"/>
              <w:snapToGrid w:val="0"/>
              <w:spacing w:after="0" w:line="460" w:lineRule="exact"/>
              <w:jc w:val="center"/>
              <w:rPr>
                <w:rFonts w:hint="eastAsia" w:ascii="宋体" w:hAnsi="宋体" w:eastAsia="宋体" w:cs="宋体"/>
                <w:color w:val="auto"/>
                <w:sz w:val="22"/>
                <w:szCs w:val="22"/>
                <w:highlight w:val="none"/>
                <w:u w:val="none"/>
              </w:rPr>
            </w:pPr>
          </w:p>
        </w:tc>
        <w:tc>
          <w:tcPr>
            <w:tcW w:w="1568" w:type="dxa"/>
            <w:noWrap w:val="0"/>
            <w:vAlign w:val="center"/>
          </w:tcPr>
          <w:p w14:paraId="59D8E807">
            <w:pPr>
              <w:spacing w:line="300" w:lineRule="exact"/>
              <w:jc w:val="center"/>
              <w:rPr>
                <w:rFonts w:hint="eastAsia" w:ascii="宋体" w:hAnsi="宋体" w:eastAsia="宋体" w:cs="宋体"/>
                <w:color w:val="auto"/>
                <w:sz w:val="22"/>
                <w:szCs w:val="22"/>
                <w:highlight w:val="none"/>
                <w:u w:val="none"/>
              </w:rPr>
            </w:pPr>
          </w:p>
        </w:tc>
        <w:tc>
          <w:tcPr>
            <w:tcW w:w="1523" w:type="dxa"/>
            <w:noWrap w:val="0"/>
            <w:vAlign w:val="center"/>
          </w:tcPr>
          <w:p w14:paraId="432DCCB1">
            <w:pPr>
              <w:pStyle w:val="2"/>
              <w:adjustRightInd w:val="0"/>
              <w:snapToGrid w:val="0"/>
              <w:spacing w:after="0" w:line="460" w:lineRule="exact"/>
              <w:jc w:val="center"/>
              <w:rPr>
                <w:rFonts w:hint="eastAsia" w:ascii="宋体" w:hAnsi="宋体" w:eastAsia="宋体" w:cs="宋体"/>
                <w:b w:val="0"/>
                <w:bCs/>
                <w:color w:val="auto"/>
                <w:sz w:val="22"/>
                <w:szCs w:val="22"/>
                <w:highlight w:val="none"/>
                <w:u w:val="none"/>
              </w:rPr>
            </w:pPr>
          </w:p>
        </w:tc>
      </w:tr>
      <w:tr w14:paraId="799C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662" w:type="dxa"/>
            <w:noWrap w:val="0"/>
            <w:vAlign w:val="center"/>
          </w:tcPr>
          <w:p w14:paraId="2E665536">
            <w:pPr>
              <w:spacing w:line="300" w:lineRule="exact"/>
              <w:jc w:val="center"/>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w:t>
            </w:r>
          </w:p>
        </w:tc>
        <w:tc>
          <w:tcPr>
            <w:tcW w:w="2824" w:type="dxa"/>
            <w:gridSpan w:val="2"/>
            <w:noWrap w:val="0"/>
            <w:vAlign w:val="center"/>
          </w:tcPr>
          <w:p w14:paraId="691A3B0B">
            <w:pPr>
              <w:spacing w:line="300" w:lineRule="exact"/>
              <w:jc w:val="center"/>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人员福利、食宿费、节假日加班费、体检费、培训费、服装费等</w:t>
            </w:r>
          </w:p>
        </w:tc>
        <w:tc>
          <w:tcPr>
            <w:tcW w:w="1668" w:type="dxa"/>
            <w:noWrap w:val="0"/>
            <w:vAlign w:val="center"/>
          </w:tcPr>
          <w:p w14:paraId="2680A3ED">
            <w:pPr>
              <w:spacing w:line="300" w:lineRule="exact"/>
              <w:jc w:val="center"/>
              <w:rPr>
                <w:rFonts w:hint="eastAsia" w:ascii="宋体" w:hAnsi="宋体" w:eastAsia="宋体" w:cs="宋体"/>
                <w:color w:val="auto"/>
                <w:sz w:val="22"/>
                <w:szCs w:val="22"/>
                <w:highlight w:val="none"/>
                <w:u w:val="none"/>
              </w:rPr>
            </w:pPr>
          </w:p>
        </w:tc>
        <w:tc>
          <w:tcPr>
            <w:tcW w:w="1573" w:type="dxa"/>
            <w:noWrap w:val="0"/>
            <w:vAlign w:val="center"/>
          </w:tcPr>
          <w:p w14:paraId="7D43FE72">
            <w:pPr>
              <w:spacing w:line="300" w:lineRule="exact"/>
              <w:jc w:val="center"/>
              <w:rPr>
                <w:rFonts w:hint="eastAsia" w:ascii="宋体" w:hAnsi="宋体" w:eastAsia="宋体" w:cs="宋体"/>
                <w:color w:val="auto"/>
                <w:sz w:val="22"/>
                <w:szCs w:val="22"/>
                <w:highlight w:val="none"/>
                <w:u w:val="none"/>
              </w:rPr>
            </w:pPr>
          </w:p>
        </w:tc>
        <w:tc>
          <w:tcPr>
            <w:tcW w:w="1568" w:type="dxa"/>
            <w:noWrap w:val="0"/>
            <w:vAlign w:val="center"/>
          </w:tcPr>
          <w:p w14:paraId="49698C07">
            <w:pPr>
              <w:spacing w:line="300" w:lineRule="exact"/>
              <w:jc w:val="center"/>
              <w:rPr>
                <w:rFonts w:hint="eastAsia" w:ascii="宋体" w:hAnsi="宋体" w:eastAsia="宋体" w:cs="宋体"/>
                <w:color w:val="auto"/>
                <w:sz w:val="22"/>
                <w:szCs w:val="22"/>
                <w:highlight w:val="none"/>
                <w:u w:val="none"/>
              </w:rPr>
            </w:pPr>
          </w:p>
        </w:tc>
        <w:tc>
          <w:tcPr>
            <w:tcW w:w="1523" w:type="dxa"/>
            <w:noWrap w:val="0"/>
            <w:vAlign w:val="center"/>
          </w:tcPr>
          <w:p w14:paraId="7A5C532F">
            <w:pPr>
              <w:spacing w:line="300" w:lineRule="exact"/>
              <w:jc w:val="center"/>
              <w:rPr>
                <w:rFonts w:hint="eastAsia" w:ascii="宋体" w:hAnsi="宋体" w:eastAsia="宋体" w:cs="宋体"/>
                <w:color w:val="auto"/>
                <w:sz w:val="22"/>
                <w:szCs w:val="22"/>
                <w:highlight w:val="none"/>
                <w:u w:val="none"/>
              </w:rPr>
            </w:pPr>
          </w:p>
        </w:tc>
      </w:tr>
      <w:tr w14:paraId="3DA3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62" w:type="dxa"/>
            <w:noWrap w:val="0"/>
            <w:vAlign w:val="center"/>
          </w:tcPr>
          <w:p w14:paraId="1D514323">
            <w:pPr>
              <w:spacing w:line="300" w:lineRule="exact"/>
              <w:jc w:val="center"/>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w:t>
            </w:r>
          </w:p>
        </w:tc>
        <w:tc>
          <w:tcPr>
            <w:tcW w:w="2824" w:type="dxa"/>
            <w:gridSpan w:val="2"/>
            <w:noWrap w:val="0"/>
            <w:vAlign w:val="center"/>
          </w:tcPr>
          <w:p w14:paraId="19B67B8D">
            <w:pPr>
              <w:spacing w:line="300" w:lineRule="exact"/>
              <w:jc w:val="center"/>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企业管理费</w:t>
            </w:r>
          </w:p>
        </w:tc>
        <w:tc>
          <w:tcPr>
            <w:tcW w:w="1668" w:type="dxa"/>
            <w:noWrap w:val="0"/>
            <w:vAlign w:val="center"/>
          </w:tcPr>
          <w:p w14:paraId="25818EE9">
            <w:pPr>
              <w:spacing w:line="300" w:lineRule="exact"/>
              <w:jc w:val="center"/>
              <w:rPr>
                <w:rFonts w:hint="eastAsia" w:ascii="宋体" w:hAnsi="宋体" w:eastAsia="宋体" w:cs="宋体"/>
                <w:color w:val="auto"/>
                <w:sz w:val="22"/>
                <w:szCs w:val="22"/>
                <w:highlight w:val="none"/>
                <w:u w:val="none"/>
              </w:rPr>
            </w:pPr>
          </w:p>
        </w:tc>
        <w:tc>
          <w:tcPr>
            <w:tcW w:w="1573" w:type="dxa"/>
            <w:noWrap w:val="0"/>
            <w:vAlign w:val="center"/>
          </w:tcPr>
          <w:p w14:paraId="5B33596C">
            <w:pPr>
              <w:spacing w:line="300" w:lineRule="exact"/>
              <w:jc w:val="center"/>
              <w:rPr>
                <w:rFonts w:hint="eastAsia" w:ascii="宋体" w:hAnsi="宋体" w:eastAsia="宋体" w:cs="宋体"/>
                <w:color w:val="auto"/>
                <w:sz w:val="22"/>
                <w:szCs w:val="22"/>
                <w:highlight w:val="none"/>
                <w:u w:val="none"/>
              </w:rPr>
            </w:pPr>
          </w:p>
        </w:tc>
        <w:tc>
          <w:tcPr>
            <w:tcW w:w="1568" w:type="dxa"/>
            <w:noWrap w:val="0"/>
            <w:vAlign w:val="center"/>
          </w:tcPr>
          <w:p w14:paraId="0FB20054">
            <w:pPr>
              <w:spacing w:line="300" w:lineRule="exact"/>
              <w:jc w:val="center"/>
              <w:rPr>
                <w:rFonts w:hint="eastAsia" w:ascii="宋体" w:hAnsi="宋体" w:eastAsia="宋体" w:cs="宋体"/>
                <w:color w:val="auto"/>
                <w:sz w:val="22"/>
                <w:szCs w:val="22"/>
                <w:highlight w:val="none"/>
                <w:u w:val="none"/>
              </w:rPr>
            </w:pPr>
          </w:p>
        </w:tc>
        <w:tc>
          <w:tcPr>
            <w:tcW w:w="1523" w:type="dxa"/>
            <w:noWrap w:val="0"/>
            <w:vAlign w:val="center"/>
          </w:tcPr>
          <w:p w14:paraId="37B4C445">
            <w:pPr>
              <w:spacing w:line="300" w:lineRule="exact"/>
              <w:jc w:val="center"/>
              <w:rPr>
                <w:rFonts w:hint="eastAsia" w:ascii="宋体" w:hAnsi="宋体" w:eastAsia="宋体" w:cs="宋体"/>
                <w:color w:val="auto"/>
                <w:sz w:val="22"/>
                <w:szCs w:val="22"/>
                <w:highlight w:val="none"/>
                <w:u w:val="none"/>
              </w:rPr>
            </w:pPr>
          </w:p>
        </w:tc>
      </w:tr>
      <w:tr w14:paraId="48569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62" w:type="dxa"/>
            <w:noWrap w:val="0"/>
            <w:vAlign w:val="center"/>
          </w:tcPr>
          <w:p w14:paraId="3251BD7A">
            <w:pPr>
              <w:spacing w:line="300" w:lineRule="exact"/>
              <w:jc w:val="center"/>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val="en-US" w:eastAsia="zh-CN"/>
              </w:rPr>
              <w:t>4</w:t>
            </w:r>
          </w:p>
        </w:tc>
        <w:tc>
          <w:tcPr>
            <w:tcW w:w="2824" w:type="dxa"/>
            <w:gridSpan w:val="2"/>
            <w:noWrap w:val="0"/>
            <w:vAlign w:val="center"/>
          </w:tcPr>
          <w:p w14:paraId="34FC5977">
            <w:pPr>
              <w:spacing w:line="300" w:lineRule="exact"/>
              <w:jc w:val="center"/>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税金</w:t>
            </w:r>
          </w:p>
        </w:tc>
        <w:tc>
          <w:tcPr>
            <w:tcW w:w="1668" w:type="dxa"/>
            <w:noWrap w:val="0"/>
            <w:vAlign w:val="center"/>
          </w:tcPr>
          <w:p w14:paraId="3FF83185">
            <w:pPr>
              <w:spacing w:line="300" w:lineRule="exact"/>
              <w:jc w:val="center"/>
              <w:rPr>
                <w:rFonts w:hint="eastAsia" w:ascii="宋体" w:hAnsi="宋体" w:eastAsia="宋体" w:cs="宋体"/>
                <w:color w:val="auto"/>
                <w:sz w:val="22"/>
                <w:szCs w:val="22"/>
                <w:highlight w:val="none"/>
                <w:u w:val="none"/>
              </w:rPr>
            </w:pPr>
          </w:p>
        </w:tc>
        <w:tc>
          <w:tcPr>
            <w:tcW w:w="1573" w:type="dxa"/>
            <w:noWrap w:val="0"/>
            <w:vAlign w:val="center"/>
          </w:tcPr>
          <w:p w14:paraId="5D9DEB4C">
            <w:pPr>
              <w:spacing w:line="300" w:lineRule="exact"/>
              <w:jc w:val="center"/>
              <w:rPr>
                <w:rFonts w:hint="eastAsia" w:ascii="宋体" w:hAnsi="宋体" w:eastAsia="宋体" w:cs="宋体"/>
                <w:color w:val="auto"/>
                <w:sz w:val="22"/>
                <w:szCs w:val="22"/>
                <w:highlight w:val="none"/>
                <w:u w:val="none"/>
              </w:rPr>
            </w:pPr>
          </w:p>
        </w:tc>
        <w:tc>
          <w:tcPr>
            <w:tcW w:w="1568" w:type="dxa"/>
            <w:noWrap w:val="0"/>
            <w:vAlign w:val="center"/>
          </w:tcPr>
          <w:p w14:paraId="7C95ABE8">
            <w:pPr>
              <w:spacing w:line="300" w:lineRule="exact"/>
              <w:jc w:val="center"/>
              <w:rPr>
                <w:rFonts w:hint="eastAsia" w:ascii="宋体" w:hAnsi="宋体" w:eastAsia="宋体" w:cs="宋体"/>
                <w:color w:val="auto"/>
                <w:sz w:val="22"/>
                <w:szCs w:val="22"/>
                <w:highlight w:val="none"/>
                <w:u w:val="none"/>
              </w:rPr>
            </w:pPr>
          </w:p>
        </w:tc>
        <w:tc>
          <w:tcPr>
            <w:tcW w:w="1523" w:type="dxa"/>
            <w:noWrap w:val="0"/>
            <w:vAlign w:val="center"/>
          </w:tcPr>
          <w:p w14:paraId="44B64941">
            <w:pPr>
              <w:spacing w:line="300" w:lineRule="exact"/>
              <w:jc w:val="center"/>
              <w:rPr>
                <w:rFonts w:hint="eastAsia" w:ascii="宋体" w:hAnsi="宋体" w:eastAsia="宋体" w:cs="宋体"/>
                <w:color w:val="auto"/>
                <w:sz w:val="22"/>
                <w:szCs w:val="22"/>
                <w:highlight w:val="none"/>
                <w:u w:val="none"/>
              </w:rPr>
            </w:pPr>
          </w:p>
        </w:tc>
      </w:tr>
      <w:tr w14:paraId="1132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2" w:type="dxa"/>
            <w:noWrap w:val="0"/>
            <w:vAlign w:val="center"/>
          </w:tcPr>
          <w:p w14:paraId="4D431803">
            <w:pPr>
              <w:spacing w:line="300" w:lineRule="exact"/>
              <w:jc w:val="center"/>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5</w:t>
            </w:r>
          </w:p>
        </w:tc>
        <w:tc>
          <w:tcPr>
            <w:tcW w:w="2824" w:type="dxa"/>
            <w:gridSpan w:val="2"/>
            <w:noWrap w:val="0"/>
            <w:vAlign w:val="center"/>
          </w:tcPr>
          <w:p w14:paraId="2E3F2B1A">
            <w:pPr>
              <w:spacing w:line="300" w:lineRule="exact"/>
              <w:jc w:val="center"/>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利润</w:t>
            </w:r>
          </w:p>
        </w:tc>
        <w:tc>
          <w:tcPr>
            <w:tcW w:w="1668" w:type="dxa"/>
            <w:noWrap w:val="0"/>
            <w:vAlign w:val="center"/>
          </w:tcPr>
          <w:p w14:paraId="1EE269E9">
            <w:pPr>
              <w:spacing w:line="300" w:lineRule="exact"/>
              <w:jc w:val="center"/>
              <w:rPr>
                <w:rFonts w:hint="eastAsia" w:ascii="宋体" w:hAnsi="宋体" w:eastAsia="宋体" w:cs="宋体"/>
                <w:color w:val="auto"/>
                <w:sz w:val="22"/>
                <w:szCs w:val="22"/>
                <w:highlight w:val="none"/>
                <w:u w:val="none"/>
              </w:rPr>
            </w:pPr>
          </w:p>
        </w:tc>
        <w:tc>
          <w:tcPr>
            <w:tcW w:w="1573" w:type="dxa"/>
            <w:noWrap w:val="0"/>
            <w:vAlign w:val="center"/>
          </w:tcPr>
          <w:p w14:paraId="2847E7E7">
            <w:pPr>
              <w:spacing w:line="300" w:lineRule="exact"/>
              <w:jc w:val="center"/>
              <w:rPr>
                <w:rFonts w:hint="eastAsia" w:ascii="宋体" w:hAnsi="宋体" w:eastAsia="宋体" w:cs="宋体"/>
                <w:color w:val="auto"/>
                <w:sz w:val="22"/>
                <w:szCs w:val="22"/>
                <w:highlight w:val="none"/>
                <w:u w:val="none"/>
              </w:rPr>
            </w:pPr>
          </w:p>
        </w:tc>
        <w:tc>
          <w:tcPr>
            <w:tcW w:w="1568" w:type="dxa"/>
            <w:noWrap w:val="0"/>
            <w:vAlign w:val="center"/>
          </w:tcPr>
          <w:p w14:paraId="4A500D40">
            <w:pPr>
              <w:spacing w:line="300" w:lineRule="exact"/>
              <w:jc w:val="center"/>
              <w:rPr>
                <w:rFonts w:hint="eastAsia" w:ascii="宋体" w:hAnsi="宋体" w:eastAsia="宋体" w:cs="宋体"/>
                <w:color w:val="auto"/>
                <w:sz w:val="22"/>
                <w:szCs w:val="22"/>
                <w:highlight w:val="none"/>
                <w:u w:val="none"/>
              </w:rPr>
            </w:pPr>
          </w:p>
        </w:tc>
        <w:tc>
          <w:tcPr>
            <w:tcW w:w="1523" w:type="dxa"/>
            <w:noWrap w:val="0"/>
            <w:vAlign w:val="center"/>
          </w:tcPr>
          <w:p w14:paraId="0CD98705">
            <w:pPr>
              <w:spacing w:line="300" w:lineRule="exact"/>
              <w:jc w:val="center"/>
              <w:rPr>
                <w:rFonts w:hint="eastAsia" w:ascii="宋体" w:hAnsi="宋体" w:eastAsia="宋体" w:cs="宋体"/>
                <w:color w:val="auto"/>
                <w:sz w:val="22"/>
                <w:szCs w:val="22"/>
                <w:highlight w:val="none"/>
                <w:u w:val="none"/>
              </w:rPr>
            </w:pPr>
          </w:p>
        </w:tc>
      </w:tr>
      <w:tr w14:paraId="3C85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2" w:type="dxa"/>
            <w:noWrap w:val="0"/>
            <w:vAlign w:val="center"/>
          </w:tcPr>
          <w:p w14:paraId="3462725E">
            <w:pPr>
              <w:spacing w:line="300" w:lineRule="exact"/>
              <w:jc w:val="center"/>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val="en-US" w:eastAsia="zh-CN"/>
              </w:rPr>
              <w:t>6</w:t>
            </w:r>
          </w:p>
        </w:tc>
        <w:tc>
          <w:tcPr>
            <w:tcW w:w="2824" w:type="dxa"/>
            <w:gridSpan w:val="2"/>
            <w:noWrap w:val="0"/>
            <w:vAlign w:val="center"/>
          </w:tcPr>
          <w:p w14:paraId="5D248A0C">
            <w:pPr>
              <w:spacing w:line="300" w:lineRule="exact"/>
              <w:jc w:val="center"/>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其他费用(如有)</w:t>
            </w:r>
          </w:p>
        </w:tc>
        <w:tc>
          <w:tcPr>
            <w:tcW w:w="1668" w:type="dxa"/>
            <w:noWrap w:val="0"/>
            <w:vAlign w:val="center"/>
          </w:tcPr>
          <w:p w14:paraId="4912A944">
            <w:pPr>
              <w:spacing w:line="300" w:lineRule="exact"/>
              <w:jc w:val="center"/>
              <w:rPr>
                <w:rFonts w:hint="eastAsia" w:ascii="宋体" w:hAnsi="宋体" w:eastAsia="宋体" w:cs="宋体"/>
                <w:color w:val="auto"/>
                <w:sz w:val="22"/>
                <w:szCs w:val="22"/>
                <w:highlight w:val="none"/>
                <w:u w:val="none"/>
              </w:rPr>
            </w:pPr>
          </w:p>
        </w:tc>
        <w:tc>
          <w:tcPr>
            <w:tcW w:w="1573" w:type="dxa"/>
            <w:noWrap w:val="0"/>
            <w:vAlign w:val="center"/>
          </w:tcPr>
          <w:p w14:paraId="2AF962F0">
            <w:pPr>
              <w:spacing w:line="300" w:lineRule="exact"/>
              <w:jc w:val="center"/>
              <w:rPr>
                <w:rFonts w:hint="eastAsia" w:ascii="宋体" w:hAnsi="宋体" w:eastAsia="宋体" w:cs="宋体"/>
                <w:color w:val="auto"/>
                <w:sz w:val="22"/>
                <w:szCs w:val="22"/>
                <w:highlight w:val="none"/>
                <w:u w:val="none"/>
              </w:rPr>
            </w:pPr>
          </w:p>
        </w:tc>
        <w:tc>
          <w:tcPr>
            <w:tcW w:w="1568" w:type="dxa"/>
            <w:noWrap w:val="0"/>
            <w:vAlign w:val="center"/>
          </w:tcPr>
          <w:p w14:paraId="5F8D19FB">
            <w:pPr>
              <w:spacing w:line="300" w:lineRule="exact"/>
              <w:jc w:val="center"/>
              <w:rPr>
                <w:rFonts w:hint="eastAsia" w:ascii="宋体" w:hAnsi="宋体" w:eastAsia="宋体" w:cs="宋体"/>
                <w:color w:val="auto"/>
                <w:sz w:val="22"/>
                <w:szCs w:val="22"/>
                <w:highlight w:val="none"/>
                <w:u w:val="none"/>
              </w:rPr>
            </w:pPr>
          </w:p>
        </w:tc>
        <w:tc>
          <w:tcPr>
            <w:tcW w:w="1523" w:type="dxa"/>
            <w:noWrap w:val="0"/>
            <w:vAlign w:val="center"/>
          </w:tcPr>
          <w:p w14:paraId="155128F9">
            <w:pPr>
              <w:spacing w:line="300" w:lineRule="exact"/>
              <w:jc w:val="center"/>
              <w:rPr>
                <w:rFonts w:hint="eastAsia" w:ascii="宋体" w:hAnsi="宋体" w:eastAsia="宋体" w:cs="宋体"/>
                <w:color w:val="auto"/>
                <w:sz w:val="22"/>
                <w:szCs w:val="22"/>
                <w:highlight w:val="none"/>
                <w:u w:val="none"/>
              </w:rPr>
            </w:pPr>
          </w:p>
        </w:tc>
      </w:tr>
      <w:tr w14:paraId="192B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662" w:type="dxa"/>
            <w:noWrap w:val="0"/>
            <w:vAlign w:val="center"/>
          </w:tcPr>
          <w:p w14:paraId="6852B858">
            <w:pPr>
              <w:spacing w:line="300" w:lineRule="exact"/>
              <w:jc w:val="center"/>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7</w:t>
            </w:r>
          </w:p>
        </w:tc>
        <w:tc>
          <w:tcPr>
            <w:tcW w:w="2824" w:type="dxa"/>
            <w:gridSpan w:val="2"/>
            <w:noWrap w:val="0"/>
            <w:vAlign w:val="center"/>
          </w:tcPr>
          <w:p w14:paraId="28EE0C6E">
            <w:pPr>
              <w:spacing w:line="300" w:lineRule="exact"/>
              <w:jc w:val="center"/>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总计价</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两年</w:t>
            </w:r>
            <w:r>
              <w:rPr>
                <w:rFonts w:hint="eastAsia" w:ascii="宋体" w:hAnsi="宋体" w:eastAsia="宋体" w:cs="宋体"/>
                <w:color w:val="auto"/>
                <w:sz w:val="22"/>
                <w:szCs w:val="22"/>
                <w:highlight w:val="none"/>
                <w:u w:val="none"/>
                <w:lang w:eastAsia="zh-CN"/>
              </w:rPr>
              <w:t>）</w:t>
            </w:r>
          </w:p>
        </w:tc>
        <w:tc>
          <w:tcPr>
            <w:tcW w:w="6332" w:type="dxa"/>
            <w:gridSpan w:val="4"/>
            <w:noWrap w:val="0"/>
            <w:vAlign w:val="center"/>
          </w:tcPr>
          <w:p w14:paraId="6AA7123A">
            <w:pPr>
              <w:spacing w:line="300" w:lineRule="exact"/>
              <w:jc w:val="center"/>
              <w:rPr>
                <w:rFonts w:hint="eastAsia" w:ascii="宋体" w:hAnsi="宋体" w:eastAsia="宋体" w:cs="宋体"/>
                <w:color w:val="auto"/>
                <w:sz w:val="22"/>
                <w:szCs w:val="22"/>
                <w:highlight w:val="none"/>
                <w:u w:val="none"/>
              </w:rPr>
            </w:pPr>
          </w:p>
        </w:tc>
      </w:tr>
    </w:tbl>
    <w:p w14:paraId="3703323D">
      <w:pPr>
        <w:spacing w:line="460" w:lineRule="exact"/>
        <w:ind w:firstLine="0" w:firstLineChars="0"/>
        <w:rPr>
          <w:rFonts w:ascii="宋体" w:hAnsi="宋体" w:cs="仿宋_GB2312"/>
          <w:bCs/>
          <w:color w:val="auto"/>
          <w:sz w:val="22"/>
          <w:highlight w:val="none"/>
        </w:rPr>
      </w:pPr>
      <w:r>
        <w:rPr>
          <w:rFonts w:hint="eastAsia" w:ascii="宋体" w:hAnsi="宋体" w:cs="仿宋_GB2312"/>
          <w:bCs/>
          <w:color w:val="auto"/>
          <w:sz w:val="22"/>
          <w:highlight w:val="none"/>
        </w:rPr>
        <w:t>说明：</w:t>
      </w:r>
      <w:r>
        <w:rPr>
          <w:rFonts w:ascii="宋体" w:hAnsi="宋体" w:cs="仿宋_GB2312"/>
          <w:bCs/>
          <w:color w:val="auto"/>
          <w:sz w:val="22"/>
          <w:highlight w:val="none"/>
        </w:rPr>
        <w:t>1、</w:t>
      </w:r>
      <w:r>
        <w:rPr>
          <w:rFonts w:hint="eastAsia" w:ascii="宋体" w:hAnsi="宋体" w:cs="仿宋_GB2312"/>
          <w:bCs/>
          <w:color w:val="auto"/>
          <w:sz w:val="22"/>
          <w:highlight w:val="none"/>
          <w:lang w:val="en-US" w:eastAsia="zh-CN"/>
        </w:rPr>
        <w:t>总计价</w:t>
      </w:r>
      <w:r>
        <w:rPr>
          <w:rFonts w:ascii="宋体" w:hAnsi="宋体" w:cs="仿宋_GB2312"/>
          <w:bCs/>
          <w:color w:val="auto"/>
          <w:sz w:val="22"/>
          <w:highlight w:val="none"/>
        </w:rPr>
        <w:t>应与</w:t>
      </w:r>
      <w:r>
        <w:rPr>
          <w:rFonts w:hint="eastAsia" w:ascii="宋体" w:hAnsi="宋体" w:cs="仿宋_GB2312"/>
          <w:bCs/>
          <w:color w:val="auto"/>
          <w:sz w:val="22"/>
          <w:highlight w:val="none"/>
        </w:rPr>
        <w:t>《报价</w:t>
      </w:r>
      <w:r>
        <w:rPr>
          <w:rFonts w:ascii="宋体" w:hAnsi="宋体" w:cs="仿宋_GB2312"/>
          <w:bCs/>
          <w:color w:val="auto"/>
          <w:sz w:val="22"/>
          <w:highlight w:val="none"/>
        </w:rPr>
        <w:t>一览表</w:t>
      </w:r>
      <w:r>
        <w:rPr>
          <w:rFonts w:hint="eastAsia" w:ascii="宋体" w:hAnsi="宋体" w:cs="仿宋_GB2312"/>
          <w:bCs/>
          <w:color w:val="auto"/>
          <w:sz w:val="22"/>
          <w:highlight w:val="none"/>
        </w:rPr>
        <w:t>》</w:t>
      </w:r>
      <w:r>
        <w:rPr>
          <w:rFonts w:ascii="宋体" w:hAnsi="宋体" w:cs="仿宋_GB2312"/>
          <w:bCs/>
          <w:color w:val="auto"/>
          <w:sz w:val="22"/>
          <w:highlight w:val="none"/>
        </w:rPr>
        <w:t>中投标价相一致。</w:t>
      </w:r>
    </w:p>
    <w:p w14:paraId="47628A68">
      <w:pPr>
        <w:spacing w:line="460" w:lineRule="exact"/>
        <w:ind w:firstLine="646" w:firstLineChars="294"/>
        <w:rPr>
          <w:rFonts w:ascii="宋体" w:hAnsi="宋体" w:cs="仿宋_GB2312"/>
          <w:bCs/>
          <w:color w:val="auto"/>
          <w:sz w:val="22"/>
          <w:highlight w:val="none"/>
        </w:rPr>
      </w:pPr>
      <w:r>
        <w:rPr>
          <w:rFonts w:hint="eastAsia" w:ascii="宋体" w:hAnsi="宋体" w:cs="仿宋_GB2312"/>
          <w:bCs/>
          <w:color w:val="auto"/>
          <w:sz w:val="22"/>
          <w:highlight w:val="none"/>
        </w:rPr>
        <w:t>2</w:t>
      </w:r>
      <w:r>
        <w:rPr>
          <w:rFonts w:ascii="宋体" w:hAnsi="宋体" w:cs="仿宋_GB2312"/>
          <w:bCs/>
          <w:color w:val="auto"/>
          <w:sz w:val="22"/>
          <w:highlight w:val="none"/>
        </w:rPr>
        <w:t>、本表所列费用为本项目的全部费用，未列费用均视为综合考虑包含在投标报价内。</w:t>
      </w:r>
    </w:p>
    <w:p w14:paraId="5BB035C4">
      <w:pPr>
        <w:spacing w:line="460" w:lineRule="exact"/>
        <w:ind w:firstLine="646" w:firstLineChars="294"/>
        <w:rPr>
          <w:rFonts w:ascii="宋体" w:hAnsi="宋体" w:cs="仿宋_GB2312"/>
          <w:bCs/>
          <w:color w:val="auto"/>
          <w:sz w:val="22"/>
          <w:highlight w:val="none"/>
        </w:rPr>
      </w:pPr>
      <w:r>
        <w:rPr>
          <w:rFonts w:hint="eastAsia" w:ascii="宋体" w:hAnsi="宋体" w:cs="仿宋_GB2312"/>
          <w:bCs/>
          <w:color w:val="auto"/>
          <w:sz w:val="22"/>
          <w:highlight w:val="none"/>
        </w:rPr>
        <w:t>3、▲</w:t>
      </w:r>
      <w:r>
        <w:rPr>
          <w:rFonts w:hint="eastAsia" w:ascii="宋体" w:hAnsi="宋体" w:cs="仿宋_GB2312"/>
          <w:bCs/>
          <w:color w:val="auto"/>
          <w:sz w:val="22"/>
          <w:highlight w:val="none"/>
          <w:u w:val="single"/>
        </w:rPr>
        <w:t>不提供“投标分项报价表”的报价，视为没有实质性响应招标文件要求。</w:t>
      </w:r>
    </w:p>
    <w:p w14:paraId="143D2C92">
      <w:pPr>
        <w:spacing w:line="460" w:lineRule="exact"/>
        <w:ind w:firstLine="646" w:firstLineChars="294"/>
        <w:rPr>
          <w:rFonts w:hint="eastAsia" w:ascii="宋体" w:hAnsi="宋体" w:cs="仿宋_GB2312"/>
          <w:bCs/>
          <w:color w:val="auto"/>
          <w:sz w:val="22"/>
          <w:highlight w:val="none"/>
        </w:rPr>
      </w:pPr>
      <w:r>
        <w:rPr>
          <w:rFonts w:ascii="宋体" w:hAnsi="宋体" w:cs="仿宋_GB2312"/>
          <w:bCs/>
          <w:color w:val="auto"/>
          <w:sz w:val="22"/>
          <w:highlight w:val="none"/>
        </w:rPr>
        <w:t>4</w:t>
      </w:r>
      <w:r>
        <w:rPr>
          <w:rFonts w:hint="eastAsia" w:ascii="宋体" w:hAnsi="宋体" w:cs="仿宋_GB2312"/>
          <w:bCs/>
          <w:color w:val="auto"/>
          <w:sz w:val="22"/>
          <w:highlight w:val="none"/>
        </w:rPr>
        <w:t>、如果免费请在该备注栏内注明“免”，如果含在价格中则填“含”，如无此项内容则填“无”，不留空白。</w:t>
      </w:r>
    </w:p>
    <w:p w14:paraId="7B522555">
      <w:pPr>
        <w:spacing w:line="460" w:lineRule="exact"/>
        <w:ind w:firstLine="646" w:firstLineChars="294"/>
        <w:rPr>
          <w:rFonts w:ascii="宋体" w:hAnsi="宋体" w:cs="仿宋_GB2312"/>
          <w:bCs/>
          <w:color w:val="auto"/>
          <w:sz w:val="22"/>
          <w:highlight w:val="none"/>
        </w:rPr>
      </w:pPr>
      <w:r>
        <w:rPr>
          <w:rFonts w:hint="eastAsia" w:ascii="宋体" w:hAnsi="宋体" w:cs="仿宋_GB2312"/>
          <w:bCs/>
          <w:color w:val="auto"/>
          <w:sz w:val="22"/>
          <w:highlight w:val="none"/>
          <w:lang w:val="en-US" w:eastAsia="zh-CN"/>
        </w:rPr>
        <w:t>5、</w:t>
      </w:r>
      <w:r>
        <w:rPr>
          <w:rFonts w:hint="eastAsia" w:ascii="宋体" w:hAnsi="宋体" w:cs="仿宋_GB2312"/>
          <w:bCs/>
          <w:color w:val="auto"/>
          <w:sz w:val="22"/>
          <w:highlight w:val="none"/>
        </w:rPr>
        <w:t xml:space="preserve">可根据具体需要自行增减。  </w:t>
      </w:r>
    </w:p>
    <w:p w14:paraId="0AD33532">
      <w:pPr>
        <w:spacing w:line="460" w:lineRule="exact"/>
        <w:ind w:firstLine="646" w:firstLineChars="294"/>
        <w:rPr>
          <w:rFonts w:hint="eastAsia" w:ascii="宋体" w:hAnsi="宋体" w:cs="仿宋_GB2312"/>
          <w:bCs/>
          <w:color w:val="auto"/>
          <w:sz w:val="22"/>
          <w:highlight w:val="none"/>
        </w:rPr>
      </w:pPr>
      <w:r>
        <w:rPr>
          <w:rFonts w:hint="eastAsia" w:ascii="宋体" w:hAnsi="宋体" w:cs="仿宋_GB2312"/>
          <w:bCs/>
          <w:color w:val="auto"/>
          <w:sz w:val="22"/>
          <w:highlight w:val="none"/>
          <w:lang w:val="en-US" w:eastAsia="zh-CN"/>
        </w:rPr>
        <w:t>6、</w:t>
      </w:r>
      <w:r>
        <w:rPr>
          <w:rFonts w:hint="eastAsia" w:ascii="宋体" w:hAnsi="宋体" w:cs="仿宋_GB2312"/>
          <w:bCs/>
          <w:color w:val="auto"/>
          <w:sz w:val="22"/>
          <w:highlight w:val="none"/>
        </w:rPr>
        <w:t>根据《中华人民共和国政府采购法实施条例》第四十三条规定，在中标或者成交公告的内容中增加本表，请各供应商认真填写，确保相关数据的真实性、完整性和合理性。</w:t>
      </w:r>
    </w:p>
    <w:p w14:paraId="2BE13066">
      <w:pPr>
        <w:pStyle w:val="2"/>
        <w:rPr>
          <w:rFonts w:hint="eastAsia" w:ascii="宋体" w:hAnsi="宋体" w:cs="仿宋_GB2312"/>
          <w:bCs/>
          <w:color w:val="auto"/>
          <w:sz w:val="22"/>
          <w:highlight w:val="none"/>
        </w:rPr>
      </w:pPr>
    </w:p>
    <w:p w14:paraId="79346A67">
      <w:pPr>
        <w:pStyle w:val="3"/>
        <w:rPr>
          <w:color w:val="auto"/>
        </w:rPr>
      </w:pPr>
    </w:p>
    <w:p w14:paraId="2FDCF027">
      <w:pPr>
        <w:autoSpaceDE w:val="0"/>
        <w:autoSpaceDN w:val="0"/>
        <w:adjustRightInd w:val="0"/>
        <w:spacing w:line="460" w:lineRule="atLeast"/>
        <w:rPr>
          <w:rFonts w:ascii="宋体" w:hAnsi="宋体"/>
          <w:color w:val="auto"/>
          <w:sz w:val="22"/>
          <w:szCs w:val="22"/>
          <w:highlight w:val="none"/>
          <w:lang w:val="zh-CN"/>
        </w:rPr>
      </w:pPr>
      <w:r>
        <w:rPr>
          <w:rFonts w:hint="eastAsia" w:ascii="宋体" w:hAnsi="宋体"/>
          <w:color w:val="auto"/>
          <w:sz w:val="22"/>
          <w:szCs w:val="22"/>
          <w:highlight w:val="none"/>
          <w:lang w:val="zh-CN"/>
        </w:rPr>
        <w:t>投标供应商（盖章）：</w:t>
      </w:r>
    </w:p>
    <w:p w14:paraId="231AFC3F">
      <w:pPr>
        <w:spacing w:line="460" w:lineRule="exact"/>
        <w:rPr>
          <w:rFonts w:ascii="宋体" w:hAnsi="宋体" w:cs="仿宋_GB2312"/>
          <w:bCs/>
          <w:color w:val="auto"/>
          <w:sz w:val="22"/>
          <w:highlight w:val="none"/>
        </w:rPr>
      </w:pPr>
      <w:r>
        <w:rPr>
          <w:rFonts w:hint="eastAsia" w:ascii="宋体" w:hAnsi="宋体" w:cs="仿宋_GB2312"/>
          <w:bCs/>
          <w:color w:val="auto"/>
          <w:sz w:val="22"/>
          <w:highlight w:val="none"/>
        </w:rPr>
        <w:t>法定代表人或授权代表（签字或盖章）：</w:t>
      </w:r>
    </w:p>
    <w:p w14:paraId="09790A92">
      <w:pPr>
        <w:pStyle w:val="34"/>
        <w:adjustRightInd w:val="0"/>
        <w:snapToGrid w:val="0"/>
        <w:spacing w:line="460" w:lineRule="atLeast"/>
        <w:rPr>
          <w:rFonts w:hAnsi="宋体"/>
          <w:b/>
          <w:bCs/>
          <w:color w:val="auto"/>
          <w:sz w:val="32"/>
          <w:highlight w:val="none"/>
        </w:rPr>
        <w:sectPr>
          <w:pgSz w:w="11907" w:h="16840"/>
          <w:pgMar w:top="1440" w:right="924" w:bottom="1440" w:left="1157" w:header="720" w:footer="720" w:gutter="0"/>
          <w:cols w:space="720" w:num="1"/>
          <w:docGrid w:linePitch="286" w:charSpace="-3831"/>
        </w:sectPr>
      </w:pPr>
      <w:r>
        <w:rPr>
          <w:rFonts w:hint="eastAsia" w:hAnsi="宋体" w:cs="仿宋_GB2312"/>
          <w:bCs/>
          <w:color w:val="auto"/>
          <w:sz w:val="22"/>
          <w:highlight w:val="none"/>
        </w:rPr>
        <w:t>日期：</w:t>
      </w:r>
    </w:p>
    <w:p w14:paraId="1283C3FC">
      <w:pPr>
        <w:pStyle w:val="5"/>
        <w:spacing w:line="276" w:lineRule="auto"/>
        <w:rPr>
          <w:rFonts w:ascii="宋体" w:hAnsi="宋体"/>
          <w:color w:val="auto"/>
          <w:sz w:val="36"/>
          <w:highlight w:val="none"/>
        </w:rPr>
      </w:pPr>
      <w:bookmarkStart w:id="63" w:name="_Toc28605"/>
      <w:r>
        <w:rPr>
          <w:rFonts w:hint="eastAsia" w:ascii="宋体" w:hAnsi="宋体"/>
          <w:color w:val="auto"/>
          <w:sz w:val="36"/>
          <w:highlight w:val="none"/>
        </w:rPr>
        <w:t>三、商务技术文件格式</w:t>
      </w:r>
      <w:bookmarkEnd w:id="63"/>
    </w:p>
    <w:p w14:paraId="0E59895D">
      <w:pPr>
        <w:pStyle w:val="34"/>
        <w:adjustRightInd w:val="0"/>
        <w:snapToGrid w:val="0"/>
        <w:spacing w:line="440" w:lineRule="atLeast"/>
        <w:jc w:val="left"/>
        <w:outlineLvl w:val="1"/>
        <w:rPr>
          <w:rFonts w:hAnsi="宋体"/>
          <w:color w:val="auto"/>
          <w:sz w:val="30"/>
          <w:highlight w:val="none"/>
        </w:rPr>
      </w:pPr>
      <w:bookmarkStart w:id="64" w:name="_Toc7217"/>
      <w:r>
        <w:rPr>
          <w:rFonts w:hint="eastAsia" w:hAnsi="宋体"/>
          <w:color w:val="auto"/>
          <w:sz w:val="30"/>
          <w:highlight w:val="none"/>
        </w:rPr>
        <w:t>附件四</w:t>
      </w:r>
      <w:bookmarkEnd w:id="64"/>
    </w:p>
    <w:p w14:paraId="35B5B5B6">
      <w:pPr>
        <w:pStyle w:val="34"/>
        <w:adjustRightInd w:val="0"/>
        <w:snapToGrid w:val="0"/>
        <w:spacing w:line="440" w:lineRule="atLeast"/>
        <w:ind w:firstLine="440"/>
        <w:jc w:val="center"/>
        <w:outlineLvl w:val="1"/>
        <w:rPr>
          <w:rFonts w:hAnsi="宋体" w:cs="Arial"/>
          <w:bCs/>
          <w:color w:val="auto"/>
          <w:sz w:val="36"/>
          <w:szCs w:val="36"/>
          <w:highlight w:val="none"/>
          <w:lang w:val="zh-CN"/>
        </w:rPr>
      </w:pPr>
      <w:bookmarkStart w:id="65" w:name="_Toc28266"/>
      <w:r>
        <w:rPr>
          <w:rFonts w:hint="eastAsia" w:hAnsi="宋体" w:cs="Arial"/>
          <w:bCs/>
          <w:color w:val="auto"/>
          <w:sz w:val="36"/>
          <w:szCs w:val="36"/>
          <w:highlight w:val="none"/>
          <w:lang w:val="zh-CN"/>
        </w:rPr>
        <w:t>投</w:t>
      </w:r>
      <w:r>
        <w:rPr>
          <w:rFonts w:hAnsi="宋体" w:cs="Arial"/>
          <w:bCs/>
          <w:color w:val="auto"/>
          <w:sz w:val="36"/>
          <w:szCs w:val="36"/>
          <w:highlight w:val="none"/>
          <w:lang w:val="zh-CN"/>
        </w:rPr>
        <w:t xml:space="preserve">  </w:t>
      </w:r>
      <w:r>
        <w:rPr>
          <w:rFonts w:hint="eastAsia" w:hAnsi="宋体" w:cs="Arial"/>
          <w:bCs/>
          <w:color w:val="auto"/>
          <w:sz w:val="36"/>
          <w:szCs w:val="36"/>
          <w:highlight w:val="none"/>
          <w:lang w:val="zh-CN"/>
        </w:rPr>
        <w:t>标</w:t>
      </w:r>
      <w:r>
        <w:rPr>
          <w:rFonts w:hAnsi="宋体" w:cs="Arial"/>
          <w:bCs/>
          <w:color w:val="auto"/>
          <w:sz w:val="36"/>
          <w:szCs w:val="36"/>
          <w:highlight w:val="none"/>
          <w:lang w:val="zh-CN"/>
        </w:rPr>
        <w:t xml:space="preserve">  </w:t>
      </w:r>
      <w:r>
        <w:rPr>
          <w:rFonts w:hint="eastAsia" w:hAnsi="宋体" w:cs="Arial"/>
          <w:bCs/>
          <w:color w:val="auto"/>
          <w:sz w:val="36"/>
          <w:szCs w:val="36"/>
          <w:highlight w:val="none"/>
          <w:lang w:val="zh-CN"/>
        </w:rPr>
        <w:t>函</w:t>
      </w:r>
      <w:bookmarkEnd w:id="65"/>
    </w:p>
    <w:p w14:paraId="6C9EC4E9">
      <w:pPr>
        <w:autoSpaceDE w:val="0"/>
        <w:autoSpaceDN w:val="0"/>
        <w:adjustRightInd w:val="0"/>
        <w:spacing w:line="460" w:lineRule="atLeast"/>
        <w:rPr>
          <w:rFonts w:ascii="宋体" w:hAnsi="宋体"/>
          <w:color w:val="auto"/>
          <w:sz w:val="22"/>
          <w:szCs w:val="22"/>
          <w:highlight w:val="none"/>
          <w:u w:val="single"/>
          <w:lang w:val="zh-CN"/>
        </w:rPr>
      </w:pPr>
      <w:r>
        <w:rPr>
          <w:rFonts w:hint="eastAsia" w:ascii="宋体" w:hAnsi="宋体"/>
          <w:color w:val="auto"/>
          <w:sz w:val="22"/>
          <w:szCs w:val="22"/>
          <w:highlight w:val="none"/>
          <w:u w:val="single"/>
          <w:lang w:val="zh-CN"/>
        </w:rPr>
        <w:t>温州市救助管理站</w:t>
      </w:r>
    </w:p>
    <w:p w14:paraId="52D6D365">
      <w:pPr>
        <w:autoSpaceDE w:val="0"/>
        <w:autoSpaceDN w:val="0"/>
        <w:adjustRightInd w:val="0"/>
        <w:spacing w:line="460" w:lineRule="atLeast"/>
        <w:rPr>
          <w:rFonts w:ascii="宋体" w:hAnsi="宋体"/>
          <w:color w:val="auto"/>
          <w:sz w:val="22"/>
          <w:szCs w:val="22"/>
          <w:highlight w:val="none"/>
          <w:u w:val="single"/>
          <w:lang w:val="zh-CN"/>
        </w:rPr>
      </w:pPr>
      <w:r>
        <w:rPr>
          <w:rFonts w:hint="eastAsia" w:ascii="宋体" w:hAnsi="宋体"/>
          <w:color w:val="auto"/>
          <w:sz w:val="22"/>
          <w:szCs w:val="22"/>
          <w:highlight w:val="none"/>
          <w:u w:val="single"/>
          <w:lang w:val="zh-CN"/>
        </w:rPr>
        <w:t>杭州华旗招标代理有限公司：</w:t>
      </w:r>
    </w:p>
    <w:p w14:paraId="6553E308">
      <w:pPr>
        <w:autoSpaceDE w:val="0"/>
        <w:autoSpaceDN w:val="0"/>
        <w:adjustRightInd w:val="0"/>
        <w:spacing w:line="460" w:lineRule="atLeast"/>
        <w:rPr>
          <w:rFonts w:ascii="宋体" w:hAnsi="宋体"/>
          <w:color w:val="auto"/>
          <w:sz w:val="22"/>
          <w:szCs w:val="22"/>
          <w:highlight w:val="none"/>
          <w:lang w:val="zh-CN"/>
        </w:rPr>
      </w:pPr>
      <w:r>
        <w:rPr>
          <w:rFonts w:ascii="宋体" w:hAnsi="宋体"/>
          <w:color w:val="auto"/>
          <w:sz w:val="22"/>
          <w:szCs w:val="22"/>
          <w:highlight w:val="none"/>
          <w:lang w:val="zh-CN"/>
        </w:rPr>
        <w:t xml:space="preserve">    </w:t>
      </w:r>
      <w:r>
        <w:rPr>
          <w:rFonts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（投标供应商全称）授权</w:t>
      </w:r>
      <w:r>
        <w:rPr>
          <w:rFonts w:ascii="宋体" w:hAnsi="宋体"/>
          <w:color w:val="auto"/>
          <w:sz w:val="22"/>
          <w:szCs w:val="22"/>
          <w:highlight w:val="none"/>
          <w:u w:val="single"/>
          <w:lang w:val="zh-CN"/>
        </w:rPr>
        <w:t xml:space="preserve">         </w:t>
      </w:r>
      <w:r>
        <w:rPr>
          <w:rFonts w:ascii="宋体" w:hAnsi="宋体"/>
          <w:color w:val="auto"/>
          <w:sz w:val="22"/>
          <w:szCs w:val="22"/>
          <w:highlight w:val="none"/>
          <w:lang w:val="zh-CN"/>
        </w:rPr>
        <w:t xml:space="preserve"> </w:t>
      </w:r>
      <w:r>
        <w:rPr>
          <w:rFonts w:hint="eastAsia" w:ascii="宋体" w:hAnsi="宋体"/>
          <w:color w:val="auto"/>
          <w:sz w:val="22"/>
          <w:szCs w:val="22"/>
          <w:highlight w:val="none"/>
          <w:lang w:val="zh-CN"/>
        </w:rPr>
        <w:t>（授权代表名称）</w:t>
      </w:r>
      <w:r>
        <w:rPr>
          <w:rFonts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（职务、职称）为授权代表，参加贵方组织的</w:t>
      </w:r>
      <w:r>
        <w:rPr>
          <w:rFonts w:ascii="宋体" w:hAnsi="宋体"/>
          <w:color w:val="auto"/>
          <w:sz w:val="22"/>
          <w:szCs w:val="22"/>
          <w:highlight w:val="none"/>
          <w:u w:val="single"/>
          <w:lang w:val="zh-CN"/>
        </w:rPr>
        <w:t xml:space="preserve">    </w:t>
      </w:r>
      <w:r>
        <w:rPr>
          <w:rFonts w:hint="eastAsia" w:ascii="宋体" w:hAnsi="宋体"/>
          <w:color w:val="auto"/>
          <w:sz w:val="22"/>
          <w:szCs w:val="22"/>
          <w:highlight w:val="none"/>
          <w:u w:val="single"/>
          <w:lang w:val="zh-CN"/>
        </w:rPr>
        <w:t>（招标项目名称）（括号内填招标编号）</w:t>
      </w:r>
      <w:r>
        <w:rPr>
          <w:rFonts w:hint="eastAsia" w:ascii="宋体" w:hAnsi="宋体"/>
          <w:color w:val="auto"/>
          <w:sz w:val="22"/>
          <w:szCs w:val="22"/>
          <w:highlight w:val="none"/>
          <w:lang w:val="zh-CN"/>
        </w:rPr>
        <w:t>招标的有关活动，并对此进行投标。为此：</w:t>
      </w:r>
      <w:r>
        <w:rPr>
          <w:rFonts w:ascii="宋体" w:hAnsi="宋体"/>
          <w:color w:val="auto"/>
          <w:sz w:val="22"/>
          <w:szCs w:val="22"/>
          <w:highlight w:val="none"/>
          <w:lang w:val="zh-CN"/>
        </w:rPr>
        <w:t xml:space="preserve">    </w:t>
      </w:r>
    </w:p>
    <w:p w14:paraId="7DA57C4C">
      <w:pPr>
        <w:autoSpaceDE w:val="0"/>
        <w:autoSpaceDN w:val="0"/>
        <w:adjustRightInd w:val="0"/>
        <w:spacing w:line="460" w:lineRule="atLeast"/>
        <w:ind w:firstLine="465"/>
        <w:rPr>
          <w:rFonts w:ascii="宋体" w:hAnsi="宋体"/>
          <w:color w:val="auto"/>
          <w:sz w:val="22"/>
          <w:szCs w:val="22"/>
          <w:highlight w:val="none"/>
          <w:lang w:val="zh-CN"/>
        </w:rPr>
      </w:pPr>
      <w:r>
        <w:rPr>
          <w:rFonts w:hint="eastAsia" w:ascii="宋体" w:hAnsi="宋体"/>
          <w:color w:val="auto"/>
          <w:sz w:val="22"/>
          <w:szCs w:val="22"/>
          <w:highlight w:val="none"/>
          <w:lang w:val="zh-CN"/>
        </w:rPr>
        <w:t>1、提供磋商文件要求的全部磋商响应文件。</w:t>
      </w:r>
    </w:p>
    <w:p w14:paraId="44F7E71C">
      <w:pPr>
        <w:autoSpaceDE w:val="0"/>
        <w:autoSpaceDN w:val="0"/>
        <w:adjustRightInd w:val="0"/>
        <w:spacing w:line="460" w:lineRule="atLeast"/>
        <w:ind w:firstLine="465"/>
        <w:rPr>
          <w:rFonts w:ascii="宋体" w:hAnsi="宋体"/>
          <w:color w:val="auto"/>
          <w:sz w:val="22"/>
          <w:szCs w:val="22"/>
          <w:highlight w:val="none"/>
          <w:lang w:val="zh-CN"/>
        </w:rPr>
      </w:pPr>
      <w:r>
        <w:rPr>
          <w:rFonts w:hint="eastAsia" w:ascii="宋体" w:hAnsi="宋体"/>
          <w:color w:val="auto"/>
          <w:sz w:val="22"/>
          <w:szCs w:val="22"/>
          <w:highlight w:val="none"/>
          <w:lang w:val="zh-CN"/>
        </w:rPr>
        <w:t>2、保证遵守磋商文件中的有关规定和约定。</w:t>
      </w:r>
    </w:p>
    <w:p w14:paraId="6E2FD318">
      <w:pPr>
        <w:autoSpaceDE w:val="0"/>
        <w:autoSpaceDN w:val="0"/>
        <w:adjustRightInd w:val="0"/>
        <w:spacing w:line="460" w:lineRule="atLeast"/>
        <w:ind w:firstLine="465"/>
        <w:rPr>
          <w:rFonts w:ascii="宋体" w:hAnsi="宋体"/>
          <w:color w:val="auto"/>
          <w:sz w:val="22"/>
          <w:szCs w:val="22"/>
          <w:highlight w:val="none"/>
          <w:lang w:val="zh-CN"/>
        </w:rPr>
      </w:pPr>
      <w:r>
        <w:rPr>
          <w:rFonts w:hint="eastAsia" w:ascii="宋体" w:hAnsi="宋体"/>
          <w:color w:val="auto"/>
          <w:sz w:val="22"/>
          <w:szCs w:val="22"/>
          <w:highlight w:val="none"/>
          <w:lang w:val="zh-CN"/>
        </w:rPr>
        <w:t>3、保证忠实地执行双方所签的合同，并承担合同规定的责任义务。</w:t>
      </w:r>
    </w:p>
    <w:p w14:paraId="3680D213">
      <w:pPr>
        <w:autoSpaceDE w:val="0"/>
        <w:autoSpaceDN w:val="0"/>
        <w:adjustRightInd w:val="0"/>
        <w:spacing w:line="460" w:lineRule="atLeast"/>
        <w:ind w:firstLine="465"/>
        <w:rPr>
          <w:rFonts w:ascii="宋体" w:hAnsi="宋体"/>
          <w:color w:val="auto"/>
          <w:sz w:val="22"/>
          <w:szCs w:val="22"/>
          <w:highlight w:val="none"/>
          <w:lang w:val="zh-CN"/>
        </w:rPr>
      </w:pPr>
      <w:r>
        <w:rPr>
          <w:rFonts w:hint="eastAsia" w:ascii="宋体" w:hAnsi="宋体"/>
          <w:color w:val="auto"/>
          <w:sz w:val="22"/>
          <w:szCs w:val="22"/>
          <w:highlight w:val="none"/>
          <w:lang w:val="zh-CN"/>
        </w:rPr>
        <w:t>4、如我单位中标，我方承诺按磋商文件要求提供各项服务</w:t>
      </w:r>
      <w:r>
        <w:rPr>
          <w:rFonts w:ascii="宋体" w:hAnsi="宋体"/>
          <w:color w:val="auto"/>
          <w:sz w:val="22"/>
          <w:szCs w:val="22"/>
          <w:highlight w:val="none"/>
          <w:lang w:val="zh-CN"/>
        </w:rPr>
        <w:t>。</w:t>
      </w:r>
    </w:p>
    <w:p w14:paraId="09E8E936">
      <w:pPr>
        <w:autoSpaceDE w:val="0"/>
        <w:autoSpaceDN w:val="0"/>
        <w:adjustRightInd w:val="0"/>
        <w:spacing w:line="460" w:lineRule="atLeast"/>
        <w:ind w:firstLine="465"/>
        <w:rPr>
          <w:rFonts w:ascii="宋体" w:hAnsi="宋体"/>
          <w:color w:val="auto"/>
          <w:sz w:val="22"/>
          <w:szCs w:val="22"/>
          <w:highlight w:val="none"/>
          <w:lang w:val="zh-CN"/>
        </w:rPr>
      </w:pPr>
      <w:r>
        <w:rPr>
          <w:rFonts w:hint="eastAsia" w:ascii="宋体" w:hAnsi="宋体"/>
          <w:color w:val="auto"/>
          <w:sz w:val="22"/>
          <w:szCs w:val="22"/>
          <w:highlight w:val="none"/>
          <w:lang w:val="zh-CN"/>
        </w:rPr>
        <w:t>5、我方已详细审查全部磋商文件，包括磋商文件补充文件（如果有的话）。我方完全理解并同意放弃对这方面有不明及误解的权力。如果磋商文件有相互矛盾之处，我方同意按采购人的理解处理。</w:t>
      </w:r>
    </w:p>
    <w:p w14:paraId="1A3D111E">
      <w:pPr>
        <w:autoSpaceDE w:val="0"/>
        <w:autoSpaceDN w:val="0"/>
        <w:adjustRightInd w:val="0"/>
        <w:spacing w:line="460" w:lineRule="atLeast"/>
        <w:ind w:firstLine="465"/>
        <w:rPr>
          <w:rFonts w:ascii="宋体" w:hAnsi="宋体"/>
          <w:color w:val="auto"/>
          <w:sz w:val="22"/>
          <w:szCs w:val="22"/>
          <w:highlight w:val="none"/>
          <w:lang w:val="zh-CN"/>
        </w:rPr>
      </w:pPr>
      <w:r>
        <w:rPr>
          <w:rFonts w:hint="eastAsia" w:ascii="宋体" w:hAnsi="宋体"/>
          <w:color w:val="auto"/>
          <w:sz w:val="22"/>
          <w:szCs w:val="22"/>
          <w:highlight w:val="none"/>
          <w:lang w:val="zh-CN"/>
        </w:rPr>
        <w:t>6、愿意向贵方提供任何与该项投标有关的数据、情况和技术资料，完全理解贵方不一定接受最低价的投标或收到的任何投标。</w:t>
      </w:r>
    </w:p>
    <w:p w14:paraId="7960DCDD">
      <w:pPr>
        <w:autoSpaceDE w:val="0"/>
        <w:autoSpaceDN w:val="0"/>
        <w:adjustRightInd w:val="0"/>
        <w:spacing w:line="460" w:lineRule="atLeast"/>
        <w:ind w:firstLine="465"/>
        <w:rPr>
          <w:rFonts w:ascii="宋体" w:hAnsi="宋体"/>
          <w:color w:val="auto"/>
          <w:sz w:val="22"/>
          <w:szCs w:val="22"/>
          <w:highlight w:val="none"/>
          <w:lang w:val="zh-CN"/>
        </w:rPr>
      </w:pPr>
      <w:r>
        <w:rPr>
          <w:rFonts w:hint="eastAsia" w:ascii="宋体" w:hAnsi="宋体"/>
          <w:color w:val="auto"/>
          <w:sz w:val="22"/>
          <w:szCs w:val="22"/>
          <w:highlight w:val="none"/>
          <w:lang w:val="zh-CN"/>
        </w:rPr>
        <w:t>7、利益冲突：近三年内直至目前，我公司与本项目的采购人、采购代理机构没有任何的隶属关系。</w:t>
      </w:r>
    </w:p>
    <w:p w14:paraId="61AA5074">
      <w:pPr>
        <w:autoSpaceDE w:val="0"/>
        <w:autoSpaceDN w:val="0"/>
        <w:adjustRightInd w:val="0"/>
        <w:spacing w:line="460" w:lineRule="atLeast"/>
        <w:ind w:firstLine="465"/>
        <w:rPr>
          <w:rFonts w:ascii="宋体" w:hAnsi="宋体"/>
          <w:color w:val="auto"/>
          <w:sz w:val="22"/>
          <w:szCs w:val="22"/>
          <w:highlight w:val="none"/>
          <w:lang w:val="zh-CN"/>
        </w:rPr>
      </w:pPr>
      <w:r>
        <w:rPr>
          <w:rFonts w:hint="eastAsia" w:ascii="宋体" w:hAnsi="宋体"/>
          <w:color w:val="auto"/>
          <w:sz w:val="22"/>
          <w:szCs w:val="22"/>
          <w:highlight w:val="none"/>
          <w:lang w:val="zh-CN"/>
        </w:rPr>
        <w:t>8、我公司没有被财政部门限制参加政府采购活动或曾被财政部门限制参加政府采购活动但已不在限制期内。</w:t>
      </w:r>
    </w:p>
    <w:p w14:paraId="43A042B1">
      <w:pPr>
        <w:autoSpaceDE w:val="0"/>
        <w:autoSpaceDN w:val="0"/>
        <w:adjustRightInd w:val="0"/>
        <w:spacing w:line="460" w:lineRule="atLeast"/>
        <w:ind w:firstLine="465"/>
        <w:rPr>
          <w:rFonts w:ascii="宋体" w:hAnsi="宋体"/>
          <w:color w:val="auto"/>
          <w:sz w:val="22"/>
          <w:szCs w:val="22"/>
          <w:highlight w:val="none"/>
          <w:lang w:val="zh-CN"/>
        </w:rPr>
      </w:pPr>
      <w:r>
        <w:rPr>
          <w:rFonts w:hint="eastAsia" w:ascii="宋体" w:hAnsi="宋体"/>
          <w:color w:val="auto"/>
          <w:sz w:val="22"/>
          <w:szCs w:val="22"/>
          <w:highlight w:val="none"/>
          <w:lang w:val="zh-CN"/>
        </w:rPr>
        <w:t>9、磋商响应文件自提交响应文件递交截止时间起90天内有效。</w:t>
      </w:r>
    </w:p>
    <w:p w14:paraId="0D8B8C2A">
      <w:pPr>
        <w:autoSpaceDE w:val="0"/>
        <w:autoSpaceDN w:val="0"/>
        <w:adjustRightInd w:val="0"/>
        <w:spacing w:line="460" w:lineRule="atLeast"/>
        <w:ind w:firstLine="465"/>
        <w:rPr>
          <w:rFonts w:ascii="宋体" w:hAnsi="宋体"/>
          <w:color w:val="auto"/>
          <w:sz w:val="22"/>
          <w:szCs w:val="22"/>
          <w:highlight w:val="none"/>
          <w:lang w:val="zh-CN"/>
        </w:rPr>
      </w:pPr>
      <w:r>
        <w:rPr>
          <w:rFonts w:hint="eastAsia" w:ascii="宋体" w:hAnsi="宋体"/>
          <w:color w:val="auto"/>
          <w:sz w:val="22"/>
          <w:szCs w:val="22"/>
          <w:highlight w:val="none"/>
          <w:lang w:val="zh-CN"/>
        </w:rPr>
        <w:t>10、与本采购有关的一切往来通讯请寄：</w:t>
      </w:r>
    </w:p>
    <w:p w14:paraId="57B01D5D">
      <w:pPr>
        <w:autoSpaceDE w:val="0"/>
        <w:autoSpaceDN w:val="0"/>
        <w:adjustRightInd w:val="0"/>
        <w:spacing w:line="460" w:lineRule="atLeast"/>
        <w:rPr>
          <w:rFonts w:ascii="宋体" w:hAnsi="宋体"/>
          <w:color w:val="auto"/>
          <w:sz w:val="22"/>
          <w:szCs w:val="22"/>
          <w:highlight w:val="none"/>
          <w:lang w:val="zh-CN"/>
        </w:rPr>
      </w:pPr>
      <w:r>
        <w:rPr>
          <w:rFonts w:hint="eastAsia" w:ascii="宋体" w:hAnsi="宋体"/>
          <w:color w:val="auto"/>
          <w:sz w:val="22"/>
          <w:szCs w:val="22"/>
          <w:highlight w:val="none"/>
          <w:lang w:val="zh-CN"/>
        </w:rPr>
        <w:t>地址：</w:t>
      </w:r>
      <w:r>
        <w:rPr>
          <w:rFonts w:ascii="宋体" w:hAnsi="宋体"/>
          <w:color w:val="auto"/>
          <w:sz w:val="22"/>
          <w:szCs w:val="22"/>
          <w:highlight w:val="none"/>
          <w:u w:val="single"/>
          <w:lang w:val="zh-CN"/>
        </w:rPr>
        <w:t xml:space="preserve">                                 </w:t>
      </w:r>
    </w:p>
    <w:p w14:paraId="72590175">
      <w:pPr>
        <w:autoSpaceDE w:val="0"/>
        <w:autoSpaceDN w:val="0"/>
        <w:adjustRightInd w:val="0"/>
        <w:spacing w:line="460" w:lineRule="atLeast"/>
        <w:rPr>
          <w:rFonts w:ascii="宋体" w:hAnsi="宋体"/>
          <w:color w:val="auto"/>
          <w:sz w:val="22"/>
          <w:szCs w:val="22"/>
          <w:highlight w:val="none"/>
          <w:lang w:val="zh-CN"/>
        </w:rPr>
      </w:pPr>
      <w:r>
        <w:rPr>
          <w:rFonts w:hint="eastAsia" w:ascii="宋体" w:hAnsi="宋体"/>
          <w:color w:val="auto"/>
          <w:sz w:val="22"/>
          <w:szCs w:val="22"/>
          <w:highlight w:val="none"/>
          <w:lang w:val="zh-CN"/>
        </w:rPr>
        <w:t>邮编：</w:t>
      </w:r>
      <w:r>
        <w:rPr>
          <w:rFonts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电话：</w:t>
      </w:r>
      <w:r>
        <w:rPr>
          <w:rFonts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传真：</w:t>
      </w:r>
      <w:r>
        <w:rPr>
          <w:rFonts w:ascii="宋体" w:hAnsi="宋体"/>
          <w:color w:val="auto"/>
          <w:sz w:val="22"/>
          <w:szCs w:val="22"/>
          <w:highlight w:val="none"/>
          <w:u w:val="single"/>
          <w:lang w:val="zh-CN"/>
        </w:rPr>
        <w:t xml:space="preserve">                 </w:t>
      </w:r>
    </w:p>
    <w:p w14:paraId="7F7E205D">
      <w:pPr>
        <w:autoSpaceDE w:val="0"/>
        <w:autoSpaceDN w:val="0"/>
        <w:adjustRightInd w:val="0"/>
        <w:spacing w:line="460" w:lineRule="atLeast"/>
        <w:rPr>
          <w:rFonts w:ascii="宋体" w:hAnsi="宋体"/>
          <w:color w:val="auto"/>
          <w:sz w:val="22"/>
          <w:szCs w:val="22"/>
          <w:highlight w:val="none"/>
          <w:lang w:val="zh-CN"/>
        </w:rPr>
      </w:pPr>
      <w:r>
        <w:rPr>
          <w:rFonts w:hint="eastAsia" w:ascii="宋体" w:hAnsi="宋体"/>
          <w:color w:val="auto"/>
          <w:sz w:val="22"/>
          <w:szCs w:val="22"/>
          <w:highlight w:val="none"/>
          <w:lang w:val="zh-CN"/>
        </w:rPr>
        <w:t>投标供应商（盖章）：</w:t>
      </w:r>
    </w:p>
    <w:p w14:paraId="427AC78D">
      <w:pPr>
        <w:autoSpaceDE w:val="0"/>
        <w:autoSpaceDN w:val="0"/>
        <w:adjustRightInd w:val="0"/>
        <w:spacing w:line="460" w:lineRule="atLeast"/>
        <w:rPr>
          <w:rFonts w:ascii="宋体" w:hAnsi="宋体"/>
          <w:color w:val="auto"/>
          <w:sz w:val="22"/>
          <w:szCs w:val="22"/>
          <w:highlight w:val="none"/>
          <w:lang w:val="zh-CN"/>
        </w:rPr>
      </w:pPr>
      <w:r>
        <w:rPr>
          <w:rFonts w:hint="eastAsia" w:ascii="宋体" w:hAnsi="宋体"/>
          <w:color w:val="auto"/>
          <w:sz w:val="22"/>
          <w:szCs w:val="22"/>
          <w:highlight w:val="none"/>
          <w:lang w:val="zh-CN"/>
        </w:rPr>
        <w:t>法定代表人或授权代表（签字或盖章）：</w:t>
      </w:r>
    </w:p>
    <w:p w14:paraId="4D87EB08">
      <w:pPr>
        <w:autoSpaceDE w:val="0"/>
        <w:autoSpaceDN w:val="0"/>
        <w:adjustRightInd w:val="0"/>
        <w:spacing w:line="460" w:lineRule="atLeast"/>
        <w:rPr>
          <w:rFonts w:ascii="宋体" w:hAnsi="宋体"/>
          <w:color w:val="auto"/>
          <w:sz w:val="22"/>
          <w:szCs w:val="22"/>
          <w:highlight w:val="none"/>
          <w:lang w:val="zh-CN"/>
        </w:rPr>
      </w:pPr>
      <w:r>
        <w:rPr>
          <w:rFonts w:hint="eastAsia" w:ascii="宋体" w:hAnsi="宋体"/>
          <w:color w:val="auto"/>
          <w:sz w:val="22"/>
          <w:szCs w:val="22"/>
          <w:highlight w:val="none"/>
          <w:lang w:val="zh-CN"/>
        </w:rPr>
        <w:t>日期：</w:t>
      </w:r>
    </w:p>
    <w:p w14:paraId="2763E58A">
      <w:pPr>
        <w:snapToGrid w:val="0"/>
        <w:spacing w:line="500" w:lineRule="atLeast"/>
        <w:rPr>
          <w:rFonts w:ascii="宋体" w:hAnsi="宋体"/>
          <w:color w:val="auto"/>
          <w:sz w:val="30"/>
          <w:szCs w:val="30"/>
          <w:highlight w:val="none"/>
        </w:rPr>
      </w:pPr>
    </w:p>
    <w:p w14:paraId="34F4067A">
      <w:pPr>
        <w:pStyle w:val="3"/>
        <w:ind w:firstLine="210"/>
        <w:rPr>
          <w:rFonts w:ascii="宋体" w:hAnsi="宋体"/>
          <w:color w:val="auto"/>
          <w:highlight w:val="none"/>
        </w:rPr>
      </w:pPr>
    </w:p>
    <w:p w14:paraId="2D499F75">
      <w:pPr>
        <w:rPr>
          <w:color w:val="auto"/>
          <w:highlight w:val="none"/>
        </w:rPr>
      </w:pPr>
    </w:p>
    <w:p w14:paraId="1CB59E4D">
      <w:pPr>
        <w:pStyle w:val="34"/>
        <w:adjustRightInd w:val="0"/>
        <w:snapToGrid w:val="0"/>
        <w:spacing w:line="440" w:lineRule="atLeast"/>
        <w:jc w:val="left"/>
        <w:outlineLvl w:val="1"/>
        <w:rPr>
          <w:rFonts w:hAnsi="宋体"/>
          <w:color w:val="auto"/>
          <w:sz w:val="30"/>
          <w:highlight w:val="none"/>
        </w:rPr>
      </w:pPr>
      <w:bookmarkStart w:id="66" w:name="_Toc623"/>
      <w:r>
        <w:rPr>
          <w:rFonts w:hint="eastAsia" w:hAnsi="宋体"/>
          <w:color w:val="auto"/>
          <w:sz w:val="30"/>
          <w:highlight w:val="none"/>
        </w:rPr>
        <w:t>附件五</w:t>
      </w:r>
      <w:bookmarkEnd w:id="66"/>
    </w:p>
    <w:p w14:paraId="50479F35">
      <w:pPr>
        <w:pStyle w:val="34"/>
        <w:adjustRightInd w:val="0"/>
        <w:snapToGrid w:val="0"/>
        <w:spacing w:line="440" w:lineRule="atLeast"/>
        <w:ind w:firstLine="440"/>
        <w:jc w:val="center"/>
        <w:outlineLvl w:val="1"/>
        <w:rPr>
          <w:rFonts w:hAnsi="宋体" w:cs="Arial"/>
          <w:bCs/>
          <w:color w:val="auto"/>
          <w:sz w:val="36"/>
          <w:szCs w:val="36"/>
          <w:highlight w:val="none"/>
          <w:lang w:val="zh-CN"/>
        </w:rPr>
      </w:pPr>
      <w:bookmarkStart w:id="67" w:name="_Toc12802"/>
      <w:r>
        <w:rPr>
          <w:rFonts w:hint="eastAsia" w:hAnsi="宋体" w:cs="Arial"/>
          <w:bCs/>
          <w:color w:val="auto"/>
          <w:sz w:val="36"/>
          <w:szCs w:val="36"/>
          <w:highlight w:val="none"/>
          <w:lang w:val="zh-CN"/>
        </w:rPr>
        <w:t>法定代表人授权书</w:t>
      </w:r>
      <w:bookmarkEnd w:id="67"/>
    </w:p>
    <w:p w14:paraId="742A1B3F">
      <w:pPr>
        <w:autoSpaceDE w:val="0"/>
        <w:autoSpaceDN w:val="0"/>
        <w:adjustRightInd w:val="0"/>
        <w:spacing w:line="460" w:lineRule="atLeast"/>
        <w:rPr>
          <w:rFonts w:ascii="宋体" w:hAnsi="宋体"/>
          <w:color w:val="auto"/>
          <w:sz w:val="22"/>
          <w:szCs w:val="22"/>
          <w:highlight w:val="none"/>
          <w:u w:val="single"/>
          <w:lang w:val="zh-CN"/>
        </w:rPr>
      </w:pPr>
      <w:r>
        <w:rPr>
          <w:rFonts w:hint="eastAsia" w:ascii="宋体" w:hAnsi="宋体"/>
          <w:color w:val="auto"/>
          <w:sz w:val="22"/>
          <w:szCs w:val="22"/>
          <w:highlight w:val="none"/>
          <w:u w:val="single"/>
          <w:lang w:val="zh-CN"/>
        </w:rPr>
        <w:t>温州市救助管理站</w:t>
      </w:r>
    </w:p>
    <w:p w14:paraId="5A916FAD">
      <w:pPr>
        <w:autoSpaceDE w:val="0"/>
        <w:autoSpaceDN w:val="0"/>
        <w:adjustRightInd w:val="0"/>
        <w:spacing w:line="460" w:lineRule="atLeast"/>
        <w:rPr>
          <w:rFonts w:ascii="宋体" w:hAnsi="宋体"/>
          <w:color w:val="auto"/>
          <w:sz w:val="22"/>
          <w:szCs w:val="22"/>
          <w:highlight w:val="none"/>
          <w:u w:val="single"/>
          <w:lang w:val="zh-CN"/>
        </w:rPr>
      </w:pPr>
      <w:r>
        <w:rPr>
          <w:rFonts w:hint="eastAsia" w:ascii="宋体" w:hAnsi="宋体"/>
          <w:color w:val="auto"/>
          <w:sz w:val="22"/>
          <w:szCs w:val="22"/>
          <w:highlight w:val="none"/>
          <w:u w:val="single"/>
          <w:lang w:val="zh-CN"/>
        </w:rPr>
        <w:t>杭州华旗招标代理有限公司：</w:t>
      </w:r>
    </w:p>
    <w:p w14:paraId="0592370B">
      <w:pPr>
        <w:snapToGrid w:val="0"/>
        <w:spacing w:line="58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本授权委托书声明：我</w:t>
      </w:r>
      <w:r>
        <w:rPr>
          <w:rFonts w:hint="eastAsia" w:ascii="宋体" w:hAnsi="宋体"/>
          <w:color w:val="auto"/>
          <w:sz w:val="22"/>
          <w:szCs w:val="22"/>
          <w:highlight w:val="none"/>
          <w:u w:val="single"/>
        </w:rPr>
        <w:t xml:space="preserve">   （法定代表人姓名）   </w:t>
      </w:r>
      <w:r>
        <w:rPr>
          <w:rFonts w:hint="eastAsia" w:ascii="宋体" w:hAnsi="宋体"/>
          <w:color w:val="auto"/>
          <w:sz w:val="22"/>
          <w:szCs w:val="22"/>
          <w:highlight w:val="none"/>
        </w:rPr>
        <w:t>系</w:t>
      </w:r>
      <w:r>
        <w:rPr>
          <w:rFonts w:hint="eastAsia" w:ascii="宋体" w:hAnsi="宋体"/>
          <w:color w:val="auto"/>
          <w:sz w:val="22"/>
          <w:szCs w:val="22"/>
          <w:highlight w:val="none"/>
          <w:u w:val="single"/>
        </w:rPr>
        <w:t xml:space="preserve">   （供 应 商 名 称）  </w:t>
      </w:r>
      <w:r>
        <w:rPr>
          <w:rFonts w:hint="eastAsia" w:ascii="宋体" w:hAnsi="宋体"/>
          <w:color w:val="auto"/>
          <w:sz w:val="22"/>
          <w:szCs w:val="22"/>
          <w:highlight w:val="none"/>
        </w:rPr>
        <w:t>的法定代表人，现授权委托</w:t>
      </w:r>
      <w:r>
        <w:rPr>
          <w:rFonts w:hint="eastAsia" w:ascii="宋体" w:hAnsi="宋体"/>
          <w:color w:val="auto"/>
          <w:sz w:val="22"/>
          <w:szCs w:val="22"/>
          <w:highlight w:val="none"/>
          <w:u w:val="single"/>
        </w:rPr>
        <w:t xml:space="preserve">  （单 位 名 称）   </w:t>
      </w:r>
      <w:r>
        <w:rPr>
          <w:rFonts w:hint="eastAsia" w:ascii="宋体" w:hAnsi="宋体"/>
          <w:color w:val="auto"/>
          <w:sz w:val="22"/>
          <w:szCs w:val="22"/>
          <w:highlight w:val="none"/>
        </w:rPr>
        <w:t>的</w:t>
      </w:r>
      <w:r>
        <w:rPr>
          <w:rFonts w:hint="eastAsia" w:ascii="宋体" w:hAnsi="宋体"/>
          <w:color w:val="auto"/>
          <w:sz w:val="22"/>
          <w:szCs w:val="22"/>
          <w:highlight w:val="none"/>
          <w:u w:val="single"/>
        </w:rPr>
        <w:t xml:space="preserve">  （授权代表姓名）  </w:t>
      </w:r>
      <w:r>
        <w:rPr>
          <w:rFonts w:hint="eastAsia" w:ascii="宋体" w:hAnsi="宋体"/>
          <w:color w:val="auto"/>
          <w:sz w:val="22"/>
          <w:szCs w:val="22"/>
          <w:highlight w:val="none"/>
        </w:rPr>
        <w:t>为我公司法定代表人授权代表，参加贵处组织的</w:t>
      </w:r>
      <w:r>
        <w:rPr>
          <w:rFonts w:hint="eastAsia" w:ascii="宋体" w:hAnsi="宋体"/>
          <w:color w:val="auto"/>
          <w:sz w:val="22"/>
          <w:szCs w:val="22"/>
          <w:highlight w:val="none"/>
          <w:u w:val="single"/>
        </w:rPr>
        <w:t xml:space="preserve">  （招标项目名称，括号中填写项目编号）  </w:t>
      </w:r>
      <w:r>
        <w:rPr>
          <w:rFonts w:hint="eastAsia" w:ascii="宋体" w:hAnsi="宋体"/>
          <w:color w:val="auto"/>
          <w:sz w:val="22"/>
          <w:szCs w:val="22"/>
          <w:highlight w:val="none"/>
        </w:rPr>
        <w:t>项目投标，全权处理本次招投标活动中的一切事宜，我承认授权代表全权代表我所签署的本项目的磋商响应文件的内容。</w:t>
      </w:r>
    </w:p>
    <w:p w14:paraId="26514511">
      <w:pPr>
        <w:snapToGrid w:val="0"/>
        <w:spacing w:line="58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授权代表无转授权，特此授权。</w:t>
      </w:r>
    </w:p>
    <w:p w14:paraId="76502E82">
      <w:pPr>
        <w:snapToGrid w:val="0"/>
        <w:spacing w:line="580" w:lineRule="atLeast"/>
        <w:ind w:left="1260"/>
        <w:rPr>
          <w:rFonts w:ascii="宋体" w:hAnsi="宋体"/>
          <w:color w:val="auto"/>
          <w:sz w:val="22"/>
          <w:szCs w:val="22"/>
          <w:highlight w:val="none"/>
        </w:rPr>
      </w:pPr>
    </w:p>
    <w:p w14:paraId="5C8815F7">
      <w:pPr>
        <w:snapToGrid w:val="0"/>
        <w:spacing w:line="580" w:lineRule="atLeast"/>
        <w:ind w:left="2092" w:leftChars="996" w:firstLine="330" w:firstLineChars="150"/>
        <w:rPr>
          <w:rFonts w:ascii="宋体" w:hAnsi="宋体"/>
          <w:color w:val="auto"/>
          <w:sz w:val="22"/>
          <w:szCs w:val="22"/>
          <w:highlight w:val="none"/>
          <w:u w:val="single"/>
        </w:rPr>
      </w:pPr>
      <w:r>
        <w:rPr>
          <w:rFonts w:hint="eastAsia" w:ascii="宋体" w:hAnsi="宋体"/>
          <w:color w:val="auto"/>
          <w:sz w:val="22"/>
          <w:szCs w:val="22"/>
          <w:highlight w:val="none"/>
        </w:rPr>
        <w:t xml:space="preserve"> 授权代表：</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性别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年龄：</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w:t>
      </w:r>
    </w:p>
    <w:p w14:paraId="149E5C4E">
      <w:pPr>
        <w:snapToGrid w:val="0"/>
        <w:spacing w:line="580" w:lineRule="atLeast"/>
        <w:ind w:left="2100" w:leftChars="1000" w:firstLine="440" w:firstLineChars="200"/>
        <w:rPr>
          <w:rFonts w:ascii="宋体" w:hAnsi="宋体"/>
          <w:color w:val="auto"/>
          <w:sz w:val="22"/>
          <w:szCs w:val="22"/>
          <w:highlight w:val="none"/>
          <w:u w:val="single"/>
        </w:rPr>
      </w:pPr>
      <w:r>
        <w:rPr>
          <w:rFonts w:hint="eastAsia" w:ascii="宋体" w:hAnsi="宋体"/>
          <w:color w:val="auto"/>
          <w:sz w:val="22"/>
          <w:szCs w:val="22"/>
          <w:highlight w:val="none"/>
        </w:rPr>
        <w:t>详细通讯地址：</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邮政编码：</w:t>
      </w:r>
      <w:r>
        <w:rPr>
          <w:rFonts w:hint="eastAsia" w:ascii="宋体" w:hAnsi="宋体"/>
          <w:color w:val="auto"/>
          <w:sz w:val="22"/>
          <w:szCs w:val="22"/>
          <w:highlight w:val="none"/>
          <w:u w:val="single"/>
        </w:rPr>
        <w:t xml:space="preserve">           </w:t>
      </w:r>
    </w:p>
    <w:p w14:paraId="6646B615">
      <w:pPr>
        <w:snapToGrid w:val="0"/>
        <w:spacing w:line="580" w:lineRule="atLeast"/>
        <w:ind w:left="1" w:firstLine="2510" w:firstLineChars="1141"/>
        <w:rPr>
          <w:rFonts w:ascii="宋体" w:hAnsi="宋体"/>
          <w:color w:val="auto"/>
          <w:sz w:val="22"/>
          <w:szCs w:val="22"/>
          <w:highlight w:val="none"/>
          <w:u w:val="single"/>
        </w:rPr>
      </w:pPr>
      <w:r>
        <w:rPr>
          <w:rFonts w:hint="eastAsia" w:ascii="宋体" w:hAnsi="宋体"/>
          <w:color w:val="auto"/>
          <w:sz w:val="22"/>
          <w:szCs w:val="22"/>
          <w:highlight w:val="none"/>
        </w:rPr>
        <w:t>电话：</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传真：</w:t>
      </w:r>
      <w:r>
        <w:rPr>
          <w:rFonts w:hint="eastAsia" w:ascii="宋体" w:hAnsi="宋体"/>
          <w:color w:val="auto"/>
          <w:sz w:val="22"/>
          <w:szCs w:val="22"/>
          <w:highlight w:val="none"/>
          <w:u w:val="single"/>
        </w:rPr>
        <w:t xml:space="preserve">                      </w:t>
      </w:r>
    </w:p>
    <w:p w14:paraId="4267280A">
      <w:pPr>
        <w:snapToGrid w:val="0"/>
        <w:spacing w:line="580" w:lineRule="atLeast"/>
        <w:ind w:left="1" w:firstLine="422" w:firstLineChars="192"/>
        <w:rPr>
          <w:rFonts w:ascii="宋体" w:hAnsi="宋体"/>
          <w:color w:val="auto"/>
          <w:sz w:val="22"/>
          <w:szCs w:val="22"/>
          <w:highlight w:val="none"/>
        </w:rPr>
      </w:pPr>
      <w:r>
        <w:rPr>
          <w:rFonts w:hint="eastAsia" w:ascii="宋体" w:hAnsi="宋体"/>
          <w:color w:val="auto"/>
          <w:sz w:val="22"/>
          <w:szCs w:val="22"/>
          <w:highlight w:val="none"/>
        </w:rPr>
        <w:t xml:space="preserve">                   投标供应商：</w:t>
      </w:r>
      <w:r>
        <w:rPr>
          <w:rFonts w:hint="eastAsia" w:ascii="宋体" w:hAnsi="宋体"/>
          <w:color w:val="auto"/>
          <w:sz w:val="22"/>
          <w:szCs w:val="22"/>
          <w:highlight w:val="none"/>
          <w:u w:val="single"/>
        </w:rPr>
        <w:t xml:space="preserve">                                      （盖章）</w:t>
      </w:r>
    </w:p>
    <w:p w14:paraId="71C521DB">
      <w:pPr>
        <w:snapToGrid w:val="0"/>
        <w:spacing w:line="580" w:lineRule="atLeast"/>
        <w:ind w:left="2100" w:right="440"/>
        <w:jc w:val="center"/>
        <w:rPr>
          <w:rFonts w:ascii="宋体" w:hAnsi="宋体"/>
          <w:color w:val="auto"/>
          <w:sz w:val="22"/>
          <w:szCs w:val="22"/>
          <w:highlight w:val="none"/>
        </w:rPr>
      </w:pPr>
      <w:r>
        <w:rPr>
          <w:rFonts w:hint="eastAsia" w:ascii="宋体" w:hAnsi="宋体"/>
          <w:color w:val="auto"/>
          <w:sz w:val="22"/>
          <w:szCs w:val="22"/>
          <w:highlight w:val="none"/>
        </w:rPr>
        <w:t>法定代表人：</w:t>
      </w:r>
      <w:r>
        <w:rPr>
          <w:rFonts w:hint="eastAsia" w:ascii="宋体" w:hAnsi="宋体"/>
          <w:color w:val="auto"/>
          <w:sz w:val="22"/>
          <w:szCs w:val="22"/>
          <w:highlight w:val="none"/>
          <w:u w:val="single"/>
        </w:rPr>
        <w:t xml:space="preserve">                                 （签字或盖章）</w:t>
      </w:r>
    </w:p>
    <w:p w14:paraId="498EE83D">
      <w:pPr>
        <w:pStyle w:val="34"/>
        <w:adjustRightInd w:val="0"/>
        <w:snapToGrid w:val="0"/>
        <w:spacing w:line="580" w:lineRule="atLeast"/>
        <w:ind w:firstLine="2530" w:firstLineChars="1150"/>
        <w:rPr>
          <w:rFonts w:hAnsi="宋体"/>
          <w:color w:val="auto"/>
          <w:sz w:val="22"/>
          <w:szCs w:val="22"/>
          <w:highlight w:val="none"/>
        </w:rPr>
      </w:pPr>
      <w:r>
        <w:rPr>
          <w:rFonts w:hAnsi="宋体"/>
          <w:color w:val="auto"/>
          <w:sz w:val="22"/>
          <w:szCs w:val="22"/>
          <w:highlight w:val="none"/>
        </w:rPr>
        <w:t>授权委托日期：</w:t>
      </w:r>
      <w:r>
        <w:rPr>
          <w:rFonts w:hAnsi="宋体"/>
          <w:color w:val="auto"/>
          <w:sz w:val="22"/>
          <w:szCs w:val="22"/>
          <w:highlight w:val="none"/>
          <w:u w:val="single"/>
        </w:rPr>
        <w:t xml:space="preserve">     </w:t>
      </w:r>
      <w:r>
        <w:rPr>
          <w:rFonts w:hAnsi="宋体"/>
          <w:color w:val="auto"/>
          <w:sz w:val="22"/>
          <w:szCs w:val="22"/>
          <w:highlight w:val="none"/>
        </w:rPr>
        <w:t xml:space="preserve">年 </w:t>
      </w:r>
      <w:r>
        <w:rPr>
          <w:rFonts w:hAnsi="宋体"/>
          <w:color w:val="auto"/>
          <w:sz w:val="22"/>
          <w:szCs w:val="22"/>
          <w:highlight w:val="none"/>
          <w:u w:val="single"/>
        </w:rPr>
        <w:t xml:space="preserve">    </w:t>
      </w:r>
      <w:r>
        <w:rPr>
          <w:rFonts w:hAnsi="宋体"/>
          <w:color w:val="auto"/>
          <w:sz w:val="22"/>
          <w:szCs w:val="22"/>
          <w:highlight w:val="none"/>
        </w:rPr>
        <w:t>月</w:t>
      </w:r>
      <w:r>
        <w:rPr>
          <w:rFonts w:hAnsi="宋体"/>
          <w:color w:val="auto"/>
          <w:sz w:val="22"/>
          <w:szCs w:val="22"/>
          <w:highlight w:val="none"/>
          <w:u w:val="single"/>
        </w:rPr>
        <w:t xml:space="preserve">     </w:t>
      </w:r>
      <w:r>
        <w:rPr>
          <w:rFonts w:hAnsi="宋体"/>
          <w:color w:val="auto"/>
          <w:sz w:val="22"/>
          <w:szCs w:val="22"/>
          <w:highlight w:val="none"/>
        </w:rPr>
        <w:t>日</w:t>
      </w:r>
    </w:p>
    <w:tbl>
      <w:tblPr>
        <w:tblStyle w:val="65"/>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14:paraId="591F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vAlign w:val="center"/>
          </w:tcPr>
          <w:p w14:paraId="56132371">
            <w:pPr>
              <w:pStyle w:val="34"/>
              <w:spacing w:line="440" w:lineRule="atLeast"/>
              <w:jc w:val="center"/>
              <w:rPr>
                <w:rFonts w:hAnsi="宋体"/>
                <w:color w:val="auto"/>
                <w:sz w:val="36"/>
                <w:szCs w:val="22"/>
                <w:highlight w:val="none"/>
              </w:rPr>
            </w:pPr>
            <w:r>
              <w:rPr>
                <w:rFonts w:hAnsi="宋体"/>
                <w:color w:val="auto"/>
                <w:sz w:val="36"/>
                <w:szCs w:val="22"/>
                <w:highlight w:val="none"/>
              </w:rPr>
              <w:t>粘贴授权代表身份证复印件或影印件</w:t>
            </w:r>
          </w:p>
        </w:tc>
      </w:tr>
    </w:tbl>
    <w:p w14:paraId="5BC3255C">
      <w:pPr>
        <w:pStyle w:val="34"/>
        <w:adjustRightInd w:val="0"/>
        <w:snapToGrid w:val="0"/>
        <w:spacing w:line="580" w:lineRule="atLeast"/>
        <w:jc w:val="center"/>
        <w:rPr>
          <w:rFonts w:hAnsi="宋体"/>
          <w:color w:val="auto"/>
          <w:sz w:val="22"/>
          <w:szCs w:val="22"/>
          <w:highlight w:val="none"/>
        </w:rPr>
      </w:pPr>
    </w:p>
    <w:p w14:paraId="73347687">
      <w:pPr>
        <w:pStyle w:val="34"/>
        <w:snapToGrid w:val="0"/>
        <w:spacing w:line="580" w:lineRule="atLeast"/>
        <w:rPr>
          <w:rFonts w:hAnsi="宋体" w:cs="黑体"/>
          <w:color w:val="auto"/>
          <w:sz w:val="22"/>
          <w:szCs w:val="22"/>
          <w:highlight w:val="none"/>
          <w:u w:val="thick"/>
        </w:rPr>
      </w:pPr>
    </w:p>
    <w:p w14:paraId="0667C4E8">
      <w:pPr>
        <w:pStyle w:val="34"/>
        <w:snapToGrid w:val="0"/>
        <w:spacing w:line="580" w:lineRule="atLeast"/>
        <w:rPr>
          <w:rFonts w:hAnsi="宋体" w:cs="黑体"/>
          <w:color w:val="auto"/>
          <w:sz w:val="22"/>
          <w:szCs w:val="22"/>
          <w:highlight w:val="none"/>
          <w:u w:val="thick"/>
        </w:rPr>
      </w:pPr>
    </w:p>
    <w:p w14:paraId="439C57B5">
      <w:pPr>
        <w:pStyle w:val="34"/>
        <w:snapToGrid w:val="0"/>
        <w:spacing w:line="580" w:lineRule="atLeast"/>
        <w:rPr>
          <w:rFonts w:hAnsi="宋体" w:cs="黑体"/>
          <w:color w:val="auto"/>
          <w:sz w:val="22"/>
          <w:szCs w:val="22"/>
          <w:highlight w:val="none"/>
          <w:u w:val="thick"/>
        </w:rPr>
      </w:pPr>
    </w:p>
    <w:p w14:paraId="7E59DC81">
      <w:pPr>
        <w:pStyle w:val="34"/>
        <w:adjustRightInd w:val="0"/>
        <w:snapToGrid w:val="0"/>
        <w:spacing w:line="360" w:lineRule="exact"/>
        <w:rPr>
          <w:rFonts w:hAnsi="宋体"/>
          <w:color w:val="auto"/>
          <w:sz w:val="22"/>
          <w:highlight w:val="none"/>
        </w:rPr>
      </w:pPr>
    </w:p>
    <w:tbl>
      <w:tblPr>
        <w:tblStyle w:val="65"/>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14:paraId="1BAB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vAlign w:val="center"/>
          </w:tcPr>
          <w:p w14:paraId="5B525709">
            <w:pPr>
              <w:pStyle w:val="34"/>
              <w:spacing w:line="440" w:lineRule="atLeast"/>
              <w:jc w:val="center"/>
              <w:rPr>
                <w:rFonts w:hAnsi="宋体"/>
                <w:color w:val="auto"/>
                <w:sz w:val="36"/>
                <w:szCs w:val="22"/>
                <w:highlight w:val="none"/>
              </w:rPr>
            </w:pPr>
            <w:r>
              <w:rPr>
                <w:rFonts w:hAnsi="宋体"/>
                <w:color w:val="auto"/>
                <w:sz w:val="36"/>
                <w:szCs w:val="22"/>
                <w:highlight w:val="none"/>
              </w:rPr>
              <w:t>粘贴法定代表人身份证复印件或影印件</w:t>
            </w:r>
          </w:p>
        </w:tc>
      </w:tr>
    </w:tbl>
    <w:p w14:paraId="04A98672">
      <w:pPr>
        <w:pStyle w:val="34"/>
        <w:snapToGrid w:val="0"/>
        <w:spacing w:line="580" w:lineRule="atLeast"/>
        <w:rPr>
          <w:rFonts w:hAnsi="宋体" w:cs="黑体"/>
          <w:color w:val="auto"/>
          <w:sz w:val="22"/>
          <w:szCs w:val="22"/>
          <w:highlight w:val="none"/>
          <w:u w:val="thick"/>
        </w:rPr>
      </w:pPr>
    </w:p>
    <w:p w14:paraId="306D4FEE">
      <w:pPr>
        <w:pStyle w:val="34"/>
        <w:snapToGrid w:val="0"/>
        <w:spacing w:line="580" w:lineRule="atLeast"/>
        <w:rPr>
          <w:rFonts w:hAnsi="宋体" w:cs="黑体"/>
          <w:color w:val="auto"/>
          <w:sz w:val="22"/>
          <w:szCs w:val="22"/>
          <w:highlight w:val="none"/>
          <w:u w:val="thick"/>
        </w:rPr>
      </w:pPr>
    </w:p>
    <w:p w14:paraId="133ACCE8">
      <w:pPr>
        <w:snapToGrid w:val="0"/>
        <w:spacing w:line="500" w:lineRule="atLeast"/>
        <w:rPr>
          <w:rFonts w:ascii="宋体" w:hAnsi="宋体"/>
          <w:color w:val="auto"/>
          <w:sz w:val="30"/>
          <w:szCs w:val="30"/>
          <w:highlight w:val="none"/>
        </w:rPr>
      </w:pPr>
    </w:p>
    <w:p w14:paraId="541A4F73">
      <w:pPr>
        <w:pStyle w:val="34"/>
        <w:adjustRightInd w:val="0"/>
        <w:snapToGrid w:val="0"/>
        <w:spacing w:line="440" w:lineRule="atLeast"/>
        <w:jc w:val="left"/>
        <w:outlineLvl w:val="1"/>
        <w:rPr>
          <w:rFonts w:hint="eastAsia" w:hAnsi="宋体"/>
          <w:color w:val="auto"/>
          <w:sz w:val="30"/>
          <w:highlight w:val="none"/>
        </w:rPr>
      </w:pPr>
    </w:p>
    <w:p w14:paraId="31DE51FC">
      <w:pPr>
        <w:pStyle w:val="34"/>
        <w:adjustRightInd w:val="0"/>
        <w:snapToGrid w:val="0"/>
        <w:spacing w:line="440" w:lineRule="atLeast"/>
        <w:jc w:val="left"/>
        <w:outlineLvl w:val="1"/>
        <w:rPr>
          <w:rFonts w:hAnsi="宋体"/>
          <w:color w:val="auto"/>
          <w:sz w:val="30"/>
          <w:highlight w:val="none"/>
        </w:rPr>
      </w:pPr>
      <w:bookmarkStart w:id="68" w:name="_Toc32082"/>
      <w:r>
        <w:rPr>
          <w:rFonts w:hint="eastAsia" w:hAnsi="宋体"/>
          <w:color w:val="auto"/>
          <w:sz w:val="30"/>
          <w:highlight w:val="none"/>
        </w:rPr>
        <w:t>附件六</w:t>
      </w:r>
      <w:bookmarkEnd w:id="68"/>
    </w:p>
    <w:p w14:paraId="69292B19">
      <w:pPr>
        <w:pStyle w:val="34"/>
        <w:adjustRightInd w:val="0"/>
        <w:snapToGrid w:val="0"/>
        <w:spacing w:line="440" w:lineRule="atLeast"/>
        <w:ind w:firstLine="440"/>
        <w:jc w:val="center"/>
        <w:outlineLvl w:val="1"/>
        <w:rPr>
          <w:rFonts w:hAnsi="宋体" w:cs="Arial"/>
          <w:bCs/>
          <w:color w:val="auto"/>
          <w:sz w:val="36"/>
          <w:szCs w:val="36"/>
          <w:highlight w:val="none"/>
          <w:lang w:val="zh-CN"/>
        </w:rPr>
      </w:pPr>
      <w:bookmarkStart w:id="69" w:name="_Toc30329"/>
      <w:r>
        <w:rPr>
          <w:rFonts w:hint="eastAsia" w:hAnsi="宋体" w:cs="Arial"/>
          <w:bCs/>
          <w:color w:val="auto"/>
          <w:sz w:val="36"/>
          <w:szCs w:val="36"/>
          <w:highlight w:val="none"/>
          <w:lang w:val="zh-CN"/>
        </w:rPr>
        <w:t>法定代表人诚信投标承诺书</w:t>
      </w:r>
      <w:bookmarkEnd w:id="69"/>
    </w:p>
    <w:p w14:paraId="7DCBDCA1">
      <w:pPr>
        <w:spacing w:line="460" w:lineRule="atLeast"/>
        <w:jc w:val="left"/>
        <w:rPr>
          <w:rFonts w:ascii="宋体" w:hAnsi="宋体"/>
          <w:color w:val="auto"/>
          <w:sz w:val="22"/>
          <w:highlight w:val="none"/>
        </w:rPr>
      </w:pPr>
      <w:r>
        <w:rPr>
          <w:rFonts w:hint="eastAsia" w:ascii="宋体" w:hAnsi="宋体"/>
          <w:color w:val="auto"/>
          <w:sz w:val="22"/>
          <w:highlight w:val="none"/>
        </w:rPr>
        <w:t>本人以企业法定代表人的身份郑重承诺：</w:t>
      </w:r>
    </w:p>
    <w:p w14:paraId="1D7C987D">
      <w:pPr>
        <w:spacing w:line="460" w:lineRule="atLeast"/>
        <w:ind w:firstLine="440" w:firstLineChars="200"/>
        <w:jc w:val="left"/>
        <w:rPr>
          <w:rFonts w:ascii="宋体" w:hAnsi="宋体"/>
          <w:color w:val="auto"/>
          <w:sz w:val="22"/>
          <w:highlight w:val="none"/>
        </w:rPr>
      </w:pPr>
      <w:r>
        <w:rPr>
          <w:rFonts w:hint="eastAsia" w:ascii="宋体" w:hAnsi="宋体"/>
          <w:color w:val="auto"/>
          <w:sz w:val="22"/>
          <w:highlight w:val="none"/>
        </w:rPr>
        <w:t>将遵循公开、公平、公正和诚信信用的原则参加</w:t>
      </w:r>
      <w:r>
        <w:rPr>
          <w:rFonts w:hint="eastAsia" w:ascii="宋体" w:hAnsi="宋体" w:cs="Calibri"/>
          <w:color w:val="auto"/>
          <w:sz w:val="22"/>
          <w:highlight w:val="none"/>
          <w:u w:val="single"/>
        </w:rPr>
        <w:t xml:space="preserve">              项目（招标编号： </w:t>
      </w:r>
      <w:r>
        <w:rPr>
          <w:rFonts w:ascii="宋体" w:hAnsi="宋体" w:cs="Calibri"/>
          <w:color w:val="auto"/>
          <w:sz w:val="22"/>
          <w:highlight w:val="none"/>
          <w:u w:val="single"/>
        </w:rPr>
        <w:t xml:space="preserve"> </w:t>
      </w:r>
      <w:r>
        <w:rPr>
          <w:rFonts w:hint="eastAsia" w:ascii="宋体" w:hAnsi="宋体" w:cs="Calibri"/>
          <w:color w:val="auto"/>
          <w:sz w:val="22"/>
          <w:highlight w:val="none"/>
          <w:u w:val="single"/>
        </w:rPr>
        <w:t xml:space="preserve">  ）</w:t>
      </w:r>
      <w:r>
        <w:rPr>
          <w:rFonts w:hint="eastAsia" w:ascii="宋体" w:hAnsi="宋体"/>
          <w:color w:val="auto"/>
          <w:sz w:val="22"/>
          <w:highlight w:val="none"/>
        </w:rPr>
        <w:t>的投标：</w:t>
      </w:r>
    </w:p>
    <w:p w14:paraId="5E1659F4">
      <w:pPr>
        <w:spacing w:line="460" w:lineRule="atLeast"/>
        <w:ind w:firstLine="440" w:firstLineChars="200"/>
        <w:jc w:val="left"/>
        <w:rPr>
          <w:rFonts w:ascii="宋体" w:hAnsi="宋体"/>
          <w:color w:val="auto"/>
          <w:sz w:val="22"/>
          <w:highlight w:val="none"/>
          <w:u w:val="single"/>
        </w:rPr>
      </w:pPr>
      <w:r>
        <w:rPr>
          <w:rFonts w:hint="eastAsia" w:ascii="宋体" w:hAnsi="宋体"/>
          <w:color w:val="auto"/>
          <w:sz w:val="22"/>
          <w:highlight w:val="none"/>
        </w:rPr>
        <w:t>一、杜绝以收取管理费等形式的一切挂靠、违法转包、分包行为。</w:t>
      </w:r>
    </w:p>
    <w:p w14:paraId="36F88DE3">
      <w:pPr>
        <w:spacing w:line="460" w:lineRule="atLeast"/>
        <w:ind w:firstLine="440" w:firstLineChars="200"/>
        <w:jc w:val="left"/>
        <w:rPr>
          <w:rFonts w:ascii="宋体" w:hAnsi="宋体"/>
          <w:color w:val="auto"/>
          <w:sz w:val="22"/>
          <w:highlight w:val="none"/>
        </w:rPr>
      </w:pPr>
      <w:r>
        <w:rPr>
          <w:rFonts w:hint="eastAsia" w:ascii="宋体" w:hAnsi="宋体"/>
          <w:color w:val="auto"/>
          <w:sz w:val="22"/>
          <w:highlight w:val="none"/>
        </w:rPr>
        <w:t>二、磋商响应文件所提供的一切材料都是真实、有效、合法的。</w:t>
      </w:r>
    </w:p>
    <w:p w14:paraId="7FD01DB0">
      <w:pPr>
        <w:spacing w:line="460" w:lineRule="atLeast"/>
        <w:ind w:firstLine="440" w:firstLineChars="200"/>
        <w:jc w:val="left"/>
        <w:rPr>
          <w:rFonts w:ascii="宋体" w:hAnsi="宋体"/>
          <w:color w:val="auto"/>
          <w:sz w:val="22"/>
          <w:highlight w:val="none"/>
        </w:rPr>
      </w:pPr>
      <w:r>
        <w:rPr>
          <w:rFonts w:hint="eastAsia" w:ascii="宋体" w:hAnsi="宋体"/>
          <w:color w:val="auto"/>
          <w:sz w:val="22"/>
          <w:highlight w:val="none"/>
        </w:rPr>
        <w:t>三、不与其他投标供应商相互串通投标报价，不排挤其他投标供应商的公平竞争，不损害</w:t>
      </w:r>
      <w:r>
        <w:rPr>
          <w:rFonts w:hint="eastAsia" w:ascii="宋体" w:hAnsi="宋体"/>
          <w:color w:val="auto"/>
          <w:sz w:val="22"/>
          <w:highlight w:val="none"/>
          <w:lang w:eastAsia="zh-CN"/>
        </w:rPr>
        <w:t>采购人</w:t>
      </w:r>
      <w:r>
        <w:rPr>
          <w:rFonts w:hint="eastAsia" w:ascii="宋体" w:hAnsi="宋体"/>
          <w:color w:val="auto"/>
          <w:sz w:val="22"/>
          <w:highlight w:val="none"/>
        </w:rPr>
        <w:t>或其他投标供应商的合法权益。</w:t>
      </w:r>
    </w:p>
    <w:p w14:paraId="3754FAA9">
      <w:pPr>
        <w:spacing w:line="460" w:lineRule="atLeast"/>
        <w:ind w:firstLine="440" w:firstLineChars="200"/>
        <w:jc w:val="left"/>
        <w:rPr>
          <w:rFonts w:ascii="宋体" w:hAnsi="宋体"/>
          <w:color w:val="auto"/>
          <w:sz w:val="22"/>
          <w:highlight w:val="none"/>
        </w:rPr>
      </w:pPr>
      <w:r>
        <w:rPr>
          <w:rFonts w:hint="eastAsia" w:ascii="宋体" w:hAnsi="宋体"/>
          <w:color w:val="auto"/>
          <w:sz w:val="22"/>
          <w:highlight w:val="none"/>
        </w:rPr>
        <w:t>四、不与采购人或采购代理机构串通投标，不损害国家利益，社会公共利益或其他人的合法权益。</w:t>
      </w:r>
    </w:p>
    <w:p w14:paraId="4FA9CAAB">
      <w:pPr>
        <w:spacing w:line="460" w:lineRule="atLeast"/>
        <w:ind w:firstLine="440" w:firstLineChars="200"/>
        <w:jc w:val="left"/>
        <w:rPr>
          <w:rFonts w:ascii="宋体" w:hAnsi="宋体"/>
          <w:color w:val="auto"/>
          <w:sz w:val="22"/>
          <w:highlight w:val="none"/>
        </w:rPr>
      </w:pPr>
      <w:r>
        <w:rPr>
          <w:rFonts w:hint="eastAsia" w:ascii="宋体" w:hAnsi="宋体"/>
          <w:color w:val="auto"/>
          <w:sz w:val="22"/>
          <w:highlight w:val="none"/>
        </w:rPr>
        <w:t>五、不向采购人或者评标委员会成员行贿以牟取中标。</w:t>
      </w:r>
    </w:p>
    <w:p w14:paraId="1E84AD52">
      <w:pPr>
        <w:spacing w:line="460" w:lineRule="atLeast"/>
        <w:ind w:firstLine="440" w:firstLineChars="200"/>
        <w:jc w:val="left"/>
        <w:rPr>
          <w:rFonts w:ascii="宋体" w:hAnsi="宋体"/>
          <w:color w:val="auto"/>
          <w:sz w:val="22"/>
          <w:highlight w:val="none"/>
        </w:rPr>
      </w:pPr>
      <w:r>
        <w:rPr>
          <w:rFonts w:hint="eastAsia" w:ascii="宋体" w:hAnsi="宋体"/>
          <w:color w:val="auto"/>
          <w:sz w:val="22"/>
          <w:highlight w:val="none"/>
        </w:rPr>
        <w:t>六、不以其他人名义投标或者以其他方式弄虚作假，骗取中标。</w:t>
      </w:r>
    </w:p>
    <w:p w14:paraId="00CCF7D0">
      <w:pPr>
        <w:spacing w:line="460" w:lineRule="atLeast"/>
        <w:ind w:firstLine="440" w:firstLineChars="200"/>
        <w:jc w:val="left"/>
        <w:rPr>
          <w:rFonts w:ascii="宋体" w:hAnsi="宋体"/>
          <w:color w:val="auto"/>
          <w:sz w:val="22"/>
          <w:highlight w:val="none"/>
        </w:rPr>
      </w:pPr>
      <w:r>
        <w:rPr>
          <w:rFonts w:hint="eastAsia" w:ascii="宋体" w:hAnsi="宋体"/>
          <w:color w:val="auto"/>
          <w:sz w:val="22"/>
          <w:highlight w:val="none"/>
        </w:rPr>
        <w:t>七、不在开标后进行虚假恶意投诉。</w:t>
      </w:r>
    </w:p>
    <w:p w14:paraId="27C4CB2F">
      <w:pPr>
        <w:spacing w:line="460" w:lineRule="atLeast"/>
        <w:ind w:firstLine="440" w:firstLineChars="200"/>
        <w:jc w:val="left"/>
        <w:rPr>
          <w:rFonts w:ascii="宋体" w:hAnsi="宋体"/>
          <w:color w:val="auto"/>
          <w:sz w:val="22"/>
          <w:highlight w:val="none"/>
        </w:rPr>
      </w:pPr>
      <w:r>
        <w:rPr>
          <w:rFonts w:hint="eastAsia" w:ascii="宋体" w:hAnsi="宋体"/>
          <w:color w:val="auto"/>
          <w:sz w:val="22"/>
          <w:highlight w:val="none"/>
        </w:rPr>
        <w:t>八、我单位没有被政府机关</w:t>
      </w:r>
      <w:r>
        <w:rPr>
          <w:rFonts w:ascii="宋体" w:hAnsi="宋体"/>
          <w:color w:val="auto"/>
          <w:sz w:val="22"/>
          <w:highlight w:val="none"/>
        </w:rPr>
        <w:t>列入失信被执行人</w:t>
      </w:r>
      <w:r>
        <w:rPr>
          <w:rFonts w:hint="eastAsia" w:ascii="宋体" w:hAnsi="宋体"/>
          <w:color w:val="auto"/>
          <w:sz w:val="22"/>
          <w:highlight w:val="none"/>
        </w:rPr>
        <w:t>名单</w:t>
      </w:r>
      <w:r>
        <w:rPr>
          <w:rFonts w:ascii="宋体" w:hAnsi="宋体"/>
          <w:color w:val="auto"/>
          <w:sz w:val="22"/>
          <w:highlight w:val="none"/>
        </w:rPr>
        <w:t>、重大税收违法案件当事人名单、政府采购严重违法失信行为记录名单及其他不符合《中华人民共和国政府采购法》第二十二条规定条件</w:t>
      </w:r>
      <w:r>
        <w:rPr>
          <w:rFonts w:hint="eastAsia" w:ascii="宋体" w:hAnsi="宋体"/>
          <w:color w:val="auto"/>
          <w:sz w:val="22"/>
          <w:highlight w:val="none"/>
        </w:rPr>
        <w:t>的情形（《中华人民共和国政府采购法实施条例》第十九条规定的情形除外）。</w:t>
      </w:r>
    </w:p>
    <w:p w14:paraId="11A25DEA">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本公司若有违反本承诺内容的行为，愿意承担法律责任，包括不限于：愿意接受相关行政主管部门作出的处罚；给采购人造成损失的，依法承担相应的赔偿责任。</w:t>
      </w:r>
    </w:p>
    <w:p w14:paraId="18E2795F">
      <w:pPr>
        <w:spacing w:line="460" w:lineRule="atLeast"/>
        <w:ind w:right="1120"/>
        <w:rPr>
          <w:rFonts w:ascii="宋体" w:hAnsi="宋体"/>
          <w:color w:val="auto"/>
          <w:sz w:val="22"/>
          <w:highlight w:val="none"/>
        </w:rPr>
      </w:pPr>
    </w:p>
    <w:p w14:paraId="3A88A0EB">
      <w:pPr>
        <w:spacing w:line="460" w:lineRule="atLeast"/>
        <w:ind w:right="1120"/>
        <w:rPr>
          <w:rFonts w:ascii="宋体" w:hAnsi="宋体"/>
          <w:color w:val="auto"/>
          <w:sz w:val="22"/>
          <w:highlight w:val="none"/>
        </w:rPr>
      </w:pPr>
      <w:r>
        <w:rPr>
          <w:rFonts w:hint="eastAsia" w:ascii="宋体" w:hAnsi="宋体"/>
          <w:color w:val="auto"/>
          <w:sz w:val="22"/>
          <w:highlight w:val="none"/>
        </w:rPr>
        <w:t>投标供应商（盖章）</w:t>
      </w:r>
    </w:p>
    <w:p w14:paraId="5DFED845">
      <w:pPr>
        <w:spacing w:line="460" w:lineRule="atLeast"/>
        <w:ind w:right="1120"/>
        <w:rPr>
          <w:rFonts w:ascii="宋体" w:hAnsi="宋体"/>
          <w:color w:val="auto"/>
          <w:sz w:val="22"/>
          <w:highlight w:val="none"/>
        </w:rPr>
      </w:pPr>
      <w:r>
        <w:rPr>
          <w:rFonts w:hint="eastAsia" w:ascii="宋体" w:hAnsi="宋体"/>
          <w:color w:val="auto"/>
          <w:sz w:val="22"/>
          <w:highlight w:val="none"/>
        </w:rPr>
        <w:t>法定代表人（签字或盖章）：</w:t>
      </w:r>
    </w:p>
    <w:p w14:paraId="6CF1D010">
      <w:pPr>
        <w:snapToGrid w:val="0"/>
        <w:spacing w:line="500" w:lineRule="atLeast"/>
        <w:rPr>
          <w:rFonts w:ascii="宋体" w:hAnsi="宋体"/>
          <w:color w:val="auto"/>
          <w:sz w:val="30"/>
          <w:szCs w:val="30"/>
          <w:highlight w:val="none"/>
        </w:rPr>
      </w:pPr>
      <w:r>
        <w:rPr>
          <w:rFonts w:hint="eastAsia" w:ascii="宋体" w:hAnsi="宋体"/>
          <w:color w:val="auto"/>
          <w:sz w:val="22"/>
          <w:highlight w:val="none"/>
        </w:rPr>
        <w:t xml:space="preserve">承诺书签署日期：  </w:t>
      </w:r>
    </w:p>
    <w:p w14:paraId="0B057D08">
      <w:pPr>
        <w:autoSpaceDE w:val="0"/>
        <w:autoSpaceDN w:val="0"/>
        <w:adjustRightInd w:val="0"/>
        <w:spacing w:line="460" w:lineRule="atLeast"/>
        <w:jc w:val="left"/>
        <w:rPr>
          <w:rFonts w:ascii="宋体" w:hAnsi="宋体"/>
          <w:color w:val="auto"/>
          <w:sz w:val="32"/>
          <w:highlight w:val="none"/>
        </w:rPr>
      </w:pPr>
    </w:p>
    <w:p w14:paraId="5019014E">
      <w:pPr>
        <w:autoSpaceDE w:val="0"/>
        <w:autoSpaceDN w:val="0"/>
        <w:adjustRightInd w:val="0"/>
        <w:spacing w:line="460" w:lineRule="atLeast"/>
        <w:rPr>
          <w:rFonts w:ascii="宋体" w:hAnsi="宋体"/>
          <w:color w:val="auto"/>
          <w:sz w:val="30"/>
          <w:highlight w:val="none"/>
          <w:lang w:val="zh-CN"/>
        </w:rPr>
      </w:pPr>
    </w:p>
    <w:p w14:paraId="4887932B">
      <w:pPr>
        <w:autoSpaceDE w:val="0"/>
        <w:autoSpaceDN w:val="0"/>
        <w:adjustRightInd w:val="0"/>
        <w:spacing w:line="460" w:lineRule="atLeast"/>
        <w:rPr>
          <w:rFonts w:ascii="宋体" w:hAnsi="宋体"/>
          <w:color w:val="auto"/>
          <w:sz w:val="30"/>
          <w:highlight w:val="none"/>
          <w:lang w:val="zh-CN"/>
        </w:rPr>
      </w:pPr>
    </w:p>
    <w:p w14:paraId="74EBCE0B">
      <w:pPr>
        <w:autoSpaceDE w:val="0"/>
        <w:autoSpaceDN w:val="0"/>
        <w:adjustRightInd w:val="0"/>
        <w:spacing w:line="460" w:lineRule="atLeast"/>
        <w:rPr>
          <w:rFonts w:ascii="宋体" w:hAnsi="宋体"/>
          <w:color w:val="auto"/>
          <w:sz w:val="30"/>
          <w:highlight w:val="none"/>
          <w:lang w:val="zh-CN"/>
        </w:rPr>
      </w:pPr>
    </w:p>
    <w:p w14:paraId="11C25434">
      <w:pPr>
        <w:autoSpaceDE w:val="0"/>
        <w:autoSpaceDN w:val="0"/>
        <w:adjustRightInd w:val="0"/>
        <w:spacing w:line="460" w:lineRule="atLeast"/>
        <w:rPr>
          <w:rFonts w:ascii="宋体" w:hAnsi="宋体"/>
          <w:color w:val="auto"/>
          <w:sz w:val="30"/>
          <w:highlight w:val="none"/>
          <w:lang w:val="zh-CN"/>
        </w:rPr>
      </w:pPr>
    </w:p>
    <w:p w14:paraId="1C938FDA">
      <w:pPr>
        <w:autoSpaceDE w:val="0"/>
        <w:autoSpaceDN w:val="0"/>
        <w:adjustRightInd w:val="0"/>
        <w:spacing w:line="460" w:lineRule="atLeast"/>
        <w:rPr>
          <w:rFonts w:ascii="宋体" w:hAnsi="宋体"/>
          <w:color w:val="auto"/>
          <w:sz w:val="30"/>
          <w:highlight w:val="none"/>
          <w:lang w:val="zh-CN"/>
        </w:rPr>
      </w:pPr>
    </w:p>
    <w:p w14:paraId="3F3D6CFD">
      <w:pPr>
        <w:autoSpaceDE w:val="0"/>
        <w:autoSpaceDN w:val="0"/>
        <w:adjustRightInd w:val="0"/>
        <w:spacing w:line="460" w:lineRule="atLeast"/>
        <w:jc w:val="left"/>
        <w:rPr>
          <w:rFonts w:ascii="宋体" w:hAnsi="宋体"/>
          <w:color w:val="auto"/>
          <w:sz w:val="32"/>
          <w:highlight w:val="none"/>
        </w:rPr>
      </w:pPr>
    </w:p>
    <w:p w14:paraId="149A30C7">
      <w:pPr>
        <w:pStyle w:val="3"/>
        <w:rPr>
          <w:color w:val="auto"/>
          <w:highlight w:val="none"/>
        </w:rPr>
      </w:pPr>
    </w:p>
    <w:p w14:paraId="6E663964">
      <w:pPr>
        <w:autoSpaceDE w:val="0"/>
        <w:autoSpaceDN w:val="0"/>
        <w:adjustRightInd w:val="0"/>
        <w:spacing w:line="460" w:lineRule="atLeast"/>
        <w:jc w:val="left"/>
        <w:rPr>
          <w:rFonts w:ascii="宋体" w:hAnsi="宋体"/>
          <w:color w:val="auto"/>
          <w:sz w:val="32"/>
          <w:highlight w:val="none"/>
        </w:rPr>
      </w:pPr>
    </w:p>
    <w:p w14:paraId="22EB32EB">
      <w:pPr>
        <w:pStyle w:val="34"/>
        <w:adjustRightInd w:val="0"/>
        <w:snapToGrid w:val="0"/>
        <w:spacing w:line="440" w:lineRule="atLeast"/>
        <w:jc w:val="left"/>
        <w:outlineLvl w:val="1"/>
        <w:rPr>
          <w:rFonts w:hAnsi="宋体"/>
          <w:color w:val="auto"/>
          <w:sz w:val="30"/>
          <w:highlight w:val="none"/>
        </w:rPr>
      </w:pPr>
      <w:bookmarkStart w:id="70" w:name="_Toc32304"/>
      <w:r>
        <w:rPr>
          <w:rFonts w:hAnsi="宋体"/>
          <w:color w:val="auto"/>
          <w:sz w:val="30"/>
          <w:highlight w:val="none"/>
        </w:rPr>
        <w:t>附件</w:t>
      </w:r>
      <w:r>
        <w:rPr>
          <w:rFonts w:hint="eastAsia" w:hAnsi="宋体"/>
          <w:color w:val="auto"/>
          <w:sz w:val="30"/>
          <w:highlight w:val="none"/>
        </w:rPr>
        <w:t>七</w:t>
      </w:r>
      <w:bookmarkEnd w:id="70"/>
    </w:p>
    <w:p w14:paraId="6D100CB0">
      <w:pPr>
        <w:pStyle w:val="34"/>
        <w:adjustRightInd w:val="0"/>
        <w:snapToGrid w:val="0"/>
        <w:spacing w:line="440" w:lineRule="atLeast"/>
        <w:ind w:firstLine="440"/>
        <w:jc w:val="center"/>
        <w:outlineLvl w:val="1"/>
        <w:rPr>
          <w:rFonts w:hAnsi="宋体" w:cs="Arial"/>
          <w:bCs/>
          <w:color w:val="auto"/>
          <w:sz w:val="36"/>
          <w:szCs w:val="36"/>
          <w:highlight w:val="none"/>
          <w:lang w:val="zh-CN"/>
        </w:rPr>
      </w:pPr>
      <w:bookmarkStart w:id="71" w:name="_Toc16436"/>
      <w:r>
        <w:rPr>
          <w:rFonts w:hint="eastAsia" w:hAnsi="宋体" w:cs="Arial"/>
          <w:bCs/>
          <w:color w:val="auto"/>
          <w:sz w:val="36"/>
          <w:szCs w:val="36"/>
          <w:highlight w:val="none"/>
          <w:lang w:val="zh-CN"/>
        </w:rPr>
        <w:t>投标供应商业绩</w:t>
      </w:r>
      <w:bookmarkEnd w:id="71"/>
    </w:p>
    <w:tbl>
      <w:tblPr>
        <w:tblStyle w:val="65"/>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1276"/>
        <w:gridCol w:w="1360"/>
        <w:gridCol w:w="1568"/>
        <w:gridCol w:w="1635"/>
        <w:gridCol w:w="1636"/>
        <w:gridCol w:w="1636"/>
      </w:tblGrid>
      <w:tr w14:paraId="1C57A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14:paraId="53485D9D">
            <w:pPr>
              <w:pStyle w:val="34"/>
              <w:adjustRightInd w:val="0"/>
              <w:snapToGrid w:val="0"/>
              <w:spacing w:line="440" w:lineRule="atLeast"/>
              <w:jc w:val="center"/>
              <w:rPr>
                <w:rFonts w:hAnsi="宋体"/>
                <w:color w:val="auto"/>
                <w:sz w:val="22"/>
                <w:szCs w:val="22"/>
                <w:highlight w:val="none"/>
              </w:rPr>
            </w:pPr>
            <w:r>
              <w:rPr>
                <w:rFonts w:hint="eastAsia" w:hAnsi="宋体"/>
                <w:color w:val="auto"/>
                <w:sz w:val="22"/>
                <w:szCs w:val="22"/>
                <w:highlight w:val="none"/>
              </w:rPr>
              <w:t>序号</w:t>
            </w:r>
          </w:p>
        </w:tc>
        <w:tc>
          <w:tcPr>
            <w:tcW w:w="1276" w:type="dxa"/>
            <w:tcBorders>
              <w:right w:val="single" w:color="000000" w:sz="4" w:space="0"/>
            </w:tcBorders>
          </w:tcPr>
          <w:p w14:paraId="3AD563A4">
            <w:pPr>
              <w:pStyle w:val="34"/>
              <w:adjustRightInd w:val="0"/>
              <w:snapToGrid w:val="0"/>
              <w:spacing w:line="440" w:lineRule="atLeast"/>
              <w:jc w:val="center"/>
              <w:rPr>
                <w:rFonts w:hAnsi="宋体"/>
                <w:color w:val="auto"/>
                <w:sz w:val="22"/>
                <w:szCs w:val="22"/>
                <w:highlight w:val="none"/>
              </w:rPr>
            </w:pPr>
            <w:r>
              <w:rPr>
                <w:rFonts w:hint="eastAsia" w:hAnsi="宋体"/>
                <w:color w:val="auto"/>
                <w:sz w:val="22"/>
                <w:szCs w:val="22"/>
                <w:highlight w:val="none"/>
              </w:rPr>
              <w:t>签订时间</w:t>
            </w:r>
          </w:p>
        </w:tc>
        <w:tc>
          <w:tcPr>
            <w:tcW w:w="1360" w:type="dxa"/>
            <w:tcBorders>
              <w:left w:val="single" w:color="000000" w:sz="4" w:space="0"/>
            </w:tcBorders>
          </w:tcPr>
          <w:p w14:paraId="2D8B5D05">
            <w:pPr>
              <w:pStyle w:val="34"/>
              <w:adjustRightInd w:val="0"/>
              <w:snapToGrid w:val="0"/>
              <w:spacing w:line="440" w:lineRule="atLeast"/>
              <w:jc w:val="center"/>
              <w:rPr>
                <w:rFonts w:hAnsi="宋体"/>
                <w:color w:val="auto"/>
                <w:sz w:val="22"/>
                <w:szCs w:val="22"/>
                <w:highlight w:val="none"/>
              </w:rPr>
            </w:pPr>
            <w:r>
              <w:rPr>
                <w:rFonts w:hint="eastAsia" w:hAnsi="宋体"/>
                <w:color w:val="auto"/>
                <w:sz w:val="22"/>
                <w:szCs w:val="22"/>
                <w:highlight w:val="none"/>
              </w:rPr>
              <w:t>用户名称</w:t>
            </w:r>
          </w:p>
        </w:tc>
        <w:tc>
          <w:tcPr>
            <w:tcW w:w="1568" w:type="dxa"/>
          </w:tcPr>
          <w:p w14:paraId="1A7D8CFE">
            <w:pPr>
              <w:pStyle w:val="34"/>
              <w:adjustRightInd w:val="0"/>
              <w:snapToGrid w:val="0"/>
              <w:spacing w:line="440" w:lineRule="atLeast"/>
              <w:jc w:val="center"/>
              <w:rPr>
                <w:rFonts w:hAnsi="宋体"/>
                <w:color w:val="auto"/>
                <w:sz w:val="22"/>
                <w:szCs w:val="22"/>
                <w:highlight w:val="none"/>
              </w:rPr>
            </w:pPr>
            <w:r>
              <w:rPr>
                <w:rFonts w:hint="eastAsia" w:hAnsi="宋体"/>
                <w:color w:val="auto"/>
                <w:sz w:val="22"/>
                <w:szCs w:val="22"/>
                <w:highlight w:val="none"/>
              </w:rPr>
              <w:t>合同金额</w:t>
            </w:r>
          </w:p>
        </w:tc>
        <w:tc>
          <w:tcPr>
            <w:tcW w:w="1635" w:type="dxa"/>
          </w:tcPr>
          <w:p w14:paraId="056C960F">
            <w:pPr>
              <w:pStyle w:val="34"/>
              <w:adjustRightInd w:val="0"/>
              <w:snapToGrid w:val="0"/>
              <w:spacing w:line="440" w:lineRule="atLeast"/>
              <w:jc w:val="center"/>
              <w:rPr>
                <w:rFonts w:hAnsi="宋体"/>
                <w:color w:val="auto"/>
                <w:sz w:val="22"/>
                <w:szCs w:val="22"/>
                <w:highlight w:val="none"/>
              </w:rPr>
            </w:pPr>
            <w:r>
              <w:rPr>
                <w:rFonts w:hint="eastAsia" w:hAnsi="宋体"/>
                <w:color w:val="auto"/>
                <w:sz w:val="22"/>
                <w:szCs w:val="22"/>
                <w:highlight w:val="none"/>
              </w:rPr>
              <w:t>联系人</w:t>
            </w:r>
          </w:p>
        </w:tc>
        <w:tc>
          <w:tcPr>
            <w:tcW w:w="1636" w:type="dxa"/>
          </w:tcPr>
          <w:p w14:paraId="77615F51">
            <w:pPr>
              <w:pStyle w:val="34"/>
              <w:adjustRightInd w:val="0"/>
              <w:snapToGrid w:val="0"/>
              <w:spacing w:line="440" w:lineRule="atLeast"/>
              <w:jc w:val="center"/>
              <w:rPr>
                <w:rFonts w:hAnsi="宋体"/>
                <w:color w:val="auto"/>
                <w:sz w:val="22"/>
                <w:szCs w:val="22"/>
                <w:highlight w:val="none"/>
              </w:rPr>
            </w:pPr>
            <w:r>
              <w:rPr>
                <w:rFonts w:hint="eastAsia" w:hAnsi="宋体"/>
                <w:color w:val="auto"/>
                <w:sz w:val="22"/>
                <w:szCs w:val="22"/>
                <w:highlight w:val="none"/>
              </w:rPr>
              <w:t>联系电话</w:t>
            </w:r>
          </w:p>
        </w:tc>
        <w:tc>
          <w:tcPr>
            <w:tcW w:w="1636" w:type="dxa"/>
          </w:tcPr>
          <w:p w14:paraId="2D81C9B8">
            <w:pPr>
              <w:pStyle w:val="34"/>
              <w:adjustRightInd w:val="0"/>
              <w:snapToGrid w:val="0"/>
              <w:spacing w:line="440" w:lineRule="atLeast"/>
              <w:jc w:val="center"/>
              <w:rPr>
                <w:rFonts w:hAnsi="宋体"/>
                <w:color w:val="auto"/>
                <w:sz w:val="22"/>
                <w:szCs w:val="22"/>
                <w:highlight w:val="none"/>
              </w:rPr>
            </w:pPr>
            <w:r>
              <w:rPr>
                <w:rFonts w:hint="eastAsia" w:hAnsi="宋体"/>
                <w:color w:val="auto"/>
                <w:sz w:val="22"/>
                <w:szCs w:val="22"/>
                <w:highlight w:val="none"/>
              </w:rPr>
              <w:t>备注</w:t>
            </w:r>
          </w:p>
        </w:tc>
      </w:tr>
      <w:tr w14:paraId="224D4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14:paraId="384B4B79">
            <w:pPr>
              <w:pStyle w:val="34"/>
              <w:adjustRightInd w:val="0"/>
              <w:snapToGrid w:val="0"/>
              <w:spacing w:line="440" w:lineRule="atLeast"/>
              <w:rPr>
                <w:rFonts w:hAnsi="宋体"/>
                <w:color w:val="auto"/>
                <w:sz w:val="22"/>
                <w:szCs w:val="22"/>
                <w:highlight w:val="none"/>
              </w:rPr>
            </w:pPr>
          </w:p>
        </w:tc>
        <w:tc>
          <w:tcPr>
            <w:tcW w:w="1276" w:type="dxa"/>
            <w:tcBorders>
              <w:right w:val="single" w:color="000000" w:sz="4" w:space="0"/>
            </w:tcBorders>
          </w:tcPr>
          <w:p w14:paraId="2F267643">
            <w:pPr>
              <w:pStyle w:val="34"/>
              <w:adjustRightInd w:val="0"/>
              <w:snapToGrid w:val="0"/>
              <w:spacing w:line="440" w:lineRule="atLeast"/>
              <w:rPr>
                <w:rFonts w:hAnsi="宋体"/>
                <w:color w:val="auto"/>
                <w:sz w:val="22"/>
                <w:szCs w:val="22"/>
                <w:highlight w:val="none"/>
              </w:rPr>
            </w:pPr>
          </w:p>
        </w:tc>
        <w:tc>
          <w:tcPr>
            <w:tcW w:w="1360" w:type="dxa"/>
            <w:tcBorders>
              <w:left w:val="single" w:color="000000" w:sz="4" w:space="0"/>
            </w:tcBorders>
          </w:tcPr>
          <w:p w14:paraId="0EF152D0">
            <w:pPr>
              <w:pStyle w:val="34"/>
              <w:adjustRightInd w:val="0"/>
              <w:snapToGrid w:val="0"/>
              <w:spacing w:line="440" w:lineRule="atLeast"/>
              <w:rPr>
                <w:rFonts w:hAnsi="宋体"/>
                <w:color w:val="auto"/>
                <w:sz w:val="22"/>
                <w:szCs w:val="22"/>
                <w:highlight w:val="none"/>
              </w:rPr>
            </w:pPr>
          </w:p>
        </w:tc>
        <w:tc>
          <w:tcPr>
            <w:tcW w:w="1568" w:type="dxa"/>
          </w:tcPr>
          <w:p w14:paraId="1A5846C9">
            <w:pPr>
              <w:pStyle w:val="34"/>
              <w:adjustRightInd w:val="0"/>
              <w:snapToGrid w:val="0"/>
              <w:spacing w:line="440" w:lineRule="atLeast"/>
              <w:rPr>
                <w:rFonts w:hAnsi="宋体"/>
                <w:color w:val="auto"/>
                <w:sz w:val="22"/>
                <w:szCs w:val="22"/>
                <w:highlight w:val="none"/>
              </w:rPr>
            </w:pPr>
          </w:p>
        </w:tc>
        <w:tc>
          <w:tcPr>
            <w:tcW w:w="1635" w:type="dxa"/>
          </w:tcPr>
          <w:p w14:paraId="262D8879">
            <w:pPr>
              <w:pStyle w:val="34"/>
              <w:adjustRightInd w:val="0"/>
              <w:snapToGrid w:val="0"/>
              <w:spacing w:line="440" w:lineRule="atLeast"/>
              <w:rPr>
                <w:rFonts w:hAnsi="宋体"/>
                <w:color w:val="auto"/>
                <w:sz w:val="22"/>
                <w:szCs w:val="22"/>
                <w:highlight w:val="none"/>
              </w:rPr>
            </w:pPr>
          </w:p>
        </w:tc>
        <w:tc>
          <w:tcPr>
            <w:tcW w:w="1636" w:type="dxa"/>
          </w:tcPr>
          <w:p w14:paraId="6A13D7AC">
            <w:pPr>
              <w:pStyle w:val="34"/>
              <w:adjustRightInd w:val="0"/>
              <w:snapToGrid w:val="0"/>
              <w:spacing w:line="440" w:lineRule="atLeast"/>
              <w:rPr>
                <w:rFonts w:hAnsi="宋体"/>
                <w:color w:val="auto"/>
                <w:sz w:val="22"/>
                <w:szCs w:val="22"/>
                <w:highlight w:val="none"/>
              </w:rPr>
            </w:pPr>
          </w:p>
        </w:tc>
        <w:tc>
          <w:tcPr>
            <w:tcW w:w="1636" w:type="dxa"/>
          </w:tcPr>
          <w:p w14:paraId="134D5A90">
            <w:pPr>
              <w:pStyle w:val="34"/>
              <w:adjustRightInd w:val="0"/>
              <w:snapToGrid w:val="0"/>
              <w:spacing w:line="440" w:lineRule="atLeast"/>
              <w:rPr>
                <w:rFonts w:hAnsi="宋体"/>
                <w:color w:val="auto"/>
                <w:sz w:val="22"/>
                <w:szCs w:val="22"/>
                <w:highlight w:val="none"/>
              </w:rPr>
            </w:pPr>
          </w:p>
        </w:tc>
      </w:tr>
      <w:tr w14:paraId="0A153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09" w:type="dxa"/>
          </w:tcPr>
          <w:p w14:paraId="4B85D518">
            <w:pPr>
              <w:pStyle w:val="34"/>
              <w:adjustRightInd w:val="0"/>
              <w:snapToGrid w:val="0"/>
              <w:spacing w:line="440" w:lineRule="atLeast"/>
              <w:rPr>
                <w:rFonts w:hAnsi="宋体"/>
                <w:color w:val="auto"/>
                <w:sz w:val="22"/>
                <w:szCs w:val="22"/>
                <w:highlight w:val="none"/>
              </w:rPr>
            </w:pPr>
          </w:p>
        </w:tc>
        <w:tc>
          <w:tcPr>
            <w:tcW w:w="1276" w:type="dxa"/>
            <w:tcBorders>
              <w:right w:val="single" w:color="000000" w:sz="4" w:space="0"/>
            </w:tcBorders>
          </w:tcPr>
          <w:p w14:paraId="167C80EA">
            <w:pPr>
              <w:pStyle w:val="34"/>
              <w:adjustRightInd w:val="0"/>
              <w:snapToGrid w:val="0"/>
              <w:spacing w:line="440" w:lineRule="atLeast"/>
              <w:rPr>
                <w:rFonts w:hAnsi="宋体"/>
                <w:color w:val="auto"/>
                <w:sz w:val="22"/>
                <w:szCs w:val="22"/>
                <w:highlight w:val="none"/>
              </w:rPr>
            </w:pPr>
          </w:p>
        </w:tc>
        <w:tc>
          <w:tcPr>
            <w:tcW w:w="1360" w:type="dxa"/>
            <w:tcBorders>
              <w:left w:val="single" w:color="000000" w:sz="4" w:space="0"/>
            </w:tcBorders>
          </w:tcPr>
          <w:p w14:paraId="255FFD27">
            <w:pPr>
              <w:pStyle w:val="34"/>
              <w:adjustRightInd w:val="0"/>
              <w:snapToGrid w:val="0"/>
              <w:spacing w:line="440" w:lineRule="atLeast"/>
              <w:rPr>
                <w:rFonts w:hAnsi="宋体"/>
                <w:color w:val="auto"/>
                <w:sz w:val="22"/>
                <w:szCs w:val="22"/>
                <w:highlight w:val="none"/>
              </w:rPr>
            </w:pPr>
          </w:p>
        </w:tc>
        <w:tc>
          <w:tcPr>
            <w:tcW w:w="1568" w:type="dxa"/>
          </w:tcPr>
          <w:p w14:paraId="6DA6A86C">
            <w:pPr>
              <w:pStyle w:val="34"/>
              <w:adjustRightInd w:val="0"/>
              <w:snapToGrid w:val="0"/>
              <w:spacing w:line="440" w:lineRule="atLeast"/>
              <w:rPr>
                <w:rFonts w:hAnsi="宋体"/>
                <w:color w:val="auto"/>
                <w:sz w:val="22"/>
                <w:szCs w:val="22"/>
                <w:highlight w:val="none"/>
              </w:rPr>
            </w:pPr>
          </w:p>
        </w:tc>
        <w:tc>
          <w:tcPr>
            <w:tcW w:w="1635" w:type="dxa"/>
          </w:tcPr>
          <w:p w14:paraId="68500664">
            <w:pPr>
              <w:pStyle w:val="34"/>
              <w:adjustRightInd w:val="0"/>
              <w:snapToGrid w:val="0"/>
              <w:spacing w:line="440" w:lineRule="atLeast"/>
              <w:rPr>
                <w:rFonts w:hAnsi="宋体"/>
                <w:color w:val="auto"/>
                <w:sz w:val="22"/>
                <w:szCs w:val="22"/>
                <w:highlight w:val="none"/>
              </w:rPr>
            </w:pPr>
          </w:p>
        </w:tc>
        <w:tc>
          <w:tcPr>
            <w:tcW w:w="1636" w:type="dxa"/>
          </w:tcPr>
          <w:p w14:paraId="1FAEB2DE">
            <w:pPr>
              <w:pStyle w:val="34"/>
              <w:adjustRightInd w:val="0"/>
              <w:snapToGrid w:val="0"/>
              <w:spacing w:line="440" w:lineRule="atLeast"/>
              <w:rPr>
                <w:rFonts w:hAnsi="宋体"/>
                <w:color w:val="auto"/>
                <w:sz w:val="22"/>
                <w:szCs w:val="22"/>
                <w:highlight w:val="none"/>
              </w:rPr>
            </w:pPr>
          </w:p>
        </w:tc>
        <w:tc>
          <w:tcPr>
            <w:tcW w:w="1636" w:type="dxa"/>
          </w:tcPr>
          <w:p w14:paraId="0115C437">
            <w:pPr>
              <w:pStyle w:val="34"/>
              <w:adjustRightInd w:val="0"/>
              <w:snapToGrid w:val="0"/>
              <w:spacing w:line="440" w:lineRule="atLeast"/>
              <w:rPr>
                <w:rFonts w:hAnsi="宋体"/>
                <w:color w:val="auto"/>
                <w:sz w:val="22"/>
                <w:szCs w:val="22"/>
                <w:highlight w:val="none"/>
              </w:rPr>
            </w:pPr>
          </w:p>
        </w:tc>
      </w:tr>
      <w:tr w14:paraId="2264D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14:paraId="0CEB38A2">
            <w:pPr>
              <w:pStyle w:val="34"/>
              <w:adjustRightInd w:val="0"/>
              <w:snapToGrid w:val="0"/>
              <w:spacing w:line="440" w:lineRule="atLeast"/>
              <w:rPr>
                <w:rFonts w:hAnsi="宋体"/>
                <w:color w:val="auto"/>
                <w:sz w:val="22"/>
                <w:szCs w:val="22"/>
                <w:highlight w:val="none"/>
              </w:rPr>
            </w:pPr>
          </w:p>
        </w:tc>
        <w:tc>
          <w:tcPr>
            <w:tcW w:w="1276" w:type="dxa"/>
            <w:tcBorders>
              <w:right w:val="single" w:color="000000" w:sz="4" w:space="0"/>
            </w:tcBorders>
          </w:tcPr>
          <w:p w14:paraId="28630885">
            <w:pPr>
              <w:pStyle w:val="34"/>
              <w:adjustRightInd w:val="0"/>
              <w:snapToGrid w:val="0"/>
              <w:spacing w:line="440" w:lineRule="atLeast"/>
              <w:rPr>
                <w:rFonts w:hAnsi="宋体"/>
                <w:color w:val="auto"/>
                <w:sz w:val="22"/>
                <w:szCs w:val="22"/>
                <w:highlight w:val="none"/>
              </w:rPr>
            </w:pPr>
          </w:p>
        </w:tc>
        <w:tc>
          <w:tcPr>
            <w:tcW w:w="1360" w:type="dxa"/>
            <w:tcBorders>
              <w:left w:val="single" w:color="000000" w:sz="4" w:space="0"/>
            </w:tcBorders>
          </w:tcPr>
          <w:p w14:paraId="5CF9F3ED">
            <w:pPr>
              <w:pStyle w:val="34"/>
              <w:adjustRightInd w:val="0"/>
              <w:snapToGrid w:val="0"/>
              <w:spacing w:line="440" w:lineRule="atLeast"/>
              <w:rPr>
                <w:rFonts w:hAnsi="宋体"/>
                <w:color w:val="auto"/>
                <w:sz w:val="22"/>
                <w:szCs w:val="22"/>
                <w:highlight w:val="none"/>
              </w:rPr>
            </w:pPr>
          </w:p>
        </w:tc>
        <w:tc>
          <w:tcPr>
            <w:tcW w:w="1568" w:type="dxa"/>
          </w:tcPr>
          <w:p w14:paraId="1DC3811A">
            <w:pPr>
              <w:pStyle w:val="34"/>
              <w:adjustRightInd w:val="0"/>
              <w:snapToGrid w:val="0"/>
              <w:spacing w:line="440" w:lineRule="atLeast"/>
              <w:rPr>
                <w:rFonts w:hAnsi="宋体"/>
                <w:color w:val="auto"/>
                <w:sz w:val="22"/>
                <w:szCs w:val="22"/>
                <w:highlight w:val="none"/>
              </w:rPr>
            </w:pPr>
          </w:p>
        </w:tc>
        <w:tc>
          <w:tcPr>
            <w:tcW w:w="1635" w:type="dxa"/>
          </w:tcPr>
          <w:p w14:paraId="7618E680">
            <w:pPr>
              <w:pStyle w:val="34"/>
              <w:adjustRightInd w:val="0"/>
              <w:snapToGrid w:val="0"/>
              <w:spacing w:line="440" w:lineRule="atLeast"/>
              <w:rPr>
                <w:rFonts w:hAnsi="宋体"/>
                <w:color w:val="auto"/>
                <w:sz w:val="22"/>
                <w:szCs w:val="22"/>
                <w:highlight w:val="none"/>
              </w:rPr>
            </w:pPr>
          </w:p>
        </w:tc>
        <w:tc>
          <w:tcPr>
            <w:tcW w:w="1636" w:type="dxa"/>
          </w:tcPr>
          <w:p w14:paraId="62F10229">
            <w:pPr>
              <w:pStyle w:val="34"/>
              <w:adjustRightInd w:val="0"/>
              <w:snapToGrid w:val="0"/>
              <w:spacing w:line="440" w:lineRule="atLeast"/>
              <w:rPr>
                <w:rFonts w:hAnsi="宋体"/>
                <w:color w:val="auto"/>
                <w:sz w:val="22"/>
                <w:szCs w:val="22"/>
                <w:highlight w:val="none"/>
              </w:rPr>
            </w:pPr>
          </w:p>
        </w:tc>
        <w:tc>
          <w:tcPr>
            <w:tcW w:w="1636" w:type="dxa"/>
          </w:tcPr>
          <w:p w14:paraId="269426DE">
            <w:pPr>
              <w:pStyle w:val="34"/>
              <w:adjustRightInd w:val="0"/>
              <w:snapToGrid w:val="0"/>
              <w:spacing w:line="440" w:lineRule="atLeast"/>
              <w:rPr>
                <w:rFonts w:hAnsi="宋体"/>
                <w:color w:val="auto"/>
                <w:sz w:val="22"/>
                <w:szCs w:val="22"/>
                <w:highlight w:val="none"/>
              </w:rPr>
            </w:pPr>
          </w:p>
        </w:tc>
      </w:tr>
      <w:tr w14:paraId="6DDF3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14:paraId="7EC24118">
            <w:pPr>
              <w:pStyle w:val="34"/>
              <w:adjustRightInd w:val="0"/>
              <w:snapToGrid w:val="0"/>
              <w:spacing w:line="440" w:lineRule="atLeast"/>
              <w:rPr>
                <w:rFonts w:hAnsi="宋体"/>
                <w:color w:val="auto"/>
                <w:sz w:val="22"/>
                <w:szCs w:val="22"/>
                <w:highlight w:val="none"/>
              </w:rPr>
            </w:pPr>
          </w:p>
        </w:tc>
        <w:tc>
          <w:tcPr>
            <w:tcW w:w="1276" w:type="dxa"/>
            <w:tcBorders>
              <w:right w:val="single" w:color="000000" w:sz="4" w:space="0"/>
            </w:tcBorders>
          </w:tcPr>
          <w:p w14:paraId="3705401D">
            <w:pPr>
              <w:pStyle w:val="34"/>
              <w:adjustRightInd w:val="0"/>
              <w:snapToGrid w:val="0"/>
              <w:spacing w:line="440" w:lineRule="atLeast"/>
              <w:rPr>
                <w:rFonts w:hAnsi="宋体"/>
                <w:color w:val="auto"/>
                <w:sz w:val="22"/>
                <w:szCs w:val="22"/>
                <w:highlight w:val="none"/>
              </w:rPr>
            </w:pPr>
          </w:p>
        </w:tc>
        <w:tc>
          <w:tcPr>
            <w:tcW w:w="1360" w:type="dxa"/>
            <w:tcBorders>
              <w:left w:val="single" w:color="000000" w:sz="4" w:space="0"/>
            </w:tcBorders>
          </w:tcPr>
          <w:p w14:paraId="4B2B311B">
            <w:pPr>
              <w:pStyle w:val="34"/>
              <w:adjustRightInd w:val="0"/>
              <w:snapToGrid w:val="0"/>
              <w:spacing w:line="440" w:lineRule="atLeast"/>
              <w:rPr>
                <w:rFonts w:hAnsi="宋体"/>
                <w:color w:val="auto"/>
                <w:sz w:val="22"/>
                <w:szCs w:val="22"/>
                <w:highlight w:val="none"/>
              </w:rPr>
            </w:pPr>
          </w:p>
        </w:tc>
        <w:tc>
          <w:tcPr>
            <w:tcW w:w="1568" w:type="dxa"/>
          </w:tcPr>
          <w:p w14:paraId="083F60E6">
            <w:pPr>
              <w:pStyle w:val="34"/>
              <w:adjustRightInd w:val="0"/>
              <w:snapToGrid w:val="0"/>
              <w:spacing w:line="440" w:lineRule="atLeast"/>
              <w:rPr>
                <w:rFonts w:hAnsi="宋体"/>
                <w:color w:val="auto"/>
                <w:sz w:val="22"/>
                <w:szCs w:val="22"/>
                <w:highlight w:val="none"/>
              </w:rPr>
            </w:pPr>
          </w:p>
        </w:tc>
        <w:tc>
          <w:tcPr>
            <w:tcW w:w="1635" w:type="dxa"/>
          </w:tcPr>
          <w:p w14:paraId="3DBCB847">
            <w:pPr>
              <w:pStyle w:val="34"/>
              <w:adjustRightInd w:val="0"/>
              <w:snapToGrid w:val="0"/>
              <w:spacing w:line="440" w:lineRule="atLeast"/>
              <w:rPr>
                <w:rFonts w:hAnsi="宋体"/>
                <w:color w:val="auto"/>
                <w:sz w:val="22"/>
                <w:szCs w:val="22"/>
                <w:highlight w:val="none"/>
              </w:rPr>
            </w:pPr>
          </w:p>
        </w:tc>
        <w:tc>
          <w:tcPr>
            <w:tcW w:w="1636" w:type="dxa"/>
          </w:tcPr>
          <w:p w14:paraId="79601C47">
            <w:pPr>
              <w:pStyle w:val="34"/>
              <w:adjustRightInd w:val="0"/>
              <w:snapToGrid w:val="0"/>
              <w:spacing w:line="440" w:lineRule="atLeast"/>
              <w:rPr>
                <w:rFonts w:hAnsi="宋体"/>
                <w:color w:val="auto"/>
                <w:sz w:val="22"/>
                <w:szCs w:val="22"/>
                <w:highlight w:val="none"/>
              </w:rPr>
            </w:pPr>
          </w:p>
        </w:tc>
        <w:tc>
          <w:tcPr>
            <w:tcW w:w="1636" w:type="dxa"/>
          </w:tcPr>
          <w:p w14:paraId="3FC0D2C1">
            <w:pPr>
              <w:pStyle w:val="34"/>
              <w:adjustRightInd w:val="0"/>
              <w:snapToGrid w:val="0"/>
              <w:spacing w:line="440" w:lineRule="atLeast"/>
              <w:rPr>
                <w:rFonts w:hAnsi="宋体"/>
                <w:color w:val="auto"/>
                <w:sz w:val="22"/>
                <w:szCs w:val="22"/>
                <w:highlight w:val="none"/>
              </w:rPr>
            </w:pPr>
          </w:p>
        </w:tc>
      </w:tr>
      <w:tr w14:paraId="03CFD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09" w:type="dxa"/>
          </w:tcPr>
          <w:p w14:paraId="6C6C5BAE">
            <w:pPr>
              <w:pStyle w:val="34"/>
              <w:adjustRightInd w:val="0"/>
              <w:snapToGrid w:val="0"/>
              <w:spacing w:line="440" w:lineRule="atLeast"/>
              <w:rPr>
                <w:rFonts w:hAnsi="宋体"/>
                <w:color w:val="auto"/>
                <w:sz w:val="22"/>
                <w:szCs w:val="22"/>
                <w:highlight w:val="none"/>
              </w:rPr>
            </w:pPr>
          </w:p>
        </w:tc>
        <w:tc>
          <w:tcPr>
            <w:tcW w:w="1276" w:type="dxa"/>
            <w:tcBorders>
              <w:right w:val="single" w:color="000000" w:sz="4" w:space="0"/>
            </w:tcBorders>
          </w:tcPr>
          <w:p w14:paraId="18E7310D">
            <w:pPr>
              <w:pStyle w:val="34"/>
              <w:adjustRightInd w:val="0"/>
              <w:snapToGrid w:val="0"/>
              <w:spacing w:line="440" w:lineRule="atLeast"/>
              <w:rPr>
                <w:rFonts w:hAnsi="宋体"/>
                <w:color w:val="auto"/>
                <w:sz w:val="22"/>
                <w:szCs w:val="22"/>
                <w:highlight w:val="none"/>
              </w:rPr>
            </w:pPr>
          </w:p>
        </w:tc>
        <w:tc>
          <w:tcPr>
            <w:tcW w:w="1360" w:type="dxa"/>
            <w:tcBorders>
              <w:left w:val="single" w:color="000000" w:sz="4" w:space="0"/>
            </w:tcBorders>
          </w:tcPr>
          <w:p w14:paraId="531F32FE">
            <w:pPr>
              <w:pStyle w:val="34"/>
              <w:adjustRightInd w:val="0"/>
              <w:snapToGrid w:val="0"/>
              <w:spacing w:line="440" w:lineRule="atLeast"/>
              <w:rPr>
                <w:rFonts w:hAnsi="宋体"/>
                <w:color w:val="auto"/>
                <w:sz w:val="22"/>
                <w:szCs w:val="22"/>
                <w:highlight w:val="none"/>
              </w:rPr>
            </w:pPr>
          </w:p>
        </w:tc>
        <w:tc>
          <w:tcPr>
            <w:tcW w:w="1568" w:type="dxa"/>
          </w:tcPr>
          <w:p w14:paraId="4A612EDF">
            <w:pPr>
              <w:pStyle w:val="34"/>
              <w:adjustRightInd w:val="0"/>
              <w:snapToGrid w:val="0"/>
              <w:spacing w:line="440" w:lineRule="atLeast"/>
              <w:rPr>
                <w:rFonts w:hAnsi="宋体"/>
                <w:color w:val="auto"/>
                <w:sz w:val="22"/>
                <w:szCs w:val="22"/>
                <w:highlight w:val="none"/>
              </w:rPr>
            </w:pPr>
          </w:p>
        </w:tc>
        <w:tc>
          <w:tcPr>
            <w:tcW w:w="1635" w:type="dxa"/>
          </w:tcPr>
          <w:p w14:paraId="197091D9">
            <w:pPr>
              <w:pStyle w:val="34"/>
              <w:adjustRightInd w:val="0"/>
              <w:snapToGrid w:val="0"/>
              <w:spacing w:line="440" w:lineRule="atLeast"/>
              <w:rPr>
                <w:rFonts w:hAnsi="宋体"/>
                <w:color w:val="auto"/>
                <w:sz w:val="22"/>
                <w:szCs w:val="22"/>
                <w:highlight w:val="none"/>
              </w:rPr>
            </w:pPr>
          </w:p>
        </w:tc>
        <w:tc>
          <w:tcPr>
            <w:tcW w:w="1636" w:type="dxa"/>
          </w:tcPr>
          <w:p w14:paraId="4B1EE63B">
            <w:pPr>
              <w:pStyle w:val="34"/>
              <w:adjustRightInd w:val="0"/>
              <w:snapToGrid w:val="0"/>
              <w:spacing w:line="440" w:lineRule="atLeast"/>
              <w:rPr>
                <w:rFonts w:hAnsi="宋体"/>
                <w:color w:val="auto"/>
                <w:sz w:val="22"/>
                <w:szCs w:val="22"/>
                <w:highlight w:val="none"/>
              </w:rPr>
            </w:pPr>
          </w:p>
        </w:tc>
        <w:tc>
          <w:tcPr>
            <w:tcW w:w="1636" w:type="dxa"/>
          </w:tcPr>
          <w:p w14:paraId="49AAEF48">
            <w:pPr>
              <w:pStyle w:val="34"/>
              <w:adjustRightInd w:val="0"/>
              <w:snapToGrid w:val="0"/>
              <w:spacing w:line="440" w:lineRule="atLeast"/>
              <w:rPr>
                <w:rFonts w:hAnsi="宋体"/>
                <w:color w:val="auto"/>
                <w:sz w:val="22"/>
                <w:szCs w:val="22"/>
                <w:highlight w:val="none"/>
              </w:rPr>
            </w:pPr>
          </w:p>
        </w:tc>
      </w:tr>
      <w:tr w14:paraId="4CA78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14:paraId="379C4F6C">
            <w:pPr>
              <w:pStyle w:val="34"/>
              <w:adjustRightInd w:val="0"/>
              <w:snapToGrid w:val="0"/>
              <w:spacing w:line="440" w:lineRule="atLeast"/>
              <w:rPr>
                <w:rFonts w:hAnsi="宋体"/>
                <w:color w:val="auto"/>
                <w:sz w:val="22"/>
                <w:szCs w:val="22"/>
                <w:highlight w:val="none"/>
              </w:rPr>
            </w:pPr>
          </w:p>
        </w:tc>
        <w:tc>
          <w:tcPr>
            <w:tcW w:w="1276" w:type="dxa"/>
            <w:tcBorders>
              <w:right w:val="single" w:color="000000" w:sz="4" w:space="0"/>
            </w:tcBorders>
          </w:tcPr>
          <w:p w14:paraId="1C59B65B">
            <w:pPr>
              <w:pStyle w:val="34"/>
              <w:adjustRightInd w:val="0"/>
              <w:snapToGrid w:val="0"/>
              <w:spacing w:line="440" w:lineRule="atLeast"/>
              <w:rPr>
                <w:rFonts w:hAnsi="宋体"/>
                <w:color w:val="auto"/>
                <w:sz w:val="22"/>
                <w:szCs w:val="22"/>
                <w:highlight w:val="none"/>
              </w:rPr>
            </w:pPr>
          </w:p>
        </w:tc>
        <w:tc>
          <w:tcPr>
            <w:tcW w:w="1360" w:type="dxa"/>
            <w:tcBorders>
              <w:left w:val="single" w:color="000000" w:sz="4" w:space="0"/>
            </w:tcBorders>
          </w:tcPr>
          <w:p w14:paraId="6527E452">
            <w:pPr>
              <w:pStyle w:val="34"/>
              <w:adjustRightInd w:val="0"/>
              <w:snapToGrid w:val="0"/>
              <w:spacing w:line="440" w:lineRule="atLeast"/>
              <w:rPr>
                <w:rFonts w:hAnsi="宋体"/>
                <w:color w:val="auto"/>
                <w:sz w:val="22"/>
                <w:szCs w:val="22"/>
                <w:highlight w:val="none"/>
              </w:rPr>
            </w:pPr>
          </w:p>
        </w:tc>
        <w:tc>
          <w:tcPr>
            <w:tcW w:w="1568" w:type="dxa"/>
          </w:tcPr>
          <w:p w14:paraId="5D3DF6A0">
            <w:pPr>
              <w:pStyle w:val="34"/>
              <w:adjustRightInd w:val="0"/>
              <w:snapToGrid w:val="0"/>
              <w:spacing w:line="440" w:lineRule="atLeast"/>
              <w:rPr>
                <w:rFonts w:hAnsi="宋体"/>
                <w:color w:val="auto"/>
                <w:sz w:val="22"/>
                <w:szCs w:val="22"/>
                <w:highlight w:val="none"/>
              </w:rPr>
            </w:pPr>
          </w:p>
        </w:tc>
        <w:tc>
          <w:tcPr>
            <w:tcW w:w="1635" w:type="dxa"/>
          </w:tcPr>
          <w:p w14:paraId="7A04378A">
            <w:pPr>
              <w:pStyle w:val="34"/>
              <w:adjustRightInd w:val="0"/>
              <w:snapToGrid w:val="0"/>
              <w:spacing w:line="440" w:lineRule="atLeast"/>
              <w:rPr>
                <w:rFonts w:hAnsi="宋体"/>
                <w:color w:val="auto"/>
                <w:sz w:val="22"/>
                <w:szCs w:val="22"/>
                <w:highlight w:val="none"/>
              </w:rPr>
            </w:pPr>
          </w:p>
        </w:tc>
        <w:tc>
          <w:tcPr>
            <w:tcW w:w="1636" w:type="dxa"/>
          </w:tcPr>
          <w:p w14:paraId="55C9A4B6">
            <w:pPr>
              <w:pStyle w:val="34"/>
              <w:adjustRightInd w:val="0"/>
              <w:snapToGrid w:val="0"/>
              <w:spacing w:line="440" w:lineRule="atLeast"/>
              <w:rPr>
                <w:rFonts w:hAnsi="宋体"/>
                <w:color w:val="auto"/>
                <w:sz w:val="22"/>
                <w:szCs w:val="22"/>
                <w:highlight w:val="none"/>
              </w:rPr>
            </w:pPr>
          </w:p>
        </w:tc>
        <w:tc>
          <w:tcPr>
            <w:tcW w:w="1636" w:type="dxa"/>
          </w:tcPr>
          <w:p w14:paraId="2A12FF5B">
            <w:pPr>
              <w:pStyle w:val="34"/>
              <w:adjustRightInd w:val="0"/>
              <w:snapToGrid w:val="0"/>
              <w:spacing w:line="440" w:lineRule="atLeast"/>
              <w:rPr>
                <w:rFonts w:hAnsi="宋体"/>
                <w:color w:val="auto"/>
                <w:sz w:val="22"/>
                <w:szCs w:val="22"/>
                <w:highlight w:val="none"/>
              </w:rPr>
            </w:pPr>
          </w:p>
        </w:tc>
      </w:tr>
      <w:tr w14:paraId="0E57E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14:paraId="761D992A">
            <w:pPr>
              <w:pStyle w:val="34"/>
              <w:adjustRightInd w:val="0"/>
              <w:snapToGrid w:val="0"/>
              <w:spacing w:line="440" w:lineRule="atLeast"/>
              <w:rPr>
                <w:rFonts w:hAnsi="宋体"/>
                <w:color w:val="auto"/>
                <w:sz w:val="22"/>
                <w:szCs w:val="22"/>
                <w:highlight w:val="none"/>
              </w:rPr>
            </w:pPr>
          </w:p>
        </w:tc>
        <w:tc>
          <w:tcPr>
            <w:tcW w:w="1276" w:type="dxa"/>
            <w:tcBorders>
              <w:right w:val="single" w:color="000000" w:sz="4" w:space="0"/>
            </w:tcBorders>
          </w:tcPr>
          <w:p w14:paraId="49F578C7">
            <w:pPr>
              <w:pStyle w:val="34"/>
              <w:adjustRightInd w:val="0"/>
              <w:snapToGrid w:val="0"/>
              <w:spacing w:line="440" w:lineRule="atLeast"/>
              <w:rPr>
                <w:rFonts w:hAnsi="宋体"/>
                <w:color w:val="auto"/>
                <w:sz w:val="22"/>
                <w:szCs w:val="22"/>
                <w:highlight w:val="none"/>
              </w:rPr>
            </w:pPr>
          </w:p>
        </w:tc>
        <w:tc>
          <w:tcPr>
            <w:tcW w:w="1360" w:type="dxa"/>
            <w:tcBorders>
              <w:left w:val="single" w:color="000000" w:sz="4" w:space="0"/>
            </w:tcBorders>
          </w:tcPr>
          <w:p w14:paraId="67984340">
            <w:pPr>
              <w:pStyle w:val="34"/>
              <w:adjustRightInd w:val="0"/>
              <w:snapToGrid w:val="0"/>
              <w:spacing w:line="440" w:lineRule="atLeast"/>
              <w:rPr>
                <w:rFonts w:hAnsi="宋体"/>
                <w:color w:val="auto"/>
                <w:sz w:val="22"/>
                <w:szCs w:val="22"/>
                <w:highlight w:val="none"/>
              </w:rPr>
            </w:pPr>
          </w:p>
        </w:tc>
        <w:tc>
          <w:tcPr>
            <w:tcW w:w="1568" w:type="dxa"/>
          </w:tcPr>
          <w:p w14:paraId="5F3D2B30">
            <w:pPr>
              <w:pStyle w:val="34"/>
              <w:adjustRightInd w:val="0"/>
              <w:snapToGrid w:val="0"/>
              <w:spacing w:line="440" w:lineRule="atLeast"/>
              <w:rPr>
                <w:rFonts w:hAnsi="宋体"/>
                <w:color w:val="auto"/>
                <w:sz w:val="22"/>
                <w:szCs w:val="22"/>
                <w:highlight w:val="none"/>
              </w:rPr>
            </w:pPr>
          </w:p>
        </w:tc>
        <w:tc>
          <w:tcPr>
            <w:tcW w:w="1635" w:type="dxa"/>
          </w:tcPr>
          <w:p w14:paraId="00C40978">
            <w:pPr>
              <w:pStyle w:val="34"/>
              <w:adjustRightInd w:val="0"/>
              <w:snapToGrid w:val="0"/>
              <w:spacing w:line="440" w:lineRule="atLeast"/>
              <w:rPr>
                <w:rFonts w:hAnsi="宋体"/>
                <w:color w:val="auto"/>
                <w:sz w:val="22"/>
                <w:szCs w:val="22"/>
                <w:highlight w:val="none"/>
              </w:rPr>
            </w:pPr>
          </w:p>
        </w:tc>
        <w:tc>
          <w:tcPr>
            <w:tcW w:w="1636" w:type="dxa"/>
          </w:tcPr>
          <w:p w14:paraId="32B79E77">
            <w:pPr>
              <w:pStyle w:val="34"/>
              <w:adjustRightInd w:val="0"/>
              <w:snapToGrid w:val="0"/>
              <w:spacing w:line="440" w:lineRule="atLeast"/>
              <w:rPr>
                <w:rFonts w:hAnsi="宋体"/>
                <w:color w:val="auto"/>
                <w:sz w:val="22"/>
                <w:szCs w:val="22"/>
                <w:highlight w:val="none"/>
              </w:rPr>
            </w:pPr>
          </w:p>
        </w:tc>
        <w:tc>
          <w:tcPr>
            <w:tcW w:w="1636" w:type="dxa"/>
          </w:tcPr>
          <w:p w14:paraId="4D521D19">
            <w:pPr>
              <w:pStyle w:val="34"/>
              <w:adjustRightInd w:val="0"/>
              <w:snapToGrid w:val="0"/>
              <w:spacing w:line="440" w:lineRule="atLeast"/>
              <w:rPr>
                <w:rFonts w:hAnsi="宋体"/>
                <w:color w:val="auto"/>
                <w:sz w:val="22"/>
                <w:szCs w:val="22"/>
                <w:highlight w:val="none"/>
              </w:rPr>
            </w:pPr>
          </w:p>
        </w:tc>
      </w:tr>
      <w:tr w14:paraId="4D9D7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09" w:type="dxa"/>
          </w:tcPr>
          <w:p w14:paraId="26B6E735">
            <w:pPr>
              <w:pStyle w:val="34"/>
              <w:adjustRightInd w:val="0"/>
              <w:snapToGrid w:val="0"/>
              <w:spacing w:line="440" w:lineRule="atLeast"/>
              <w:rPr>
                <w:rFonts w:hAnsi="宋体"/>
                <w:color w:val="auto"/>
                <w:sz w:val="22"/>
                <w:szCs w:val="22"/>
                <w:highlight w:val="none"/>
              </w:rPr>
            </w:pPr>
          </w:p>
        </w:tc>
        <w:tc>
          <w:tcPr>
            <w:tcW w:w="1276" w:type="dxa"/>
            <w:tcBorders>
              <w:right w:val="single" w:color="000000" w:sz="4" w:space="0"/>
            </w:tcBorders>
          </w:tcPr>
          <w:p w14:paraId="6EFD1C0D">
            <w:pPr>
              <w:pStyle w:val="34"/>
              <w:adjustRightInd w:val="0"/>
              <w:snapToGrid w:val="0"/>
              <w:spacing w:line="440" w:lineRule="atLeast"/>
              <w:rPr>
                <w:rFonts w:hAnsi="宋体"/>
                <w:color w:val="auto"/>
                <w:sz w:val="22"/>
                <w:szCs w:val="22"/>
                <w:highlight w:val="none"/>
              </w:rPr>
            </w:pPr>
          </w:p>
        </w:tc>
        <w:tc>
          <w:tcPr>
            <w:tcW w:w="1360" w:type="dxa"/>
            <w:tcBorders>
              <w:left w:val="single" w:color="000000" w:sz="4" w:space="0"/>
            </w:tcBorders>
          </w:tcPr>
          <w:p w14:paraId="6EFDAE33">
            <w:pPr>
              <w:pStyle w:val="34"/>
              <w:adjustRightInd w:val="0"/>
              <w:snapToGrid w:val="0"/>
              <w:spacing w:line="440" w:lineRule="atLeast"/>
              <w:rPr>
                <w:rFonts w:hAnsi="宋体"/>
                <w:color w:val="auto"/>
                <w:sz w:val="22"/>
                <w:szCs w:val="22"/>
                <w:highlight w:val="none"/>
              </w:rPr>
            </w:pPr>
          </w:p>
        </w:tc>
        <w:tc>
          <w:tcPr>
            <w:tcW w:w="1568" w:type="dxa"/>
          </w:tcPr>
          <w:p w14:paraId="32BB7070">
            <w:pPr>
              <w:pStyle w:val="34"/>
              <w:adjustRightInd w:val="0"/>
              <w:snapToGrid w:val="0"/>
              <w:spacing w:line="440" w:lineRule="atLeast"/>
              <w:rPr>
                <w:rFonts w:hAnsi="宋体"/>
                <w:color w:val="auto"/>
                <w:sz w:val="22"/>
                <w:szCs w:val="22"/>
                <w:highlight w:val="none"/>
              </w:rPr>
            </w:pPr>
          </w:p>
        </w:tc>
        <w:tc>
          <w:tcPr>
            <w:tcW w:w="1635" w:type="dxa"/>
          </w:tcPr>
          <w:p w14:paraId="2A343309">
            <w:pPr>
              <w:pStyle w:val="34"/>
              <w:adjustRightInd w:val="0"/>
              <w:snapToGrid w:val="0"/>
              <w:spacing w:line="440" w:lineRule="atLeast"/>
              <w:rPr>
                <w:rFonts w:hAnsi="宋体"/>
                <w:color w:val="auto"/>
                <w:sz w:val="22"/>
                <w:szCs w:val="22"/>
                <w:highlight w:val="none"/>
              </w:rPr>
            </w:pPr>
          </w:p>
        </w:tc>
        <w:tc>
          <w:tcPr>
            <w:tcW w:w="1636" w:type="dxa"/>
          </w:tcPr>
          <w:p w14:paraId="5E4A9CB1">
            <w:pPr>
              <w:pStyle w:val="34"/>
              <w:adjustRightInd w:val="0"/>
              <w:snapToGrid w:val="0"/>
              <w:spacing w:line="440" w:lineRule="atLeast"/>
              <w:rPr>
                <w:rFonts w:hAnsi="宋体"/>
                <w:color w:val="auto"/>
                <w:sz w:val="22"/>
                <w:szCs w:val="22"/>
                <w:highlight w:val="none"/>
              </w:rPr>
            </w:pPr>
          </w:p>
        </w:tc>
        <w:tc>
          <w:tcPr>
            <w:tcW w:w="1636" w:type="dxa"/>
          </w:tcPr>
          <w:p w14:paraId="1B85D01A">
            <w:pPr>
              <w:pStyle w:val="34"/>
              <w:adjustRightInd w:val="0"/>
              <w:snapToGrid w:val="0"/>
              <w:spacing w:line="440" w:lineRule="atLeast"/>
              <w:rPr>
                <w:rFonts w:hAnsi="宋体"/>
                <w:color w:val="auto"/>
                <w:sz w:val="22"/>
                <w:szCs w:val="22"/>
                <w:highlight w:val="none"/>
              </w:rPr>
            </w:pPr>
          </w:p>
        </w:tc>
      </w:tr>
      <w:tr w14:paraId="70110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14:paraId="21E8B9B6">
            <w:pPr>
              <w:pStyle w:val="34"/>
              <w:adjustRightInd w:val="0"/>
              <w:snapToGrid w:val="0"/>
              <w:spacing w:line="440" w:lineRule="atLeast"/>
              <w:rPr>
                <w:rFonts w:hAnsi="宋体"/>
                <w:color w:val="auto"/>
                <w:sz w:val="22"/>
                <w:szCs w:val="22"/>
                <w:highlight w:val="none"/>
              </w:rPr>
            </w:pPr>
          </w:p>
        </w:tc>
        <w:tc>
          <w:tcPr>
            <w:tcW w:w="1276" w:type="dxa"/>
            <w:tcBorders>
              <w:right w:val="single" w:color="000000" w:sz="4" w:space="0"/>
            </w:tcBorders>
          </w:tcPr>
          <w:p w14:paraId="129FB31A">
            <w:pPr>
              <w:pStyle w:val="34"/>
              <w:adjustRightInd w:val="0"/>
              <w:snapToGrid w:val="0"/>
              <w:spacing w:line="440" w:lineRule="atLeast"/>
              <w:rPr>
                <w:rFonts w:hAnsi="宋体"/>
                <w:color w:val="auto"/>
                <w:sz w:val="22"/>
                <w:szCs w:val="22"/>
                <w:highlight w:val="none"/>
              </w:rPr>
            </w:pPr>
          </w:p>
        </w:tc>
        <w:tc>
          <w:tcPr>
            <w:tcW w:w="1360" w:type="dxa"/>
            <w:tcBorders>
              <w:left w:val="single" w:color="000000" w:sz="4" w:space="0"/>
            </w:tcBorders>
          </w:tcPr>
          <w:p w14:paraId="519A78D3">
            <w:pPr>
              <w:pStyle w:val="34"/>
              <w:adjustRightInd w:val="0"/>
              <w:snapToGrid w:val="0"/>
              <w:spacing w:line="440" w:lineRule="atLeast"/>
              <w:rPr>
                <w:rFonts w:hAnsi="宋体"/>
                <w:color w:val="auto"/>
                <w:sz w:val="22"/>
                <w:szCs w:val="22"/>
                <w:highlight w:val="none"/>
              </w:rPr>
            </w:pPr>
          </w:p>
        </w:tc>
        <w:tc>
          <w:tcPr>
            <w:tcW w:w="1568" w:type="dxa"/>
          </w:tcPr>
          <w:p w14:paraId="38AC7E19">
            <w:pPr>
              <w:pStyle w:val="34"/>
              <w:adjustRightInd w:val="0"/>
              <w:snapToGrid w:val="0"/>
              <w:spacing w:line="440" w:lineRule="atLeast"/>
              <w:rPr>
                <w:rFonts w:hAnsi="宋体"/>
                <w:color w:val="auto"/>
                <w:sz w:val="22"/>
                <w:szCs w:val="22"/>
                <w:highlight w:val="none"/>
              </w:rPr>
            </w:pPr>
          </w:p>
        </w:tc>
        <w:tc>
          <w:tcPr>
            <w:tcW w:w="1635" w:type="dxa"/>
          </w:tcPr>
          <w:p w14:paraId="09C71451">
            <w:pPr>
              <w:pStyle w:val="34"/>
              <w:adjustRightInd w:val="0"/>
              <w:snapToGrid w:val="0"/>
              <w:spacing w:line="440" w:lineRule="atLeast"/>
              <w:rPr>
                <w:rFonts w:hAnsi="宋体"/>
                <w:color w:val="auto"/>
                <w:sz w:val="22"/>
                <w:szCs w:val="22"/>
                <w:highlight w:val="none"/>
              </w:rPr>
            </w:pPr>
          </w:p>
        </w:tc>
        <w:tc>
          <w:tcPr>
            <w:tcW w:w="1636" w:type="dxa"/>
          </w:tcPr>
          <w:p w14:paraId="22E893CD">
            <w:pPr>
              <w:pStyle w:val="34"/>
              <w:adjustRightInd w:val="0"/>
              <w:snapToGrid w:val="0"/>
              <w:spacing w:line="440" w:lineRule="atLeast"/>
              <w:rPr>
                <w:rFonts w:hAnsi="宋体"/>
                <w:color w:val="auto"/>
                <w:sz w:val="22"/>
                <w:szCs w:val="22"/>
                <w:highlight w:val="none"/>
              </w:rPr>
            </w:pPr>
          </w:p>
        </w:tc>
        <w:tc>
          <w:tcPr>
            <w:tcW w:w="1636" w:type="dxa"/>
          </w:tcPr>
          <w:p w14:paraId="2A35D85C">
            <w:pPr>
              <w:pStyle w:val="34"/>
              <w:adjustRightInd w:val="0"/>
              <w:snapToGrid w:val="0"/>
              <w:spacing w:line="440" w:lineRule="atLeast"/>
              <w:rPr>
                <w:rFonts w:hAnsi="宋体"/>
                <w:color w:val="auto"/>
                <w:sz w:val="22"/>
                <w:szCs w:val="22"/>
                <w:highlight w:val="none"/>
              </w:rPr>
            </w:pPr>
          </w:p>
        </w:tc>
      </w:tr>
      <w:tr w14:paraId="0E896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14:paraId="4EE10156">
            <w:pPr>
              <w:pStyle w:val="34"/>
              <w:adjustRightInd w:val="0"/>
              <w:snapToGrid w:val="0"/>
              <w:spacing w:line="440" w:lineRule="atLeast"/>
              <w:rPr>
                <w:rFonts w:hAnsi="宋体"/>
                <w:color w:val="auto"/>
                <w:sz w:val="22"/>
                <w:szCs w:val="22"/>
                <w:highlight w:val="none"/>
              </w:rPr>
            </w:pPr>
          </w:p>
        </w:tc>
        <w:tc>
          <w:tcPr>
            <w:tcW w:w="1276" w:type="dxa"/>
            <w:tcBorders>
              <w:right w:val="single" w:color="000000" w:sz="4" w:space="0"/>
            </w:tcBorders>
          </w:tcPr>
          <w:p w14:paraId="4D7284BB">
            <w:pPr>
              <w:pStyle w:val="34"/>
              <w:adjustRightInd w:val="0"/>
              <w:snapToGrid w:val="0"/>
              <w:spacing w:line="440" w:lineRule="atLeast"/>
              <w:rPr>
                <w:rFonts w:hAnsi="宋体"/>
                <w:color w:val="auto"/>
                <w:sz w:val="22"/>
                <w:szCs w:val="22"/>
                <w:highlight w:val="none"/>
              </w:rPr>
            </w:pPr>
          </w:p>
        </w:tc>
        <w:tc>
          <w:tcPr>
            <w:tcW w:w="1360" w:type="dxa"/>
            <w:tcBorders>
              <w:left w:val="single" w:color="000000" w:sz="4" w:space="0"/>
            </w:tcBorders>
          </w:tcPr>
          <w:p w14:paraId="7AAF509F">
            <w:pPr>
              <w:pStyle w:val="34"/>
              <w:adjustRightInd w:val="0"/>
              <w:snapToGrid w:val="0"/>
              <w:spacing w:line="440" w:lineRule="atLeast"/>
              <w:rPr>
                <w:rFonts w:hAnsi="宋体"/>
                <w:color w:val="auto"/>
                <w:sz w:val="22"/>
                <w:szCs w:val="22"/>
                <w:highlight w:val="none"/>
              </w:rPr>
            </w:pPr>
          </w:p>
        </w:tc>
        <w:tc>
          <w:tcPr>
            <w:tcW w:w="1568" w:type="dxa"/>
          </w:tcPr>
          <w:p w14:paraId="00FAA9A6">
            <w:pPr>
              <w:pStyle w:val="34"/>
              <w:adjustRightInd w:val="0"/>
              <w:snapToGrid w:val="0"/>
              <w:spacing w:line="440" w:lineRule="atLeast"/>
              <w:rPr>
                <w:rFonts w:hAnsi="宋体"/>
                <w:color w:val="auto"/>
                <w:sz w:val="22"/>
                <w:szCs w:val="22"/>
                <w:highlight w:val="none"/>
              </w:rPr>
            </w:pPr>
          </w:p>
        </w:tc>
        <w:tc>
          <w:tcPr>
            <w:tcW w:w="1635" w:type="dxa"/>
          </w:tcPr>
          <w:p w14:paraId="28F90901">
            <w:pPr>
              <w:pStyle w:val="34"/>
              <w:adjustRightInd w:val="0"/>
              <w:snapToGrid w:val="0"/>
              <w:spacing w:line="440" w:lineRule="atLeast"/>
              <w:rPr>
                <w:rFonts w:hAnsi="宋体"/>
                <w:color w:val="auto"/>
                <w:sz w:val="22"/>
                <w:szCs w:val="22"/>
                <w:highlight w:val="none"/>
              </w:rPr>
            </w:pPr>
          </w:p>
        </w:tc>
        <w:tc>
          <w:tcPr>
            <w:tcW w:w="1636" w:type="dxa"/>
          </w:tcPr>
          <w:p w14:paraId="766F727B">
            <w:pPr>
              <w:pStyle w:val="34"/>
              <w:adjustRightInd w:val="0"/>
              <w:snapToGrid w:val="0"/>
              <w:spacing w:line="440" w:lineRule="atLeast"/>
              <w:rPr>
                <w:rFonts w:hAnsi="宋体"/>
                <w:color w:val="auto"/>
                <w:sz w:val="22"/>
                <w:szCs w:val="22"/>
                <w:highlight w:val="none"/>
              </w:rPr>
            </w:pPr>
          </w:p>
        </w:tc>
        <w:tc>
          <w:tcPr>
            <w:tcW w:w="1636" w:type="dxa"/>
          </w:tcPr>
          <w:p w14:paraId="1695992E">
            <w:pPr>
              <w:pStyle w:val="34"/>
              <w:adjustRightInd w:val="0"/>
              <w:snapToGrid w:val="0"/>
              <w:spacing w:line="440" w:lineRule="atLeast"/>
              <w:rPr>
                <w:rFonts w:hAnsi="宋体"/>
                <w:color w:val="auto"/>
                <w:sz w:val="22"/>
                <w:szCs w:val="22"/>
                <w:highlight w:val="none"/>
              </w:rPr>
            </w:pPr>
          </w:p>
        </w:tc>
      </w:tr>
      <w:tr w14:paraId="68703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09" w:type="dxa"/>
          </w:tcPr>
          <w:p w14:paraId="3131F7C0">
            <w:pPr>
              <w:pStyle w:val="34"/>
              <w:adjustRightInd w:val="0"/>
              <w:snapToGrid w:val="0"/>
              <w:spacing w:line="440" w:lineRule="atLeast"/>
              <w:rPr>
                <w:rFonts w:hAnsi="宋体"/>
                <w:color w:val="auto"/>
                <w:sz w:val="22"/>
                <w:szCs w:val="22"/>
                <w:highlight w:val="none"/>
              </w:rPr>
            </w:pPr>
          </w:p>
        </w:tc>
        <w:tc>
          <w:tcPr>
            <w:tcW w:w="1276" w:type="dxa"/>
            <w:tcBorders>
              <w:right w:val="single" w:color="000000" w:sz="4" w:space="0"/>
            </w:tcBorders>
          </w:tcPr>
          <w:p w14:paraId="253191A7">
            <w:pPr>
              <w:pStyle w:val="34"/>
              <w:adjustRightInd w:val="0"/>
              <w:snapToGrid w:val="0"/>
              <w:spacing w:line="440" w:lineRule="atLeast"/>
              <w:rPr>
                <w:rFonts w:hAnsi="宋体"/>
                <w:color w:val="auto"/>
                <w:sz w:val="22"/>
                <w:szCs w:val="22"/>
                <w:highlight w:val="none"/>
              </w:rPr>
            </w:pPr>
          </w:p>
        </w:tc>
        <w:tc>
          <w:tcPr>
            <w:tcW w:w="1360" w:type="dxa"/>
            <w:tcBorders>
              <w:left w:val="single" w:color="000000" w:sz="4" w:space="0"/>
            </w:tcBorders>
          </w:tcPr>
          <w:p w14:paraId="78416241">
            <w:pPr>
              <w:pStyle w:val="34"/>
              <w:adjustRightInd w:val="0"/>
              <w:snapToGrid w:val="0"/>
              <w:spacing w:line="440" w:lineRule="atLeast"/>
              <w:rPr>
                <w:rFonts w:hAnsi="宋体"/>
                <w:color w:val="auto"/>
                <w:sz w:val="22"/>
                <w:szCs w:val="22"/>
                <w:highlight w:val="none"/>
              </w:rPr>
            </w:pPr>
          </w:p>
        </w:tc>
        <w:tc>
          <w:tcPr>
            <w:tcW w:w="1568" w:type="dxa"/>
          </w:tcPr>
          <w:p w14:paraId="5F220D2D">
            <w:pPr>
              <w:pStyle w:val="34"/>
              <w:adjustRightInd w:val="0"/>
              <w:snapToGrid w:val="0"/>
              <w:spacing w:line="440" w:lineRule="atLeast"/>
              <w:rPr>
                <w:rFonts w:hAnsi="宋体"/>
                <w:color w:val="auto"/>
                <w:sz w:val="22"/>
                <w:szCs w:val="22"/>
                <w:highlight w:val="none"/>
              </w:rPr>
            </w:pPr>
          </w:p>
        </w:tc>
        <w:tc>
          <w:tcPr>
            <w:tcW w:w="1635" w:type="dxa"/>
          </w:tcPr>
          <w:p w14:paraId="417D32F3">
            <w:pPr>
              <w:pStyle w:val="34"/>
              <w:adjustRightInd w:val="0"/>
              <w:snapToGrid w:val="0"/>
              <w:spacing w:line="440" w:lineRule="atLeast"/>
              <w:rPr>
                <w:rFonts w:hAnsi="宋体"/>
                <w:color w:val="auto"/>
                <w:sz w:val="22"/>
                <w:szCs w:val="22"/>
                <w:highlight w:val="none"/>
              </w:rPr>
            </w:pPr>
          </w:p>
        </w:tc>
        <w:tc>
          <w:tcPr>
            <w:tcW w:w="1636" w:type="dxa"/>
          </w:tcPr>
          <w:p w14:paraId="6A42971B">
            <w:pPr>
              <w:pStyle w:val="34"/>
              <w:adjustRightInd w:val="0"/>
              <w:snapToGrid w:val="0"/>
              <w:spacing w:line="440" w:lineRule="atLeast"/>
              <w:rPr>
                <w:rFonts w:hAnsi="宋体"/>
                <w:color w:val="auto"/>
                <w:sz w:val="22"/>
                <w:szCs w:val="22"/>
                <w:highlight w:val="none"/>
              </w:rPr>
            </w:pPr>
          </w:p>
        </w:tc>
        <w:tc>
          <w:tcPr>
            <w:tcW w:w="1636" w:type="dxa"/>
          </w:tcPr>
          <w:p w14:paraId="760CBC24">
            <w:pPr>
              <w:pStyle w:val="34"/>
              <w:adjustRightInd w:val="0"/>
              <w:snapToGrid w:val="0"/>
              <w:spacing w:line="440" w:lineRule="atLeast"/>
              <w:rPr>
                <w:rFonts w:hAnsi="宋体"/>
                <w:color w:val="auto"/>
                <w:sz w:val="22"/>
                <w:szCs w:val="22"/>
                <w:highlight w:val="none"/>
              </w:rPr>
            </w:pPr>
          </w:p>
        </w:tc>
      </w:tr>
    </w:tbl>
    <w:p w14:paraId="347406BF">
      <w:pPr>
        <w:pStyle w:val="34"/>
        <w:spacing w:line="440" w:lineRule="atLeast"/>
        <w:rPr>
          <w:rFonts w:hAnsi="宋体" w:cs="Arial"/>
          <w:bCs/>
          <w:color w:val="auto"/>
          <w:sz w:val="22"/>
          <w:szCs w:val="22"/>
          <w:highlight w:val="none"/>
        </w:rPr>
      </w:pPr>
      <w:r>
        <w:rPr>
          <w:rFonts w:hint="eastAsia" w:hAnsi="宋体" w:cs="Arial"/>
          <w:bCs/>
          <w:color w:val="auto"/>
          <w:sz w:val="22"/>
          <w:szCs w:val="22"/>
          <w:highlight w:val="none"/>
        </w:rPr>
        <w:t>说明：1、表后提供相关证明材料，不允许只提供此表。</w:t>
      </w:r>
    </w:p>
    <w:p w14:paraId="057BA253">
      <w:pPr>
        <w:pStyle w:val="34"/>
        <w:spacing w:line="440" w:lineRule="atLeast"/>
        <w:ind w:firstLine="660" w:firstLineChars="300"/>
        <w:rPr>
          <w:rFonts w:hAnsi="宋体" w:cs="Arial"/>
          <w:bCs/>
          <w:color w:val="auto"/>
          <w:sz w:val="36"/>
          <w:szCs w:val="36"/>
          <w:highlight w:val="none"/>
        </w:rPr>
      </w:pPr>
      <w:r>
        <w:rPr>
          <w:rFonts w:hint="eastAsia" w:hAnsi="宋体" w:cs="Arial"/>
          <w:bCs/>
          <w:color w:val="auto"/>
          <w:sz w:val="22"/>
          <w:szCs w:val="22"/>
          <w:highlight w:val="none"/>
        </w:rPr>
        <w:t>2、表格可以延续。</w:t>
      </w:r>
    </w:p>
    <w:p w14:paraId="2B0F4480">
      <w:pPr>
        <w:pStyle w:val="34"/>
        <w:spacing w:line="440" w:lineRule="atLeast"/>
        <w:jc w:val="center"/>
        <w:rPr>
          <w:rFonts w:hAnsi="宋体" w:cs="Arial"/>
          <w:bCs/>
          <w:color w:val="auto"/>
          <w:sz w:val="36"/>
          <w:szCs w:val="36"/>
          <w:highlight w:val="none"/>
        </w:rPr>
      </w:pPr>
    </w:p>
    <w:p w14:paraId="28DBA98F">
      <w:pPr>
        <w:autoSpaceDE w:val="0"/>
        <w:autoSpaceDN w:val="0"/>
        <w:adjustRightInd w:val="0"/>
        <w:spacing w:line="440" w:lineRule="atLeast"/>
        <w:ind w:firstLine="442" w:firstLineChars="201"/>
        <w:rPr>
          <w:rFonts w:ascii="宋体" w:hAnsi="宋体"/>
          <w:color w:val="auto"/>
          <w:kern w:val="0"/>
          <w:sz w:val="22"/>
          <w:szCs w:val="20"/>
          <w:highlight w:val="none"/>
          <w:lang w:val="zh-CN"/>
        </w:rPr>
      </w:pPr>
      <w:r>
        <w:rPr>
          <w:rFonts w:hint="eastAsia" w:ascii="宋体" w:hAnsi="宋体"/>
          <w:color w:val="auto"/>
          <w:sz w:val="22"/>
          <w:szCs w:val="22"/>
          <w:highlight w:val="none"/>
          <w:lang w:val="zh-CN"/>
        </w:rPr>
        <w:t>投标供应商（盖章）</w:t>
      </w:r>
      <w:r>
        <w:rPr>
          <w:rFonts w:hint="eastAsia" w:ascii="宋体" w:hAnsi="宋体"/>
          <w:color w:val="auto"/>
          <w:kern w:val="0"/>
          <w:sz w:val="22"/>
          <w:szCs w:val="20"/>
          <w:highlight w:val="none"/>
          <w:lang w:val="zh-CN"/>
        </w:rPr>
        <w:t>：</w:t>
      </w:r>
    </w:p>
    <w:p w14:paraId="25884B14">
      <w:pPr>
        <w:autoSpaceDE w:val="0"/>
        <w:autoSpaceDN w:val="0"/>
        <w:adjustRightInd w:val="0"/>
        <w:spacing w:line="440" w:lineRule="atLeast"/>
        <w:ind w:firstLine="442" w:firstLineChars="201"/>
        <w:rPr>
          <w:rFonts w:ascii="宋体" w:hAnsi="宋体"/>
          <w:color w:val="auto"/>
          <w:kern w:val="0"/>
          <w:sz w:val="22"/>
          <w:szCs w:val="20"/>
          <w:highlight w:val="none"/>
          <w:lang w:val="zh-CN"/>
        </w:rPr>
      </w:pPr>
      <w:r>
        <w:rPr>
          <w:rFonts w:hint="eastAsia" w:ascii="宋体" w:hAnsi="宋体"/>
          <w:color w:val="auto"/>
          <w:kern w:val="0"/>
          <w:sz w:val="22"/>
          <w:szCs w:val="20"/>
          <w:highlight w:val="none"/>
          <w:lang w:val="zh-CN"/>
        </w:rPr>
        <w:t>法定代表人或授权代表（签字或盖章）：</w:t>
      </w:r>
    </w:p>
    <w:p w14:paraId="4F556151">
      <w:pPr>
        <w:autoSpaceDE w:val="0"/>
        <w:autoSpaceDN w:val="0"/>
        <w:adjustRightInd w:val="0"/>
        <w:snapToGrid w:val="0"/>
        <w:spacing w:line="480" w:lineRule="atLeast"/>
        <w:ind w:firstLine="440" w:firstLineChars="200"/>
        <w:jc w:val="left"/>
        <w:rPr>
          <w:rFonts w:ascii="宋体" w:hAnsi="宋体" w:cs="仿宋_GB2312"/>
          <w:color w:val="auto"/>
          <w:sz w:val="22"/>
          <w:highlight w:val="none"/>
          <w:lang w:val="zh-CN"/>
        </w:rPr>
      </w:pPr>
      <w:r>
        <w:rPr>
          <w:rFonts w:hint="eastAsia" w:ascii="宋体" w:hAnsi="宋体"/>
          <w:color w:val="auto"/>
          <w:kern w:val="0"/>
          <w:sz w:val="22"/>
          <w:szCs w:val="20"/>
          <w:highlight w:val="none"/>
          <w:lang w:val="zh-CN"/>
        </w:rPr>
        <w:t>日期：</w:t>
      </w:r>
    </w:p>
    <w:p w14:paraId="62542A5F">
      <w:pPr>
        <w:pStyle w:val="34"/>
        <w:spacing w:line="440" w:lineRule="atLeast"/>
        <w:jc w:val="center"/>
        <w:rPr>
          <w:rFonts w:hAnsi="宋体" w:cs="Arial"/>
          <w:bCs/>
          <w:color w:val="auto"/>
          <w:sz w:val="36"/>
          <w:szCs w:val="36"/>
          <w:highlight w:val="none"/>
        </w:rPr>
      </w:pPr>
    </w:p>
    <w:p w14:paraId="077D797E">
      <w:pPr>
        <w:pStyle w:val="34"/>
        <w:spacing w:line="440" w:lineRule="atLeast"/>
        <w:jc w:val="center"/>
        <w:rPr>
          <w:rFonts w:hAnsi="宋体" w:cs="Arial"/>
          <w:bCs/>
          <w:color w:val="auto"/>
          <w:sz w:val="36"/>
          <w:szCs w:val="36"/>
          <w:highlight w:val="none"/>
        </w:rPr>
      </w:pPr>
    </w:p>
    <w:p w14:paraId="3B1E8892">
      <w:pPr>
        <w:pStyle w:val="34"/>
        <w:spacing w:line="440" w:lineRule="atLeast"/>
        <w:jc w:val="center"/>
        <w:rPr>
          <w:rFonts w:hAnsi="宋体" w:cs="Arial"/>
          <w:bCs/>
          <w:color w:val="auto"/>
          <w:sz w:val="36"/>
          <w:szCs w:val="36"/>
          <w:highlight w:val="none"/>
        </w:rPr>
      </w:pPr>
    </w:p>
    <w:p w14:paraId="42D7D979">
      <w:pPr>
        <w:pStyle w:val="34"/>
        <w:spacing w:line="440" w:lineRule="atLeast"/>
        <w:jc w:val="center"/>
        <w:rPr>
          <w:rFonts w:hAnsi="宋体" w:cs="Arial"/>
          <w:bCs/>
          <w:color w:val="auto"/>
          <w:sz w:val="36"/>
          <w:szCs w:val="36"/>
          <w:highlight w:val="none"/>
        </w:rPr>
      </w:pPr>
    </w:p>
    <w:p w14:paraId="36F6BBC2">
      <w:pPr>
        <w:pStyle w:val="34"/>
        <w:spacing w:line="440" w:lineRule="atLeast"/>
        <w:jc w:val="center"/>
        <w:rPr>
          <w:rFonts w:hAnsi="宋体" w:cs="Arial"/>
          <w:bCs/>
          <w:color w:val="auto"/>
          <w:sz w:val="36"/>
          <w:szCs w:val="36"/>
          <w:highlight w:val="none"/>
        </w:rPr>
      </w:pPr>
    </w:p>
    <w:p w14:paraId="274F6B8D">
      <w:pPr>
        <w:pStyle w:val="34"/>
        <w:adjustRightInd w:val="0"/>
        <w:snapToGrid w:val="0"/>
        <w:spacing w:line="440" w:lineRule="atLeast"/>
        <w:jc w:val="left"/>
        <w:outlineLvl w:val="1"/>
        <w:rPr>
          <w:rFonts w:hAnsi="宋体"/>
          <w:color w:val="auto"/>
          <w:sz w:val="30"/>
          <w:szCs w:val="30"/>
          <w:highlight w:val="none"/>
        </w:rPr>
      </w:pPr>
      <w:r>
        <w:rPr>
          <w:rFonts w:hAnsi="宋体" w:cs="Arial"/>
          <w:bCs/>
          <w:color w:val="auto"/>
          <w:sz w:val="22"/>
          <w:szCs w:val="22"/>
          <w:highlight w:val="none"/>
        </w:rPr>
        <w:br w:type="page"/>
      </w:r>
      <w:bookmarkStart w:id="72" w:name="_Toc5791"/>
      <w:r>
        <w:rPr>
          <w:rFonts w:hAnsi="宋体"/>
          <w:color w:val="auto"/>
          <w:sz w:val="30"/>
          <w:highlight w:val="none"/>
        </w:rPr>
        <w:t>附件</w:t>
      </w:r>
      <w:r>
        <w:rPr>
          <w:rFonts w:hint="eastAsia" w:hAnsi="宋体"/>
          <w:color w:val="auto"/>
          <w:sz w:val="30"/>
          <w:highlight w:val="none"/>
        </w:rPr>
        <w:t>八</w:t>
      </w:r>
      <w:bookmarkEnd w:id="72"/>
    </w:p>
    <w:p w14:paraId="503CD0AF">
      <w:pPr>
        <w:pStyle w:val="34"/>
        <w:adjustRightInd w:val="0"/>
        <w:snapToGrid w:val="0"/>
        <w:spacing w:line="440" w:lineRule="atLeast"/>
        <w:ind w:firstLine="440"/>
        <w:jc w:val="center"/>
        <w:outlineLvl w:val="1"/>
        <w:rPr>
          <w:rFonts w:hAnsi="宋体" w:cs="Arial"/>
          <w:bCs/>
          <w:color w:val="auto"/>
          <w:sz w:val="36"/>
          <w:szCs w:val="36"/>
          <w:highlight w:val="none"/>
          <w:lang w:val="zh-CN"/>
        </w:rPr>
      </w:pPr>
      <w:bookmarkStart w:id="73" w:name="_Toc1585"/>
      <w:r>
        <w:rPr>
          <w:rFonts w:hAnsi="宋体" w:cs="Arial"/>
          <w:bCs/>
          <w:color w:val="auto"/>
          <w:sz w:val="36"/>
          <w:szCs w:val="36"/>
          <w:highlight w:val="none"/>
          <w:lang w:val="zh-CN"/>
        </w:rPr>
        <w:t>人员情况表</w:t>
      </w:r>
      <w:bookmarkEnd w:id="73"/>
    </w:p>
    <w:tbl>
      <w:tblPr>
        <w:tblStyle w:val="65"/>
        <w:tblW w:w="9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2958"/>
        <w:gridCol w:w="844"/>
        <w:gridCol w:w="844"/>
        <w:gridCol w:w="844"/>
        <w:gridCol w:w="1266"/>
        <w:gridCol w:w="2029"/>
      </w:tblGrid>
      <w:tr w14:paraId="2382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70" w:type="dxa"/>
            <w:tcBorders>
              <w:top w:val="single" w:color="auto" w:sz="4" w:space="0"/>
              <w:left w:val="single" w:color="auto" w:sz="4" w:space="0"/>
              <w:bottom w:val="single" w:color="auto" w:sz="4" w:space="0"/>
              <w:right w:val="single" w:color="auto" w:sz="4" w:space="0"/>
            </w:tcBorders>
            <w:vAlign w:val="center"/>
          </w:tcPr>
          <w:p w14:paraId="04AC99A9">
            <w:pPr>
              <w:jc w:val="center"/>
              <w:rPr>
                <w:rFonts w:ascii="宋体"/>
                <w:bCs/>
                <w:color w:val="auto"/>
                <w:sz w:val="22"/>
                <w:highlight w:val="none"/>
              </w:rPr>
            </w:pPr>
            <w:r>
              <w:rPr>
                <w:rFonts w:hint="eastAsia" w:ascii="宋体"/>
                <w:bCs/>
                <w:color w:val="auto"/>
                <w:sz w:val="22"/>
                <w:highlight w:val="none"/>
              </w:rPr>
              <w:t>姓名</w:t>
            </w:r>
          </w:p>
        </w:tc>
        <w:tc>
          <w:tcPr>
            <w:tcW w:w="2958" w:type="dxa"/>
            <w:tcBorders>
              <w:top w:val="single" w:color="auto" w:sz="4" w:space="0"/>
              <w:left w:val="single" w:color="auto" w:sz="4" w:space="0"/>
              <w:bottom w:val="single" w:color="auto" w:sz="4" w:space="0"/>
              <w:right w:val="single" w:color="auto" w:sz="4" w:space="0"/>
            </w:tcBorders>
            <w:vAlign w:val="center"/>
          </w:tcPr>
          <w:p w14:paraId="2521FE3F">
            <w:pPr>
              <w:jc w:val="center"/>
              <w:rPr>
                <w:rFonts w:ascii="宋体"/>
                <w:bCs/>
                <w:color w:val="auto"/>
                <w:sz w:val="22"/>
                <w:highlight w:val="none"/>
              </w:rPr>
            </w:pPr>
            <w:r>
              <w:rPr>
                <w:rFonts w:hint="eastAsia" w:ascii="宋体"/>
                <w:bCs/>
                <w:color w:val="auto"/>
                <w:sz w:val="22"/>
                <w:highlight w:val="none"/>
              </w:rPr>
              <w:t>本项目主要工作</w:t>
            </w:r>
          </w:p>
        </w:tc>
        <w:tc>
          <w:tcPr>
            <w:tcW w:w="844" w:type="dxa"/>
            <w:tcBorders>
              <w:top w:val="single" w:color="auto" w:sz="4" w:space="0"/>
              <w:left w:val="single" w:color="auto" w:sz="4" w:space="0"/>
              <w:bottom w:val="single" w:color="auto" w:sz="4" w:space="0"/>
              <w:right w:val="single" w:color="auto" w:sz="4" w:space="0"/>
            </w:tcBorders>
            <w:vAlign w:val="center"/>
          </w:tcPr>
          <w:p w14:paraId="7EB3C9B7">
            <w:pPr>
              <w:jc w:val="center"/>
              <w:rPr>
                <w:rFonts w:ascii="宋体"/>
                <w:bCs/>
                <w:color w:val="auto"/>
                <w:sz w:val="22"/>
                <w:highlight w:val="none"/>
              </w:rPr>
            </w:pPr>
            <w:r>
              <w:rPr>
                <w:rFonts w:hint="eastAsia" w:ascii="宋体"/>
                <w:bCs/>
                <w:color w:val="auto"/>
                <w:sz w:val="22"/>
                <w:highlight w:val="none"/>
              </w:rPr>
              <w:t>年龄</w:t>
            </w:r>
          </w:p>
        </w:tc>
        <w:tc>
          <w:tcPr>
            <w:tcW w:w="844" w:type="dxa"/>
            <w:tcBorders>
              <w:top w:val="single" w:color="auto" w:sz="4" w:space="0"/>
              <w:left w:val="single" w:color="auto" w:sz="4" w:space="0"/>
              <w:bottom w:val="single" w:color="auto" w:sz="4" w:space="0"/>
              <w:right w:val="single" w:color="auto" w:sz="4" w:space="0"/>
            </w:tcBorders>
            <w:vAlign w:val="center"/>
          </w:tcPr>
          <w:p w14:paraId="6E1756F6">
            <w:pPr>
              <w:jc w:val="center"/>
              <w:rPr>
                <w:rFonts w:ascii="宋体"/>
                <w:bCs/>
                <w:color w:val="auto"/>
                <w:sz w:val="22"/>
                <w:highlight w:val="none"/>
              </w:rPr>
            </w:pPr>
            <w:r>
              <w:rPr>
                <w:rFonts w:hint="eastAsia" w:ascii="宋体"/>
                <w:bCs/>
                <w:color w:val="auto"/>
                <w:sz w:val="22"/>
                <w:highlight w:val="none"/>
              </w:rPr>
              <w:t>性别</w:t>
            </w:r>
          </w:p>
        </w:tc>
        <w:tc>
          <w:tcPr>
            <w:tcW w:w="844" w:type="dxa"/>
            <w:tcBorders>
              <w:top w:val="single" w:color="auto" w:sz="4" w:space="0"/>
              <w:left w:val="single" w:color="auto" w:sz="4" w:space="0"/>
              <w:bottom w:val="single" w:color="auto" w:sz="4" w:space="0"/>
              <w:right w:val="single" w:color="auto" w:sz="4" w:space="0"/>
            </w:tcBorders>
            <w:vAlign w:val="center"/>
          </w:tcPr>
          <w:p w14:paraId="5CB8906F">
            <w:pPr>
              <w:jc w:val="center"/>
              <w:rPr>
                <w:rFonts w:ascii="宋体"/>
                <w:bCs/>
                <w:color w:val="auto"/>
                <w:sz w:val="22"/>
                <w:highlight w:val="none"/>
              </w:rPr>
            </w:pPr>
            <w:r>
              <w:rPr>
                <w:rFonts w:hint="eastAsia" w:ascii="宋体"/>
                <w:bCs/>
                <w:color w:val="auto"/>
                <w:sz w:val="22"/>
                <w:highlight w:val="none"/>
              </w:rPr>
              <w:t>专业</w:t>
            </w:r>
          </w:p>
        </w:tc>
        <w:tc>
          <w:tcPr>
            <w:tcW w:w="1266" w:type="dxa"/>
            <w:tcBorders>
              <w:top w:val="single" w:color="auto" w:sz="4" w:space="0"/>
              <w:left w:val="single" w:color="auto" w:sz="4" w:space="0"/>
              <w:bottom w:val="single" w:color="auto" w:sz="4" w:space="0"/>
              <w:right w:val="single" w:color="auto" w:sz="4" w:space="0"/>
            </w:tcBorders>
            <w:vAlign w:val="center"/>
          </w:tcPr>
          <w:p w14:paraId="428DB818">
            <w:pPr>
              <w:jc w:val="center"/>
              <w:rPr>
                <w:rFonts w:ascii="宋体"/>
                <w:bCs/>
                <w:color w:val="auto"/>
                <w:sz w:val="22"/>
                <w:highlight w:val="none"/>
              </w:rPr>
            </w:pPr>
            <w:r>
              <w:rPr>
                <w:rFonts w:hint="eastAsia" w:ascii="宋体"/>
                <w:bCs/>
                <w:color w:val="auto"/>
                <w:sz w:val="22"/>
                <w:highlight w:val="none"/>
              </w:rPr>
              <w:t>专业</w:t>
            </w:r>
          </w:p>
          <w:p w14:paraId="775DEF6B">
            <w:pPr>
              <w:jc w:val="center"/>
              <w:rPr>
                <w:rFonts w:ascii="宋体"/>
                <w:bCs/>
                <w:color w:val="auto"/>
                <w:sz w:val="22"/>
                <w:highlight w:val="none"/>
              </w:rPr>
            </w:pPr>
            <w:r>
              <w:rPr>
                <w:rFonts w:hint="eastAsia" w:ascii="宋体"/>
                <w:bCs/>
                <w:color w:val="auto"/>
                <w:sz w:val="22"/>
                <w:highlight w:val="none"/>
              </w:rPr>
              <w:t>年限</w:t>
            </w:r>
          </w:p>
        </w:tc>
        <w:tc>
          <w:tcPr>
            <w:tcW w:w="2029" w:type="dxa"/>
            <w:tcBorders>
              <w:top w:val="single" w:color="auto" w:sz="4" w:space="0"/>
              <w:left w:val="single" w:color="auto" w:sz="4" w:space="0"/>
              <w:bottom w:val="single" w:color="auto" w:sz="4" w:space="0"/>
              <w:right w:val="single" w:color="auto" w:sz="4" w:space="0"/>
            </w:tcBorders>
            <w:vAlign w:val="center"/>
          </w:tcPr>
          <w:p w14:paraId="492C6836">
            <w:pPr>
              <w:jc w:val="center"/>
              <w:rPr>
                <w:rFonts w:ascii="宋体"/>
                <w:bCs/>
                <w:color w:val="auto"/>
                <w:sz w:val="22"/>
                <w:highlight w:val="none"/>
              </w:rPr>
            </w:pPr>
            <w:r>
              <w:rPr>
                <w:rFonts w:hint="eastAsia" w:ascii="宋体"/>
                <w:bCs/>
                <w:color w:val="auto"/>
                <w:sz w:val="22"/>
                <w:highlight w:val="none"/>
                <w:lang w:val="en-US" w:eastAsia="zh-CN"/>
              </w:rPr>
              <w:t>职称/</w:t>
            </w:r>
            <w:r>
              <w:rPr>
                <w:rFonts w:hint="eastAsia" w:ascii="宋体"/>
                <w:bCs/>
                <w:color w:val="auto"/>
                <w:sz w:val="22"/>
                <w:highlight w:val="none"/>
              </w:rPr>
              <w:t>学历</w:t>
            </w:r>
          </w:p>
        </w:tc>
      </w:tr>
      <w:tr w14:paraId="1C76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0" w:type="dxa"/>
            <w:tcBorders>
              <w:top w:val="single" w:color="auto" w:sz="4" w:space="0"/>
              <w:left w:val="single" w:color="auto" w:sz="4" w:space="0"/>
              <w:bottom w:val="single" w:color="auto" w:sz="4" w:space="0"/>
              <w:right w:val="single" w:color="auto" w:sz="4" w:space="0"/>
            </w:tcBorders>
            <w:vAlign w:val="center"/>
          </w:tcPr>
          <w:p w14:paraId="05EC006A">
            <w:pPr>
              <w:spacing w:line="360" w:lineRule="auto"/>
              <w:rPr>
                <w:rFonts w:ascii="宋体"/>
                <w:color w:val="auto"/>
                <w:sz w:val="22"/>
                <w:highlight w:val="none"/>
              </w:rPr>
            </w:pPr>
          </w:p>
        </w:tc>
        <w:tc>
          <w:tcPr>
            <w:tcW w:w="2958" w:type="dxa"/>
            <w:tcBorders>
              <w:top w:val="single" w:color="auto" w:sz="4" w:space="0"/>
              <w:left w:val="single" w:color="auto" w:sz="4" w:space="0"/>
              <w:bottom w:val="single" w:color="auto" w:sz="4" w:space="0"/>
              <w:right w:val="single" w:color="auto" w:sz="4" w:space="0"/>
            </w:tcBorders>
            <w:vAlign w:val="center"/>
          </w:tcPr>
          <w:p w14:paraId="25E9D9CF">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60FA97CD">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1F07FAC0">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2130CBD7">
            <w:pPr>
              <w:spacing w:line="360" w:lineRule="auto"/>
              <w:rPr>
                <w:rFonts w:ascii="宋体"/>
                <w:color w:val="auto"/>
                <w:sz w:val="22"/>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39AD3992">
            <w:pPr>
              <w:spacing w:line="360" w:lineRule="auto"/>
              <w:rPr>
                <w:rFonts w:ascii="宋体"/>
                <w:color w:val="auto"/>
                <w:sz w:val="22"/>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3459C5BB">
            <w:pPr>
              <w:spacing w:line="360" w:lineRule="auto"/>
              <w:ind w:left="5250"/>
              <w:rPr>
                <w:rFonts w:ascii="宋体"/>
                <w:color w:val="auto"/>
                <w:spacing w:val="12"/>
                <w:sz w:val="22"/>
                <w:highlight w:val="none"/>
              </w:rPr>
            </w:pPr>
          </w:p>
        </w:tc>
      </w:tr>
      <w:tr w14:paraId="7BF9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0" w:type="dxa"/>
            <w:tcBorders>
              <w:top w:val="single" w:color="auto" w:sz="4" w:space="0"/>
              <w:left w:val="single" w:color="auto" w:sz="4" w:space="0"/>
              <w:bottom w:val="single" w:color="auto" w:sz="4" w:space="0"/>
              <w:right w:val="single" w:color="auto" w:sz="4" w:space="0"/>
            </w:tcBorders>
            <w:vAlign w:val="center"/>
          </w:tcPr>
          <w:p w14:paraId="66E0D53A">
            <w:pPr>
              <w:spacing w:line="360" w:lineRule="auto"/>
              <w:rPr>
                <w:rFonts w:ascii="宋体"/>
                <w:color w:val="auto"/>
                <w:sz w:val="22"/>
                <w:highlight w:val="none"/>
              </w:rPr>
            </w:pPr>
          </w:p>
        </w:tc>
        <w:tc>
          <w:tcPr>
            <w:tcW w:w="2958" w:type="dxa"/>
            <w:tcBorders>
              <w:top w:val="single" w:color="auto" w:sz="4" w:space="0"/>
              <w:left w:val="single" w:color="auto" w:sz="4" w:space="0"/>
              <w:bottom w:val="single" w:color="auto" w:sz="4" w:space="0"/>
              <w:right w:val="single" w:color="auto" w:sz="4" w:space="0"/>
            </w:tcBorders>
            <w:vAlign w:val="center"/>
          </w:tcPr>
          <w:p w14:paraId="3831E06D">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0F43C2CC">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18E3933F">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64097EDF">
            <w:pPr>
              <w:spacing w:line="360" w:lineRule="auto"/>
              <w:rPr>
                <w:rFonts w:ascii="宋体"/>
                <w:color w:val="auto"/>
                <w:sz w:val="22"/>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1B492C6C">
            <w:pPr>
              <w:spacing w:line="360" w:lineRule="auto"/>
              <w:rPr>
                <w:rFonts w:ascii="宋体"/>
                <w:color w:val="auto"/>
                <w:sz w:val="22"/>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0DFB252F">
            <w:pPr>
              <w:spacing w:line="360" w:lineRule="auto"/>
              <w:rPr>
                <w:rFonts w:ascii="宋体"/>
                <w:color w:val="auto"/>
                <w:sz w:val="22"/>
                <w:highlight w:val="none"/>
              </w:rPr>
            </w:pPr>
          </w:p>
        </w:tc>
      </w:tr>
      <w:tr w14:paraId="5EDA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0" w:type="dxa"/>
            <w:tcBorders>
              <w:top w:val="single" w:color="auto" w:sz="4" w:space="0"/>
              <w:left w:val="single" w:color="auto" w:sz="4" w:space="0"/>
              <w:bottom w:val="single" w:color="auto" w:sz="4" w:space="0"/>
              <w:right w:val="single" w:color="auto" w:sz="4" w:space="0"/>
            </w:tcBorders>
            <w:vAlign w:val="center"/>
          </w:tcPr>
          <w:p w14:paraId="2A73C2B5">
            <w:pPr>
              <w:spacing w:line="360" w:lineRule="auto"/>
              <w:rPr>
                <w:rFonts w:ascii="宋体"/>
                <w:color w:val="auto"/>
                <w:sz w:val="22"/>
                <w:highlight w:val="none"/>
              </w:rPr>
            </w:pPr>
          </w:p>
        </w:tc>
        <w:tc>
          <w:tcPr>
            <w:tcW w:w="2958" w:type="dxa"/>
            <w:tcBorders>
              <w:top w:val="single" w:color="auto" w:sz="4" w:space="0"/>
              <w:left w:val="single" w:color="auto" w:sz="4" w:space="0"/>
              <w:bottom w:val="single" w:color="auto" w:sz="4" w:space="0"/>
              <w:right w:val="single" w:color="auto" w:sz="4" w:space="0"/>
            </w:tcBorders>
            <w:vAlign w:val="center"/>
          </w:tcPr>
          <w:p w14:paraId="3E81A2A2">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5F87E380">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768E693C">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1484271C">
            <w:pPr>
              <w:spacing w:line="360" w:lineRule="auto"/>
              <w:rPr>
                <w:rFonts w:ascii="宋体"/>
                <w:color w:val="auto"/>
                <w:sz w:val="22"/>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6C992A0B">
            <w:pPr>
              <w:spacing w:line="360" w:lineRule="auto"/>
              <w:rPr>
                <w:rFonts w:ascii="宋体"/>
                <w:color w:val="auto"/>
                <w:sz w:val="22"/>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71D31E06">
            <w:pPr>
              <w:spacing w:line="360" w:lineRule="auto"/>
              <w:rPr>
                <w:rFonts w:ascii="宋体"/>
                <w:color w:val="auto"/>
                <w:sz w:val="22"/>
                <w:highlight w:val="none"/>
              </w:rPr>
            </w:pPr>
          </w:p>
        </w:tc>
      </w:tr>
      <w:tr w14:paraId="0B67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0" w:type="dxa"/>
            <w:tcBorders>
              <w:top w:val="single" w:color="auto" w:sz="4" w:space="0"/>
              <w:left w:val="single" w:color="auto" w:sz="4" w:space="0"/>
              <w:bottom w:val="single" w:color="auto" w:sz="4" w:space="0"/>
              <w:right w:val="single" w:color="auto" w:sz="4" w:space="0"/>
            </w:tcBorders>
            <w:vAlign w:val="center"/>
          </w:tcPr>
          <w:p w14:paraId="77348C85">
            <w:pPr>
              <w:spacing w:line="360" w:lineRule="auto"/>
              <w:rPr>
                <w:rFonts w:ascii="宋体"/>
                <w:color w:val="auto"/>
                <w:sz w:val="22"/>
                <w:highlight w:val="none"/>
              </w:rPr>
            </w:pPr>
          </w:p>
        </w:tc>
        <w:tc>
          <w:tcPr>
            <w:tcW w:w="2958" w:type="dxa"/>
            <w:tcBorders>
              <w:top w:val="single" w:color="auto" w:sz="4" w:space="0"/>
              <w:left w:val="single" w:color="auto" w:sz="4" w:space="0"/>
              <w:bottom w:val="single" w:color="auto" w:sz="4" w:space="0"/>
              <w:right w:val="single" w:color="auto" w:sz="4" w:space="0"/>
            </w:tcBorders>
            <w:vAlign w:val="center"/>
          </w:tcPr>
          <w:p w14:paraId="36CE498C">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4D3B796B">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293CE99A">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18951579">
            <w:pPr>
              <w:spacing w:line="360" w:lineRule="auto"/>
              <w:rPr>
                <w:rFonts w:ascii="宋体"/>
                <w:color w:val="auto"/>
                <w:sz w:val="22"/>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3D1DC432">
            <w:pPr>
              <w:spacing w:line="360" w:lineRule="auto"/>
              <w:rPr>
                <w:rFonts w:ascii="宋体"/>
                <w:color w:val="auto"/>
                <w:sz w:val="22"/>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5E2498D5">
            <w:pPr>
              <w:spacing w:line="360" w:lineRule="auto"/>
              <w:rPr>
                <w:rFonts w:ascii="宋体"/>
                <w:color w:val="auto"/>
                <w:sz w:val="22"/>
                <w:highlight w:val="none"/>
              </w:rPr>
            </w:pPr>
          </w:p>
        </w:tc>
      </w:tr>
      <w:tr w14:paraId="50C4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0" w:type="dxa"/>
            <w:tcBorders>
              <w:top w:val="single" w:color="auto" w:sz="4" w:space="0"/>
              <w:left w:val="single" w:color="auto" w:sz="4" w:space="0"/>
              <w:bottom w:val="single" w:color="auto" w:sz="4" w:space="0"/>
              <w:right w:val="single" w:color="auto" w:sz="4" w:space="0"/>
            </w:tcBorders>
            <w:vAlign w:val="center"/>
          </w:tcPr>
          <w:p w14:paraId="72F860F8">
            <w:pPr>
              <w:spacing w:line="360" w:lineRule="auto"/>
              <w:rPr>
                <w:rFonts w:ascii="宋体"/>
                <w:color w:val="auto"/>
                <w:sz w:val="22"/>
                <w:highlight w:val="none"/>
              </w:rPr>
            </w:pPr>
          </w:p>
        </w:tc>
        <w:tc>
          <w:tcPr>
            <w:tcW w:w="2958" w:type="dxa"/>
            <w:tcBorders>
              <w:top w:val="single" w:color="auto" w:sz="4" w:space="0"/>
              <w:left w:val="single" w:color="auto" w:sz="4" w:space="0"/>
              <w:bottom w:val="single" w:color="auto" w:sz="4" w:space="0"/>
              <w:right w:val="single" w:color="auto" w:sz="4" w:space="0"/>
            </w:tcBorders>
            <w:vAlign w:val="center"/>
          </w:tcPr>
          <w:p w14:paraId="70F1CA26">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334BC7D3">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1E721471">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38186C95">
            <w:pPr>
              <w:spacing w:line="360" w:lineRule="auto"/>
              <w:rPr>
                <w:rFonts w:ascii="宋体"/>
                <w:color w:val="auto"/>
                <w:sz w:val="22"/>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30B3E297">
            <w:pPr>
              <w:spacing w:line="360" w:lineRule="auto"/>
              <w:rPr>
                <w:rFonts w:ascii="宋体"/>
                <w:color w:val="auto"/>
                <w:sz w:val="22"/>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77421842">
            <w:pPr>
              <w:spacing w:line="360" w:lineRule="auto"/>
              <w:rPr>
                <w:rFonts w:ascii="宋体"/>
                <w:color w:val="auto"/>
                <w:sz w:val="22"/>
                <w:highlight w:val="none"/>
              </w:rPr>
            </w:pPr>
          </w:p>
        </w:tc>
      </w:tr>
      <w:tr w14:paraId="75AF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0" w:type="dxa"/>
            <w:tcBorders>
              <w:top w:val="single" w:color="auto" w:sz="4" w:space="0"/>
              <w:left w:val="single" w:color="auto" w:sz="4" w:space="0"/>
              <w:bottom w:val="single" w:color="auto" w:sz="4" w:space="0"/>
              <w:right w:val="single" w:color="auto" w:sz="4" w:space="0"/>
            </w:tcBorders>
            <w:vAlign w:val="center"/>
          </w:tcPr>
          <w:p w14:paraId="5615EA31">
            <w:pPr>
              <w:spacing w:line="360" w:lineRule="auto"/>
              <w:rPr>
                <w:rFonts w:ascii="宋体"/>
                <w:color w:val="auto"/>
                <w:sz w:val="22"/>
                <w:highlight w:val="none"/>
              </w:rPr>
            </w:pPr>
          </w:p>
        </w:tc>
        <w:tc>
          <w:tcPr>
            <w:tcW w:w="2958" w:type="dxa"/>
            <w:tcBorders>
              <w:top w:val="single" w:color="auto" w:sz="4" w:space="0"/>
              <w:left w:val="single" w:color="auto" w:sz="4" w:space="0"/>
              <w:bottom w:val="single" w:color="auto" w:sz="4" w:space="0"/>
              <w:right w:val="single" w:color="auto" w:sz="4" w:space="0"/>
            </w:tcBorders>
            <w:vAlign w:val="center"/>
          </w:tcPr>
          <w:p w14:paraId="1A557317">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023DCF45">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61B53031">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3FF6B07D">
            <w:pPr>
              <w:spacing w:line="360" w:lineRule="auto"/>
              <w:rPr>
                <w:rFonts w:ascii="宋体"/>
                <w:color w:val="auto"/>
                <w:sz w:val="22"/>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6B5ACEF9">
            <w:pPr>
              <w:spacing w:line="360" w:lineRule="auto"/>
              <w:rPr>
                <w:rFonts w:ascii="宋体"/>
                <w:color w:val="auto"/>
                <w:sz w:val="22"/>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6ABC59A4">
            <w:pPr>
              <w:spacing w:line="360" w:lineRule="auto"/>
              <w:rPr>
                <w:rFonts w:ascii="宋体"/>
                <w:color w:val="auto"/>
                <w:sz w:val="22"/>
                <w:highlight w:val="none"/>
              </w:rPr>
            </w:pPr>
          </w:p>
        </w:tc>
      </w:tr>
      <w:tr w14:paraId="022B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0" w:type="dxa"/>
            <w:tcBorders>
              <w:top w:val="single" w:color="auto" w:sz="4" w:space="0"/>
              <w:left w:val="single" w:color="auto" w:sz="4" w:space="0"/>
              <w:bottom w:val="single" w:color="auto" w:sz="4" w:space="0"/>
              <w:right w:val="single" w:color="auto" w:sz="4" w:space="0"/>
            </w:tcBorders>
            <w:vAlign w:val="center"/>
          </w:tcPr>
          <w:p w14:paraId="495A62E0">
            <w:pPr>
              <w:spacing w:line="360" w:lineRule="auto"/>
              <w:rPr>
                <w:rFonts w:ascii="宋体"/>
                <w:color w:val="auto"/>
                <w:sz w:val="22"/>
                <w:highlight w:val="none"/>
              </w:rPr>
            </w:pPr>
          </w:p>
        </w:tc>
        <w:tc>
          <w:tcPr>
            <w:tcW w:w="2958" w:type="dxa"/>
            <w:tcBorders>
              <w:top w:val="single" w:color="auto" w:sz="4" w:space="0"/>
              <w:left w:val="single" w:color="auto" w:sz="4" w:space="0"/>
              <w:bottom w:val="single" w:color="auto" w:sz="4" w:space="0"/>
              <w:right w:val="single" w:color="auto" w:sz="4" w:space="0"/>
            </w:tcBorders>
            <w:vAlign w:val="center"/>
          </w:tcPr>
          <w:p w14:paraId="5FB900F3">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6CA66E66">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712EB544">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0CF6AB8C">
            <w:pPr>
              <w:spacing w:line="360" w:lineRule="auto"/>
              <w:rPr>
                <w:rFonts w:ascii="宋体"/>
                <w:color w:val="auto"/>
                <w:sz w:val="22"/>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406320EE">
            <w:pPr>
              <w:spacing w:line="360" w:lineRule="auto"/>
              <w:rPr>
                <w:rFonts w:ascii="宋体"/>
                <w:color w:val="auto"/>
                <w:sz w:val="22"/>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632DFB25">
            <w:pPr>
              <w:spacing w:line="360" w:lineRule="auto"/>
              <w:rPr>
                <w:rFonts w:ascii="宋体"/>
                <w:color w:val="auto"/>
                <w:sz w:val="22"/>
                <w:highlight w:val="none"/>
              </w:rPr>
            </w:pPr>
          </w:p>
        </w:tc>
      </w:tr>
      <w:tr w14:paraId="4DD1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0" w:type="dxa"/>
            <w:tcBorders>
              <w:top w:val="single" w:color="auto" w:sz="4" w:space="0"/>
              <w:left w:val="single" w:color="auto" w:sz="4" w:space="0"/>
              <w:bottom w:val="single" w:color="auto" w:sz="4" w:space="0"/>
              <w:right w:val="single" w:color="auto" w:sz="4" w:space="0"/>
            </w:tcBorders>
            <w:vAlign w:val="center"/>
          </w:tcPr>
          <w:p w14:paraId="1C06E6AA">
            <w:pPr>
              <w:spacing w:line="360" w:lineRule="auto"/>
              <w:rPr>
                <w:rFonts w:ascii="宋体"/>
                <w:color w:val="auto"/>
                <w:sz w:val="22"/>
                <w:highlight w:val="none"/>
              </w:rPr>
            </w:pPr>
          </w:p>
        </w:tc>
        <w:tc>
          <w:tcPr>
            <w:tcW w:w="2958" w:type="dxa"/>
            <w:tcBorders>
              <w:top w:val="single" w:color="auto" w:sz="4" w:space="0"/>
              <w:left w:val="single" w:color="auto" w:sz="4" w:space="0"/>
              <w:bottom w:val="single" w:color="auto" w:sz="4" w:space="0"/>
              <w:right w:val="single" w:color="auto" w:sz="4" w:space="0"/>
            </w:tcBorders>
            <w:vAlign w:val="center"/>
          </w:tcPr>
          <w:p w14:paraId="3540D99A">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7911DCA1">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48F3FC77">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14279FD5">
            <w:pPr>
              <w:spacing w:line="360" w:lineRule="auto"/>
              <w:rPr>
                <w:rFonts w:ascii="宋体"/>
                <w:color w:val="auto"/>
                <w:sz w:val="22"/>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4D9C596D">
            <w:pPr>
              <w:spacing w:line="360" w:lineRule="auto"/>
              <w:rPr>
                <w:rFonts w:ascii="宋体"/>
                <w:color w:val="auto"/>
                <w:sz w:val="22"/>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172B1E39">
            <w:pPr>
              <w:spacing w:line="360" w:lineRule="auto"/>
              <w:rPr>
                <w:rFonts w:ascii="宋体"/>
                <w:color w:val="auto"/>
                <w:sz w:val="22"/>
                <w:highlight w:val="none"/>
              </w:rPr>
            </w:pPr>
          </w:p>
        </w:tc>
      </w:tr>
      <w:tr w14:paraId="0F73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0" w:type="dxa"/>
            <w:tcBorders>
              <w:top w:val="single" w:color="auto" w:sz="4" w:space="0"/>
              <w:left w:val="single" w:color="auto" w:sz="4" w:space="0"/>
              <w:bottom w:val="single" w:color="auto" w:sz="4" w:space="0"/>
              <w:right w:val="single" w:color="auto" w:sz="4" w:space="0"/>
            </w:tcBorders>
            <w:vAlign w:val="center"/>
          </w:tcPr>
          <w:p w14:paraId="40460000">
            <w:pPr>
              <w:spacing w:line="360" w:lineRule="auto"/>
              <w:rPr>
                <w:rFonts w:ascii="宋体"/>
                <w:color w:val="auto"/>
                <w:sz w:val="22"/>
                <w:highlight w:val="none"/>
              </w:rPr>
            </w:pPr>
          </w:p>
        </w:tc>
        <w:tc>
          <w:tcPr>
            <w:tcW w:w="2958" w:type="dxa"/>
            <w:tcBorders>
              <w:top w:val="single" w:color="auto" w:sz="4" w:space="0"/>
              <w:left w:val="single" w:color="auto" w:sz="4" w:space="0"/>
              <w:bottom w:val="single" w:color="auto" w:sz="4" w:space="0"/>
              <w:right w:val="single" w:color="auto" w:sz="4" w:space="0"/>
            </w:tcBorders>
            <w:vAlign w:val="center"/>
          </w:tcPr>
          <w:p w14:paraId="1229C1C4">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579844B2">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225F6F30">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5C9F897C">
            <w:pPr>
              <w:spacing w:line="360" w:lineRule="auto"/>
              <w:rPr>
                <w:rFonts w:ascii="宋体"/>
                <w:color w:val="auto"/>
                <w:sz w:val="22"/>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6E74195F">
            <w:pPr>
              <w:spacing w:line="360" w:lineRule="auto"/>
              <w:rPr>
                <w:rFonts w:ascii="宋体"/>
                <w:color w:val="auto"/>
                <w:sz w:val="22"/>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3BEBF7ED">
            <w:pPr>
              <w:spacing w:line="360" w:lineRule="auto"/>
              <w:rPr>
                <w:rFonts w:ascii="宋体"/>
                <w:color w:val="auto"/>
                <w:sz w:val="22"/>
                <w:highlight w:val="none"/>
              </w:rPr>
            </w:pPr>
          </w:p>
        </w:tc>
      </w:tr>
      <w:tr w14:paraId="08F1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0" w:type="dxa"/>
            <w:tcBorders>
              <w:top w:val="single" w:color="auto" w:sz="4" w:space="0"/>
              <w:left w:val="single" w:color="auto" w:sz="4" w:space="0"/>
              <w:bottom w:val="single" w:color="auto" w:sz="4" w:space="0"/>
              <w:right w:val="single" w:color="auto" w:sz="4" w:space="0"/>
            </w:tcBorders>
            <w:vAlign w:val="center"/>
          </w:tcPr>
          <w:p w14:paraId="2931797D">
            <w:pPr>
              <w:spacing w:line="360" w:lineRule="auto"/>
              <w:rPr>
                <w:rFonts w:ascii="宋体"/>
                <w:color w:val="auto"/>
                <w:sz w:val="22"/>
                <w:highlight w:val="none"/>
              </w:rPr>
            </w:pPr>
          </w:p>
        </w:tc>
        <w:tc>
          <w:tcPr>
            <w:tcW w:w="2958" w:type="dxa"/>
            <w:tcBorders>
              <w:top w:val="single" w:color="auto" w:sz="4" w:space="0"/>
              <w:left w:val="single" w:color="auto" w:sz="4" w:space="0"/>
              <w:bottom w:val="single" w:color="auto" w:sz="4" w:space="0"/>
              <w:right w:val="single" w:color="auto" w:sz="4" w:space="0"/>
            </w:tcBorders>
            <w:vAlign w:val="center"/>
          </w:tcPr>
          <w:p w14:paraId="65AB4A9B">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7F675C46">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72DB8EBC">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2F5EC3FF">
            <w:pPr>
              <w:spacing w:line="360" w:lineRule="auto"/>
              <w:rPr>
                <w:rFonts w:ascii="宋体"/>
                <w:color w:val="auto"/>
                <w:sz w:val="22"/>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339AC197">
            <w:pPr>
              <w:spacing w:line="360" w:lineRule="auto"/>
              <w:rPr>
                <w:rFonts w:ascii="宋体"/>
                <w:color w:val="auto"/>
                <w:sz w:val="22"/>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619C6EC5">
            <w:pPr>
              <w:spacing w:line="360" w:lineRule="auto"/>
              <w:rPr>
                <w:rFonts w:ascii="宋体"/>
                <w:color w:val="auto"/>
                <w:sz w:val="22"/>
                <w:highlight w:val="none"/>
              </w:rPr>
            </w:pPr>
          </w:p>
        </w:tc>
      </w:tr>
      <w:tr w14:paraId="5FCE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0" w:type="dxa"/>
            <w:tcBorders>
              <w:top w:val="single" w:color="auto" w:sz="4" w:space="0"/>
              <w:left w:val="single" w:color="auto" w:sz="4" w:space="0"/>
              <w:bottom w:val="single" w:color="auto" w:sz="4" w:space="0"/>
              <w:right w:val="single" w:color="auto" w:sz="4" w:space="0"/>
            </w:tcBorders>
            <w:vAlign w:val="center"/>
          </w:tcPr>
          <w:p w14:paraId="72B37BE6">
            <w:pPr>
              <w:spacing w:line="360" w:lineRule="auto"/>
              <w:rPr>
                <w:rFonts w:ascii="宋体"/>
                <w:color w:val="auto"/>
                <w:sz w:val="22"/>
                <w:highlight w:val="none"/>
              </w:rPr>
            </w:pPr>
          </w:p>
        </w:tc>
        <w:tc>
          <w:tcPr>
            <w:tcW w:w="2958" w:type="dxa"/>
            <w:tcBorders>
              <w:top w:val="single" w:color="auto" w:sz="4" w:space="0"/>
              <w:left w:val="single" w:color="auto" w:sz="4" w:space="0"/>
              <w:bottom w:val="single" w:color="auto" w:sz="4" w:space="0"/>
              <w:right w:val="single" w:color="auto" w:sz="4" w:space="0"/>
            </w:tcBorders>
            <w:vAlign w:val="center"/>
          </w:tcPr>
          <w:p w14:paraId="6FAB9B50">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2A9B31C0">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425B830B">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0E84856F">
            <w:pPr>
              <w:spacing w:line="360" w:lineRule="auto"/>
              <w:rPr>
                <w:rFonts w:ascii="宋体"/>
                <w:color w:val="auto"/>
                <w:sz w:val="22"/>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40A95438">
            <w:pPr>
              <w:spacing w:line="360" w:lineRule="auto"/>
              <w:rPr>
                <w:rFonts w:ascii="宋体"/>
                <w:color w:val="auto"/>
                <w:sz w:val="22"/>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28238269">
            <w:pPr>
              <w:spacing w:line="360" w:lineRule="auto"/>
              <w:rPr>
                <w:rFonts w:ascii="宋体"/>
                <w:color w:val="auto"/>
                <w:sz w:val="22"/>
                <w:highlight w:val="none"/>
              </w:rPr>
            </w:pPr>
          </w:p>
        </w:tc>
      </w:tr>
      <w:tr w14:paraId="237F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0" w:type="dxa"/>
            <w:tcBorders>
              <w:top w:val="single" w:color="auto" w:sz="4" w:space="0"/>
              <w:left w:val="single" w:color="auto" w:sz="4" w:space="0"/>
              <w:bottom w:val="single" w:color="auto" w:sz="4" w:space="0"/>
              <w:right w:val="single" w:color="auto" w:sz="4" w:space="0"/>
            </w:tcBorders>
            <w:vAlign w:val="center"/>
          </w:tcPr>
          <w:p w14:paraId="094ED511">
            <w:pPr>
              <w:spacing w:line="360" w:lineRule="auto"/>
              <w:rPr>
                <w:rFonts w:ascii="宋体"/>
                <w:color w:val="auto"/>
                <w:sz w:val="22"/>
                <w:highlight w:val="none"/>
              </w:rPr>
            </w:pPr>
          </w:p>
        </w:tc>
        <w:tc>
          <w:tcPr>
            <w:tcW w:w="2958" w:type="dxa"/>
            <w:tcBorders>
              <w:top w:val="single" w:color="auto" w:sz="4" w:space="0"/>
              <w:left w:val="single" w:color="auto" w:sz="4" w:space="0"/>
              <w:bottom w:val="single" w:color="auto" w:sz="4" w:space="0"/>
              <w:right w:val="single" w:color="auto" w:sz="4" w:space="0"/>
            </w:tcBorders>
            <w:vAlign w:val="center"/>
          </w:tcPr>
          <w:p w14:paraId="4E2A23EC">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20F39EAF">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04720665">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327CDAA5">
            <w:pPr>
              <w:spacing w:line="360" w:lineRule="auto"/>
              <w:rPr>
                <w:rFonts w:ascii="宋体"/>
                <w:color w:val="auto"/>
                <w:sz w:val="22"/>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6D3EFFFE">
            <w:pPr>
              <w:spacing w:line="360" w:lineRule="auto"/>
              <w:rPr>
                <w:rFonts w:ascii="宋体"/>
                <w:color w:val="auto"/>
                <w:sz w:val="22"/>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75ED83B2">
            <w:pPr>
              <w:spacing w:line="360" w:lineRule="auto"/>
              <w:rPr>
                <w:rFonts w:ascii="宋体"/>
                <w:color w:val="auto"/>
                <w:sz w:val="22"/>
                <w:highlight w:val="none"/>
              </w:rPr>
            </w:pPr>
          </w:p>
        </w:tc>
      </w:tr>
      <w:tr w14:paraId="5C6D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0" w:type="dxa"/>
            <w:tcBorders>
              <w:top w:val="single" w:color="auto" w:sz="4" w:space="0"/>
              <w:left w:val="single" w:color="auto" w:sz="4" w:space="0"/>
              <w:bottom w:val="single" w:color="auto" w:sz="4" w:space="0"/>
              <w:right w:val="single" w:color="auto" w:sz="4" w:space="0"/>
            </w:tcBorders>
            <w:vAlign w:val="center"/>
          </w:tcPr>
          <w:p w14:paraId="7879EE03">
            <w:pPr>
              <w:spacing w:line="360" w:lineRule="auto"/>
              <w:rPr>
                <w:rFonts w:ascii="宋体"/>
                <w:color w:val="auto"/>
                <w:sz w:val="22"/>
                <w:highlight w:val="none"/>
              </w:rPr>
            </w:pPr>
          </w:p>
        </w:tc>
        <w:tc>
          <w:tcPr>
            <w:tcW w:w="2958" w:type="dxa"/>
            <w:tcBorders>
              <w:top w:val="single" w:color="auto" w:sz="4" w:space="0"/>
              <w:left w:val="single" w:color="auto" w:sz="4" w:space="0"/>
              <w:bottom w:val="single" w:color="auto" w:sz="4" w:space="0"/>
              <w:right w:val="single" w:color="auto" w:sz="4" w:space="0"/>
            </w:tcBorders>
            <w:vAlign w:val="center"/>
          </w:tcPr>
          <w:p w14:paraId="2ED3EFA2">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54EAFB58">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0AC54782">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3CCF350B">
            <w:pPr>
              <w:spacing w:line="360" w:lineRule="auto"/>
              <w:rPr>
                <w:rFonts w:ascii="宋体"/>
                <w:color w:val="auto"/>
                <w:sz w:val="22"/>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1352A1DD">
            <w:pPr>
              <w:spacing w:line="360" w:lineRule="auto"/>
              <w:rPr>
                <w:rFonts w:ascii="宋体"/>
                <w:color w:val="auto"/>
                <w:sz w:val="22"/>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2F55461C">
            <w:pPr>
              <w:spacing w:line="360" w:lineRule="auto"/>
              <w:rPr>
                <w:rFonts w:ascii="宋体"/>
                <w:color w:val="auto"/>
                <w:sz w:val="22"/>
                <w:highlight w:val="none"/>
              </w:rPr>
            </w:pPr>
          </w:p>
        </w:tc>
      </w:tr>
      <w:tr w14:paraId="5B55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0" w:type="dxa"/>
            <w:tcBorders>
              <w:top w:val="single" w:color="auto" w:sz="4" w:space="0"/>
              <w:left w:val="single" w:color="auto" w:sz="4" w:space="0"/>
              <w:bottom w:val="single" w:color="auto" w:sz="4" w:space="0"/>
              <w:right w:val="single" w:color="auto" w:sz="4" w:space="0"/>
            </w:tcBorders>
            <w:vAlign w:val="center"/>
          </w:tcPr>
          <w:p w14:paraId="09883212">
            <w:pPr>
              <w:spacing w:line="360" w:lineRule="auto"/>
              <w:rPr>
                <w:rFonts w:ascii="宋体"/>
                <w:color w:val="auto"/>
                <w:sz w:val="22"/>
                <w:highlight w:val="none"/>
              </w:rPr>
            </w:pPr>
          </w:p>
        </w:tc>
        <w:tc>
          <w:tcPr>
            <w:tcW w:w="2958" w:type="dxa"/>
            <w:tcBorders>
              <w:top w:val="single" w:color="auto" w:sz="4" w:space="0"/>
              <w:left w:val="single" w:color="auto" w:sz="4" w:space="0"/>
              <w:bottom w:val="single" w:color="auto" w:sz="4" w:space="0"/>
              <w:right w:val="single" w:color="auto" w:sz="4" w:space="0"/>
            </w:tcBorders>
            <w:vAlign w:val="center"/>
          </w:tcPr>
          <w:p w14:paraId="145E78ED">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5D95CF43">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6F6322CD">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16FEA426">
            <w:pPr>
              <w:spacing w:line="360" w:lineRule="auto"/>
              <w:rPr>
                <w:rFonts w:ascii="宋体"/>
                <w:color w:val="auto"/>
                <w:sz w:val="22"/>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3977B9EA">
            <w:pPr>
              <w:spacing w:line="360" w:lineRule="auto"/>
              <w:rPr>
                <w:rFonts w:ascii="宋体"/>
                <w:color w:val="auto"/>
                <w:sz w:val="22"/>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15C5F55B">
            <w:pPr>
              <w:spacing w:line="360" w:lineRule="auto"/>
              <w:rPr>
                <w:rFonts w:ascii="宋体"/>
                <w:color w:val="auto"/>
                <w:sz w:val="22"/>
                <w:highlight w:val="none"/>
              </w:rPr>
            </w:pPr>
          </w:p>
        </w:tc>
      </w:tr>
      <w:tr w14:paraId="3CB55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70" w:type="dxa"/>
            <w:tcBorders>
              <w:top w:val="single" w:color="auto" w:sz="4" w:space="0"/>
              <w:left w:val="single" w:color="auto" w:sz="4" w:space="0"/>
              <w:bottom w:val="single" w:color="auto" w:sz="4" w:space="0"/>
              <w:right w:val="single" w:color="auto" w:sz="4" w:space="0"/>
            </w:tcBorders>
            <w:vAlign w:val="center"/>
          </w:tcPr>
          <w:p w14:paraId="428D1D97">
            <w:pPr>
              <w:spacing w:line="360" w:lineRule="auto"/>
              <w:rPr>
                <w:rFonts w:ascii="宋体"/>
                <w:color w:val="auto"/>
                <w:sz w:val="22"/>
                <w:highlight w:val="none"/>
              </w:rPr>
            </w:pPr>
          </w:p>
        </w:tc>
        <w:tc>
          <w:tcPr>
            <w:tcW w:w="2958" w:type="dxa"/>
            <w:tcBorders>
              <w:top w:val="single" w:color="auto" w:sz="4" w:space="0"/>
              <w:left w:val="single" w:color="auto" w:sz="4" w:space="0"/>
              <w:bottom w:val="single" w:color="auto" w:sz="4" w:space="0"/>
              <w:right w:val="single" w:color="auto" w:sz="4" w:space="0"/>
            </w:tcBorders>
            <w:vAlign w:val="center"/>
          </w:tcPr>
          <w:p w14:paraId="19F6C652">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75A40151">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0BDAD931">
            <w:pPr>
              <w:spacing w:line="360" w:lineRule="auto"/>
              <w:rPr>
                <w:rFonts w:ascii="宋体"/>
                <w:color w:val="auto"/>
                <w:sz w:val="22"/>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5F6EE51F">
            <w:pPr>
              <w:spacing w:line="360" w:lineRule="auto"/>
              <w:rPr>
                <w:rFonts w:ascii="宋体"/>
                <w:color w:val="auto"/>
                <w:sz w:val="22"/>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177677D6">
            <w:pPr>
              <w:spacing w:line="360" w:lineRule="auto"/>
              <w:rPr>
                <w:rFonts w:ascii="宋体"/>
                <w:color w:val="auto"/>
                <w:sz w:val="22"/>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0BBA30D5">
            <w:pPr>
              <w:spacing w:line="360" w:lineRule="auto"/>
              <w:rPr>
                <w:rFonts w:ascii="宋体"/>
                <w:color w:val="auto"/>
                <w:sz w:val="22"/>
                <w:highlight w:val="none"/>
              </w:rPr>
            </w:pPr>
          </w:p>
        </w:tc>
      </w:tr>
    </w:tbl>
    <w:p w14:paraId="51725DC1">
      <w:pPr>
        <w:spacing w:line="460" w:lineRule="atLeast"/>
        <w:ind w:firstLine="330" w:firstLineChars="150"/>
        <w:rPr>
          <w:rFonts w:ascii="宋体" w:eastAsia="宋体"/>
          <w:b w:val="0"/>
          <w:color w:val="auto"/>
          <w:spacing w:val="20"/>
          <w:sz w:val="22"/>
          <w:szCs w:val="22"/>
          <w:highlight w:val="none"/>
        </w:rPr>
      </w:pPr>
      <w:r>
        <w:rPr>
          <w:rFonts w:hint="eastAsia" w:ascii="宋体" w:cs="Arial"/>
          <w:color w:val="auto"/>
          <w:sz w:val="22"/>
          <w:highlight w:val="none"/>
        </w:rPr>
        <w:t>附注：</w:t>
      </w:r>
      <w:r>
        <w:rPr>
          <w:rFonts w:ascii="宋体" w:eastAsia="宋体"/>
          <w:b w:val="0"/>
          <w:color w:val="auto"/>
          <w:spacing w:val="20"/>
          <w:sz w:val="22"/>
          <w:szCs w:val="22"/>
          <w:highlight w:val="none"/>
        </w:rPr>
        <w:t>在填写时，可根据</w:t>
      </w:r>
      <w:r>
        <w:rPr>
          <w:rFonts w:hint="eastAsia" w:ascii="宋体" w:eastAsia="宋体"/>
          <w:b w:val="0"/>
          <w:color w:val="auto"/>
          <w:spacing w:val="20"/>
          <w:sz w:val="22"/>
          <w:szCs w:val="22"/>
          <w:highlight w:val="none"/>
          <w:lang w:val="en-US" w:eastAsia="zh-CN"/>
        </w:rPr>
        <w:t>具体评分要求</w:t>
      </w:r>
      <w:r>
        <w:rPr>
          <w:rFonts w:ascii="宋体" w:eastAsia="宋体"/>
          <w:b w:val="0"/>
          <w:color w:val="auto"/>
          <w:spacing w:val="20"/>
          <w:sz w:val="22"/>
          <w:szCs w:val="22"/>
          <w:highlight w:val="none"/>
        </w:rPr>
        <w:t>格式自行制表填写。</w:t>
      </w:r>
    </w:p>
    <w:p w14:paraId="53C2B018">
      <w:pPr>
        <w:spacing w:line="360" w:lineRule="exact"/>
        <w:ind w:left="718" w:leftChars="321" w:hanging="44" w:hangingChars="20"/>
        <w:rPr>
          <w:rFonts w:ascii="宋体" w:cs="Arial"/>
          <w:color w:val="auto"/>
          <w:sz w:val="22"/>
          <w:highlight w:val="none"/>
        </w:rPr>
      </w:pPr>
    </w:p>
    <w:p w14:paraId="4ABD8761">
      <w:pPr>
        <w:autoSpaceDE w:val="0"/>
        <w:autoSpaceDN w:val="0"/>
        <w:adjustRightInd w:val="0"/>
        <w:spacing w:line="460" w:lineRule="atLeast"/>
        <w:ind w:firstLine="440" w:firstLineChars="200"/>
        <w:rPr>
          <w:rFonts w:ascii="宋体" w:hAnsi="宋体"/>
          <w:color w:val="auto"/>
          <w:sz w:val="22"/>
          <w:szCs w:val="22"/>
          <w:highlight w:val="none"/>
        </w:rPr>
      </w:pPr>
    </w:p>
    <w:p w14:paraId="7D9B863C">
      <w:pPr>
        <w:autoSpaceDE w:val="0"/>
        <w:autoSpaceDN w:val="0"/>
        <w:adjustRightInd w:val="0"/>
        <w:spacing w:line="460" w:lineRule="atLeast"/>
        <w:ind w:firstLine="440" w:firstLineChars="200"/>
        <w:rPr>
          <w:rFonts w:ascii="宋体" w:hAnsi="宋体"/>
          <w:color w:val="auto"/>
          <w:sz w:val="36"/>
          <w:highlight w:val="none"/>
        </w:rPr>
      </w:pPr>
      <w:r>
        <w:rPr>
          <w:rFonts w:hint="eastAsia" w:ascii="宋体" w:hAnsi="宋体"/>
          <w:color w:val="auto"/>
          <w:sz w:val="22"/>
          <w:szCs w:val="22"/>
          <w:highlight w:val="none"/>
          <w:lang w:val="zh-CN"/>
        </w:rPr>
        <w:t>投标供应商（盖章）：</w:t>
      </w:r>
    </w:p>
    <w:p w14:paraId="40D798F5">
      <w:pPr>
        <w:autoSpaceDE w:val="0"/>
        <w:autoSpaceDN w:val="0"/>
        <w:adjustRightInd w:val="0"/>
        <w:spacing w:line="460" w:lineRule="atLeast"/>
        <w:ind w:firstLine="3592" w:firstLineChars="998"/>
        <w:rPr>
          <w:rFonts w:ascii="宋体" w:hAnsi="宋体"/>
          <w:color w:val="auto"/>
          <w:sz w:val="36"/>
          <w:highlight w:val="none"/>
        </w:rPr>
      </w:pPr>
    </w:p>
    <w:p w14:paraId="2CCFB43D">
      <w:pPr>
        <w:autoSpaceDE w:val="0"/>
        <w:autoSpaceDN w:val="0"/>
        <w:adjustRightInd w:val="0"/>
        <w:spacing w:line="460" w:lineRule="atLeast"/>
        <w:ind w:firstLine="3592" w:firstLineChars="998"/>
        <w:rPr>
          <w:rFonts w:ascii="宋体" w:hAnsi="宋体"/>
          <w:color w:val="auto"/>
          <w:sz w:val="36"/>
          <w:highlight w:val="none"/>
        </w:rPr>
      </w:pPr>
    </w:p>
    <w:p w14:paraId="11BC804B">
      <w:pPr>
        <w:autoSpaceDE w:val="0"/>
        <w:autoSpaceDN w:val="0"/>
        <w:adjustRightInd w:val="0"/>
        <w:spacing w:line="460" w:lineRule="atLeast"/>
        <w:ind w:firstLine="3592" w:firstLineChars="998"/>
        <w:rPr>
          <w:rFonts w:ascii="宋体" w:hAnsi="宋体"/>
          <w:color w:val="auto"/>
          <w:sz w:val="36"/>
          <w:highlight w:val="none"/>
        </w:rPr>
      </w:pPr>
    </w:p>
    <w:p w14:paraId="25E38DCA">
      <w:pPr>
        <w:autoSpaceDE w:val="0"/>
        <w:autoSpaceDN w:val="0"/>
        <w:adjustRightInd w:val="0"/>
        <w:spacing w:line="460" w:lineRule="atLeast"/>
        <w:ind w:firstLine="3592" w:firstLineChars="998"/>
        <w:rPr>
          <w:rFonts w:ascii="宋体" w:hAnsi="宋体"/>
          <w:color w:val="auto"/>
          <w:sz w:val="36"/>
          <w:highlight w:val="none"/>
        </w:rPr>
      </w:pPr>
    </w:p>
    <w:p w14:paraId="08874DEB">
      <w:pPr>
        <w:pStyle w:val="34"/>
        <w:adjustRightInd w:val="0"/>
        <w:snapToGrid w:val="0"/>
        <w:spacing w:line="440" w:lineRule="atLeast"/>
        <w:jc w:val="left"/>
        <w:outlineLvl w:val="1"/>
        <w:rPr>
          <w:rFonts w:hAnsi="宋体"/>
          <w:color w:val="auto"/>
          <w:sz w:val="30"/>
          <w:highlight w:val="none"/>
        </w:rPr>
      </w:pPr>
      <w:bookmarkStart w:id="74" w:name="_Toc18033"/>
      <w:r>
        <w:rPr>
          <w:rFonts w:hAnsi="宋体"/>
          <w:color w:val="auto"/>
          <w:sz w:val="30"/>
          <w:highlight w:val="none"/>
        </w:rPr>
        <w:t>附件九</w:t>
      </w:r>
      <w:bookmarkEnd w:id="74"/>
    </w:p>
    <w:p w14:paraId="3407DB77">
      <w:pPr>
        <w:pStyle w:val="34"/>
        <w:adjustRightInd w:val="0"/>
        <w:snapToGrid w:val="0"/>
        <w:spacing w:line="440" w:lineRule="atLeast"/>
        <w:ind w:firstLine="440"/>
        <w:jc w:val="center"/>
        <w:outlineLvl w:val="1"/>
        <w:rPr>
          <w:rFonts w:hAnsi="宋体" w:cs="Arial"/>
          <w:bCs/>
          <w:color w:val="auto"/>
          <w:sz w:val="36"/>
          <w:szCs w:val="36"/>
          <w:highlight w:val="none"/>
          <w:lang w:val="zh-CN"/>
        </w:rPr>
      </w:pPr>
      <w:bookmarkStart w:id="75" w:name="_Toc25212"/>
      <w:r>
        <w:rPr>
          <w:rFonts w:hint="eastAsia" w:hAnsi="宋体" w:cs="Arial"/>
          <w:bCs/>
          <w:color w:val="auto"/>
          <w:sz w:val="36"/>
          <w:szCs w:val="36"/>
          <w:highlight w:val="none"/>
          <w:lang w:val="zh-CN"/>
        </w:rPr>
        <w:t>偏离表</w:t>
      </w:r>
      <w:bookmarkEnd w:id="75"/>
    </w:p>
    <w:tbl>
      <w:tblPr>
        <w:tblStyle w:val="65"/>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6"/>
        <w:gridCol w:w="2195"/>
        <w:gridCol w:w="2195"/>
        <w:gridCol w:w="2195"/>
        <w:gridCol w:w="2199"/>
      </w:tblGrid>
      <w:tr w14:paraId="56DEA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9640" w:type="dxa"/>
            <w:gridSpan w:val="5"/>
            <w:vAlign w:val="center"/>
          </w:tcPr>
          <w:p w14:paraId="79224297">
            <w:pPr>
              <w:autoSpaceDE w:val="0"/>
              <w:autoSpaceDN w:val="0"/>
              <w:adjustRightInd w:val="0"/>
              <w:spacing w:line="460" w:lineRule="atLeast"/>
              <w:jc w:val="center"/>
              <w:rPr>
                <w:rFonts w:ascii="宋体" w:hAnsi="宋体"/>
                <w:color w:val="auto"/>
                <w:sz w:val="22"/>
                <w:highlight w:val="none"/>
                <w:lang w:val="zh-CN"/>
              </w:rPr>
            </w:pPr>
            <w:r>
              <w:rPr>
                <w:rFonts w:ascii="宋体" w:hAnsi="宋体"/>
                <w:color w:val="auto"/>
                <w:sz w:val="22"/>
                <w:highlight w:val="none"/>
                <w:lang w:val="zh-CN"/>
              </w:rPr>
              <w:t>商务</w:t>
            </w:r>
            <w:r>
              <w:rPr>
                <w:rFonts w:hint="eastAsia" w:ascii="宋体" w:hAnsi="宋体"/>
                <w:color w:val="auto"/>
                <w:sz w:val="22"/>
                <w:highlight w:val="none"/>
                <w:lang w:val="zh-CN"/>
              </w:rPr>
              <w:t>偏离</w:t>
            </w:r>
          </w:p>
        </w:tc>
      </w:tr>
      <w:tr w14:paraId="422AF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856" w:type="dxa"/>
            <w:vAlign w:val="center"/>
          </w:tcPr>
          <w:p w14:paraId="092D5DDC">
            <w:pPr>
              <w:autoSpaceDE w:val="0"/>
              <w:autoSpaceDN w:val="0"/>
              <w:adjustRightInd w:val="0"/>
              <w:spacing w:line="460" w:lineRule="atLeast"/>
              <w:jc w:val="center"/>
              <w:rPr>
                <w:rFonts w:ascii="宋体" w:hAnsi="宋体"/>
                <w:color w:val="auto"/>
                <w:sz w:val="22"/>
                <w:highlight w:val="none"/>
                <w:lang w:val="zh-CN"/>
              </w:rPr>
            </w:pPr>
            <w:r>
              <w:rPr>
                <w:rFonts w:hint="eastAsia" w:ascii="宋体" w:hAnsi="宋体"/>
                <w:color w:val="auto"/>
                <w:sz w:val="22"/>
                <w:highlight w:val="none"/>
                <w:lang w:val="zh-CN"/>
              </w:rPr>
              <w:t>序</w:t>
            </w:r>
            <w:r>
              <w:rPr>
                <w:rFonts w:ascii="宋体" w:hAnsi="宋体"/>
                <w:color w:val="auto"/>
                <w:sz w:val="22"/>
                <w:highlight w:val="none"/>
                <w:lang w:val="zh-CN"/>
              </w:rPr>
              <w:t xml:space="preserve"> </w:t>
            </w:r>
            <w:r>
              <w:rPr>
                <w:rFonts w:hint="eastAsia" w:ascii="宋体" w:hAnsi="宋体"/>
                <w:color w:val="auto"/>
                <w:sz w:val="22"/>
                <w:highlight w:val="none"/>
                <w:lang w:val="zh-CN"/>
              </w:rPr>
              <w:t>号</w:t>
            </w:r>
          </w:p>
        </w:tc>
        <w:tc>
          <w:tcPr>
            <w:tcW w:w="2195" w:type="dxa"/>
            <w:vAlign w:val="center"/>
          </w:tcPr>
          <w:p w14:paraId="495E6892">
            <w:pPr>
              <w:autoSpaceDE w:val="0"/>
              <w:autoSpaceDN w:val="0"/>
              <w:adjustRightInd w:val="0"/>
              <w:spacing w:line="460" w:lineRule="atLeast"/>
              <w:jc w:val="center"/>
              <w:rPr>
                <w:rFonts w:ascii="宋体" w:hAnsi="宋体"/>
                <w:color w:val="auto"/>
                <w:sz w:val="22"/>
                <w:highlight w:val="none"/>
                <w:lang w:val="zh-CN"/>
              </w:rPr>
            </w:pPr>
            <w:r>
              <w:rPr>
                <w:rFonts w:hint="eastAsia" w:ascii="宋体" w:hAnsi="宋体"/>
                <w:color w:val="auto"/>
                <w:sz w:val="22"/>
                <w:highlight w:val="none"/>
                <w:lang w:val="zh-CN"/>
              </w:rPr>
              <w:t>内容</w:t>
            </w:r>
          </w:p>
        </w:tc>
        <w:tc>
          <w:tcPr>
            <w:tcW w:w="2195" w:type="dxa"/>
            <w:vAlign w:val="center"/>
          </w:tcPr>
          <w:p w14:paraId="4EBB90F0">
            <w:pPr>
              <w:autoSpaceDE w:val="0"/>
              <w:autoSpaceDN w:val="0"/>
              <w:adjustRightInd w:val="0"/>
              <w:spacing w:line="460" w:lineRule="atLeast"/>
              <w:jc w:val="center"/>
              <w:rPr>
                <w:rFonts w:ascii="宋体" w:hAnsi="宋体"/>
                <w:color w:val="auto"/>
                <w:sz w:val="22"/>
                <w:highlight w:val="none"/>
                <w:lang w:val="zh-CN"/>
              </w:rPr>
            </w:pPr>
            <w:r>
              <w:rPr>
                <w:rFonts w:hint="eastAsia" w:ascii="宋体" w:hAnsi="宋体"/>
                <w:color w:val="auto"/>
                <w:sz w:val="22"/>
                <w:highlight w:val="none"/>
                <w:lang w:val="zh-CN"/>
              </w:rPr>
              <w:t>磋商文件要求</w:t>
            </w:r>
          </w:p>
        </w:tc>
        <w:tc>
          <w:tcPr>
            <w:tcW w:w="2195" w:type="dxa"/>
            <w:vAlign w:val="center"/>
          </w:tcPr>
          <w:p w14:paraId="1C08AE7D">
            <w:pPr>
              <w:autoSpaceDE w:val="0"/>
              <w:autoSpaceDN w:val="0"/>
              <w:adjustRightInd w:val="0"/>
              <w:spacing w:line="460" w:lineRule="atLeast"/>
              <w:jc w:val="center"/>
              <w:rPr>
                <w:rFonts w:ascii="宋体" w:hAnsi="宋体"/>
                <w:color w:val="auto"/>
                <w:sz w:val="22"/>
                <w:highlight w:val="none"/>
                <w:lang w:val="zh-CN"/>
              </w:rPr>
            </w:pPr>
            <w:r>
              <w:rPr>
                <w:rFonts w:hint="eastAsia" w:ascii="宋体" w:hAnsi="宋体"/>
                <w:color w:val="auto"/>
                <w:sz w:val="22"/>
                <w:highlight w:val="none"/>
                <w:lang w:val="zh-CN"/>
              </w:rPr>
              <w:t>磋商响应文件对应</w:t>
            </w:r>
          </w:p>
        </w:tc>
        <w:tc>
          <w:tcPr>
            <w:tcW w:w="2199" w:type="dxa"/>
            <w:vAlign w:val="center"/>
          </w:tcPr>
          <w:p w14:paraId="02118F75">
            <w:pPr>
              <w:autoSpaceDE w:val="0"/>
              <w:autoSpaceDN w:val="0"/>
              <w:adjustRightInd w:val="0"/>
              <w:spacing w:line="460" w:lineRule="atLeast"/>
              <w:jc w:val="center"/>
              <w:rPr>
                <w:rFonts w:ascii="宋体" w:hAnsi="宋体"/>
                <w:color w:val="auto"/>
                <w:sz w:val="22"/>
                <w:highlight w:val="none"/>
                <w:lang w:val="zh-CN"/>
              </w:rPr>
            </w:pPr>
            <w:r>
              <w:rPr>
                <w:rFonts w:hint="eastAsia" w:ascii="宋体" w:hAnsi="宋体"/>
                <w:color w:val="auto"/>
                <w:sz w:val="22"/>
                <w:highlight w:val="none"/>
                <w:lang w:val="zh-CN"/>
              </w:rPr>
              <w:t>备</w:t>
            </w:r>
            <w:r>
              <w:rPr>
                <w:rFonts w:ascii="宋体" w:hAnsi="宋体"/>
                <w:color w:val="auto"/>
                <w:sz w:val="22"/>
                <w:highlight w:val="none"/>
                <w:lang w:val="zh-CN"/>
              </w:rPr>
              <w:t xml:space="preserve"> </w:t>
            </w:r>
            <w:r>
              <w:rPr>
                <w:rFonts w:hint="eastAsia" w:ascii="宋体" w:hAnsi="宋体"/>
                <w:color w:val="auto"/>
                <w:sz w:val="22"/>
                <w:highlight w:val="none"/>
                <w:lang w:val="zh-CN"/>
              </w:rPr>
              <w:t>注</w:t>
            </w:r>
          </w:p>
        </w:tc>
      </w:tr>
      <w:tr w14:paraId="3618E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856" w:type="dxa"/>
          </w:tcPr>
          <w:p w14:paraId="5A810D5E">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6F7047A7">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335C0F2D">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64601DC0">
            <w:pPr>
              <w:autoSpaceDE w:val="0"/>
              <w:autoSpaceDN w:val="0"/>
              <w:adjustRightInd w:val="0"/>
              <w:spacing w:line="460" w:lineRule="atLeast"/>
              <w:jc w:val="center"/>
              <w:rPr>
                <w:rFonts w:ascii="宋体" w:hAnsi="宋体"/>
                <w:color w:val="auto"/>
                <w:sz w:val="22"/>
                <w:highlight w:val="none"/>
                <w:lang w:val="zh-CN"/>
              </w:rPr>
            </w:pPr>
          </w:p>
        </w:tc>
        <w:tc>
          <w:tcPr>
            <w:tcW w:w="2199" w:type="dxa"/>
          </w:tcPr>
          <w:p w14:paraId="36B83B08">
            <w:pPr>
              <w:autoSpaceDE w:val="0"/>
              <w:autoSpaceDN w:val="0"/>
              <w:adjustRightInd w:val="0"/>
              <w:spacing w:line="460" w:lineRule="atLeast"/>
              <w:jc w:val="center"/>
              <w:rPr>
                <w:rFonts w:ascii="宋体" w:hAnsi="宋体"/>
                <w:color w:val="auto"/>
                <w:sz w:val="22"/>
                <w:highlight w:val="none"/>
                <w:lang w:val="zh-CN"/>
              </w:rPr>
            </w:pPr>
          </w:p>
        </w:tc>
      </w:tr>
      <w:tr w14:paraId="4DF56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856" w:type="dxa"/>
          </w:tcPr>
          <w:p w14:paraId="4BBE511F">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2F4A8BB0">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174EA6BE">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411FA1AF">
            <w:pPr>
              <w:autoSpaceDE w:val="0"/>
              <w:autoSpaceDN w:val="0"/>
              <w:adjustRightInd w:val="0"/>
              <w:spacing w:line="460" w:lineRule="atLeast"/>
              <w:jc w:val="center"/>
              <w:rPr>
                <w:rFonts w:ascii="宋体" w:hAnsi="宋体"/>
                <w:color w:val="auto"/>
                <w:sz w:val="22"/>
                <w:highlight w:val="none"/>
                <w:lang w:val="zh-CN"/>
              </w:rPr>
            </w:pPr>
          </w:p>
        </w:tc>
        <w:tc>
          <w:tcPr>
            <w:tcW w:w="2199" w:type="dxa"/>
          </w:tcPr>
          <w:p w14:paraId="76B87FA9">
            <w:pPr>
              <w:autoSpaceDE w:val="0"/>
              <w:autoSpaceDN w:val="0"/>
              <w:adjustRightInd w:val="0"/>
              <w:spacing w:line="460" w:lineRule="atLeast"/>
              <w:jc w:val="center"/>
              <w:rPr>
                <w:rFonts w:ascii="宋体" w:hAnsi="宋体"/>
                <w:color w:val="auto"/>
                <w:sz w:val="22"/>
                <w:highlight w:val="none"/>
                <w:lang w:val="zh-CN"/>
              </w:rPr>
            </w:pPr>
          </w:p>
        </w:tc>
      </w:tr>
      <w:tr w14:paraId="0BC95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856" w:type="dxa"/>
          </w:tcPr>
          <w:p w14:paraId="3D4019B0">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05AE8D70">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025AEF18">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3E13F9AC">
            <w:pPr>
              <w:autoSpaceDE w:val="0"/>
              <w:autoSpaceDN w:val="0"/>
              <w:adjustRightInd w:val="0"/>
              <w:spacing w:line="460" w:lineRule="atLeast"/>
              <w:jc w:val="center"/>
              <w:rPr>
                <w:rFonts w:ascii="宋体" w:hAnsi="宋体"/>
                <w:color w:val="auto"/>
                <w:sz w:val="22"/>
                <w:highlight w:val="none"/>
                <w:lang w:val="zh-CN"/>
              </w:rPr>
            </w:pPr>
          </w:p>
        </w:tc>
        <w:tc>
          <w:tcPr>
            <w:tcW w:w="2199" w:type="dxa"/>
          </w:tcPr>
          <w:p w14:paraId="05B96C5F">
            <w:pPr>
              <w:autoSpaceDE w:val="0"/>
              <w:autoSpaceDN w:val="0"/>
              <w:adjustRightInd w:val="0"/>
              <w:spacing w:line="460" w:lineRule="atLeast"/>
              <w:jc w:val="center"/>
              <w:rPr>
                <w:rFonts w:ascii="宋体" w:hAnsi="宋体"/>
                <w:color w:val="auto"/>
                <w:sz w:val="22"/>
                <w:highlight w:val="none"/>
                <w:lang w:val="zh-CN"/>
              </w:rPr>
            </w:pPr>
          </w:p>
        </w:tc>
      </w:tr>
      <w:tr w14:paraId="7FCC5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856" w:type="dxa"/>
          </w:tcPr>
          <w:p w14:paraId="08B54D3D">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2628183D">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654665D1">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49BB866B">
            <w:pPr>
              <w:autoSpaceDE w:val="0"/>
              <w:autoSpaceDN w:val="0"/>
              <w:adjustRightInd w:val="0"/>
              <w:spacing w:line="460" w:lineRule="atLeast"/>
              <w:jc w:val="center"/>
              <w:rPr>
                <w:rFonts w:ascii="宋体" w:hAnsi="宋体"/>
                <w:color w:val="auto"/>
                <w:sz w:val="22"/>
                <w:highlight w:val="none"/>
                <w:lang w:val="zh-CN"/>
              </w:rPr>
            </w:pPr>
          </w:p>
        </w:tc>
        <w:tc>
          <w:tcPr>
            <w:tcW w:w="2199" w:type="dxa"/>
          </w:tcPr>
          <w:p w14:paraId="2005A48D">
            <w:pPr>
              <w:autoSpaceDE w:val="0"/>
              <w:autoSpaceDN w:val="0"/>
              <w:adjustRightInd w:val="0"/>
              <w:spacing w:line="460" w:lineRule="atLeast"/>
              <w:jc w:val="center"/>
              <w:rPr>
                <w:rFonts w:ascii="宋体" w:hAnsi="宋体"/>
                <w:color w:val="auto"/>
                <w:sz w:val="22"/>
                <w:highlight w:val="none"/>
                <w:lang w:val="zh-CN"/>
              </w:rPr>
            </w:pPr>
          </w:p>
        </w:tc>
      </w:tr>
      <w:tr w14:paraId="743F9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856" w:type="dxa"/>
          </w:tcPr>
          <w:p w14:paraId="6A94DF25">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3A288074">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6EA5DCB4">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0AD62062">
            <w:pPr>
              <w:autoSpaceDE w:val="0"/>
              <w:autoSpaceDN w:val="0"/>
              <w:adjustRightInd w:val="0"/>
              <w:spacing w:line="460" w:lineRule="atLeast"/>
              <w:jc w:val="center"/>
              <w:rPr>
                <w:rFonts w:ascii="宋体" w:hAnsi="宋体"/>
                <w:color w:val="auto"/>
                <w:sz w:val="22"/>
                <w:highlight w:val="none"/>
                <w:lang w:val="zh-CN"/>
              </w:rPr>
            </w:pPr>
          </w:p>
        </w:tc>
        <w:tc>
          <w:tcPr>
            <w:tcW w:w="2199" w:type="dxa"/>
          </w:tcPr>
          <w:p w14:paraId="00FBD31B">
            <w:pPr>
              <w:autoSpaceDE w:val="0"/>
              <w:autoSpaceDN w:val="0"/>
              <w:adjustRightInd w:val="0"/>
              <w:spacing w:line="460" w:lineRule="atLeast"/>
              <w:jc w:val="center"/>
              <w:rPr>
                <w:rFonts w:ascii="宋体" w:hAnsi="宋体"/>
                <w:color w:val="auto"/>
                <w:sz w:val="22"/>
                <w:highlight w:val="none"/>
                <w:lang w:val="zh-CN"/>
              </w:rPr>
            </w:pPr>
          </w:p>
        </w:tc>
      </w:tr>
      <w:tr w14:paraId="090C7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856" w:type="dxa"/>
          </w:tcPr>
          <w:p w14:paraId="79F7FD4B">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25098F6A">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7E302AC1">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2FEEFB97">
            <w:pPr>
              <w:autoSpaceDE w:val="0"/>
              <w:autoSpaceDN w:val="0"/>
              <w:adjustRightInd w:val="0"/>
              <w:spacing w:line="460" w:lineRule="atLeast"/>
              <w:jc w:val="center"/>
              <w:rPr>
                <w:rFonts w:ascii="宋体" w:hAnsi="宋体"/>
                <w:color w:val="auto"/>
                <w:sz w:val="22"/>
                <w:highlight w:val="none"/>
                <w:lang w:val="zh-CN"/>
              </w:rPr>
            </w:pPr>
          </w:p>
        </w:tc>
        <w:tc>
          <w:tcPr>
            <w:tcW w:w="2199" w:type="dxa"/>
          </w:tcPr>
          <w:p w14:paraId="39B0F10A">
            <w:pPr>
              <w:autoSpaceDE w:val="0"/>
              <w:autoSpaceDN w:val="0"/>
              <w:adjustRightInd w:val="0"/>
              <w:spacing w:line="460" w:lineRule="atLeast"/>
              <w:jc w:val="center"/>
              <w:rPr>
                <w:rFonts w:ascii="宋体" w:hAnsi="宋体"/>
                <w:color w:val="auto"/>
                <w:sz w:val="22"/>
                <w:highlight w:val="none"/>
                <w:lang w:val="zh-CN"/>
              </w:rPr>
            </w:pPr>
          </w:p>
        </w:tc>
      </w:tr>
      <w:tr w14:paraId="6B4F9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9640" w:type="dxa"/>
            <w:gridSpan w:val="5"/>
          </w:tcPr>
          <w:p w14:paraId="03F71084">
            <w:pPr>
              <w:autoSpaceDE w:val="0"/>
              <w:autoSpaceDN w:val="0"/>
              <w:adjustRightInd w:val="0"/>
              <w:spacing w:line="460" w:lineRule="atLeast"/>
              <w:jc w:val="center"/>
              <w:rPr>
                <w:rFonts w:ascii="宋体" w:hAnsi="宋体"/>
                <w:color w:val="auto"/>
                <w:sz w:val="22"/>
                <w:highlight w:val="none"/>
                <w:lang w:val="zh-CN"/>
              </w:rPr>
            </w:pPr>
            <w:r>
              <w:rPr>
                <w:rFonts w:ascii="宋体" w:hAnsi="宋体"/>
                <w:color w:val="auto"/>
                <w:sz w:val="22"/>
                <w:highlight w:val="none"/>
                <w:lang w:val="zh-CN"/>
              </w:rPr>
              <w:t>技术</w:t>
            </w:r>
            <w:r>
              <w:rPr>
                <w:rFonts w:hint="eastAsia" w:ascii="宋体" w:hAnsi="宋体"/>
                <w:color w:val="auto"/>
                <w:sz w:val="22"/>
                <w:highlight w:val="none"/>
                <w:lang w:val="zh-CN"/>
              </w:rPr>
              <w:t>偏离</w:t>
            </w:r>
          </w:p>
        </w:tc>
      </w:tr>
      <w:tr w14:paraId="49E3D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856" w:type="dxa"/>
            <w:vAlign w:val="center"/>
          </w:tcPr>
          <w:p w14:paraId="6A5B258A">
            <w:pPr>
              <w:autoSpaceDE w:val="0"/>
              <w:autoSpaceDN w:val="0"/>
              <w:adjustRightInd w:val="0"/>
              <w:spacing w:line="460" w:lineRule="atLeast"/>
              <w:jc w:val="center"/>
              <w:rPr>
                <w:rFonts w:ascii="宋体" w:hAnsi="宋体"/>
                <w:color w:val="auto"/>
                <w:sz w:val="22"/>
                <w:highlight w:val="none"/>
                <w:lang w:val="zh-CN"/>
              </w:rPr>
            </w:pPr>
            <w:r>
              <w:rPr>
                <w:rFonts w:hint="eastAsia" w:ascii="宋体" w:hAnsi="宋体"/>
                <w:color w:val="auto"/>
                <w:sz w:val="22"/>
                <w:highlight w:val="none"/>
                <w:lang w:val="zh-CN"/>
              </w:rPr>
              <w:t>序</w:t>
            </w:r>
            <w:r>
              <w:rPr>
                <w:rFonts w:ascii="宋体" w:hAnsi="宋体"/>
                <w:color w:val="auto"/>
                <w:sz w:val="22"/>
                <w:highlight w:val="none"/>
                <w:lang w:val="zh-CN"/>
              </w:rPr>
              <w:t xml:space="preserve"> </w:t>
            </w:r>
            <w:r>
              <w:rPr>
                <w:rFonts w:hint="eastAsia" w:ascii="宋体" w:hAnsi="宋体"/>
                <w:color w:val="auto"/>
                <w:sz w:val="22"/>
                <w:highlight w:val="none"/>
                <w:lang w:val="zh-CN"/>
              </w:rPr>
              <w:t>号</w:t>
            </w:r>
          </w:p>
        </w:tc>
        <w:tc>
          <w:tcPr>
            <w:tcW w:w="2195" w:type="dxa"/>
            <w:vAlign w:val="center"/>
          </w:tcPr>
          <w:p w14:paraId="50111A02">
            <w:pPr>
              <w:autoSpaceDE w:val="0"/>
              <w:autoSpaceDN w:val="0"/>
              <w:adjustRightInd w:val="0"/>
              <w:spacing w:line="460" w:lineRule="atLeast"/>
              <w:jc w:val="center"/>
              <w:rPr>
                <w:rFonts w:ascii="宋体" w:hAnsi="宋体"/>
                <w:color w:val="auto"/>
                <w:sz w:val="22"/>
                <w:highlight w:val="none"/>
                <w:lang w:val="zh-CN"/>
              </w:rPr>
            </w:pPr>
            <w:r>
              <w:rPr>
                <w:rFonts w:hint="eastAsia" w:ascii="宋体" w:hAnsi="宋体"/>
                <w:color w:val="auto"/>
                <w:sz w:val="22"/>
                <w:highlight w:val="none"/>
                <w:lang w:val="zh-CN"/>
              </w:rPr>
              <w:t>内容</w:t>
            </w:r>
          </w:p>
        </w:tc>
        <w:tc>
          <w:tcPr>
            <w:tcW w:w="2195" w:type="dxa"/>
            <w:vAlign w:val="center"/>
          </w:tcPr>
          <w:p w14:paraId="049AF739">
            <w:pPr>
              <w:autoSpaceDE w:val="0"/>
              <w:autoSpaceDN w:val="0"/>
              <w:adjustRightInd w:val="0"/>
              <w:spacing w:line="460" w:lineRule="atLeast"/>
              <w:jc w:val="center"/>
              <w:rPr>
                <w:rFonts w:ascii="宋体" w:hAnsi="宋体"/>
                <w:color w:val="auto"/>
                <w:sz w:val="22"/>
                <w:highlight w:val="none"/>
                <w:lang w:val="zh-CN"/>
              </w:rPr>
            </w:pPr>
            <w:r>
              <w:rPr>
                <w:rFonts w:hint="eastAsia" w:ascii="宋体" w:hAnsi="宋体"/>
                <w:color w:val="auto"/>
                <w:sz w:val="22"/>
                <w:highlight w:val="none"/>
                <w:lang w:val="zh-CN"/>
              </w:rPr>
              <w:t>磋商文件要求</w:t>
            </w:r>
          </w:p>
        </w:tc>
        <w:tc>
          <w:tcPr>
            <w:tcW w:w="2195" w:type="dxa"/>
            <w:vAlign w:val="center"/>
          </w:tcPr>
          <w:p w14:paraId="0220C694">
            <w:pPr>
              <w:autoSpaceDE w:val="0"/>
              <w:autoSpaceDN w:val="0"/>
              <w:adjustRightInd w:val="0"/>
              <w:spacing w:line="460" w:lineRule="atLeast"/>
              <w:jc w:val="center"/>
              <w:rPr>
                <w:rFonts w:ascii="宋体" w:hAnsi="宋体"/>
                <w:color w:val="auto"/>
                <w:sz w:val="22"/>
                <w:highlight w:val="none"/>
                <w:lang w:val="zh-CN"/>
              </w:rPr>
            </w:pPr>
            <w:r>
              <w:rPr>
                <w:rFonts w:hint="eastAsia" w:ascii="宋体" w:hAnsi="宋体"/>
                <w:color w:val="auto"/>
                <w:sz w:val="22"/>
                <w:highlight w:val="none"/>
                <w:lang w:val="zh-CN"/>
              </w:rPr>
              <w:t>磋商响应文件对应</w:t>
            </w:r>
          </w:p>
        </w:tc>
        <w:tc>
          <w:tcPr>
            <w:tcW w:w="2199" w:type="dxa"/>
            <w:vAlign w:val="center"/>
          </w:tcPr>
          <w:p w14:paraId="41ADA2EE">
            <w:pPr>
              <w:autoSpaceDE w:val="0"/>
              <w:autoSpaceDN w:val="0"/>
              <w:adjustRightInd w:val="0"/>
              <w:spacing w:line="460" w:lineRule="atLeast"/>
              <w:jc w:val="center"/>
              <w:rPr>
                <w:rFonts w:ascii="宋体" w:hAnsi="宋体"/>
                <w:color w:val="auto"/>
                <w:sz w:val="22"/>
                <w:highlight w:val="none"/>
                <w:lang w:val="zh-CN"/>
              </w:rPr>
            </w:pPr>
            <w:r>
              <w:rPr>
                <w:rFonts w:hint="eastAsia" w:ascii="宋体" w:hAnsi="宋体"/>
                <w:color w:val="auto"/>
                <w:sz w:val="22"/>
                <w:highlight w:val="none"/>
                <w:lang w:val="zh-CN"/>
              </w:rPr>
              <w:t>备</w:t>
            </w:r>
            <w:r>
              <w:rPr>
                <w:rFonts w:ascii="宋体" w:hAnsi="宋体"/>
                <w:color w:val="auto"/>
                <w:sz w:val="22"/>
                <w:highlight w:val="none"/>
                <w:lang w:val="zh-CN"/>
              </w:rPr>
              <w:t xml:space="preserve"> </w:t>
            </w:r>
            <w:r>
              <w:rPr>
                <w:rFonts w:hint="eastAsia" w:ascii="宋体" w:hAnsi="宋体"/>
                <w:color w:val="auto"/>
                <w:sz w:val="22"/>
                <w:highlight w:val="none"/>
                <w:lang w:val="zh-CN"/>
              </w:rPr>
              <w:t>注</w:t>
            </w:r>
          </w:p>
        </w:tc>
      </w:tr>
      <w:tr w14:paraId="433F2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856" w:type="dxa"/>
          </w:tcPr>
          <w:p w14:paraId="6AFB2008">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48811742">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144185B5">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34D4998E">
            <w:pPr>
              <w:autoSpaceDE w:val="0"/>
              <w:autoSpaceDN w:val="0"/>
              <w:adjustRightInd w:val="0"/>
              <w:spacing w:line="460" w:lineRule="atLeast"/>
              <w:jc w:val="center"/>
              <w:rPr>
                <w:rFonts w:ascii="宋体" w:hAnsi="宋体"/>
                <w:color w:val="auto"/>
                <w:sz w:val="22"/>
                <w:highlight w:val="none"/>
                <w:lang w:val="zh-CN"/>
              </w:rPr>
            </w:pPr>
          </w:p>
        </w:tc>
        <w:tc>
          <w:tcPr>
            <w:tcW w:w="2199" w:type="dxa"/>
          </w:tcPr>
          <w:p w14:paraId="356A71C7">
            <w:pPr>
              <w:autoSpaceDE w:val="0"/>
              <w:autoSpaceDN w:val="0"/>
              <w:adjustRightInd w:val="0"/>
              <w:spacing w:line="460" w:lineRule="atLeast"/>
              <w:jc w:val="center"/>
              <w:rPr>
                <w:rFonts w:ascii="宋体" w:hAnsi="宋体"/>
                <w:color w:val="auto"/>
                <w:sz w:val="22"/>
                <w:highlight w:val="none"/>
                <w:lang w:val="zh-CN"/>
              </w:rPr>
            </w:pPr>
          </w:p>
        </w:tc>
      </w:tr>
      <w:tr w14:paraId="2B16D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856" w:type="dxa"/>
          </w:tcPr>
          <w:p w14:paraId="419F3255">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394CDE5A">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667B77C4">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730E9191">
            <w:pPr>
              <w:autoSpaceDE w:val="0"/>
              <w:autoSpaceDN w:val="0"/>
              <w:adjustRightInd w:val="0"/>
              <w:spacing w:line="460" w:lineRule="atLeast"/>
              <w:jc w:val="center"/>
              <w:rPr>
                <w:rFonts w:ascii="宋体" w:hAnsi="宋体"/>
                <w:color w:val="auto"/>
                <w:sz w:val="22"/>
                <w:highlight w:val="none"/>
                <w:lang w:val="zh-CN"/>
              </w:rPr>
            </w:pPr>
          </w:p>
        </w:tc>
        <w:tc>
          <w:tcPr>
            <w:tcW w:w="2199" w:type="dxa"/>
          </w:tcPr>
          <w:p w14:paraId="49B1811A">
            <w:pPr>
              <w:autoSpaceDE w:val="0"/>
              <w:autoSpaceDN w:val="0"/>
              <w:adjustRightInd w:val="0"/>
              <w:spacing w:line="460" w:lineRule="atLeast"/>
              <w:jc w:val="center"/>
              <w:rPr>
                <w:rFonts w:ascii="宋体" w:hAnsi="宋体"/>
                <w:color w:val="auto"/>
                <w:sz w:val="22"/>
                <w:highlight w:val="none"/>
                <w:lang w:val="zh-CN"/>
              </w:rPr>
            </w:pPr>
          </w:p>
        </w:tc>
      </w:tr>
      <w:tr w14:paraId="51E0D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856" w:type="dxa"/>
          </w:tcPr>
          <w:p w14:paraId="5B32E87D">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01284F33">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4283CE8B">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363389E3">
            <w:pPr>
              <w:autoSpaceDE w:val="0"/>
              <w:autoSpaceDN w:val="0"/>
              <w:adjustRightInd w:val="0"/>
              <w:spacing w:line="460" w:lineRule="atLeast"/>
              <w:jc w:val="center"/>
              <w:rPr>
                <w:rFonts w:ascii="宋体" w:hAnsi="宋体"/>
                <w:color w:val="auto"/>
                <w:sz w:val="22"/>
                <w:highlight w:val="none"/>
                <w:lang w:val="zh-CN"/>
              </w:rPr>
            </w:pPr>
          </w:p>
        </w:tc>
        <w:tc>
          <w:tcPr>
            <w:tcW w:w="2199" w:type="dxa"/>
          </w:tcPr>
          <w:p w14:paraId="1EFA65A5">
            <w:pPr>
              <w:autoSpaceDE w:val="0"/>
              <w:autoSpaceDN w:val="0"/>
              <w:adjustRightInd w:val="0"/>
              <w:spacing w:line="460" w:lineRule="atLeast"/>
              <w:jc w:val="center"/>
              <w:rPr>
                <w:rFonts w:ascii="宋体" w:hAnsi="宋体"/>
                <w:color w:val="auto"/>
                <w:sz w:val="22"/>
                <w:highlight w:val="none"/>
                <w:lang w:val="zh-CN"/>
              </w:rPr>
            </w:pPr>
          </w:p>
        </w:tc>
      </w:tr>
      <w:tr w14:paraId="4A542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856" w:type="dxa"/>
          </w:tcPr>
          <w:p w14:paraId="4A097B75">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6471BC69">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3B8740AE">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37778A1B">
            <w:pPr>
              <w:autoSpaceDE w:val="0"/>
              <w:autoSpaceDN w:val="0"/>
              <w:adjustRightInd w:val="0"/>
              <w:spacing w:line="460" w:lineRule="atLeast"/>
              <w:jc w:val="center"/>
              <w:rPr>
                <w:rFonts w:ascii="宋体" w:hAnsi="宋体"/>
                <w:color w:val="auto"/>
                <w:sz w:val="22"/>
                <w:highlight w:val="none"/>
                <w:lang w:val="zh-CN"/>
              </w:rPr>
            </w:pPr>
          </w:p>
        </w:tc>
        <w:tc>
          <w:tcPr>
            <w:tcW w:w="2199" w:type="dxa"/>
          </w:tcPr>
          <w:p w14:paraId="5478BE96">
            <w:pPr>
              <w:autoSpaceDE w:val="0"/>
              <w:autoSpaceDN w:val="0"/>
              <w:adjustRightInd w:val="0"/>
              <w:spacing w:line="460" w:lineRule="atLeast"/>
              <w:jc w:val="center"/>
              <w:rPr>
                <w:rFonts w:ascii="宋体" w:hAnsi="宋体"/>
                <w:color w:val="auto"/>
                <w:sz w:val="22"/>
                <w:highlight w:val="none"/>
                <w:lang w:val="zh-CN"/>
              </w:rPr>
            </w:pPr>
          </w:p>
        </w:tc>
      </w:tr>
      <w:tr w14:paraId="4E5AD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856" w:type="dxa"/>
          </w:tcPr>
          <w:p w14:paraId="622D84F9">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24BBD7A9">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7F1DD8F9">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73664D1B">
            <w:pPr>
              <w:autoSpaceDE w:val="0"/>
              <w:autoSpaceDN w:val="0"/>
              <w:adjustRightInd w:val="0"/>
              <w:spacing w:line="460" w:lineRule="atLeast"/>
              <w:jc w:val="center"/>
              <w:rPr>
                <w:rFonts w:ascii="宋体" w:hAnsi="宋体"/>
                <w:color w:val="auto"/>
                <w:sz w:val="22"/>
                <w:highlight w:val="none"/>
                <w:lang w:val="zh-CN"/>
              </w:rPr>
            </w:pPr>
          </w:p>
        </w:tc>
        <w:tc>
          <w:tcPr>
            <w:tcW w:w="2199" w:type="dxa"/>
          </w:tcPr>
          <w:p w14:paraId="44C84B4A">
            <w:pPr>
              <w:autoSpaceDE w:val="0"/>
              <w:autoSpaceDN w:val="0"/>
              <w:adjustRightInd w:val="0"/>
              <w:spacing w:line="460" w:lineRule="atLeast"/>
              <w:jc w:val="center"/>
              <w:rPr>
                <w:rFonts w:ascii="宋体" w:hAnsi="宋体"/>
                <w:color w:val="auto"/>
                <w:sz w:val="22"/>
                <w:highlight w:val="none"/>
                <w:lang w:val="zh-CN"/>
              </w:rPr>
            </w:pPr>
          </w:p>
        </w:tc>
      </w:tr>
      <w:tr w14:paraId="4FA5A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856" w:type="dxa"/>
          </w:tcPr>
          <w:p w14:paraId="4F008A71">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25DAF691">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29F08C7F">
            <w:pPr>
              <w:autoSpaceDE w:val="0"/>
              <w:autoSpaceDN w:val="0"/>
              <w:adjustRightInd w:val="0"/>
              <w:spacing w:line="460" w:lineRule="atLeast"/>
              <w:jc w:val="center"/>
              <w:rPr>
                <w:rFonts w:ascii="宋体" w:hAnsi="宋体"/>
                <w:color w:val="auto"/>
                <w:sz w:val="22"/>
                <w:highlight w:val="none"/>
                <w:lang w:val="zh-CN"/>
              </w:rPr>
            </w:pPr>
          </w:p>
        </w:tc>
        <w:tc>
          <w:tcPr>
            <w:tcW w:w="2195" w:type="dxa"/>
          </w:tcPr>
          <w:p w14:paraId="07A63459">
            <w:pPr>
              <w:autoSpaceDE w:val="0"/>
              <w:autoSpaceDN w:val="0"/>
              <w:adjustRightInd w:val="0"/>
              <w:spacing w:line="460" w:lineRule="atLeast"/>
              <w:jc w:val="center"/>
              <w:rPr>
                <w:rFonts w:ascii="宋体" w:hAnsi="宋体"/>
                <w:color w:val="auto"/>
                <w:sz w:val="22"/>
                <w:highlight w:val="none"/>
                <w:lang w:val="zh-CN"/>
              </w:rPr>
            </w:pPr>
          </w:p>
        </w:tc>
        <w:tc>
          <w:tcPr>
            <w:tcW w:w="2199" w:type="dxa"/>
          </w:tcPr>
          <w:p w14:paraId="15985AB5">
            <w:pPr>
              <w:autoSpaceDE w:val="0"/>
              <w:autoSpaceDN w:val="0"/>
              <w:adjustRightInd w:val="0"/>
              <w:spacing w:line="460" w:lineRule="atLeast"/>
              <w:jc w:val="center"/>
              <w:rPr>
                <w:rFonts w:ascii="宋体" w:hAnsi="宋体"/>
                <w:color w:val="auto"/>
                <w:sz w:val="22"/>
                <w:highlight w:val="none"/>
                <w:lang w:val="zh-CN"/>
              </w:rPr>
            </w:pPr>
          </w:p>
        </w:tc>
      </w:tr>
    </w:tbl>
    <w:p w14:paraId="707DE697">
      <w:pPr>
        <w:spacing w:before="120" w:beforeLines="50" w:after="120" w:afterLines="50" w:line="460" w:lineRule="atLeast"/>
        <w:ind w:right="-10"/>
        <w:rPr>
          <w:rFonts w:ascii="宋体" w:hAnsi="宋体"/>
          <w:color w:val="auto"/>
          <w:sz w:val="36"/>
          <w:highlight w:val="none"/>
        </w:rPr>
      </w:pPr>
      <w:r>
        <w:rPr>
          <w:rFonts w:hint="eastAsia" w:ascii="宋体" w:hAnsi="宋体"/>
          <w:color w:val="auto"/>
          <w:sz w:val="22"/>
          <w:szCs w:val="22"/>
          <w:highlight w:val="none"/>
          <w:lang w:val="zh-CN"/>
        </w:rPr>
        <w:t>投标供应商（盖章）：</w:t>
      </w:r>
    </w:p>
    <w:p w14:paraId="58DA66C0">
      <w:pPr>
        <w:spacing w:before="120" w:beforeLines="50" w:after="120" w:afterLines="50" w:line="460" w:lineRule="atLeast"/>
        <w:ind w:right="-10"/>
        <w:jc w:val="center"/>
        <w:rPr>
          <w:rFonts w:ascii="宋体" w:hAnsi="宋体"/>
          <w:color w:val="auto"/>
          <w:sz w:val="36"/>
          <w:highlight w:val="none"/>
        </w:rPr>
      </w:pPr>
    </w:p>
    <w:p w14:paraId="20DC1269">
      <w:pPr>
        <w:spacing w:before="120" w:beforeLines="50" w:after="120" w:afterLines="50" w:line="460" w:lineRule="atLeast"/>
        <w:ind w:right="-10"/>
        <w:jc w:val="center"/>
        <w:rPr>
          <w:rFonts w:ascii="宋体" w:hAnsi="宋体"/>
          <w:color w:val="auto"/>
          <w:sz w:val="36"/>
          <w:highlight w:val="none"/>
        </w:rPr>
      </w:pPr>
    </w:p>
    <w:p w14:paraId="53DE1707">
      <w:pPr>
        <w:spacing w:before="120" w:beforeLines="50" w:after="120" w:afterLines="50" w:line="460" w:lineRule="atLeast"/>
        <w:ind w:right="-10"/>
        <w:jc w:val="center"/>
        <w:rPr>
          <w:rFonts w:ascii="宋体" w:hAnsi="宋体"/>
          <w:b/>
          <w:color w:val="auto"/>
          <w:sz w:val="36"/>
          <w:highlight w:val="none"/>
        </w:rPr>
      </w:pPr>
    </w:p>
    <w:p w14:paraId="1730F49C">
      <w:pPr>
        <w:spacing w:before="120" w:beforeLines="50" w:after="120" w:afterLines="50" w:line="460" w:lineRule="atLeast"/>
        <w:ind w:right="-10"/>
        <w:jc w:val="center"/>
        <w:rPr>
          <w:rFonts w:ascii="宋体" w:hAnsi="宋体"/>
          <w:b/>
          <w:color w:val="auto"/>
          <w:sz w:val="36"/>
          <w:highlight w:val="none"/>
        </w:rPr>
      </w:pPr>
    </w:p>
    <w:p w14:paraId="6591A6CB">
      <w:pPr>
        <w:spacing w:before="120" w:beforeLines="50" w:after="120" w:afterLines="50" w:line="460" w:lineRule="atLeast"/>
        <w:ind w:right="-10"/>
        <w:jc w:val="center"/>
        <w:rPr>
          <w:rFonts w:ascii="宋体" w:hAnsi="宋体"/>
          <w:b/>
          <w:color w:val="auto"/>
          <w:sz w:val="36"/>
          <w:highlight w:val="none"/>
        </w:rPr>
      </w:pPr>
    </w:p>
    <w:p w14:paraId="231E4428">
      <w:pPr>
        <w:spacing w:before="120" w:beforeLines="50" w:after="120" w:afterLines="50" w:line="460" w:lineRule="atLeast"/>
        <w:ind w:right="-10"/>
        <w:jc w:val="center"/>
        <w:rPr>
          <w:rFonts w:ascii="宋体" w:hAnsi="宋体"/>
          <w:b/>
          <w:color w:val="auto"/>
          <w:sz w:val="36"/>
          <w:highlight w:val="none"/>
        </w:rPr>
      </w:pPr>
    </w:p>
    <w:p w14:paraId="734B179A">
      <w:pPr>
        <w:pStyle w:val="3"/>
        <w:ind w:firstLine="210"/>
        <w:rPr>
          <w:color w:val="auto"/>
          <w:highlight w:val="none"/>
        </w:rPr>
      </w:pPr>
    </w:p>
    <w:p w14:paraId="0D386865">
      <w:pPr>
        <w:pStyle w:val="51"/>
        <w:rPr>
          <w:color w:val="auto"/>
          <w:highlight w:val="none"/>
        </w:rPr>
      </w:pPr>
    </w:p>
    <w:p w14:paraId="00E89305">
      <w:pPr>
        <w:rPr>
          <w:color w:val="auto"/>
          <w:highlight w:val="none"/>
        </w:rPr>
      </w:pPr>
    </w:p>
    <w:p w14:paraId="1CEA3B7D">
      <w:pPr>
        <w:pStyle w:val="3"/>
        <w:ind w:firstLine="210"/>
        <w:rPr>
          <w:color w:val="auto"/>
          <w:highlight w:val="none"/>
        </w:rPr>
      </w:pPr>
    </w:p>
    <w:p w14:paraId="417B9D0E">
      <w:pPr>
        <w:pStyle w:val="34"/>
        <w:adjustRightInd w:val="0"/>
        <w:snapToGrid w:val="0"/>
        <w:spacing w:line="440" w:lineRule="atLeast"/>
        <w:jc w:val="left"/>
        <w:outlineLvl w:val="1"/>
        <w:rPr>
          <w:rFonts w:hAnsi="宋体"/>
          <w:color w:val="auto"/>
          <w:sz w:val="30"/>
          <w:highlight w:val="none"/>
        </w:rPr>
      </w:pPr>
      <w:bookmarkStart w:id="76" w:name="_Toc6888"/>
      <w:r>
        <w:rPr>
          <w:rFonts w:hAnsi="宋体"/>
          <w:color w:val="auto"/>
          <w:sz w:val="30"/>
          <w:highlight w:val="none"/>
        </w:rPr>
        <w:t>附件</w:t>
      </w:r>
      <w:r>
        <w:rPr>
          <w:rFonts w:hint="eastAsia" w:hAnsi="宋体"/>
          <w:color w:val="auto"/>
          <w:sz w:val="30"/>
          <w:highlight w:val="none"/>
        </w:rPr>
        <w:t>十</w:t>
      </w:r>
      <w:bookmarkEnd w:id="76"/>
    </w:p>
    <w:p w14:paraId="0E49EE0D">
      <w:pPr>
        <w:pStyle w:val="34"/>
        <w:adjustRightInd w:val="0"/>
        <w:snapToGrid w:val="0"/>
        <w:spacing w:after="240" w:line="440" w:lineRule="atLeast"/>
        <w:ind w:firstLine="440"/>
        <w:jc w:val="center"/>
        <w:outlineLvl w:val="1"/>
        <w:rPr>
          <w:rFonts w:hAnsi="宋体" w:cs="Arial"/>
          <w:bCs/>
          <w:color w:val="auto"/>
          <w:sz w:val="36"/>
          <w:szCs w:val="36"/>
          <w:highlight w:val="none"/>
          <w:lang w:val="zh-CN"/>
        </w:rPr>
      </w:pPr>
      <w:bookmarkStart w:id="77" w:name="_Toc9008"/>
      <w:r>
        <w:rPr>
          <w:rFonts w:hint="eastAsia" w:hAnsi="宋体" w:cs="Arial"/>
          <w:bCs/>
          <w:color w:val="auto"/>
          <w:sz w:val="36"/>
          <w:szCs w:val="36"/>
          <w:highlight w:val="none"/>
          <w:lang w:val="zh-CN"/>
        </w:rPr>
        <w:t>项目服务方案</w:t>
      </w:r>
      <w:bookmarkEnd w:id="77"/>
    </w:p>
    <w:p w14:paraId="474B4584">
      <w:pPr>
        <w:keepNext w:val="0"/>
        <w:keepLines w:val="0"/>
        <w:pageBreakBefore w:val="0"/>
        <w:kinsoku/>
        <w:wordWrap/>
        <w:topLinePunct w:val="0"/>
        <w:bidi w:val="0"/>
        <w:spacing w:line="460" w:lineRule="exact"/>
        <w:jc w:val="left"/>
        <w:rPr>
          <w:rFonts w:hint="eastAsia" w:ascii="新宋体" w:hAnsi="新宋体" w:eastAsia="新宋体" w:cs="新宋体"/>
          <w:bCs/>
          <w:color w:val="auto"/>
          <w:sz w:val="22"/>
          <w:szCs w:val="22"/>
          <w:highlight w:val="none"/>
          <w:lang w:val="en-US" w:eastAsia="zh-CN"/>
        </w:rPr>
      </w:pPr>
    </w:p>
    <w:p w14:paraId="6742D1F1">
      <w:pPr>
        <w:keepNext w:val="0"/>
        <w:keepLines w:val="0"/>
        <w:pageBreakBefore w:val="0"/>
        <w:kinsoku/>
        <w:wordWrap/>
        <w:topLinePunct w:val="0"/>
        <w:bidi w:val="0"/>
        <w:spacing w:line="480" w:lineRule="auto"/>
        <w:jc w:val="left"/>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1.总体服务方案；</w:t>
      </w:r>
    </w:p>
    <w:p w14:paraId="0F6BEB1D">
      <w:pPr>
        <w:keepNext w:val="0"/>
        <w:keepLines w:val="0"/>
        <w:pageBreakBefore w:val="0"/>
        <w:kinsoku/>
        <w:wordWrap/>
        <w:topLinePunct w:val="0"/>
        <w:bidi w:val="0"/>
        <w:spacing w:line="480" w:lineRule="auto"/>
        <w:jc w:val="left"/>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2.救助区域生活照料服务方案；</w:t>
      </w:r>
    </w:p>
    <w:p w14:paraId="713864F4">
      <w:pPr>
        <w:keepNext w:val="0"/>
        <w:keepLines w:val="0"/>
        <w:pageBreakBefore w:val="0"/>
        <w:kinsoku/>
        <w:wordWrap/>
        <w:topLinePunct w:val="0"/>
        <w:bidi w:val="0"/>
        <w:spacing w:line="480" w:lineRule="auto"/>
        <w:jc w:val="left"/>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3.保安服务方案；</w:t>
      </w:r>
    </w:p>
    <w:p w14:paraId="7B994F1D">
      <w:pPr>
        <w:keepNext w:val="0"/>
        <w:keepLines w:val="0"/>
        <w:pageBreakBefore w:val="0"/>
        <w:kinsoku/>
        <w:wordWrap/>
        <w:topLinePunct w:val="0"/>
        <w:bidi w:val="0"/>
        <w:spacing w:line="480" w:lineRule="auto"/>
        <w:jc w:val="left"/>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4.食堂服务方案；</w:t>
      </w:r>
    </w:p>
    <w:p w14:paraId="58A8312E">
      <w:pPr>
        <w:keepNext w:val="0"/>
        <w:keepLines w:val="0"/>
        <w:pageBreakBefore w:val="0"/>
        <w:kinsoku/>
        <w:wordWrap/>
        <w:topLinePunct w:val="0"/>
        <w:bidi w:val="0"/>
        <w:spacing w:line="480" w:lineRule="auto"/>
        <w:jc w:val="left"/>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5.卫生保洁服务方案；</w:t>
      </w:r>
    </w:p>
    <w:p w14:paraId="23EC3ECB">
      <w:pPr>
        <w:keepNext w:val="0"/>
        <w:keepLines w:val="0"/>
        <w:pageBreakBefore w:val="0"/>
        <w:kinsoku/>
        <w:wordWrap/>
        <w:topLinePunct w:val="0"/>
        <w:bidi w:val="0"/>
        <w:spacing w:line="480" w:lineRule="auto"/>
        <w:jc w:val="left"/>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6.员工职业保障；</w:t>
      </w:r>
    </w:p>
    <w:p w14:paraId="69A05DFB">
      <w:pPr>
        <w:keepNext w:val="0"/>
        <w:keepLines w:val="0"/>
        <w:pageBreakBefore w:val="0"/>
        <w:kinsoku/>
        <w:wordWrap/>
        <w:topLinePunct w:val="0"/>
        <w:bidi w:val="0"/>
        <w:spacing w:line="480" w:lineRule="auto"/>
        <w:jc w:val="left"/>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7.档案资料管理</w:t>
      </w:r>
    </w:p>
    <w:p w14:paraId="7F5FC554">
      <w:pPr>
        <w:keepNext w:val="0"/>
        <w:keepLines w:val="0"/>
        <w:pageBreakBefore w:val="0"/>
        <w:kinsoku/>
        <w:wordWrap/>
        <w:topLinePunct w:val="0"/>
        <w:bidi w:val="0"/>
        <w:spacing w:line="480" w:lineRule="auto"/>
        <w:jc w:val="left"/>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8.项目组织实施方案</w:t>
      </w:r>
    </w:p>
    <w:p w14:paraId="16978C9B">
      <w:pPr>
        <w:keepNext w:val="0"/>
        <w:keepLines w:val="0"/>
        <w:pageBreakBefore w:val="0"/>
        <w:kinsoku/>
        <w:wordWrap/>
        <w:topLinePunct w:val="0"/>
        <w:bidi w:val="0"/>
        <w:spacing w:line="480" w:lineRule="auto"/>
        <w:jc w:val="left"/>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9.突发事件应急处理措施</w:t>
      </w:r>
    </w:p>
    <w:p w14:paraId="0ED70BED">
      <w:pPr>
        <w:keepNext w:val="0"/>
        <w:keepLines w:val="0"/>
        <w:pageBreakBefore w:val="0"/>
        <w:kinsoku/>
        <w:wordWrap/>
        <w:topLinePunct w:val="0"/>
        <w:bidi w:val="0"/>
        <w:spacing w:line="480" w:lineRule="auto"/>
        <w:jc w:val="left"/>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10.合理化建议</w:t>
      </w:r>
    </w:p>
    <w:p w14:paraId="63C7412F">
      <w:pPr>
        <w:keepNext w:val="0"/>
        <w:keepLines w:val="0"/>
        <w:pageBreakBefore w:val="0"/>
        <w:kinsoku/>
        <w:wordWrap/>
        <w:topLinePunct w:val="0"/>
        <w:bidi w:val="0"/>
        <w:spacing w:line="480" w:lineRule="auto"/>
        <w:jc w:val="left"/>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11.保持员工队伍稳定措施的有效性</w:t>
      </w:r>
    </w:p>
    <w:p w14:paraId="7531BA9B">
      <w:pPr>
        <w:tabs>
          <w:tab w:val="left" w:pos="450"/>
          <w:tab w:val="left" w:pos="1688"/>
        </w:tabs>
        <w:spacing w:line="480" w:lineRule="auto"/>
        <w:ind w:left="1702" w:right="-11"/>
        <w:rPr>
          <w:rFonts w:ascii="宋体" w:hAnsi="宋体"/>
          <w:b/>
          <w:color w:val="auto"/>
          <w:sz w:val="30"/>
          <w:szCs w:val="30"/>
          <w:highlight w:val="none"/>
        </w:rPr>
      </w:pPr>
    </w:p>
    <w:p w14:paraId="205A49DC">
      <w:pPr>
        <w:autoSpaceDE w:val="0"/>
        <w:autoSpaceDN w:val="0"/>
        <w:adjustRightInd w:val="0"/>
        <w:spacing w:line="460" w:lineRule="atLeast"/>
        <w:rPr>
          <w:rFonts w:ascii="宋体" w:hAnsi="宋体"/>
          <w:b/>
          <w:bCs/>
          <w:color w:val="auto"/>
          <w:spacing w:val="20"/>
          <w:sz w:val="22"/>
          <w:szCs w:val="22"/>
          <w:highlight w:val="none"/>
        </w:rPr>
      </w:pPr>
      <w:r>
        <w:rPr>
          <w:rFonts w:hint="eastAsia" w:ascii="宋体"/>
          <w:b/>
          <w:color w:val="auto"/>
          <w:sz w:val="32"/>
          <w:highlight w:val="none"/>
        </w:rPr>
        <w:t xml:space="preserve"> </w:t>
      </w:r>
      <w:r>
        <w:rPr>
          <w:rFonts w:hint="eastAsia" w:ascii="宋体"/>
          <w:b/>
          <w:bCs/>
          <w:color w:val="auto"/>
          <w:sz w:val="32"/>
          <w:highlight w:val="none"/>
        </w:rPr>
        <w:t xml:space="preserve"> </w:t>
      </w:r>
      <w:r>
        <w:rPr>
          <w:rFonts w:hint="eastAsia" w:ascii="宋体" w:hAnsi="宋体"/>
          <w:b/>
          <w:bCs/>
          <w:color w:val="auto"/>
          <w:spacing w:val="20"/>
          <w:sz w:val="22"/>
          <w:szCs w:val="22"/>
          <w:highlight w:val="none"/>
        </w:rPr>
        <w:t>注：</w:t>
      </w:r>
      <w:r>
        <w:rPr>
          <w:rFonts w:hint="eastAsia" w:ascii="宋体" w:hAnsi="宋体"/>
          <w:b/>
          <w:bCs/>
          <w:color w:val="auto"/>
          <w:sz w:val="22"/>
          <w:szCs w:val="22"/>
          <w:highlight w:val="none"/>
        </w:rPr>
        <w:t>详细服务方案及内容可另页自拟格式描述</w:t>
      </w:r>
      <w:r>
        <w:rPr>
          <w:rFonts w:hint="eastAsia" w:ascii="宋体" w:hAnsi="宋体"/>
          <w:b/>
          <w:bCs/>
          <w:color w:val="auto"/>
          <w:spacing w:val="20"/>
          <w:sz w:val="22"/>
          <w:szCs w:val="22"/>
          <w:highlight w:val="none"/>
        </w:rPr>
        <w:t>。</w:t>
      </w:r>
    </w:p>
    <w:p w14:paraId="07E644B0">
      <w:pPr>
        <w:spacing w:line="460" w:lineRule="atLeast"/>
        <w:ind w:right="1120"/>
        <w:rPr>
          <w:rFonts w:ascii="宋体"/>
          <w:b/>
          <w:color w:val="auto"/>
          <w:sz w:val="32"/>
          <w:highlight w:val="none"/>
        </w:rPr>
      </w:pPr>
    </w:p>
    <w:p w14:paraId="74364DB6">
      <w:pPr>
        <w:autoSpaceDE w:val="0"/>
        <w:autoSpaceDN w:val="0"/>
        <w:adjustRightInd w:val="0"/>
        <w:spacing w:line="460" w:lineRule="atLeast"/>
        <w:ind w:firstLine="442" w:firstLineChars="200"/>
        <w:rPr>
          <w:rFonts w:ascii="宋体" w:hAnsi="宋体"/>
          <w:b/>
          <w:bCs/>
          <w:color w:val="auto"/>
          <w:sz w:val="22"/>
          <w:szCs w:val="22"/>
          <w:highlight w:val="none"/>
          <w:lang w:val="zh-CN"/>
        </w:rPr>
      </w:pPr>
    </w:p>
    <w:p w14:paraId="2444AA2A">
      <w:pPr>
        <w:pStyle w:val="5"/>
        <w:rPr>
          <w:rFonts w:ascii="宋体" w:hAnsi="宋体"/>
          <w:color w:val="auto"/>
          <w:sz w:val="36"/>
          <w:szCs w:val="36"/>
          <w:highlight w:val="none"/>
        </w:rPr>
      </w:pPr>
      <w:r>
        <w:rPr>
          <w:rFonts w:ascii="宋体" w:hAnsi="宋体"/>
          <w:color w:val="auto"/>
          <w:spacing w:val="20"/>
          <w:sz w:val="22"/>
          <w:szCs w:val="22"/>
          <w:highlight w:val="none"/>
        </w:rPr>
        <w:br w:type="page"/>
      </w:r>
      <w:bookmarkStart w:id="78" w:name="_Toc12323"/>
      <w:r>
        <w:rPr>
          <w:rFonts w:hint="eastAsia" w:ascii="宋体" w:hAnsi="宋体"/>
          <w:color w:val="auto"/>
          <w:sz w:val="36"/>
          <w:szCs w:val="36"/>
          <w:highlight w:val="none"/>
        </w:rPr>
        <w:t>第七部分   确定成交供应商办法</w:t>
      </w:r>
      <w:bookmarkEnd w:id="78"/>
    </w:p>
    <w:p w14:paraId="36440D7F">
      <w:pPr>
        <w:snapToGrid w:val="0"/>
        <w:spacing w:line="460" w:lineRule="atLeast"/>
        <w:ind w:firstLine="540"/>
        <w:rPr>
          <w:rFonts w:ascii="宋体" w:hAnsi="宋体"/>
          <w:color w:val="auto"/>
          <w:sz w:val="22"/>
          <w:szCs w:val="22"/>
          <w:highlight w:val="none"/>
        </w:rPr>
      </w:pPr>
      <w:r>
        <w:rPr>
          <w:rFonts w:hint="eastAsia" w:ascii="宋体" w:hAnsi="宋体"/>
          <w:color w:val="auto"/>
          <w:sz w:val="22"/>
          <w:szCs w:val="22"/>
          <w:highlight w:val="none"/>
        </w:rPr>
        <w:t>根据《中华人民共和国政府采购法》等有关政府采购法规，结合本次所要采购服务的实际，按照公平、公正、科学、择优的原则选择成交单位，特制定本评审办法。</w:t>
      </w:r>
    </w:p>
    <w:p w14:paraId="4F85F81A">
      <w:pPr>
        <w:snapToGrid w:val="0"/>
        <w:spacing w:line="460" w:lineRule="atLeast"/>
        <w:ind w:firstLine="3795" w:firstLineChars="1725"/>
        <w:rPr>
          <w:rFonts w:ascii="宋体" w:hAnsi="宋体"/>
          <w:color w:val="auto"/>
          <w:sz w:val="22"/>
          <w:szCs w:val="22"/>
          <w:highlight w:val="none"/>
        </w:rPr>
      </w:pPr>
      <w:r>
        <w:rPr>
          <w:rFonts w:hint="eastAsia" w:ascii="宋体" w:hAnsi="宋体"/>
          <w:color w:val="auto"/>
          <w:sz w:val="22"/>
          <w:szCs w:val="22"/>
          <w:highlight w:val="none"/>
        </w:rPr>
        <w:t>一、总则</w:t>
      </w:r>
    </w:p>
    <w:p w14:paraId="2968E3B9">
      <w:pPr>
        <w:snapToGrid w:val="0"/>
        <w:spacing w:line="460" w:lineRule="atLeast"/>
        <w:ind w:firstLine="540"/>
        <w:rPr>
          <w:rFonts w:ascii="宋体" w:hAnsi="宋体"/>
          <w:color w:val="auto"/>
          <w:sz w:val="22"/>
          <w:szCs w:val="22"/>
          <w:highlight w:val="none"/>
        </w:rPr>
      </w:pPr>
      <w:r>
        <w:rPr>
          <w:rFonts w:hint="eastAsia" w:ascii="宋体" w:hAnsi="宋体"/>
          <w:color w:val="auto"/>
          <w:sz w:val="22"/>
          <w:szCs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磋商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磋商响应文件将被拒绝。</w:t>
      </w:r>
    </w:p>
    <w:p w14:paraId="671E27F6">
      <w:pPr>
        <w:snapToGrid w:val="0"/>
        <w:spacing w:line="460" w:lineRule="atLeast"/>
        <w:ind w:firstLine="3795" w:firstLineChars="1725"/>
        <w:rPr>
          <w:rFonts w:ascii="宋体" w:hAnsi="宋体"/>
          <w:color w:val="auto"/>
          <w:sz w:val="22"/>
          <w:szCs w:val="22"/>
          <w:highlight w:val="none"/>
        </w:rPr>
      </w:pPr>
      <w:r>
        <w:rPr>
          <w:rFonts w:hint="eastAsia" w:ascii="宋体" w:hAnsi="宋体"/>
          <w:color w:val="auto"/>
          <w:sz w:val="22"/>
          <w:szCs w:val="22"/>
          <w:highlight w:val="none"/>
        </w:rPr>
        <w:t>二、评审组织</w:t>
      </w:r>
    </w:p>
    <w:p w14:paraId="699DC0BD">
      <w:pPr>
        <w:snapToGrid w:val="0"/>
        <w:spacing w:line="460" w:lineRule="atLeast"/>
        <w:ind w:firstLine="540"/>
        <w:rPr>
          <w:rFonts w:ascii="宋体" w:hAnsi="宋体"/>
          <w:color w:val="auto"/>
          <w:sz w:val="22"/>
          <w:szCs w:val="22"/>
          <w:highlight w:val="none"/>
        </w:rPr>
      </w:pPr>
      <w:r>
        <w:rPr>
          <w:rFonts w:hint="eastAsia" w:ascii="宋体" w:hAnsi="宋体"/>
          <w:color w:val="auto"/>
          <w:sz w:val="22"/>
          <w:szCs w:val="22"/>
          <w:highlight w:val="none"/>
        </w:rPr>
        <w:t>评审工作由采购人依法组建的磋商小组负责，磋商小组由采购人代表以及评审专家库中随机抽取的有关技术、经济专家共同组成。评审全过程由采购管理部门全程监督。</w:t>
      </w:r>
    </w:p>
    <w:p w14:paraId="4823BAA6">
      <w:pPr>
        <w:snapToGrid w:val="0"/>
        <w:spacing w:line="460" w:lineRule="atLeast"/>
        <w:jc w:val="center"/>
        <w:rPr>
          <w:rFonts w:ascii="宋体" w:hAnsi="宋体"/>
          <w:color w:val="auto"/>
          <w:sz w:val="22"/>
          <w:szCs w:val="22"/>
          <w:highlight w:val="none"/>
        </w:rPr>
      </w:pPr>
      <w:r>
        <w:rPr>
          <w:rFonts w:hint="eastAsia" w:ascii="宋体" w:hAnsi="宋体"/>
          <w:color w:val="auto"/>
          <w:sz w:val="22"/>
          <w:szCs w:val="22"/>
          <w:highlight w:val="none"/>
        </w:rPr>
        <w:t>三、响应文件递交截止、磋商程序、磋商原则和方式</w:t>
      </w:r>
    </w:p>
    <w:p w14:paraId="0AEC8270">
      <w:pPr>
        <w:snapToGrid w:val="0"/>
        <w:spacing w:line="460" w:lineRule="atLeast"/>
        <w:ind w:firstLine="540"/>
        <w:rPr>
          <w:rFonts w:ascii="宋体" w:hAnsi="宋体"/>
          <w:color w:val="auto"/>
          <w:sz w:val="22"/>
          <w:szCs w:val="22"/>
          <w:highlight w:val="none"/>
        </w:rPr>
      </w:pPr>
      <w:r>
        <w:rPr>
          <w:rFonts w:hint="eastAsia" w:ascii="宋体" w:hAnsi="宋体"/>
          <w:color w:val="auto"/>
          <w:sz w:val="22"/>
          <w:szCs w:val="22"/>
          <w:highlight w:val="none"/>
        </w:rPr>
        <w:t>具体见本磋商文件第三部分相关内容描述。</w:t>
      </w:r>
    </w:p>
    <w:p w14:paraId="122BF124">
      <w:pPr>
        <w:snapToGrid w:val="0"/>
        <w:spacing w:line="460" w:lineRule="atLeast"/>
        <w:ind w:firstLine="3795" w:firstLineChars="1725"/>
        <w:rPr>
          <w:rFonts w:ascii="宋体" w:hAnsi="宋体"/>
          <w:color w:val="auto"/>
          <w:sz w:val="22"/>
          <w:szCs w:val="22"/>
          <w:highlight w:val="none"/>
        </w:rPr>
      </w:pPr>
      <w:r>
        <w:rPr>
          <w:rFonts w:hint="eastAsia" w:ascii="宋体" w:hAnsi="宋体"/>
          <w:color w:val="auto"/>
          <w:sz w:val="22"/>
          <w:szCs w:val="22"/>
          <w:highlight w:val="none"/>
        </w:rPr>
        <w:t>四、评分细则</w:t>
      </w:r>
    </w:p>
    <w:p w14:paraId="0E796BDD">
      <w:pPr>
        <w:pStyle w:val="34"/>
        <w:adjustRightInd w:val="0"/>
        <w:snapToGrid w:val="0"/>
        <w:spacing w:line="460" w:lineRule="atLeast"/>
        <w:ind w:firstLine="440" w:firstLineChars="200"/>
        <w:rPr>
          <w:rFonts w:hAnsi="宋体"/>
          <w:color w:val="auto"/>
          <w:sz w:val="22"/>
          <w:szCs w:val="22"/>
          <w:highlight w:val="none"/>
        </w:rPr>
      </w:pPr>
      <w:r>
        <w:rPr>
          <w:rFonts w:hint="eastAsia" w:hAnsi="宋体"/>
          <w:color w:val="auto"/>
          <w:sz w:val="22"/>
          <w:szCs w:val="22"/>
          <w:highlight w:val="none"/>
        </w:rPr>
        <w:t xml:space="preserve">一）、报价评分  </w:t>
      </w:r>
      <w:r>
        <w:rPr>
          <w:rFonts w:hint="eastAsia" w:hAnsi="宋体"/>
          <w:color w:val="auto"/>
          <w:sz w:val="22"/>
          <w:szCs w:val="22"/>
          <w:highlight w:val="none"/>
          <w:lang w:val="en-US" w:eastAsia="zh-CN"/>
        </w:rPr>
        <w:t>15</w:t>
      </w:r>
      <w:r>
        <w:rPr>
          <w:rFonts w:hint="eastAsia" w:hAnsi="宋体"/>
          <w:color w:val="auto"/>
          <w:sz w:val="22"/>
          <w:szCs w:val="22"/>
          <w:highlight w:val="none"/>
        </w:rPr>
        <w:t xml:space="preserve">分  </w:t>
      </w:r>
      <w:r>
        <w:rPr>
          <w:rFonts w:hAnsi="宋体"/>
          <w:color w:val="auto"/>
          <w:sz w:val="22"/>
          <w:szCs w:val="22"/>
          <w:highlight w:val="none"/>
        </w:rPr>
        <w:tab/>
      </w:r>
    </w:p>
    <w:p w14:paraId="1FAD9645">
      <w:pPr>
        <w:pStyle w:val="34"/>
        <w:adjustRightInd w:val="0"/>
        <w:snapToGrid w:val="0"/>
        <w:spacing w:line="460" w:lineRule="atLeast"/>
        <w:ind w:firstLine="440" w:firstLineChars="200"/>
        <w:rPr>
          <w:rFonts w:hAnsi="宋体"/>
          <w:color w:val="auto"/>
          <w:sz w:val="22"/>
          <w:szCs w:val="22"/>
          <w:highlight w:val="none"/>
        </w:rPr>
      </w:pPr>
      <w:r>
        <w:rPr>
          <w:rFonts w:hint="eastAsia" w:hAnsi="宋体"/>
          <w:color w:val="auto"/>
          <w:sz w:val="22"/>
          <w:szCs w:val="22"/>
          <w:highlight w:val="none"/>
        </w:rPr>
        <w:t>以满足磋商文件要求且最后报价最低的供应商的价格为磋商基准价，其价格分为满分。其他供应商的价格分统一按照下列公式计算：</w:t>
      </w:r>
    </w:p>
    <w:p w14:paraId="557CEB97">
      <w:pPr>
        <w:pStyle w:val="34"/>
        <w:adjustRightInd w:val="0"/>
        <w:snapToGrid w:val="0"/>
        <w:spacing w:line="460" w:lineRule="atLeast"/>
        <w:ind w:firstLine="450"/>
        <w:rPr>
          <w:rFonts w:hAnsi="宋体"/>
          <w:color w:val="auto"/>
          <w:sz w:val="22"/>
          <w:szCs w:val="22"/>
          <w:highlight w:val="none"/>
        </w:rPr>
      </w:pPr>
      <w:r>
        <w:rPr>
          <w:rFonts w:hint="eastAsia" w:hAnsi="宋体"/>
          <w:color w:val="auto"/>
          <w:sz w:val="22"/>
          <w:szCs w:val="22"/>
          <w:highlight w:val="none"/>
        </w:rPr>
        <w:t>磋商报价得分</w:t>
      </w:r>
      <w:r>
        <w:rPr>
          <w:rFonts w:hAnsi="宋体"/>
          <w:color w:val="auto"/>
          <w:sz w:val="22"/>
          <w:szCs w:val="22"/>
          <w:highlight w:val="none"/>
        </w:rPr>
        <w:t>=</w:t>
      </w:r>
      <w:r>
        <w:rPr>
          <w:rFonts w:hint="eastAsia" w:hAnsi="宋体"/>
          <w:color w:val="auto"/>
          <w:sz w:val="22"/>
          <w:szCs w:val="22"/>
          <w:highlight w:val="none"/>
        </w:rPr>
        <w:t>（磋商基准价</w:t>
      </w:r>
      <w:r>
        <w:rPr>
          <w:rFonts w:hAnsi="宋体"/>
          <w:color w:val="auto"/>
          <w:sz w:val="22"/>
          <w:szCs w:val="22"/>
          <w:highlight w:val="none"/>
        </w:rPr>
        <w:t>/</w:t>
      </w:r>
      <w:r>
        <w:rPr>
          <w:rFonts w:hint="eastAsia" w:hAnsi="宋体"/>
          <w:color w:val="auto"/>
          <w:sz w:val="22"/>
          <w:szCs w:val="22"/>
          <w:highlight w:val="none"/>
        </w:rPr>
        <w:t>最后磋商报价）×</w:t>
      </w:r>
      <w:r>
        <w:rPr>
          <w:rFonts w:hint="eastAsia" w:hAnsi="宋体"/>
          <w:color w:val="auto"/>
          <w:sz w:val="22"/>
          <w:szCs w:val="22"/>
          <w:highlight w:val="none"/>
          <w:lang w:val="en-US" w:eastAsia="zh-CN"/>
        </w:rPr>
        <w:t>15</w:t>
      </w:r>
      <w:r>
        <w:rPr>
          <w:rFonts w:hint="eastAsia" w:hAnsi="宋体"/>
          <w:color w:val="auto"/>
          <w:sz w:val="22"/>
          <w:szCs w:val="22"/>
          <w:highlight w:val="none"/>
        </w:rPr>
        <w:t>%×</w:t>
      </w:r>
      <w:r>
        <w:rPr>
          <w:rFonts w:hAnsi="宋体"/>
          <w:color w:val="auto"/>
          <w:sz w:val="22"/>
          <w:szCs w:val="22"/>
          <w:highlight w:val="none"/>
        </w:rPr>
        <w:t>100</w:t>
      </w:r>
    </w:p>
    <w:p w14:paraId="60A58488">
      <w:pPr>
        <w:pStyle w:val="34"/>
        <w:adjustRightInd w:val="0"/>
        <w:snapToGrid w:val="0"/>
        <w:spacing w:line="460" w:lineRule="atLeast"/>
        <w:ind w:firstLine="450"/>
        <w:rPr>
          <w:rFonts w:cs="Arial Unicode MS"/>
          <w:color w:val="auto"/>
          <w:sz w:val="22"/>
          <w:szCs w:val="22"/>
          <w:highlight w:val="none"/>
        </w:rPr>
      </w:pPr>
      <w:r>
        <w:rPr>
          <w:rFonts w:hint="eastAsia" w:cs="Arial Unicode MS"/>
          <w:color w:val="auto"/>
          <w:sz w:val="22"/>
          <w:szCs w:val="22"/>
          <w:highlight w:val="none"/>
        </w:rPr>
        <w:t xml:space="preserve">二）、商务、技术综合评分 </w:t>
      </w:r>
      <w:r>
        <w:rPr>
          <w:rFonts w:cs="Arial Unicode MS"/>
          <w:color w:val="auto"/>
          <w:sz w:val="22"/>
          <w:szCs w:val="22"/>
          <w:highlight w:val="none"/>
        </w:rPr>
        <w:t>8</w:t>
      </w:r>
      <w:r>
        <w:rPr>
          <w:rFonts w:hint="eastAsia" w:cs="Arial Unicode MS"/>
          <w:color w:val="auto"/>
          <w:sz w:val="22"/>
          <w:szCs w:val="22"/>
          <w:highlight w:val="none"/>
          <w:lang w:val="en-US" w:eastAsia="zh-CN"/>
        </w:rPr>
        <w:t>5</w:t>
      </w:r>
      <w:r>
        <w:rPr>
          <w:rFonts w:hint="eastAsia" w:cs="Arial Unicode MS"/>
          <w:color w:val="auto"/>
          <w:sz w:val="22"/>
          <w:szCs w:val="22"/>
          <w:highlight w:val="none"/>
        </w:rPr>
        <w:t xml:space="preserve">分 </w:t>
      </w:r>
    </w:p>
    <w:tbl>
      <w:tblPr>
        <w:tblStyle w:val="65"/>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84"/>
        <w:gridCol w:w="1125"/>
        <w:gridCol w:w="6416"/>
      </w:tblGrid>
      <w:tr w14:paraId="0A0B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4" w:type="dxa"/>
            <w:noWrap w:val="0"/>
            <w:vAlign w:val="center"/>
          </w:tcPr>
          <w:p w14:paraId="311A6C3E">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lang w:bidi="ar-SA"/>
              </w:rPr>
            </w:pPr>
            <w:r>
              <w:rPr>
                <w:rFonts w:hint="eastAsia" w:ascii="新宋体" w:hAnsi="新宋体" w:eastAsia="新宋体" w:cs="新宋体"/>
                <w:b/>
                <w:bCs/>
                <w:color w:val="auto"/>
                <w:sz w:val="22"/>
                <w:szCs w:val="22"/>
                <w:highlight w:val="none"/>
                <w:lang w:bidi="ar-SA"/>
              </w:rPr>
              <w:t>序号</w:t>
            </w:r>
          </w:p>
        </w:tc>
        <w:tc>
          <w:tcPr>
            <w:tcW w:w="1684" w:type="dxa"/>
            <w:noWrap w:val="0"/>
            <w:vAlign w:val="center"/>
          </w:tcPr>
          <w:p w14:paraId="03F6C25D">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lang w:bidi="ar-SA"/>
              </w:rPr>
            </w:pPr>
            <w:r>
              <w:rPr>
                <w:rFonts w:hint="eastAsia" w:ascii="新宋体" w:hAnsi="新宋体" w:eastAsia="新宋体" w:cs="新宋体"/>
                <w:b/>
                <w:bCs/>
                <w:color w:val="auto"/>
                <w:sz w:val="22"/>
                <w:szCs w:val="22"/>
                <w:highlight w:val="none"/>
                <w:lang w:bidi="ar-SA"/>
              </w:rPr>
              <w:t>内    容</w:t>
            </w:r>
          </w:p>
        </w:tc>
        <w:tc>
          <w:tcPr>
            <w:tcW w:w="1125" w:type="dxa"/>
            <w:noWrap w:val="0"/>
            <w:vAlign w:val="center"/>
          </w:tcPr>
          <w:p w14:paraId="73D02D03">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lang w:val="en-US" w:eastAsia="zh-CN" w:bidi="ar-SA"/>
              </w:rPr>
            </w:pPr>
            <w:r>
              <w:rPr>
                <w:rFonts w:hint="eastAsia" w:ascii="新宋体" w:hAnsi="新宋体" w:eastAsia="新宋体" w:cs="新宋体"/>
                <w:b/>
                <w:bCs/>
                <w:color w:val="auto"/>
                <w:sz w:val="22"/>
                <w:szCs w:val="22"/>
                <w:highlight w:val="none"/>
                <w:lang w:bidi="ar-SA"/>
              </w:rPr>
              <w:t>分值</w:t>
            </w:r>
            <w:r>
              <w:rPr>
                <w:rFonts w:hint="eastAsia" w:ascii="新宋体" w:hAnsi="新宋体" w:eastAsia="新宋体" w:cs="新宋体"/>
                <w:b/>
                <w:bCs/>
                <w:color w:val="auto"/>
                <w:sz w:val="22"/>
                <w:szCs w:val="22"/>
                <w:highlight w:val="none"/>
                <w:lang w:val="en-US" w:eastAsia="zh-CN" w:bidi="ar-SA"/>
              </w:rPr>
              <w:t>（分）</w:t>
            </w:r>
          </w:p>
        </w:tc>
        <w:tc>
          <w:tcPr>
            <w:tcW w:w="6416" w:type="dxa"/>
            <w:noWrap w:val="0"/>
            <w:vAlign w:val="center"/>
          </w:tcPr>
          <w:p w14:paraId="39F0A6F1">
            <w:pPr>
              <w:keepNext w:val="0"/>
              <w:keepLines w:val="0"/>
              <w:pageBreakBefore w:val="0"/>
              <w:kinsoku/>
              <w:wordWrap/>
              <w:topLinePunct w:val="0"/>
              <w:bidi w:val="0"/>
              <w:spacing w:line="460" w:lineRule="exact"/>
              <w:jc w:val="center"/>
              <w:rPr>
                <w:rFonts w:hint="eastAsia" w:ascii="新宋体" w:hAnsi="新宋体" w:eastAsia="新宋体" w:cs="新宋体"/>
                <w:b/>
                <w:bCs/>
                <w:color w:val="auto"/>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bidi="ar-SA"/>
              </w:rPr>
              <w:t>评分细则</w:t>
            </w:r>
          </w:p>
        </w:tc>
      </w:tr>
      <w:tr w14:paraId="0654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4" w:type="dxa"/>
            <w:noWrap w:val="0"/>
            <w:vAlign w:val="center"/>
          </w:tcPr>
          <w:p w14:paraId="209C0E25">
            <w:pPr>
              <w:keepNext w:val="0"/>
              <w:keepLines w:val="0"/>
              <w:pageBreakBefore w:val="0"/>
              <w:kinsoku/>
              <w:wordWrap/>
              <w:topLinePunct w:val="0"/>
              <w:bidi w:val="0"/>
              <w:spacing w:line="460" w:lineRule="exact"/>
              <w:ind w:left="1"/>
              <w:jc w:val="center"/>
              <w:rPr>
                <w:rFonts w:hint="eastAsia" w:ascii="新宋体" w:hAnsi="新宋体" w:eastAsia="新宋体" w:cs="新宋体"/>
                <w:color w:val="auto"/>
                <w:sz w:val="22"/>
                <w:szCs w:val="22"/>
                <w:highlight w:val="none"/>
                <w:lang w:bidi="ar-SA"/>
              </w:rPr>
            </w:pPr>
            <w:r>
              <w:rPr>
                <w:rFonts w:hint="eastAsia" w:ascii="新宋体" w:hAnsi="新宋体" w:eastAsia="新宋体" w:cs="新宋体"/>
                <w:color w:val="auto"/>
                <w:sz w:val="22"/>
                <w:szCs w:val="22"/>
                <w:highlight w:val="none"/>
                <w:lang w:bidi="ar-SA"/>
              </w:rPr>
              <w:t>1</w:t>
            </w:r>
          </w:p>
        </w:tc>
        <w:tc>
          <w:tcPr>
            <w:tcW w:w="1684" w:type="dxa"/>
            <w:noWrap w:val="0"/>
            <w:vAlign w:val="center"/>
          </w:tcPr>
          <w:p w14:paraId="574467A5">
            <w:pPr>
              <w:keepNext w:val="0"/>
              <w:keepLines w:val="0"/>
              <w:pageBreakBefore w:val="0"/>
              <w:kinsoku/>
              <w:wordWrap/>
              <w:topLinePunct w:val="0"/>
              <w:bidi w:val="0"/>
              <w:spacing w:line="460" w:lineRule="exact"/>
              <w:ind w:left="1"/>
              <w:jc w:val="center"/>
              <w:rPr>
                <w:rFonts w:hint="eastAsia" w:ascii="新宋体" w:hAnsi="新宋体" w:eastAsia="新宋体" w:cs="新宋体"/>
                <w:color w:val="auto"/>
                <w:sz w:val="22"/>
                <w:szCs w:val="22"/>
                <w:highlight w:val="none"/>
                <w:lang w:val="en-US" w:eastAsia="zh-CN" w:bidi="ar-SA"/>
              </w:rPr>
            </w:pPr>
            <w:r>
              <w:rPr>
                <w:rFonts w:hint="eastAsia" w:ascii="新宋体" w:hAnsi="新宋体" w:eastAsia="新宋体" w:cs="新宋体"/>
                <w:color w:val="auto"/>
                <w:sz w:val="22"/>
                <w:szCs w:val="22"/>
                <w:highlight w:val="none"/>
                <w:lang w:val="en-US" w:eastAsia="zh-CN" w:bidi="ar-SA"/>
              </w:rPr>
              <w:t>投标人综合情况</w:t>
            </w:r>
          </w:p>
        </w:tc>
        <w:tc>
          <w:tcPr>
            <w:tcW w:w="1125" w:type="dxa"/>
            <w:noWrap w:val="0"/>
            <w:vAlign w:val="center"/>
          </w:tcPr>
          <w:p w14:paraId="7FEBF38F">
            <w:pPr>
              <w:keepNext w:val="0"/>
              <w:keepLines w:val="0"/>
              <w:pageBreakBefore w:val="0"/>
              <w:kinsoku/>
              <w:wordWrap/>
              <w:topLinePunct w:val="0"/>
              <w:bidi w:val="0"/>
              <w:spacing w:line="460" w:lineRule="exact"/>
              <w:jc w:val="center"/>
              <w:rPr>
                <w:rFonts w:hint="default" w:ascii="新宋体" w:hAnsi="新宋体" w:eastAsia="新宋体" w:cs="新宋体"/>
                <w:color w:val="auto"/>
                <w:sz w:val="22"/>
                <w:szCs w:val="22"/>
                <w:highlight w:val="none"/>
                <w:lang w:val="en-US" w:eastAsia="zh-CN" w:bidi="ar-SA"/>
              </w:rPr>
            </w:pPr>
            <w:r>
              <w:rPr>
                <w:rFonts w:hint="eastAsia" w:ascii="新宋体" w:hAnsi="新宋体" w:eastAsia="新宋体" w:cs="新宋体"/>
                <w:color w:val="auto"/>
                <w:sz w:val="22"/>
                <w:szCs w:val="22"/>
                <w:highlight w:val="none"/>
                <w:lang w:val="en-US" w:eastAsia="zh-CN" w:bidi="ar-SA"/>
              </w:rPr>
              <w:t>4.5</w:t>
            </w:r>
          </w:p>
        </w:tc>
        <w:tc>
          <w:tcPr>
            <w:tcW w:w="6416" w:type="dxa"/>
            <w:noWrap w:val="0"/>
            <w:vAlign w:val="center"/>
          </w:tcPr>
          <w:p w14:paraId="12DD661E">
            <w:pPr>
              <w:keepNext w:val="0"/>
              <w:keepLines w:val="0"/>
              <w:pageBreakBefore w:val="0"/>
              <w:kinsoku/>
              <w:wordWrap/>
              <w:topLinePunct w:val="0"/>
              <w:bidi w:val="0"/>
              <w:spacing w:line="460" w:lineRule="exact"/>
              <w:jc w:val="left"/>
              <w:rPr>
                <w:rFonts w:hint="eastAsia" w:ascii="新宋体" w:hAnsi="新宋体" w:eastAsia="新宋体" w:cs="新宋体"/>
                <w:color w:val="auto"/>
                <w:sz w:val="22"/>
                <w:szCs w:val="22"/>
                <w:highlight w:val="none"/>
                <w:lang w:val="en-US" w:eastAsia="zh-CN" w:bidi="ar-SA"/>
              </w:rPr>
            </w:pPr>
            <w:r>
              <w:rPr>
                <w:rFonts w:hint="eastAsia" w:ascii="新宋体" w:hAnsi="新宋体" w:eastAsia="新宋体" w:cs="新宋体"/>
                <w:color w:val="auto"/>
                <w:sz w:val="22"/>
                <w:szCs w:val="22"/>
                <w:highlight w:val="none"/>
                <w:lang w:val="en-US" w:eastAsia="zh-CN" w:bidi="ar-SA"/>
              </w:rPr>
              <w:t>1.1具有质量管理体系有效认证证书的得1.5分；</w:t>
            </w:r>
          </w:p>
          <w:p w14:paraId="5272D728">
            <w:pPr>
              <w:keepNext w:val="0"/>
              <w:keepLines w:val="0"/>
              <w:pageBreakBefore w:val="0"/>
              <w:kinsoku/>
              <w:wordWrap/>
              <w:topLinePunct w:val="0"/>
              <w:bidi w:val="0"/>
              <w:spacing w:line="460" w:lineRule="exact"/>
              <w:jc w:val="left"/>
              <w:rPr>
                <w:rFonts w:hint="eastAsia" w:ascii="新宋体" w:hAnsi="新宋体" w:eastAsia="新宋体" w:cs="新宋体"/>
                <w:color w:val="auto"/>
                <w:sz w:val="22"/>
                <w:szCs w:val="22"/>
                <w:highlight w:val="none"/>
                <w:lang w:val="en-US" w:eastAsia="zh-CN" w:bidi="ar-SA"/>
              </w:rPr>
            </w:pPr>
            <w:r>
              <w:rPr>
                <w:rFonts w:hint="eastAsia" w:ascii="新宋体" w:hAnsi="新宋体" w:eastAsia="新宋体" w:cs="新宋体"/>
                <w:color w:val="auto"/>
                <w:sz w:val="22"/>
                <w:szCs w:val="22"/>
                <w:highlight w:val="none"/>
                <w:lang w:val="en-US" w:eastAsia="zh-CN" w:bidi="ar-SA"/>
              </w:rPr>
              <w:t>1.2具有环境管理体系认证有效证书的得1.5分；</w:t>
            </w:r>
          </w:p>
          <w:p w14:paraId="4980725A">
            <w:pPr>
              <w:keepNext w:val="0"/>
              <w:keepLines w:val="0"/>
              <w:pageBreakBefore w:val="0"/>
              <w:kinsoku/>
              <w:wordWrap/>
              <w:topLinePunct w:val="0"/>
              <w:bidi w:val="0"/>
              <w:spacing w:line="460" w:lineRule="exact"/>
              <w:jc w:val="left"/>
              <w:rPr>
                <w:rFonts w:hint="eastAsia" w:ascii="新宋体" w:hAnsi="新宋体" w:eastAsia="新宋体" w:cs="新宋体"/>
                <w:color w:val="auto"/>
                <w:sz w:val="22"/>
                <w:szCs w:val="22"/>
                <w:highlight w:val="none"/>
                <w:lang w:val="en-US" w:eastAsia="zh-CN" w:bidi="ar-SA"/>
              </w:rPr>
            </w:pPr>
            <w:r>
              <w:rPr>
                <w:rFonts w:hint="eastAsia" w:ascii="新宋体" w:hAnsi="新宋体" w:eastAsia="新宋体" w:cs="新宋体"/>
                <w:color w:val="auto"/>
                <w:sz w:val="22"/>
                <w:szCs w:val="22"/>
                <w:highlight w:val="none"/>
                <w:lang w:val="en-US" w:eastAsia="zh-CN" w:bidi="ar-SA"/>
              </w:rPr>
              <w:t>1.3具有职业健康安全管理体系认证有效证书的得1.5分。</w:t>
            </w:r>
          </w:p>
          <w:p w14:paraId="29152213">
            <w:pPr>
              <w:keepNext w:val="0"/>
              <w:keepLines w:val="0"/>
              <w:pageBreakBefore w:val="0"/>
              <w:kinsoku/>
              <w:wordWrap/>
              <w:topLinePunct w:val="0"/>
              <w:bidi w:val="0"/>
              <w:spacing w:line="460" w:lineRule="exact"/>
              <w:jc w:val="left"/>
              <w:rPr>
                <w:rFonts w:hint="eastAsia" w:ascii="新宋体" w:hAnsi="新宋体" w:eastAsia="新宋体" w:cs="新宋体"/>
                <w:color w:val="auto"/>
                <w:sz w:val="22"/>
                <w:szCs w:val="22"/>
                <w:highlight w:val="none"/>
                <w:lang w:val="en-US" w:eastAsia="zh-CN" w:bidi="ar-SA"/>
              </w:rPr>
            </w:pPr>
            <w:r>
              <w:rPr>
                <w:rFonts w:hint="eastAsia" w:ascii="新宋体" w:hAnsi="新宋体" w:eastAsia="新宋体" w:cs="新宋体"/>
                <w:color w:val="auto"/>
                <w:sz w:val="22"/>
                <w:szCs w:val="22"/>
                <w:highlight w:val="none"/>
                <w:lang w:val="en-US" w:eastAsia="zh-CN" w:bidi="ar-SA"/>
              </w:rPr>
              <w:t>备注：提供证书原件扫描件并加盖投标供应商公章，全国认证认可信息公共服务平台http://cx.cnca.cn/CertECloud/result/ skipResultList可查，提供查询截图并加盖投标供应商公章。</w:t>
            </w:r>
          </w:p>
        </w:tc>
      </w:tr>
      <w:tr w14:paraId="18E9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4" w:type="dxa"/>
            <w:noWrap w:val="0"/>
            <w:vAlign w:val="center"/>
          </w:tcPr>
          <w:p w14:paraId="61D949FA">
            <w:pPr>
              <w:keepNext w:val="0"/>
              <w:keepLines w:val="0"/>
              <w:pageBreakBefore w:val="0"/>
              <w:kinsoku/>
              <w:wordWrap/>
              <w:topLinePunct w:val="0"/>
              <w:bidi w:val="0"/>
              <w:spacing w:line="460" w:lineRule="exact"/>
              <w:jc w:val="center"/>
              <w:rPr>
                <w:rFonts w:hint="eastAsia" w:ascii="新宋体" w:hAnsi="新宋体" w:eastAsia="新宋体" w:cs="新宋体"/>
                <w:snapToGrid w:val="0"/>
                <w:color w:val="auto"/>
                <w:kern w:val="0"/>
                <w:sz w:val="22"/>
                <w:szCs w:val="22"/>
                <w:highlight w:val="none"/>
                <w:lang w:bidi="ar-SA"/>
              </w:rPr>
            </w:pPr>
            <w:r>
              <w:rPr>
                <w:rFonts w:hint="eastAsia" w:ascii="新宋体" w:hAnsi="新宋体" w:eastAsia="新宋体" w:cs="新宋体"/>
                <w:snapToGrid w:val="0"/>
                <w:color w:val="auto"/>
                <w:kern w:val="0"/>
                <w:sz w:val="22"/>
                <w:szCs w:val="22"/>
                <w:highlight w:val="none"/>
                <w:lang w:bidi="ar-SA"/>
              </w:rPr>
              <w:t>2</w:t>
            </w:r>
          </w:p>
        </w:tc>
        <w:tc>
          <w:tcPr>
            <w:tcW w:w="1684" w:type="dxa"/>
            <w:noWrap w:val="0"/>
            <w:vAlign w:val="center"/>
          </w:tcPr>
          <w:p w14:paraId="472C1997">
            <w:pPr>
              <w:keepNext w:val="0"/>
              <w:keepLines w:val="0"/>
              <w:pageBreakBefore w:val="0"/>
              <w:kinsoku/>
              <w:wordWrap/>
              <w:topLinePunct w:val="0"/>
              <w:bidi w:val="0"/>
              <w:spacing w:line="460" w:lineRule="exact"/>
              <w:jc w:val="center"/>
              <w:rPr>
                <w:rFonts w:hint="eastAsia" w:ascii="新宋体" w:hAnsi="新宋体" w:eastAsia="新宋体" w:cs="新宋体"/>
                <w:color w:val="auto"/>
                <w:sz w:val="22"/>
                <w:szCs w:val="22"/>
                <w:highlight w:val="none"/>
                <w:lang w:val="en-US" w:eastAsia="zh-CN" w:bidi="ar-SA"/>
              </w:rPr>
            </w:pPr>
            <w:r>
              <w:rPr>
                <w:rFonts w:hint="eastAsia" w:ascii="新宋体" w:hAnsi="新宋体" w:eastAsia="新宋体" w:cs="新宋体"/>
                <w:color w:val="auto"/>
                <w:sz w:val="22"/>
                <w:szCs w:val="22"/>
                <w:highlight w:val="none"/>
                <w:lang w:val="en-US" w:eastAsia="zh-CN" w:bidi="ar-SA"/>
              </w:rPr>
              <w:t>投标方案</w:t>
            </w:r>
          </w:p>
        </w:tc>
        <w:tc>
          <w:tcPr>
            <w:tcW w:w="1125" w:type="dxa"/>
            <w:noWrap w:val="0"/>
            <w:vAlign w:val="center"/>
          </w:tcPr>
          <w:p w14:paraId="07F855D3">
            <w:pPr>
              <w:keepNext w:val="0"/>
              <w:keepLines w:val="0"/>
              <w:pageBreakBefore w:val="0"/>
              <w:kinsoku/>
              <w:wordWrap/>
              <w:topLinePunct w:val="0"/>
              <w:bidi w:val="0"/>
              <w:spacing w:line="460" w:lineRule="exact"/>
              <w:jc w:val="center"/>
              <w:rPr>
                <w:rFonts w:hint="default" w:ascii="新宋体" w:hAnsi="新宋体" w:eastAsia="新宋体" w:cs="新宋体"/>
                <w:color w:val="auto"/>
                <w:sz w:val="22"/>
                <w:szCs w:val="22"/>
                <w:highlight w:val="none"/>
                <w:lang w:val="en-US" w:bidi="ar-SA"/>
              </w:rPr>
            </w:pPr>
            <w:r>
              <w:rPr>
                <w:rFonts w:hint="eastAsia" w:ascii="新宋体" w:hAnsi="新宋体" w:eastAsia="新宋体" w:cs="新宋体"/>
                <w:color w:val="auto"/>
                <w:sz w:val="22"/>
                <w:szCs w:val="22"/>
                <w:highlight w:val="none"/>
                <w:lang w:val="en-US" w:eastAsia="zh-CN" w:bidi="ar-SA"/>
              </w:rPr>
              <w:t>22</w:t>
            </w:r>
          </w:p>
        </w:tc>
        <w:tc>
          <w:tcPr>
            <w:tcW w:w="6416" w:type="dxa"/>
            <w:noWrap w:val="0"/>
            <w:vAlign w:val="center"/>
          </w:tcPr>
          <w:p w14:paraId="25EE8AEE">
            <w:pPr>
              <w:keepNext w:val="0"/>
              <w:keepLines w:val="0"/>
              <w:pageBreakBefore w:val="0"/>
              <w:kinsoku/>
              <w:wordWrap/>
              <w:topLinePunct w:val="0"/>
              <w:bidi w:val="0"/>
              <w:spacing w:line="460" w:lineRule="exact"/>
              <w:jc w:val="left"/>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根投标的服务方案与采购需求的吻合程度，应答是否详尽、明晰，是否满足招标文件要求；内容是否完整齐全、表述准确、条理清晰，内容无前后矛盾，符合招标文件要求；分析本项目的特点提出针对性方案。包括如下方面：</w:t>
            </w:r>
          </w:p>
          <w:p w14:paraId="27544D5E">
            <w:pPr>
              <w:keepNext w:val="0"/>
              <w:keepLines w:val="0"/>
              <w:pageBreakBefore w:val="0"/>
              <w:kinsoku/>
              <w:wordWrap/>
              <w:topLinePunct w:val="0"/>
              <w:bidi w:val="0"/>
              <w:spacing w:line="460" w:lineRule="exact"/>
              <w:jc w:val="left"/>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1.总体服务方案：（5分）</w:t>
            </w:r>
          </w:p>
          <w:p w14:paraId="7B624C76">
            <w:pPr>
              <w:keepNext w:val="0"/>
              <w:keepLines w:val="0"/>
              <w:pageBreakBefore w:val="0"/>
              <w:kinsoku/>
              <w:wordWrap/>
              <w:topLinePunct w:val="0"/>
              <w:bidi w:val="0"/>
              <w:spacing w:line="460" w:lineRule="exact"/>
              <w:jc w:val="left"/>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（1）全面详细、科学完整，针对性强的，得5分；</w:t>
            </w:r>
            <w:r>
              <w:rPr>
                <w:rFonts w:hint="eastAsia" w:ascii="新宋体" w:hAnsi="新宋体" w:eastAsia="新宋体" w:cs="新宋体"/>
                <w:bCs/>
                <w:color w:val="auto"/>
                <w:sz w:val="22"/>
                <w:szCs w:val="22"/>
                <w:highlight w:val="none"/>
                <w:lang w:val="en-US" w:eastAsia="zh-CN"/>
              </w:rPr>
              <w:br w:type="textWrapping"/>
            </w:r>
            <w:r>
              <w:rPr>
                <w:rFonts w:hint="eastAsia" w:ascii="新宋体" w:hAnsi="新宋体" w:eastAsia="新宋体" w:cs="新宋体"/>
                <w:bCs/>
                <w:color w:val="auto"/>
                <w:sz w:val="22"/>
                <w:szCs w:val="22"/>
                <w:highlight w:val="none"/>
                <w:lang w:val="en-US" w:eastAsia="zh-CN"/>
              </w:rPr>
              <w:t>（2）方案完整，具有可行性的，能较好地完成服务的，得3分；</w:t>
            </w:r>
          </w:p>
          <w:p w14:paraId="6B4BF510">
            <w:pPr>
              <w:keepNext w:val="0"/>
              <w:keepLines w:val="0"/>
              <w:pageBreakBefore w:val="0"/>
              <w:kinsoku/>
              <w:wordWrap/>
              <w:topLinePunct w:val="0"/>
              <w:bidi w:val="0"/>
              <w:spacing w:line="460" w:lineRule="exact"/>
              <w:jc w:val="left"/>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（3）方案基本完整，能基本完成服务的，得1分；</w:t>
            </w:r>
            <w:r>
              <w:rPr>
                <w:rFonts w:hint="eastAsia" w:ascii="新宋体" w:hAnsi="新宋体" w:eastAsia="新宋体" w:cs="新宋体"/>
                <w:bCs/>
                <w:color w:val="auto"/>
                <w:sz w:val="22"/>
                <w:szCs w:val="22"/>
                <w:highlight w:val="none"/>
                <w:lang w:val="en-US" w:eastAsia="zh-CN"/>
              </w:rPr>
              <w:br w:type="textWrapping"/>
            </w:r>
            <w:r>
              <w:rPr>
                <w:rFonts w:hint="eastAsia" w:ascii="新宋体" w:hAnsi="新宋体" w:eastAsia="新宋体" w:cs="新宋体"/>
                <w:bCs/>
                <w:color w:val="auto"/>
                <w:sz w:val="22"/>
                <w:szCs w:val="22"/>
                <w:highlight w:val="none"/>
                <w:lang w:val="en-US" w:eastAsia="zh-CN"/>
              </w:rPr>
              <w:t>（4）存在欠缺的，内容完全不符合或未提供的，得0分。</w:t>
            </w:r>
          </w:p>
          <w:p w14:paraId="0A022264">
            <w:pPr>
              <w:keepNext w:val="0"/>
              <w:keepLines w:val="0"/>
              <w:pageBreakBefore w:val="0"/>
              <w:kinsoku/>
              <w:wordWrap/>
              <w:topLinePunct w:val="0"/>
              <w:bidi w:val="0"/>
              <w:spacing w:line="460" w:lineRule="exact"/>
              <w:jc w:val="left"/>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2.救助区域生活照料服务方案（5分）：</w:t>
            </w:r>
          </w:p>
          <w:p w14:paraId="29A036A1">
            <w:pPr>
              <w:keepNext w:val="0"/>
              <w:keepLines w:val="0"/>
              <w:pageBreakBefore w:val="0"/>
              <w:kinsoku/>
              <w:wordWrap/>
              <w:topLinePunct w:val="0"/>
              <w:bidi w:val="0"/>
              <w:spacing w:line="460" w:lineRule="exact"/>
              <w:jc w:val="left"/>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（1）全面详细、科学完整，针对性强的，得5分；</w:t>
            </w:r>
            <w:r>
              <w:rPr>
                <w:rFonts w:hint="eastAsia" w:ascii="新宋体" w:hAnsi="新宋体" w:eastAsia="新宋体" w:cs="新宋体"/>
                <w:bCs/>
                <w:color w:val="auto"/>
                <w:sz w:val="22"/>
                <w:szCs w:val="22"/>
                <w:highlight w:val="none"/>
                <w:lang w:val="en-US" w:eastAsia="zh-CN"/>
              </w:rPr>
              <w:br w:type="textWrapping"/>
            </w:r>
            <w:r>
              <w:rPr>
                <w:rFonts w:hint="eastAsia" w:ascii="新宋体" w:hAnsi="新宋体" w:eastAsia="新宋体" w:cs="新宋体"/>
                <w:bCs/>
                <w:color w:val="auto"/>
                <w:sz w:val="22"/>
                <w:szCs w:val="22"/>
                <w:highlight w:val="none"/>
                <w:lang w:val="en-US" w:eastAsia="zh-CN"/>
              </w:rPr>
              <w:t>（2）方案完整，具有可行性的，能较好地完成服务的，得3分；</w:t>
            </w:r>
          </w:p>
          <w:p w14:paraId="685B77CC">
            <w:pPr>
              <w:keepNext w:val="0"/>
              <w:keepLines w:val="0"/>
              <w:pageBreakBefore w:val="0"/>
              <w:kinsoku/>
              <w:wordWrap/>
              <w:topLinePunct w:val="0"/>
              <w:bidi w:val="0"/>
              <w:spacing w:line="460" w:lineRule="exact"/>
              <w:jc w:val="left"/>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（3）方案基本完整，能基本完成服务的，得1分；</w:t>
            </w:r>
            <w:r>
              <w:rPr>
                <w:rFonts w:hint="eastAsia" w:ascii="新宋体" w:hAnsi="新宋体" w:eastAsia="新宋体" w:cs="新宋体"/>
                <w:bCs/>
                <w:color w:val="auto"/>
                <w:sz w:val="22"/>
                <w:szCs w:val="22"/>
                <w:highlight w:val="none"/>
                <w:lang w:val="en-US" w:eastAsia="zh-CN"/>
              </w:rPr>
              <w:br w:type="textWrapping"/>
            </w:r>
            <w:r>
              <w:rPr>
                <w:rFonts w:hint="eastAsia" w:ascii="新宋体" w:hAnsi="新宋体" w:eastAsia="新宋体" w:cs="新宋体"/>
                <w:bCs/>
                <w:color w:val="auto"/>
                <w:sz w:val="22"/>
                <w:szCs w:val="22"/>
                <w:highlight w:val="none"/>
                <w:lang w:val="en-US" w:eastAsia="zh-CN"/>
              </w:rPr>
              <w:t>（4）存在欠缺的，内容完全不符合或未提供的，得0分。</w:t>
            </w:r>
          </w:p>
          <w:p w14:paraId="6C3F4091">
            <w:pPr>
              <w:keepNext w:val="0"/>
              <w:keepLines w:val="0"/>
              <w:pageBreakBefore w:val="0"/>
              <w:kinsoku/>
              <w:wordWrap/>
              <w:topLinePunct w:val="0"/>
              <w:bidi w:val="0"/>
              <w:spacing w:line="460" w:lineRule="exact"/>
              <w:jc w:val="left"/>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3.保安服务方案:（5分）</w:t>
            </w:r>
          </w:p>
          <w:p w14:paraId="05A187C5">
            <w:pPr>
              <w:keepNext w:val="0"/>
              <w:keepLines w:val="0"/>
              <w:pageBreakBefore w:val="0"/>
              <w:kinsoku/>
              <w:wordWrap/>
              <w:topLinePunct w:val="0"/>
              <w:bidi w:val="0"/>
              <w:spacing w:line="460" w:lineRule="exact"/>
              <w:jc w:val="left"/>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（1）全面详细、科学完整，针对性强的，得5分；</w:t>
            </w:r>
            <w:r>
              <w:rPr>
                <w:rFonts w:hint="eastAsia" w:ascii="新宋体" w:hAnsi="新宋体" w:eastAsia="新宋体" w:cs="新宋体"/>
                <w:bCs/>
                <w:color w:val="auto"/>
                <w:sz w:val="22"/>
                <w:szCs w:val="22"/>
                <w:highlight w:val="none"/>
                <w:lang w:val="en-US" w:eastAsia="zh-CN"/>
              </w:rPr>
              <w:br w:type="textWrapping"/>
            </w:r>
            <w:r>
              <w:rPr>
                <w:rFonts w:hint="eastAsia" w:ascii="新宋体" w:hAnsi="新宋体" w:eastAsia="新宋体" w:cs="新宋体"/>
                <w:bCs/>
                <w:color w:val="auto"/>
                <w:sz w:val="22"/>
                <w:szCs w:val="22"/>
                <w:highlight w:val="none"/>
                <w:lang w:val="en-US" w:eastAsia="zh-CN"/>
              </w:rPr>
              <w:t>（2）方案完整，具有可行性的，能较好地完成服务的，得3分；</w:t>
            </w:r>
          </w:p>
          <w:p w14:paraId="7B754DF3">
            <w:pPr>
              <w:keepNext w:val="0"/>
              <w:keepLines w:val="0"/>
              <w:pageBreakBefore w:val="0"/>
              <w:kinsoku/>
              <w:wordWrap/>
              <w:topLinePunct w:val="0"/>
              <w:bidi w:val="0"/>
              <w:spacing w:line="460" w:lineRule="exact"/>
              <w:jc w:val="left"/>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（3）方案基本完整，能基本完成服务的，得1分；</w:t>
            </w:r>
            <w:r>
              <w:rPr>
                <w:rFonts w:hint="eastAsia" w:ascii="新宋体" w:hAnsi="新宋体" w:eastAsia="新宋体" w:cs="新宋体"/>
                <w:bCs/>
                <w:color w:val="auto"/>
                <w:sz w:val="22"/>
                <w:szCs w:val="22"/>
                <w:highlight w:val="none"/>
                <w:lang w:val="en-US" w:eastAsia="zh-CN"/>
              </w:rPr>
              <w:br w:type="textWrapping"/>
            </w:r>
            <w:r>
              <w:rPr>
                <w:rFonts w:hint="eastAsia" w:ascii="新宋体" w:hAnsi="新宋体" w:eastAsia="新宋体" w:cs="新宋体"/>
                <w:bCs/>
                <w:color w:val="auto"/>
                <w:sz w:val="22"/>
                <w:szCs w:val="22"/>
                <w:highlight w:val="none"/>
                <w:lang w:val="en-US" w:eastAsia="zh-CN"/>
              </w:rPr>
              <w:t>（4）存在欠缺的，内容完全不符合或未提供的，得0分。</w:t>
            </w:r>
          </w:p>
          <w:p w14:paraId="4C4E576E">
            <w:pPr>
              <w:keepNext w:val="0"/>
              <w:keepLines w:val="0"/>
              <w:pageBreakBefore w:val="0"/>
              <w:kinsoku/>
              <w:wordWrap/>
              <w:topLinePunct w:val="0"/>
              <w:bidi w:val="0"/>
              <w:spacing w:line="460" w:lineRule="exact"/>
              <w:jc w:val="left"/>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4.食堂服务方案：（4分）</w:t>
            </w:r>
          </w:p>
          <w:p w14:paraId="08A76201">
            <w:pPr>
              <w:keepNext w:val="0"/>
              <w:keepLines w:val="0"/>
              <w:pageBreakBefore w:val="0"/>
              <w:kinsoku/>
              <w:wordWrap/>
              <w:topLinePunct w:val="0"/>
              <w:bidi w:val="0"/>
              <w:spacing w:line="460" w:lineRule="exact"/>
              <w:jc w:val="left"/>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（1）全面详细、科学完整，针对性强的，得4分；</w:t>
            </w:r>
            <w:r>
              <w:rPr>
                <w:rFonts w:hint="eastAsia" w:ascii="新宋体" w:hAnsi="新宋体" w:eastAsia="新宋体" w:cs="新宋体"/>
                <w:bCs/>
                <w:color w:val="auto"/>
                <w:sz w:val="22"/>
                <w:szCs w:val="22"/>
                <w:highlight w:val="none"/>
                <w:lang w:val="en-US" w:eastAsia="zh-CN"/>
              </w:rPr>
              <w:br w:type="textWrapping"/>
            </w:r>
            <w:r>
              <w:rPr>
                <w:rFonts w:hint="eastAsia" w:ascii="新宋体" w:hAnsi="新宋体" w:eastAsia="新宋体" w:cs="新宋体"/>
                <w:bCs/>
                <w:color w:val="auto"/>
                <w:sz w:val="22"/>
                <w:szCs w:val="22"/>
                <w:highlight w:val="none"/>
                <w:lang w:val="en-US" w:eastAsia="zh-CN"/>
              </w:rPr>
              <w:t>（2）方案完整，具有可行性的，能较好地完成服务的，得3分；</w:t>
            </w:r>
          </w:p>
          <w:p w14:paraId="3F991514">
            <w:pPr>
              <w:keepNext w:val="0"/>
              <w:keepLines w:val="0"/>
              <w:pageBreakBefore w:val="0"/>
              <w:kinsoku/>
              <w:wordWrap/>
              <w:topLinePunct w:val="0"/>
              <w:bidi w:val="0"/>
              <w:spacing w:line="460" w:lineRule="exact"/>
              <w:jc w:val="left"/>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（3）方案基本完整，能基本完成服务的，得1分；</w:t>
            </w:r>
            <w:r>
              <w:rPr>
                <w:rFonts w:hint="eastAsia" w:ascii="新宋体" w:hAnsi="新宋体" w:eastAsia="新宋体" w:cs="新宋体"/>
                <w:bCs/>
                <w:color w:val="auto"/>
                <w:sz w:val="22"/>
                <w:szCs w:val="22"/>
                <w:highlight w:val="none"/>
                <w:lang w:val="en-US" w:eastAsia="zh-CN"/>
              </w:rPr>
              <w:br w:type="textWrapping"/>
            </w:r>
            <w:r>
              <w:rPr>
                <w:rFonts w:hint="eastAsia" w:ascii="新宋体" w:hAnsi="新宋体" w:eastAsia="新宋体" w:cs="新宋体"/>
                <w:bCs/>
                <w:color w:val="auto"/>
                <w:sz w:val="22"/>
                <w:szCs w:val="22"/>
                <w:highlight w:val="none"/>
                <w:lang w:val="en-US" w:eastAsia="zh-CN"/>
              </w:rPr>
              <w:t>（4）存在欠缺的，内容完全不符合或未提供的，得0分。</w:t>
            </w:r>
          </w:p>
          <w:p w14:paraId="489400D8">
            <w:pPr>
              <w:keepNext w:val="0"/>
              <w:keepLines w:val="0"/>
              <w:pageBreakBefore w:val="0"/>
              <w:kinsoku/>
              <w:wordWrap/>
              <w:topLinePunct w:val="0"/>
              <w:bidi w:val="0"/>
              <w:spacing w:line="460" w:lineRule="exact"/>
              <w:jc w:val="left"/>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5.卫生保洁服务方案：（3分）</w:t>
            </w:r>
          </w:p>
          <w:p w14:paraId="1F615D83">
            <w:pPr>
              <w:keepNext w:val="0"/>
              <w:keepLines w:val="0"/>
              <w:pageBreakBefore w:val="0"/>
              <w:kinsoku/>
              <w:wordWrap/>
              <w:topLinePunct w:val="0"/>
              <w:bidi w:val="0"/>
              <w:spacing w:line="460" w:lineRule="exact"/>
              <w:jc w:val="left"/>
              <w:rPr>
                <w:rFonts w:hint="eastAsia" w:ascii="新宋体" w:hAnsi="新宋体" w:eastAsia="新宋体" w:cs="新宋体"/>
                <w:bCs/>
                <w:color w:val="auto"/>
                <w:sz w:val="22"/>
                <w:szCs w:val="22"/>
                <w:highlight w:val="none"/>
                <w:lang w:val="en-US" w:eastAsia="zh-CN"/>
              </w:rPr>
            </w:pPr>
            <w:bookmarkStart w:id="79" w:name="OLE_LINK64"/>
            <w:r>
              <w:rPr>
                <w:rFonts w:hint="eastAsia" w:ascii="新宋体" w:hAnsi="新宋体" w:eastAsia="新宋体" w:cs="新宋体"/>
                <w:bCs/>
                <w:color w:val="auto"/>
                <w:sz w:val="22"/>
                <w:szCs w:val="22"/>
                <w:highlight w:val="none"/>
                <w:lang w:val="en-US" w:eastAsia="zh-CN"/>
              </w:rPr>
              <w:t>（1）全面详细、科学完整，针对性强的，得3分；</w:t>
            </w:r>
            <w:r>
              <w:rPr>
                <w:rFonts w:hint="eastAsia" w:ascii="新宋体" w:hAnsi="新宋体" w:eastAsia="新宋体" w:cs="新宋体"/>
                <w:bCs/>
                <w:color w:val="auto"/>
                <w:sz w:val="22"/>
                <w:szCs w:val="22"/>
                <w:highlight w:val="none"/>
                <w:lang w:val="en-US" w:eastAsia="zh-CN"/>
              </w:rPr>
              <w:br w:type="textWrapping"/>
            </w:r>
            <w:r>
              <w:rPr>
                <w:rFonts w:hint="eastAsia" w:ascii="新宋体" w:hAnsi="新宋体" w:eastAsia="新宋体" w:cs="新宋体"/>
                <w:bCs/>
                <w:color w:val="auto"/>
                <w:sz w:val="22"/>
                <w:szCs w:val="22"/>
                <w:highlight w:val="none"/>
                <w:lang w:val="en-US" w:eastAsia="zh-CN"/>
              </w:rPr>
              <w:t>（2）方案完整，具有可行性的，能较好地完成服务的，得2分；</w:t>
            </w:r>
          </w:p>
          <w:p w14:paraId="6862BAF7">
            <w:pPr>
              <w:keepNext w:val="0"/>
              <w:keepLines w:val="0"/>
              <w:pageBreakBefore w:val="0"/>
              <w:kinsoku/>
              <w:wordWrap/>
              <w:topLinePunct w:val="0"/>
              <w:bidi w:val="0"/>
              <w:spacing w:line="460" w:lineRule="exact"/>
              <w:jc w:val="left"/>
              <w:rPr>
                <w:rFonts w:hint="eastAsia" w:ascii="新宋体" w:hAnsi="新宋体" w:eastAsia="新宋体" w:cs="新宋体"/>
                <w:color w:val="auto"/>
                <w:sz w:val="22"/>
                <w:szCs w:val="22"/>
                <w:highlight w:val="none"/>
                <w:lang w:bidi="ar-SA"/>
              </w:rPr>
            </w:pPr>
            <w:r>
              <w:rPr>
                <w:rFonts w:hint="eastAsia" w:ascii="新宋体" w:hAnsi="新宋体" w:eastAsia="新宋体" w:cs="新宋体"/>
                <w:bCs/>
                <w:color w:val="auto"/>
                <w:sz w:val="22"/>
                <w:szCs w:val="22"/>
                <w:highlight w:val="none"/>
                <w:lang w:val="en-US" w:eastAsia="zh-CN"/>
              </w:rPr>
              <w:t>（3）方案基本完整，能基本完成服务的，得1分；</w:t>
            </w:r>
            <w:r>
              <w:rPr>
                <w:rFonts w:hint="eastAsia" w:ascii="新宋体" w:hAnsi="新宋体" w:eastAsia="新宋体" w:cs="新宋体"/>
                <w:bCs/>
                <w:color w:val="auto"/>
                <w:sz w:val="22"/>
                <w:szCs w:val="22"/>
                <w:highlight w:val="none"/>
                <w:lang w:val="en-US" w:eastAsia="zh-CN"/>
              </w:rPr>
              <w:br w:type="textWrapping"/>
            </w:r>
            <w:r>
              <w:rPr>
                <w:rFonts w:hint="eastAsia" w:ascii="新宋体" w:hAnsi="新宋体" w:eastAsia="新宋体" w:cs="新宋体"/>
                <w:bCs/>
                <w:color w:val="auto"/>
                <w:sz w:val="22"/>
                <w:szCs w:val="22"/>
                <w:highlight w:val="none"/>
                <w:lang w:val="en-US" w:eastAsia="zh-CN"/>
              </w:rPr>
              <w:t>（4）存在欠缺的，内容完全不符合或未提供的，得0分。</w:t>
            </w:r>
            <w:bookmarkEnd w:id="79"/>
          </w:p>
        </w:tc>
      </w:tr>
      <w:tr w14:paraId="0DF5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4" w:type="dxa"/>
            <w:noWrap w:val="0"/>
            <w:vAlign w:val="center"/>
          </w:tcPr>
          <w:p w14:paraId="72587A2B">
            <w:pPr>
              <w:keepNext w:val="0"/>
              <w:keepLines w:val="0"/>
              <w:pageBreakBefore w:val="0"/>
              <w:kinsoku/>
              <w:wordWrap/>
              <w:topLinePunct w:val="0"/>
              <w:bidi w:val="0"/>
              <w:spacing w:line="460" w:lineRule="exact"/>
              <w:jc w:val="center"/>
              <w:rPr>
                <w:rFonts w:hint="eastAsia" w:ascii="新宋体" w:hAnsi="新宋体" w:eastAsia="新宋体" w:cs="新宋体"/>
                <w:snapToGrid w:val="0"/>
                <w:color w:val="auto"/>
                <w:kern w:val="0"/>
                <w:sz w:val="22"/>
                <w:szCs w:val="22"/>
                <w:highlight w:val="none"/>
                <w:lang w:val="en-US" w:eastAsia="zh-CN" w:bidi="ar-SA"/>
              </w:rPr>
            </w:pPr>
            <w:r>
              <w:rPr>
                <w:rFonts w:hint="eastAsia" w:ascii="新宋体" w:hAnsi="新宋体" w:eastAsia="新宋体" w:cs="新宋体"/>
                <w:snapToGrid w:val="0"/>
                <w:color w:val="auto"/>
                <w:kern w:val="0"/>
                <w:sz w:val="22"/>
                <w:szCs w:val="22"/>
                <w:highlight w:val="none"/>
                <w:lang w:val="en-US" w:eastAsia="zh-CN" w:bidi="ar-SA"/>
              </w:rPr>
              <w:t>3</w:t>
            </w:r>
          </w:p>
        </w:tc>
        <w:tc>
          <w:tcPr>
            <w:tcW w:w="1684" w:type="dxa"/>
            <w:noWrap w:val="0"/>
            <w:vAlign w:val="center"/>
          </w:tcPr>
          <w:p w14:paraId="25126C5C">
            <w:pPr>
              <w:keepNext w:val="0"/>
              <w:keepLines w:val="0"/>
              <w:pageBreakBefore w:val="0"/>
              <w:kinsoku/>
              <w:wordWrap/>
              <w:topLinePunct w:val="0"/>
              <w:bidi w:val="0"/>
              <w:spacing w:line="460" w:lineRule="exact"/>
              <w:jc w:val="center"/>
              <w:rPr>
                <w:rFonts w:hint="eastAsia" w:ascii="新宋体" w:hAnsi="新宋体" w:eastAsia="新宋体" w:cs="新宋体"/>
                <w:color w:val="auto"/>
                <w:sz w:val="22"/>
                <w:szCs w:val="22"/>
                <w:highlight w:val="none"/>
                <w:lang w:val="en-US" w:eastAsia="zh-CN" w:bidi="ar-SA"/>
              </w:rPr>
            </w:pPr>
            <w:r>
              <w:rPr>
                <w:rFonts w:hint="eastAsia" w:ascii="宋体" w:hAnsi="宋体" w:eastAsia="宋体" w:cs="宋体"/>
                <w:b w:val="0"/>
                <w:bCs w:val="0"/>
                <w:color w:val="auto"/>
                <w:sz w:val="22"/>
                <w:szCs w:val="22"/>
                <w:highlight w:val="none"/>
                <w:lang w:eastAsia="zh-CN"/>
              </w:rPr>
              <w:t>员工职业保障</w:t>
            </w:r>
          </w:p>
        </w:tc>
        <w:tc>
          <w:tcPr>
            <w:tcW w:w="1125" w:type="dxa"/>
            <w:noWrap w:val="0"/>
            <w:vAlign w:val="center"/>
          </w:tcPr>
          <w:p w14:paraId="099978DA">
            <w:pPr>
              <w:keepNext w:val="0"/>
              <w:keepLines w:val="0"/>
              <w:pageBreakBefore w:val="0"/>
              <w:kinsoku/>
              <w:wordWrap/>
              <w:topLinePunct w:val="0"/>
              <w:bidi w:val="0"/>
              <w:spacing w:line="460" w:lineRule="exact"/>
              <w:jc w:val="center"/>
              <w:rPr>
                <w:rFonts w:hint="default" w:ascii="新宋体" w:hAnsi="新宋体" w:eastAsia="新宋体" w:cs="新宋体"/>
                <w:color w:val="auto"/>
                <w:sz w:val="22"/>
                <w:szCs w:val="22"/>
                <w:highlight w:val="none"/>
                <w:lang w:val="en-US" w:eastAsia="zh-CN" w:bidi="ar-SA"/>
              </w:rPr>
            </w:pPr>
            <w:r>
              <w:rPr>
                <w:rFonts w:hint="eastAsia" w:ascii="新宋体" w:hAnsi="新宋体" w:eastAsia="新宋体" w:cs="新宋体"/>
                <w:color w:val="auto"/>
                <w:sz w:val="22"/>
                <w:szCs w:val="22"/>
                <w:highlight w:val="none"/>
                <w:lang w:val="en-US" w:eastAsia="zh-CN" w:bidi="ar-SA"/>
              </w:rPr>
              <w:t>5</w:t>
            </w:r>
          </w:p>
        </w:tc>
        <w:tc>
          <w:tcPr>
            <w:tcW w:w="6416" w:type="dxa"/>
            <w:noWrap w:val="0"/>
            <w:vAlign w:val="center"/>
          </w:tcPr>
          <w:p w14:paraId="08EE6164">
            <w:pPr>
              <w:keepNext w:val="0"/>
              <w:keepLines w:val="0"/>
              <w:pageBreakBefore w:val="0"/>
              <w:kinsoku/>
              <w:wordWrap/>
              <w:topLinePunct w:val="0"/>
              <w:bidi w:val="0"/>
              <w:spacing w:line="460" w:lineRule="exac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根据投标人对各岗位人员的基本福利、社会保险、职业安全等保障措施和方案的科学性、合理性和可操作性，</w:t>
            </w:r>
            <w:r>
              <w:rPr>
                <w:rFonts w:hint="eastAsia" w:ascii="宋体" w:hAnsi="宋体" w:cs="新宋体"/>
                <w:color w:val="auto"/>
                <w:kern w:val="0"/>
                <w:sz w:val="22"/>
                <w:szCs w:val="22"/>
                <w:highlight w:val="none"/>
              </w:rPr>
              <w:t>由评委</w:t>
            </w:r>
            <w:r>
              <w:rPr>
                <w:rFonts w:hint="eastAsia" w:ascii="新宋体" w:hAnsi="新宋体" w:eastAsia="新宋体" w:cs="新宋体"/>
                <w:color w:val="auto"/>
                <w:kern w:val="0"/>
                <w:sz w:val="22"/>
                <w:szCs w:val="22"/>
                <w:highlight w:val="none"/>
                <w:lang w:bidi="ar"/>
              </w:rPr>
              <w:t>综合评价量化打分</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eastAsia="zh-CN"/>
              </w:rPr>
              <w:t>（</w:t>
            </w:r>
            <w:r>
              <w:rPr>
                <w:rFonts w:hint="eastAsia" w:ascii="新宋体" w:hAnsi="新宋体" w:eastAsia="新宋体" w:cs="新宋体"/>
                <w:color w:val="auto"/>
                <w:kern w:val="0"/>
                <w:sz w:val="22"/>
                <w:szCs w:val="22"/>
                <w:highlight w:val="none"/>
                <w:lang w:bidi="ar"/>
              </w:rPr>
              <w:t>评分范围：5,3,1,0</w:t>
            </w:r>
            <w:r>
              <w:rPr>
                <w:rFonts w:hint="eastAsia" w:ascii="宋体" w:hAnsi="宋体" w:cs="宋体"/>
                <w:b w:val="0"/>
                <w:bCs w:val="0"/>
                <w:color w:val="auto"/>
                <w:sz w:val="22"/>
                <w:szCs w:val="22"/>
                <w:highlight w:val="none"/>
                <w:lang w:eastAsia="zh-CN"/>
              </w:rPr>
              <w:t>）</w:t>
            </w:r>
          </w:p>
        </w:tc>
      </w:tr>
      <w:tr w14:paraId="6AB8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4" w:type="dxa"/>
            <w:noWrap w:val="0"/>
            <w:vAlign w:val="center"/>
          </w:tcPr>
          <w:p w14:paraId="5150D50B">
            <w:pPr>
              <w:keepNext w:val="0"/>
              <w:keepLines w:val="0"/>
              <w:pageBreakBefore w:val="0"/>
              <w:kinsoku/>
              <w:wordWrap/>
              <w:topLinePunct w:val="0"/>
              <w:bidi w:val="0"/>
              <w:spacing w:line="460" w:lineRule="exact"/>
              <w:jc w:val="center"/>
              <w:rPr>
                <w:rFonts w:hint="default" w:ascii="新宋体" w:hAnsi="新宋体" w:eastAsia="新宋体" w:cs="新宋体"/>
                <w:snapToGrid w:val="0"/>
                <w:color w:val="auto"/>
                <w:kern w:val="0"/>
                <w:sz w:val="22"/>
                <w:szCs w:val="22"/>
                <w:highlight w:val="none"/>
                <w:lang w:val="en-US" w:eastAsia="zh-CN" w:bidi="ar-SA"/>
              </w:rPr>
            </w:pPr>
            <w:r>
              <w:rPr>
                <w:rFonts w:hint="eastAsia" w:ascii="新宋体" w:hAnsi="新宋体" w:eastAsia="新宋体" w:cs="新宋体"/>
                <w:snapToGrid w:val="0"/>
                <w:color w:val="auto"/>
                <w:kern w:val="0"/>
                <w:sz w:val="22"/>
                <w:szCs w:val="22"/>
                <w:highlight w:val="none"/>
                <w:lang w:val="en-US" w:eastAsia="zh-CN" w:bidi="ar-SA"/>
              </w:rPr>
              <w:t>4</w:t>
            </w:r>
          </w:p>
        </w:tc>
        <w:tc>
          <w:tcPr>
            <w:tcW w:w="1684" w:type="dxa"/>
            <w:noWrap w:val="0"/>
            <w:vAlign w:val="center"/>
          </w:tcPr>
          <w:p w14:paraId="4815005F">
            <w:pPr>
              <w:keepNext w:val="0"/>
              <w:keepLines w:val="0"/>
              <w:pageBreakBefore w:val="0"/>
              <w:kinsoku/>
              <w:wordWrap/>
              <w:topLinePunct w:val="0"/>
              <w:bidi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新宋体" w:hAnsi="新宋体" w:eastAsia="新宋体" w:cs="新宋体"/>
                <w:b w:val="0"/>
                <w:color w:val="auto"/>
                <w:sz w:val="22"/>
                <w:szCs w:val="22"/>
                <w:highlight w:val="none"/>
              </w:rPr>
              <w:t>档案资料管理</w:t>
            </w:r>
          </w:p>
        </w:tc>
        <w:tc>
          <w:tcPr>
            <w:tcW w:w="1125" w:type="dxa"/>
            <w:noWrap w:val="0"/>
            <w:vAlign w:val="center"/>
          </w:tcPr>
          <w:p w14:paraId="775ABB8A">
            <w:pPr>
              <w:keepNext w:val="0"/>
              <w:keepLines w:val="0"/>
              <w:pageBreakBefore w:val="0"/>
              <w:kinsoku/>
              <w:wordWrap/>
              <w:topLinePunct w:val="0"/>
              <w:bidi w:val="0"/>
              <w:spacing w:line="460" w:lineRule="exact"/>
              <w:jc w:val="center"/>
              <w:rPr>
                <w:rFonts w:hint="default" w:ascii="新宋体" w:hAnsi="新宋体" w:eastAsia="新宋体" w:cs="新宋体"/>
                <w:color w:val="auto"/>
                <w:sz w:val="22"/>
                <w:szCs w:val="22"/>
                <w:highlight w:val="none"/>
                <w:lang w:val="en-US" w:eastAsia="zh-CN" w:bidi="ar-SA"/>
              </w:rPr>
            </w:pPr>
            <w:r>
              <w:rPr>
                <w:rFonts w:hint="eastAsia" w:ascii="新宋体" w:hAnsi="新宋体" w:eastAsia="新宋体" w:cs="新宋体"/>
                <w:color w:val="auto"/>
                <w:sz w:val="22"/>
                <w:szCs w:val="22"/>
                <w:highlight w:val="none"/>
                <w:lang w:val="en-US" w:eastAsia="zh-CN" w:bidi="ar-SA"/>
              </w:rPr>
              <w:t>5</w:t>
            </w:r>
          </w:p>
        </w:tc>
        <w:tc>
          <w:tcPr>
            <w:tcW w:w="6416" w:type="dxa"/>
            <w:noWrap w:val="0"/>
            <w:vAlign w:val="center"/>
          </w:tcPr>
          <w:p w14:paraId="029D3058">
            <w:pPr>
              <w:keepNext w:val="0"/>
              <w:keepLines w:val="0"/>
              <w:pageBreakBefore w:val="0"/>
              <w:kinsoku/>
              <w:wordWrap/>
              <w:topLinePunct w:val="0"/>
              <w:bidi w:val="0"/>
              <w:spacing w:line="460" w:lineRule="exact"/>
              <w:rPr>
                <w:rFonts w:hint="eastAsia" w:ascii="宋体" w:hAnsi="宋体" w:eastAsia="宋体" w:cs="宋体"/>
                <w:b w:val="0"/>
                <w:bCs w:val="0"/>
                <w:color w:val="auto"/>
                <w:sz w:val="22"/>
                <w:szCs w:val="22"/>
                <w:highlight w:val="none"/>
              </w:rPr>
            </w:pPr>
            <w:r>
              <w:rPr>
                <w:rFonts w:hint="eastAsia" w:ascii="新宋体" w:hAnsi="新宋体" w:eastAsia="新宋体" w:cs="新宋体"/>
                <w:b w:val="0"/>
                <w:bCs/>
                <w:color w:val="auto"/>
                <w:sz w:val="22"/>
                <w:szCs w:val="22"/>
                <w:highlight w:val="none"/>
              </w:rPr>
              <w:t>根据</w:t>
            </w:r>
            <w:r>
              <w:rPr>
                <w:rFonts w:hint="eastAsia" w:ascii="新宋体" w:hAnsi="新宋体" w:eastAsia="新宋体" w:cs="新宋体"/>
                <w:b w:val="0"/>
                <w:bCs/>
                <w:color w:val="auto"/>
                <w:sz w:val="22"/>
                <w:szCs w:val="22"/>
                <w:highlight w:val="none"/>
                <w:lang w:val="en-US" w:eastAsia="zh-CN"/>
              </w:rPr>
              <w:t>投标人提供的</w:t>
            </w:r>
            <w:r>
              <w:rPr>
                <w:rFonts w:hint="eastAsia" w:ascii="新宋体" w:hAnsi="新宋体" w:eastAsia="新宋体" w:cs="新宋体"/>
                <w:bCs/>
                <w:color w:val="auto"/>
                <w:sz w:val="22"/>
                <w:szCs w:val="22"/>
                <w:highlight w:val="none"/>
                <w:lang w:eastAsia="zh-CN"/>
              </w:rPr>
              <w:t>档案管理制度</w:t>
            </w:r>
            <w:r>
              <w:rPr>
                <w:rFonts w:hint="eastAsia" w:ascii="新宋体" w:hAnsi="新宋体" w:eastAsia="新宋体" w:cs="新宋体"/>
                <w:bCs/>
                <w:color w:val="auto"/>
                <w:sz w:val="22"/>
                <w:szCs w:val="22"/>
                <w:highlight w:val="none"/>
                <w:lang w:val="en-US" w:eastAsia="zh-CN"/>
              </w:rPr>
              <w:t>等内容，</w:t>
            </w:r>
            <w:r>
              <w:rPr>
                <w:rFonts w:hint="eastAsia" w:ascii="宋体" w:hAnsi="宋体" w:cs="新宋体"/>
                <w:color w:val="auto"/>
                <w:kern w:val="0"/>
                <w:sz w:val="22"/>
                <w:szCs w:val="22"/>
                <w:highlight w:val="none"/>
              </w:rPr>
              <w:t>由评委</w:t>
            </w:r>
            <w:r>
              <w:rPr>
                <w:rFonts w:hint="eastAsia" w:ascii="新宋体" w:hAnsi="新宋体" w:eastAsia="新宋体" w:cs="新宋体"/>
                <w:color w:val="auto"/>
                <w:kern w:val="0"/>
                <w:sz w:val="22"/>
                <w:szCs w:val="22"/>
                <w:highlight w:val="none"/>
                <w:lang w:bidi="ar"/>
              </w:rPr>
              <w:t>综合评价量化打分</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eastAsia="zh-CN"/>
              </w:rPr>
              <w:t>（</w:t>
            </w:r>
            <w:r>
              <w:rPr>
                <w:rFonts w:hint="eastAsia" w:ascii="新宋体" w:hAnsi="新宋体" w:eastAsia="新宋体" w:cs="新宋体"/>
                <w:color w:val="auto"/>
                <w:kern w:val="0"/>
                <w:sz w:val="22"/>
                <w:szCs w:val="22"/>
                <w:highlight w:val="none"/>
                <w:lang w:bidi="ar"/>
              </w:rPr>
              <w:t>评分范围：5,3,1,0</w:t>
            </w:r>
            <w:r>
              <w:rPr>
                <w:rFonts w:hint="eastAsia" w:ascii="宋体" w:hAnsi="宋体" w:cs="宋体"/>
                <w:b w:val="0"/>
                <w:bCs w:val="0"/>
                <w:color w:val="auto"/>
                <w:sz w:val="22"/>
                <w:szCs w:val="22"/>
                <w:highlight w:val="none"/>
                <w:lang w:eastAsia="zh-CN"/>
              </w:rPr>
              <w:t>）</w:t>
            </w:r>
          </w:p>
        </w:tc>
      </w:tr>
      <w:tr w14:paraId="0B56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4" w:type="dxa"/>
            <w:shd w:val="clear" w:color="auto" w:fill="auto"/>
            <w:noWrap w:val="0"/>
            <w:vAlign w:val="center"/>
          </w:tcPr>
          <w:p w14:paraId="5F5C1FB5">
            <w:pPr>
              <w:keepNext w:val="0"/>
              <w:keepLines w:val="0"/>
              <w:pageBreakBefore w:val="0"/>
              <w:kinsoku/>
              <w:wordWrap/>
              <w:topLinePunct w:val="0"/>
              <w:bidi w:val="0"/>
              <w:spacing w:line="460" w:lineRule="exact"/>
              <w:jc w:val="center"/>
              <w:rPr>
                <w:rFonts w:hint="eastAsia" w:ascii="新宋体" w:hAnsi="新宋体" w:eastAsia="新宋体" w:cs="新宋体"/>
                <w:snapToGrid w:val="0"/>
                <w:color w:val="auto"/>
                <w:kern w:val="0"/>
                <w:sz w:val="22"/>
                <w:szCs w:val="22"/>
                <w:highlight w:val="none"/>
                <w:lang w:val="en-US" w:eastAsia="zh-CN" w:bidi="ar-SA"/>
              </w:rPr>
            </w:pPr>
            <w:r>
              <w:rPr>
                <w:rFonts w:hint="eastAsia" w:ascii="新宋体" w:hAnsi="新宋体" w:eastAsia="新宋体" w:cs="新宋体"/>
                <w:snapToGrid w:val="0"/>
                <w:color w:val="auto"/>
                <w:kern w:val="0"/>
                <w:sz w:val="22"/>
                <w:szCs w:val="22"/>
                <w:highlight w:val="none"/>
                <w:lang w:val="en-US" w:eastAsia="zh-CN" w:bidi="ar-SA"/>
              </w:rPr>
              <w:t>5</w:t>
            </w:r>
          </w:p>
        </w:tc>
        <w:tc>
          <w:tcPr>
            <w:tcW w:w="1684" w:type="dxa"/>
            <w:shd w:val="clear" w:color="auto" w:fill="auto"/>
            <w:noWrap w:val="0"/>
            <w:vAlign w:val="center"/>
          </w:tcPr>
          <w:p w14:paraId="36B50FAB">
            <w:pPr>
              <w:keepNext w:val="0"/>
              <w:keepLines w:val="0"/>
              <w:pageBreakBefore w:val="0"/>
              <w:kinsoku/>
              <w:wordWrap/>
              <w:topLinePunct w:val="0"/>
              <w:bidi w:val="0"/>
              <w:spacing w:line="460" w:lineRule="exact"/>
              <w:jc w:val="center"/>
              <w:rPr>
                <w:rFonts w:hint="eastAsia" w:ascii="新宋体" w:hAnsi="新宋体" w:eastAsia="新宋体" w:cs="新宋体"/>
                <w:bCs/>
                <w:color w:val="auto"/>
                <w:kern w:val="2"/>
                <w:sz w:val="22"/>
                <w:szCs w:val="22"/>
                <w:highlight w:val="none"/>
                <w:lang w:val="en-US" w:eastAsia="zh-CN" w:bidi="ar-SA"/>
              </w:rPr>
            </w:pPr>
            <w:r>
              <w:rPr>
                <w:rFonts w:hint="eastAsia" w:ascii="宋体" w:hAnsi="宋体" w:cs="宋体"/>
                <w:color w:val="auto"/>
                <w:sz w:val="24"/>
                <w:highlight w:val="none"/>
              </w:rPr>
              <w:t>拟派</w:t>
            </w:r>
            <w:r>
              <w:rPr>
                <w:rFonts w:hint="eastAsia" w:ascii="宋体" w:hAnsi="宋体" w:cs="宋体"/>
                <w:color w:val="auto"/>
                <w:sz w:val="24"/>
                <w:highlight w:val="none"/>
                <w:lang w:val="en-US" w:eastAsia="zh-CN"/>
              </w:rPr>
              <w:t>项目经理</w:t>
            </w:r>
            <w:r>
              <w:rPr>
                <w:rFonts w:hint="eastAsia" w:ascii="宋体" w:hAnsi="宋体" w:cs="宋体"/>
                <w:color w:val="auto"/>
                <w:sz w:val="24"/>
                <w:highlight w:val="none"/>
              </w:rPr>
              <w:t>相关情况</w:t>
            </w:r>
          </w:p>
        </w:tc>
        <w:tc>
          <w:tcPr>
            <w:tcW w:w="1125" w:type="dxa"/>
            <w:shd w:val="clear" w:color="auto" w:fill="auto"/>
            <w:noWrap w:val="0"/>
            <w:vAlign w:val="center"/>
          </w:tcPr>
          <w:p w14:paraId="4461EB97">
            <w:pPr>
              <w:keepNext w:val="0"/>
              <w:keepLines w:val="0"/>
              <w:pageBreakBefore w:val="0"/>
              <w:kinsoku/>
              <w:wordWrap/>
              <w:topLinePunct w:val="0"/>
              <w:bidi w:val="0"/>
              <w:spacing w:line="460" w:lineRule="exact"/>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bidi="ar-SA"/>
              </w:rPr>
              <w:t>6</w:t>
            </w:r>
          </w:p>
        </w:tc>
        <w:tc>
          <w:tcPr>
            <w:tcW w:w="6416" w:type="dxa"/>
            <w:shd w:val="clear" w:color="auto" w:fill="auto"/>
            <w:noWrap w:val="0"/>
            <w:vAlign w:val="center"/>
          </w:tcPr>
          <w:p w14:paraId="1BCE001E">
            <w:pPr>
              <w:keepNext w:val="0"/>
              <w:keepLines w:val="0"/>
              <w:pageBreakBefore w:val="0"/>
              <w:kinsoku/>
              <w:wordWrap/>
              <w:topLinePunct w:val="0"/>
              <w:bidi w:val="0"/>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1.拟派</w:t>
            </w:r>
            <w:r>
              <w:rPr>
                <w:rFonts w:hint="eastAsia" w:ascii="新宋体" w:hAnsi="新宋体" w:eastAsia="新宋体" w:cs="新宋体"/>
                <w:color w:val="auto"/>
                <w:kern w:val="0"/>
                <w:sz w:val="22"/>
                <w:szCs w:val="22"/>
                <w:highlight w:val="none"/>
                <w:lang w:eastAsia="zh-CN"/>
              </w:rPr>
              <w:t>项目经理</w:t>
            </w:r>
            <w:r>
              <w:rPr>
                <w:rFonts w:hint="eastAsia" w:ascii="新宋体" w:hAnsi="新宋体" w:eastAsia="新宋体" w:cs="新宋体"/>
                <w:color w:val="auto"/>
                <w:kern w:val="0"/>
                <w:sz w:val="22"/>
                <w:szCs w:val="22"/>
                <w:highlight w:val="none"/>
              </w:rPr>
              <w:t>截止投标截止时间年龄小于等于55周岁且大于45周岁，得1分；拟派</w:t>
            </w:r>
            <w:r>
              <w:rPr>
                <w:rFonts w:hint="eastAsia" w:ascii="新宋体" w:hAnsi="新宋体" w:eastAsia="新宋体" w:cs="新宋体"/>
                <w:color w:val="auto"/>
                <w:kern w:val="0"/>
                <w:sz w:val="22"/>
                <w:szCs w:val="22"/>
                <w:highlight w:val="none"/>
                <w:lang w:eastAsia="zh-CN"/>
              </w:rPr>
              <w:t>项目经理</w:t>
            </w:r>
            <w:r>
              <w:rPr>
                <w:rFonts w:hint="eastAsia" w:ascii="新宋体" w:hAnsi="新宋体" w:eastAsia="新宋体" w:cs="新宋体"/>
                <w:color w:val="auto"/>
                <w:kern w:val="0"/>
                <w:sz w:val="22"/>
                <w:szCs w:val="22"/>
                <w:highlight w:val="none"/>
              </w:rPr>
              <w:t>截止投标截止时间年龄小于等于45周岁得2分；本项最高得2分。</w:t>
            </w:r>
          </w:p>
          <w:p w14:paraId="7FCC9215">
            <w:pPr>
              <w:keepNext w:val="0"/>
              <w:keepLines w:val="0"/>
              <w:pageBreakBefore w:val="0"/>
              <w:kinsoku/>
              <w:wordWrap/>
              <w:topLinePunct w:val="0"/>
              <w:bidi w:val="0"/>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拟派</w:t>
            </w:r>
            <w:r>
              <w:rPr>
                <w:rFonts w:hint="eastAsia" w:ascii="新宋体" w:hAnsi="新宋体" w:eastAsia="新宋体" w:cs="新宋体"/>
                <w:color w:val="auto"/>
                <w:kern w:val="0"/>
                <w:sz w:val="22"/>
                <w:szCs w:val="22"/>
                <w:highlight w:val="none"/>
                <w:lang w:eastAsia="zh-CN"/>
              </w:rPr>
              <w:t>项目经理</w:t>
            </w:r>
            <w:r>
              <w:rPr>
                <w:rFonts w:hint="eastAsia" w:ascii="新宋体" w:hAnsi="新宋体" w:eastAsia="新宋体" w:cs="新宋体"/>
                <w:color w:val="auto"/>
                <w:kern w:val="0"/>
                <w:sz w:val="22"/>
                <w:szCs w:val="22"/>
                <w:highlight w:val="none"/>
              </w:rPr>
              <w:t>具有专科学历的得1分，具有本科及以上学历的得2分，本项最高得2分；</w:t>
            </w:r>
          </w:p>
          <w:p w14:paraId="7EA41237">
            <w:pPr>
              <w:keepNext w:val="0"/>
              <w:keepLines w:val="0"/>
              <w:pageBreakBefore w:val="0"/>
              <w:kinsoku/>
              <w:wordWrap/>
              <w:topLinePunct w:val="0"/>
              <w:bidi w:val="0"/>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拟派</w:t>
            </w:r>
            <w:r>
              <w:rPr>
                <w:rFonts w:hint="eastAsia" w:ascii="新宋体" w:hAnsi="新宋体" w:eastAsia="新宋体" w:cs="新宋体"/>
                <w:color w:val="auto"/>
                <w:kern w:val="0"/>
                <w:sz w:val="22"/>
                <w:szCs w:val="22"/>
                <w:highlight w:val="none"/>
                <w:lang w:eastAsia="zh-CN"/>
              </w:rPr>
              <w:t>项目经理</w:t>
            </w:r>
            <w:r>
              <w:rPr>
                <w:rFonts w:hint="eastAsia" w:ascii="新宋体" w:hAnsi="新宋体" w:eastAsia="新宋体" w:cs="新宋体"/>
                <w:color w:val="auto"/>
                <w:kern w:val="0"/>
                <w:sz w:val="22"/>
                <w:szCs w:val="22"/>
                <w:highlight w:val="none"/>
              </w:rPr>
              <w:t>具有同类物业服务项目经理工作经验大于等于一年、小于三年的得1分；具有同类物业服务项目经理工作经验大于等于三年的得2分，本项最高得2分。需提供相应业绩合同（如业绩合同不能体现人员岗位信息、服务年限还需同时提供业主证明），否则不得分。</w:t>
            </w:r>
          </w:p>
          <w:p w14:paraId="69BFD40A">
            <w:pPr>
              <w:keepNext w:val="0"/>
              <w:keepLines w:val="0"/>
              <w:pageBreakBefore w:val="0"/>
              <w:kinsoku/>
              <w:wordWrap/>
              <w:topLinePunct w:val="0"/>
              <w:bidi w:val="0"/>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备注：</w:t>
            </w:r>
          </w:p>
          <w:p w14:paraId="5AC6E687">
            <w:pPr>
              <w:keepNext w:val="0"/>
              <w:keepLines w:val="0"/>
              <w:pageBreakBefore w:val="0"/>
              <w:kinsoku/>
              <w:wordWrap/>
              <w:topLinePunct w:val="0"/>
              <w:bidi w:val="0"/>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1、上述须提供相应证明材料</w:t>
            </w:r>
            <w:r>
              <w:rPr>
                <w:rFonts w:hint="eastAsia" w:ascii="新宋体" w:hAnsi="新宋体" w:eastAsia="新宋体" w:cs="新宋体"/>
                <w:color w:val="auto"/>
                <w:kern w:val="0"/>
                <w:sz w:val="22"/>
                <w:szCs w:val="22"/>
                <w:highlight w:val="none"/>
                <w:lang w:val="en-US" w:eastAsia="zh-CN"/>
              </w:rPr>
              <w:t>并加盖</w:t>
            </w:r>
            <w:r>
              <w:rPr>
                <w:rFonts w:hint="eastAsia" w:ascii="新宋体" w:hAnsi="新宋体" w:eastAsia="新宋体" w:cs="新宋体"/>
                <w:color w:val="auto"/>
                <w:sz w:val="22"/>
                <w:szCs w:val="22"/>
                <w:highlight w:val="none"/>
                <w:lang w:val="en-US" w:eastAsia="zh-CN" w:bidi="ar-SA"/>
              </w:rPr>
              <w:t>投标供应商公章；</w:t>
            </w:r>
          </w:p>
          <w:p w14:paraId="213AD847">
            <w:pPr>
              <w:keepNext w:val="0"/>
              <w:keepLines w:val="0"/>
              <w:pageBreakBefore w:val="0"/>
              <w:kinsoku/>
              <w:wordWrap/>
              <w:topLinePunct w:val="0"/>
              <w:bidi w:val="0"/>
              <w:spacing w:line="460" w:lineRule="exact"/>
              <w:jc w:val="left"/>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color w:val="auto"/>
                <w:kern w:val="0"/>
                <w:sz w:val="22"/>
                <w:szCs w:val="22"/>
                <w:highlight w:val="none"/>
              </w:rPr>
              <w:t>2、以上人员须提供在本单位2024年</w:t>
            </w:r>
            <w:r>
              <w:rPr>
                <w:rFonts w:hint="eastAsia" w:ascii="新宋体" w:hAnsi="新宋体" w:eastAsia="新宋体" w:cs="新宋体"/>
                <w:color w:val="auto"/>
                <w:kern w:val="0"/>
                <w:sz w:val="22"/>
                <w:szCs w:val="22"/>
                <w:highlight w:val="none"/>
                <w:lang w:val="en-US" w:eastAsia="zh-CN"/>
              </w:rPr>
              <w:t>7</w:t>
            </w:r>
            <w:r>
              <w:rPr>
                <w:rFonts w:hint="eastAsia" w:ascii="新宋体" w:hAnsi="新宋体" w:eastAsia="新宋体" w:cs="新宋体"/>
                <w:color w:val="auto"/>
                <w:kern w:val="0"/>
                <w:sz w:val="22"/>
                <w:szCs w:val="22"/>
                <w:highlight w:val="none"/>
              </w:rPr>
              <w:t>月1日至投标截止时间为止任意一月的社保缴纳情况证明</w:t>
            </w:r>
            <w:r>
              <w:rPr>
                <w:rFonts w:hint="eastAsia" w:ascii="新宋体" w:hAnsi="新宋体" w:eastAsia="新宋体" w:cs="新宋体"/>
                <w:color w:val="auto"/>
                <w:kern w:val="0"/>
                <w:sz w:val="22"/>
                <w:szCs w:val="22"/>
                <w:highlight w:val="none"/>
                <w:lang w:val="en-US" w:eastAsia="zh-CN"/>
              </w:rPr>
              <w:t>并加盖</w:t>
            </w:r>
            <w:r>
              <w:rPr>
                <w:rFonts w:hint="eastAsia" w:ascii="新宋体" w:hAnsi="新宋体" w:eastAsia="新宋体" w:cs="新宋体"/>
                <w:color w:val="auto"/>
                <w:sz w:val="22"/>
                <w:szCs w:val="22"/>
                <w:highlight w:val="none"/>
                <w:lang w:val="en-US" w:eastAsia="zh-CN" w:bidi="ar-SA"/>
              </w:rPr>
              <w:t>投标供应商公章</w:t>
            </w:r>
            <w:r>
              <w:rPr>
                <w:rFonts w:hint="eastAsia" w:ascii="新宋体" w:hAnsi="新宋体" w:eastAsia="新宋体" w:cs="新宋体"/>
                <w:color w:val="auto"/>
                <w:kern w:val="0"/>
                <w:sz w:val="22"/>
                <w:szCs w:val="22"/>
                <w:highlight w:val="none"/>
              </w:rPr>
              <w:t>（个人参保证明以已到账为准、单位参保证明以养老保险参保为准）否则不得分。</w:t>
            </w:r>
          </w:p>
        </w:tc>
      </w:tr>
      <w:tr w14:paraId="45E4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4" w:type="dxa"/>
            <w:shd w:val="clear" w:color="auto" w:fill="auto"/>
            <w:noWrap w:val="0"/>
            <w:vAlign w:val="center"/>
          </w:tcPr>
          <w:p w14:paraId="19B3DA5C">
            <w:pPr>
              <w:keepNext w:val="0"/>
              <w:keepLines w:val="0"/>
              <w:pageBreakBefore w:val="0"/>
              <w:kinsoku/>
              <w:wordWrap/>
              <w:topLinePunct w:val="0"/>
              <w:bidi w:val="0"/>
              <w:spacing w:line="460" w:lineRule="exact"/>
              <w:jc w:val="center"/>
              <w:rPr>
                <w:rFonts w:hint="eastAsia" w:ascii="新宋体" w:hAnsi="新宋体" w:eastAsia="新宋体" w:cs="新宋体"/>
                <w:bCs/>
                <w:snapToGrid w:val="0"/>
                <w:color w:val="auto"/>
                <w:kern w:val="0"/>
                <w:sz w:val="22"/>
                <w:szCs w:val="22"/>
                <w:highlight w:val="none"/>
                <w:lang w:val="en-US" w:eastAsia="zh-CN" w:bidi="ar-SA"/>
              </w:rPr>
            </w:pPr>
            <w:r>
              <w:rPr>
                <w:rFonts w:hint="eastAsia" w:ascii="新宋体" w:hAnsi="新宋体" w:eastAsia="新宋体" w:cs="新宋体"/>
                <w:bCs/>
                <w:snapToGrid w:val="0"/>
                <w:color w:val="auto"/>
                <w:kern w:val="0"/>
                <w:sz w:val="22"/>
                <w:szCs w:val="22"/>
                <w:highlight w:val="none"/>
                <w:lang w:val="en-US" w:eastAsia="zh-CN" w:bidi="ar-SA"/>
              </w:rPr>
              <w:t>6</w:t>
            </w:r>
          </w:p>
        </w:tc>
        <w:tc>
          <w:tcPr>
            <w:tcW w:w="1684" w:type="dxa"/>
            <w:noWrap w:val="0"/>
            <w:vAlign w:val="center"/>
          </w:tcPr>
          <w:p w14:paraId="0DF8ABE2">
            <w:pPr>
              <w:keepNext w:val="0"/>
              <w:keepLines w:val="0"/>
              <w:pageBreakBefore w:val="0"/>
              <w:kinsoku/>
              <w:wordWrap/>
              <w:topLinePunct w:val="0"/>
              <w:bidi w:val="0"/>
              <w:spacing w:line="460" w:lineRule="exact"/>
              <w:jc w:val="center"/>
              <w:rPr>
                <w:rFonts w:hint="default" w:ascii="新宋体" w:hAnsi="新宋体" w:eastAsia="新宋体" w:cs="新宋体"/>
                <w:snapToGrid w:val="0"/>
                <w:color w:val="auto"/>
                <w:kern w:val="0"/>
                <w:sz w:val="22"/>
                <w:szCs w:val="22"/>
                <w:highlight w:val="none"/>
                <w:lang w:val="en-US" w:eastAsia="zh-CN" w:bidi="ar-SA"/>
              </w:rPr>
            </w:pPr>
            <w:r>
              <w:rPr>
                <w:rFonts w:hint="eastAsia" w:ascii="新宋体" w:hAnsi="新宋体" w:eastAsia="新宋体" w:cs="新宋体"/>
                <w:snapToGrid w:val="0"/>
                <w:color w:val="auto"/>
                <w:kern w:val="0"/>
                <w:sz w:val="22"/>
                <w:szCs w:val="22"/>
                <w:highlight w:val="none"/>
                <w:lang w:val="en-US" w:eastAsia="zh-CN" w:bidi="ar-SA"/>
              </w:rPr>
              <w:t>履行能力情况</w:t>
            </w:r>
          </w:p>
        </w:tc>
        <w:tc>
          <w:tcPr>
            <w:tcW w:w="1125" w:type="dxa"/>
            <w:noWrap w:val="0"/>
            <w:vAlign w:val="center"/>
          </w:tcPr>
          <w:p w14:paraId="1A68115E">
            <w:pPr>
              <w:keepNext w:val="0"/>
              <w:keepLines w:val="0"/>
              <w:pageBreakBefore w:val="0"/>
              <w:kinsoku/>
              <w:wordWrap/>
              <w:topLinePunct w:val="0"/>
              <w:bidi w:val="0"/>
              <w:spacing w:line="460" w:lineRule="exact"/>
              <w:jc w:val="center"/>
              <w:rPr>
                <w:rFonts w:hint="eastAsia" w:ascii="新宋体" w:hAnsi="新宋体" w:eastAsia="新宋体" w:cs="新宋体"/>
                <w:color w:val="auto"/>
                <w:sz w:val="22"/>
                <w:szCs w:val="22"/>
                <w:highlight w:val="none"/>
                <w:lang w:eastAsia="zh-CN" w:bidi="ar-SA"/>
              </w:rPr>
            </w:pPr>
            <w:r>
              <w:rPr>
                <w:rFonts w:hint="eastAsia" w:ascii="新宋体" w:hAnsi="新宋体" w:eastAsia="新宋体" w:cs="新宋体"/>
                <w:color w:val="auto"/>
                <w:sz w:val="22"/>
                <w:szCs w:val="22"/>
                <w:highlight w:val="none"/>
                <w:lang w:val="en-US" w:eastAsia="zh-CN" w:bidi="ar-SA"/>
              </w:rPr>
              <w:t>8</w:t>
            </w:r>
          </w:p>
        </w:tc>
        <w:tc>
          <w:tcPr>
            <w:tcW w:w="6416" w:type="dxa"/>
            <w:noWrap w:val="0"/>
            <w:vAlign w:val="center"/>
          </w:tcPr>
          <w:p w14:paraId="412655EE">
            <w:pPr>
              <w:keepNext w:val="0"/>
              <w:keepLines w:val="0"/>
              <w:pageBreakBefore w:val="0"/>
              <w:kinsoku/>
              <w:wordWrap/>
              <w:topLinePunct w:val="0"/>
              <w:bidi w:val="0"/>
              <w:spacing w:line="460" w:lineRule="exact"/>
              <w:jc w:val="left"/>
              <w:rPr>
                <w:rFonts w:hint="eastAsia"/>
                <w:color w:val="auto"/>
                <w:highlight w:val="none"/>
                <w:lang w:val="en-US" w:eastAsia="zh-CN"/>
              </w:rPr>
            </w:pPr>
            <w:r>
              <w:rPr>
                <w:rFonts w:hint="eastAsia" w:ascii="新宋体" w:hAnsi="新宋体" w:eastAsia="新宋体" w:cs="新宋体"/>
                <w:snapToGrid w:val="0"/>
                <w:color w:val="auto"/>
                <w:kern w:val="0"/>
                <w:sz w:val="22"/>
                <w:szCs w:val="22"/>
                <w:highlight w:val="none"/>
                <w:lang w:val="en-US" w:eastAsia="zh-CN" w:bidi="ar-SA"/>
              </w:rPr>
              <w:t>1、</w:t>
            </w:r>
            <w:r>
              <w:rPr>
                <w:rFonts w:hint="eastAsia" w:ascii="新宋体" w:hAnsi="新宋体" w:eastAsia="新宋体" w:cs="新宋体"/>
                <w:snapToGrid/>
                <w:color w:val="auto"/>
                <w:kern w:val="0"/>
                <w:sz w:val="22"/>
                <w:szCs w:val="22"/>
                <w:highlight w:val="none"/>
                <w:lang w:bidi="ar-SA"/>
              </w:rPr>
              <w:t>根据拟投入本项目人员的</w:t>
            </w:r>
            <w:r>
              <w:rPr>
                <w:rFonts w:hint="eastAsia" w:ascii="新宋体" w:hAnsi="新宋体" w:eastAsia="新宋体" w:cs="新宋体"/>
                <w:snapToGrid/>
                <w:color w:val="auto"/>
                <w:kern w:val="0"/>
                <w:sz w:val="22"/>
                <w:szCs w:val="22"/>
                <w:highlight w:val="none"/>
                <w:lang w:val="en-US" w:eastAsia="zh-CN" w:bidi="ar-SA"/>
              </w:rPr>
              <w:t>其他岗位</w:t>
            </w:r>
            <w:r>
              <w:rPr>
                <w:rFonts w:hint="eastAsia" w:ascii="新宋体" w:hAnsi="新宋体" w:eastAsia="新宋体" w:cs="新宋体"/>
                <w:snapToGrid/>
                <w:color w:val="auto"/>
                <w:kern w:val="0"/>
                <w:sz w:val="22"/>
                <w:szCs w:val="22"/>
                <w:highlight w:val="none"/>
                <w:lang w:bidi="ar-SA"/>
              </w:rPr>
              <w:t>组成</w:t>
            </w:r>
            <w:r>
              <w:rPr>
                <w:rFonts w:hint="eastAsia" w:ascii="新宋体" w:hAnsi="新宋体" w:eastAsia="新宋体" w:cs="新宋体"/>
                <w:snapToGrid/>
                <w:color w:val="auto"/>
                <w:kern w:val="0"/>
                <w:sz w:val="22"/>
                <w:szCs w:val="22"/>
                <w:highlight w:val="none"/>
                <w:lang w:eastAsia="zh-CN" w:bidi="ar-SA"/>
              </w:rPr>
              <w:t>、</w:t>
            </w:r>
            <w:r>
              <w:rPr>
                <w:rFonts w:hint="eastAsia" w:ascii="新宋体" w:hAnsi="新宋体" w:eastAsia="新宋体" w:cs="新宋体"/>
                <w:color w:val="auto"/>
                <w:kern w:val="0"/>
                <w:sz w:val="22"/>
                <w:szCs w:val="22"/>
                <w:highlight w:val="none"/>
                <w:lang w:val="en-US" w:eastAsia="zh-CN"/>
              </w:rPr>
              <w:t>部分岗位兼职方案</w:t>
            </w:r>
            <w:r>
              <w:rPr>
                <w:rFonts w:hint="eastAsia"/>
                <w:color w:val="auto"/>
                <w:highlight w:val="none"/>
                <w:lang w:val="en-US" w:eastAsia="zh-CN"/>
              </w:rPr>
              <w:t>，</w:t>
            </w:r>
            <w:r>
              <w:rPr>
                <w:rFonts w:hint="eastAsia" w:ascii="宋体" w:hAnsi="宋体" w:cs="新宋体"/>
                <w:color w:val="auto"/>
                <w:kern w:val="0"/>
                <w:sz w:val="22"/>
                <w:szCs w:val="22"/>
                <w:highlight w:val="none"/>
              </w:rPr>
              <w:t>由评委</w:t>
            </w:r>
            <w:r>
              <w:rPr>
                <w:rFonts w:hint="eastAsia" w:ascii="新宋体" w:hAnsi="新宋体" w:eastAsia="新宋体" w:cs="新宋体"/>
                <w:color w:val="auto"/>
                <w:kern w:val="0"/>
                <w:sz w:val="22"/>
                <w:szCs w:val="22"/>
                <w:highlight w:val="none"/>
                <w:lang w:bidi="ar"/>
              </w:rPr>
              <w:t>综合评价量化打分</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eastAsia="zh-CN"/>
              </w:rPr>
              <w:t>（</w:t>
            </w:r>
            <w:r>
              <w:rPr>
                <w:rFonts w:hint="eastAsia" w:ascii="新宋体" w:hAnsi="新宋体" w:eastAsia="新宋体" w:cs="新宋体"/>
                <w:color w:val="auto"/>
                <w:kern w:val="0"/>
                <w:sz w:val="22"/>
                <w:szCs w:val="22"/>
                <w:highlight w:val="none"/>
                <w:lang w:bidi="ar"/>
              </w:rPr>
              <w:t>评分范围：</w:t>
            </w:r>
            <w:r>
              <w:rPr>
                <w:rFonts w:hint="eastAsia" w:ascii="新宋体" w:hAnsi="新宋体" w:eastAsia="新宋体" w:cs="新宋体"/>
                <w:color w:val="auto"/>
                <w:kern w:val="0"/>
                <w:sz w:val="22"/>
                <w:szCs w:val="22"/>
                <w:highlight w:val="none"/>
                <w:lang w:val="en-US" w:eastAsia="zh-CN" w:bidi="ar"/>
              </w:rPr>
              <w:t>4</w:t>
            </w:r>
            <w:r>
              <w:rPr>
                <w:rFonts w:hint="eastAsia" w:ascii="新宋体" w:hAnsi="新宋体" w:eastAsia="新宋体" w:cs="新宋体"/>
                <w:color w:val="auto"/>
                <w:kern w:val="0"/>
                <w:sz w:val="22"/>
                <w:szCs w:val="22"/>
                <w:highlight w:val="none"/>
                <w:lang w:bidi="ar"/>
              </w:rPr>
              <w:t>,3,</w:t>
            </w:r>
            <w:r>
              <w:rPr>
                <w:rFonts w:hint="eastAsia" w:ascii="新宋体" w:hAnsi="新宋体" w:eastAsia="新宋体" w:cs="新宋体"/>
                <w:color w:val="auto"/>
                <w:kern w:val="0"/>
                <w:sz w:val="22"/>
                <w:szCs w:val="22"/>
                <w:highlight w:val="none"/>
                <w:lang w:val="en-US" w:eastAsia="zh-CN" w:bidi="ar"/>
              </w:rPr>
              <w:t>2,</w:t>
            </w:r>
            <w:r>
              <w:rPr>
                <w:rFonts w:hint="eastAsia" w:ascii="新宋体" w:hAnsi="新宋体" w:eastAsia="新宋体" w:cs="新宋体"/>
                <w:color w:val="auto"/>
                <w:kern w:val="0"/>
                <w:sz w:val="22"/>
                <w:szCs w:val="22"/>
                <w:highlight w:val="none"/>
                <w:lang w:bidi="ar"/>
              </w:rPr>
              <w:t>1,0</w:t>
            </w:r>
            <w:r>
              <w:rPr>
                <w:rFonts w:hint="eastAsia" w:ascii="宋体" w:hAnsi="宋体" w:cs="宋体"/>
                <w:b w:val="0"/>
                <w:bCs w:val="0"/>
                <w:color w:val="auto"/>
                <w:sz w:val="22"/>
                <w:szCs w:val="22"/>
                <w:highlight w:val="none"/>
                <w:lang w:eastAsia="zh-CN"/>
              </w:rPr>
              <w:t>）</w:t>
            </w:r>
          </w:p>
          <w:p w14:paraId="130AF616">
            <w:pPr>
              <w:keepNext w:val="0"/>
              <w:keepLines w:val="0"/>
              <w:pageBreakBefore w:val="0"/>
              <w:kinsoku/>
              <w:wordWrap/>
              <w:topLinePunct w:val="0"/>
              <w:bidi w:val="0"/>
              <w:spacing w:line="460" w:lineRule="exact"/>
              <w:jc w:val="left"/>
              <w:rPr>
                <w:rFonts w:hint="eastAsia"/>
                <w:color w:val="auto"/>
                <w:highlight w:val="none"/>
                <w:lang w:val="en-US" w:eastAsia="zh-CN"/>
              </w:rPr>
            </w:pPr>
            <w:r>
              <w:rPr>
                <w:rFonts w:hint="eastAsia"/>
                <w:color w:val="auto"/>
                <w:highlight w:val="none"/>
                <w:lang w:val="en-US" w:eastAsia="zh-CN"/>
              </w:rPr>
              <w:t>2、</w:t>
            </w:r>
            <w:r>
              <w:rPr>
                <w:rFonts w:hint="eastAsia" w:ascii="新宋体" w:hAnsi="新宋体" w:eastAsia="新宋体" w:cs="新宋体"/>
                <w:color w:val="auto"/>
                <w:kern w:val="0"/>
                <w:sz w:val="22"/>
                <w:szCs w:val="22"/>
                <w:highlight w:val="none"/>
                <w:lang w:val="en-US" w:eastAsia="zh-CN"/>
              </w:rPr>
              <w:t>根据配置人员（除项目经理外）</w:t>
            </w:r>
            <w:r>
              <w:rPr>
                <w:rFonts w:hint="eastAsia" w:ascii="新宋体" w:hAnsi="新宋体" w:eastAsia="新宋体" w:cs="新宋体"/>
                <w:bCs w:val="0"/>
                <w:color w:val="auto"/>
                <w:kern w:val="0"/>
                <w:sz w:val="22"/>
                <w:szCs w:val="22"/>
                <w:highlight w:val="none"/>
                <w:lang w:bidi="ar-SA"/>
              </w:rPr>
              <w:t>专业配置、</w:t>
            </w:r>
            <w:r>
              <w:rPr>
                <w:rFonts w:hint="eastAsia" w:ascii="新宋体" w:hAnsi="新宋体" w:eastAsia="新宋体" w:cs="新宋体"/>
                <w:snapToGrid/>
                <w:color w:val="auto"/>
                <w:kern w:val="0"/>
                <w:sz w:val="22"/>
                <w:szCs w:val="22"/>
                <w:highlight w:val="none"/>
                <w:lang w:bidi="ar-SA"/>
              </w:rPr>
              <w:t>类似项目经验</w:t>
            </w:r>
            <w:r>
              <w:rPr>
                <w:rFonts w:hint="eastAsia" w:ascii="新宋体" w:hAnsi="新宋体" w:eastAsia="新宋体" w:cs="新宋体"/>
                <w:bCs w:val="0"/>
                <w:color w:val="auto"/>
                <w:kern w:val="0"/>
                <w:sz w:val="22"/>
                <w:szCs w:val="22"/>
                <w:highlight w:val="none"/>
                <w:lang w:bidi="ar-SA"/>
              </w:rPr>
              <w:t>、年龄结构是否合理等</w:t>
            </w:r>
            <w:r>
              <w:rPr>
                <w:rFonts w:hint="eastAsia" w:ascii="新宋体" w:hAnsi="新宋体" w:eastAsia="新宋体" w:cs="新宋体"/>
                <w:bCs/>
                <w:color w:val="auto"/>
                <w:sz w:val="22"/>
                <w:szCs w:val="22"/>
                <w:highlight w:val="none"/>
                <w:lang w:bidi="ar-SA"/>
              </w:rPr>
              <w:t>，</w:t>
            </w:r>
            <w:r>
              <w:rPr>
                <w:rFonts w:hint="eastAsia" w:ascii="宋体" w:hAnsi="宋体" w:cs="新宋体"/>
                <w:color w:val="auto"/>
                <w:kern w:val="0"/>
                <w:sz w:val="22"/>
                <w:szCs w:val="22"/>
                <w:highlight w:val="none"/>
              </w:rPr>
              <w:t>由评委</w:t>
            </w:r>
            <w:r>
              <w:rPr>
                <w:rFonts w:hint="eastAsia" w:ascii="新宋体" w:hAnsi="新宋体" w:eastAsia="新宋体" w:cs="新宋体"/>
                <w:color w:val="auto"/>
                <w:kern w:val="0"/>
                <w:sz w:val="22"/>
                <w:szCs w:val="22"/>
                <w:highlight w:val="none"/>
                <w:lang w:bidi="ar"/>
              </w:rPr>
              <w:t>综合评价量化打分</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eastAsia="zh-CN"/>
              </w:rPr>
              <w:t>（</w:t>
            </w:r>
            <w:r>
              <w:rPr>
                <w:rFonts w:hint="eastAsia" w:ascii="新宋体" w:hAnsi="新宋体" w:eastAsia="新宋体" w:cs="新宋体"/>
                <w:color w:val="auto"/>
                <w:kern w:val="0"/>
                <w:sz w:val="22"/>
                <w:szCs w:val="22"/>
                <w:highlight w:val="none"/>
                <w:lang w:bidi="ar"/>
              </w:rPr>
              <w:t>评分范围：</w:t>
            </w:r>
            <w:r>
              <w:rPr>
                <w:rFonts w:hint="eastAsia" w:ascii="新宋体" w:hAnsi="新宋体" w:eastAsia="新宋体" w:cs="新宋体"/>
                <w:color w:val="auto"/>
                <w:kern w:val="0"/>
                <w:sz w:val="22"/>
                <w:szCs w:val="22"/>
                <w:highlight w:val="none"/>
                <w:lang w:val="en-US" w:eastAsia="zh-CN" w:bidi="ar"/>
              </w:rPr>
              <w:t>4</w:t>
            </w:r>
            <w:r>
              <w:rPr>
                <w:rFonts w:hint="eastAsia" w:ascii="新宋体" w:hAnsi="新宋体" w:eastAsia="新宋体" w:cs="新宋体"/>
                <w:color w:val="auto"/>
                <w:kern w:val="0"/>
                <w:sz w:val="22"/>
                <w:szCs w:val="22"/>
                <w:highlight w:val="none"/>
                <w:lang w:bidi="ar"/>
              </w:rPr>
              <w:t>,3,</w:t>
            </w:r>
            <w:r>
              <w:rPr>
                <w:rFonts w:hint="eastAsia" w:ascii="新宋体" w:hAnsi="新宋体" w:eastAsia="新宋体" w:cs="新宋体"/>
                <w:color w:val="auto"/>
                <w:kern w:val="0"/>
                <w:sz w:val="22"/>
                <w:szCs w:val="22"/>
                <w:highlight w:val="none"/>
                <w:lang w:val="en-US" w:eastAsia="zh-CN" w:bidi="ar"/>
              </w:rPr>
              <w:t>2,</w:t>
            </w:r>
            <w:r>
              <w:rPr>
                <w:rFonts w:hint="eastAsia" w:ascii="新宋体" w:hAnsi="新宋体" w:eastAsia="新宋体" w:cs="新宋体"/>
                <w:color w:val="auto"/>
                <w:kern w:val="0"/>
                <w:sz w:val="22"/>
                <w:szCs w:val="22"/>
                <w:highlight w:val="none"/>
                <w:lang w:bidi="ar"/>
              </w:rPr>
              <w:t>1,0</w:t>
            </w:r>
            <w:r>
              <w:rPr>
                <w:rFonts w:hint="eastAsia" w:ascii="宋体" w:hAnsi="宋体" w:cs="宋体"/>
                <w:b w:val="0"/>
                <w:bCs w:val="0"/>
                <w:color w:val="auto"/>
                <w:sz w:val="22"/>
                <w:szCs w:val="22"/>
                <w:highlight w:val="none"/>
                <w:lang w:eastAsia="zh-CN"/>
              </w:rPr>
              <w:t>）</w:t>
            </w:r>
          </w:p>
          <w:p w14:paraId="71B3AFB2">
            <w:pPr>
              <w:keepNext w:val="0"/>
              <w:keepLines w:val="0"/>
              <w:pageBreakBefore w:val="0"/>
              <w:kinsoku/>
              <w:wordWrap/>
              <w:topLinePunct w:val="0"/>
              <w:bidi w:val="0"/>
              <w:spacing w:line="460" w:lineRule="exact"/>
              <w:jc w:val="left"/>
              <w:rPr>
                <w:rFonts w:hint="eastAsia" w:ascii="新宋体" w:hAnsi="新宋体" w:eastAsia="新宋体" w:cs="新宋体"/>
                <w:color w:val="auto"/>
                <w:sz w:val="22"/>
                <w:szCs w:val="22"/>
                <w:highlight w:val="none"/>
                <w:lang w:bidi="ar-SA"/>
              </w:rPr>
            </w:pPr>
          </w:p>
        </w:tc>
      </w:tr>
      <w:tr w14:paraId="54D6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4" w:type="dxa"/>
            <w:vMerge w:val="restart"/>
            <w:noWrap w:val="0"/>
            <w:vAlign w:val="center"/>
          </w:tcPr>
          <w:p w14:paraId="5F95474C">
            <w:pPr>
              <w:keepNext w:val="0"/>
              <w:keepLines w:val="0"/>
              <w:pageBreakBefore w:val="0"/>
              <w:kinsoku/>
              <w:wordWrap/>
              <w:topLinePunct w:val="0"/>
              <w:bidi w:val="0"/>
              <w:spacing w:line="460" w:lineRule="exact"/>
              <w:jc w:val="center"/>
              <w:rPr>
                <w:rFonts w:hint="eastAsia" w:ascii="新宋体" w:hAnsi="新宋体" w:eastAsia="新宋体" w:cs="新宋体"/>
                <w:bCs/>
                <w:snapToGrid w:val="0"/>
                <w:color w:val="auto"/>
                <w:kern w:val="0"/>
                <w:sz w:val="22"/>
                <w:szCs w:val="22"/>
                <w:highlight w:val="none"/>
                <w:lang w:eastAsia="zh-CN" w:bidi="ar-SA"/>
              </w:rPr>
            </w:pPr>
            <w:r>
              <w:rPr>
                <w:rFonts w:hint="eastAsia" w:ascii="新宋体" w:hAnsi="新宋体" w:eastAsia="新宋体" w:cs="新宋体"/>
                <w:bCs/>
                <w:snapToGrid w:val="0"/>
                <w:color w:val="auto"/>
                <w:kern w:val="0"/>
                <w:sz w:val="22"/>
                <w:szCs w:val="22"/>
                <w:highlight w:val="none"/>
                <w:lang w:val="en-US" w:eastAsia="zh-CN" w:bidi="ar-SA"/>
              </w:rPr>
              <w:t>7</w:t>
            </w:r>
          </w:p>
        </w:tc>
        <w:tc>
          <w:tcPr>
            <w:tcW w:w="1684" w:type="dxa"/>
            <w:vMerge w:val="restart"/>
            <w:noWrap w:val="0"/>
            <w:vAlign w:val="center"/>
          </w:tcPr>
          <w:p w14:paraId="7DE91B4A">
            <w:pPr>
              <w:keepNext w:val="0"/>
              <w:keepLines w:val="0"/>
              <w:pageBreakBefore w:val="0"/>
              <w:kinsoku/>
              <w:wordWrap/>
              <w:topLinePunct w:val="0"/>
              <w:bidi w:val="0"/>
              <w:spacing w:line="460" w:lineRule="exact"/>
              <w:jc w:val="center"/>
              <w:rPr>
                <w:rFonts w:hint="eastAsia" w:ascii="新宋体" w:hAnsi="新宋体" w:eastAsia="新宋体" w:cs="新宋体"/>
                <w:snapToGrid w:val="0"/>
                <w:color w:val="auto"/>
                <w:kern w:val="0"/>
                <w:sz w:val="22"/>
                <w:szCs w:val="22"/>
                <w:highlight w:val="none"/>
                <w:lang w:bidi="ar-SA"/>
              </w:rPr>
            </w:pPr>
            <w:r>
              <w:rPr>
                <w:rFonts w:hint="eastAsia" w:ascii="新宋体" w:hAnsi="新宋体" w:eastAsia="新宋体" w:cs="新宋体"/>
                <w:bCs/>
                <w:snapToGrid w:val="0"/>
                <w:color w:val="auto"/>
                <w:kern w:val="0"/>
                <w:sz w:val="22"/>
                <w:szCs w:val="22"/>
                <w:highlight w:val="none"/>
                <w:lang w:bidi="ar-SA"/>
              </w:rPr>
              <w:t>项目组织实施方案</w:t>
            </w:r>
          </w:p>
        </w:tc>
        <w:tc>
          <w:tcPr>
            <w:tcW w:w="1125" w:type="dxa"/>
            <w:noWrap w:val="0"/>
            <w:vAlign w:val="center"/>
          </w:tcPr>
          <w:p w14:paraId="39220C7A">
            <w:pPr>
              <w:keepNext w:val="0"/>
              <w:keepLines w:val="0"/>
              <w:pageBreakBefore w:val="0"/>
              <w:kinsoku/>
              <w:wordWrap/>
              <w:topLinePunct w:val="0"/>
              <w:bidi w:val="0"/>
              <w:spacing w:line="460" w:lineRule="exact"/>
              <w:jc w:val="center"/>
              <w:rPr>
                <w:rFonts w:hint="eastAsia" w:ascii="新宋体" w:hAnsi="新宋体" w:eastAsia="新宋体" w:cs="新宋体"/>
                <w:color w:val="auto"/>
                <w:sz w:val="22"/>
                <w:szCs w:val="22"/>
                <w:highlight w:val="none"/>
                <w:lang w:bidi="ar-SA"/>
              </w:rPr>
            </w:pPr>
            <w:r>
              <w:rPr>
                <w:rFonts w:hint="eastAsia" w:ascii="新宋体" w:hAnsi="新宋体" w:eastAsia="新宋体" w:cs="新宋体"/>
                <w:color w:val="auto"/>
                <w:sz w:val="22"/>
                <w:szCs w:val="22"/>
                <w:highlight w:val="none"/>
                <w:lang w:val="en-US" w:eastAsia="zh-CN" w:bidi="ar-SA"/>
              </w:rPr>
              <w:t>5</w:t>
            </w:r>
          </w:p>
        </w:tc>
        <w:tc>
          <w:tcPr>
            <w:tcW w:w="6416" w:type="dxa"/>
            <w:noWrap w:val="0"/>
            <w:vAlign w:val="center"/>
          </w:tcPr>
          <w:p w14:paraId="1ADBF043">
            <w:pPr>
              <w:pStyle w:val="34"/>
              <w:keepNext w:val="0"/>
              <w:keepLines w:val="0"/>
              <w:pageBreakBefore w:val="0"/>
              <w:kinsoku/>
              <w:wordWrap/>
              <w:topLinePunct w:val="0"/>
              <w:bidi w:val="0"/>
              <w:snapToGrid w:val="0"/>
              <w:spacing w:line="460" w:lineRule="exact"/>
              <w:rPr>
                <w:rFonts w:hint="eastAsia" w:ascii="新宋体" w:hAnsi="新宋体" w:eastAsia="新宋体" w:cs="新宋体"/>
                <w:color w:val="auto"/>
                <w:sz w:val="22"/>
                <w:szCs w:val="22"/>
                <w:highlight w:val="none"/>
                <w:lang w:bidi="ar-SA"/>
              </w:rPr>
            </w:pPr>
            <w:r>
              <w:rPr>
                <w:rFonts w:hint="eastAsia" w:ascii="新宋体" w:hAnsi="新宋体" w:eastAsia="新宋体" w:cs="新宋体"/>
                <w:b w:val="0"/>
                <w:snapToGrid w:val="0"/>
                <w:color w:val="auto"/>
                <w:sz w:val="22"/>
                <w:szCs w:val="22"/>
                <w:highlight w:val="none"/>
              </w:rPr>
              <w:t>根据投标人内部管理考核制度及考核方法，</w:t>
            </w:r>
            <w:r>
              <w:rPr>
                <w:rFonts w:hint="eastAsia" w:ascii="宋体" w:hAnsi="宋体" w:cs="新宋体"/>
                <w:color w:val="auto"/>
                <w:kern w:val="0"/>
                <w:sz w:val="22"/>
                <w:szCs w:val="22"/>
                <w:highlight w:val="none"/>
              </w:rPr>
              <w:t>由评委</w:t>
            </w:r>
            <w:r>
              <w:rPr>
                <w:rFonts w:hint="eastAsia" w:ascii="新宋体" w:hAnsi="新宋体" w:eastAsia="新宋体" w:cs="新宋体"/>
                <w:color w:val="auto"/>
                <w:kern w:val="0"/>
                <w:sz w:val="22"/>
                <w:szCs w:val="22"/>
                <w:highlight w:val="none"/>
                <w:lang w:bidi="ar"/>
              </w:rPr>
              <w:t>综合评价量化打分</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eastAsia="zh-CN"/>
              </w:rPr>
              <w:t>（</w:t>
            </w:r>
            <w:r>
              <w:rPr>
                <w:rFonts w:hint="eastAsia" w:ascii="新宋体" w:hAnsi="新宋体" w:eastAsia="新宋体" w:cs="新宋体"/>
                <w:color w:val="auto"/>
                <w:kern w:val="0"/>
                <w:sz w:val="22"/>
                <w:szCs w:val="22"/>
                <w:highlight w:val="none"/>
                <w:lang w:bidi="ar"/>
              </w:rPr>
              <w:t>评分范围：</w:t>
            </w:r>
            <w:r>
              <w:rPr>
                <w:rFonts w:hint="eastAsia" w:ascii="新宋体" w:hAnsi="新宋体" w:eastAsia="新宋体" w:cs="新宋体"/>
                <w:color w:val="auto"/>
                <w:kern w:val="0"/>
                <w:sz w:val="22"/>
                <w:szCs w:val="22"/>
                <w:highlight w:val="none"/>
                <w:lang w:val="en-US" w:eastAsia="zh-CN" w:bidi="ar"/>
              </w:rPr>
              <w:t>5</w:t>
            </w:r>
            <w:r>
              <w:rPr>
                <w:rFonts w:hint="eastAsia" w:ascii="新宋体" w:hAnsi="新宋体" w:eastAsia="新宋体" w:cs="新宋体"/>
                <w:color w:val="auto"/>
                <w:kern w:val="0"/>
                <w:sz w:val="22"/>
                <w:szCs w:val="22"/>
                <w:highlight w:val="none"/>
                <w:lang w:bidi="ar"/>
              </w:rPr>
              <w:t>,3,1,0</w:t>
            </w:r>
            <w:r>
              <w:rPr>
                <w:rFonts w:hint="eastAsia" w:ascii="宋体" w:hAnsi="宋体" w:cs="宋体"/>
                <w:b w:val="0"/>
                <w:bCs w:val="0"/>
                <w:color w:val="auto"/>
                <w:sz w:val="22"/>
                <w:szCs w:val="22"/>
                <w:highlight w:val="none"/>
                <w:lang w:eastAsia="zh-CN"/>
              </w:rPr>
              <w:t>）</w:t>
            </w:r>
          </w:p>
        </w:tc>
      </w:tr>
      <w:tr w14:paraId="0257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4" w:type="dxa"/>
            <w:vMerge w:val="continue"/>
            <w:noWrap w:val="0"/>
            <w:vAlign w:val="center"/>
          </w:tcPr>
          <w:p w14:paraId="78E6D787">
            <w:pPr>
              <w:keepNext w:val="0"/>
              <w:keepLines w:val="0"/>
              <w:pageBreakBefore w:val="0"/>
              <w:kinsoku/>
              <w:wordWrap/>
              <w:topLinePunct w:val="0"/>
              <w:bidi w:val="0"/>
              <w:spacing w:line="460" w:lineRule="exact"/>
              <w:jc w:val="center"/>
              <w:rPr>
                <w:rFonts w:hint="eastAsia" w:ascii="新宋体" w:hAnsi="新宋体" w:eastAsia="新宋体" w:cs="新宋体"/>
                <w:bCs/>
                <w:snapToGrid w:val="0"/>
                <w:color w:val="auto"/>
                <w:kern w:val="0"/>
                <w:sz w:val="22"/>
                <w:szCs w:val="22"/>
                <w:highlight w:val="none"/>
                <w:lang w:bidi="ar-SA"/>
              </w:rPr>
            </w:pPr>
          </w:p>
        </w:tc>
        <w:tc>
          <w:tcPr>
            <w:tcW w:w="1684" w:type="dxa"/>
            <w:vMerge w:val="continue"/>
            <w:noWrap w:val="0"/>
            <w:vAlign w:val="center"/>
          </w:tcPr>
          <w:p w14:paraId="1F55DA00">
            <w:pPr>
              <w:keepNext w:val="0"/>
              <w:keepLines w:val="0"/>
              <w:pageBreakBefore w:val="0"/>
              <w:kinsoku/>
              <w:wordWrap/>
              <w:topLinePunct w:val="0"/>
              <w:bidi w:val="0"/>
              <w:spacing w:line="460" w:lineRule="exact"/>
              <w:jc w:val="center"/>
              <w:rPr>
                <w:rFonts w:hint="eastAsia" w:ascii="新宋体" w:hAnsi="新宋体" w:eastAsia="新宋体" w:cs="新宋体"/>
                <w:bCs/>
                <w:snapToGrid w:val="0"/>
                <w:color w:val="auto"/>
                <w:kern w:val="0"/>
                <w:sz w:val="22"/>
                <w:szCs w:val="22"/>
                <w:highlight w:val="none"/>
                <w:lang w:bidi="ar-SA"/>
              </w:rPr>
            </w:pPr>
          </w:p>
        </w:tc>
        <w:tc>
          <w:tcPr>
            <w:tcW w:w="1125" w:type="dxa"/>
            <w:noWrap w:val="0"/>
            <w:vAlign w:val="center"/>
          </w:tcPr>
          <w:p w14:paraId="3F10ACBC">
            <w:pPr>
              <w:keepNext w:val="0"/>
              <w:keepLines w:val="0"/>
              <w:pageBreakBefore w:val="0"/>
              <w:kinsoku/>
              <w:wordWrap/>
              <w:topLinePunct w:val="0"/>
              <w:bidi w:val="0"/>
              <w:spacing w:line="460" w:lineRule="exact"/>
              <w:jc w:val="center"/>
              <w:rPr>
                <w:rFonts w:hint="eastAsia" w:ascii="新宋体" w:hAnsi="新宋体" w:eastAsia="新宋体" w:cs="新宋体"/>
                <w:color w:val="auto"/>
                <w:sz w:val="22"/>
                <w:szCs w:val="22"/>
                <w:highlight w:val="none"/>
                <w:lang w:val="en-US" w:eastAsia="zh-CN" w:bidi="ar-SA"/>
              </w:rPr>
            </w:pPr>
            <w:r>
              <w:rPr>
                <w:rFonts w:hint="eastAsia" w:ascii="新宋体" w:hAnsi="新宋体" w:eastAsia="新宋体" w:cs="新宋体"/>
                <w:color w:val="auto"/>
                <w:sz w:val="22"/>
                <w:szCs w:val="22"/>
                <w:highlight w:val="none"/>
                <w:lang w:val="en-US" w:eastAsia="zh-CN" w:bidi="ar-SA"/>
              </w:rPr>
              <w:t>5</w:t>
            </w:r>
          </w:p>
        </w:tc>
        <w:tc>
          <w:tcPr>
            <w:tcW w:w="6416" w:type="dxa"/>
            <w:noWrap w:val="0"/>
            <w:vAlign w:val="center"/>
          </w:tcPr>
          <w:p w14:paraId="1B401175">
            <w:pPr>
              <w:pStyle w:val="34"/>
              <w:keepNext w:val="0"/>
              <w:keepLines w:val="0"/>
              <w:pageBreakBefore w:val="0"/>
              <w:kinsoku/>
              <w:wordWrap/>
              <w:topLinePunct w:val="0"/>
              <w:bidi w:val="0"/>
              <w:snapToGrid w:val="0"/>
              <w:spacing w:line="460" w:lineRule="exact"/>
              <w:rPr>
                <w:rFonts w:hint="eastAsia" w:ascii="新宋体" w:hAnsi="新宋体" w:eastAsia="新宋体" w:cs="新宋体"/>
                <w:bCs/>
                <w:color w:val="auto"/>
                <w:sz w:val="22"/>
                <w:szCs w:val="22"/>
                <w:highlight w:val="none"/>
                <w:lang w:bidi="ar-SA"/>
              </w:rPr>
            </w:pPr>
            <w:r>
              <w:rPr>
                <w:rFonts w:hint="eastAsia" w:ascii="新宋体" w:hAnsi="新宋体" w:eastAsia="新宋体" w:cs="新宋体"/>
                <w:b w:val="0"/>
                <w:snapToGrid w:val="0"/>
                <w:color w:val="auto"/>
                <w:sz w:val="22"/>
                <w:szCs w:val="22"/>
                <w:highlight w:val="none"/>
              </w:rPr>
              <w:t>根据员工培训计划及质量保证措施的完善性、合理性，</w:t>
            </w:r>
            <w:r>
              <w:rPr>
                <w:rFonts w:hint="eastAsia" w:ascii="宋体" w:hAnsi="宋体" w:cs="新宋体"/>
                <w:color w:val="auto"/>
                <w:kern w:val="0"/>
                <w:sz w:val="22"/>
                <w:szCs w:val="22"/>
                <w:highlight w:val="none"/>
              </w:rPr>
              <w:t>由评委</w:t>
            </w:r>
            <w:r>
              <w:rPr>
                <w:rFonts w:hint="eastAsia" w:ascii="新宋体" w:hAnsi="新宋体" w:eastAsia="新宋体" w:cs="新宋体"/>
                <w:color w:val="auto"/>
                <w:kern w:val="0"/>
                <w:sz w:val="22"/>
                <w:szCs w:val="22"/>
                <w:highlight w:val="none"/>
                <w:lang w:bidi="ar"/>
              </w:rPr>
              <w:t>综合评价量化打分</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eastAsia="zh-CN"/>
              </w:rPr>
              <w:t>（</w:t>
            </w:r>
            <w:r>
              <w:rPr>
                <w:rFonts w:hint="eastAsia" w:ascii="新宋体" w:hAnsi="新宋体" w:eastAsia="新宋体" w:cs="新宋体"/>
                <w:color w:val="auto"/>
                <w:kern w:val="0"/>
                <w:sz w:val="22"/>
                <w:szCs w:val="22"/>
                <w:highlight w:val="none"/>
                <w:lang w:bidi="ar"/>
              </w:rPr>
              <w:t>评分范围：</w:t>
            </w:r>
            <w:r>
              <w:rPr>
                <w:rFonts w:hint="eastAsia" w:ascii="新宋体" w:hAnsi="新宋体" w:eastAsia="新宋体" w:cs="新宋体"/>
                <w:color w:val="auto"/>
                <w:kern w:val="0"/>
                <w:sz w:val="22"/>
                <w:szCs w:val="22"/>
                <w:highlight w:val="none"/>
                <w:lang w:val="en-US" w:eastAsia="zh-CN" w:bidi="ar"/>
              </w:rPr>
              <w:t>5</w:t>
            </w:r>
            <w:r>
              <w:rPr>
                <w:rFonts w:hint="eastAsia" w:ascii="新宋体" w:hAnsi="新宋体" w:eastAsia="新宋体" w:cs="新宋体"/>
                <w:color w:val="auto"/>
                <w:kern w:val="0"/>
                <w:sz w:val="22"/>
                <w:szCs w:val="22"/>
                <w:highlight w:val="none"/>
                <w:lang w:bidi="ar"/>
              </w:rPr>
              <w:t>,3,1,0</w:t>
            </w:r>
            <w:r>
              <w:rPr>
                <w:rFonts w:hint="eastAsia" w:ascii="宋体" w:hAnsi="宋体" w:cs="宋体"/>
                <w:b w:val="0"/>
                <w:bCs w:val="0"/>
                <w:color w:val="auto"/>
                <w:sz w:val="22"/>
                <w:szCs w:val="22"/>
                <w:highlight w:val="none"/>
                <w:lang w:eastAsia="zh-CN"/>
              </w:rPr>
              <w:t>）</w:t>
            </w:r>
          </w:p>
        </w:tc>
      </w:tr>
      <w:tr w14:paraId="0F73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4" w:type="dxa"/>
            <w:vMerge w:val="continue"/>
            <w:shd w:val="clear" w:color="auto" w:fill="auto"/>
            <w:noWrap w:val="0"/>
            <w:vAlign w:val="center"/>
          </w:tcPr>
          <w:p w14:paraId="444714B4">
            <w:pPr>
              <w:keepNext w:val="0"/>
              <w:keepLines w:val="0"/>
              <w:pageBreakBefore w:val="0"/>
              <w:kinsoku/>
              <w:wordWrap/>
              <w:topLinePunct w:val="0"/>
              <w:bidi w:val="0"/>
              <w:spacing w:line="460" w:lineRule="exact"/>
              <w:jc w:val="center"/>
              <w:rPr>
                <w:rFonts w:hint="eastAsia" w:ascii="新宋体" w:hAnsi="新宋体" w:eastAsia="新宋体" w:cs="新宋体"/>
                <w:bCs/>
                <w:snapToGrid w:val="0"/>
                <w:color w:val="auto"/>
                <w:kern w:val="0"/>
                <w:sz w:val="22"/>
                <w:szCs w:val="22"/>
                <w:highlight w:val="none"/>
                <w:lang w:val="en-US" w:eastAsia="zh-CN" w:bidi="ar-SA"/>
              </w:rPr>
            </w:pPr>
          </w:p>
        </w:tc>
        <w:tc>
          <w:tcPr>
            <w:tcW w:w="1684" w:type="dxa"/>
            <w:vMerge w:val="continue"/>
            <w:noWrap w:val="0"/>
            <w:vAlign w:val="center"/>
          </w:tcPr>
          <w:p w14:paraId="3E4C087F">
            <w:pPr>
              <w:keepNext w:val="0"/>
              <w:keepLines w:val="0"/>
              <w:pageBreakBefore w:val="0"/>
              <w:kinsoku/>
              <w:wordWrap/>
              <w:topLinePunct w:val="0"/>
              <w:bidi w:val="0"/>
              <w:spacing w:line="460" w:lineRule="exact"/>
              <w:jc w:val="center"/>
              <w:rPr>
                <w:rFonts w:hint="eastAsia" w:ascii="新宋体" w:hAnsi="新宋体" w:eastAsia="新宋体" w:cs="新宋体"/>
                <w:bCs/>
                <w:snapToGrid w:val="0"/>
                <w:color w:val="auto"/>
                <w:kern w:val="0"/>
                <w:sz w:val="22"/>
                <w:szCs w:val="22"/>
                <w:highlight w:val="none"/>
                <w:lang w:bidi="ar-SA"/>
              </w:rPr>
            </w:pPr>
          </w:p>
        </w:tc>
        <w:tc>
          <w:tcPr>
            <w:tcW w:w="1125" w:type="dxa"/>
            <w:noWrap w:val="0"/>
            <w:vAlign w:val="center"/>
          </w:tcPr>
          <w:p w14:paraId="0D8F54FF">
            <w:pPr>
              <w:keepNext w:val="0"/>
              <w:keepLines w:val="0"/>
              <w:pageBreakBefore w:val="0"/>
              <w:kinsoku/>
              <w:wordWrap/>
              <w:topLinePunct w:val="0"/>
              <w:bidi w:val="0"/>
              <w:spacing w:line="460" w:lineRule="exact"/>
              <w:jc w:val="center"/>
              <w:rPr>
                <w:rFonts w:hint="eastAsia" w:ascii="新宋体" w:hAnsi="新宋体" w:eastAsia="新宋体" w:cs="新宋体"/>
                <w:color w:val="auto"/>
                <w:sz w:val="22"/>
                <w:szCs w:val="22"/>
                <w:highlight w:val="none"/>
                <w:lang w:val="en-US" w:eastAsia="zh-CN" w:bidi="ar-SA"/>
              </w:rPr>
            </w:pPr>
            <w:r>
              <w:rPr>
                <w:rFonts w:hint="eastAsia" w:ascii="新宋体" w:hAnsi="新宋体" w:eastAsia="新宋体" w:cs="新宋体"/>
                <w:color w:val="auto"/>
                <w:sz w:val="22"/>
                <w:szCs w:val="22"/>
                <w:highlight w:val="none"/>
                <w:lang w:val="en-US" w:eastAsia="zh-CN" w:bidi="ar-SA"/>
              </w:rPr>
              <w:t>5</w:t>
            </w:r>
          </w:p>
        </w:tc>
        <w:tc>
          <w:tcPr>
            <w:tcW w:w="6416" w:type="dxa"/>
            <w:noWrap w:val="0"/>
            <w:vAlign w:val="center"/>
          </w:tcPr>
          <w:p w14:paraId="2342174C">
            <w:pPr>
              <w:pStyle w:val="34"/>
              <w:keepNext w:val="0"/>
              <w:keepLines w:val="0"/>
              <w:pageBreakBefore w:val="0"/>
              <w:kinsoku/>
              <w:wordWrap/>
              <w:topLinePunct w:val="0"/>
              <w:bidi w:val="0"/>
              <w:snapToGrid w:val="0"/>
              <w:spacing w:line="460" w:lineRule="exact"/>
              <w:rPr>
                <w:rFonts w:hint="eastAsia" w:ascii="新宋体" w:hAnsi="新宋体" w:eastAsia="新宋体" w:cs="新宋体"/>
                <w:bCs/>
                <w:color w:val="auto"/>
                <w:sz w:val="22"/>
                <w:szCs w:val="22"/>
                <w:highlight w:val="none"/>
                <w:lang w:bidi="ar-SA"/>
              </w:rPr>
            </w:pPr>
            <w:r>
              <w:rPr>
                <w:rFonts w:hint="eastAsia" w:ascii="新宋体" w:hAnsi="新宋体" w:eastAsia="新宋体" w:cs="新宋体"/>
                <w:b w:val="0"/>
                <w:color w:val="auto"/>
                <w:sz w:val="22"/>
                <w:szCs w:val="22"/>
                <w:highlight w:val="none"/>
                <w:lang w:eastAsia="zh-CN"/>
              </w:rPr>
              <w:t>针对本项目存在的</w:t>
            </w:r>
            <w:r>
              <w:rPr>
                <w:rFonts w:hint="eastAsia" w:ascii="新宋体" w:hAnsi="新宋体" w:eastAsia="新宋体" w:cs="新宋体"/>
                <w:b w:val="0"/>
                <w:color w:val="auto"/>
                <w:sz w:val="22"/>
                <w:szCs w:val="22"/>
                <w:highlight w:val="none"/>
                <w:lang w:val="en-US" w:eastAsia="zh-CN"/>
              </w:rPr>
              <w:t>重点、</w:t>
            </w:r>
            <w:r>
              <w:rPr>
                <w:rFonts w:hint="eastAsia" w:ascii="新宋体" w:hAnsi="新宋体" w:eastAsia="新宋体" w:cs="新宋体"/>
                <w:b w:val="0"/>
                <w:color w:val="auto"/>
                <w:sz w:val="22"/>
                <w:szCs w:val="22"/>
                <w:highlight w:val="none"/>
                <w:lang w:eastAsia="zh-CN"/>
              </w:rPr>
              <w:t>难点问题，</w:t>
            </w:r>
            <w:r>
              <w:rPr>
                <w:rFonts w:hint="eastAsia" w:ascii="新宋体" w:hAnsi="新宋体" w:eastAsia="新宋体" w:cs="新宋体"/>
                <w:b w:val="0"/>
                <w:color w:val="auto"/>
                <w:sz w:val="22"/>
                <w:szCs w:val="22"/>
                <w:highlight w:val="none"/>
              </w:rPr>
              <w:t>根据投标人提出</w:t>
            </w:r>
            <w:r>
              <w:rPr>
                <w:rFonts w:hint="eastAsia" w:ascii="新宋体" w:hAnsi="新宋体" w:eastAsia="新宋体" w:cs="新宋体"/>
                <w:b w:val="0"/>
                <w:bCs/>
                <w:color w:val="auto"/>
                <w:sz w:val="22"/>
                <w:szCs w:val="22"/>
                <w:highlight w:val="none"/>
              </w:rPr>
              <w:t>针对性</w:t>
            </w:r>
            <w:r>
              <w:rPr>
                <w:rFonts w:hint="eastAsia" w:ascii="新宋体" w:hAnsi="新宋体" w:eastAsia="新宋体" w:cs="新宋体"/>
                <w:b w:val="0"/>
                <w:bCs/>
                <w:color w:val="auto"/>
                <w:sz w:val="22"/>
                <w:szCs w:val="22"/>
                <w:highlight w:val="none"/>
                <w:lang w:eastAsia="zh-CN"/>
              </w:rPr>
              <w:t>可行性解决</w:t>
            </w:r>
            <w:r>
              <w:rPr>
                <w:rFonts w:hint="eastAsia" w:ascii="新宋体" w:hAnsi="新宋体" w:eastAsia="新宋体" w:cs="新宋体"/>
                <w:b w:val="0"/>
                <w:color w:val="auto"/>
                <w:sz w:val="22"/>
                <w:szCs w:val="22"/>
                <w:highlight w:val="none"/>
              </w:rPr>
              <w:t>方案</w:t>
            </w:r>
            <w:r>
              <w:rPr>
                <w:rFonts w:hint="eastAsia" w:ascii="新宋体" w:hAnsi="新宋体" w:eastAsia="新宋体" w:cs="新宋体"/>
                <w:b w:val="0"/>
                <w:color w:val="auto"/>
                <w:sz w:val="22"/>
                <w:szCs w:val="22"/>
                <w:highlight w:val="none"/>
                <w:lang w:eastAsia="zh-CN"/>
              </w:rPr>
              <w:t>内容</w:t>
            </w:r>
            <w:r>
              <w:rPr>
                <w:rFonts w:hint="eastAsia" w:ascii="新宋体" w:hAnsi="新宋体" w:eastAsia="新宋体" w:cs="新宋体"/>
                <w:b w:val="0"/>
                <w:color w:val="auto"/>
                <w:sz w:val="22"/>
                <w:szCs w:val="22"/>
                <w:highlight w:val="none"/>
              </w:rPr>
              <w:t>，</w:t>
            </w:r>
            <w:r>
              <w:rPr>
                <w:rFonts w:hint="eastAsia" w:ascii="宋体" w:hAnsi="宋体" w:cs="新宋体"/>
                <w:color w:val="auto"/>
                <w:kern w:val="0"/>
                <w:sz w:val="22"/>
                <w:szCs w:val="22"/>
                <w:highlight w:val="none"/>
              </w:rPr>
              <w:t>由评委</w:t>
            </w:r>
            <w:r>
              <w:rPr>
                <w:rFonts w:hint="eastAsia" w:ascii="新宋体" w:hAnsi="新宋体" w:eastAsia="新宋体" w:cs="新宋体"/>
                <w:color w:val="auto"/>
                <w:kern w:val="0"/>
                <w:sz w:val="22"/>
                <w:szCs w:val="22"/>
                <w:highlight w:val="none"/>
                <w:lang w:bidi="ar"/>
              </w:rPr>
              <w:t>综合评价量化打分</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eastAsia="zh-CN"/>
              </w:rPr>
              <w:t>（</w:t>
            </w:r>
            <w:r>
              <w:rPr>
                <w:rFonts w:hint="eastAsia" w:ascii="新宋体" w:hAnsi="新宋体" w:eastAsia="新宋体" w:cs="新宋体"/>
                <w:color w:val="auto"/>
                <w:kern w:val="0"/>
                <w:sz w:val="22"/>
                <w:szCs w:val="22"/>
                <w:highlight w:val="none"/>
                <w:lang w:bidi="ar"/>
              </w:rPr>
              <w:t>评分范围：</w:t>
            </w:r>
            <w:r>
              <w:rPr>
                <w:rFonts w:hint="eastAsia" w:ascii="新宋体" w:hAnsi="新宋体" w:eastAsia="新宋体" w:cs="新宋体"/>
                <w:color w:val="auto"/>
                <w:kern w:val="0"/>
                <w:sz w:val="22"/>
                <w:szCs w:val="22"/>
                <w:highlight w:val="none"/>
                <w:lang w:val="en-US" w:eastAsia="zh-CN" w:bidi="ar"/>
              </w:rPr>
              <w:t>5</w:t>
            </w:r>
            <w:r>
              <w:rPr>
                <w:rFonts w:hint="eastAsia" w:ascii="新宋体" w:hAnsi="新宋体" w:eastAsia="新宋体" w:cs="新宋体"/>
                <w:color w:val="auto"/>
                <w:kern w:val="0"/>
                <w:sz w:val="22"/>
                <w:szCs w:val="22"/>
                <w:highlight w:val="none"/>
                <w:lang w:bidi="ar"/>
              </w:rPr>
              <w:t>,3,1,0</w:t>
            </w:r>
            <w:r>
              <w:rPr>
                <w:rFonts w:hint="eastAsia" w:ascii="宋体" w:hAnsi="宋体" w:cs="宋体"/>
                <w:b w:val="0"/>
                <w:bCs w:val="0"/>
                <w:color w:val="auto"/>
                <w:sz w:val="22"/>
                <w:szCs w:val="22"/>
                <w:highlight w:val="none"/>
                <w:lang w:eastAsia="zh-CN"/>
              </w:rPr>
              <w:t>）</w:t>
            </w:r>
          </w:p>
        </w:tc>
      </w:tr>
      <w:tr w14:paraId="0354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4" w:type="dxa"/>
            <w:shd w:val="clear" w:color="auto" w:fill="auto"/>
            <w:noWrap w:val="0"/>
            <w:vAlign w:val="center"/>
          </w:tcPr>
          <w:p w14:paraId="4F5AB9F7">
            <w:pPr>
              <w:keepNext w:val="0"/>
              <w:keepLines w:val="0"/>
              <w:pageBreakBefore w:val="0"/>
              <w:kinsoku/>
              <w:wordWrap/>
              <w:topLinePunct w:val="0"/>
              <w:bidi w:val="0"/>
              <w:spacing w:line="460" w:lineRule="exact"/>
              <w:jc w:val="center"/>
              <w:rPr>
                <w:rFonts w:hint="eastAsia" w:ascii="新宋体" w:hAnsi="新宋体" w:eastAsia="新宋体" w:cs="新宋体"/>
                <w:bCs/>
                <w:snapToGrid w:val="0"/>
                <w:color w:val="auto"/>
                <w:kern w:val="0"/>
                <w:sz w:val="22"/>
                <w:szCs w:val="22"/>
                <w:highlight w:val="none"/>
                <w:lang w:val="en-US" w:eastAsia="zh-CN" w:bidi="ar-SA"/>
              </w:rPr>
            </w:pPr>
            <w:r>
              <w:rPr>
                <w:rFonts w:hint="eastAsia" w:ascii="新宋体" w:hAnsi="新宋体" w:eastAsia="新宋体" w:cs="新宋体"/>
                <w:bCs/>
                <w:snapToGrid w:val="0"/>
                <w:color w:val="auto"/>
                <w:kern w:val="0"/>
                <w:sz w:val="22"/>
                <w:szCs w:val="22"/>
                <w:highlight w:val="none"/>
                <w:lang w:val="en-US" w:eastAsia="zh-CN" w:bidi="ar-SA"/>
              </w:rPr>
              <w:t>8</w:t>
            </w:r>
          </w:p>
        </w:tc>
        <w:tc>
          <w:tcPr>
            <w:tcW w:w="1684" w:type="dxa"/>
            <w:noWrap w:val="0"/>
            <w:vAlign w:val="center"/>
          </w:tcPr>
          <w:p w14:paraId="4C945133">
            <w:pPr>
              <w:keepNext w:val="0"/>
              <w:keepLines w:val="0"/>
              <w:pageBreakBefore w:val="0"/>
              <w:kinsoku/>
              <w:wordWrap/>
              <w:topLinePunct w:val="0"/>
              <w:bidi w:val="0"/>
              <w:spacing w:line="460" w:lineRule="exact"/>
              <w:jc w:val="center"/>
              <w:rPr>
                <w:rFonts w:hint="eastAsia" w:ascii="新宋体" w:hAnsi="新宋体" w:eastAsia="新宋体" w:cs="新宋体"/>
                <w:bCs/>
                <w:snapToGrid w:val="0"/>
                <w:color w:val="auto"/>
                <w:kern w:val="0"/>
                <w:sz w:val="22"/>
                <w:szCs w:val="22"/>
                <w:highlight w:val="none"/>
                <w:lang w:bidi="ar-SA"/>
              </w:rPr>
            </w:pPr>
            <w:r>
              <w:rPr>
                <w:rFonts w:hint="eastAsia" w:ascii="新宋体" w:hAnsi="新宋体" w:eastAsia="新宋体" w:cs="新宋体"/>
                <w:b w:val="0"/>
                <w:color w:val="auto"/>
                <w:sz w:val="22"/>
                <w:szCs w:val="22"/>
                <w:highlight w:val="none"/>
              </w:rPr>
              <w:t>突发事件应急处理措施</w:t>
            </w:r>
          </w:p>
        </w:tc>
        <w:tc>
          <w:tcPr>
            <w:tcW w:w="1125" w:type="dxa"/>
            <w:noWrap w:val="0"/>
            <w:vAlign w:val="center"/>
          </w:tcPr>
          <w:p w14:paraId="3A2FFFE8">
            <w:pPr>
              <w:keepNext w:val="0"/>
              <w:keepLines w:val="0"/>
              <w:pageBreakBefore w:val="0"/>
              <w:kinsoku/>
              <w:wordWrap/>
              <w:topLinePunct w:val="0"/>
              <w:bidi w:val="0"/>
              <w:spacing w:line="460" w:lineRule="exact"/>
              <w:jc w:val="center"/>
              <w:rPr>
                <w:rFonts w:hint="eastAsia" w:ascii="新宋体" w:hAnsi="新宋体" w:eastAsia="新宋体" w:cs="新宋体"/>
                <w:color w:val="auto"/>
                <w:sz w:val="22"/>
                <w:szCs w:val="22"/>
                <w:highlight w:val="none"/>
                <w:lang w:val="en-US" w:eastAsia="zh-CN" w:bidi="ar-SA"/>
              </w:rPr>
            </w:pPr>
            <w:r>
              <w:rPr>
                <w:rFonts w:hint="eastAsia" w:ascii="新宋体" w:hAnsi="新宋体" w:eastAsia="新宋体" w:cs="新宋体"/>
                <w:color w:val="auto"/>
                <w:sz w:val="22"/>
                <w:szCs w:val="22"/>
                <w:highlight w:val="none"/>
                <w:lang w:val="en-US" w:eastAsia="zh-CN" w:bidi="ar-SA"/>
              </w:rPr>
              <w:t>5</w:t>
            </w:r>
          </w:p>
        </w:tc>
        <w:tc>
          <w:tcPr>
            <w:tcW w:w="6416" w:type="dxa"/>
            <w:noWrap w:val="0"/>
            <w:vAlign w:val="center"/>
          </w:tcPr>
          <w:p w14:paraId="79259CCE">
            <w:pPr>
              <w:pStyle w:val="34"/>
              <w:keepNext w:val="0"/>
              <w:keepLines w:val="0"/>
              <w:pageBreakBefore w:val="0"/>
              <w:kinsoku/>
              <w:wordWrap/>
              <w:topLinePunct w:val="0"/>
              <w:bidi w:val="0"/>
              <w:snapToGrid w:val="0"/>
              <w:spacing w:line="460" w:lineRule="exact"/>
              <w:rPr>
                <w:rFonts w:hint="eastAsia" w:ascii="新宋体" w:hAnsi="新宋体" w:eastAsia="新宋体" w:cs="新宋体"/>
                <w:b w:val="0"/>
                <w:color w:val="auto"/>
                <w:sz w:val="22"/>
                <w:szCs w:val="22"/>
                <w:highlight w:val="none"/>
                <w:lang w:eastAsia="zh-CN"/>
              </w:rPr>
            </w:pPr>
            <w:r>
              <w:rPr>
                <w:rFonts w:hint="eastAsia" w:ascii="新宋体" w:hAnsi="新宋体" w:eastAsia="新宋体" w:cs="新宋体"/>
                <w:b w:val="0"/>
                <w:color w:val="auto"/>
                <w:sz w:val="22"/>
                <w:szCs w:val="22"/>
                <w:highlight w:val="none"/>
              </w:rPr>
              <w:t>根据投标人</w:t>
            </w:r>
            <w:r>
              <w:rPr>
                <w:rFonts w:hint="eastAsia" w:ascii="新宋体" w:hAnsi="新宋体" w:eastAsia="新宋体" w:cs="新宋体"/>
                <w:b w:val="0"/>
                <w:color w:val="auto"/>
                <w:sz w:val="22"/>
                <w:szCs w:val="22"/>
                <w:highlight w:val="none"/>
                <w:lang w:val="en-US" w:eastAsia="zh-CN"/>
              </w:rPr>
              <w:t>提供的</w:t>
            </w:r>
            <w:r>
              <w:rPr>
                <w:rFonts w:hint="eastAsia" w:ascii="新宋体" w:hAnsi="新宋体" w:eastAsia="新宋体" w:cs="新宋体"/>
                <w:b w:val="0"/>
                <w:color w:val="auto"/>
                <w:sz w:val="22"/>
                <w:szCs w:val="22"/>
                <w:highlight w:val="none"/>
              </w:rPr>
              <w:t>针对本项目各项突发事件制定的</w:t>
            </w:r>
            <w:r>
              <w:rPr>
                <w:rFonts w:hint="eastAsia" w:ascii="新宋体" w:hAnsi="新宋体" w:eastAsia="新宋体" w:cs="新宋体"/>
                <w:b w:val="0"/>
                <w:color w:val="auto"/>
                <w:sz w:val="22"/>
                <w:szCs w:val="22"/>
                <w:highlight w:val="none"/>
                <w:lang w:eastAsia="zh-CN"/>
              </w:rPr>
              <w:t>应</w:t>
            </w:r>
            <w:r>
              <w:rPr>
                <w:rFonts w:hint="eastAsia" w:ascii="新宋体" w:hAnsi="新宋体" w:eastAsia="新宋体" w:cs="新宋体"/>
                <w:b w:val="0"/>
                <w:color w:val="auto"/>
                <w:sz w:val="22"/>
                <w:szCs w:val="22"/>
                <w:highlight w:val="none"/>
              </w:rPr>
              <w:t>急预案是否具有可行性等</w:t>
            </w:r>
            <w:r>
              <w:rPr>
                <w:rFonts w:hint="eastAsia" w:ascii="新宋体" w:hAnsi="新宋体" w:eastAsia="新宋体" w:cs="新宋体"/>
                <w:b w:val="0"/>
                <w:color w:val="auto"/>
                <w:sz w:val="22"/>
                <w:szCs w:val="22"/>
                <w:highlight w:val="none"/>
                <w:lang w:val="en-US" w:eastAsia="zh-CN"/>
              </w:rPr>
              <w:t>情况</w:t>
            </w:r>
            <w:r>
              <w:rPr>
                <w:rFonts w:hint="eastAsia" w:ascii="新宋体" w:hAnsi="新宋体" w:eastAsia="新宋体" w:cs="新宋体"/>
                <w:b w:val="0"/>
                <w:color w:val="auto"/>
                <w:sz w:val="22"/>
                <w:szCs w:val="22"/>
                <w:highlight w:val="none"/>
              </w:rPr>
              <w:t>，</w:t>
            </w:r>
            <w:r>
              <w:rPr>
                <w:rFonts w:hint="eastAsia" w:ascii="宋体" w:hAnsi="宋体" w:cs="新宋体"/>
                <w:color w:val="auto"/>
                <w:kern w:val="0"/>
                <w:sz w:val="22"/>
                <w:szCs w:val="22"/>
                <w:highlight w:val="none"/>
              </w:rPr>
              <w:t>由评委</w:t>
            </w:r>
            <w:r>
              <w:rPr>
                <w:rFonts w:hint="eastAsia" w:ascii="新宋体" w:hAnsi="新宋体" w:eastAsia="新宋体" w:cs="新宋体"/>
                <w:color w:val="auto"/>
                <w:kern w:val="0"/>
                <w:sz w:val="22"/>
                <w:szCs w:val="22"/>
                <w:highlight w:val="none"/>
                <w:lang w:bidi="ar"/>
              </w:rPr>
              <w:t>综合评价量化打分</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eastAsia="zh-CN"/>
              </w:rPr>
              <w:t>（</w:t>
            </w:r>
            <w:r>
              <w:rPr>
                <w:rFonts w:hint="eastAsia" w:ascii="新宋体" w:hAnsi="新宋体" w:eastAsia="新宋体" w:cs="新宋体"/>
                <w:color w:val="auto"/>
                <w:kern w:val="0"/>
                <w:sz w:val="22"/>
                <w:szCs w:val="22"/>
                <w:highlight w:val="none"/>
                <w:lang w:bidi="ar"/>
              </w:rPr>
              <w:t>评分范围：</w:t>
            </w:r>
            <w:r>
              <w:rPr>
                <w:rFonts w:hint="eastAsia" w:ascii="新宋体" w:hAnsi="新宋体" w:eastAsia="新宋体" w:cs="新宋体"/>
                <w:color w:val="auto"/>
                <w:kern w:val="0"/>
                <w:sz w:val="22"/>
                <w:szCs w:val="22"/>
                <w:highlight w:val="none"/>
                <w:lang w:val="en-US" w:eastAsia="zh-CN" w:bidi="ar"/>
              </w:rPr>
              <w:t>5</w:t>
            </w:r>
            <w:r>
              <w:rPr>
                <w:rFonts w:hint="eastAsia" w:ascii="新宋体" w:hAnsi="新宋体" w:eastAsia="新宋体" w:cs="新宋体"/>
                <w:color w:val="auto"/>
                <w:kern w:val="0"/>
                <w:sz w:val="22"/>
                <w:szCs w:val="22"/>
                <w:highlight w:val="none"/>
                <w:lang w:bidi="ar"/>
              </w:rPr>
              <w:t>,3,1,0</w:t>
            </w:r>
            <w:r>
              <w:rPr>
                <w:rFonts w:hint="eastAsia" w:ascii="宋体" w:hAnsi="宋体" w:cs="宋体"/>
                <w:b w:val="0"/>
                <w:bCs w:val="0"/>
                <w:color w:val="auto"/>
                <w:sz w:val="22"/>
                <w:szCs w:val="22"/>
                <w:highlight w:val="none"/>
                <w:lang w:eastAsia="zh-CN"/>
              </w:rPr>
              <w:t>）</w:t>
            </w:r>
          </w:p>
        </w:tc>
      </w:tr>
      <w:tr w14:paraId="456B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4" w:type="dxa"/>
            <w:shd w:val="clear" w:color="auto" w:fill="auto"/>
            <w:noWrap w:val="0"/>
            <w:vAlign w:val="center"/>
          </w:tcPr>
          <w:p w14:paraId="7BA08914">
            <w:pPr>
              <w:keepNext w:val="0"/>
              <w:keepLines w:val="0"/>
              <w:pageBreakBefore w:val="0"/>
              <w:kinsoku/>
              <w:wordWrap/>
              <w:topLinePunct w:val="0"/>
              <w:bidi w:val="0"/>
              <w:spacing w:line="460" w:lineRule="exact"/>
              <w:jc w:val="cente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lang w:val="en-US" w:eastAsia="zh-CN" w:bidi="ar-SA"/>
              </w:rPr>
              <w:t>9</w:t>
            </w:r>
          </w:p>
        </w:tc>
        <w:tc>
          <w:tcPr>
            <w:tcW w:w="1684" w:type="dxa"/>
            <w:noWrap w:val="0"/>
            <w:vAlign w:val="center"/>
          </w:tcPr>
          <w:p w14:paraId="45DE9752">
            <w:pPr>
              <w:keepNext w:val="0"/>
              <w:keepLines w:val="0"/>
              <w:pageBreakBefore w:val="0"/>
              <w:kinsoku/>
              <w:wordWrap/>
              <w:topLinePunct w:val="0"/>
              <w:bidi w:val="0"/>
              <w:spacing w:line="460" w:lineRule="exact"/>
              <w:jc w:val="center"/>
              <w:rPr>
                <w:rFonts w:hint="default" w:ascii="新宋体" w:hAnsi="新宋体" w:eastAsia="新宋体" w:cs="新宋体"/>
                <w:bCs/>
                <w:snapToGrid w:val="0"/>
                <w:color w:val="auto"/>
                <w:kern w:val="0"/>
                <w:sz w:val="22"/>
                <w:szCs w:val="22"/>
                <w:highlight w:val="none"/>
                <w:lang w:val="en-US" w:eastAsia="zh-CN" w:bidi="ar-SA"/>
              </w:rPr>
            </w:pPr>
            <w:r>
              <w:rPr>
                <w:rFonts w:hint="eastAsia" w:ascii="新宋体" w:hAnsi="新宋体" w:eastAsia="新宋体" w:cs="新宋体"/>
                <w:bCs/>
                <w:snapToGrid w:val="0"/>
                <w:color w:val="auto"/>
                <w:kern w:val="0"/>
                <w:sz w:val="22"/>
                <w:szCs w:val="22"/>
                <w:highlight w:val="none"/>
                <w:lang w:val="en-US" w:eastAsia="zh-CN" w:bidi="ar-SA"/>
              </w:rPr>
              <w:t>合理化建议</w:t>
            </w:r>
          </w:p>
        </w:tc>
        <w:tc>
          <w:tcPr>
            <w:tcW w:w="1125" w:type="dxa"/>
            <w:noWrap w:val="0"/>
            <w:vAlign w:val="center"/>
          </w:tcPr>
          <w:p w14:paraId="120CCD26">
            <w:pPr>
              <w:keepNext w:val="0"/>
              <w:keepLines w:val="0"/>
              <w:pageBreakBefore w:val="0"/>
              <w:kinsoku/>
              <w:wordWrap/>
              <w:topLinePunct w:val="0"/>
              <w:bidi w:val="0"/>
              <w:spacing w:line="460" w:lineRule="exact"/>
              <w:jc w:val="center"/>
              <w:rPr>
                <w:rFonts w:hint="eastAsia" w:ascii="新宋体" w:hAnsi="新宋体" w:eastAsia="新宋体" w:cs="新宋体"/>
                <w:color w:val="auto"/>
                <w:sz w:val="22"/>
                <w:szCs w:val="22"/>
                <w:highlight w:val="none"/>
                <w:lang w:bidi="ar-SA"/>
              </w:rPr>
            </w:pPr>
            <w:r>
              <w:rPr>
                <w:rFonts w:hint="eastAsia" w:ascii="新宋体" w:hAnsi="新宋体" w:eastAsia="新宋体" w:cs="新宋体"/>
                <w:color w:val="auto"/>
                <w:sz w:val="22"/>
                <w:szCs w:val="22"/>
                <w:highlight w:val="none"/>
                <w:lang w:bidi="ar-SA"/>
              </w:rPr>
              <w:t>5</w:t>
            </w:r>
          </w:p>
        </w:tc>
        <w:tc>
          <w:tcPr>
            <w:tcW w:w="6416" w:type="dxa"/>
            <w:noWrap w:val="0"/>
            <w:vAlign w:val="center"/>
          </w:tcPr>
          <w:p w14:paraId="44964282">
            <w:pPr>
              <w:keepNext w:val="0"/>
              <w:keepLines w:val="0"/>
              <w:pageBreakBefore w:val="0"/>
              <w:kinsoku/>
              <w:wordWrap/>
              <w:topLinePunct w:val="0"/>
              <w:bidi w:val="0"/>
              <w:spacing w:line="460" w:lineRule="exact"/>
              <w:jc w:val="left"/>
              <w:rPr>
                <w:rFonts w:hint="eastAsia" w:ascii="新宋体" w:hAnsi="新宋体" w:eastAsia="新宋体" w:cs="新宋体"/>
                <w:snapToGrid w:val="0"/>
                <w:color w:val="auto"/>
                <w:kern w:val="0"/>
                <w:sz w:val="22"/>
                <w:szCs w:val="22"/>
                <w:highlight w:val="none"/>
                <w:lang w:eastAsia="zh-CN" w:bidi="ar-SA"/>
              </w:rPr>
            </w:pPr>
            <w:r>
              <w:rPr>
                <w:rFonts w:hint="eastAsia" w:ascii="新宋体" w:hAnsi="新宋体" w:eastAsia="新宋体" w:cs="新宋体"/>
                <w:snapToGrid w:val="0"/>
                <w:color w:val="auto"/>
                <w:kern w:val="0"/>
                <w:sz w:val="22"/>
                <w:szCs w:val="22"/>
                <w:highlight w:val="none"/>
                <w:lang w:val="en-US" w:eastAsia="zh-CN" w:bidi="ar-SA"/>
              </w:rPr>
              <w:t>投标人根据对采购人的了解情况提出合理化建议，根据建议的可行性、合理性进行打分。</w:t>
            </w:r>
            <w:r>
              <w:rPr>
                <w:rFonts w:hint="eastAsia" w:ascii="宋体" w:hAnsi="宋体" w:cs="新宋体"/>
                <w:color w:val="auto"/>
                <w:kern w:val="0"/>
                <w:sz w:val="22"/>
                <w:szCs w:val="22"/>
                <w:highlight w:val="none"/>
              </w:rPr>
              <w:t>由评委</w:t>
            </w:r>
            <w:r>
              <w:rPr>
                <w:rFonts w:hint="eastAsia" w:ascii="新宋体" w:hAnsi="新宋体" w:eastAsia="新宋体" w:cs="新宋体"/>
                <w:color w:val="auto"/>
                <w:kern w:val="0"/>
                <w:sz w:val="22"/>
                <w:szCs w:val="22"/>
                <w:highlight w:val="none"/>
                <w:lang w:bidi="ar"/>
              </w:rPr>
              <w:t>综合评价量化打分</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eastAsia="zh-CN"/>
              </w:rPr>
              <w:t>（</w:t>
            </w:r>
            <w:r>
              <w:rPr>
                <w:rFonts w:hint="eastAsia" w:ascii="新宋体" w:hAnsi="新宋体" w:eastAsia="新宋体" w:cs="新宋体"/>
                <w:color w:val="auto"/>
                <w:kern w:val="0"/>
                <w:sz w:val="22"/>
                <w:szCs w:val="22"/>
                <w:highlight w:val="none"/>
                <w:lang w:bidi="ar"/>
              </w:rPr>
              <w:t>评分范围：</w:t>
            </w:r>
            <w:r>
              <w:rPr>
                <w:rFonts w:hint="eastAsia" w:ascii="新宋体" w:hAnsi="新宋体" w:eastAsia="新宋体" w:cs="新宋体"/>
                <w:color w:val="auto"/>
                <w:kern w:val="0"/>
                <w:sz w:val="22"/>
                <w:szCs w:val="22"/>
                <w:highlight w:val="none"/>
                <w:lang w:val="en-US" w:eastAsia="zh-CN" w:bidi="ar"/>
              </w:rPr>
              <w:t>5</w:t>
            </w:r>
            <w:r>
              <w:rPr>
                <w:rFonts w:hint="eastAsia" w:ascii="新宋体" w:hAnsi="新宋体" w:eastAsia="新宋体" w:cs="新宋体"/>
                <w:color w:val="auto"/>
                <w:kern w:val="0"/>
                <w:sz w:val="22"/>
                <w:szCs w:val="22"/>
                <w:highlight w:val="none"/>
                <w:lang w:bidi="ar"/>
              </w:rPr>
              <w:t>,3,1,0</w:t>
            </w:r>
            <w:r>
              <w:rPr>
                <w:rFonts w:hint="eastAsia" w:ascii="宋体" w:hAnsi="宋体" w:cs="宋体"/>
                <w:b w:val="0"/>
                <w:bCs w:val="0"/>
                <w:color w:val="auto"/>
                <w:sz w:val="22"/>
                <w:szCs w:val="22"/>
                <w:highlight w:val="none"/>
                <w:lang w:eastAsia="zh-CN"/>
              </w:rPr>
              <w:t>）</w:t>
            </w:r>
          </w:p>
        </w:tc>
      </w:tr>
      <w:tr w14:paraId="60CC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4" w:type="dxa"/>
            <w:noWrap w:val="0"/>
            <w:vAlign w:val="center"/>
          </w:tcPr>
          <w:p w14:paraId="4C1975AE">
            <w:pPr>
              <w:keepNext w:val="0"/>
              <w:keepLines w:val="0"/>
              <w:pageBreakBefore w:val="0"/>
              <w:kinsoku/>
              <w:wordWrap/>
              <w:topLinePunct w:val="0"/>
              <w:bidi w:val="0"/>
              <w:spacing w:line="460" w:lineRule="exact"/>
              <w:jc w:val="center"/>
              <w:rPr>
                <w:rFonts w:hint="default" w:ascii="新宋体" w:hAnsi="新宋体" w:eastAsia="新宋体" w:cs="新宋体"/>
                <w:bCs/>
                <w:color w:val="auto"/>
                <w:sz w:val="22"/>
                <w:szCs w:val="22"/>
                <w:highlight w:val="none"/>
                <w:lang w:val="en-US" w:eastAsia="zh-CN" w:bidi="ar-SA"/>
              </w:rPr>
            </w:pPr>
            <w:r>
              <w:rPr>
                <w:rFonts w:hint="eastAsia" w:ascii="新宋体" w:hAnsi="新宋体" w:eastAsia="新宋体" w:cs="新宋体"/>
                <w:bCs/>
                <w:color w:val="auto"/>
                <w:sz w:val="22"/>
                <w:szCs w:val="22"/>
                <w:highlight w:val="none"/>
                <w:lang w:val="en-US" w:eastAsia="zh-CN" w:bidi="ar-SA"/>
              </w:rPr>
              <w:t>10</w:t>
            </w:r>
          </w:p>
        </w:tc>
        <w:tc>
          <w:tcPr>
            <w:tcW w:w="1684" w:type="dxa"/>
            <w:noWrap w:val="0"/>
            <w:vAlign w:val="center"/>
          </w:tcPr>
          <w:p w14:paraId="58D5C5F8">
            <w:pPr>
              <w:keepNext w:val="0"/>
              <w:keepLines w:val="0"/>
              <w:pageBreakBefore w:val="0"/>
              <w:kinsoku/>
              <w:wordWrap/>
              <w:topLinePunct w:val="0"/>
              <w:bidi w:val="0"/>
              <w:spacing w:line="460" w:lineRule="exact"/>
              <w:jc w:val="center"/>
              <w:rPr>
                <w:rFonts w:hint="eastAsia" w:ascii="新宋体" w:hAnsi="新宋体" w:eastAsia="新宋体" w:cs="新宋体"/>
                <w:bCs/>
                <w:snapToGrid w:val="0"/>
                <w:color w:val="auto"/>
                <w:kern w:val="0"/>
                <w:sz w:val="22"/>
                <w:szCs w:val="22"/>
                <w:highlight w:val="none"/>
                <w:lang w:bidi="ar-SA"/>
              </w:rPr>
            </w:pPr>
            <w:r>
              <w:rPr>
                <w:rFonts w:hint="eastAsia" w:ascii="新宋体" w:hAnsi="新宋体" w:eastAsia="新宋体" w:cs="新宋体"/>
                <w:bCs/>
                <w:color w:val="auto"/>
                <w:sz w:val="22"/>
                <w:szCs w:val="22"/>
                <w:highlight w:val="none"/>
                <w:lang w:bidi="ar-SA"/>
              </w:rPr>
              <w:t>保持员工队伍稳定措施的有效性</w:t>
            </w:r>
          </w:p>
        </w:tc>
        <w:tc>
          <w:tcPr>
            <w:tcW w:w="1125" w:type="dxa"/>
            <w:noWrap w:val="0"/>
            <w:vAlign w:val="center"/>
          </w:tcPr>
          <w:p w14:paraId="26F3ECF5">
            <w:pPr>
              <w:keepNext w:val="0"/>
              <w:keepLines w:val="0"/>
              <w:pageBreakBefore w:val="0"/>
              <w:kinsoku/>
              <w:wordWrap/>
              <w:topLinePunct w:val="0"/>
              <w:bidi w:val="0"/>
              <w:spacing w:line="460" w:lineRule="exact"/>
              <w:jc w:val="center"/>
              <w:rPr>
                <w:rFonts w:hint="eastAsia" w:ascii="新宋体" w:hAnsi="新宋体" w:eastAsia="新宋体" w:cs="新宋体"/>
                <w:color w:val="auto"/>
                <w:kern w:val="0"/>
                <w:sz w:val="22"/>
                <w:szCs w:val="22"/>
                <w:highlight w:val="none"/>
                <w:lang w:bidi="ar-SA"/>
              </w:rPr>
            </w:pPr>
            <w:r>
              <w:rPr>
                <w:rFonts w:hint="eastAsia" w:ascii="新宋体" w:hAnsi="新宋体" w:eastAsia="新宋体" w:cs="新宋体"/>
                <w:color w:val="auto"/>
                <w:sz w:val="22"/>
                <w:szCs w:val="22"/>
                <w:highlight w:val="none"/>
                <w:lang w:bidi="ar-SA"/>
              </w:rPr>
              <w:t>8</w:t>
            </w:r>
          </w:p>
        </w:tc>
        <w:tc>
          <w:tcPr>
            <w:tcW w:w="6416" w:type="dxa"/>
            <w:noWrap w:val="0"/>
            <w:vAlign w:val="center"/>
          </w:tcPr>
          <w:p w14:paraId="2C6E8E28">
            <w:pPr>
              <w:keepNext w:val="0"/>
              <w:keepLines w:val="0"/>
              <w:pageBreakBefore w:val="0"/>
              <w:kinsoku/>
              <w:wordWrap/>
              <w:topLinePunct w:val="0"/>
              <w:bidi w:val="0"/>
              <w:spacing w:line="460" w:lineRule="exact"/>
              <w:jc w:val="left"/>
              <w:rPr>
                <w:rFonts w:hint="eastAsia" w:ascii="新宋体" w:hAnsi="新宋体" w:eastAsia="新宋体" w:cs="新宋体"/>
                <w:snapToGrid w:val="0"/>
                <w:color w:val="auto"/>
                <w:kern w:val="0"/>
                <w:sz w:val="22"/>
                <w:szCs w:val="22"/>
                <w:highlight w:val="none"/>
                <w:lang w:bidi="ar-SA"/>
              </w:rPr>
            </w:pPr>
            <w:r>
              <w:rPr>
                <w:rFonts w:hint="eastAsia" w:ascii="新宋体" w:hAnsi="新宋体" w:eastAsia="新宋体" w:cs="新宋体"/>
                <w:color w:val="auto"/>
                <w:kern w:val="0"/>
                <w:sz w:val="22"/>
                <w:szCs w:val="22"/>
                <w:highlight w:val="none"/>
              </w:rPr>
              <w:t>根据稳定员工队伍的措施的可行性和有效性，并针对招聘方案、人员储备、补充时间、及员工定期轮换制度建设</w:t>
            </w:r>
            <w:r>
              <w:rPr>
                <w:rFonts w:hint="eastAsia" w:ascii="新宋体" w:hAnsi="新宋体" w:eastAsia="新宋体" w:cs="新宋体"/>
                <w:color w:val="auto"/>
                <w:kern w:val="0"/>
                <w:sz w:val="22"/>
                <w:szCs w:val="22"/>
                <w:highlight w:val="none"/>
                <w:lang w:eastAsia="zh-CN"/>
              </w:rPr>
              <w:t>，</w:t>
            </w:r>
            <w:r>
              <w:rPr>
                <w:rFonts w:hint="eastAsia" w:ascii="宋体" w:hAnsi="宋体" w:cs="新宋体"/>
                <w:color w:val="auto"/>
                <w:kern w:val="0"/>
                <w:sz w:val="22"/>
                <w:szCs w:val="22"/>
                <w:highlight w:val="none"/>
              </w:rPr>
              <w:t>由评委</w:t>
            </w:r>
            <w:r>
              <w:rPr>
                <w:rFonts w:hint="eastAsia" w:ascii="新宋体" w:hAnsi="新宋体" w:eastAsia="新宋体" w:cs="新宋体"/>
                <w:color w:val="auto"/>
                <w:kern w:val="0"/>
                <w:sz w:val="22"/>
                <w:szCs w:val="22"/>
                <w:highlight w:val="none"/>
                <w:lang w:bidi="ar"/>
              </w:rPr>
              <w:t>综合评价量化打分</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eastAsia="zh-CN"/>
              </w:rPr>
              <w:t>（</w:t>
            </w:r>
            <w:r>
              <w:rPr>
                <w:rFonts w:hint="eastAsia" w:ascii="新宋体" w:hAnsi="新宋体" w:eastAsia="新宋体" w:cs="新宋体"/>
                <w:color w:val="auto"/>
                <w:kern w:val="0"/>
                <w:sz w:val="22"/>
                <w:szCs w:val="22"/>
                <w:highlight w:val="none"/>
                <w:lang w:bidi="ar"/>
              </w:rPr>
              <w:t>评分范围：</w:t>
            </w:r>
            <w:r>
              <w:rPr>
                <w:rFonts w:hint="eastAsia" w:ascii="新宋体" w:hAnsi="新宋体" w:eastAsia="新宋体" w:cs="新宋体"/>
                <w:color w:val="auto"/>
                <w:kern w:val="0"/>
                <w:sz w:val="22"/>
                <w:szCs w:val="22"/>
                <w:highlight w:val="none"/>
                <w:lang w:val="en-US" w:eastAsia="zh-CN" w:bidi="ar"/>
              </w:rPr>
              <w:t>4</w:t>
            </w:r>
            <w:r>
              <w:rPr>
                <w:rFonts w:hint="eastAsia" w:ascii="新宋体" w:hAnsi="新宋体" w:eastAsia="新宋体" w:cs="新宋体"/>
                <w:color w:val="auto"/>
                <w:kern w:val="0"/>
                <w:sz w:val="22"/>
                <w:szCs w:val="22"/>
                <w:highlight w:val="none"/>
                <w:lang w:bidi="ar"/>
              </w:rPr>
              <w:t>,3,</w:t>
            </w:r>
            <w:r>
              <w:rPr>
                <w:rFonts w:hint="eastAsia" w:ascii="新宋体" w:hAnsi="新宋体" w:eastAsia="新宋体" w:cs="新宋体"/>
                <w:color w:val="auto"/>
                <w:kern w:val="0"/>
                <w:sz w:val="22"/>
                <w:szCs w:val="22"/>
                <w:highlight w:val="none"/>
                <w:lang w:val="en-US" w:eastAsia="zh-CN" w:bidi="ar"/>
              </w:rPr>
              <w:t>2,</w:t>
            </w:r>
            <w:r>
              <w:rPr>
                <w:rFonts w:hint="eastAsia" w:ascii="新宋体" w:hAnsi="新宋体" w:eastAsia="新宋体" w:cs="新宋体"/>
                <w:color w:val="auto"/>
                <w:kern w:val="0"/>
                <w:sz w:val="22"/>
                <w:szCs w:val="22"/>
                <w:highlight w:val="none"/>
                <w:lang w:bidi="ar"/>
              </w:rPr>
              <w:t>1,0</w:t>
            </w:r>
            <w:r>
              <w:rPr>
                <w:rFonts w:hint="eastAsia" w:ascii="宋体" w:hAnsi="宋体" w:cs="宋体"/>
                <w:b w:val="0"/>
                <w:bCs w:val="0"/>
                <w:color w:val="auto"/>
                <w:sz w:val="22"/>
                <w:szCs w:val="22"/>
                <w:highlight w:val="none"/>
                <w:lang w:eastAsia="zh-CN"/>
              </w:rPr>
              <w:t>）</w:t>
            </w:r>
          </w:p>
          <w:p w14:paraId="5B76E932">
            <w:pPr>
              <w:keepNext w:val="0"/>
              <w:keepLines w:val="0"/>
              <w:pageBreakBefore w:val="0"/>
              <w:kinsoku/>
              <w:wordWrap/>
              <w:topLinePunct w:val="0"/>
              <w:bidi w:val="0"/>
              <w:spacing w:line="460" w:lineRule="exact"/>
              <w:jc w:val="left"/>
              <w:rPr>
                <w:rFonts w:hint="eastAsia" w:ascii="新宋体" w:hAnsi="新宋体" w:eastAsia="新宋体" w:cs="新宋体"/>
                <w:snapToGrid w:val="0"/>
                <w:color w:val="auto"/>
                <w:kern w:val="0"/>
                <w:sz w:val="22"/>
                <w:szCs w:val="22"/>
                <w:highlight w:val="none"/>
                <w:lang w:bidi="ar-SA"/>
              </w:rPr>
            </w:pPr>
            <w:r>
              <w:rPr>
                <w:rFonts w:hint="eastAsia" w:ascii="新宋体" w:hAnsi="新宋体" w:eastAsia="新宋体" w:cs="新宋体"/>
                <w:bCs/>
                <w:color w:val="auto"/>
                <w:sz w:val="22"/>
                <w:szCs w:val="22"/>
                <w:highlight w:val="none"/>
                <w:lang w:bidi="ar-SA"/>
              </w:rPr>
              <w:t>保证员工整体素质符合</w:t>
            </w:r>
            <w:r>
              <w:rPr>
                <w:rFonts w:hint="eastAsia" w:ascii="新宋体" w:hAnsi="新宋体" w:eastAsia="新宋体" w:cs="新宋体"/>
                <w:snapToGrid w:val="0"/>
                <w:color w:val="auto"/>
                <w:kern w:val="0"/>
                <w:sz w:val="22"/>
                <w:szCs w:val="22"/>
                <w:highlight w:val="none"/>
                <w:lang w:bidi="ar-SA"/>
              </w:rPr>
              <w:t>本项目</w:t>
            </w:r>
            <w:r>
              <w:rPr>
                <w:rFonts w:hint="eastAsia" w:ascii="新宋体" w:hAnsi="新宋体" w:eastAsia="新宋体" w:cs="新宋体"/>
                <w:bCs/>
                <w:color w:val="auto"/>
                <w:sz w:val="22"/>
                <w:szCs w:val="22"/>
                <w:highlight w:val="none"/>
                <w:lang w:bidi="ar-SA"/>
              </w:rPr>
              <w:t>要求的办法，</w:t>
            </w:r>
            <w:r>
              <w:rPr>
                <w:rFonts w:hint="eastAsia" w:ascii="宋体" w:hAnsi="宋体" w:cs="新宋体"/>
                <w:color w:val="auto"/>
                <w:kern w:val="0"/>
                <w:sz w:val="22"/>
                <w:szCs w:val="22"/>
                <w:highlight w:val="none"/>
              </w:rPr>
              <w:t>由评委</w:t>
            </w:r>
            <w:r>
              <w:rPr>
                <w:rFonts w:hint="eastAsia" w:ascii="新宋体" w:hAnsi="新宋体" w:eastAsia="新宋体" w:cs="新宋体"/>
                <w:color w:val="auto"/>
                <w:kern w:val="0"/>
                <w:sz w:val="22"/>
                <w:szCs w:val="22"/>
                <w:highlight w:val="none"/>
                <w:lang w:bidi="ar"/>
              </w:rPr>
              <w:t>综合评价量化打分</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eastAsia="zh-CN"/>
              </w:rPr>
              <w:t>（</w:t>
            </w:r>
            <w:r>
              <w:rPr>
                <w:rFonts w:hint="eastAsia" w:ascii="新宋体" w:hAnsi="新宋体" w:eastAsia="新宋体" w:cs="新宋体"/>
                <w:color w:val="auto"/>
                <w:kern w:val="0"/>
                <w:sz w:val="22"/>
                <w:szCs w:val="22"/>
                <w:highlight w:val="none"/>
                <w:lang w:bidi="ar"/>
              </w:rPr>
              <w:t>评分范围：</w:t>
            </w:r>
            <w:r>
              <w:rPr>
                <w:rFonts w:hint="eastAsia" w:ascii="新宋体" w:hAnsi="新宋体" w:eastAsia="新宋体" w:cs="新宋体"/>
                <w:color w:val="auto"/>
                <w:kern w:val="0"/>
                <w:sz w:val="22"/>
                <w:szCs w:val="22"/>
                <w:highlight w:val="none"/>
                <w:lang w:val="en-US" w:eastAsia="zh-CN" w:bidi="ar"/>
              </w:rPr>
              <w:t>4</w:t>
            </w:r>
            <w:r>
              <w:rPr>
                <w:rFonts w:hint="eastAsia" w:ascii="新宋体" w:hAnsi="新宋体" w:eastAsia="新宋体" w:cs="新宋体"/>
                <w:color w:val="auto"/>
                <w:kern w:val="0"/>
                <w:sz w:val="22"/>
                <w:szCs w:val="22"/>
                <w:highlight w:val="none"/>
                <w:lang w:bidi="ar"/>
              </w:rPr>
              <w:t>,3,</w:t>
            </w:r>
            <w:r>
              <w:rPr>
                <w:rFonts w:hint="eastAsia" w:ascii="新宋体" w:hAnsi="新宋体" w:eastAsia="新宋体" w:cs="新宋体"/>
                <w:color w:val="auto"/>
                <w:kern w:val="0"/>
                <w:sz w:val="22"/>
                <w:szCs w:val="22"/>
                <w:highlight w:val="none"/>
                <w:lang w:val="en-US" w:eastAsia="zh-CN" w:bidi="ar"/>
              </w:rPr>
              <w:t>2,</w:t>
            </w:r>
            <w:r>
              <w:rPr>
                <w:rFonts w:hint="eastAsia" w:ascii="新宋体" w:hAnsi="新宋体" w:eastAsia="新宋体" w:cs="新宋体"/>
                <w:color w:val="auto"/>
                <w:kern w:val="0"/>
                <w:sz w:val="22"/>
                <w:szCs w:val="22"/>
                <w:highlight w:val="none"/>
                <w:lang w:bidi="ar"/>
              </w:rPr>
              <w:t>1,0</w:t>
            </w:r>
            <w:r>
              <w:rPr>
                <w:rFonts w:hint="eastAsia" w:ascii="宋体" w:hAnsi="宋体" w:cs="宋体"/>
                <w:b w:val="0"/>
                <w:bCs w:val="0"/>
                <w:color w:val="auto"/>
                <w:sz w:val="22"/>
                <w:szCs w:val="22"/>
                <w:highlight w:val="none"/>
                <w:lang w:eastAsia="zh-CN"/>
              </w:rPr>
              <w:t>）</w:t>
            </w:r>
          </w:p>
          <w:p w14:paraId="2B763575">
            <w:pPr>
              <w:keepNext w:val="0"/>
              <w:keepLines w:val="0"/>
              <w:pageBreakBefore w:val="0"/>
              <w:kinsoku/>
              <w:wordWrap/>
              <w:topLinePunct w:val="0"/>
              <w:bidi w:val="0"/>
              <w:spacing w:line="460" w:lineRule="exact"/>
              <w:ind w:left="220" w:hanging="220" w:hangingChars="100"/>
              <w:jc w:val="left"/>
              <w:rPr>
                <w:rFonts w:hint="eastAsia" w:ascii="新宋体" w:hAnsi="新宋体" w:eastAsia="新宋体" w:cs="新宋体"/>
                <w:snapToGrid w:val="0"/>
                <w:color w:val="auto"/>
                <w:kern w:val="0"/>
                <w:sz w:val="22"/>
                <w:szCs w:val="22"/>
                <w:highlight w:val="none"/>
                <w:lang w:eastAsia="zh-CN" w:bidi="ar-SA"/>
              </w:rPr>
            </w:pPr>
          </w:p>
        </w:tc>
      </w:tr>
      <w:tr w14:paraId="016B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4" w:type="dxa"/>
            <w:noWrap w:val="0"/>
            <w:vAlign w:val="center"/>
          </w:tcPr>
          <w:p w14:paraId="2E0FD3C2">
            <w:pPr>
              <w:keepNext w:val="0"/>
              <w:keepLines w:val="0"/>
              <w:pageBreakBefore w:val="0"/>
              <w:kinsoku/>
              <w:wordWrap/>
              <w:topLinePunct w:val="0"/>
              <w:bidi w:val="0"/>
              <w:spacing w:line="460" w:lineRule="exact"/>
              <w:jc w:val="center"/>
              <w:rPr>
                <w:rFonts w:hint="default" w:ascii="新宋体" w:hAnsi="新宋体" w:eastAsia="新宋体" w:cs="新宋体"/>
                <w:color w:val="auto"/>
                <w:sz w:val="22"/>
                <w:szCs w:val="22"/>
                <w:highlight w:val="none"/>
                <w:lang w:val="en-US" w:eastAsia="zh-CN" w:bidi="ar-SA"/>
              </w:rPr>
            </w:pPr>
            <w:r>
              <w:rPr>
                <w:rFonts w:hint="eastAsia" w:ascii="新宋体" w:hAnsi="新宋体" w:eastAsia="新宋体" w:cs="新宋体"/>
                <w:color w:val="auto"/>
                <w:sz w:val="22"/>
                <w:szCs w:val="22"/>
                <w:highlight w:val="none"/>
                <w:lang w:val="en-US" w:eastAsia="zh-CN" w:bidi="ar-SA"/>
              </w:rPr>
              <w:t>11</w:t>
            </w:r>
          </w:p>
        </w:tc>
        <w:tc>
          <w:tcPr>
            <w:tcW w:w="1684" w:type="dxa"/>
            <w:noWrap w:val="0"/>
            <w:vAlign w:val="center"/>
          </w:tcPr>
          <w:p w14:paraId="16123E60">
            <w:pPr>
              <w:keepNext w:val="0"/>
              <w:keepLines w:val="0"/>
              <w:pageBreakBefore w:val="0"/>
              <w:kinsoku/>
              <w:wordWrap/>
              <w:topLinePunct w:val="0"/>
              <w:bidi w:val="0"/>
              <w:spacing w:line="460" w:lineRule="exact"/>
              <w:jc w:val="center"/>
              <w:rPr>
                <w:rFonts w:hint="eastAsia" w:ascii="新宋体" w:hAnsi="新宋体" w:eastAsia="新宋体" w:cs="新宋体"/>
                <w:color w:val="auto"/>
                <w:sz w:val="22"/>
                <w:szCs w:val="22"/>
                <w:highlight w:val="none"/>
                <w:lang w:bidi="ar-SA"/>
              </w:rPr>
            </w:pPr>
            <w:r>
              <w:rPr>
                <w:rFonts w:hint="eastAsia" w:ascii="新宋体" w:hAnsi="新宋体" w:eastAsia="新宋体" w:cs="新宋体"/>
                <w:color w:val="auto"/>
                <w:sz w:val="22"/>
                <w:szCs w:val="22"/>
                <w:highlight w:val="none"/>
                <w:lang w:bidi="ar-SA"/>
              </w:rPr>
              <w:t>业绩</w:t>
            </w:r>
          </w:p>
        </w:tc>
        <w:tc>
          <w:tcPr>
            <w:tcW w:w="1125" w:type="dxa"/>
            <w:noWrap w:val="0"/>
            <w:vAlign w:val="center"/>
          </w:tcPr>
          <w:p w14:paraId="55089730">
            <w:pPr>
              <w:keepNext w:val="0"/>
              <w:keepLines w:val="0"/>
              <w:pageBreakBefore w:val="0"/>
              <w:kinsoku/>
              <w:wordWrap/>
              <w:topLinePunct w:val="0"/>
              <w:bidi w:val="0"/>
              <w:spacing w:line="460" w:lineRule="exact"/>
              <w:jc w:val="center"/>
              <w:rPr>
                <w:rFonts w:hint="default" w:ascii="新宋体" w:hAnsi="新宋体" w:eastAsia="新宋体" w:cs="新宋体"/>
                <w:color w:val="auto"/>
                <w:sz w:val="22"/>
                <w:szCs w:val="22"/>
                <w:highlight w:val="none"/>
                <w:lang w:val="en-US" w:bidi="ar-SA"/>
              </w:rPr>
            </w:pPr>
            <w:r>
              <w:rPr>
                <w:rFonts w:hint="eastAsia" w:ascii="新宋体" w:hAnsi="新宋体" w:eastAsia="新宋体" w:cs="新宋体"/>
                <w:color w:val="auto"/>
                <w:sz w:val="22"/>
                <w:szCs w:val="22"/>
                <w:highlight w:val="none"/>
                <w:lang w:val="en-US" w:eastAsia="zh-CN" w:bidi="ar-SA"/>
              </w:rPr>
              <w:t>1.5</w:t>
            </w:r>
          </w:p>
        </w:tc>
        <w:tc>
          <w:tcPr>
            <w:tcW w:w="6416" w:type="dxa"/>
            <w:noWrap w:val="0"/>
            <w:vAlign w:val="center"/>
          </w:tcPr>
          <w:p w14:paraId="505AEAF7">
            <w:pPr>
              <w:keepNext w:val="0"/>
              <w:keepLines w:val="0"/>
              <w:pageBreakBefore w:val="0"/>
              <w:kinsoku/>
              <w:wordWrap/>
              <w:topLinePunct w:val="0"/>
              <w:bidi w:val="0"/>
              <w:spacing w:line="460" w:lineRule="exact"/>
              <w:jc w:val="left"/>
              <w:rPr>
                <w:rFonts w:hint="eastAsia" w:ascii="新宋体" w:hAnsi="新宋体" w:eastAsia="新宋体" w:cs="新宋体"/>
                <w:b/>
                <w:snapToGrid w:val="0"/>
                <w:color w:val="auto"/>
                <w:kern w:val="0"/>
                <w:sz w:val="22"/>
                <w:szCs w:val="22"/>
                <w:highlight w:val="none"/>
                <w:lang w:bidi="ar-SA"/>
              </w:rPr>
            </w:pPr>
            <w:r>
              <w:rPr>
                <w:rFonts w:hint="eastAsia" w:ascii="新宋体" w:hAnsi="新宋体" w:eastAsia="新宋体" w:cs="新宋体"/>
                <w:color w:val="auto"/>
                <w:sz w:val="22"/>
                <w:szCs w:val="22"/>
                <w:highlight w:val="none"/>
                <w:lang w:bidi="ar-SA"/>
              </w:rPr>
              <w:t>投标人</w:t>
            </w:r>
            <w:r>
              <w:rPr>
                <w:rFonts w:hint="eastAsia" w:ascii="新宋体" w:hAnsi="新宋体" w:eastAsia="新宋体" w:cs="新宋体"/>
                <w:color w:val="auto"/>
                <w:sz w:val="22"/>
                <w:szCs w:val="22"/>
                <w:highlight w:val="none"/>
                <w:lang w:val="en-US" w:eastAsia="zh-CN" w:bidi="ar-SA"/>
              </w:rPr>
              <w:t>2021</w:t>
            </w:r>
            <w:r>
              <w:rPr>
                <w:rFonts w:hint="eastAsia" w:ascii="新宋体" w:hAnsi="新宋体" w:eastAsia="新宋体" w:cs="新宋体"/>
                <w:color w:val="auto"/>
                <w:sz w:val="22"/>
                <w:szCs w:val="22"/>
                <w:highlight w:val="none"/>
                <w:lang w:bidi="ar-SA"/>
              </w:rPr>
              <w:t>年1月1日至今</w:t>
            </w:r>
            <w:r>
              <w:rPr>
                <w:rFonts w:hint="eastAsia" w:ascii="新宋体" w:hAnsi="新宋体" w:eastAsia="新宋体" w:cs="新宋体"/>
                <w:color w:val="auto"/>
                <w:sz w:val="22"/>
                <w:szCs w:val="22"/>
                <w:highlight w:val="none"/>
                <w:lang w:val="en-US" w:eastAsia="zh-CN" w:bidi="ar-SA"/>
              </w:rPr>
              <w:t>同类型</w:t>
            </w:r>
            <w:r>
              <w:rPr>
                <w:rFonts w:hint="eastAsia" w:ascii="新宋体" w:hAnsi="新宋体" w:eastAsia="新宋体" w:cs="新宋体"/>
                <w:color w:val="auto"/>
                <w:sz w:val="22"/>
                <w:szCs w:val="22"/>
                <w:highlight w:val="none"/>
                <w:lang w:bidi="ar-SA"/>
              </w:rPr>
              <w:t>项目</w:t>
            </w:r>
            <w:r>
              <w:rPr>
                <w:rFonts w:hint="eastAsia" w:ascii="新宋体" w:hAnsi="新宋体" w:eastAsia="新宋体" w:cs="新宋体"/>
                <w:b/>
                <w:snapToGrid w:val="0"/>
                <w:color w:val="auto"/>
                <w:kern w:val="0"/>
                <w:sz w:val="22"/>
                <w:szCs w:val="22"/>
                <w:highlight w:val="none"/>
                <w:lang w:bidi="ar-SA"/>
              </w:rPr>
              <w:t>服务业绩</w:t>
            </w:r>
            <w:r>
              <w:rPr>
                <w:rFonts w:hint="eastAsia" w:ascii="新宋体" w:hAnsi="新宋体" w:eastAsia="新宋体" w:cs="新宋体"/>
                <w:b/>
                <w:snapToGrid w:val="0"/>
                <w:color w:val="auto"/>
                <w:kern w:val="0"/>
                <w:sz w:val="22"/>
                <w:szCs w:val="22"/>
                <w:highlight w:val="none"/>
                <w:lang w:eastAsia="zh-CN" w:bidi="ar-SA"/>
              </w:rPr>
              <w:t>，</w:t>
            </w:r>
            <w:r>
              <w:rPr>
                <w:rFonts w:hint="eastAsia" w:ascii="新宋体" w:hAnsi="新宋体" w:eastAsia="新宋体" w:cs="新宋体"/>
                <w:snapToGrid w:val="0"/>
                <w:color w:val="auto"/>
                <w:kern w:val="0"/>
                <w:sz w:val="22"/>
                <w:szCs w:val="22"/>
                <w:highlight w:val="none"/>
                <w:lang w:bidi="ar-SA"/>
              </w:rPr>
              <w:t>每提供一个有效服务业绩得</w:t>
            </w:r>
            <w:r>
              <w:rPr>
                <w:rFonts w:hint="eastAsia" w:ascii="新宋体" w:hAnsi="新宋体" w:eastAsia="新宋体" w:cs="新宋体"/>
                <w:snapToGrid w:val="0"/>
                <w:color w:val="auto"/>
                <w:kern w:val="0"/>
                <w:sz w:val="22"/>
                <w:szCs w:val="22"/>
                <w:highlight w:val="none"/>
                <w:lang w:val="en-US" w:eastAsia="zh-CN" w:bidi="ar-SA"/>
              </w:rPr>
              <w:t>0.5</w:t>
            </w:r>
            <w:r>
              <w:rPr>
                <w:rFonts w:hint="eastAsia" w:ascii="新宋体" w:hAnsi="新宋体" w:eastAsia="新宋体" w:cs="新宋体"/>
                <w:snapToGrid w:val="0"/>
                <w:color w:val="auto"/>
                <w:kern w:val="0"/>
                <w:sz w:val="22"/>
                <w:szCs w:val="22"/>
                <w:highlight w:val="none"/>
                <w:lang w:bidi="ar-SA"/>
              </w:rPr>
              <w:t>分，最高得</w:t>
            </w:r>
            <w:r>
              <w:rPr>
                <w:rFonts w:hint="eastAsia" w:ascii="新宋体" w:hAnsi="新宋体" w:eastAsia="新宋体" w:cs="新宋体"/>
                <w:snapToGrid w:val="0"/>
                <w:color w:val="auto"/>
                <w:kern w:val="0"/>
                <w:sz w:val="22"/>
                <w:szCs w:val="22"/>
                <w:highlight w:val="none"/>
                <w:lang w:val="en-US" w:eastAsia="zh-CN" w:bidi="ar-SA"/>
              </w:rPr>
              <w:t>1.5</w:t>
            </w:r>
            <w:r>
              <w:rPr>
                <w:rFonts w:hint="eastAsia" w:ascii="新宋体" w:hAnsi="新宋体" w:eastAsia="新宋体" w:cs="新宋体"/>
                <w:snapToGrid w:val="0"/>
                <w:color w:val="auto"/>
                <w:kern w:val="0"/>
                <w:sz w:val="22"/>
                <w:szCs w:val="22"/>
                <w:highlight w:val="none"/>
                <w:lang w:bidi="ar-SA"/>
              </w:rPr>
              <w:t>分。</w:t>
            </w:r>
            <w:r>
              <w:rPr>
                <w:rFonts w:hint="eastAsia" w:ascii="新宋体" w:hAnsi="新宋体" w:eastAsia="新宋体" w:cs="新宋体"/>
                <w:b/>
                <w:snapToGrid w:val="0"/>
                <w:color w:val="auto"/>
                <w:kern w:val="0"/>
                <w:sz w:val="22"/>
                <w:szCs w:val="22"/>
                <w:highlight w:val="none"/>
                <w:lang w:bidi="ar-SA"/>
              </w:rPr>
              <w:t>须提供</w:t>
            </w:r>
            <w:r>
              <w:rPr>
                <w:rFonts w:hint="eastAsia" w:ascii="新宋体" w:hAnsi="新宋体" w:eastAsia="新宋体" w:cs="新宋体"/>
                <w:b/>
                <w:snapToGrid w:val="0"/>
                <w:color w:val="auto"/>
                <w:kern w:val="0"/>
                <w:sz w:val="22"/>
                <w:szCs w:val="22"/>
                <w:highlight w:val="none"/>
                <w:lang w:val="en-US" w:eastAsia="zh-CN" w:bidi="ar-SA"/>
              </w:rPr>
              <w:t>清晰的</w:t>
            </w:r>
            <w:r>
              <w:rPr>
                <w:rFonts w:hint="eastAsia" w:ascii="新宋体" w:hAnsi="新宋体" w:eastAsia="新宋体" w:cs="新宋体"/>
                <w:b/>
                <w:snapToGrid w:val="0"/>
                <w:color w:val="auto"/>
                <w:kern w:val="0"/>
                <w:sz w:val="22"/>
                <w:szCs w:val="22"/>
                <w:highlight w:val="none"/>
                <w:lang w:bidi="ar-SA"/>
              </w:rPr>
              <w:t>证明文件</w:t>
            </w:r>
            <w:r>
              <w:rPr>
                <w:rFonts w:hint="eastAsia" w:ascii="新宋体" w:hAnsi="新宋体" w:eastAsia="新宋体" w:cs="新宋体"/>
                <w:b/>
                <w:snapToGrid w:val="0"/>
                <w:color w:val="auto"/>
                <w:kern w:val="0"/>
                <w:sz w:val="22"/>
                <w:szCs w:val="22"/>
                <w:highlight w:val="none"/>
                <w:lang w:val="en-US" w:eastAsia="zh-CN" w:bidi="ar-SA"/>
              </w:rPr>
              <w:t>并加盖投标供应商公章</w:t>
            </w:r>
            <w:r>
              <w:rPr>
                <w:rFonts w:hint="eastAsia" w:ascii="新宋体" w:hAnsi="新宋体" w:eastAsia="新宋体" w:cs="新宋体"/>
                <w:b/>
                <w:snapToGrid w:val="0"/>
                <w:color w:val="auto"/>
                <w:kern w:val="0"/>
                <w:sz w:val="22"/>
                <w:szCs w:val="22"/>
                <w:highlight w:val="none"/>
                <w:lang w:bidi="ar-SA"/>
              </w:rPr>
              <w:t>，证明文件以合同文本为准。</w:t>
            </w:r>
          </w:p>
        </w:tc>
      </w:tr>
    </w:tbl>
    <w:p w14:paraId="69FB0FAE">
      <w:pPr>
        <w:adjustRightInd w:val="0"/>
        <w:snapToGrid w:val="0"/>
        <w:spacing w:before="100" w:after="50" w:line="460" w:lineRule="atLeast"/>
        <w:ind w:left="420"/>
        <w:rPr>
          <w:rFonts w:ascii="宋体" w:hAnsi="宋体"/>
          <w:color w:val="auto"/>
          <w:sz w:val="22"/>
          <w:szCs w:val="22"/>
          <w:highlight w:val="none"/>
        </w:rPr>
      </w:pPr>
      <w:r>
        <w:rPr>
          <w:rFonts w:hint="eastAsia" w:ascii="宋体" w:hAnsi="宋体"/>
          <w:color w:val="auto"/>
          <w:sz w:val="22"/>
          <w:szCs w:val="22"/>
          <w:highlight w:val="none"/>
        </w:rPr>
        <w:t>三）、说明</w:t>
      </w:r>
    </w:p>
    <w:p w14:paraId="1D162D32">
      <w:pPr>
        <w:adjustRightInd w:val="0"/>
        <w:snapToGrid w:val="0"/>
        <w:spacing w:before="100" w:after="50" w:line="440" w:lineRule="atLeast"/>
        <w:ind w:firstLine="431" w:firstLineChars="196"/>
        <w:rPr>
          <w:rFonts w:ascii="宋体" w:hAnsi="宋体" w:cs="Arial"/>
          <w:color w:val="auto"/>
          <w:sz w:val="22"/>
          <w:szCs w:val="22"/>
          <w:highlight w:val="none"/>
        </w:rPr>
      </w:pPr>
      <w:r>
        <w:rPr>
          <w:rFonts w:hint="eastAsia" w:ascii="宋体" w:hAnsi="宋体" w:cs="Arial"/>
          <w:color w:val="auto"/>
          <w:sz w:val="22"/>
          <w:szCs w:val="22"/>
          <w:highlight w:val="none"/>
        </w:rPr>
        <w:t>1、每个供应商的综合得分=商务技术得分（所有磋商小组成员打分的算术平均值）＋报价得分。</w:t>
      </w:r>
    </w:p>
    <w:p w14:paraId="3C4FFBBA">
      <w:pPr>
        <w:adjustRightInd w:val="0"/>
        <w:snapToGrid w:val="0"/>
        <w:spacing w:before="100" w:after="50" w:line="440" w:lineRule="atLeast"/>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2、磋商小组推荐综合得分最高的供应商为成交供应商（如果得分相同则按最终磋商报价从低到高顺序依次推荐为中标候选供应商；如果综合得分相同最终磋商报价也相同，则抽签决定），并编写评审报告。</w:t>
      </w:r>
    </w:p>
    <w:p w14:paraId="04FEB728">
      <w:pPr>
        <w:adjustRightInd w:val="0"/>
        <w:snapToGrid w:val="0"/>
        <w:spacing w:before="100" w:after="50" w:line="440" w:lineRule="atLeast"/>
        <w:ind w:firstLine="420"/>
        <w:rPr>
          <w:rFonts w:ascii="宋体" w:hAnsi="宋体" w:cs="Arial"/>
          <w:color w:val="auto"/>
          <w:sz w:val="22"/>
          <w:szCs w:val="22"/>
          <w:highlight w:val="none"/>
        </w:rPr>
      </w:pPr>
      <w:r>
        <w:rPr>
          <w:rFonts w:hint="eastAsia" w:ascii="宋体" w:hAnsi="宋体" w:cs="Arial"/>
          <w:color w:val="auto"/>
          <w:sz w:val="22"/>
          <w:szCs w:val="22"/>
          <w:highlight w:val="none"/>
        </w:rPr>
        <w:t>3、所有分值计算保留小数点后二位，小数点后第三位起四舍五入。</w:t>
      </w:r>
    </w:p>
    <w:p w14:paraId="13F62D11">
      <w:pPr>
        <w:adjustRightInd w:val="0"/>
        <w:snapToGrid w:val="0"/>
        <w:spacing w:before="100" w:after="50" w:line="440" w:lineRule="atLeast"/>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 xml:space="preserve">其它参见本磋商文件第三部分：“供应商须知” 中的相关内容，未尽事宜按有关法律规定处理。 </w:t>
      </w:r>
    </w:p>
    <w:sectPr>
      <w:footerReference r:id="rId11" w:type="first"/>
      <w:headerReference r:id="rId8" w:type="default"/>
      <w:footerReference r:id="rId9" w:type="default"/>
      <w:footerReference r:id="rId10" w:type="even"/>
      <w:pgSz w:w="11907" w:h="16840"/>
      <w:pgMar w:top="1440" w:right="1134" w:bottom="1440"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FKai-SB">
    <w:altName w:val="Microsoft JhengHei Light"/>
    <w:panose1 w:val="00000000000000000000"/>
    <w:charset w:val="88"/>
    <w:family w:val="script"/>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长城仿宋">
    <w:altName w:val="宋体"/>
    <w:panose1 w:val="00000000000000000000"/>
    <w:charset w:val="86"/>
    <w:family w:val="modern"/>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CS?o｡ﾀ?">
    <w:altName w:val="Yu Gothic"/>
    <w:panose1 w:val="00000000000000000000"/>
    <w:charset w:val="80"/>
    <w:family w:val="modern"/>
    <w:pitch w:val="default"/>
    <w:sig w:usb0="00000000" w:usb1="00000000" w:usb2="00000010" w:usb3="00000000" w:csb0="00020000" w:csb1="00000000"/>
  </w:font>
  <w:font w:name="微软雅黑">
    <w:panose1 w:val="020B0503020204020204"/>
    <w:charset w:val="86"/>
    <w:family w:val="swiss"/>
    <w:pitch w:val="default"/>
    <w:sig w:usb0="80000287" w:usb1="2ACF3C50" w:usb2="00000016" w:usb3="00000000" w:csb0="0004001F" w:csb1="00000000"/>
  </w:font>
  <w:font w:name="ƨ">
    <w:altName w:val="Times New Roman"/>
    <w:panose1 w:val="00000000000000000000"/>
    <w:charset w:val="00"/>
    <w:family w:val="roman"/>
    <w:pitch w:val="default"/>
    <w:sig w:usb0="00000000" w:usb1="00000000" w:usb2="00000000" w:usb3="00000000" w:csb0="00040001" w:csb1="00000000"/>
  </w:font>
  <w:font w:name="Baskerville">
    <w:altName w:val="Segoe Print"/>
    <w:panose1 w:val="00000000000000000000"/>
    <w:charset w:val="00"/>
    <w:family w:val="roman"/>
    <w:pitch w:val="default"/>
    <w:sig w:usb0="00000000" w:usb1="00000000" w:usb2="00000000" w:usb3="00000000" w:csb0="0000019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Helvetica">
    <w:panose1 w:val="020B0504020202030204"/>
    <w:charset w:val="00"/>
    <w:family w:val="swiss"/>
    <w:pitch w:val="default"/>
    <w:sig w:usb0="00000007" w:usb1="00000000" w:usb2="00000000" w:usb3="00000000" w:csb0="00000093" w:csb1="00000000"/>
  </w:font>
  <w:font w:name="宋体,Verdana,Arial">
    <w:altName w:val="宋体"/>
    <w:panose1 w:val="00000000000000000000"/>
    <w:charset w:val="86"/>
    <w:family w:val="roma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ˎ̥">
    <w:altName w:val="Times New Roman"/>
    <w:panose1 w:val="00000000000000000000"/>
    <w:charset w:val="00"/>
    <w:family w:val="roman"/>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全真楷書">
    <w:altName w:val="宋体"/>
    <w:panose1 w:val="00000000000000000000"/>
    <w:charset w:val="86"/>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Calibri Light">
    <w:panose1 w:val="020F0302020204030204"/>
    <w:charset w:val="00"/>
    <w:family w:val="swiss"/>
    <w:pitch w:val="default"/>
    <w:sig w:usb0="E4002EFF" w:usb1="C200247B" w:usb2="00000009" w:usb3="00000000" w:csb0="200001FF" w:csb1="00000000"/>
  </w:font>
  <w:font w:name="TimesNewRomanPSMT">
    <w:altName w:val="等线"/>
    <w:panose1 w:val="00000000000000000000"/>
    <w:charset w:val="86"/>
    <w:family w:val="auto"/>
    <w:pitch w:val="default"/>
    <w:sig w:usb0="00000000" w:usb1="00000000" w:usb2="00000010" w:usb3="00000000" w:csb0="00040001" w:csb1="00000000"/>
  </w:font>
  <w:font w:name="Microsoft YaHei UI">
    <w:panose1 w:val="020B0503020204020204"/>
    <w:charset w:val="86"/>
    <w:family w:val="swiss"/>
    <w:pitch w:val="default"/>
    <w:sig w:usb0="80000287" w:usb1="2ACF3C50" w:usb2="00000016" w:usb3="00000000" w:csb0="0004001F" w:csb1="00000000"/>
  </w:font>
  <w:font w:name="Swis721 Cn BT">
    <w:altName w:val="Segoe Print"/>
    <w:panose1 w:val="00000000000000000000"/>
    <w:charset w:val="00"/>
    <w:family w:val="swiss"/>
    <w:pitch w:val="default"/>
    <w:sig w:usb0="00000000" w:usb1="00000000" w:usb2="00000000" w:usb3="00000000" w:csb0="0000001B" w:csb1="00000000"/>
  </w:font>
  <w:font w:name="幼圆">
    <w:panose1 w:val="02010509060101010101"/>
    <w:charset w:val="86"/>
    <w:family w:val="modern"/>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MS Mincho">
    <w:altName w:val="Yu Gothic UI"/>
    <w:panose1 w:val="02020609040205080304"/>
    <w:charset w:val="80"/>
    <w:family w:val="modern"/>
    <w:pitch w:val="default"/>
    <w:sig w:usb0="00000000" w:usb1="00000000"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A83F7">
    <w:pPr>
      <w:pStyle w:val="41"/>
      <w:framePr w:wrap="around" w:vAnchor="text" w:hAnchor="margin" w:xAlign="center" w:y="1"/>
      <w:rPr>
        <w:rStyle w:val="70"/>
      </w:rPr>
    </w:pPr>
    <w:r>
      <w:fldChar w:fldCharType="begin"/>
    </w:r>
    <w:r>
      <w:rPr>
        <w:rStyle w:val="70"/>
      </w:rPr>
      <w:instrText xml:space="preserve">PAGE  </w:instrText>
    </w:r>
    <w:r>
      <w:fldChar w:fldCharType="separate"/>
    </w:r>
    <w:r>
      <w:rPr>
        <w:rStyle w:val="70"/>
      </w:rPr>
      <w:t>15</w:t>
    </w:r>
    <w:r>
      <w:fldChar w:fldCharType="end"/>
    </w:r>
  </w:p>
  <w:p w14:paraId="0916FDE2">
    <w:pPr>
      <w:pStyle w:val="41"/>
      <w:jc w:val="both"/>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9525" t="12065" r="9525" b="6985"/>
              <wp:wrapNone/>
              <wp:docPr id="1722934015" name="直线 1"/>
              <wp:cNvGraphicFramePr/>
              <a:graphic xmlns:a="http://schemas.openxmlformats.org/drawingml/2006/main">
                <a:graphicData uri="http://schemas.microsoft.com/office/word/2010/wordprocessingShape">
                  <wps:wsp>
                    <wps:cNvCnPr>
                      <a:cxnSpLocks noChangeShapeType="1"/>
                    </wps:cNvCnPr>
                    <wps:spPr bwMode="auto">
                      <a:xfrm flipH="1">
                        <a:off x="0" y="0"/>
                        <a:ext cx="5934075" cy="0"/>
                      </a:xfrm>
                      <a:prstGeom prst="line">
                        <a:avLst/>
                      </a:prstGeom>
                      <a:noFill/>
                      <a:ln w="9525">
                        <a:solidFill>
                          <a:srgbClr val="000000"/>
                        </a:solidFill>
                        <a:round/>
                      </a:ln>
                    </wps:spPr>
                    <wps:bodyPr/>
                  </wps:wsp>
                </a:graphicData>
              </a:graphic>
            </wp:anchor>
          </w:drawing>
        </mc:Choice>
        <mc:Fallback>
          <w:pict>
            <v:line id="直线 1"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eYc1PVAAAACAEA&#10;AA8AAAAAAAAAAQAgAAAAIgAAAGRycy9kb3ducmV2LnhtbFBLAQIUABQAAAAIAIdO4kAKZ3QX5AEA&#10;ALQDAAAOAAAAAAAAAAEAIAAAACQBAABkcnMvZTJvRG9jLnhtbFBLBQYAAAAABgAGAFkBAAB6BQAA&#10;AAA=&#10;">
              <v:fill on="f" focussize="0,0"/>
              <v:stroke color="#000000" joinstyle="round"/>
              <v:imagedata o:title=""/>
              <o:lock v:ext="edit" aspectratio="f"/>
            </v:lin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D3FD7">
    <w:pPr>
      <w:pStyle w:val="41"/>
      <w:framePr w:wrap="around" w:vAnchor="text" w:hAnchor="margin" w:xAlign="center" w:y="1"/>
      <w:rPr>
        <w:rStyle w:val="70"/>
      </w:rPr>
    </w:pPr>
    <w:r>
      <w:fldChar w:fldCharType="begin"/>
    </w:r>
    <w:r>
      <w:rPr>
        <w:rStyle w:val="70"/>
      </w:rPr>
      <w:instrText xml:space="preserve">PAGE  </w:instrText>
    </w:r>
    <w:r>
      <w:fldChar w:fldCharType="end"/>
    </w:r>
  </w:p>
  <w:p w14:paraId="5D956E54">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FA844">
    <w:pPr>
      <w:pStyle w:val="41"/>
      <w:jc w:val="right"/>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7AD59">
    <w:pPr>
      <w:pStyle w:val="41"/>
      <w:framePr w:wrap="around" w:vAnchor="text" w:hAnchor="margin" w:xAlign="center" w:y="1"/>
      <w:rPr>
        <w:rStyle w:val="70"/>
        <w:rFonts w:ascii="宋体" w:hAnsi="宋体"/>
      </w:rPr>
    </w:pPr>
    <w:r>
      <w:rPr>
        <w:rFonts w:ascii="宋体" w:hAnsi="宋体"/>
      </w:rPr>
      <w:fldChar w:fldCharType="begin"/>
    </w:r>
    <w:r>
      <w:rPr>
        <w:rStyle w:val="70"/>
        <w:rFonts w:ascii="宋体" w:hAnsi="宋体"/>
      </w:rPr>
      <w:instrText xml:space="preserve">PAGE  </w:instrText>
    </w:r>
    <w:r>
      <w:rPr>
        <w:rFonts w:ascii="宋体" w:hAnsi="宋体"/>
      </w:rPr>
      <w:fldChar w:fldCharType="separate"/>
    </w:r>
    <w:r>
      <w:rPr>
        <w:rStyle w:val="70"/>
        <w:rFonts w:ascii="宋体" w:hAnsi="宋体"/>
      </w:rPr>
      <w:t>56</w:t>
    </w:r>
    <w:r>
      <w:rPr>
        <w:rFonts w:ascii="宋体" w:hAnsi="宋体"/>
      </w:rPr>
      <w:fldChar w:fldCharType="end"/>
    </w:r>
  </w:p>
  <w:p w14:paraId="3964657A">
    <w:pPr>
      <w:pStyle w:val="41"/>
      <w:ind w:firstLine="7200" w:firstLineChars="4000"/>
      <w:jc w:val="both"/>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-3175</wp:posOffset>
              </wp:positionV>
              <wp:extent cx="5934075" cy="0"/>
              <wp:effectExtent l="9525" t="6350" r="9525" b="12700"/>
              <wp:wrapNone/>
              <wp:docPr id="2072413806" name="直线 2"/>
              <wp:cNvGraphicFramePr/>
              <a:graphic xmlns:a="http://schemas.openxmlformats.org/drawingml/2006/main">
                <a:graphicData uri="http://schemas.microsoft.com/office/word/2010/wordprocessingShape">
                  <wps:wsp>
                    <wps:cNvCnPr>
                      <a:cxnSpLocks noChangeShapeType="1"/>
                    </wps:cNvCnPr>
                    <wps:spPr bwMode="auto">
                      <a:xfrm flipH="1">
                        <a:off x="0" y="0"/>
                        <a:ext cx="5934075" cy="0"/>
                      </a:xfrm>
                      <a:prstGeom prst="line">
                        <a:avLst/>
                      </a:prstGeom>
                      <a:noFill/>
                      <a:ln w="9525">
                        <a:solidFill>
                          <a:srgbClr val="000000"/>
                        </a:solidFill>
                        <a:round/>
                      </a:ln>
                    </wps:spPr>
                    <wps:bodyPr/>
                  </wps:wsp>
                </a:graphicData>
              </a:graphic>
            </wp:anchor>
          </w:drawing>
        </mc:Choice>
        <mc:Fallback>
          <w:pict>
            <v:line id="直线 2" o:spid="_x0000_s1026" o:spt="20" style="position:absolute;left:0pt;flip:x;margin-left:0pt;margin-top:-0.25pt;height:0pt;width:467.25pt;z-index:251660288;mso-width-relative:page;mso-height-relative:page;" filled="f" stroked="t" coordsize="21600,21600" o:gfxdata="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Rll0wAAAAQB&#10;AAAPAAAAAAAAAAEAIAAAACIAAABkcnMvZG93bnJldi54bWxQSwECFAAUAAAACACHTuJAO74B1+cB&#10;AAC0AwAADgAAAAAAAAABACAAAAAiAQAAZHJzL2Uyb0RvYy54bWxQSwUGAAAAAAYABgBZAQAAewUA&#10;AAAA&#10;">
              <v:fill on="f" focussize="0,0"/>
              <v:stroke color="#000000" joinstyle="round"/>
              <v:imagedata o:title=""/>
              <o:lock v:ext="edit" aspectratio="f"/>
            </v:lin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C17DC">
    <w:pPr>
      <w:pStyle w:val="41"/>
      <w:framePr w:wrap="around" w:vAnchor="text" w:hAnchor="margin" w:xAlign="center" w:y="1"/>
      <w:rPr>
        <w:rStyle w:val="70"/>
      </w:rPr>
    </w:pPr>
    <w:r>
      <w:fldChar w:fldCharType="begin"/>
    </w:r>
    <w:r>
      <w:rPr>
        <w:rStyle w:val="70"/>
      </w:rPr>
      <w:instrText xml:space="preserve">PAGE  </w:instrText>
    </w:r>
    <w:r>
      <w:fldChar w:fldCharType="end"/>
    </w:r>
  </w:p>
  <w:p w14:paraId="0928F067">
    <w:pPr>
      <w:pStyle w:val="4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76586">
    <w:pPr>
      <w:pStyle w:val="41"/>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ADBA3">
    <w:pPr>
      <w:pStyle w:val="43"/>
    </w:pPr>
  </w:p>
  <w:p w14:paraId="03625152">
    <w:pPr>
      <w:pStyle w:val="43"/>
      <w:jc w:val="both"/>
      <w:rPr>
        <w:rFonts w:hint="eastAsia"/>
        <w:bCs/>
      </w:rPr>
    </w:pPr>
    <w:r>
      <w:rPr>
        <w:rFonts w:hint="eastAsia"/>
        <w:bCs/>
      </w:rPr>
      <w:t>杭州华旗招标代理有限公司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EE0B3">
    <w:pPr>
      <w:pStyle w:val="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4A3BB">
    <w:pPr>
      <w:pStyle w:val="43"/>
      <w:jc w:val="both"/>
      <w:rPr>
        <w:b/>
      </w:rPr>
    </w:pPr>
    <w:r>
      <w:rPr>
        <w:rFonts w:hint="eastAsia"/>
        <w:b/>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D93D8"/>
    <w:multiLevelType w:val="singleLevel"/>
    <w:tmpl w:val="8B9D93D8"/>
    <w:lvl w:ilvl="0" w:tentative="0">
      <w:start w:val="2"/>
      <w:numFmt w:val="chineseCounting"/>
      <w:suff w:val="space"/>
      <w:lvlText w:val="第%1部分"/>
      <w:lvlJc w:val="left"/>
      <w:rPr>
        <w:rFonts w:hint="eastAsia"/>
      </w:rPr>
    </w:lvl>
  </w:abstractNum>
  <w:abstractNum w:abstractNumId="1">
    <w:nsid w:val="8C77C4BF"/>
    <w:multiLevelType w:val="singleLevel"/>
    <w:tmpl w:val="8C77C4BF"/>
    <w:lvl w:ilvl="0" w:tentative="0">
      <w:start w:val="1"/>
      <w:numFmt w:val="decimal"/>
      <w:suff w:val="nothing"/>
      <w:lvlText w:val="%1、"/>
      <w:lvlJc w:val="left"/>
    </w:lvl>
  </w:abstractNum>
  <w:abstractNum w:abstractNumId="2">
    <w:nsid w:val="0000000E"/>
    <w:multiLevelType w:val="multilevel"/>
    <w:tmpl w:val="0000000E"/>
    <w:lvl w:ilvl="0" w:tentative="0">
      <w:start w:val="1"/>
      <w:numFmt w:val="none"/>
      <w:pStyle w:val="1050"/>
      <w:lvlText w:val="图"/>
      <w:lvlJc w:val="left"/>
      <w:pPr>
        <w:tabs>
          <w:tab w:val="left" w:pos="360"/>
        </w:tabs>
        <w:ind w:left="0" w:firstLine="0"/>
      </w:pPr>
      <w:rPr>
        <w:rFonts w:hint="eastAsia" w:ascii="黑体" w:eastAsia="黑体"/>
        <w:b w:val="0"/>
        <w:i w:val="0"/>
        <w:sz w:val="21"/>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2E"/>
    <w:multiLevelType w:val="multilevel"/>
    <w:tmpl w:val="0000002E"/>
    <w:lvl w:ilvl="0" w:tentative="0">
      <w:start w:val="1"/>
      <w:numFmt w:val="decimal"/>
      <w:lvlText w:val="2.%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pStyle w:val="1166"/>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
    <w:nsid w:val="55707AAA"/>
    <w:multiLevelType w:val="multilevel"/>
    <w:tmpl w:val="55707AAA"/>
    <w:lvl w:ilvl="0" w:tentative="0">
      <w:start w:val="1"/>
      <w:numFmt w:val="decimal"/>
      <w:pStyle w:val="1218"/>
      <w:lvlText w:val="图 %1"/>
      <w:lvlJc w:val="center"/>
      <w:pPr>
        <w:tabs>
          <w:tab w:val="left" w:pos="4507"/>
        </w:tabs>
        <w:ind w:left="4507" w:firstLine="11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93E2DB8"/>
    <w:multiLevelType w:val="singleLevel"/>
    <w:tmpl w:val="593E2DB8"/>
    <w:lvl w:ilvl="0" w:tentative="0">
      <w:start w:val="1"/>
      <w:numFmt w:val="decimal"/>
      <w:suff w:val="nothing"/>
      <w:lvlText w:val="%1、"/>
      <w:lvlJc w:val="left"/>
    </w:lvl>
  </w:abstractNum>
  <w:abstractNum w:abstractNumId="6">
    <w:nsid w:val="59421839"/>
    <w:multiLevelType w:val="singleLevel"/>
    <w:tmpl w:val="59421839"/>
    <w:lvl w:ilvl="0" w:tentative="0">
      <w:start w:val="1"/>
      <w:numFmt w:val="decimal"/>
      <w:suff w:val="nothing"/>
      <w:lvlText w:val="%1、"/>
      <w:lvlJc w:val="left"/>
    </w:lvl>
  </w:abstractNum>
  <w:abstractNum w:abstractNumId="7">
    <w:nsid w:val="605C72CC"/>
    <w:multiLevelType w:val="multilevel"/>
    <w:tmpl w:val="605C72CC"/>
    <w:lvl w:ilvl="0" w:tentative="0">
      <w:start w:val="1"/>
      <w:numFmt w:val="bullet"/>
      <w:pStyle w:val="1224"/>
      <w:lvlText w:val=""/>
      <w:lvlJc w:val="left"/>
      <w:pPr>
        <w:tabs>
          <w:tab w:val="left" w:pos="1117"/>
        </w:tabs>
        <w:ind w:left="1117" w:hanging="39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7C0229E0"/>
    <w:multiLevelType w:val="multilevel"/>
    <w:tmpl w:val="7C0229E0"/>
    <w:lvl w:ilvl="0" w:tentative="0">
      <w:start w:val="1"/>
      <w:numFmt w:val="decimal"/>
      <w:pStyle w:val="1217"/>
      <w:lvlText w:val="表%1 "/>
      <w:lvlJc w:val="left"/>
      <w:pPr>
        <w:tabs>
          <w:tab w:val="left" w:pos="0"/>
        </w:tabs>
        <w:ind w:left="0" w:firstLine="0"/>
      </w:pPr>
      <w:rPr>
        <w:rFonts w:hint="eastAsia"/>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8"/>
  </w:num>
  <w:num w:numId="4">
    <w:abstractNumId w:val="4"/>
  </w:num>
  <w:num w:numId="5">
    <w:abstractNumId w:val="7"/>
  </w:num>
  <w:num w:numId="6">
    <w:abstractNumId w:val="0"/>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0NLM0MrIwMzGxMDdR0lEKTi0uzszPAykwqgUAt28N4CwAAAA="/>
    <w:docVar w:name="commondata" w:val="eyJoZGlkIjoiNDI3OGE0ZjJhOWY2NTM5MzlmMTJmNWI1NmIzYjA2MmQifQ=="/>
  </w:docVars>
  <w:rsids>
    <w:rsidRoot w:val="000C44DD"/>
    <w:rsid w:val="000002D7"/>
    <w:rsid w:val="000003B1"/>
    <w:rsid w:val="0000134D"/>
    <w:rsid w:val="00001402"/>
    <w:rsid w:val="00002FE4"/>
    <w:rsid w:val="000030C2"/>
    <w:rsid w:val="0000389E"/>
    <w:rsid w:val="0000441B"/>
    <w:rsid w:val="00004B15"/>
    <w:rsid w:val="000051FA"/>
    <w:rsid w:val="0000754C"/>
    <w:rsid w:val="00010A6E"/>
    <w:rsid w:val="00010D50"/>
    <w:rsid w:val="0001273A"/>
    <w:rsid w:val="00013CA4"/>
    <w:rsid w:val="00013D4A"/>
    <w:rsid w:val="00014105"/>
    <w:rsid w:val="000142CB"/>
    <w:rsid w:val="000157E5"/>
    <w:rsid w:val="00015BAC"/>
    <w:rsid w:val="000161B6"/>
    <w:rsid w:val="00016639"/>
    <w:rsid w:val="00016881"/>
    <w:rsid w:val="00016EC5"/>
    <w:rsid w:val="00016FCC"/>
    <w:rsid w:val="000221C8"/>
    <w:rsid w:val="000242C5"/>
    <w:rsid w:val="00024BDC"/>
    <w:rsid w:val="00025C73"/>
    <w:rsid w:val="00026129"/>
    <w:rsid w:val="00026E26"/>
    <w:rsid w:val="0003010B"/>
    <w:rsid w:val="00031282"/>
    <w:rsid w:val="00032214"/>
    <w:rsid w:val="000345CC"/>
    <w:rsid w:val="000362E9"/>
    <w:rsid w:val="0003663D"/>
    <w:rsid w:val="000367D8"/>
    <w:rsid w:val="000374D7"/>
    <w:rsid w:val="00037BB6"/>
    <w:rsid w:val="00040A56"/>
    <w:rsid w:val="00040CC1"/>
    <w:rsid w:val="0004254A"/>
    <w:rsid w:val="00042799"/>
    <w:rsid w:val="000429C8"/>
    <w:rsid w:val="00042EF3"/>
    <w:rsid w:val="00043801"/>
    <w:rsid w:val="00043EC9"/>
    <w:rsid w:val="00043F7F"/>
    <w:rsid w:val="0004566A"/>
    <w:rsid w:val="0004595C"/>
    <w:rsid w:val="00045C68"/>
    <w:rsid w:val="00046F00"/>
    <w:rsid w:val="00051E33"/>
    <w:rsid w:val="00051FBE"/>
    <w:rsid w:val="00052F6C"/>
    <w:rsid w:val="00053166"/>
    <w:rsid w:val="000541CD"/>
    <w:rsid w:val="000542BF"/>
    <w:rsid w:val="0005680C"/>
    <w:rsid w:val="000572D7"/>
    <w:rsid w:val="000579AE"/>
    <w:rsid w:val="0006121B"/>
    <w:rsid w:val="00061393"/>
    <w:rsid w:val="00061FD8"/>
    <w:rsid w:val="00062327"/>
    <w:rsid w:val="00062415"/>
    <w:rsid w:val="0006285A"/>
    <w:rsid w:val="00062D94"/>
    <w:rsid w:val="00062E44"/>
    <w:rsid w:val="0006379E"/>
    <w:rsid w:val="00065ABA"/>
    <w:rsid w:val="00065DBA"/>
    <w:rsid w:val="00067869"/>
    <w:rsid w:val="0007058B"/>
    <w:rsid w:val="00071460"/>
    <w:rsid w:val="00071C1E"/>
    <w:rsid w:val="0007286B"/>
    <w:rsid w:val="0007340C"/>
    <w:rsid w:val="000735C8"/>
    <w:rsid w:val="0007449C"/>
    <w:rsid w:val="0007707C"/>
    <w:rsid w:val="00080110"/>
    <w:rsid w:val="0008142C"/>
    <w:rsid w:val="00081B79"/>
    <w:rsid w:val="00083354"/>
    <w:rsid w:val="0008382C"/>
    <w:rsid w:val="00083B57"/>
    <w:rsid w:val="00086A41"/>
    <w:rsid w:val="000877E6"/>
    <w:rsid w:val="0009013E"/>
    <w:rsid w:val="00090FDB"/>
    <w:rsid w:val="00092DA2"/>
    <w:rsid w:val="000944EA"/>
    <w:rsid w:val="00094C03"/>
    <w:rsid w:val="00096269"/>
    <w:rsid w:val="000A03CB"/>
    <w:rsid w:val="000A12B6"/>
    <w:rsid w:val="000A1F60"/>
    <w:rsid w:val="000A42A9"/>
    <w:rsid w:val="000A4CCC"/>
    <w:rsid w:val="000A5AD9"/>
    <w:rsid w:val="000A5C1D"/>
    <w:rsid w:val="000A69DC"/>
    <w:rsid w:val="000A6D17"/>
    <w:rsid w:val="000A7286"/>
    <w:rsid w:val="000B0270"/>
    <w:rsid w:val="000B02DD"/>
    <w:rsid w:val="000B1650"/>
    <w:rsid w:val="000B3FB5"/>
    <w:rsid w:val="000B47F5"/>
    <w:rsid w:val="000B524E"/>
    <w:rsid w:val="000B55C0"/>
    <w:rsid w:val="000B5F72"/>
    <w:rsid w:val="000C230E"/>
    <w:rsid w:val="000C299B"/>
    <w:rsid w:val="000C3393"/>
    <w:rsid w:val="000C3F56"/>
    <w:rsid w:val="000C44DD"/>
    <w:rsid w:val="000C55A9"/>
    <w:rsid w:val="000C69DD"/>
    <w:rsid w:val="000D04A8"/>
    <w:rsid w:val="000D11E2"/>
    <w:rsid w:val="000D316E"/>
    <w:rsid w:val="000D3539"/>
    <w:rsid w:val="000D394D"/>
    <w:rsid w:val="000D4DDB"/>
    <w:rsid w:val="000D5A02"/>
    <w:rsid w:val="000D5BAF"/>
    <w:rsid w:val="000D5CA5"/>
    <w:rsid w:val="000D5DB7"/>
    <w:rsid w:val="000D5F2A"/>
    <w:rsid w:val="000D602A"/>
    <w:rsid w:val="000D6164"/>
    <w:rsid w:val="000D7339"/>
    <w:rsid w:val="000D7759"/>
    <w:rsid w:val="000E0768"/>
    <w:rsid w:val="000E22C0"/>
    <w:rsid w:val="000E232E"/>
    <w:rsid w:val="000E2E99"/>
    <w:rsid w:val="000E399C"/>
    <w:rsid w:val="000E4181"/>
    <w:rsid w:val="000E484B"/>
    <w:rsid w:val="000E542C"/>
    <w:rsid w:val="000E610D"/>
    <w:rsid w:val="000E7E20"/>
    <w:rsid w:val="000F0779"/>
    <w:rsid w:val="000F09B2"/>
    <w:rsid w:val="000F187E"/>
    <w:rsid w:val="000F249B"/>
    <w:rsid w:val="000F2546"/>
    <w:rsid w:val="000F2C48"/>
    <w:rsid w:val="000F780A"/>
    <w:rsid w:val="000F79BF"/>
    <w:rsid w:val="00100B91"/>
    <w:rsid w:val="001011F3"/>
    <w:rsid w:val="00101C9A"/>
    <w:rsid w:val="00101F79"/>
    <w:rsid w:val="0010419D"/>
    <w:rsid w:val="00104A29"/>
    <w:rsid w:val="001051EF"/>
    <w:rsid w:val="00107291"/>
    <w:rsid w:val="00107651"/>
    <w:rsid w:val="0010784D"/>
    <w:rsid w:val="001079C9"/>
    <w:rsid w:val="00110131"/>
    <w:rsid w:val="001110A3"/>
    <w:rsid w:val="00111205"/>
    <w:rsid w:val="0011190E"/>
    <w:rsid w:val="00112739"/>
    <w:rsid w:val="00112798"/>
    <w:rsid w:val="00112908"/>
    <w:rsid w:val="00112BE1"/>
    <w:rsid w:val="00112FC4"/>
    <w:rsid w:val="00113518"/>
    <w:rsid w:val="001145D2"/>
    <w:rsid w:val="00117297"/>
    <w:rsid w:val="00121D70"/>
    <w:rsid w:val="00124110"/>
    <w:rsid w:val="001244BB"/>
    <w:rsid w:val="00124650"/>
    <w:rsid w:val="00125270"/>
    <w:rsid w:val="00126ACF"/>
    <w:rsid w:val="001313B2"/>
    <w:rsid w:val="00132B10"/>
    <w:rsid w:val="001332D7"/>
    <w:rsid w:val="00133761"/>
    <w:rsid w:val="00136762"/>
    <w:rsid w:val="00137782"/>
    <w:rsid w:val="00140AFC"/>
    <w:rsid w:val="001412C6"/>
    <w:rsid w:val="001421D0"/>
    <w:rsid w:val="00143B1B"/>
    <w:rsid w:val="00143B51"/>
    <w:rsid w:val="0014459C"/>
    <w:rsid w:val="001448F7"/>
    <w:rsid w:val="00144B76"/>
    <w:rsid w:val="00145848"/>
    <w:rsid w:val="0014752A"/>
    <w:rsid w:val="00147E14"/>
    <w:rsid w:val="001540BE"/>
    <w:rsid w:val="00154590"/>
    <w:rsid w:val="00154982"/>
    <w:rsid w:val="00154E38"/>
    <w:rsid w:val="00155199"/>
    <w:rsid w:val="001554A4"/>
    <w:rsid w:val="0015683D"/>
    <w:rsid w:val="0015745C"/>
    <w:rsid w:val="00157BF6"/>
    <w:rsid w:val="00157E3D"/>
    <w:rsid w:val="00157F17"/>
    <w:rsid w:val="001617AB"/>
    <w:rsid w:val="00162380"/>
    <w:rsid w:val="001652BF"/>
    <w:rsid w:val="00165D54"/>
    <w:rsid w:val="001678BE"/>
    <w:rsid w:val="001708A7"/>
    <w:rsid w:val="001718BE"/>
    <w:rsid w:val="00172CC6"/>
    <w:rsid w:val="0017397B"/>
    <w:rsid w:val="00173BB6"/>
    <w:rsid w:val="00174A98"/>
    <w:rsid w:val="00174B6F"/>
    <w:rsid w:val="00175E8B"/>
    <w:rsid w:val="001764D0"/>
    <w:rsid w:val="00176802"/>
    <w:rsid w:val="00176B7F"/>
    <w:rsid w:val="00176C15"/>
    <w:rsid w:val="00176E0E"/>
    <w:rsid w:val="00177CB0"/>
    <w:rsid w:val="0018010F"/>
    <w:rsid w:val="00180341"/>
    <w:rsid w:val="001808C8"/>
    <w:rsid w:val="00181120"/>
    <w:rsid w:val="001812B2"/>
    <w:rsid w:val="00181816"/>
    <w:rsid w:val="00181BB3"/>
    <w:rsid w:val="00183575"/>
    <w:rsid w:val="00183E52"/>
    <w:rsid w:val="0018415F"/>
    <w:rsid w:val="00185DD9"/>
    <w:rsid w:val="00185DEA"/>
    <w:rsid w:val="00187D7A"/>
    <w:rsid w:val="00190A4A"/>
    <w:rsid w:val="00190DB4"/>
    <w:rsid w:val="00190E31"/>
    <w:rsid w:val="001919C1"/>
    <w:rsid w:val="0019366E"/>
    <w:rsid w:val="00193C48"/>
    <w:rsid w:val="001944B8"/>
    <w:rsid w:val="00196FFF"/>
    <w:rsid w:val="001979C1"/>
    <w:rsid w:val="001A0309"/>
    <w:rsid w:val="001A08A3"/>
    <w:rsid w:val="001A16A0"/>
    <w:rsid w:val="001A1CDB"/>
    <w:rsid w:val="001A2859"/>
    <w:rsid w:val="001A2C82"/>
    <w:rsid w:val="001A4F02"/>
    <w:rsid w:val="001A73A5"/>
    <w:rsid w:val="001B0D34"/>
    <w:rsid w:val="001B16D1"/>
    <w:rsid w:val="001B1B22"/>
    <w:rsid w:val="001B1ECF"/>
    <w:rsid w:val="001B2C14"/>
    <w:rsid w:val="001B6683"/>
    <w:rsid w:val="001C06A6"/>
    <w:rsid w:val="001C08C6"/>
    <w:rsid w:val="001C0914"/>
    <w:rsid w:val="001C0BCE"/>
    <w:rsid w:val="001C2952"/>
    <w:rsid w:val="001C3B22"/>
    <w:rsid w:val="001C4022"/>
    <w:rsid w:val="001C4038"/>
    <w:rsid w:val="001C518B"/>
    <w:rsid w:val="001C5AFC"/>
    <w:rsid w:val="001C6138"/>
    <w:rsid w:val="001C79C3"/>
    <w:rsid w:val="001D0C9B"/>
    <w:rsid w:val="001D2B81"/>
    <w:rsid w:val="001D31BD"/>
    <w:rsid w:val="001D4670"/>
    <w:rsid w:val="001D4855"/>
    <w:rsid w:val="001D4D54"/>
    <w:rsid w:val="001D5065"/>
    <w:rsid w:val="001D525D"/>
    <w:rsid w:val="001D621E"/>
    <w:rsid w:val="001D761F"/>
    <w:rsid w:val="001D7933"/>
    <w:rsid w:val="001E0748"/>
    <w:rsid w:val="001E0D0E"/>
    <w:rsid w:val="001E19A5"/>
    <w:rsid w:val="001E19F2"/>
    <w:rsid w:val="001E1CE1"/>
    <w:rsid w:val="001E3272"/>
    <w:rsid w:val="001E361D"/>
    <w:rsid w:val="001E4616"/>
    <w:rsid w:val="001E4986"/>
    <w:rsid w:val="001E4F01"/>
    <w:rsid w:val="001E63C7"/>
    <w:rsid w:val="001E72B4"/>
    <w:rsid w:val="001E7E03"/>
    <w:rsid w:val="001F1042"/>
    <w:rsid w:val="001F265E"/>
    <w:rsid w:val="001F26E5"/>
    <w:rsid w:val="001F5369"/>
    <w:rsid w:val="001F7898"/>
    <w:rsid w:val="002024E1"/>
    <w:rsid w:val="00202694"/>
    <w:rsid w:val="00203274"/>
    <w:rsid w:val="002041C1"/>
    <w:rsid w:val="00207721"/>
    <w:rsid w:val="00207DF8"/>
    <w:rsid w:val="00207E4A"/>
    <w:rsid w:val="002110CC"/>
    <w:rsid w:val="002110EB"/>
    <w:rsid w:val="00211727"/>
    <w:rsid w:val="00212823"/>
    <w:rsid w:val="00215EF8"/>
    <w:rsid w:val="00216239"/>
    <w:rsid w:val="002169E0"/>
    <w:rsid w:val="00217EAA"/>
    <w:rsid w:val="00220671"/>
    <w:rsid w:val="00221180"/>
    <w:rsid w:val="0022401F"/>
    <w:rsid w:val="00225B44"/>
    <w:rsid w:val="002260A0"/>
    <w:rsid w:val="0022691E"/>
    <w:rsid w:val="0022789E"/>
    <w:rsid w:val="002311ED"/>
    <w:rsid w:val="00231B8A"/>
    <w:rsid w:val="00231F97"/>
    <w:rsid w:val="00233E46"/>
    <w:rsid w:val="0023620B"/>
    <w:rsid w:val="00236F96"/>
    <w:rsid w:val="002374F2"/>
    <w:rsid w:val="00237B9B"/>
    <w:rsid w:val="00241EE2"/>
    <w:rsid w:val="0024313D"/>
    <w:rsid w:val="002460AD"/>
    <w:rsid w:val="00246832"/>
    <w:rsid w:val="00247308"/>
    <w:rsid w:val="002479AF"/>
    <w:rsid w:val="00252E5E"/>
    <w:rsid w:val="002533A2"/>
    <w:rsid w:val="002535A0"/>
    <w:rsid w:val="00256D49"/>
    <w:rsid w:val="00256FBE"/>
    <w:rsid w:val="002614CB"/>
    <w:rsid w:val="00264402"/>
    <w:rsid w:val="0026499D"/>
    <w:rsid w:val="002670F1"/>
    <w:rsid w:val="0026787D"/>
    <w:rsid w:val="00267BB1"/>
    <w:rsid w:val="00267D9B"/>
    <w:rsid w:val="00271D54"/>
    <w:rsid w:val="00273857"/>
    <w:rsid w:val="00274104"/>
    <w:rsid w:val="00274870"/>
    <w:rsid w:val="002751B8"/>
    <w:rsid w:val="00275848"/>
    <w:rsid w:val="002764E1"/>
    <w:rsid w:val="00276D72"/>
    <w:rsid w:val="00276FDF"/>
    <w:rsid w:val="002773CA"/>
    <w:rsid w:val="00277410"/>
    <w:rsid w:val="00280322"/>
    <w:rsid w:val="00280B77"/>
    <w:rsid w:val="00281576"/>
    <w:rsid w:val="00281A64"/>
    <w:rsid w:val="00282788"/>
    <w:rsid w:val="00282F1C"/>
    <w:rsid w:val="002903A6"/>
    <w:rsid w:val="00290572"/>
    <w:rsid w:val="002924E3"/>
    <w:rsid w:val="002931ED"/>
    <w:rsid w:val="00293CC6"/>
    <w:rsid w:val="002940AA"/>
    <w:rsid w:val="00295BA6"/>
    <w:rsid w:val="002A13F1"/>
    <w:rsid w:val="002A3966"/>
    <w:rsid w:val="002A3A1F"/>
    <w:rsid w:val="002A4C72"/>
    <w:rsid w:val="002A5BDB"/>
    <w:rsid w:val="002A5D53"/>
    <w:rsid w:val="002A5EE6"/>
    <w:rsid w:val="002A6BEA"/>
    <w:rsid w:val="002A746E"/>
    <w:rsid w:val="002A7862"/>
    <w:rsid w:val="002B0973"/>
    <w:rsid w:val="002B171F"/>
    <w:rsid w:val="002B18AA"/>
    <w:rsid w:val="002B1C27"/>
    <w:rsid w:val="002B1C28"/>
    <w:rsid w:val="002B1EB9"/>
    <w:rsid w:val="002B2776"/>
    <w:rsid w:val="002B3659"/>
    <w:rsid w:val="002B4552"/>
    <w:rsid w:val="002B6C5C"/>
    <w:rsid w:val="002C0ED2"/>
    <w:rsid w:val="002C12C8"/>
    <w:rsid w:val="002C1DB0"/>
    <w:rsid w:val="002C21EC"/>
    <w:rsid w:val="002C3551"/>
    <w:rsid w:val="002C374F"/>
    <w:rsid w:val="002C5466"/>
    <w:rsid w:val="002C5C6D"/>
    <w:rsid w:val="002C6156"/>
    <w:rsid w:val="002C670F"/>
    <w:rsid w:val="002C6761"/>
    <w:rsid w:val="002C779F"/>
    <w:rsid w:val="002D03CA"/>
    <w:rsid w:val="002D0DE6"/>
    <w:rsid w:val="002D0DF6"/>
    <w:rsid w:val="002D23F4"/>
    <w:rsid w:val="002D2479"/>
    <w:rsid w:val="002D24D4"/>
    <w:rsid w:val="002D2876"/>
    <w:rsid w:val="002D2EA7"/>
    <w:rsid w:val="002D3143"/>
    <w:rsid w:val="002D423B"/>
    <w:rsid w:val="002D4FDB"/>
    <w:rsid w:val="002D5327"/>
    <w:rsid w:val="002D58B3"/>
    <w:rsid w:val="002D6AFC"/>
    <w:rsid w:val="002E05D1"/>
    <w:rsid w:val="002E0E30"/>
    <w:rsid w:val="002E3394"/>
    <w:rsid w:val="002E4567"/>
    <w:rsid w:val="002E734C"/>
    <w:rsid w:val="002E76B4"/>
    <w:rsid w:val="002E7BD2"/>
    <w:rsid w:val="002E7BDC"/>
    <w:rsid w:val="002F1809"/>
    <w:rsid w:val="002F1942"/>
    <w:rsid w:val="002F2946"/>
    <w:rsid w:val="002F4E6E"/>
    <w:rsid w:val="002F5F29"/>
    <w:rsid w:val="002F619C"/>
    <w:rsid w:val="002F6453"/>
    <w:rsid w:val="002F68ED"/>
    <w:rsid w:val="002F7222"/>
    <w:rsid w:val="002F7EC0"/>
    <w:rsid w:val="0030030D"/>
    <w:rsid w:val="00303D46"/>
    <w:rsid w:val="0030423B"/>
    <w:rsid w:val="00304F83"/>
    <w:rsid w:val="003053C8"/>
    <w:rsid w:val="00305E41"/>
    <w:rsid w:val="00306AFB"/>
    <w:rsid w:val="003072D5"/>
    <w:rsid w:val="00307606"/>
    <w:rsid w:val="00307A2B"/>
    <w:rsid w:val="00310096"/>
    <w:rsid w:val="003114FE"/>
    <w:rsid w:val="00311CC1"/>
    <w:rsid w:val="00311E9A"/>
    <w:rsid w:val="00312093"/>
    <w:rsid w:val="00312B25"/>
    <w:rsid w:val="003130F3"/>
    <w:rsid w:val="0031311A"/>
    <w:rsid w:val="00314129"/>
    <w:rsid w:val="00314DB2"/>
    <w:rsid w:val="00314F04"/>
    <w:rsid w:val="00315D2D"/>
    <w:rsid w:val="00315E87"/>
    <w:rsid w:val="0031629E"/>
    <w:rsid w:val="0031714B"/>
    <w:rsid w:val="00317598"/>
    <w:rsid w:val="00317B48"/>
    <w:rsid w:val="00322943"/>
    <w:rsid w:val="003235BD"/>
    <w:rsid w:val="00323CF1"/>
    <w:rsid w:val="00323D3A"/>
    <w:rsid w:val="00324025"/>
    <w:rsid w:val="00324BE7"/>
    <w:rsid w:val="00330AD9"/>
    <w:rsid w:val="00332EEC"/>
    <w:rsid w:val="00333146"/>
    <w:rsid w:val="003333D5"/>
    <w:rsid w:val="0033394D"/>
    <w:rsid w:val="00333C9A"/>
    <w:rsid w:val="00335620"/>
    <w:rsid w:val="00335793"/>
    <w:rsid w:val="00335C83"/>
    <w:rsid w:val="00336084"/>
    <w:rsid w:val="003362B8"/>
    <w:rsid w:val="00336A9C"/>
    <w:rsid w:val="0034103C"/>
    <w:rsid w:val="003417E9"/>
    <w:rsid w:val="003428A3"/>
    <w:rsid w:val="003435A2"/>
    <w:rsid w:val="00343930"/>
    <w:rsid w:val="00346C04"/>
    <w:rsid w:val="003516B3"/>
    <w:rsid w:val="00352120"/>
    <w:rsid w:val="003562AD"/>
    <w:rsid w:val="00366EA8"/>
    <w:rsid w:val="00367344"/>
    <w:rsid w:val="00367A0A"/>
    <w:rsid w:val="00372493"/>
    <w:rsid w:val="0037293A"/>
    <w:rsid w:val="00372E49"/>
    <w:rsid w:val="0037476E"/>
    <w:rsid w:val="003748BB"/>
    <w:rsid w:val="0037517C"/>
    <w:rsid w:val="003759EB"/>
    <w:rsid w:val="00375FFA"/>
    <w:rsid w:val="003763FE"/>
    <w:rsid w:val="0038002A"/>
    <w:rsid w:val="00380060"/>
    <w:rsid w:val="0038127D"/>
    <w:rsid w:val="00383377"/>
    <w:rsid w:val="00383A37"/>
    <w:rsid w:val="003848AB"/>
    <w:rsid w:val="003855EE"/>
    <w:rsid w:val="003856A9"/>
    <w:rsid w:val="003865F6"/>
    <w:rsid w:val="00387E47"/>
    <w:rsid w:val="0039093A"/>
    <w:rsid w:val="0039378F"/>
    <w:rsid w:val="0039409A"/>
    <w:rsid w:val="00396759"/>
    <w:rsid w:val="00397FAD"/>
    <w:rsid w:val="003A00A3"/>
    <w:rsid w:val="003A03FE"/>
    <w:rsid w:val="003A0A0C"/>
    <w:rsid w:val="003A0A95"/>
    <w:rsid w:val="003A1813"/>
    <w:rsid w:val="003A2318"/>
    <w:rsid w:val="003A24BB"/>
    <w:rsid w:val="003A253D"/>
    <w:rsid w:val="003A29B0"/>
    <w:rsid w:val="003A434A"/>
    <w:rsid w:val="003A5DDE"/>
    <w:rsid w:val="003A6387"/>
    <w:rsid w:val="003A7543"/>
    <w:rsid w:val="003A7830"/>
    <w:rsid w:val="003B0A61"/>
    <w:rsid w:val="003B0B9D"/>
    <w:rsid w:val="003B1C0C"/>
    <w:rsid w:val="003B35C7"/>
    <w:rsid w:val="003B3FE5"/>
    <w:rsid w:val="003B4165"/>
    <w:rsid w:val="003B4FC2"/>
    <w:rsid w:val="003B5CB5"/>
    <w:rsid w:val="003B647C"/>
    <w:rsid w:val="003B67CB"/>
    <w:rsid w:val="003B6BA5"/>
    <w:rsid w:val="003B7159"/>
    <w:rsid w:val="003B7197"/>
    <w:rsid w:val="003C04ED"/>
    <w:rsid w:val="003C197D"/>
    <w:rsid w:val="003C1D26"/>
    <w:rsid w:val="003C222F"/>
    <w:rsid w:val="003C4A15"/>
    <w:rsid w:val="003C5990"/>
    <w:rsid w:val="003C5A70"/>
    <w:rsid w:val="003C6E8A"/>
    <w:rsid w:val="003C6FD0"/>
    <w:rsid w:val="003C7677"/>
    <w:rsid w:val="003C7B6A"/>
    <w:rsid w:val="003D249E"/>
    <w:rsid w:val="003D39A4"/>
    <w:rsid w:val="003D3A11"/>
    <w:rsid w:val="003D3D32"/>
    <w:rsid w:val="003D3D43"/>
    <w:rsid w:val="003D5610"/>
    <w:rsid w:val="003D5714"/>
    <w:rsid w:val="003D64B3"/>
    <w:rsid w:val="003D6FA3"/>
    <w:rsid w:val="003D7939"/>
    <w:rsid w:val="003E0998"/>
    <w:rsid w:val="003E2AC9"/>
    <w:rsid w:val="003E2BA7"/>
    <w:rsid w:val="003E382B"/>
    <w:rsid w:val="003E3B66"/>
    <w:rsid w:val="003E3CC0"/>
    <w:rsid w:val="003E43BC"/>
    <w:rsid w:val="003E4F66"/>
    <w:rsid w:val="003E5C2A"/>
    <w:rsid w:val="003E5CB4"/>
    <w:rsid w:val="003E7BD0"/>
    <w:rsid w:val="003F03DB"/>
    <w:rsid w:val="003F056D"/>
    <w:rsid w:val="003F0C8D"/>
    <w:rsid w:val="003F1FAD"/>
    <w:rsid w:val="003F207B"/>
    <w:rsid w:val="003F22A8"/>
    <w:rsid w:val="003F3FF3"/>
    <w:rsid w:val="003F5F41"/>
    <w:rsid w:val="003F727B"/>
    <w:rsid w:val="003F7E58"/>
    <w:rsid w:val="004008FB"/>
    <w:rsid w:val="00402623"/>
    <w:rsid w:val="00402B1F"/>
    <w:rsid w:val="004035BB"/>
    <w:rsid w:val="00403EA6"/>
    <w:rsid w:val="00404036"/>
    <w:rsid w:val="0040582E"/>
    <w:rsid w:val="00406D11"/>
    <w:rsid w:val="004109F7"/>
    <w:rsid w:val="00410B3B"/>
    <w:rsid w:val="00411EDC"/>
    <w:rsid w:val="004137C9"/>
    <w:rsid w:val="004151F8"/>
    <w:rsid w:val="004157B2"/>
    <w:rsid w:val="00415B5F"/>
    <w:rsid w:val="0041719F"/>
    <w:rsid w:val="00417521"/>
    <w:rsid w:val="004177B1"/>
    <w:rsid w:val="0042093F"/>
    <w:rsid w:val="00425217"/>
    <w:rsid w:val="00425E69"/>
    <w:rsid w:val="00427625"/>
    <w:rsid w:val="004304CC"/>
    <w:rsid w:val="00433263"/>
    <w:rsid w:val="00433ED4"/>
    <w:rsid w:val="00433F53"/>
    <w:rsid w:val="0043534D"/>
    <w:rsid w:val="004357C1"/>
    <w:rsid w:val="0043588D"/>
    <w:rsid w:val="00435E0F"/>
    <w:rsid w:val="0043656C"/>
    <w:rsid w:val="0043656D"/>
    <w:rsid w:val="00437569"/>
    <w:rsid w:val="00440D82"/>
    <w:rsid w:val="00441C77"/>
    <w:rsid w:val="00445145"/>
    <w:rsid w:val="00445F9C"/>
    <w:rsid w:val="00446BE2"/>
    <w:rsid w:val="0044726F"/>
    <w:rsid w:val="00450964"/>
    <w:rsid w:val="00450FF0"/>
    <w:rsid w:val="004518DC"/>
    <w:rsid w:val="00451A25"/>
    <w:rsid w:val="00451C78"/>
    <w:rsid w:val="0045456E"/>
    <w:rsid w:val="00454771"/>
    <w:rsid w:val="004549AC"/>
    <w:rsid w:val="00454A4D"/>
    <w:rsid w:val="00454B83"/>
    <w:rsid w:val="0045769C"/>
    <w:rsid w:val="0046005D"/>
    <w:rsid w:val="00460147"/>
    <w:rsid w:val="00461070"/>
    <w:rsid w:val="00461720"/>
    <w:rsid w:val="00461F06"/>
    <w:rsid w:val="004626FC"/>
    <w:rsid w:val="00462FC8"/>
    <w:rsid w:val="00463B9A"/>
    <w:rsid w:val="004648C6"/>
    <w:rsid w:val="0046674F"/>
    <w:rsid w:val="00467F5F"/>
    <w:rsid w:val="00470AC8"/>
    <w:rsid w:val="00471D19"/>
    <w:rsid w:val="00472D8A"/>
    <w:rsid w:val="0047501F"/>
    <w:rsid w:val="00476472"/>
    <w:rsid w:val="00480F2F"/>
    <w:rsid w:val="0048202A"/>
    <w:rsid w:val="004829F0"/>
    <w:rsid w:val="004852C2"/>
    <w:rsid w:val="004858F2"/>
    <w:rsid w:val="00485F7D"/>
    <w:rsid w:val="0048735C"/>
    <w:rsid w:val="004877E2"/>
    <w:rsid w:val="00490FBE"/>
    <w:rsid w:val="00491513"/>
    <w:rsid w:val="00491C60"/>
    <w:rsid w:val="0049308C"/>
    <w:rsid w:val="00493419"/>
    <w:rsid w:val="0049370C"/>
    <w:rsid w:val="004942A5"/>
    <w:rsid w:val="004950E3"/>
    <w:rsid w:val="004957EF"/>
    <w:rsid w:val="00496AFF"/>
    <w:rsid w:val="00496F33"/>
    <w:rsid w:val="004A1432"/>
    <w:rsid w:val="004A1870"/>
    <w:rsid w:val="004A18B0"/>
    <w:rsid w:val="004A1ACD"/>
    <w:rsid w:val="004A1FA3"/>
    <w:rsid w:val="004A42FA"/>
    <w:rsid w:val="004A4D97"/>
    <w:rsid w:val="004A53E9"/>
    <w:rsid w:val="004A6023"/>
    <w:rsid w:val="004A60D4"/>
    <w:rsid w:val="004A7C29"/>
    <w:rsid w:val="004B1300"/>
    <w:rsid w:val="004B15A2"/>
    <w:rsid w:val="004B1D35"/>
    <w:rsid w:val="004B27AE"/>
    <w:rsid w:val="004B36E5"/>
    <w:rsid w:val="004B533C"/>
    <w:rsid w:val="004C0036"/>
    <w:rsid w:val="004C03C7"/>
    <w:rsid w:val="004C0986"/>
    <w:rsid w:val="004C0E95"/>
    <w:rsid w:val="004C0F44"/>
    <w:rsid w:val="004C1014"/>
    <w:rsid w:val="004C208D"/>
    <w:rsid w:val="004C24EB"/>
    <w:rsid w:val="004C28CE"/>
    <w:rsid w:val="004C3659"/>
    <w:rsid w:val="004C3AF0"/>
    <w:rsid w:val="004C514B"/>
    <w:rsid w:val="004C54AF"/>
    <w:rsid w:val="004C5FF3"/>
    <w:rsid w:val="004C6095"/>
    <w:rsid w:val="004C6256"/>
    <w:rsid w:val="004C6715"/>
    <w:rsid w:val="004D02F5"/>
    <w:rsid w:val="004D3084"/>
    <w:rsid w:val="004D3F22"/>
    <w:rsid w:val="004D5231"/>
    <w:rsid w:val="004D6476"/>
    <w:rsid w:val="004E0F11"/>
    <w:rsid w:val="004E1C3F"/>
    <w:rsid w:val="004E30A0"/>
    <w:rsid w:val="004E3658"/>
    <w:rsid w:val="004E3D35"/>
    <w:rsid w:val="004E4C60"/>
    <w:rsid w:val="004E5970"/>
    <w:rsid w:val="004E59E0"/>
    <w:rsid w:val="004E5B24"/>
    <w:rsid w:val="004E6C77"/>
    <w:rsid w:val="004E7F42"/>
    <w:rsid w:val="004F015B"/>
    <w:rsid w:val="004F0233"/>
    <w:rsid w:val="004F08F7"/>
    <w:rsid w:val="004F0FCE"/>
    <w:rsid w:val="004F20FF"/>
    <w:rsid w:val="004F2B61"/>
    <w:rsid w:val="004F3457"/>
    <w:rsid w:val="004F7424"/>
    <w:rsid w:val="00500086"/>
    <w:rsid w:val="00500376"/>
    <w:rsid w:val="00501371"/>
    <w:rsid w:val="0050215D"/>
    <w:rsid w:val="00503030"/>
    <w:rsid w:val="005050EF"/>
    <w:rsid w:val="005066AA"/>
    <w:rsid w:val="005079F4"/>
    <w:rsid w:val="00510D2B"/>
    <w:rsid w:val="00513F34"/>
    <w:rsid w:val="005158E8"/>
    <w:rsid w:val="00515E77"/>
    <w:rsid w:val="0051614E"/>
    <w:rsid w:val="005167E4"/>
    <w:rsid w:val="00516812"/>
    <w:rsid w:val="00516AB2"/>
    <w:rsid w:val="00517013"/>
    <w:rsid w:val="0051741F"/>
    <w:rsid w:val="0052266C"/>
    <w:rsid w:val="005240CC"/>
    <w:rsid w:val="00526B56"/>
    <w:rsid w:val="00532D1D"/>
    <w:rsid w:val="00533B65"/>
    <w:rsid w:val="00534716"/>
    <w:rsid w:val="00535EE8"/>
    <w:rsid w:val="00541508"/>
    <w:rsid w:val="005454D2"/>
    <w:rsid w:val="00545A8F"/>
    <w:rsid w:val="00545A90"/>
    <w:rsid w:val="00547647"/>
    <w:rsid w:val="005502D7"/>
    <w:rsid w:val="0055169D"/>
    <w:rsid w:val="00552220"/>
    <w:rsid w:val="00552326"/>
    <w:rsid w:val="0055232F"/>
    <w:rsid w:val="005535A8"/>
    <w:rsid w:val="005537CF"/>
    <w:rsid w:val="00554EE3"/>
    <w:rsid w:val="00555024"/>
    <w:rsid w:val="00555408"/>
    <w:rsid w:val="00556E09"/>
    <w:rsid w:val="00560A71"/>
    <w:rsid w:val="0056131E"/>
    <w:rsid w:val="0056146C"/>
    <w:rsid w:val="00562A0F"/>
    <w:rsid w:val="00562E20"/>
    <w:rsid w:val="005649D8"/>
    <w:rsid w:val="005652D9"/>
    <w:rsid w:val="005662B3"/>
    <w:rsid w:val="00566F2C"/>
    <w:rsid w:val="005676C3"/>
    <w:rsid w:val="00570705"/>
    <w:rsid w:val="00573821"/>
    <w:rsid w:val="00573959"/>
    <w:rsid w:val="00573B3F"/>
    <w:rsid w:val="00573D31"/>
    <w:rsid w:val="00573F17"/>
    <w:rsid w:val="00574584"/>
    <w:rsid w:val="00576D1C"/>
    <w:rsid w:val="00576DEA"/>
    <w:rsid w:val="00577F44"/>
    <w:rsid w:val="00580260"/>
    <w:rsid w:val="00580919"/>
    <w:rsid w:val="00581EEF"/>
    <w:rsid w:val="0058214D"/>
    <w:rsid w:val="005826D4"/>
    <w:rsid w:val="0058344B"/>
    <w:rsid w:val="00584E2F"/>
    <w:rsid w:val="0058540D"/>
    <w:rsid w:val="005855A0"/>
    <w:rsid w:val="0058670C"/>
    <w:rsid w:val="0058688C"/>
    <w:rsid w:val="00586EED"/>
    <w:rsid w:val="00587566"/>
    <w:rsid w:val="00591382"/>
    <w:rsid w:val="0059286F"/>
    <w:rsid w:val="00592C99"/>
    <w:rsid w:val="00593F63"/>
    <w:rsid w:val="0059504B"/>
    <w:rsid w:val="005960DB"/>
    <w:rsid w:val="00596386"/>
    <w:rsid w:val="00596880"/>
    <w:rsid w:val="00596AF2"/>
    <w:rsid w:val="00596B0B"/>
    <w:rsid w:val="005A1F42"/>
    <w:rsid w:val="005A21E6"/>
    <w:rsid w:val="005A5E14"/>
    <w:rsid w:val="005A6CB8"/>
    <w:rsid w:val="005A6CE1"/>
    <w:rsid w:val="005B1986"/>
    <w:rsid w:val="005B32CF"/>
    <w:rsid w:val="005B4387"/>
    <w:rsid w:val="005B4CFB"/>
    <w:rsid w:val="005B7BAB"/>
    <w:rsid w:val="005B7CD7"/>
    <w:rsid w:val="005C07F4"/>
    <w:rsid w:val="005C13D0"/>
    <w:rsid w:val="005C1430"/>
    <w:rsid w:val="005C1656"/>
    <w:rsid w:val="005C188C"/>
    <w:rsid w:val="005C19C5"/>
    <w:rsid w:val="005C40AB"/>
    <w:rsid w:val="005C4C07"/>
    <w:rsid w:val="005C66F9"/>
    <w:rsid w:val="005C7805"/>
    <w:rsid w:val="005D1510"/>
    <w:rsid w:val="005D2909"/>
    <w:rsid w:val="005D371B"/>
    <w:rsid w:val="005D4624"/>
    <w:rsid w:val="005D4CE2"/>
    <w:rsid w:val="005D5784"/>
    <w:rsid w:val="005D5AF9"/>
    <w:rsid w:val="005D5E92"/>
    <w:rsid w:val="005D6BC0"/>
    <w:rsid w:val="005E1946"/>
    <w:rsid w:val="005E1E78"/>
    <w:rsid w:val="005E2BAB"/>
    <w:rsid w:val="005E3C43"/>
    <w:rsid w:val="005E3EBF"/>
    <w:rsid w:val="005E4483"/>
    <w:rsid w:val="005E59BC"/>
    <w:rsid w:val="005E5F7B"/>
    <w:rsid w:val="005E62C1"/>
    <w:rsid w:val="005E65E3"/>
    <w:rsid w:val="005E6BD3"/>
    <w:rsid w:val="005F2559"/>
    <w:rsid w:val="005F2639"/>
    <w:rsid w:val="005F2E98"/>
    <w:rsid w:val="005F4169"/>
    <w:rsid w:val="005F542A"/>
    <w:rsid w:val="005F5920"/>
    <w:rsid w:val="005F5C5F"/>
    <w:rsid w:val="005F64FD"/>
    <w:rsid w:val="00601E0D"/>
    <w:rsid w:val="00602631"/>
    <w:rsid w:val="0060278B"/>
    <w:rsid w:val="00603508"/>
    <w:rsid w:val="00603F8C"/>
    <w:rsid w:val="006041F6"/>
    <w:rsid w:val="006047BF"/>
    <w:rsid w:val="00604E3B"/>
    <w:rsid w:val="006050F2"/>
    <w:rsid w:val="00605898"/>
    <w:rsid w:val="0060639A"/>
    <w:rsid w:val="00610F39"/>
    <w:rsid w:val="00611275"/>
    <w:rsid w:val="00611693"/>
    <w:rsid w:val="00612479"/>
    <w:rsid w:val="00612B5D"/>
    <w:rsid w:val="00613CB5"/>
    <w:rsid w:val="00613E05"/>
    <w:rsid w:val="00614A08"/>
    <w:rsid w:val="0062070E"/>
    <w:rsid w:val="00621B9A"/>
    <w:rsid w:val="0062229B"/>
    <w:rsid w:val="00624CD2"/>
    <w:rsid w:val="00626401"/>
    <w:rsid w:val="00626DC8"/>
    <w:rsid w:val="006271DE"/>
    <w:rsid w:val="00627684"/>
    <w:rsid w:val="00632DED"/>
    <w:rsid w:val="00634214"/>
    <w:rsid w:val="006344AB"/>
    <w:rsid w:val="0063594C"/>
    <w:rsid w:val="0063644E"/>
    <w:rsid w:val="006406BD"/>
    <w:rsid w:val="00641098"/>
    <w:rsid w:val="00642073"/>
    <w:rsid w:val="00642D26"/>
    <w:rsid w:val="006444FE"/>
    <w:rsid w:val="00645A6E"/>
    <w:rsid w:val="00645F21"/>
    <w:rsid w:val="00646108"/>
    <w:rsid w:val="0064679F"/>
    <w:rsid w:val="006475A1"/>
    <w:rsid w:val="00647AD7"/>
    <w:rsid w:val="0065067B"/>
    <w:rsid w:val="00651AFF"/>
    <w:rsid w:val="00651D06"/>
    <w:rsid w:val="00653CFE"/>
    <w:rsid w:val="00655400"/>
    <w:rsid w:val="00657D63"/>
    <w:rsid w:val="006605B0"/>
    <w:rsid w:val="0066084F"/>
    <w:rsid w:val="006609CC"/>
    <w:rsid w:val="00660A70"/>
    <w:rsid w:val="00660A76"/>
    <w:rsid w:val="0066164E"/>
    <w:rsid w:val="006617A5"/>
    <w:rsid w:val="006620F1"/>
    <w:rsid w:val="0066525A"/>
    <w:rsid w:val="0066586E"/>
    <w:rsid w:val="00665CE0"/>
    <w:rsid w:val="0066675D"/>
    <w:rsid w:val="006668EA"/>
    <w:rsid w:val="00666DEA"/>
    <w:rsid w:val="0066704B"/>
    <w:rsid w:val="0066711A"/>
    <w:rsid w:val="00671AE4"/>
    <w:rsid w:val="00671B78"/>
    <w:rsid w:val="0067389E"/>
    <w:rsid w:val="006747B0"/>
    <w:rsid w:val="00674DA0"/>
    <w:rsid w:val="00680814"/>
    <w:rsid w:val="00681715"/>
    <w:rsid w:val="0068177C"/>
    <w:rsid w:val="006830C5"/>
    <w:rsid w:val="00683586"/>
    <w:rsid w:val="006845B8"/>
    <w:rsid w:val="00684877"/>
    <w:rsid w:val="00686FCA"/>
    <w:rsid w:val="0068723A"/>
    <w:rsid w:val="00693A85"/>
    <w:rsid w:val="006943F8"/>
    <w:rsid w:val="00696852"/>
    <w:rsid w:val="00696E30"/>
    <w:rsid w:val="0069772A"/>
    <w:rsid w:val="00697E17"/>
    <w:rsid w:val="00697E52"/>
    <w:rsid w:val="006A166E"/>
    <w:rsid w:val="006A36C1"/>
    <w:rsid w:val="006A4C30"/>
    <w:rsid w:val="006A6A4B"/>
    <w:rsid w:val="006A6FE5"/>
    <w:rsid w:val="006B0F34"/>
    <w:rsid w:val="006B172D"/>
    <w:rsid w:val="006B2DEE"/>
    <w:rsid w:val="006B3AF4"/>
    <w:rsid w:val="006B3E80"/>
    <w:rsid w:val="006B4D60"/>
    <w:rsid w:val="006B5735"/>
    <w:rsid w:val="006B5904"/>
    <w:rsid w:val="006B649E"/>
    <w:rsid w:val="006B7090"/>
    <w:rsid w:val="006B76B3"/>
    <w:rsid w:val="006C0211"/>
    <w:rsid w:val="006C1808"/>
    <w:rsid w:val="006C1DFB"/>
    <w:rsid w:val="006C4BAF"/>
    <w:rsid w:val="006C5962"/>
    <w:rsid w:val="006C5D31"/>
    <w:rsid w:val="006C6CA2"/>
    <w:rsid w:val="006C76E9"/>
    <w:rsid w:val="006D0145"/>
    <w:rsid w:val="006D03B0"/>
    <w:rsid w:val="006D0B12"/>
    <w:rsid w:val="006D0CA7"/>
    <w:rsid w:val="006D14AF"/>
    <w:rsid w:val="006D2180"/>
    <w:rsid w:val="006D2489"/>
    <w:rsid w:val="006D4832"/>
    <w:rsid w:val="006D56F5"/>
    <w:rsid w:val="006D6EA9"/>
    <w:rsid w:val="006E0610"/>
    <w:rsid w:val="006E12FE"/>
    <w:rsid w:val="006E2326"/>
    <w:rsid w:val="006E3D92"/>
    <w:rsid w:val="006E4221"/>
    <w:rsid w:val="006E6B36"/>
    <w:rsid w:val="006E745E"/>
    <w:rsid w:val="006F0DFA"/>
    <w:rsid w:val="006F11F0"/>
    <w:rsid w:val="006F37BF"/>
    <w:rsid w:val="006F3AF2"/>
    <w:rsid w:val="006F41F3"/>
    <w:rsid w:val="006F53FE"/>
    <w:rsid w:val="006F61E7"/>
    <w:rsid w:val="006F6DB0"/>
    <w:rsid w:val="00702FD8"/>
    <w:rsid w:val="00706A63"/>
    <w:rsid w:val="00707562"/>
    <w:rsid w:val="00707D65"/>
    <w:rsid w:val="0071314F"/>
    <w:rsid w:val="007132A5"/>
    <w:rsid w:val="00713CC7"/>
    <w:rsid w:val="00714514"/>
    <w:rsid w:val="00717E92"/>
    <w:rsid w:val="00721367"/>
    <w:rsid w:val="00721C64"/>
    <w:rsid w:val="00721FDC"/>
    <w:rsid w:val="00722ECE"/>
    <w:rsid w:val="00724959"/>
    <w:rsid w:val="00725A3A"/>
    <w:rsid w:val="00725B31"/>
    <w:rsid w:val="00726FB8"/>
    <w:rsid w:val="00730804"/>
    <w:rsid w:val="00730BA0"/>
    <w:rsid w:val="00731E6F"/>
    <w:rsid w:val="007323E6"/>
    <w:rsid w:val="007323F0"/>
    <w:rsid w:val="0073259E"/>
    <w:rsid w:val="00732C53"/>
    <w:rsid w:val="0073346F"/>
    <w:rsid w:val="00733A3D"/>
    <w:rsid w:val="0073530C"/>
    <w:rsid w:val="00735B36"/>
    <w:rsid w:val="007375AE"/>
    <w:rsid w:val="00740F7F"/>
    <w:rsid w:val="007418A8"/>
    <w:rsid w:val="00742223"/>
    <w:rsid w:val="0074258A"/>
    <w:rsid w:val="0074330D"/>
    <w:rsid w:val="00744816"/>
    <w:rsid w:val="007449C2"/>
    <w:rsid w:val="00744DCD"/>
    <w:rsid w:val="00747A0E"/>
    <w:rsid w:val="00750BC7"/>
    <w:rsid w:val="0075137B"/>
    <w:rsid w:val="0075195B"/>
    <w:rsid w:val="0075259C"/>
    <w:rsid w:val="0075282A"/>
    <w:rsid w:val="00753145"/>
    <w:rsid w:val="00753BF2"/>
    <w:rsid w:val="00754A40"/>
    <w:rsid w:val="0075501D"/>
    <w:rsid w:val="00755DB1"/>
    <w:rsid w:val="007616B9"/>
    <w:rsid w:val="00761DD5"/>
    <w:rsid w:val="007624E8"/>
    <w:rsid w:val="00762F9D"/>
    <w:rsid w:val="0076476E"/>
    <w:rsid w:val="0076497A"/>
    <w:rsid w:val="00766743"/>
    <w:rsid w:val="00770985"/>
    <w:rsid w:val="00771E53"/>
    <w:rsid w:val="00771FAB"/>
    <w:rsid w:val="00772147"/>
    <w:rsid w:val="007729D9"/>
    <w:rsid w:val="0077381E"/>
    <w:rsid w:val="0077436A"/>
    <w:rsid w:val="00776052"/>
    <w:rsid w:val="00777C68"/>
    <w:rsid w:val="00780C2D"/>
    <w:rsid w:val="0078126D"/>
    <w:rsid w:val="00781E89"/>
    <w:rsid w:val="00782669"/>
    <w:rsid w:val="00782CAA"/>
    <w:rsid w:val="00783C7E"/>
    <w:rsid w:val="0078552D"/>
    <w:rsid w:val="0078557D"/>
    <w:rsid w:val="00785B23"/>
    <w:rsid w:val="00787030"/>
    <w:rsid w:val="007923C6"/>
    <w:rsid w:val="0079308B"/>
    <w:rsid w:val="00794D51"/>
    <w:rsid w:val="007950E4"/>
    <w:rsid w:val="007966CD"/>
    <w:rsid w:val="00797456"/>
    <w:rsid w:val="007A0130"/>
    <w:rsid w:val="007A04A9"/>
    <w:rsid w:val="007A0E1A"/>
    <w:rsid w:val="007A1A92"/>
    <w:rsid w:val="007A225C"/>
    <w:rsid w:val="007A35D2"/>
    <w:rsid w:val="007A3EE4"/>
    <w:rsid w:val="007A5193"/>
    <w:rsid w:val="007A5268"/>
    <w:rsid w:val="007A5FB8"/>
    <w:rsid w:val="007A5FFE"/>
    <w:rsid w:val="007A647C"/>
    <w:rsid w:val="007A6833"/>
    <w:rsid w:val="007A6935"/>
    <w:rsid w:val="007A6BCA"/>
    <w:rsid w:val="007A7B18"/>
    <w:rsid w:val="007A7F7B"/>
    <w:rsid w:val="007B3085"/>
    <w:rsid w:val="007B3AE7"/>
    <w:rsid w:val="007B4051"/>
    <w:rsid w:val="007B459B"/>
    <w:rsid w:val="007B6245"/>
    <w:rsid w:val="007C098D"/>
    <w:rsid w:val="007C1B9D"/>
    <w:rsid w:val="007C1FB8"/>
    <w:rsid w:val="007C2860"/>
    <w:rsid w:val="007C2F4F"/>
    <w:rsid w:val="007C3BC6"/>
    <w:rsid w:val="007C47DC"/>
    <w:rsid w:val="007C4B6E"/>
    <w:rsid w:val="007C4D48"/>
    <w:rsid w:val="007C51C1"/>
    <w:rsid w:val="007C77B8"/>
    <w:rsid w:val="007C79A9"/>
    <w:rsid w:val="007D0A27"/>
    <w:rsid w:val="007D17A5"/>
    <w:rsid w:val="007D1E14"/>
    <w:rsid w:val="007D20D2"/>
    <w:rsid w:val="007D48AB"/>
    <w:rsid w:val="007D50D5"/>
    <w:rsid w:val="007D638E"/>
    <w:rsid w:val="007D7B6B"/>
    <w:rsid w:val="007E0531"/>
    <w:rsid w:val="007E0D8B"/>
    <w:rsid w:val="007E0E36"/>
    <w:rsid w:val="007E0ED6"/>
    <w:rsid w:val="007E106E"/>
    <w:rsid w:val="007E1338"/>
    <w:rsid w:val="007E1D27"/>
    <w:rsid w:val="007E233F"/>
    <w:rsid w:val="007E2842"/>
    <w:rsid w:val="007E2908"/>
    <w:rsid w:val="007E3561"/>
    <w:rsid w:val="007E3D73"/>
    <w:rsid w:val="007E41FA"/>
    <w:rsid w:val="007E4823"/>
    <w:rsid w:val="007E4B85"/>
    <w:rsid w:val="007E4F9A"/>
    <w:rsid w:val="007F26DA"/>
    <w:rsid w:val="007F2753"/>
    <w:rsid w:val="007F4235"/>
    <w:rsid w:val="007F787C"/>
    <w:rsid w:val="008018F9"/>
    <w:rsid w:val="008020A6"/>
    <w:rsid w:val="00802AC8"/>
    <w:rsid w:val="00802BF6"/>
    <w:rsid w:val="00803B54"/>
    <w:rsid w:val="00803D1D"/>
    <w:rsid w:val="00804AD5"/>
    <w:rsid w:val="008052BC"/>
    <w:rsid w:val="00806409"/>
    <w:rsid w:val="0080640B"/>
    <w:rsid w:val="00806F1F"/>
    <w:rsid w:val="00807782"/>
    <w:rsid w:val="008118D7"/>
    <w:rsid w:val="00812CF2"/>
    <w:rsid w:val="00816D57"/>
    <w:rsid w:val="00817144"/>
    <w:rsid w:val="00820142"/>
    <w:rsid w:val="008208AB"/>
    <w:rsid w:val="008219CF"/>
    <w:rsid w:val="00822C20"/>
    <w:rsid w:val="0082374B"/>
    <w:rsid w:val="00823DC4"/>
    <w:rsid w:val="00824419"/>
    <w:rsid w:val="00825CE7"/>
    <w:rsid w:val="00825F42"/>
    <w:rsid w:val="00830C15"/>
    <w:rsid w:val="0083182B"/>
    <w:rsid w:val="008328AE"/>
    <w:rsid w:val="008405E6"/>
    <w:rsid w:val="00842A84"/>
    <w:rsid w:val="00842A90"/>
    <w:rsid w:val="0084333E"/>
    <w:rsid w:val="008436ED"/>
    <w:rsid w:val="0084382A"/>
    <w:rsid w:val="00843846"/>
    <w:rsid w:val="008441DC"/>
    <w:rsid w:val="00844746"/>
    <w:rsid w:val="00845764"/>
    <w:rsid w:val="00850C74"/>
    <w:rsid w:val="00850D84"/>
    <w:rsid w:val="008524BF"/>
    <w:rsid w:val="0085333D"/>
    <w:rsid w:val="008539DA"/>
    <w:rsid w:val="00854D22"/>
    <w:rsid w:val="00855AEF"/>
    <w:rsid w:val="00856A15"/>
    <w:rsid w:val="00857049"/>
    <w:rsid w:val="0085732D"/>
    <w:rsid w:val="00857762"/>
    <w:rsid w:val="00860108"/>
    <w:rsid w:val="008615C4"/>
    <w:rsid w:val="00862A0F"/>
    <w:rsid w:val="00862F59"/>
    <w:rsid w:val="00864AEB"/>
    <w:rsid w:val="00864E4F"/>
    <w:rsid w:val="0086510D"/>
    <w:rsid w:val="008662F5"/>
    <w:rsid w:val="00866A88"/>
    <w:rsid w:val="008672CF"/>
    <w:rsid w:val="008675CB"/>
    <w:rsid w:val="00867C51"/>
    <w:rsid w:val="00867D88"/>
    <w:rsid w:val="00870B34"/>
    <w:rsid w:val="00871DAD"/>
    <w:rsid w:val="00871E31"/>
    <w:rsid w:val="008727BE"/>
    <w:rsid w:val="00873656"/>
    <w:rsid w:val="00874050"/>
    <w:rsid w:val="00874A12"/>
    <w:rsid w:val="00874AC5"/>
    <w:rsid w:val="0087547F"/>
    <w:rsid w:val="008765BD"/>
    <w:rsid w:val="00877F09"/>
    <w:rsid w:val="00882BBE"/>
    <w:rsid w:val="0088383E"/>
    <w:rsid w:val="00883F84"/>
    <w:rsid w:val="008864BA"/>
    <w:rsid w:val="0088664C"/>
    <w:rsid w:val="00887977"/>
    <w:rsid w:val="008908D0"/>
    <w:rsid w:val="00890C6D"/>
    <w:rsid w:val="00891681"/>
    <w:rsid w:val="00891AC5"/>
    <w:rsid w:val="00892956"/>
    <w:rsid w:val="00892C3C"/>
    <w:rsid w:val="00893C53"/>
    <w:rsid w:val="0089412A"/>
    <w:rsid w:val="00896D93"/>
    <w:rsid w:val="008977AD"/>
    <w:rsid w:val="008A091E"/>
    <w:rsid w:val="008A0BBD"/>
    <w:rsid w:val="008A1521"/>
    <w:rsid w:val="008A1F21"/>
    <w:rsid w:val="008A263E"/>
    <w:rsid w:val="008A432A"/>
    <w:rsid w:val="008A4864"/>
    <w:rsid w:val="008A4BCC"/>
    <w:rsid w:val="008A7635"/>
    <w:rsid w:val="008A777C"/>
    <w:rsid w:val="008B0E1D"/>
    <w:rsid w:val="008B13A6"/>
    <w:rsid w:val="008B2159"/>
    <w:rsid w:val="008B2208"/>
    <w:rsid w:val="008B2338"/>
    <w:rsid w:val="008B30FC"/>
    <w:rsid w:val="008B3C2F"/>
    <w:rsid w:val="008B63DA"/>
    <w:rsid w:val="008B7935"/>
    <w:rsid w:val="008B7BDF"/>
    <w:rsid w:val="008B7FB5"/>
    <w:rsid w:val="008C00C3"/>
    <w:rsid w:val="008C1315"/>
    <w:rsid w:val="008C14EB"/>
    <w:rsid w:val="008C183D"/>
    <w:rsid w:val="008C2381"/>
    <w:rsid w:val="008C461F"/>
    <w:rsid w:val="008C5003"/>
    <w:rsid w:val="008C5456"/>
    <w:rsid w:val="008C5BDA"/>
    <w:rsid w:val="008C674F"/>
    <w:rsid w:val="008C6C8E"/>
    <w:rsid w:val="008C6D0D"/>
    <w:rsid w:val="008C761A"/>
    <w:rsid w:val="008D00A9"/>
    <w:rsid w:val="008D00AF"/>
    <w:rsid w:val="008D0290"/>
    <w:rsid w:val="008D19E0"/>
    <w:rsid w:val="008D19E7"/>
    <w:rsid w:val="008D1B6D"/>
    <w:rsid w:val="008D613D"/>
    <w:rsid w:val="008D780C"/>
    <w:rsid w:val="008E0DEA"/>
    <w:rsid w:val="008E2F3E"/>
    <w:rsid w:val="008E3E04"/>
    <w:rsid w:val="008E42DF"/>
    <w:rsid w:val="008E66ED"/>
    <w:rsid w:val="008E7C71"/>
    <w:rsid w:val="008F0A48"/>
    <w:rsid w:val="008F18F9"/>
    <w:rsid w:val="008F25E6"/>
    <w:rsid w:val="008F2B2F"/>
    <w:rsid w:val="008F337F"/>
    <w:rsid w:val="008F7BB4"/>
    <w:rsid w:val="008F7FA9"/>
    <w:rsid w:val="00900840"/>
    <w:rsid w:val="00900A58"/>
    <w:rsid w:val="00903192"/>
    <w:rsid w:val="00903309"/>
    <w:rsid w:val="00905B8C"/>
    <w:rsid w:val="00905C6B"/>
    <w:rsid w:val="00906CDF"/>
    <w:rsid w:val="00907822"/>
    <w:rsid w:val="00907A8F"/>
    <w:rsid w:val="00907B92"/>
    <w:rsid w:val="00907F91"/>
    <w:rsid w:val="009102A5"/>
    <w:rsid w:val="00910589"/>
    <w:rsid w:val="00910714"/>
    <w:rsid w:val="0091136F"/>
    <w:rsid w:val="009115EB"/>
    <w:rsid w:val="00912A0F"/>
    <w:rsid w:val="00912F20"/>
    <w:rsid w:val="009130C8"/>
    <w:rsid w:val="00913F8F"/>
    <w:rsid w:val="0091713C"/>
    <w:rsid w:val="0092155E"/>
    <w:rsid w:val="009225AD"/>
    <w:rsid w:val="0092288E"/>
    <w:rsid w:val="00922DF2"/>
    <w:rsid w:val="0092455E"/>
    <w:rsid w:val="00924DBE"/>
    <w:rsid w:val="009275B2"/>
    <w:rsid w:val="00931570"/>
    <w:rsid w:val="00932550"/>
    <w:rsid w:val="009336F0"/>
    <w:rsid w:val="0093429D"/>
    <w:rsid w:val="00934EBE"/>
    <w:rsid w:val="0093552B"/>
    <w:rsid w:val="00936D25"/>
    <w:rsid w:val="00937197"/>
    <w:rsid w:val="009374E2"/>
    <w:rsid w:val="00937BA6"/>
    <w:rsid w:val="009403E2"/>
    <w:rsid w:val="0094147B"/>
    <w:rsid w:val="00941758"/>
    <w:rsid w:val="00941BB3"/>
    <w:rsid w:val="00941BC1"/>
    <w:rsid w:val="009422BE"/>
    <w:rsid w:val="009425C1"/>
    <w:rsid w:val="00944622"/>
    <w:rsid w:val="00945954"/>
    <w:rsid w:val="009470DA"/>
    <w:rsid w:val="00950AB8"/>
    <w:rsid w:val="00951C26"/>
    <w:rsid w:val="00953555"/>
    <w:rsid w:val="009538FA"/>
    <w:rsid w:val="00954FF3"/>
    <w:rsid w:val="00955805"/>
    <w:rsid w:val="0095672C"/>
    <w:rsid w:val="00957852"/>
    <w:rsid w:val="0096058A"/>
    <w:rsid w:val="0096169F"/>
    <w:rsid w:val="00962782"/>
    <w:rsid w:val="00963C39"/>
    <w:rsid w:val="009669F3"/>
    <w:rsid w:val="0096745F"/>
    <w:rsid w:val="00967A08"/>
    <w:rsid w:val="00967FE1"/>
    <w:rsid w:val="009708E6"/>
    <w:rsid w:val="00970C71"/>
    <w:rsid w:val="009730C7"/>
    <w:rsid w:val="00974BDA"/>
    <w:rsid w:val="009768D5"/>
    <w:rsid w:val="00977E0A"/>
    <w:rsid w:val="00980E73"/>
    <w:rsid w:val="00981061"/>
    <w:rsid w:val="009810B0"/>
    <w:rsid w:val="009815FF"/>
    <w:rsid w:val="00981D8D"/>
    <w:rsid w:val="0098289E"/>
    <w:rsid w:val="009829D6"/>
    <w:rsid w:val="00982FF6"/>
    <w:rsid w:val="00983040"/>
    <w:rsid w:val="00984AE9"/>
    <w:rsid w:val="009865AD"/>
    <w:rsid w:val="009867F3"/>
    <w:rsid w:val="00987295"/>
    <w:rsid w:val="00987966"/>
    <w:rsid w:val="00987F5B"/>
    <w:rsid w:val="00991CF4"/>
    <w:rsid w:val="00991D55"/>
    <w:rsid w:val="009946E7"/>
    <w:rsid w:val="00996C57"/>
    <w:rsid w:val="00997458"/>
    <w:rsid w:val="00997A40"/>
    <w:rsid w:val="009A06C8"/>
    <w:rsid w:val="009A070F"/>
    <w:rsid w:val="009A14A2"/>
    <w:rsid w:val="009A1D4E"/>
    <w:rsid w:val="009A3504"/>
    <w:rsid w:val="009A3A4D"/>
    <w:rsid w:val="009A3E92"/>
    <w:rsid w:val="009A42BE"/>
    <w:rsid w:val="009A4C7C"/>
    <w:rsid w:val="009A5141"/>
    <w:rsid w:val="009A563B"/>
    <w:rsid w:val="009A5998"/>
    <w:rsid w:val="009A7361"/>
    <w:rsid w:val="009B0723"/>
    <w:rsid w:val="009B168C"/>
    <w:rsid w:val="009B1C1A"/>
    <w:rsid w:val="009B1DED"/>
    <w:rsid w:val="009B239C"/>
    <w:rsid w:val="009B2667"/>
    <w:rsid w:val="009B4B87"/>
    <w:rsid w:val="009B5296"/>
    <w:rsid w:val="009B5E0F"/>
    <w:rsid w:val="009B6492"/>
    <w:rsid w:val="009C04AB"/>
    <w:rsid w:val="009C0C4C"/>
    <w:rsid w:val="009C11F3"/>
    <w:rsid w:val="009C20F5"/>
    <w:rsid w:val="009C3219"/>
    <w:rsid w:val="009C46F6"/>
    <w:rsid w:val="009C5233"/>
    <w:rsid w:val="009C54C3"/>
    <w:rsid w:val="009C5A64"/>
    <w:rsid w:val="009C6547"/>
    <w:rsid w:val="009C7971"/>
    <w:rsid w:val="009D08BF"/>
    <w:rsid w:val="009D13D6"/>
    <w:rsid w:val="009D192B"/>
    <w:rsid w:val="009D212E"/>
    <w:rsid w:val="009D35B7"/>
    <w:rsid w:val="009D4324"/>
    <w:rsid w:val="009D47E3"/>
    <w:rsid w:val="009D4AC9"/>
    <w:rsid w:val="009D583C"/>
    <w:rsid w:val="009D70FB"/>
    <w:rsid w:val="009E07E0"/>
    <w:rsid w:val="009E10C6"/>
    <w:rsid w:val="009E19AA"/>
    <w:rsid w:val="009E3060"/>
    <w:rsid w:val="009E3BB9"/>
    <w:rsid w:val="009E4658"/>
    <w:rsid w:val="009E4E36"/>
    <w:rsid w:val="009E501B"/>
    <w:rsid w:val="009E5264"/>
    <w:rsid w:val="009E551C"/>
    <w:rsid w:val="009E5B22"/>
    <w:rsid w:val="009E68D0"/>
    <w:rsid w:val="009E7E63"/>
    <w:rsid w:val="009F20E6"/>
    <w:rsid w:val="009F2969"/>
    <w:rsid w:val="009F6A6F"/>
    <w:rsid w:val="009F6C7A"/>
    <w:rsid w:val="009F7F23"/>
    <w:rsid w:val="00A025EE"/>
    <w:rsid w:val="00A0289C"/>
    <w:rsid w:val="00A0293A"/>
    <w:rsid w:val="00A038FB"/>
    <w:rsid w:val="00A04B52"/>
    <w:rsid w:val="00A04D06"/>
    <w:rsid w:val="00A06C49"/>
    <w:rsid w:val="00A070A9"/>
    <w:rsid w:val="00A154BA"/>
    <w:rsid w:val="00A160A1"/>
    <w:rsid w:val="00A16D1E"/>
    <w:rsid w:val="00A16E68"/>
    <w:rsid w:val="00A1718A"/>
    <w:rsid w:val="00A175C6"/>
    <w:rsid w:val="00A17610"/>
    <w:rsid w:val="00A2253C"/>
    <w:rsid w:val="00A230D4"/>
    <w:rsid w:val="00A23376"/>
    <w:rsid w:val="00A234AC"/>
    <w:rsid w:val="00A242C2"/>
    <w:rsid w:val="00A2461A"/>
    <w:rsid w:val="00A25724"/>
    <w:rsid w:val="00A26683"/>
    <w:rsid w:val="00A26CD8"/>
    <w:rsid w:val="00A30F45"/>
    <w:rsid w:val="00A3522F"/>
    <w:rsid w:val="00A372AD"/>
    <w:rsid w:val="00A40887"/>
    <w:rsid w:val="00A40F3F"/>
    <w:rsid w:val="00A412CA"/>
    <w:rsid w:val="00A4357B"/>
    <w:rsid w:val="00A44BE9"/>
    <w:rsid w:val="00A4500D"/>
    <w:rsid w:val="00A452E9"/>
    <w:rsid w:val="00A45540"/>
    <w:rsid w:val="00A45716"/>
    <w:rsid w:val="00A45AEB"/>
    <w:rsid w:val="00A4610E"/>
    <w:rsid w:val="00A464CF"/>
    <w:rsid w:val="00A470DF"/>
    <w:rsid w:val="00A47ECE"/>
    <w:rsid w:val="00A50D21"/>
    <w:rsid w:val="00A52729"/>
    <w:rsid w:val="00A52B81"/>
    <w:rsid w:val="00A53466"/>
    <w:rsid w:val="00A53E1B"/>
    <w:rsid w:val="00A542A8"/>
    <w:rsid w:val="00A56DFA"/>
    <w:rsid w:val="00A571C6"/>
    <w:rsid w:val="00A60110"/>
    <w:rsid w:val="00A60F46"/>
    <w:rsid w:val="00A624E0"/>
    <w:rsid w:val="00A63981"/>
    <w:rsid w:val="00A63FAC"/>
    <w:rsid w:val="00A70411"/>
    <w:rsid w:val="00A7195F"/>
    <w:rsid w:val="00A71FA5"/>
    <w:rsid w:val="00A739EC"/>
    <w:rsid w:val="00A73A68"/>
    <w:rsid w:val="00A7564F"/>
    <w:rsid w:val="00A75EC3"/>
    <w:rsid w:val="00A76197"/>
    <w:rsid w:val="00A77CAC"/>
    <w:rsid w:val="00A805B9"/>
    <w:rsid w:val="00A809C8"/>
    <w:rsid w:val="00A82AD0"/>
    <w:rsid w:val="00A844F5"/>
    <w:rsid w:val="00A847B2"/>
    <w:rsid w:val="00A850D9"/>
    <w:rsid w:val="00A8539F"/>
    <w:rsid w:val="00A859B5"/>
    <w:rsid w:val="00A86719"/>
    <w:rsid w:val="00A869A4"/>
    <w:rsid w:val="00A87069"/>
    <w:rsid w:val="00A90EC9"/>
    <w:rsid w:val="00A937A0"/>
    <w:rsid w:val="00A93FD1"/>
    <w:rsid w:val="00A943D9"/>
    <w:rsid w:val="00A962A6"/>
    <w:rsid w:val="00A962F9"/>
    <w:rsid w:val="00A972D2"/>
    <w:rsid w:val="00A97DCC"/>
    <w:rsid w:val="00AA0004"/>
    <w:rsid w:val="00AA1664"/>
    <w:rsid w:val="00AA2457"/>
    <w:rsid w:val="00AA2D10"/>
    <w:rsid w:val="00AA645C"/>
    <w:rsid w:val="00AA7E5B"/>
    <w:rsid w:val="00AB1D77"/>
    <w:rsid w:val="00AB3A49"/>
    <w:rsid w:val="00AB584A"/>
    <w:rsid w:val="00AB614A"/>
    <w:rsid w:val="00AB64F1"/>
    <w:rsid w:val="00AC0450"/>
    <w:rsid w:val="00AC244F"/>
    <w:rsid w:val="00AC26F0"/>
    <w:rsid w:val="00AC3A9D"/>
    <w:rsid w:val="00AC3AD2"/>
    <w:rsid w:val="00AC3F10"/>
    <w:rsid w:val="00AC4E3D"/>
    <w:rsid w:val="00AC50C7"/>
    <w:rsid w:val="00AC52E8"/>
    <w:rsid w:val="00AC5392"/>
    <w:rsid w:val="00AC5692"/>
    <w:rsid w:val="00AC5C11"/>
    <w:rsid w:val="00AC5E59"/>
    <w:rsid w:val="00AC621F"/>
    <w:rsid w:val="00AC7024"/>
    <w:rsid w:val="00AC74BA"/>
    <w:rsid w:val="00AC78E2"/>
    <w:rsid w:val="00AD0245"/>
    <w:rsid w:val="00AD07D9"/>
    <w:rsid w:val="00AD2798"/>
    <w:rsid w:val="00AD3EAD"/>
    <w:rsid w:val="00AD51F6"/>
    <w:rsid w:val="00AD6D93"/>
    <w:rsid w:val="00AD7EC4"/>
    <w:rsid w:val="00AE3727"/>
    <w:rsid w:val="00AE4151"/>
    <w:rsid w:val="00AE5526"/>
    <w:rsid w:val="00AE58BC"/>
    <w:rsid w:val="00AE679D"/>
    <w:rsid w:val="00AE7D83"/>
    <w:rsid w:val="00AF0E7D"/>
    <w:rsid w:val="00AF0FBD"/>
    <w:rsid w:val="00AF11BB"/>
    <w:rsid w:val="00AF14A8"/>
    <w:rsid w:val="00AF21BA"/>
    <w:rsid w:val="00AF28F7"/>
    <w:rsid w:val="00AF2CA4"/>
    <w:rsid w:val="00AF75C8"/>
    <w:rsid w:val="00B00C95"/>
    <w:rsid w:val="00B02F48"/>
    <w:rsid w:val="00B0365B"/>
    <w:rsid w:val="00B07996"/>
    <w:rsid w:val="00B11AB2"/>
    <w:rsid w:val="00B12A68"/>
    <w:rsid w:val="00B153A5"/>
    <w:rsid w:val="00B214A6"/>
    <w:rsid w:val="00B217F9"/>
    <w:rsid w:val="00B21A39"/>
    <w:rsid w:val="00B23A4A"/>
    <w:rsid w:val="00B24BCB"/>
    <w:rsid w:val="00B26957"/>
    <w:rsid w:val="00B279AF"/>
    <w:rsid w:val="00B27EF5"/>
    <w:rsid w:val="00B306E5"/>
    <w:rsid w:val="00B30FB0"/>
    <w:rsid w:val="00B325DF"/>
    <w:rsid w:val="00B3346C"/>
    <w:rsid w:val="00B3464F"/>
    <w:rsid w:val="00B3465B"/>
    <w:rsid w:val="00B34B35"/>
    <w:rsid w:val="00B36575"/>
    <w:rsid w:val="00B36F99"/>
    <w:rsid w:val="00B417FD"/>
    <w:rsid w:val="00B41C7B"/>
    <w:rsid w:val="00B41DE1"/>
    <w:rsid w:val="00B430BB"/>
    <w:rsid w:val="00B436B6"/>
    <w:rsid w:val="00B437F9"/>
    <w:rsid w:val="00B43FD4"/>
    <w:rsid w:val="00B449EA"/>
    <w:rsid w:val="00B4552D"/>
    <w:rsid w:val="00B50A9D"/>
    <w:rsid w:val="00B50DFB"/>
    <w:rsid w:val="00B53DA1"/>
    <w:rsid w:val="00B54B86"/>
    <w:rsid w:val="00B55DC4"/>
    <w:rsid w:val="00B55EAC"/>
    <w:rsid w:val="00B612C2"/>
    <w:rsid w:val="00B63555"/>
    <w:rsid w:val="00B65007"/>
    <w:rsid w:val="00B65C50"/>
    <w:rsid w:val="00B65D44"/>
    <w:rsid w:val="00B7062E"/>
    <w:rsid w:val="00B712FB"/>
    <w:rsid w:val="00B71B6E"/>
    <w:rsid w:val="00B7219B"/>
    <w:rsid w:val="00B7395F"/>
    <w:rsid w:val="00B74753"/>
    <w:rsid w:val="00B74B7B"/>
    <w:rsid w:val="00B763D8"/>
    <w:rsid w:val="00B775E3"/>
    <w:rsid w:val="00B80265"/>
    <w:rsid w:val="00B80677"/>
    <w:rsid w:val="00B80CB5"/>
    <w:rsid w:val="00B860E8"/>
    <w:rsid w:val="00B86AC0"/>
    <w:rsid w:val="00B86CF5"/>
    <w:rsid w:val="00B86E6C"/>
    <w:rsid w:val="00B87E9A"/>
    <w:rsid w:val="00B904CD"/>
    <w:rsid w:val="00B9080B"/>
    <w:rsid w:val="00B912E4"/>
    <w:rsid w:val="00B91BCF"/>
    <w:rsid w:val="00B93BE0"/>
    <w:rsid w:val="00B94287"/>
    <w:rsid w:val="00B95D4C"/>
    <w:rsid w:val="00B95EEB"/>
    <w:rsid w:val="00B9709A"/>
    <w:rsid w:val="00BA095E"/>
    <w:rsid w:val="00BA1D79"/>
    <w:rsid w:val="00BA2BD2"/>
    <w:rsid w:val="00BA457D"/>
    <w:rsid w:val="00BA5A33"/>
    <w:rsid w:val="00BA5EE9"/>
    <w:rsid w:val="00BA7570"/>
    <w:rsid w:val="00BA79F5"/>
    <w:rsid w:val="00BB13DD"/>
    <w:rsid w:val="00BB20D5"/>
    <w:rsid w:val="00BB2613"/>
    <w:rsid w:val="00BB3806"/>
    <w:rsid w:val="00BB3FD2"/>
    <w:rsid w:val="00BB4EC0"/>
    <w:rsid w:val="00BB7C34"/>
    <w:rsid w:val="00BB7FAD"/>
    <w:rsid w:val="00BC0DE2"/>
    <w:rsid w:val="00BC41A6"/>
    <w:rsid w:val="00BC4461"/>
    <w:rsid w:val="00BC567E"/>
    <w:rsid w:val="00BC6B4D"/>
    <w:rsid w:val="00BC71E9"/>
    <w:rsid w:val="00BC72CC"/>
    <w:rsid w:val="00BD12C9"/>
    <w:rsid w:val="00BD137C"/>
    <w:rsid w:val="00BD1FFB"/>
    <w:rsid w:val="00BD26A2"/>
    <w:rsid w:val="00BD3063"/>
    <w:rsid w:val="00BD5EEB"/>
    <w:rsid w:val="00BE09BF"/>
    <w:rsid w:val="00BE0CCF"/>
    <w:rsid w:val="00BE1249"/>
    <w:rsid w:val="00BE258D"/>
    <w:rsid w:val="00BE2619"/>
    <w:rsid w:val="00BE5287"/>
    <w:rsid w:val="00BE5D49"/>
    <w:rsid w:val="00BE6330"/>
    <w:rsid w:val="00BE662B"/>
    <w:rsid w:val="00BE75CD"/>
    <w:rsid w:val="00BF0359"/>
    <w:rsid w:val="00BF076E"/>
    <w:rsid w:val="00BF0C24"/>
    <w:rsid w:val="00BF160B"/>
    <w:rsid w:val="00BF568E"/>
    <w:rsid w:val="00BF796A"/>
    <w:rsid w:val="00C00CA9"/>
    <w:rsid w:val="00C01370"/>
    <w:rsid w:val="00C015DB"/>
    <w:rsid w:val="00C0193F"/>
    <w:rsid w:val="00C033AC"/>
    <w:rsid w:val="00C03539"/>
    <w:rsid w:val="00C03FE9"/>
    <w:rsid w:val="00C04EC8"/>
    <w:rsid w:val="00C076E0"/>
    <w:rsid w:val="00C07A8E"/>
    <w:rsid w:val="00C07E24"/>
    <w:rsid w:val="00C1045F"/>
    <w:rsid w:val="00C13E36"/>
    <w:rsid w:val="00C14D11"/>
    <w:rsid w:val="00C14F82"/>
    <w:rsid w:val="00C15503"/>
    <w:rsid w:val="00C15C23"/>
    <w:rsid w:val="00C15C6E"/>
    <w:rsid w:val="00C15E8B"/>
    <w:rsid w:val="00C167F6"/>
    <w:rsid w:val="00C1731A"/>
    <w:rsid w:val="00C1735A"/>
    <w:rsid w:val="00C1786B"/>
    <w:rsid w:val="00C20962"/>
    <w:rsid w:val="00C220E5"/>
    <w:rsid w:val="00C249DB"/>
    <w:rsid w:val="00C24ABD"/>
    <w:rsid w:val="00C2596C"/>
    <w:rsid w:val="00C2613A"/>
    <w:rsid w:val="00C31491"/>
    <w:rsid w:val="00C3215E"/>
    <w:rsid w:val="00C321C2"/>
    <w:rsid w:val="00C34725"/>
    <w:rsid w:val="00C353F7"/>
    <w:rsid w:val="00C355D4"/>
    <w:rsid w:val="00C4094E"/>
    <w:rsid w:val="00C4232B"/>
    <w:rsid w:val="00C430EC"/>
    <w:rsid w:val="00C4380C"/>
    <w:rsid w:val="00C43A54"/>
    <w:rsid w:val="00C4588F"/>
    <w:rsid w:val="00C46268"/>
    <w:rsid w:val="00C46751"/>
    <w:rsid w:val="00C46C10"/>
    <w:rsid w:val="00C46F42"/>
    <w:rsid w:val="00C47C76"/>
    <w:rsid w:val="00C47D62"/>
    <w:rsid w:val="00C50E40"/>
    <w:rsid w:val="00C533E7"/>
    <w:rsid w:val="00C54926"/>
    <w:rsid w:val="00C55941"/>
    <w:rsid w:val="00C571EB"/>
    <w:rsid w:val="00C60561"/>
    <w:rsid w:val="00C61AD8"/>
    <w:rsid w:val="00C623EA"/>
    <w:rsid w:val="00C62D30"/>
    <w:rsid w:val="00C63900"/>
    <w:rsid w:val="00C6393A"/>
    <w:rsid w:val="00C64115"/>
    <w:rsid w:val="00C6502E"/>
    <w:rsid w:val="00C66EEB"/>
    <w:rsid w:val="00C670AF"/>
    <w:rsid w:val="00C67371"/>
    <w:rsid w:val="00C70D75"/>
    <w:rsid w:val="00C720C8"/>
    <w:rsid w:val="00C72166"/>
    <w:rsid w:val="00C729B0"/>
    <w:rsid w:val="00C72D54"/>
    <w:rsid w:val="00C735A7"/>
    <w:rsid w:val="00C735B1"/>
    <w:rsid w:val="00C745F4"/>
    <w:rsid w:val="00C75116"/>
    <w:rsid w:val="00C75A39"/>
    <w:rsid w:val="00C764A6"/>
    <w:rsid w:val="00C77444"/>
    <w:rsid w:val="00C77D9E"/>
    <w:rsid w:val="00C8083C"/>
    <w:rsid w:val="00C80C0B"/>
    <w:rsid w:val="00C821F1"/>
    <w:rsid w:val="00C822B4"/>
    <w:rsid w:val="00C82958"/>
    <w:rsid w:val="00C82D78"/>
    <w:rsid w:val="00C82FCB"/>
    <w:rsid w:val="00C830D2"/>
    <w:rsid w:val="00C84036"/>
    <w:rsid w:val="00C842DF"/>
    <w:rsid w:val="00C85ED2"/>
    <w:rsid w:val="00C86C31"/>
    <w:rsid w:val="00C878E8"/>
    <w:rsid w:val="00C87DDC"/>
    <w:rsid w:val="00C902BC"/>
    <w:rsid w:val="00C9040C"/>
    <w:rsid w:val="00C90E96"/>
    <w:rsid w:val="00C90FB4"/>
    <w:rsid w:val="00C914B5"/>
    <w:rsid w:val="00C9232A"/>
    <w:rsid w:val="00C928DD"/>
    <w:rsid w:val="00C9447F"/>
    <w:rsid w:val="00C95001"/>
    <w:rsid w:val="00C96880"/>
    <w:rsid w:val="00C97B20"/>
    <w:rsid w:val="00CA141B"/>
    <w:rsid w:val="00CA4A90"/>
    <w:rsid w:val="00CA6471"/>
    <w:rsid w:val="00CB0FA1"/>
    <w:rsid w:val="00CB215F"/>
    <w:rsid w:val="00CB25C5"/>
    <w:rsid w:val="00CB2C54"/>
    <w:rsid w:val="00CB5436"/>
    <w:rsid w:val="00CB61CA"/>
    <w:rsid w:val="00CB64B3"/>
    <w:rsid w:val="00CB6CDF"/>
    <w:rsid w:val="00CC0176"/>
    <w:rsid w:val="00CC14C1"/>
    <w:rsid w:val="00CC1C73"/>
    <w:rsid w:val="00CC3790"/>
    <w:rsid w:val="00CC42A3"/>
    <w:rsid w:val="00CC688B"/>
    <w:rsid w:val="00CC6A94"/>
    <w:rsid w:val="00CC6BFE"/>
    <w:rsid w:val="00CC71D2"/>
    <w:rsid w:val="00CC7B7A"/>
    <w:rsid w:val="00CD0225"/>
    <w:rsid w:val="00CD06BB"/>
    <w:rsid w:val="00CD215E"/>
    <w:rsid w:val="00CD233F"/>
    <w:rsid w:val="00CD3C72"/>
    <w:rsid w:val="00CD4289"/>
    <w:rsid w:val="00CD6779"/>
    <w:rsid w:val="00CE19A4"/>
    <w:rsid w:val="00CE292B"/>
    <w:rsid w:val="00CE2EC8"/>
    <w:rsid w:val="00CE41A3"/>
    <w:rsid w:val="00CE41BA"/>
    <w:rsid w:val="00CE63D8"/>
    <w:rsid w:val="00CE6E47"/>
    <w:rsid w:val="00CF00E9"/>
    <w:rsid w:val="00CF1DD2"/>
    <w:rsid w:val="00CF3164"/>
    <w:rsid w:val="00CF3335"/>
    <w:rsid w:val="00CF504D"/>
    <w:rsid w:val="00CF600B"/>
    <w:rsid w:val="00CF63DB"/>
    <w:rsid w:val="00CF6F8D"/>
    <w:rsid w:val="00CF7D24"/>
    <w:rsid w:val="00D00754"/>
    <w:rsid w:val="00D012B8"/>
    <w:rsid w:val="00D015B1"/>
    <w:rsid w:val="00D02A63"/>
    <w:rsid w:val="00D02F57"/>
    <w:rsid w:val="00D05381"/>
    <w:rsid w:val="00D0641C"/>
    <w:rsid w:val="00D06954"/>
    <w:rsid w:val="00D0718B"/>
    <w:rsid w:val="00D07E35"/>
    <w:rsid w:val="00D122BE"/>
    <w:rsid w:val="00D124B5"/>
    <w:rsid w:val="00D1382C"/>
    <w:rsid w:val="00D14FFA"/>
    <w:rsid w:val="00D164C5"/>
    <w:rsid w:val="00D16A7F"/>
    <w:rsid w:val="00D16B79"/>
    <w:rsid w:val="00D201AA"/>
    <w:rsid w:val="00D20484"/>
    <w:rsid w:val="00D20E6F"/>
    <w:rsid w:val="00D23C67"/>
    <w:rsid w:val="00D24467"/>
    <w:rsid w:val="00D24599"/>
    <w:rsid w:val="00D26DDD"/>
    <w:rsid w:val="00D307ED"/>
    <w:rsid w:val="00D30BF9"/>
    <w:rsid w:val="00D3238F"/>
    <w:rsid w:val="00D32963"/>
    <w:rsid w:val="00D32BDD"/>
    <w:rsid w:val="00D34922"/>
    <w:rsid w:val="00D3539C"/>
    <w:rsid w:val="00D402D2"/>
    <w:rsid w:val="00D40767"/>
    <w:rsid w:val="00D41649"/>
    <w:rsid w:val="00D43C31"/>
    <w:rsid w:val="00D50649"/>
    <w:rsid w:val="00D50C6B"/>
    <w:rsid w:val="00D51AD7"/>
    <w:rsid w:val="00D51DFA"/>
    <w:rsid w:val="00D52449"/>
    <w:rsid w:val="00D5463D"/>
    <w:rsid w:val="00D55312"/>
    <w:rsid w:val="00D55AB4"/>
    <w:rsid w:val="00D56378"/>
    <w:rsid w:val="00D57E3A"/>
    <w:rsid w:val="00D612A0"/>
    <w:rsid w:val="00D61692"/>
    <w:rsid w:val="00D617C0"/>
    <w:rsid w:val="00D638DB"/>
    <w:rsid w:val="00D63DAD"/>
    <w:rsid w:val="00D64D67"/>
    <w:rsid w:val="00D65C93"/>
    <w:rsid w:val="00D742EE"/>
    <w:rsid w:val="00D74CDC"/>
    <w:rsid w:val="00D75659"/>
    <w:rsid w:val="00D75F83"/>
    <w:rsid w:val="00D7746D"/>
    <w:rsid w:val="00D80F20"/>
    <w:rsid w:val="00D81CFB"/>
    <w:rsid w:val="00D8377F"/>
    <w:rsid w:val="00D8407B"/>
    <w:rsid w:val="00D8489F"/>
    <w:rsid w:val="00D85B3E"/>
    <w:rsid w:val="00D863E3"/>
    <w:rsid w:val="00D8698D"/>
    <w:rsid w:val="00D86EEB"/>
    <w:rsid w:val="00D87091"/>
    <w:rsid w:val="00D8751C"/>
    <w:rsid w:val="00D87C9D"/>
    <w:rsid w:val="00D909D8"/>
    <w:rsid w:val="00D929AA"/>
    <w:rsid w:val="00D92C4F"/>
    <w:rsid w:val="00D92DCB"/>
    <w:rsid w:val="00D9317D"/>
    <w:rsid w:val="00D932F8"/>
    <w:rsid w:val="00D933B7"/>
    <w:rsid w:val="00D94190"/>
    <w:rsid w:val="00D94607"/>
    <w:rsid w:val="00D94729"/>
    <w:rsid w:val="00D977D6"/>
    <w:rsid w:val="00DA0436"/>
    <w:rsid w:val="00DA0687"/>
    <w:rsid w:val="00DA1106"/>
    <w:rsid w:val="00DA333D"/>
    <w:rsid w:val="00DA37D6"/>
    <w:rsid w:val="00DA3911"/>
    <w:rsid w:val="00DA4AD2"/>
    <w:rsid w:val="00DA4E5B"/>
    <w:rsid w:val="00DA5841"/>
    <w:rsid w:val="00DA65C4"/>
    <w:rsid w:val="00DA7F05"/>
    <w:rsid w:val="00DB0127"/>
    <w:rsid w:val="00DB032F"/>
    <w:rsid w:val="00DB0D4B"/>
    <w:rsid w:val="00DB688E"/>
    <w:rsid w:val="00DB6DCC"/>
    <w:rsid w:val="00DB6F6F"/>
    <w:rsid w:val="00DB778A"/>
    <w:rsid w:val="00DB7AE4"/>
    <w:rsid w:val="00DC0CB8"/>
    <w:rsid w:val="00DC1755"/>
    <w:rsid w:val="00DC1F90"/>
    <w:rsid w:val="00DC25EB"/>
    <w:rsid w:val="00DC26D4"/>
    <w:rsid w:val="00DC2B06"/>
    <w:rsid w:val="00DC483A"/>
    <w:rsid w:val="00DC4BA5"/>
    <w:rsid w:val="00DC4DBC"/>
    <w:rsid w:val="00DC51B5"/>
    <w:rsid w:val="00DC5CF1"/>
    <w:rsid w:val="00DC64FF"/>
    <w:rsid w:val="00DC73EE"/>
    <w:rsid w:val="00DC749A"/>
    <w:rsid w:val="00DC7CD9"/>
    <w:rsid w:val="00DC7FAF"/>
    <w:rsid w:val="00DD3BC9"/>
    <w:rsid w:val="00DD4A83"/>
    <w:rsid w:val="00DD4A96"/>
    <w:rsid w:val="00DD5AA0"/>
    <w:rsid w:val="00DD5D90"/>
    <w:rsid w:val="00DD6BFD"/>
    <w:rsid w:val="00DD782C"/>
    <w:rsid w:val="00DD79BA"/>
    <w:rsid w:val="00DE00AD"/>
    <w:rsid w:val="00DE0630"/>
    <w:rsid w:val="00DE0ABD"/>
    <w:rsid w:val="00DE0B6C"/>
    <w:rsid w:val="00DE0BB4"/>
    <w:rsid w:val="00DE20B8"/>
    <w:rsid w:val="00DE2935"/>
    <w:rsid w:val="00DE2F08"/>
    <w:rsid w:val="00DE3C04"/>
    <w:rsid w:val="00DE4045"/>
    <w:rsid w:val="00DE451D"/>
    <w:rsid w:val="00DE574D"/>
    <w:rsid w:val="00DE5795"/>
    <w:rsid w:val="00DE5A26"/>
    <w:rsid w:val="00DE5EE7"/>
    <w:rsid w:val="00DE6A71"/>
    <w:rsid w:val="00DE76DE"/>
    <w:rsid w:val="00DE7F1A"/>
    <w:rsid w:val="00DF0123"/>
    <w:rsid w:val="00DF2B15"/>
    <w:rsid w:val="00DF319B"/>
    <w:rsid w:val="00DF52F2"/>
    <w:rsid w:val="00DF5A0C"/>
    <w:rsid w:val="00DF63A0"/>
    <w:rsid w:val="00DF7342"/>
    <w:rsid w:val="00E02BD3"/>
    <w:rsid w:val="00E03E32"/>
    <w:rsid w:val="00E046A3"/>
    <w:rsid w:val="00E05800"/>
    <w:rsid w:val="00E05EF0"/>
    <w:rsid w:val="00E07410"/>
    <w:rsid w:val="00E10577"/>
    <w:rsid w:val="00E132AE"/>
    <w:rsid w:val="00E132E9"/>
    <w:rsid w:val="00E14015"/>
    <w:rsid w:val="00E14A25"/>
    <w:rsid w:val="00E22A3C"/>
    <w:rsid w:val="00E22E42"/>
    <w:rsid w:val="00E233D1"/>
    <w:rsid w:val="00E23882"/>
    <w:rsid w:val="00E248C5"/>
    <w:rsid w:val="00E24931"/>
    <w:rsid w:val="00E24A78"/>
    <w:rsid w:val="00E25268"/>
    <w:rsid w:val="00E25388"/>
    <w:rsid w:val="00E269E2"/>
    <w:rsid w:val="00E26C2A"/>
    <w:rsid w:val="00E27900"/>
    <w:rsid w:val="00E30244"/>
    <w:rsid w:val="00E3266A"/>
    <w:rsid w:val="00E32D6B"/>
    <w:rsid w:val="00E3354E"/>
    <w:rsid w:val="00E34893"/>
    <w:rsid w:val="00E35DCE"/>
    <w:rsid w:val="00E371FD"/>
    <w:rsid w:val="00E37B45"/>
    <w:rsid w:val="00E412B8"/>
    <w:rsid w:val="00E414CB"/>
    <w:rsid w:val="00E418CF"/>
    <w:rsid w:val="00E426C9"/>
    <w:rsid w:val="00E42F97"/>
    <w:rsid w:val="00E45947"/>
    <w:rsid w:val="00E45E01"/>
    <w:rsid w:val="00E47790"/>
    <w:rsid w:val="00E47EC6"/>
    <w:rsid w:val="00E51158"/>
    <w:rsid w:val="00E51D63"/>
    <w:rsid w:val="00E52A40"/>
    <w:rsid w:val="00E52DD1"/>
    <w:rsid w:val="00E534E2"/>
    <w:rsid w:val="00E5359F"/>
    <w:rsid w:val="00E546D8"/>
    <w:rsid w:val="00E55CFB"/>
    <w:rsid w:val="00E561B6"/>
    <w:rsid w:val="00E56864"/>
    <w:rsid w:val="00E57B00"/>
    <w:rsid w:val="00E60EC9"/>
    <w:rsid w:val="00E640BA"/>
    <w:rsid w:val="00E65616"/>
    <w:rsid w:val="00E657C9"/>
    <w:rsid w:val="00E66105"/>
    <w:rsid w:val="00E700CE"/>
    <w:rsid w:val="00E712FC"/>
    <w:rsid w:val="00E713EF"/>
    <w:rsid w:val="00E723FE"/>
    <w:rsid w:val="00E734F2"/>
    <w:rsid w:val="00E73F8B"/>
    <w:rsid w:val="00E741BA"/>
    <w:rsid w:val="00E74701"/>
    <w:rsid w:val="00E74A13"/>
    <w:rsid w:val="00E74B8F"/>
    <w:rsid w:val="00E76CD3"/>
    <w:rsid w:val="00E801A5"/>
    <w:rsid w:val="00E817A2"/>
    <w:rsid w:val="00E819AC"/>
    <w:rsid w:val="00E832D7"/>
    <w:rsid w:val="00E8458C"/>
    <w:rsid w:val="00E84814"/>
    <w:rsid w:val="00E853C9"/>
    <w:rsid w:val="00E86792"/>
    <w:rsid w:val="00E90D22"/>
    <w:rsid w:val="00E91029"/>
    <w:rsid w:val="00E91598"/>
    <w:rsid w:val="00E92A4E"/>
    <w:rsid w:val="00E933E0"/>
    <w:rsid w:val="00E95043"/>
    <w:rsid w:val="00E962A0"/>
    <w:rsid w:val="00EA0966"/>
    <w:rsid w:val="00EA0A1C"/>
    <w:rsid w:val="00EA165F"/>
    <w:rsid w:val="00EA1810"/>
    <w:rsid w:val="00EA1FE1"/>
    <w:rsid w:val="00EA273D"/>
    <w:rsid w:val="00EA5DD9"/>
    <w:rsid w:val="00EB00B0"/>
    <w:rsid w:val="00EB2EB4"/>
    <w:rsid w:val="00EB3917"/>
    <w:rsid w:val="00EB5B26"/>
    <w:rsid w:val="00EB64AA"/>
    <w:rsid w:val="00EB652A"/>
    <w:rsid w:val="00EB6FA3"/>
    <w:rsid w:val="00EB78BE"/>
    <w:rsid w:val="00EB7DBD"/>
    <w:rsid w:val="00EC05CC"/>
    <w:rsid w:val="00EC086F"/>
    <w:rsid w:val="00EC0DAD"/>
    <w:rsid w:val="00EC130B"/>
    <w:rsid w:val="00EC3506"/>
    <w:rsid w:val="00EC3A40"/>
    <w:rsid w:val="00EC3ED4"/>
    <w:rsid w:val="00EC4A77"/>
    <w:rsid w:val="00EC4A8B"/>
    <w:rsid w:val="00EC4BE7"/>
    <w:rsid w:val="00EC4C13"/>
    <w:rsid w:val="00EC5C20"/>
    <w:rsid w:val="00EC6084"/>
    <w:rsid w:val="00EC614C"/>
    <w:rsid w:val="00EC706A"/>
    <w:rsid w:val="00ED05F1"/>
    <w:rsid w:val="00ED06F4"/>
    <w:rsid w:val="00ED1808"/>
    <w:rsid w:val="00ED2435"/>
    <w:rsid w:val="00ED283E"/>
    <w:rsid w:val="00ED351A"/>
    <w:rsid w:val="00ED38B0"/>
    <w:rsid w:val="00ED3AE1"/>
    <w:rsid w:val="00ED4041"/>
    <w:rsid w:val="00ED7A23"/>
    <w:rsid w:val="00EE13CA"/>
    <w:rsid w:val="00EE19B3"/>
    <w:rsid w:val="00EE3EBE"/>
    <w:rsid w:val="00EE4DB3"/>
    <w:rsid w:val="00EE554E"/>
    <w:rsid w:val="00EE5CC6"/>
    <w:rsid w:val="00EE7458"/>
    <w:rsid w:val="00EF0944"/>
    <w:rsid w:val="00EF1931"/>
    <w:rsid w:val="00EF294E"/>
    <w:rsid w:val="00EF2EFE"/>
    <w:rsid w:val="00EF39F8"/>
    <w:rsid w:val="00EF3FE4"/>
    <w:rsid w:val="00EF4433"/>
    <w:rsid w:val="00EF4565"/>
    <w:rsid w:val="00EF60EB"/>
    <w:rsid w:val="00EF7876"/>
    <w:rsid w:val="00F01001"/>
    <w:rsid w:val="00F013A1"/>
    <w:rsid w:val="00F02436"/>
    <w:rsid w:val="00F02ED3"/>
    <w:rsid w:val="00F03627"/>
    <w:rsid w:val="00F04978"/>
    <w:rsid w:val="00F0564F"/>
    <w:rsid w:val="00F05AB2"/>
    <w:rsid w:val="00F07200"/>
    <w:rsid w:val="00F10A1D"/>
    <w:rsid w:val="00F131AD"/>
    <w:rsid w:val="00F142FF"/>
    <w:rsid w:val="00F147FA"/>
    <w:rsid w:val="00F14A12"/>
    <w:rsid w:val="00F14A77"/>
    <w:rsid w:val="00F167CF"/>
    <w:rsid w:val="00F17652"/>
    <w:rsid w:val="00F17B7B"/>
    <w:rsid w:val="00F2099A"/>
    <w:rsid w:val="00F21AE2"/>
    <w:rsid w:val="00F21BD9"/>
    <w:rsid w:val="00F2209A"/>
    <w:rsid w:val="00F22F7D"/>
    <w:rsid w:val="00F23239"/>
    <w:rsid w:val="00F235EF"/>
    <w:rsid w:val="00F23A65"/>
    <w:rsid w:val="00F252D8"/>
    <w:rsid w:val="00F25874"/>
    <w:rsid w:val="00F25912"/>
    <w:rsid w:val="00F25B21"/>
    <w:rsid w:val="00F27FE1"/>
    <w:rsid w:val="00F3080C"/>
    <w:rsid w:val="00F32907"/>
    <w:rsid w:val="00F33918"/>
    <w:rsid w:val="00F40377"/>
    <w:rsid w:val="00F42210"/>
    <w:rsid w:val="00F4296C"/>
    <w:rsid w:val="00F43F24"/>
    <w:rsid w:val="00F44405"/>
    <w:rsid w:val="00F44508"/>
    <w:rsid w:val="00F44B36"/>
    <w:rsid w:val="00F44B83"/>
    <w:rsid w:val="00F4579A"/>
    <w:rsid w:val="00F46976"/>
    <w:rsid w:val="00F46A02"/>
    <w:rsid w:val="00F50C5E"/>
    <w:rsid w:val="00F51DC7"/>
    <w:rsid w:val="00F52073"/>
    <w:rsid w:val="00F52F12"/>
    <w:rsid w:val="00F54920"/>
    <w:rsid w:val="00F553BB"/>
    <w:rsid w:val="00F556C9"/>
    <w:rsid w:val="00F55DD5"/>
    <w:rsid w:val="00F576AF"/>
    <w:rsid w:val="00F576C9"/>
    <w:rsid w:val="00F57A9D"/>
    <w:rsid w:val="00F57CA5"/>
    <w:rsid w:val="00F57F03"/>
    <w:rsid w:val="00F6074B"/>
    <w:rsid w:val="00F62440"/>
    <w:rsid w:val="00F63480"/>
    <w:rsid w:val="00F64072"/>
    <w:rsid w:val="00F64BB4"/>
    <w:rsid w:val="00F661B6"/>
    <w:rsid w:val="00F67AF4"/>
    <w:rsid w:val="00F70CEB"/>
    <w:rsid w:val="00F70DB8"/>
    <w:rsid w:val="00F7124C"/>
    <w:rsid w:val="00F71514"/>
    <w:rsid w:val="00F73A11"/>
    <w:rsid w:val="00F748C3"/>
    <w:rsid w:val="00F757F7"/>
    <w:rsid w:val="00F80693"/>
    <w:rsid w:val="00F8113D"/>
    <w:rsid w:val="00F829F9"/>
    <w:rsid w:val="00F8333D"/>
    <w:rsid w:val="00F84AFF"/>
    <w:rsid w:val="00F86F42"/>
    <w:rsid w:val="00F901C4"/>
    <w:rsid w:val="00F90E0C"/>
    <w:rsid w:val="00F916A0"/>
    <w:rsid w:val="00F92079"/>
    <w:rsid w:val="00F948FC"/>
    <w:rsid w:val="00F95BDF"/>
    <w:rsid w:val="00F96CFB"/>
    <w:rsid w:val="00F97AC1"/>
    <w:rsid w:val="00FA096B"/>
    <w:rsid w:val="00FA10BD"/>
    <w:rsid w:val="00FA1562"/>
    <w:rsid w:val="00FA1E85"/>
    <w:rsid w:val="00FA24AE"/>
    <w:rsid w:val="00FA47AF"/>
    <w:rsid w:val="00FA4E3F"/>
    <w:rsid w:val="00FA5030"/>
    <w:rsid w:val="00FA588D"/>
    <w:rsid w:val="00FA5CF1"/>
    <w:rsid w:val="00FA68A3"/>
    <w:rsid w:val="00FA72A8"/>
    <w:rsid w:val="00FA780F"/>
    <w:rsid w:val="00FB022C"/>
    <w:rsid w:val="00FB14AE"/>
    <w:rsid w:val="00FB425A"/>
    <w:rsid w:val="00FB4964"/>
    <w:rsid w:val="00FB51D3"/>
    <w:rsid w:val="00FB5329"/>
    <w:rsid w:val="00FB793E"/>
    <w:rsid w:val="00FC2C16"/>
    <w:rsid w:val="00FC310F"/>
    <w:rsid w:val="00FC5404"/>
    <w:rsid w:val="00FC57CE"/>
    <w:rsid w:val="00FC5A2A"/>
    <w:rsid w:val="00FC5D33"/>
    <w:rsid w:val="00FC5EE5"/>
    <w:rsid w:val="00FC7A58"/>
    <w:rsid w:val="00FC7CB8"/>
    <w:rsid w:val="00FD066B"/>
    <w:rsid w:val="00FD0CFE"/>
    <w:rsid w:val="00FD116C"/>
    <w:rsid w:val="00FD207E"/>
    <w:rsid w:val="00FD2465"/>
    <w:rsid w:val="00FD5543"/>
    <w:rsid w:val="00FD65D3"/>
    <w:rsid w:val="00FD74C4"/>
    <w:rsid w:val="00FD758B"/>
    <w:rsid w:val="00FD7FA1"/>
    <w:rsid w:val="00FE035D"/>
    <w:rsid w:val="00FE0634"/>
    <w:rsid w:val="00FE0A72"/>
    <w:rsid w:val="00FE10BA"/>
    <w:rsid w:val="00FE29B8"/>
    <w:rsid w:val="00FE6C2D"/>
    <w:rsid w:val="00FF06B9"/>
    <w:rsid w:val="00FF1134"/>
    <w:rsid w:val="00FF134C"/>
    <w:rsid w:val="00FF31EB"/>
    <w:rsid w:val="00FF34FC"/>
    <w:rsid w:val="00FF4B52"/>
    <w:rsid w:val="00FF6149"/>
    <w:rsid w:val="00FF759B"/>
    <w:rsid w:val="098D79B4"/>
    <w:rsid w:val="09BF390D"/>
    <w:rsid w:val="09F2225F"/>
    <w:rsid w:val="0BBC6BFC"/>
    <w:rsid w:val="0BCA55E1"/>
    <w:rsid w:val="0F3F5DDA"/>
    <w:rsid w:val="104B26C9"/>
    <w:rsid w:val="116E0E83"/>
    <w:rsid w:val="120167D7"/>
    <w:rsid w:val="14096B23"/>
    <w:rsid w:val="142373E7"/>
    <w:rsid w:val="17B25A57"/>
    <w:rsid w:val="189B0BAE"/>
    <w:rsid w:val="19891D45"/>
    <w:rsid w:val="1A8B2AA6"/>
    <w:rsid w:val="1B4F33BC"/>
    <w:rsid w:val="1E985D57"/>
    <w:rsid w:val="23445482"/>
    <w:rsid w:val="246C2851"/>
    <w:rsid w:val="25E60A73"/>
    <w:rsid w:val="26AE249E"/>
    <w:rsid w:val="27C37120"/>
    <w:rsid w:val="280B47C0"/>
    <w:rsid w:val="288A40A1"/>
    <w:rsid w:val="29C4731D"/>
    <w:rsid w:val="2AF2545D"/>
    <w:rsid w:val="2C796B27"/>
    <w:rsid w:val="2E124312"/>
    <w:rsid w:val="2F058F45"/>
    <w:rsid w:val="2F9800B7"/>
    <w:rsid w:val="30507371"/>
    <w:rsid w:val="31AA02C4"/>
    <w:rsid w:val="3302652F"/>
    <w:rsid w:val="3538296D"/>
    <w:rsid w:val="36BF3A62"/>
    <w:rsid w:val="37110DAA"/>
    <w:rsid w:val="38F85D21"/>
    <w:rsid w:val="3A723843"/>
    <w:rsid w:val="3BB4375E"/>
    <w:rsid w:val="3E38641C"/>
    <w:rsid w:val="3E4B6718"/>
    <w:rsid w:val="42766F64"/>
    <w:rsid w:val="43B55237"/>
    <w:rsid w:val="44DC2BC0"/>
    <w:rsid w:val="45511EC6"/>
    <w:rsid w:val="45C832BA"/>
    <w:rsid w:val="46FF82A4"/>
    <w:rsid w:val="4847568F"/>
    <w:rsid w:val="49AE2DA6"/>
    <w:rsid w:val="4AAE2DF8"/>
    <w:rsid w:val="4AF40C8C"/>
    <w:rsid w:val="50C30DFE"/>
    <w:rsid w:val="530B5516"/>
    <w:rsid w:val="5435659E"/>
    <w:rsid w:val="54A530A0"/>
    <w:rsid w:val="58B31B93"/>
    <w:rsid w:val="58FB666B"/>
    <w:rsid w:val="5C676AB3"/>
    <w:rsid w:val="5C98291A"/>
    <w:rsid w:val="5CA91C3A"/>
    <w:rsid w:val="5EA534D5"/>
    <w:rsid w:val="5EA53B3E"/>
    <w:rsid w:val="5FAD47D0"/>
    <w:rsid w:val="612D2712"/>
    <w:rsid w:val="62BB68AC"/>
    <w:rsid w:val="63C800D9"/>
    <w:rsid w:val="64BA4572"/>
    <w:rsid w:val="64F8164D"/>
    <w:rsid w:val="676D2BC3"/>
    <w:rsid w:val="679A4C3E"/>
    <w:rsid w:val="68BF3BFF"/>
    <w:rsid w:val="691933AE"/>
    <w:rsid w:val="6D4D62AE"/>
    <w:rsid w:val="6D5C7331"/>
    <w:rsid w:val="6E53004E"/>
    <w:rsid w:val="6FB74EFB"/>
    <w:rsid w:val="716D1C65"/>
    <w:rsid w:val="72426305"/>
    <w:rsid w:val="779125AE"/>
    <w:rsid w:val="77CE4490"/>
    <w:rsid w:val="77D45537"/>
    <w:rsid w:val="78653E54"/>
    <w:rsid w:val="7C0836A9"/>
    <w:rsid w:val="7C8B4568"/>
    <w:rsid w:val="FADE5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iPriority="1" w:semiHidden="0" w:name="endnote reference"/>
    <w:lsdException w:qFormat="1" w:uiPriority="1"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1"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9"/>
    <w:qFormat/>
    <w:uiPriority w:val="0"/>
    <w:pPr>
      <w:keepNext/>
      <w:jc w:val="center"/>
      <w:outlineLvl w:val="0"/>
    </w:pPr>
    <w:rPr>
      <w:sz w:val="28"/>
    </w:rPr>
  </w:style>
  <w:style w:type="paragraph" w:styleId="6">
    <w:name w:val="heading 2"/>
    <w:basedOn w:val="1"/>
    <w:next w:val="1"/>
    <w:link w:val="80"/>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81"/>
    <w:qFormat/>
    <w:uiPriority w:val="0"/>
    <w:pPr>
      <w:keepNext/>
      <w:keepLines/>
      <w:spacing w:before="260" w:after="260" w:line="416" w:lineRule="auto"/>
      <w:outlineLvl w:val="2"/>
    </w:pPr>
    <w:rPr>
      <w:b/>
      <w:bCs/>
      <w:sz w:val="32"/>
      <w:szCs w:val="32"/>
    </w:rPr>
  </w:style>
  <w:style w:type="paragraph" w:styleId="8">
    <w:name w:val="heading 4"/>
    <w:basedOn w:val="1"/>
    <w:next w:val="1"/>
    <w:link w:val="82"/>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83"/>
    <w:qFormat/>
    <w:uiPriority w:val="0"/>
    <w:pPr>
      <w:keepNext/>
      <w:keepLines/>
      <w:spacing w:before="280" w:after="290" w:line="376" w:lineRule="auto"/>
      <w:outlineLvl w:val="4"/>
    </w:pPr>
    <w:rPr>
      <w:b/>
      <w:bCs/>
      <w:sz w:val="28"/>
      <w:szCs w:val="28"/>
    </w:rPr>
  </w:style>
  <w:style w:type="paragraph" w:styleId="10">
    <w:name w:val="heading 6"/>
    <w:basedOn w:val="1"/>
    <w:next w:val="11"/>
    <w:link w:val="84"/>
    <w:qFormat/>
    <w:uiPriority w:val="0"/>
    <w:pPr>
      <w:keepNext/>
      <w:keepLines/>
      <w:tabs>
        <w:tab w:val="left" w:pos="1152"/>
      </w:tabs>
      <w:spacing w:before="240" w:after="64" w:line="320" w:lineRule="auto"/>
      <w:ind w:left="1152" w:hanging="1152"/>
      <w:jc w:val="left"/>
      <w:outlineLvl w:val="5"/>
    </w:pPr>
    <w:rPr>
      <w:rFonts w:ascii="Arial" w:hAnsi="Arial" w:eastAsia="黑体"/>
      <w:b/>
      <w:bCs/>
      <w:spacing w:val="6"/>
      <w:sz w:val="24"/>
    </w:rPr>
  </w:style>
  <w:style w:type="paragraph" w:styleId="12">
    <w:name w:val="heading 7"/>
    <w:basedOn w:val="1"/>
    <w:next w:val="11"/>
    <w:link w:val="86"/>
    <w:qFormat/>
    <w:uiPriority w:val="0"/>
    <w:pPr>
      <w:keepNext/>
      <w:keepLines/>
      <w:tabs>
        <w:tab w:val="left" w:pos="1296"/>
      </w:tabs>
      <w:spacing w:before="240" w:after="64" w:line="320" w:lineRule="auto"/>
      <w:ind w:left="1296" w:hanging="1296"/>
      <w:jc w:val="left"/>
      <w:outlineLvl w:val="6"/>
    </w:pPr>
    <w:rPr>
      <w:b/>
      <w:bCs/>
      <w:spacing w:val="6"/>
      <w:sz w:val="24"/>
    </w:rPr>
  </w:style>
  <w:style w:type="paragraph" w:styleId="13">
    <w:name w:val="heading 8"/>
    <w:basedOn w:val="1"/>
    <w:next w:val="11"/>
    <w:link w:val="87"/>
    <w:qFormat/>
    <w:uiPriority w:val="0"/>
    <w:pPr>
      <w:keepNext/>
      <w:keepLines/>
      <w:tabs>
        <w:tab w:val="left" w:pos="1440"/>
      </w:tabs>
      <w:spacing w:before="240" w:after="64" w:line="320" w:lineRule="auto"/>
      <w:ind w:left="1440" w:hanging="1440"/>
      <w:jc w:val="left"/>
      <w:outlineLvl w:val="7"/>
    </w:pPr>
    <w:rPr>
      <w:rFonts w:ascii="Arial" w:hAnsi="Arial" w:eastAsia="黑体"/>
      <w:spacing w:val="6"/>
      <w:sz w:val="24"/>
    </w:rPr>
  </w:style>
  <w:style w:type="paragraph" w:styleId="14">
    <w:name w:val="heading 9"/>
    <w:basedOn w:val="1"/>
    <w:next w:val="11"/>
    <w:link w:val="88"/>
    <w:qFormat/>
    <w:uiPriority w:val="0"/>
    <w:pPr>
      <w:keepNext/>
      <w:keepLines/>
      <w:tabs>
        <w:tab w:val="left" w:pos="1584"/>
      </w:tabs>
      <w:spacing w:before="240" w:after="64" w:line="320" w:lineRule="auto"/>
      <w:ind w:left="1584" w:hanging="1584"/>
      <w:jc w:val="left"/>
      <w:outlineLvl w:val="8"/>
    </w:pPr>
    <w:rPr>
      <w:rFonts w:ascii="Arial" w:hAnsi="Arial" w:eastAsia="黑体"/>
      <w:spacing w:val="6"/>
      <w:sz w:val="24"/>
    </w:rPr>
  </w:style>
  <w:style w:type="character" w:default="1" w:styleId="67">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7"/>
    <w:qFormat/>
    <w:uiPriority w:val="0"/>
    <w:rPr>
      <w:rFonts w:ascii="Arial" w:hAnsi="Arial"/>
      <w:bCs/>
      <w:sz w:val="24"/>
    </w:rPr>
  </w:style>
  <w:style w:type="paragraph" w:styleId="3">
    <w:name w:val="Body Text First Indent"/>
    <w:basedOn w:val="2"/>
    <w:link w:val="78"/>
    <w:qFormat/>
    <w:uiPriority w:val="0"/>
    <w:pPr>
      <w:spacing w:after="120"/>
      <w:ind w:firstLine="420" w:firstLineChars="100"/>
    </w:pPr>
    <w:rPr>
      <w:rFonts w:ascii="Times New Roman" w:hAnsi="Times New Roman"/>
      <w:bCs w:val="0"/>
      <w:sz w:val="21"/>
    </w:rPr>
  </w:style>
  <w:style w:type="paragraph" w:styleId="4">
    <w:name w:val="macro"/>
    <w:link w:val="49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hAnsi="Wingdings" w:eastAsia="Times New Roman" w:cs="Times New Roman"/>
      <w:kern w:val="2"/>
      <w:sz w:val="24"/>
      <w:szCs w:val="24"/>
      <w:lang w:val="en-US" w:eastAsia="zh-CN" w:bidi="ar-SA"/>
    </w:rPr>
  </w:style>
  <w:style w:type="paragraph" w:styleId="11">
    <w:name w:val="Normal Indent"/>
    <w:basedOn w:val="1"/>
    <w:link w:val="85"/>
    <w:qFormat/>
    <w:uiPriority w:val="0"/>
    <w:pPr>
      <w:spacing w:after="50"/>
      <w:ind w:firstLine="200" w:firstLineChars="200"/>
    </w:pPr>
    <w:rPr>
      <w:sz w:val="24"/>
      <w:szCs w:val="20"/>
    </w:rPr>
  </w:style>
  <w:style w:type="paragraph" w:styleId="15">
    <w:name w:val="List 3"/>
    <w:basedOn w:val="1"/>
    <w:qFormat/>
    <w:uiPriority w:val="0"/>
    <w:pPr>
      <w:ind w:left="100" w:leftChars="400" w:hanging="200" w:hangingChars="200"/>
    </w:pPr>
  </w:style>
  <w:style w:type="paragraph" w:styleId="16">
    <w:name w:val="toc 7"/>
    <w:basedOn w:val="1"/>
    <w:next w:val="1"/>
    <w:qFormat/>
    <w:uiPriority w:val="0"/>
    <w:pPr>
      <w:ind w:left="1260"/>
      <w:jc w:val="left"/>
    </w:pPr>
    <w:rPr>
      <w:sz w:val="18"/>
      <w:szCs w:val="18"/>
    </w:rPr>
  </w:style>
  <w:style w:type="paragraph" w:styleId="17">
    <w:name w:val="Note Heading"/>
    <w:basedOn w:val="1"/>
    <w:next w:val="1"/>
    <w:link w:val="491"/>
    <w:qFormat/>
    <w:uiPriority w:val="0"/>
    <w:pPr>
      <w:spacing w:line="360" w:lineRule="auto"/>
      <w:ind w:firstLine="200" w:firstLineChars="200"/>
      <w:jc w:val="center"/>
    </w:pPr>
    <w:rPr>
      <w:rFonts w:ascii="DFKai-SB" w:hAnsi="DFKai-SB" w:eastAsia="DFKai-SB" w:cs="等线"/>
      <w:sz w:val="20"/>
      <w:szCs w:val="20"/>
      <w:lang w:eastAsia="zh-TW"/>
    </w:rPr>
  </w:style>
  <w:style w:type="paragraph" w:styleId="18">
    <w:name w:val="List Number"/>
    <w:basedOn w:val="1"/>
    <w:qFormat/>
    <w:uiPriority w:val="0"/>
    <w:pPr>
      <w:tabs>
        <w:tab w:val="left" w:pos="360"/>
      </w:tabs>
      <w:ind w:left="360" w:hanging="360" w:hangingChars="200"/>
    </w:pPr>
    <w:rPr>
      <w:rFonts w:ascii="等线" w:hAnsi="等线" w:eastAsia="等线" w:cs="等线"/>
    </w:rPr>
  </w:style>
  <w:style w:type="paragraph" w:styleId="19">
    <w:name w:val="caption"/>
    <w:basedOn w:val="1"/>
    <w:next w:val="1"/>
    <w:link w:val="1236"/>
    <w:qFormat/>
    <w:uiPriority w:val="0"/>
    <w:rPr>
      <w:rFonts w:ascii="Arial" w:hAnsi="Arial" w:eastAsia="黑体" w:cs="Arial"/>
      <w:sz w:val="20"/>
      <w:szCs w:val="20"/>
    </w:rPr>
  </w:style>
  <w:style w:type="paragraph" w:styleId="20">
    <w:name w:val="List Bullet"/>
    <w:basedOn w:val="1"/>
    <w:qFormat/>
    <w:uiPriority w:val="0"/>
    <w:pPr>
      <w:spacing w:line="360" w:lineRule="auto"/>
    </w:pPr>
    <w:rPr>
      <w:rFonts w:ascii="Arial Unicode MS" w:hAnsi="Arial Unicode MS" w:eastAsia="Arial Unicode MS" w:cs="长城仿宋"/>
      <w:sz w:val="20"/>
      <w:szCs w:val="20"/>
    </w:rPr>
  </w:style>
  <w:style w:type="paragraph" w:styleId="21">
    <w:name w:val="Document Map"/>
    <w:basedOn w:val="1"/>
    <w:link w:val="89"/>
    <w:qFormat/>
    <w:uiPriority w:val="0"/>
    <w:pPr>
      <w:shd w:val="clear" w:color="auto" w:fill="000080"/>
    </w:pPr>
  </w:style>
  <w:style w:type="paragraph" w:styleId="22">
    <w:name w:val="toa heading"/>
    <w:basedOn w:val="1"/>
    <w:next w:val="1"/>
    <w:qFormat/>
    <w:uiPriority w:val="0"/>
    <w:pPr>
      <w:spacing w:before="120"/>
    </w:pPr>
    <w:rPr>
      <w:rFonts w:ascii="Arial" w:hAnsi="Arial" w:cs="Arial"/>
      <w:sz w:val="24"/>
    </w:rPr>
  </w:style>
  <w:style w:type="paragraph" w:styleId="23">
    <w:name w:val="annotation text"/>
    <w:basedOn w:val="1"/>
    <w:link w:val="90"/>
    <w:qFormat/>
    <w:uiPriority w:val="0"/>
    <w:pPr>
      <w:jc w:val="left"/>
    </w:pPr>
  </w:style>
  <w:style w:type="paragraph" w:styleId="24">
    <w:name w:val="Salutation"/>
    <w:basedOn w:val="1"/>
    <w:next w:val="1"/>
    <w:link w:val="296"/>
    <w:qFormat/>
    <w:uiPriority w:val="0"/>
    <w:rPr>
      <w:rFonts w:ascii="长城仿宋" w:hAnsi="长城仿宋"/>
      <w:sz w:val="24"/>
    </w:rPr>
  </w:style>
  <w:style w:type="paragraph" w:styleId="25">
    <w:name w:val="Body Text 3"/>
    <w:basedOn w:val="1"/>
    <w:link w:val="91"/>
    <w:qFormat/>
    <w:uiPriority w:val="0"/>
    <w:pPr>
      <w:spacing w:before="312" w:beforeLines="100" w:after="312" w:afterLines="100" w:line="400" w:lineRule="exact"/>
    </w:pPr>
    <w:rPr>
      <w:rFonts w:ascii="宋体" w:hAnsi="宋体"/>
      <w:sz w:val="24"/>
    </w:rPr>
  </w:style>
  <w:style w:type="paragraph" w:styleId="26">
    <w:name w:val="List Bullet 3"/>
    <w:basedOn w:val="1"/>
    <w:qFormat/>
    <w:uiPriority w:val="0"/>
    <w:pPr>
      <w:tabs>
        <w:tab w:val="left" w:pos="1321"/>
        <w:tab w:val="left" w:pos="2281"/>
      </w:tabs>
      <w:adjustRightInd w:val="0"/>
      <w:spacing w:line="360" w:lineRule="atLeast"/>
      <w:ind w:left="1321" w:leftChars="600" w:hanging="200" w:hangingChars="200"/>
      <w:jc w:val="left"/>
      <w:textAlignment w:val="baseline"/>
    </w:pPr>
    <w:rPr>
      <w:rFonts w:ascii="等线" w:hAnsi="等线" w:eastAsia="PMingLiU" w:cs="等线"/>
      <w:kern w:val="0"/>
      <w:sz w:val="24"/>
      <w:szCs w:val="20"/>
      <w:lang w:eastAsia="zh-TW"/>
    </w:rPr>
  </w:style>
  <w:style w:type="paragraph" w:styleId="27">
    <w:name w:val="Body Text Indent"/>
    <w:basedOn w:val="1"/>
    <w:link w:val="92"/>
    <w:qFormat/>
    <w:uiPriority w:val="0"/>
    <w:pPr>
      <w:autoSpaceDE w:val="0"/>
      <w:autoSpaceDN w:val="0"/>
      <w:adjustRightInd w:val="0"/>
      <w:snapToGrid w:val="0"/>
      <w:spacing w:line="320" w:lineRule="atLeast"/>
      <w:ind w:firstLine="480"/>
      <w:textAlignment w:val="bottom"/>
    </w:pPr>
    <w:rPr>
      <w:rFonts w:ascii="仿宋_GB2312" w:eastAsia="仿宋_GB2312"/>
      <w:b/>
      <w:bCs/>
      <w:color w:val="000000"/>
      <w:sz w:val="24"/>
    </w:rPr>
  </w:style>
  <w:style w:type="paragraph" w:styleId="28">
    <w:name w:val="List Number 3"/>
    <w:basedOn w:val="1"/>
    <w:qFormat/>
    <w:uiPriority w:val="0"/>
    <w:pPr>
      <w:widowControl/>
      <w:tabs>
        <w:tab w:val="left" w:pos="1080"/>
        <w:tab w:val="left" w:pos="1200"/>
      </w:tabs>
      <w:ind w:left="1080" w:hanging="1080"/>
      <w:contextualSpacing/>
      <w:jc w:val="left"/>
    </w:pPr>
    <w:rPr>
      <w:kern w:val="0"/>
      <w:szCs w:val="20"/>
    </w:rPr>
  </w:style>
  <w:style w:type="paragraph" w:styleId="29">
    <w:name w:val="List 2"/>
    <w:basedOn w:val="1"/>
    <w:qFormat/>
    <w:uiPriority w:val="0"/>
    <w:pPr>
      <w:ind w:left="100" w:leftChars="200" w:hanging="200" w:hangingChars="200"/>
    </w:pPr>
    <w:rPr>
      <w:rFonts w:ascii="Calibri" w:hAnsi="Calibri"/>
      <w:szCs w:val="22"/>
    </w:rPr>
  </w:style>
  <w:style w:type="paragraph" w:styleId="30">
    <w:name w:val="Block Text"/>
    <w:basedOn w:val="1"/>
    <w:qFormat/>
    <w:uiPriority w:val="0"/>
    <w:pPr>
      <w:ind w:left="902" w:right="386"/>
    </w:pPr>
    <w:rPr>
      <w:rFonts w:ascii="长城仿宋" w:hAnsi="长城仿宋" w:eastAsia="Arial Unicode MS" w:cs="长城仿宋"/>
      <w:szCs w:val="20"/>
    </w:rPr>
  </w:style>
  <w:style w:type="paragraph" w:styleId="31">
    <w:name w:val="List Bullet 2"/>
    <w:basedOn w:val="1"/>
    <w:qFormat/>
    <w:uiPriority w:val="0"/>
    <w:pPr>
      <w:tabs>
        <w:tab w:val="left" w:pos="780"/>
      </w:tabs>
      <w:spacing w:line="360" w:lineRule="auto"/>
      <w:ind w:left="780" w:leftChars="200" w:hanging="360" w:hangingChars="200"/>
    </w:pPr>
    <w:rPr>
      <w:rFonts w:ascii="等线" w:hAnsi="等线" w:eastAsia="等线" w:cs="等线"/>
    </w:rPr>
  </w:style>
  <w:style w:type="paragraph" w:styleId="32">
    <w:name w:val="toc 5"/>
    <w:basedOn w:val="1"/>
    <w:next w:val="1"/>
    <w:qFormat/>
    <w:uiPriority w:val="0"/>
    <w:pPr>
      <w:ind w:left="840"/>
      <w:jc w:val="left"/>
    </w:pPr>
    <w:rPr>
      <w:sz w:val="18"/>
      <w:szCs w:val="18"/>
    </w:rPr>
  </w:style>
  <w:style w:type="paragraph" w:styleId="33">
    <w:name w:val="toc 3"/>
    <w:basedOn w:val="1"/>
    <w:next w:val="1"/>
    <w:qFormat/>
    <w:uiPriority w:val="0"/>
    <w:pPr>
      <w:ind w:left="420"/>
      <w:jc w:val="left"/>
    </w:pPr>
    <w:rPr>
      <w:i/>
      <w:iCs/>
      <w:sz w:val="20"/>
      <w:szCs w:val="20"/>
    </w:rPr>
  </w:style>
  <w:style w:type="paragraph" w:styleId="34">
    <w:name w:val="Plain Text"/>
    <w:basedOn w:val="1"/>
    <w:link w:val="93"/>
    <w:qFormat/>
    <w:uiPriority w:val="0"/>
    <w:rPr>
      <w:rFonts w:ascii="宋体" w:hAnsi="Courier New"/>
      <w:szCs w:val="20"/>
    </w:rPr>
  </w:style>
  <w:style w:type="paragraph" w:styleId="35">
    <w:name w:val="List Number 4"/>
    <w:basedOn w:val="1"/>
    <w:qFormat/>
    <w:uiPriority w:val="0"/>
    <w:pPr>
      <w:tabs>
        <w:tab w:val="left" w:pos="432"/>
      </w:tabs>
      <w:ind w:left="432" w:hanging="432"/>
    </w:pPr>
    <w:rPr>
      <w:rFonts w:ascii="长城仿宋" w:hAnsi="长城仿宋" w:eastAsia="Arial Unicode MS" w:cs="长城仿宋"/>
    </w:rPr>
  </w:style>
  <w:style w:type="paragraph" w:styleId="36">
    <w:name w:val="toc 8"/>
    <w:basedOn w:val="1"/>
    <w:next w:val="1"/>
    <w:qFormat/>
    <w:uiPriority w:val="0"/>
    <w:pPr>
      <w:ind w:left="1470"/>
      <w:jc w:val="left"/>
    </w:pPr>
    <w:rPr>
      <w:sz w:val="18"/>
      <w:szCs w:val="18"/>
    </w:rPr>
  </w:style>
  <w:style w:type="paragraph" w:styleId="37">
    <w:name w:val="Date"/>
    <w:basedOn w:val="1"/>
    <w:next w:val="1"/>
    <w:link w:val="94"/>
    <w:qFormat/>
    <w:uiPriority w:val="0"/>
    <w:pPr>
      <w:ind w:left="100" w:leftChars="2500"/>
    </w:pPr>
    <w:rPr>
      <w:color w:val="000000"/>
      <w:sz w:val="24"/>
    </w:rPr>
  </w:style>
  <w:style w:type="paragraph" w:styleId="38">
    <w:name w:val="Body Text Indent 2"/>
    <w:basedOn w:val="1"/>
    <w:link w:val="95"/>
    <w:qFormat/>
    <w:uiPriority w:val="0"/>
    <w:pPr>
      <w:widowControl/>
      <w:spacing w:line="480" w:lineRule="atLeast"/>
      <w:ind w:firstLine="480"/>
    </w:pPr>
    <w:rPr>
      <w:rFonts w:ascii="宋体"/>
      <w:kern w:val="0"/>
      <w:sz w:val="24"/>
      <w:szCs w:val="20"/>
    </w:rPr>
  </w:style>
  <w:style w:type="paragraph" w:styleId="39">
    <w:name w:val="endnote text"/>
    <w:basedOn w:val="1"/>
    <w:link w:val="492"/>
    <w:unhideWhenUsed/>
    <w:qFormat/>
    <w:uiPriority w:val="1"/>
    <w:pPr>
      <w:snapToGrid w:val="0"/>
      <w:spacing w:line="360" w:lineRule="auto"/>
      <w:ind w:firstLine="200" w:firstLineChars="200"/>
      <w:jc w:val="left"/>
    </w:pPr>
    <w:rPr>
      <w:sz w:val="28"/>
    </w:rPr>
  </w:style>
  <w:style w:type="paragraph" w:styleId="40">
    <w:name w:val="Balloon Text"/>
    <w:basedOn w:val="1"/>
    <w:link w:val="96"/>
    <w:qFormat/>
    <w:uiPriority w:val="0"/>
    <w:rPr>
      <w:sz w:val="18"/>
      <w:szCs w:val="18"/>
    </w:rPr>
  </w:style>
  <w:style w:type="paragraph" w:styleId="41">
    <w:name w:val="footer"/>
    <w:basedOn w:val="1"/>
    <w:link w:val="97"/>
    <w:qFormat/>
    <w:uiPriority w:val="0"/>
    <w:pPr>
      <w:tabs>
        <w:tab w:val="center" w:pos="4153"/>
        <w:tab w:val="right" w:pos="8306"/>
      </w:tabs>
      <w:snapToGrid w:val="0"/>
      <w:jc w:val="left"/>
    </w:pPr>
    <w:rPr>
      <w:sz w:val="18"/>
      <w:szCs w:val="18"/>
    </w:rPr>
  </w:style>
  <w:style w:type="paragraph" w:styleId="42">
    <w:name w:val="envelope return"/>
    <w:basedOn w:val="1"/>
    <w:qFormat/>
    <w:uiPriority w:val="0"/>
    <w:pPr>
      <w:snapToGrid w:val="0"/>
      <w:spacing w:line="360" w:lineRule="auto"/>
      <w:ind w:firstLine="200" w:firstLineChars="200"/>
    </w:pPr>
    <w:rPr>
      <w:rFonts w:ascii="Arial" w:hAnsi="Arial" w:eastAsia="等线" w:cs="等线"/>
      <w:spacing w:val="-10"/>
      <w:szCs w:val="20"/>
    </w:rPr>
  </w:style>
  <w:style w:type="paragraph" w:styleId="43">
    <w:name w:val="header"/>
    <w:basedOn w:val="1"/>
    <w:link w:val="98"/>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493"/>
    <w:qFormat/>
    <w:uiPriority w:val="0"/>
    <w:pPr>
      <w:autoSpaceDE w:val="0"/>
      <w:autoSpaceDN w:val="0"/>
      <w:adjustRightInd w:val="0"/>
      <w:spacing w:after="600" w:line="312" w:lineRule="atLeast"/>
      <w:jc w:val="center"/>
      <w:textAlignment w:val="baseline"/>
    </w:pPr>
    <w:rPr>
      <w:rFonts w:ascii="等线" w:hAnsi="等线" w:eastAsia="黑体" w:cs="等线"/>
      <w:kern w:val="0"/>
      <w:sz w:val="24"/>
      <w:szCs w:val="20"/>
    </w:rPr>
  </w:style>
  <w:style w:type="paragraph" w:styleId="45">
    <w:name w:val="toc 1"/>
    <w:basedOn w:val="1"/>
    <w:next w:val="1"/>
    <w:qFormat/>
    <w:uiPriority w:val="39"/>
    <w:rPr>
      <w:rFonts w:ascii="宋体" w:hAnsi="宋体"/>
      <w:b/>
      <w:sz w:val="24"/>
    </w:rPr>
  </w:style>
  <w:style w:type="paragraph" w:styleId="46">
    <w:name w:val="toc 4"/>
    <w:basedOn w:val="1"/>
    <w:next w:val="1"/>
    <w:qFormat/>
    <w:uiPriority w:val="0"/>
    <w:pPr>
      <w:ind w:left="630"/>
      <w:jc w:val="left"/>
    </w:pPr>
    <w:rPr>
      <w:sz w:val="18"/>
      <w:szCs w:val="18"/>
    </w:rPr>
  </w:style>
  <w:style w:type="paragraph" w:styleId="47">
    <w:name w:val="Subtitle"/>
    <w:basedOn w:val="1"/>
    <w:next w:val="1"/>
    <w:link w:val="494"/>
    <w:qFormat/>
    <w:uiPriority w:val="0"/>
    <w:pPr>
      <w:spacing w:before="240" w:after="60" w:line="312" w:lineRule="auto"/>
      <w:jc w:val="center"/>
      <w:outlineLvl w:val="1"/>
    </w:pPr>
    <w:rPr>
      <w:rFonts w:ascii="Verdana" w:hAnsi="Verdana" w:eastAsia="仿宋_GB2312"/>
      <w:b/>
      <w:bCs/>
      <w:kern w:val="28"/>
      <w:sz w:val="32"/>
      <w:szCs w:val="32"/>
    </w:rPr>
  </w:style>
  <w:style w:type="paragraph" w:styleId="48">
    <w:name w:val="List Number 5"/>
    <w:basedOn w:val="1"/>
    <w:qFormat/>
    <w:uiPriority w:val="0"/>
    <w:pPr>
      <w:tabs>
        <w:tab w:val="left" w:pos="2040"/>
      </w:tabs>
      <w:autoSpaceDE w:val="0"/>
      <w:autoSpaceDN w:val="0"/>
      <w:adjustRightInd w:val="0"/>
      <w:spacing w:line="400" w:lineRule="exact"/>
      <w:ind w:left="2040" w:hanging="360"/>
      <w:jc w:val="left"/>
    </w:pPr>
    <w:rPr>
      <w:rFonts w:ascii="等线" w:hAnsi="等线" w:eastAsia="等线" w:cs="等线"/>
      <w:kern w:val="0"/>
      <w:sz w:val="24"/>
      <w:szCs w:val="20"/>
    </w:rPr>
  </w:style>
  <w:style w:type="paragraph" w:styleId="49">
    <w:name w:val="List"/>
    <w:basedOn w:val="1"/>
    <w:qFormat/>
    <w:uiPriority w:val="0"/>
    <w:pPr>
      <w:ind w:left="420" w:hanging="420"/>
    </w:pPr>
    <w:rPr>
      <w:rFonts w:ascii="长城仿宋" w:hAnsi="长城仿宋" w:eastAsia="Arial Unicode MS" w:cs="长城仿宋"/>
      <w:szCs w:val="20"/>
    </w:rPr>
  </w:style>
  <w:style w:type="paragraph" w:styleId="50">
    <w:name w:val="footnote text"/>
    <w:basedOn w:val="1"/>
    <w:link w:val="495"/>
    <w:qFormat/>
    <w:uiPriority w:val="0"/>
    <w:pPr>
      <w:snapToGrid w:val="0"/>
      <w:spacing w:line="360" w:lineRule="auto"/>
      <w:ind w:firstLine="200" w:firstLineChars="200"/>
      <w:jc w:val="left"/>
    </w:pPr>
    <w:rPr>
      <w:rFonts w:ascii="等线" w:hAnsi="等线" w:eastAsia="等线" w:cs="等线"/>
      <w:sz w:val="18"/>
      <w:szCs w:val="18"/>
    </w:rPr>
  </w:style>
  <w:style w:type="paragraph" w:styleId="51">
    <w:name w:val="toc 6"/>
    <w:basedOn w:val="1"/>
    <w:next w:val="1"/>
    <w:qFormat/>
    <w:uiPriority w:val="0"/>
    <w:pPr>
      <w:ind w:left="1050"/>
      <w:jc w:val="left"/>
    </w:pPr>
    <w:rPr>
      <w:sz w:val="18"/>
      <w:szCs w:val="18"/>
    </w:rPr>
  </w:style>
  <w:style w:type="paragraph" w:styleId="52">
    <w:name w:val="Body Text Indent 3"/>
    <w:basedOn w:val="1"/>
    <w:link w:val="99"/>
    <w:qFormat/>
    <w:uiPriority w:val="0"/>
    <w:pPr>
      <w:autoSpaceDE w:val="0"/>
      <w:autoSpaceDN w:val="0"/>
      <w:spacing w:line="400" w:lineRule="atLeast"/>
      <w:ind w:firstLine="443" w:firstLineChars="200"/>
      <w:textAlignment w:val="bottom"/>
    </w:pPr>
    <w:rPr>
      <w:rFonts w:eastAsia="黑体"/>
      <w:color w:val="000000"/>
      <w:sz w:val="24"/>
    </w:rPr>
  </w:style>
  <w:style w:type="paragraph" w:styleId="53">
    <w:name w:val="table of figures"/>
    <w:basedOn w:val="1"/>
    <w:next w:val="1"/>
    <w:qFormat/>
    <w:uiPriority w:val="0"/>
    <w:pPr>
      <w:widowControl/>
      <w:ind w:left="840" w:leftChars="200" w:hanging="420" w:hangingChars="200"/>
      <w:jc w:val="left"/>
    </w:pPr>
    <w:rPr>
      <w:kern w:val="0"/>
      <w:szCs w:val="20"/>
    </w:rPr>
  </w:style>
  <w:style w:type="paragraph" w:styleId="54">
    <w:name w:val="toc 2"/>
    <w:basedOn w:val="1"/>
    <w:next w:val="1"/>
    <w:qFormat/>
    <w:uiPriority w:val="39"/>
    <w:pPr>
      <w:ind w:left="420" w:leftChars="200"/>
    </w:pPr>
  </w:style>
  <w:style w:type="paragraph" w:styleId="55">
    <w:name w:val="toc 9"/>
    <w:basedOn w:val="1"/>
    <w:next w:val="1"/>
    <w:qFormat/>
    <w:uiPriority w:val="0"/>
    <w:pPr>
      <w:ind w:left="1680"/>
      <w:jc w:val="left"/>
    </w:pPr>
    <w:rPr>
      <w:sz w:val="18"/>
      <w:szCs w:val="18"/>
    </w:rPr>
  </w:style>
  <w:style w:type="paragraph" w:styleId="56">
    <w:name w:val="Body Text 2"/>
    <w:basedOn w:val="1"/>
    <w:link w:val="100"/>
    <w:qFormat/>
    <w:uiPriority w:val="0"/>
    <w:pPr>
      <w:spacing w:after="120" w:line="480" w:lineRule="auto"/>
    </w:pPr>
  </w:style>
  <w:style w:type="paragraph" w:styleId="57">
    <w:name w:val="Message Header"/>
    <w:basedOn w:val="1"/>
    <w:link w:val="496"/>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60" w:lineRule="atLeast"/>
      <w:ind w:left="1080" w:leftChars="400" w:hanging="1080" w:hangingChars="400"/>
      <w:jc w:val="left"/>
      <w:textAlignment w:val="baseline"/>
    </w:pPr>
    <w:rPr>
      <w:rFonts w:eastAsia="仿宋_GB2312"/>
    </w:rPr>
  </w:style>
  <w:style w:type="paragraph" w:styleId="58">
    <w:name w:val="HTML Preformatted"/>
    <w:basedOn w:val="1"/>
    <w:link w:val="2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szCs w:val="20"/>
    </w:rPr>
  </w:style>
  <w:style w:type="paragraph" w:styleId="59">
    <w:name w:val="Normal (Web)"/>
    <w:basedOn w:val="1"/>
    <w:link w:val="321"/>
    <w:qFormat/>
    <w:uiPriority w:val="0"/>
    <w:pPr>
      <w:widowControl/>
      <w:spacing w:before="100" w:beforeAutospacing="1" w:after="100" w:afterAutospacing="1"/>
      <w:jc w:val="left"/>
    </w:pPr>
    <w:rPr>
      <w:rFonts w:ascii="宋体" w:hAnsi="宋体"/>
      <w:kern w:val="0"/>
      <w:sz w:val="24"/>
    </w:rPr>
  </w:style>
  <w:style w:type="paragraph" w:styleId="60">
    <w:name w:val="index 1"/>
    <w:basedOn w:val="1"/>
    <w:next w:val="1"/>
    <w:qFormat/>
    <w:uiPriority w:val="0"/>
    <w:pPr>
      <w:spacing w:line="360" w:lineRule="auto"/>
      <w:ind w:firstLine="200" w:firstLineChars="200"/>
    </w:pPr>
    <w:rPr>
      <w:rFonts w:ascii="等线" w:hAnsi="等线" w:eastAsia="等线" w:cs="等线"/>
      <w:szCs w:val="20"/>
    </w:rPr>
  </w:style>
  <w:style w:type="paragraph" w:styleId="61">
    <w:name w:val="index 2"/>
    <w:basedOn w:val="1"/>
    <w:next w:val="1"/>
    <w:qFormat/>
    <w:uiPriority w:val="0"/>
    <w:pPr>
      <w:widowControl/>
      <w:spacing w:line="360" w:lineRule="auto"/>
      <w:ind w:left="200" w:leftChars="200"/>
      <w:jc w:val="left"/>
    </w:pPr>
  </w:style>
  <w:style w:type="paragraph" w:styleId="62">
    <w:name w:val="Title"/>
    <w:basedOn w:val="1"/>
    <w:link w:val="101"/>
    <w:qFormat/>
    <w:uiPriority w:val="0"/>
    <w:pPr>
      <w:spacing w:before="240" w:after="60"/>
      <w:jc w:val="center"/>
      <w:outlineLvl w:val="0"/>
    </w:pPr>
    <w:rPr>
      <w:rFonts w:ascii="Arial" w:hAnsi="Arial"/>
      <w:b/>
      <w:bCs/>
      <w:sz w:val="32"/>
      <w:szCs w:val="32"/>
    </w:rPr>
  </w:style>
  <w:style w:type="paragraph" w:styleId="63">
    <w:name w:val="annotation subject"/>
    <w:basedOn w:val="23"/>
    <w:next w:val="23"/>
    <w:link w:val="102"/>
    <w:qFormat/>
    <w:uiPriority w:val="0"/>
    <w:rPr>
      <w:b/>
      <w:bCs/>
    </w:rPr>
  </w:style>
  <w:style w:type="paragraph" w:styleId="64">
    <w:name w:val="Body Text First Indent 2"/>
    <w:basedOn w:val="27"/>
    <w:link w:val="103"/>
    <w:qFormat/>
    <w:uiPriority w:val="99"/>
    <w:pPr>
      <w:autoSpaceDE/>
      <w:autoSpaceDN/>
      <w:adjustRightInd/>
      <w:snapToGrid/>
      <w:spacing w:after="120" w:line="240" w:lineRule="auto"/>
      <w:ind w:left="420" w:leftChars="200" w:firstLine="420" w:firstLineChars="200"/>
      <w:textAlignment w:val="auto"/>
    </w:pPr>
    <w:rPr>
      <w:b w:val="0"/>
      <w:bCs w:val="0"/>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8">
    <w:name w:val="Strong"/>
    <w:qFormat/>
    <w:uiPriority w:val="0"/>
    <w:rPr>
      <w:b/>
      <w:bCs/>
    </w:rPr>
  </w:style>
  <w:style w:type="character" w:styleId="69">
    <w:name w:val="endnote reference"/>
    <w:unhideWhenUsed/>
    <w:qFormat/>
    <w:uiPriority w:val="1"/>
    <w:rPr>
      <w:vertAlign w:val="superscript"/>
    </w:rPr>
  </w:style>
  <w:style w:type="character" w:styleId="70">
    <w:name w:val="page number"/>
    <w:qFormat/>
    <w:uiPriority w:val="0"/>
  </w:style>
  <w:style w:type="character" w:styleId="71">
    <w:name w:val="FollowedHyperlink"/>
    <w:qFormat/>
    <w:uiPriority w:val="0"/>
    <w:rPr>
      <w:rFonts w:eastAsia="宋体"/>
      <w:color w:val="800080"/>
      <w:kern w:val="2"/>
      <w:sz w:val="24"/>
      <w:szCs w:val="24"/>
      <w:u w:val="single"/>
      <w:lang w:val="en-US" w:eastAsia="zh-CN" w:bidi="ar-SA"/>
    </w:rPr>
  </w:style>
  <w:style w:type="character" w:styleId="72">
    <w:name w:val="Emphasis"/>
    <w:qFormat/>
    <w:uiPriority w:val="1"/>
    <w:rPr>
      <w:rFonts w:eastAsia="宋体"/>
      <w:color w:val="CC0033"/>
      <w:kern w:val="2"/>
      <w:sz w:val="24"/>
      <w:szCs w:val="24"/>
      <w:lang w:val="en-US" w:eastAsia="zh-CN" w:bidi="ar-SA"/>
    </w:rPr>
  </w:style>
  <w:style w:type="character" w:styleId="73">
    <w:name w:val="line number"/>
    <w:qFormat/>
    <w:uiPriority w:val="0"/>
  </w:style>
  <w:style w:type="character" w:styleId="74">
    <w:name w:val="Hyperlink"/>
    <w:qFormat/>
    <w:uiPriority w:val="99"/>
    <w:rPr>
      <w:color w:val="0000FF"/>
      <w:u w:val="single"/>
    </w:rPr>
  </w:style>
  <w:style w:type="character" w:styleId="75">
    <w:name w:val="annotation reference"/>
    <w:qFormat/>
    <w:uiPriority w:val="0"/>
    <w:rPr>
      <w:rFonts w:eastAsia="宋体"/>
      <w:kern w:val="2"/>
      <w:sz w:val="21"/>
      <w:szCs w:val="21"/>
      <w:lang w:val="en-US" w:eastAsia="zh-CN" w:bidi="ar-SA"/>
    </w:rPr>
  </w:style>
  <w:style w:type="character" w:styleId="76">
    <w:name w:val="HTML Cite"/>
    <w:qFormat/>
    <w:uiPriority w:val="0"/>
    <w:rPr>
      <w:color w:val="008000"/>
    </w:rPr>
  </w:style>
  <w:style w:type="character" w:customStyle="1" w:styleId="77">
    <w:name w:val="正文文本 字符"/>
    <w:link w:val="2"/>
    <w:qFormat/>
    <w:uiPriority w:val="0"/>
    <w:rPr>
      <w:rFonts w:ascii="Arial" w:hAnsi="Arial"/>
      <w:bCs/>
      <w:kern w:val="2"/>
      <w:sz w:val="24"/>
      <w:szCs w:val="24"/>
    </w:rPr>
  </w:style>
  <w:style w:type="character" w:customStyle="1" w:styleId="78">
    <w:name w:val="正文文本首行缩进 字符"/>
    <w:link w:val="3"/>
    <w:qFormat/>
    <w:uiPriority w:val="0"/>
    <w:rPr>
      <w:kern w:val="2"/>
      <w:sz w:val="21"/>
      <w:szCs w:val="24"/>
    </w:rPr>
  </w:style>
  <w:style w:type="character" w:customStyle="1" w:styleId="79">
    <w:name w:val="标题 1 字符"/>
    <w:link w:val="5"/>
    <w:qFormat/>
    <w:uiPriority w:val="0"/>
    <w:rPr>
      <w:rFonts w:eastAsia="宋体"/>
      <w:kern w:val="2"/>
      <w:sz w:val="28"/>
      <w:szCs w:val="24"/>
      <w:lang w:val="en-US" w:eastAsia="zh-CN" w:bidi="ar-SA"/>
    </w:rPr>
  </w:style>
  <w:style w:type="character" w:customStyle="1" w:styleId="80">
    <w:name w:val="标题 2 字符"/>
    <w:link w:val="6"/>
    <w:qFormat/>
    <w:uiPriority w:val="0"/>
    <w:rPr>
      <w:rFonts w:ascii="Arial" w:hAnsi="Arial" w:eastAsia="黑体"/>
      <w:b/>
      <w:bCs/>
      <w:kern w:val="2"/>
      <w:sz w:val="32"/>
      <w:szCs w:val="32"/>
      <w:lang w:val="en-US" w:eastAsia="zh-CN" w:bidi="ar-SA"/>
    </w:rPr>
  </w:style>
  <w:style w:type="character" w:customStyle="1" w:styleId="81">
    <w:name w:val="标题 3 字符"/>
    <w:link w:val="7"/>
    <w:qFormat/>
    <w:uiPriority w:val="0"/>
    <w:rPr>
      <w:b/>
      <w:bCs/>
      <w:kern w:val="2"/>
      <w:sz w:val="32"/>
      <w:szCs w:val="32"/>
    </w:rPr>
  </w:style>
  <w:style w:type="character" w:customStyle="1" w:styleId="82">
    <w:name w:val="标题 4 字符"/>
    <w:link w:val="8"/>
    <w:qFormat/>
    <w:uiPriority w:val="0"/>
    <w:rPr>
      <w:rFonts w:ascii="Arial" w:hAnsi="Arial" w:eastAsia="黑体"/>
      <w:b/>
      <w:bCs/>
      <w:kern w:val="2"/>
      <w:sz w:val="28"/>
      <w:szCs w:val="28"/>
    </w:rPr>
  </w:style>
  <w:style w:type="character" w:customStyle="1" w:styleId="83">
    <w:name w:val="标题 5 字符"/>
    <w:link w:val="9"/>
    <w:qFormat/>
    <w:uiPriority w:val="0"/>
    <w:rPr>
      <w:b/>
      <w:bCs/>
      <w:kern w:val="2"/>
      <w:sz w:val="28"/>
      <w:szCs w:val="28"/>
    </w:rPr>
  </w:style>
  <w:style w:type="character" w:customStyle="1" w:styleId="84">
    <w:name w:val="标题 6 字符"/>
    <w:link w:val="10"/>
    <w:qFormat/>
    <w:uiPriority w:val="0"/>
    <w:rPr>
      <w:rFonts w:ascii="Arial" w:hAnsi="Arial" w:eastAsia="黑体"/>
      <w:b/>
      <w:bCs/>
      <w:spacing w:val="6"/>
      <w:kern w:val="2"/>
      <w:sz w:val="24"/>
      <w:szCs w:val="24"/>
    </w:rPr>
  </w:style>
  <w:style w:type="character" w:customStyle="1" w:styleId="85">
    <w:name w:val="正文缩进 字符"/>
    <w:link w:val="11"/>
    <w:qFormat/>
    <w:uiPriority w:val="0"/>
    <w:rPr>
      <w:rFonts w:eastAsia="宋体"/>
      <w:kern w:val="2"/>
      <w:sz w:val="24"/>
      <w:lang w:val="en-US" w:eastAsia="zh-CN" w:bidi="ar-SA"/>
    </w:rPr>
  </w:style>
  <w:style w:type="character" w:customStyle="1" w:styleId="86">
    <w:name w:val="标题 7 字符"/>
    <w:link w:val="12"/>
    <w:qFormat/>
    <w:uiPriority w:val="0"/>
    <w:rPr>
      <w:b/>
      <w:bCs/>
      <w:spacing w:val="6"/>
      <w:kern w:val="2"/>
      <w:sz w:val="24"/>
      <w:szCs w:val="24"/>
    </w:rPr>
  </w:style>
  <w:style w:type="character" w:customStyle="1" w:styleId="87">
    <w:name w:val="标题 8 字符"/>
    <w:link w:val="13"/>
    <w:qFormat/>
    <w:uiPriority w:val="0"/>
    <w:rPr>
      <w:rFonts w:ascii="Arial" w:hAnsi="Arial" w:eastAsia="黑体"/>
      <w:spacing w:val="6"/>
      <w:kern w:val="2"/>
      <w:sz w:val="24"/>
      <w:szCs w:val="24"/>
    </w:rPr>
  </w:style>
  <w:style w:type="character" w:customStyle="1" w:styleId="88">
    <w:name w:val="标题 9 字符"/>
    <w:link w:val="14"/>
    <w:qFormat/>
    <w:uiPriority w:val="0"/>
    <w:rPr>
      <w:rFonts w:ascii="Arial" w:hAnsi="Arial" w:eastAsia="黑体"/>
      <w:spacing w:val="6"/>
      <w:kern w:val="2"/>
      <w:sz w:val="24"/>
      <w:szCs w:val="24"/>
    </w:rPr>
  </w:style>
  <w:style w:type="character" w:customStyle="1" w:styleId="89">
    <w:name w:val="文档结构图 字符"/>
    <w:link w:val="21"/>
    <w:qFormat/>
    <w:uiPriority w:val="0"/>
    <w:rPr>
      <w:kern w:val="2"/>
      <w:sz w:val="21"/>
      <w:szCs w:val="24"/>
      <w:shd w:val="clear" w:color="auto" w:fill="000080"/>
    </w:rPr>
  </w:style>
  <w:style w:type="character" w:customStyle="1" w:styleId="90">
    <w:name w:val="批注文字 字符"/>
    <w:link w:val="23"/>
    <w:qFormat/>
    <w:uiPriority w:val="0"/>
    <w:rPr>
      <w:kern w:val="2"/>
      <w:sz w:val="21"/>
      <w:szCs w:val="24"/>
    </w:rPr>
  </w:style>
  <w:style w:type="character" w:customStyle="1" w:styleId="91">
    <w:name w:val="正文文本 3 字符"/>
    <w:link w:val="25"/>
    <w:qFormat/>
    <w:uiPriority w:val="0"/>
    <w:rPr>
      <w:rFonts w:ascii="宋体" w:hAnsi="宋体"/>
      <w:kern w:val="2"/>
      <w:sz w:val="24"/>
      <w:szCs w:val="24"/>
    </w:rPr>
  </w:style>
  <w:style w:type="character" w:customStyle="1" w:styleId="92">
    <w:name w:val="正文文本缩进 字符"/>
    <w:link w:val="27"/>
    <w:qFormat/>
    <w:uiPriority w:val="0"/>
    <w:rPr>
      <w:rFonts w:ascii="仿宋_GB2312" w:eastAsia="仿宋_GB2312"/>
      <w:b/>
      <w:bCs/>
      <w:color w:val="000000"/>
      <w:kern w:val="2"/>
      <w:sz w:val="24"/>
      <w:szCs w:val="24"/>
    </w:rPr>
  </w:style>
  <w:style w:type="character" w:customStyle="1" w:styleId="93">
    <w:name w:val="纯文本 字符2"/>
    <w:link w:val="34"/>
    <w:qFormat/>
    <w:uiPriority w:val="0"/>
    <w:rPr>
      <w:rFonts w:ascii="宋体" w:hAnsi="Courier New" w:eastAsia="宋体"/>
      <w:kern w:val="2"/>
      <w:sz w:val="21"/>
      <w:lang w:val="en-US" w:eastAsia="zh-CN" w:bidi="ar-SA"/>
    </w:rPr>
  </w:style>
  <w:style w:type="character" w:customStyle="1" w:styleId="94">
    <w:name w:val="日期 字符"/>
    <w:link w:val="37"/>
    <w:qFormat/>
    <w:uiPriority w:val="0"/>
    <w:rPr>
      <w:rFonts w:eastAsia="宋体"/>
      <w:color w:val="000000"/>
      <w:kern w:val="2"/>
      <w:sz w:val="24"/>
      <w:szCs w:val="24"/>
      <w:lang w:val="en-US" w:eastAsia="zh-CN" w:bidi="ar-SA"/>
    </w:rPr>
  </w:style>
  <w:style w:type="character" w:customStyle="1" w:styleId="95">
    <w:name w:val="正文文本缩进 2 字符"/>
    <w:link w:val="38"/>
    <w:qFormat/>
    <w:uiPriority w:val="0"/>
    <w:rPr>
      <w:rFonts w:ascii="宋体"/>
      <w:sz w:val="24"/>
    </w:rPr>
  </w:style>
  <w:style w:type="character" w:customStyle="1" w:styleId="96">
    <w:name w:val="批注框文本 字符"/>
    <w:link w:val="40"/>
    <w:qFormat/>
    <w:uiPriority w:val="0"/>
    <w:rPr>
      <w:kern w:val="2"/>
      <w:sz w:val="18"/>
      <w:szCs w:val="18"/>
    </w:rPr>
  </w:style>
  <w:style w:type="character" w:customStyle="1" w:styleId="97">
    <w:name w:val="页脚 字符"/>
    <w:link w:val="41"/>
    <w:qFormat/>
    <w:uiPriority w:val="0"/>
    <w:rPr>
      <w:kern w:val="2"/>
      <w:sz w:val="18"/>
      <w:szCs w:val="18"/>
    </w:rPr>
  </w:style>
  <w:style w:type="character" w:customStyle="1" w:styleId="98">
    <w:name w:val="页眉 字符"/>
    <w:link w:val="43"/>
    <w:qFormat/>
    <w:uiPriority w:val="99"/>
    <w:rPr>
      <w:rFonts w:eastAsia="宋体"/>
      <w:kern w:val="2"/>
      <w:sz w:val="18"/>
      <w:szCs w:val="18"/>
      <w:lang w:val="en-US" w:eastAsia="zh-CN" w:bidi="ar-SA"/>
    </w:rPr>
  </w:style>
  <w:style w:type="character" w:customStyle="1" w:styleId="99">
    <w:name w:val="正文文本缩进 3 字符"/>
    <w:link w:val="52"/>
    <w:qFormat/>
    <w:uiPriority w:val="0"/>
    <w:rPr>
      <w:rFonts w:eastAsia="黑体"/>
      <w:color w:val="000000"/>
      <w:kern w:val="2"/>
      <w:sz w:val="24"/>
      <w:szCs w:val="24"/>
    </w:rPr>
  </w:style>
  <w:style w:type="character" w:customStyle="1" w:styleId="100">
    <w:name w:val="正文文本 2 字符"/>
    <w:link w:val="56"/>
    <w:qFormat/>
    <w:uiPriority w:val="0"/>
    <w:rPr>
      <w:kern w:val="2"/>
      <w:sz w:val="21"/>
      <w:szCs w:val="24"/>
    </w:rPr>
  </w:style>
  <w:style w:type="character" w:customStyle="1" w:styleId="101">
    <w:name w:val="标题 字符"/>
    <w:link w:val="62"/>
    <w:qFormat/>
    <w:uiPriority w:val="0"/>
    <w:rPr>
      <w:rFonts w:ascii="Arial" w:hAnsi="Arial" w:cs="Arial"/>
      <w:b/>
      <w:bCs/>
      <w:kern w:val="2"/>
      <w:sz w:val="32"/>
      <w:szCs w:val="32"/>
    </w:rPr>
  </w:style>
  <w:style w:type="character" w:customStyle="1" w:styleId="102">
    <w:name w:val="批注主题 字符"/>
    <w:link w:val="63"/>
    <w:qFormat/>
    <w:uiPriority w:val="0"/>
    <w:rPr>
      <w:b/>
      <w:bCs/>
      <w:kern w:val="2"/>
      <w:sz w:val="21"/>
      <w:szCs w:val="24"/>
    </w:rPr>
  </w:style>
  <w:style w:type="character" w:customStyle="1" w:styleId="103">
    <w:name w:val="正文文本首行缩进 2 字符"/>
    <w:link w:val="64"/>
    <w:qFormat/>
    <w:uiPriority w:val="0"/>
    <w:rPr>
      <w:rFonts w:ascii="仿宋_GB2312" w:eastAsia="仿宋_GB2312"/>
      <w:color w:val="000000"/>
      <w:kern w:val="2"/>
      <w:sz w:val="21"/>
      <w:szCs w:val="24"/>
    </w:rPr>
  </w:style>
  <w:style w:type="character" w:customStyle="1" w:styleId="104">
    <w:name w:val="标题 2 Char1"/>
    <w:qFormat/>
    <w:uiPriority w:val="9"/>
    <w:rPr>
      <w:rFonts w:ascii="Cambria" w:hAnsi="Cambria"/>
      <w:b/>
      <w:bCs/>
      <w:sz w:val="32"/>
      <w:szCs w:val="32"/>
    </w:rPr>
  </w:style>
  <w:style w:type="character" w:customStyle="1" w:styleId="105">
    <w:name w:val="标题 1 Char Char"/>
    <w:qFormat/>
    <w:uiPriority w:val="0"/>
    <w:rPr>
      <w:rFonts w:eastAsia="宋体"/>
      <w:b/>
      <w:spacing w:val="-2"/>
      <w:sz w:val="24"/>
      <w:lang w:val="en-US" w:eastAsia="zh-CN" w:bidi="ar-SA"/>
    </w:rPr>
  </w:style>
  <w:style w:type="character" w:customStyle="1" w:styleId="106">
    <w:name w:val="Char Char8"/>
    <w:qFormat/>
    <w:uiPriority w:val="0"/>
    <w:rPr>
      <w:rFonts w:ascii="Cambria" w:hAnsi="Cambria" w:eastAsia="宋体" w:cs="Times New Roman"/>
      <w:b/>
      <w:bCs/>
      <w:sz w:val="32"/>
      <w:szCs w:val="32"/>
    </w:rPr>
  </w:style>
  <w:style w:type="character" w:customStyle="1" w:styleId="107">
    <w:name w:val="纯文本 Char"/>
    <w:qFormat/>
    <w:uiPriority w:val="0"/>
    <w:rPr>
      <w:rFonts w:ascii="宋体" w:hAnsi="Courier New" w:eastAsia="宋体"/>
      <w:kern w:val="2"/>
      <w:sz w:val="21"/>
      <w:lang w:val="en-US" w:eastAsia="zh-CN" w:bidi="ar-SA"/>
    </w:rPr>
  </w:style>
  <w:style w:type="character" w:customStyle="1" w:styleId="108">
    <w:name w:val="Footer-Even Char Char"/>
    <w:qFormat/>
    <w:uiPriority w:val="0"/>
    <w:rPr>
      <w:rFonts w:ascii="Times New Roman" w:hAnsi="Times New Roman" w:eastAsia="宋体" w:cs="Times New Roman"/>
      <w:kern w:val="0"/>
      <w:sz w:val="18"/>
      <w:szCs w:val="20"/>
    </w:rPr>
  </w:style>
  <w:style w:type="character" w:customStyle="1" w:styleId="109">
    <w:name w:val="Char Char6"/>
    <w:qFormat/>
    <w:uiPriority w:val="0"/>
    <w:rPr>
      <w:rFonts w:ascii="宋体" w:eastAsia="宋体"/>
      <w:b/>
      <w:kern w:val="44"/>
      <w:sz w:val="24"/>
      <w:lang w:val="en-US" w:eastAsia="zh-CN" w:bidi="ar-SA"/>
    </w:rPr>
  </w:style>
  <w:style w:type="character" w:customStyle="1" w:styleId="110">
    <w:name w:val="纯文本 字符"/>
    <w:qFormat/>
    <w:uiPriority w:val="0"/>
    <w:rPr>
      <w:rFonts w:ascii="宋体" w:hAnsi="Courier New" w:eastAsia="仿宋_GB2312" w:cs="宋体"/>
      <w:b/>
      <w:bCs/>
      <w:color w:val="000000"/>
      <w:kern w:val="2"/>
      <w:sz w:val="21"/>
      <w:szCs w:val="22"/>
    </w:rPr>
  </w:style>
  <w:style w:type="character" w:customStyle="1" w:styleId="111">
    <w:name w:val="日期 Char"/>
    <w:qFormat/>
    <w:uiPriority w:val="0"/>
    <w:rPr>
      <w:rFonts w:eastAsia="宋体"/>
      <w:color w:val="000000"/>
      <w:kern w:val="2"/>
      <w:sz w:val="24"/>
      <w:szCs w:val="24"/>
      <w:lang w:val="en-US" w:eastAsia="zh-CN" w:bidi="ar-SA"/>
    </w:rPr>
  </w:style>
  <w:style w:type="character" w:customStyle="1" w:styleId="112">
    <w:name w:val="z-窗体底端 Char1"/>
    <w:qFormat/>
    <w:uiPriority w:val="0"/>
    <w:rPr>
      <w:rFonts w:ascii="Arial" w:hAnsi="Arial" w:cs="Arial"/>
      <w:vanish/>
      <w:kern w:val="2"/>
      <w:sz w:val="16"/>
      <w:szCs w:val="16"/>
    </w:rPr>
  </w:style>
  <w:style w:type="character" w:customStyle="1" w:styleId="113">
    <w:name w:val="纯文本 字符1"/>
    <w:qFormat/>
    <w:uiPriority w:val="0"/>
    <w:rPr>
      <w:rFonts w:hint="eastAsia" w:ascii="宋体" w:hAnsi="Courier New" w:eastAsia="仿宋_GB2312" w:cs="宋体"/>
      <w:b/>
      <w:color w:val="000000"/>
      <w:kern w:val="0"/>
      <w:szCs w:val="21"/>
    </w:rPr>
  </w:style>
  <w:style w:type="character" w:customStyle="1" w:styleId="114">
    <w:name w:val="标题2 Char1"/>
    <w:qFormat/>
    <w:uiPriority w:val="0"/>
    <w:rPr>
      <w:rFonts w:ascii="Cambria" w:hAnsi="Cambria" w:eastAsia="宋体" w:cs="Times New Roman"/>
      <w:b/>
      <w:bCs/>
      <w:sz w:val="32"/>
      <w:szCs w:val="32"/>
    </w:rPr>
  </w:style>
  <w:style w:type="character" w:customStyle="1" w:styleId="115">
    <w:name w:val="unnamed51"/>
    <w:qFormat/>
    <w:uiPriority w:val="0"/>
    <w:rPr>
      <w:sz w:val="22"/>
      <w:szCs w:val="22"/>
    </w:rPr>
  </w:style>
  <w:style w:type="character" w:customStyle="1" w:styleId="116">
    <w:name w:val="op-map-singlepoint-info-right1"/>
    <w:qFormat/>
    <w:uiPriority w:val="0"/>
  </w:style>
  <w:style w:type="character" w:customStyle="1" w:styleId="117">
    <w:name w:val="themebody1"/>
    <w:qFormat/>
    <w:uiPriority w:val="0"/>
    <w:rPr>
      <w:rFonts w:eastAsia="宋体"/>
      <w:color w:val="FFFFFF"/>
      <w:kern w:val="2"/>
      <w:sz w:val="24"/>
      <w:szCs w:val="24"/>
      <w:lang w:val="en-US" w:eastAsia="zh-CN" w:bidi="ar-SA"/>
    </w:rPr>
  </w:style>
  <w:style w:type="character" w:customStyle="1" w:styleId="118">
    <w:name w:val="段 Char"/>
    <w:link w:val="119"/>
    <w:qFormat/>
    <w:uiPriority w:val="0"/>
    <w:rPr>
      <w:rFonts w:ascii="宋体"/>
      <w:lang w:val="en-US" w:eastAsia="zh-CN" w:bidi="ar-SA"/>
    </w:rPr>
  </w:style>
  <w:style w:type="paragraph" w:customStyle="1" w:styleId="119">
    <w:name w:val="段"/>
    <w:link w:val="11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120">
    <w:name w:val="批注主题 Char"/>
    <w:qFormat/>
    <w:uiPriority w:val="0"/>
    <w:rPr>
      <w:b/>
      <w:bCs/>
      <w:kern w:val="2"/>
      <w:sz w:val="21"/>
      <w:szCs w:val="24"/>
    </w:rPr>
  </w:style>
  <w:style w:type="character" w:customStyle="1" w:styleId="121">
    <w:name w:val="font11"/>
    <w:qFormat/>
    <w:uiPriority w:val="0"/>
    <w:rPr>
      <w:rFonts w:hint="eastAsia" w:ascii="宋体" w:hAnsi="宋体" w:eastAsia="宋体" w:cs="宋体"/>
      <w:b/>
      <w:color w:val="000000"/>
      <w:sz w:val="24"/>
      <w:szCs w:val="24"/>
      <w:u w:val="none"/>
    </w:rPr>
  </w:style>
  <w:style w:type="character" w:customStyle="1" w:styleId="122">
    <w:name w:val="Default 1"/>
    <w:qFormat/>
    <w:uiPriority w:val="0"/>
    <w:rPr>
      <w:rFonts w:cs="Verdana"/>
      <w:sz w:val="16"/>
      <w:szCs w:val="16"/>
    </w:rPr>
  </w:style>
  <w:style w:type="character" w:customStyle="1" w:styleId="123">
    <w:name w:val="纯文本 Char2"/>
    <w:qFormat/>
    <w:uiPriority w:val="0"/>
    <w:rPr>
      <w:rFonts w:hint="eastAsia" w:ascii="宋体" w:hAnsi="Courier New" w:eastAsia="仿宋_GB2312" w:cs="宋体"/>
      <w:b/>
      <w:color w:val="000000"/>
      <w:kern w:val="0"/>
      <w:szCs w:val="21"/>
    </w:rPr>
  </w:style>
  <w:style w:type="character" w:customStyle="1" w:styleId="124">
    <w:name w:val="页眉 Char1"/>
    <w:qFormat/>
    <w:uiPriority w:val="99"/>
    <w:rPr>
      <w:sz w:val="18"/>
    </w:rPr>
  </w:style>
  <w:style w:type="character" w:customStyle="1" w:styleId="125">
    <w:name w:val="text1"/>
    <w:qFormat/>
    <w:uiPriority w:val="0"/>
    <w:rPr>
      <w:rFonts w:hint="default"/>
      <w:color w:val="666666"/>
      <w:sz w:val="18"/>
      <w:szCs w:val="18"/>
      <w:u w:val="none"/>
    </w:rPr>
  </w:style>
  <w:style w:type="character" w:customStyle="1" w:styleId="126">
    <w:name w:val="列出段落 Char"/>
    <w:qFormat/>
    <w:uiPriority w:val="0"/>
    <w:rPr>
      <w:kern w:val="2"/>
      <w:sz w:val="21"/>
    </w:rPr>
  </w:style>
  <w:style w:type="character" w:customStyle="1" w:styleId="127">
    <w:name w:val="Char Char2"/>
    <w:semiHidden/>
    <w:qFormat/>
    <w:uiPriority w:val="0"/>
    <w:rPr>
      <w:rFonts w:eastAsia="宋体"/>
      <w:kern w:val="2"/>
      <w:sz w:val="18"/>
      <w:szCs w:val="18"/>
      <w:lang w:val="en-US" w:eastAsia="zh-CN" w:bidi="ar-SA"/>
    </w:rPr>
  </w:style>
  <w:style w:type="character" w:customStyle="1" w:styleId="128">
    <w:name w:val="Char Char12"/>
    <w:qFormat/>
    <w:uiPriority w:val="0"/>
    <w:rPr>
      <w:rFonts w:eastAsia="宋体"/>
      <w:kern w:val="2"/>
      <w:sz w:val="18"/>
      <w:szCs w:val="18"/>
      <w:lang w:val="en-US" w:eastAsia="zh-CN" w:bidi="ar-SA"/>
    </w:rPr>
  </w:style>
  <w:style w:type="character" w:customStyle="1" w:styleId="129">
    <w:name w:val="small"/>
    <w:qFormat/>
    <w:uiPriority w:val="0"/>
    <w:rPr>
      <w:rFonts w:eastAsia="宋体"/>
      <w:kern w:val="2"/>
      <w:sz w:val="24"/>
      <w:szCs w:val="24"/>
      <w:lang w:val="en-US" w:eastAsia="zh-CN" w:bidi="ar-SA"/>
    </w:rPr>
  </w:style>
  <w:style w:type="character" w:customStyle="1" w:styleId="130">
    <w:name w:val="纯文本 Char Char Char"/>
    <w:qFormat/>
    <w:uiPriority w:val="0"/>
    <w:rPr>
      <w:rFonts w:ascii="宋体" w:hAnsi="Courier New" w:eastAsia="宋体"/>
      <w:kern w:val="2"/>
      <w:sz w:val="21"/>
      <w:lang w:val="en-US" w:eastAsia="zh-CN" w:bidi="ar-SA"/>
    </w:rPr>
  </w:style>
  <w:style w:type="character" w:customStyle="1" w:styleId="131">
    <w:name w:val="wj1"/>
    <w:qFormat/>
    <w:uiPriority w:val="0"/>
    <w:rPr>
      <w:color w:val="000000"/>
      <w:sz w:val="18"/>
      <w:szCs w:val="18"/>
      <w:u w:val="none"/>
    </w:rPr>
  </w:style>
  <w:style w:type="character" w:customStyle="1" w:styleId="132">
    <w:name w:val="z-窗体底端 字符"/>
    <w:link w:val="133"/>
    <w:qFormat/>
    <w:uiPriority w:val="0"/>
    <w:rPr>
      <w:rFonts w:ascii="Arial" w:hAnsi="Arial" w:cs="Arial"/>
      <w:vanish/>
      <w:sz w:val="16"/>
      <w:szCs w:val="16"/>
    </w:rPr>
  </w:style>
  <w:style w:type="paragraph" w:customStyle="1" w:styleId="133">
    <w:name w:val="HTML Bottom of Form"/>
    <w:basedOn w:val="1"/>
    <w:next w:val="1"/>
    <w:link w:val="132"/>
    <w:qFormat/>
    <w:uiPriority w:val="0"/>
    <w:pPr>
      <w:widowControl/>
      <w:pBdr>
        <w:top w:val="single" w:color="auto" w:sz="6" w:space="1"/>
      </w:pBdr>
      <w:jc w:val="center"/>
    </w:pPr>
    <w:rPr>
      <w:rFonts w:ascii="Arial" w:hAnsi="Arial"/>
      <w:vanish/>
      <w:kern w:val="0"/>
      <w:sz w:val="16"/>
      <w:szCs w:val="16"/>
    </w:rPr>
  </w:style>
  <w:style w:type="character" w:customStyle="1" w:styleId="134">
    <w:name w:val="普通文字 Char Char Char Char1"/>
    <w:qFormat/>
    <w:uiPriority w:val="0"/>
    <w:rPr>
      <w:rFonts w:ascii="宋体" w:hAnsi="Courier New" w:eastAsia="仿宋_GB2312"/>
      <w:b/>
      <w:color w:val="000000"/>
      <w:sz w:val="21"/>
    </w:rPr>
  </w:style>
  <w:style w:type="character" w:customStyle="1" w:styleId="135">
    <w:name w:val="z-窗体顶端 Char1"/>
    <w:qFormat/>
    <w:uiPriority w:val="0"/>
    <w:rPr>
      <w:rFonts w:ascii="Arial" w:hAnsi="Arial" w:cs="Arial"/>
      <w:vanish/>
      <w:kern w:val="2"/>
      <w:sz w:val="16"/>
      <w:szCs w:val="16"/>
    </w:rPr>
  </w:style>
  <w:style w:type="character" w:customStyle="1" w:styleId="136">
    <w:name w:val="contentheaderrev1"/>
    <w:qFormat/>
    <w:uiPriority w:val="0"/>
    <w:rPr>
      <w:rFonts w:hint="default" w:ascii="Arial" w:hAnsi="Arial" w:cs="Arial"/>
      <w:b/>
      <w:bCs/>
      <w:color w:val="FFFFFF"/>
      <w:sz w:val="24"/>
      <w:szCs w:val="24"/>
      <w:u w:val="none"/>
    </w:rPr>
  </w:style>
  <w:style w:type="character" w:customStyle="1" w:styleId="137">
    <w:name w:val="ft"/>
    <w:qFormat/>
    <w:uiPriority w:val="0"/>
  </w:style>
  <w:style w:type="character" w:customStyle="1" w:styleId="138">
    <w:name w:val="列表段落 字符"/>
    <w:link w:val="139"/>
    <w:qFormat/>
    <w:uiPriority w:val="0"/>
    <w:rPr>
      <w:rFonts w:ascii="Calibri" w:hAnsi="Calibri"/>
      <w:kern w:val="2"/>
      <w:sz w:val="21"/>
      <w:szCs w:val="22"/>
    </w:rPr>
  </w:style>
  <w:style w:type="paragraph" w:styleId="139">
    <w:name w:val="List Paragraph"/>
    <w:basedOn w:val="1"/>
    <w:link w:val="138"/>
    <w:qFormat/>
    <w:uiPriority w:val="0"/>
    <w:pPr>
      <w:ind w:firstLine="420" w:firstLineChars="200"/>
    </w:pPr>
    <w:rPr>
      <w:rFonts w:ascii="Calibri" w:hAnsi="Calibri"/>
      <w:szCs w:val="22"/>
    </w:rPr>
  </w:style>
  <w:style w:type="character" w:customStyle="1" w:styleId="140">
    <w:name w:val="para"/>
    <w:qFormat/>
    <w:uiPriority w:val="0"/>
    <w:rPr>
      <w:rFonts w:eastAsia="宋体"/>
      <w:kern w:val="2"/>
      <w:sz w:val="24"/>
      <w:szCs w:val="24"/>
      <w:lang w:val="en-US" w:eastAsia="zh-CN" w:bidi="ar-SA"/>
    </w:rPr>
  </w:style>
  <w:style w:type="character" w:customStyle="1" w:styleId="141">
    <w:name w:val="纯文本 Char1"/>
    <w:qFormat/>
    <w:uiPriority w:val="0"/>
    <w:rPr>
      <w:rFonts w:ascii="宋体" w:hAnsi="Courier New" w:eastAsia="宋体"/>
      <w:kern w:val="2"/>
      <w:sz w:val="21"/>
      <w:lang w:val="en-US" w:eastAsia="zh-CN" w:bidi="ar-SA"/>
    </w:rPr>
  </w:style>
  <w:style w:type="character" w:customStyle="1" w:styleId="142">
    <w:name w:val="自定义正文 Char Char"/>
    <w:link w:val="143"/>
    <w:qFormat/>
    <w:uiPriority w:val="0"/>
    <w:rPr>
      <w:kern w:val="2"/>
      <w:sz w:val="24"/>
    </w:rPr>
  </w:style>
  <w:style w:type="paragraph" w:customStyle="1" w:styleId="143">
    <w:name w:val="自定义正文"/>
    <w:basedOn w:val="1"/>
    <w:link w:val="142"/>
    <w:qFormat/>
    <w:uiPriority w:val="0"/>
    <w:pPr>
      <w:spacing w:after="156" w:afterLines="50" w:line="360" w:lineRule="auto"/>
      <w:ind w:firstLine="200" w:firstLineChars="200"/>
      <w:jc w:val="left"/>
    </w:pPr>
    <w:rPr>
      <w:sz w:val="24"/>
      <w:szCs w:val="20"/>
    </w:rPr>
  </w:style>
  <w:style w:type="character" w:customStyle="1" w:styleId="144">
    <w:name w:val="font61"/>
    <w:qFormat/>
    <w:uiPriority w:val="0"/>
    <w:rPr>
      <w:rFonts w:hint="eastAsia" w:ascii="宋体" w:hAnsi="宋体" w:eastAsia="宋体" w:cs="宋体"/>
      <w:color w:val="000000"/>
      <w:sz w:val="24"/>
      <w:szCs w:val="24"/>
      <w:u w:val="none"/>
    </w:rPr>
  </w:style>
  <w:style w:type="character" w:customStyle="1" w:styleId="145">
    <w:name w:val="12blk1"/>
    <w:qFormat/>
    <w:uiPriority w:val="0"/>
    <w:rPr>
      <w:rFonts w:hint="default"/>
      <w:color w:val="000000"/>
      <w:sz w:val="24"/>
      <w:szCs w:val="24"/>
      <w:u w:val="none"/>
    </w:rPr>
  </w:style>
  <w:style w:type="character" w:customStyle="1" w:styleId="146">
    <w:name w:val="正文文本缩进 3 Char"/>
    <w:qFormat/>
    <w:uiPriority w:val="0"/>
    <w:rPr>
      <w:rFonts w:eastAsia="黑体"/>
      <w:color w:val="000000"/>
      <w:kern w:val="2"/>
      <w:sz w:val="24"/>
      <w:szCs w:val="24"/>
    </w:rPr>
  </w:style>
  <w:style w:type="character" w:customStyle="1" w:styleId="147">
    <w:name w:val="纯文本字符"/>
    <w:qFormat/>
    <w:uiPriority w:val="0"/>
    <w:rPr>
      <w:rFonts w:ascii="宋体" w:hAnsi="Courier New"/>
      <w:kern w:val="2"/>
      <w:sz w:val="24"/>
      <w:szCs w:val="24"/>
      <w:lang w:bidi="ar-SA"/>
    </w:rPr>
  </w:style>
  <w:style w:type="character" w:customStyle="1" w:styleId="148">
    <w:name w:val="v151"/>
    <w:qFormat/>
    <w:uiPriority w:val="0"/>
    <w:rPr>
      <w:rFonts w:eastAsia="宋体"/>
      <w:kern w:val="2"/>
      <w:sz w:val="18"/>
      <w:szCs w:val="18"/>
      <w:lang w:val="en-US" w:eastAsia="zh-CN" w:bidi="ar-SA"/>
    </w:rPr>
  </w:style>
  <w:style w:type="character" w:customStyle="1" w:styleId="149">
    <w:name w:val="grame"/>
    <w:qFormat/>
    <w:uiPriority w:val="0"/>
  </w:style>
  <w:style w:type="character" w:customStyle="1" w:styleId="150">
    <w:name w:val="z-窗体顶端 字符"/>
    <w:link w:val="151"/>
    <w:qFormat/>
    <w:uiPriority w:val="0"/>
    <w:rPr>
      <w:rFonts w:ascii="Arial" w:hAnsi="Arial" w:cs="Arial"/>
      <w:vanish/>
      <w:sz w:val="16"/>
      <w:szCs w:val="16"/>
    </w:rPr>
  </w:style>
  <w:style w:type="paragraph" w:customStyle="1" w:styleId="151">
    <w:name w:val="HTML Top of Form"/>
    <w:basedOn w:val="1"/>
    <w:next w:val="1"/>
    <w:link w:val="150"/>
    <w:qFormat/>
    <w:uiPriority w:val="0"/>
    <w:pPr>
      <w:widowControl/>
      <w:pBdr>
        <w:bottom w:val="single" w:color="auto" w:sz="6" w:space="1"/>
      </w:pBdr>
      <w:jc w:val="center"/>
    </w:pPr>
    <w:rPr>
      <w:rFonts w:ascii="Arial" w:hAnsi="Arial"/>
      <w:vanish/>
      <w:kern w:val="0"/>
      <w:sz w:val="16"/>
      <w:szCs w:val="16"/>
    </w:rPr>
  </w:style>
  <w:style w:type="character" w:customStyle="1" w:styleId="152">
    <w:name w:val="Char Char17"/>
    <w:qFormat/>
    <w:uiPriority w:val="0"/>
    <w:rPr>
      <w:rFonts w:ascii="宋体" w:eastAsia="宋体"/>
      <w:b/>
      <w:kern w:val="44"/>
      <w:sz w:val="24"/>
      <w:lang w:val="en-US" w:eastAsia="zh-CN" w:bidi="ar-SA"/>
    </w:rPr>
  </w:style>
  <w:style w:type="character" w:customStyle="1" w:styleId="153">
    <w:name w:val="Char Char7"/>
    <w:qFormat/>
    <w:uiPriority w:val="0"/>
    <w:rPr>
      <w:rFonts w:ascii="Cambria" w:hAnsi="Cambria" w:eastAsia="宋体"/>
      <w:b/>
      <w:bCs/>
      <w:sz w:val="32"/>
      <w:szCs w:val="32"/>
      <w:lang w:val="en-US" w:eastAsia="zh-CN" w:bidi="ar-SA"/>
    </w:rPr>
  </w:style>
  <w:style w:type="character" w:customStyle="1" w:styleId="154">
    <w:name w:val="biaoti-red"/>
    <w:qFormat/>
    <w:uiPriority w:val="0"/>
  </w:style>
  <w:style w:type="character" w:customStyle="1" w:styleId="155">
    <w:name w:val="正文文字首行缩进 Char"/>
    <w:qFormat/>
    <w:uiPriority w:val="0"/>
    <w:rPr>
      <w:rFonts w:ascii="Times New Roman" w:hAnsi="Times New Roman"/>
      <w:sz w:val="21"/>
    </w:rPr>
  </w:style>
  <w:style w:type="paragraph" w:customStyle="1" w:styleId="156">
    <w:name w:val="right"/>
    <w:basedOn w:val="1"/>
    <w:qFormat/>
    <w:uiPriority w:val="0"/>
    <w:pPr>
      <w:widowControl/>
      <w:spacing w:before="100" w:beforeAutospacing="1" w:after="100" w:afterAutospacing="1"/>
      <w:jc w:val="left"/>
    </w:pPr>
    <w:rPr>
      <w:rFonts w:ascii="宋体" w:hAnsi="宋体"/>
      <w:kern w:val="0"/>
      <w:sz w:val="24"/>
    </w:rPr>
  </w:style>
  <w:style w:type="paragraph" w:customStyle="1" w:styleId="157">
    <w:name w:val="zoey楷体正文"/>
    <w:basedOn w:val="5"/>
    <w:qFormat/>
    <w:uiPriority w:val="0"/>
    <w:pPr>
      <w:keepNext w:val="0"/>
      <w:spacing w:line="360" w:lineRule="auto"/>
      <w:ind w:firstLine="420" w:firstLineChars="200"/>
      <w:contextualSpacing/>
      <w:jc w:val="left"/>
      <w:outlineLvl w:val="9"/>
    </w:pPr>
    <w:rPr>
      <w:rFonts w:ascii="宋体" w:hAnsi="宋体" w:eastAsia="楷体_GB2312"/>
      <w:color w:val="000000"/>
      <w:sz w:val="24"/>
      <w:szCs w:val="21"/>
    </w:rPr>
  </w:style>
  <w:style w:type="paragraph" w:customStyle="1" w:styleId="158">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159">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60">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161">
    <w:name w:val="Char Char1 Char Char Char Char Char Char Char Char Char Char"/>
    <w:basedOn w:val="1"/>
    <w:qFormat/>
    <w:uiPriority w:val="0"/>
    <w:pPr>
      <w:tabs>
        <w:tab w:val="left" w:pos="360"/>
      </w:tabs>
      <w:ind w:firstLine="420" w:firstLineChars="150"/>
    </w:pPr>
    <w:rPr>
      <w:rFonts w:ascii="Arial" w:hAnsi="Arial" w:cs="Arial"/>
      <w:sz w:val="20"/>
      <w:szCs w:val="20"/>
    </w:rPr>
  </w:style>
  <w:style w:type="paragraph" w:customStyle="1" w:styleId="162">
    <w:name w:val="TOC Heading"/>
    <w:basedOn w:val="5"/>
    <w:next w:val="1"/>
    <w:qFormat/>
    <w:uiPriority w:val="0"/>
    <w:pPr>
      <w:keepLines/>
      <w:widowControl/>
      <w:spacing w:before="240" w:line="259" w:lineRule="auto"/>
      <w:jc w:val="left"/>
      <w:outlineLvl w:val="9"/>
    </w:pPr>
    <w:rPr>
      <w:rFonts w:ascii="等线 Light" w:hAnsi="等线 Light" w:eastAsia="等线 Light"/>
      <w:color w:val="2F5496"/>
      <w:kern w:val="0"/>
      <w:sz w:val="32"/>
      <w:szCs w:val="32"/>
    </w:rPr>
  </w:style>
  <w:style w:type="paragraph" w:customStyle="1" w:styleId="163">
    <w:name w:val="b3-2"/>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164">
    <w:name w:val="正文－恩普"/>
    <w:basedOn w:val="11"/>
    <w:qFormat/>
    <w:uiPriority w:val="0"/>
    <w:pPr>
      <w:framePr w:wrap="around" w:vAnchor="text" w:hAnchor="text" w:y="1"/>
      <w:spacing w:after="0" w:line="360" w:lineRule="auto"/>
    </w:pPr>
    <w:rPr>
      <w:szCs w:val="24"/>
    </w:rPr>
  </w:style>
  <w:style w:type="paragraph" w:customStyle="1" w:styleId="165">
    <w:name w:val="Char Char Char Char1"/>
    <w:basedOn w:val="21"/>
    <w:qFormat/>
    <w:uiPriority w:val="0"/>
    <w:rPr>
      <w:szCs w:val="20"/>
    </w:rPr>
  </w:style>
  <w:style w:type="paragraph" w:customStyle="1" w:styleId="166">
    <w:name w:val="Char1 Char Char Char"/>
    <w:basedOn w:val="1"/>
    <w:qFormat/>
    <w:uiPriority w:val="0"/>
    <w:rPr>
      <w:rFonts w:ascii="Tahoma" w:hAnsi="Tahoma"/>
      <w:sz w:val="24"/>
      <w:szCs w:val="20"/>
    </w:rPr>
  </w:style>
  <w:style w:type="paragraph" w:customStyle="1" w:styleId="167">
    <w:name w:val="Char Char"/>
    <w:basedOn w:val="1"/>
    <w:qFormat/>
    <w:uiPriority w:val="0"/>
    <w:rPr>
      <w:rFonts w:ascii="Tahoma" w:hAnsi="Tahoma"/>
      <w:sz w:val="24"/>
      <w:szCs w:val="20"/>
    </w:rPr>
  </w:style>
  <w:style w:type="paragraph" w:customStyle="1" w:styleId="168">
    <w:name w:val="font2"/>
    <w:basedOn w:val="1"/>
    <w:qFormat/>
    <w:uiPriority w:val="0"/>
    <w:pPr>
      <w:widowControl/>
      <w:spacing w:before="100" w:beforeAutospacing="1" w:after="100" w:afterAutospacing="1"/>
      <w:jc w:val="left"/>
    </w:pPr>
    <w:rPr>
      <w:rFonts w:ascii="宋体" w:hAnsi="宋体"/>
      <w:color w:val="FF0000"/>
      <w:kern w:val="0"/>
      <w:sz w:val="24"/>
    </w:rPr>
  </w:style>
  <w:style w:type="paragraph" w:customStyle="1" w:styleId="169">
    <w:name w:val="Char Char Char Char Char Char Char Char Char Char Char Char Char Char"/>
    <w:basedOn w:val="1"/>
    <w:qFormat/>
    <w:uiPriority w:val="0"/>
    <w:pPr>
      <w:widowControl/>
      <w:spacing w:after="160" w:line="240" w:lineRule="exact"/>
      <w:jc w:val="left"/>
    </w:pPr>
    <w:rPr>
      <w:rFonts w:ascii="Verdana" w:hAnsi="Verdana" w:cs="宋体"/>
      <w:b/>
      <w:kern w:val="0"/>
      <w:sz w:val="20"/>
      <w:szCs w:val="20"/>
      <w:lang w:eastAsia="en-US"/>
    </w:rPr>
  </w:style>
  <w:style w:type="paragraph" w:customStyle="1" w:styleId="170">
    <w:name w:val="Char Char1 Char Char"/>
    <w:basedOn w:val="1"/>
    <w:qFormat/>
    <w:uiPriority w:val="0"/>
    <w:pPr>
      <w:ind w:left="100" w:leftChars="100" w:right="100" w:rightChars="100"/>
      <w:jc w:val="left"/>
    </w:pPr>
    <w:rPr>
      <w:rFonts w:ascii="Tahoma" w:hAnsi="Tahoma"/>
      <w:sz w:val="24"/>
      <w:szCs w:val="20"/>
    </w:rPr>
  </w:style>
  <w:style w:type="paragraph" w:customStyle="1" w:styleId="17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72">
    <w:name w:val="小点说明"/>
    <w:basedOn w:val="1"/>
    <w:qFormat/>
    <w:uiPriority w:val="0"/>
    <w:pPr>
      <w:adjustRightInd w:val="0"/>
      <w:snapToGrid w:val="0"/>
    </w:pPr>
    <w:rPr>
      <w:rFonts w:ascii="仿宋_GB2312" w:eastAsia="仿宋_GB2312"/>
      <w:color w:val="000000"/>
      <w:szCs w:val="18"/>
    </w:rPr>
  </w:style>
  <w:style w:type="paragraph" w:customStyle="1" w:styleId="173">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4">
    <w:name w:val="Char1"/>
    <w:basedOn w:val="1"/>
    <w:qFormat/>
    <w:uiPriority w:val="0"/>
    <w:rPr>
      <w:rFonts w:ascii="仿宋_GB2312" w:eastAsia="仿宋_GB2312"/>
      <w:b/>
      <w:sz w:val="32"/>
      <w:szCs w:val="32"/>
    </w:rPr>
  </w:style>
  <w:style w:type="paragraph" w:customStyle="1" w:styleId="175">
    <w:name w:val="_Style 32"/>
    <w:basedOn w:val="1"/>
    <w:qFormat/>
    <w:uiPriority w:val="0"/>
    <w:rPr>
      <w:rFonts w:ascii="仿宋_GB2312" w:hAnsi="仿宋_GB2312" w:cs="宋体"/>
      <w:b/>
      <w:bCs/>
      <w:color w:val="000000"/>
      <w:kern w:val="0"/>
      <w:sz w:val="22"/>
      <w:szCs w:val="21"/>
    </w:rPr>
  </w:style>
  <w:style w:type="paragraph" w:customStyle="1" w:styleId="176">
    <w:name w:val="默认段落字体 Para Char Char Char Char Char Char Char Char Char1 Char Char Char Char"/>
    <w:basedOn w:val="1"/>
    <w:qFormat/>
    <w:uiPriority w:val="0"/>
    <w:rPr>
      <w:rFonts w:ascii="Tahoma" w:hAnsi="Tahoma"/>
      <w:sz w:val="24"/>
      <w:szCs w:val="20"/>
    </w:rPr>
  </w:style>
  <w:style w:type="paragraph" w:customStyle="1" w:styleId="177">
    <w:name w:val="p14a"/>
    <w:basedOn w:val="1"/>
    <w:qFormat/>
    <w:uiPriority w:val="0"/>
    <w:pPr>
      <w:widowControl/>
      <w:spacing w:before="100" w:beforeAutospacing="1" w:after="100" w:afterAutospacing="1" w:line="411" w:lineRule="atLeast"/>
      <w:jc w:val="left"/>
    </w:pPr>
    <w:rPr>
      <w:rFonts w:ascii="宋体" w:hAnsi="宋体"/>
      <w:kern w:val="0"/>
      <w:sz w:val="26"/>
      <w:szCs w:val="26"/>
    </w:rPr>
  </w:style>
  <w:style w:type="paragraph" w:customStyle="1" w:styleId="178">
    <w:name w:val="列表段落1"/>
    <w:basedOn w:val="1"/>
    <w:qFormat/>
    <w:uiPriority w:val="0"/>
    <w:pPr>
      <w:widowControl/>
      <w:ind w:firstLine="420" w:firstLineChars="200"/>
      <w:jc w:val="left"/>
    </w:pPr>
    <w:rPr>
      <w:kern w:val="0"/>
      <w:sz w:val="24"/>
      <w:szCs w:val="20"/>
    </w:rPr>
  </w:style>
  <w:style w:type="paragraph" w:customStyle="1" w:styleId="179">
    <w:name w:val="正文文字表格居中"/>
    <w:basedOn w:val="1"/>
    <w:next w:val="56"/>
    <w:qFormat/>
    <w:uiPriority w:val="0"/>
    <w:pPr>
      <w:spacing w:line="400" w:lineRule="exact"/>
      <w:jc w:val="center"/>
    </w:pPr>
    <w:rPr>
      <w:b/>
      <w:bCs/>
      <w:sz w:val="24"/>
    </w:rPr>
  </w:style>
  <w:style w:type="paragraph" w:customStyle="1" w:styleId="180">
    <w:name w:val="_Style 50"/>
    <w:next w:val="1"/>
    <w:qFormat/>
    <w:uiPriority w:val="0"/>
    <w:rPr>
      <w:rFonts w:ascii="Times New Roman" w:hAnsi="Times New Roman" w:eastAsia="宋体" w:cs="Times New Roman"/>
      <w:sz w:val="21"/>
      <w:lang w:val="en-US" w:eastAsia="zh-CN" w:bidi="ar-SA"/>
    </w:rPr>
  </w:style>
  <w:style w:type="paragraph" w:customStyle="1" w:styleId="181">
    <w:name w:val="b3-1"/>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182">
    <w:name w:val="Char12"/>
    <w:basedOn w:val="1"/>
    <w:qFormat/>
    <w:uiPriority w:val="0"/>
    <w:rPr>
      <w:rFonts w:ascii="Tahoma" w:hAnsi="Tahoma"/>
      <w:sz w:val="24"/>
      <w:szCs w:val="20"/>
    </w:rPr>
  </w:style>
  <w:style w:type="paragraph" w:customStyle="1" w:styleId="183">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标题 61"/>
    <w:basedOn w:val="1"/>
    <w:qFormat/>
    <w:uiPriority w:val="0"/>
    <w:pPr>
      <w:widowControl/>
      <w:jc w:val="left"/>
      <w:outlineLvl w:val="6"/>
    </w:pPr>
    <w:rPr>
      <w:rFonts w:ascii="宋体" w:hAnsi="宋体" w:cs="宋体"/>
      <w:color w:val="00569B"/>
      <w:kern w:val="0"/>
      <w:sz w:val="17"/>
      <w:szCs w:val="17"/>
    </w:rPr>
  </w:style>
  <w:style w:type="paragraph" w:customStyle="1" w:styleId="185">
    <w:name w:val="Char Char Char Char Char Char Char"/>
    <w:basedOn w:val="1"/>
    <w:qFormat/>
    <w:uiPriority w:val="0"/>
    <w:rPr>
      <w:rFonts w:ascii="仿宋_GB2312" w:eastAsia="仿宋_GB2312"/>
      <w:b/>
      <w:sz w:val="32"/>
      <w:szCs w:val="32"/>
    </w:rPr>
  </w:style>
  <w:style w:type="paragraph" w:customStyle="1" w:styleId="186">
    <w:name w:val="我的正文"/>
    <w:qFormat/>
    <w:uiPriority w:val="0"/>
    <w:pPr>
      <w:spacing w:line="360" w:lineRule="auto"/>
      <w:ind w:firstLine="200" w:firstLineChars="200"/>
      <w:jc w:val="both"/>
    </w:pPr>
    <w:rPr>
      <w:rFonts w:ascii="Times New Roman" w:hAnsi="Times New Roman" w:eastAsia="华文仿宋" w:cs="Times New Roman"/>
      <w:kern w:val="2"/>
      <w:sz w:val="28"/>
      <w:szCs w:val="28"/>
      <w:lang w:val="en-US" w:eastAsia="zh-CN" w:bidi="ar-SA"/>
    </w:rPr>
  </w:style>
  <w:style w:type="paragraph" w:customStyle="1" w:styleId="187">
    <w:name w:val="Char1 Char Char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88">
    <w:name w:val="Char"/>
    <w:basedOn w:val="1"/>
    <w:qFormat/>
    <w:uiPriority w:val="0"/>
    <w:rPr>
      <w:rFonts w:ascii="仿宋_GB2312" w:eastAsia="仿宋_GB2312"/>
      <w:b/>
      <w:sz w:val="32"/>
      <w:szCs w:val="32"/>
    </w:rPr>
  </w:style>
  <w:style w:type="paragraph" w:customStyle="1" w:styleId="189">
    <w:name w:val="默认段落字体 Para Char Char Char Char"/>
    <w:basedOn w:val="1"/>
    <w:qFormat/>
    <w:uiPriority w:val="0"/>
    <w:rPr>
      <w:szCs w:val="20"/>
    </w:rPr>
  </w:style>
  <w:style w:type="paragraph" w:customStyle="1" w:styleId="190">
    <w:name w:val="14shadhxxx"/>
    <w:basedOn w:val="1"/>
    <w:qFormat/>
    <w:uiPriority w:val="0"/>
    <w:pPr>
      <w:widowControl/>
      <w:spacing w:before="100" w:beforeAutospacing="1" w:after="100" w:afterAutospacing="1"/>
      <w:jc w:val="left"/>
    </w:pPr>
    <w:rPr>
      <w:rFonts w:ascii="宋体" w:hAnsi="宋体"/>
      <w:b/>
      <w:bCs/>
      <w:color w:val="000000"/>
      <w:kern w:val="0"/>
      <w:sz w:val="26"/>
      <w:szCs w:val="26"/>
    </w:rPr>
  </w:style>
  <w:style w:type="paragraph" w:customStyle="1" w:styleId="191">
    <w:name w:val="彩色底纹 - 强调文字颜色 11"/>
    <w:unhideWhenUsed/>
    <w:qFormat/>
    <w:uiPriority w:val="71"/>
    <w:rPr>
      <w:rFonts w:ascii="Times New Roman" w:hAnsi="Times New Roman" w:eastAsia="宋体" w:cs="Times New Roman"/>
      <w:sz w:val="21"/>
      <w:lang w:val="en-US" w:eastAsia="zh-CN" w:bidi="ar-SA"/>
    </w:rPr>
  </w:style>
  <w:style w:type="paragraph" w:customStyle="1" w:styleId="192">
    <w:name w:val="font14"/>
    <w:basedOn w:val="1"/>
    <w:qFormat/>
    <w:uiPriority w:val="0"/>
    <w:pPr>
      <w:widowControl/>
      <w:spacing w:before="100" w:beforeAutospacing="1" w:after="100" w:afterAutospacing="1"/>
      <w:jc w:val="left"/>
    </w:pPr>
    <w:rPr>
      <w:rFonts w:ascii="宋体" w:hAnsi="宋体"/>
      <w:color w:val="AECFEE"/>
      <w:kern w:val="0"/>
      <w:sz w:val="24"/>
    </w:rPr>
  </w:style>
  <w:style w:type="paragraph" w:customStyle="1" w:styleId="193">
    <w:name w:val="正文2"/>
    <w:basedOn w:val="1"/>
    <w:qFormat/>
    <w:uiPriority w:val="0"/>
    <w:pPr>
      <w:spacing w:before="156" w:line="360" w:lineRule="auto"/>
      <w:ind w:firstLine="510" w:firstLineChars="200"/>
    </w:pPr>
    <w:rPr>
      <w:sz w:val="24"/>
      <w:szCs w:val="20"/>
    </w:rPr>
  </w:style>
  <w:style w:type="paragraph" w:customStyle="1" w:styleId="194">
    <w:name w:val="p0"/>
    <w:basedOn w:val="1"/>
    <w:qFormat/>
    <w:uiPriority w:val="0"/>
    <w:pPr>
      <w:widowControl/>
    </w:pPr>
    <w:rPr>
      <w:rFonts w:ascii="Calibri" w:hAnsi="Calibri" w:cs="宋体"/>
      <w:kern w:val="0"/>
      <w:szCs w:val="21"/>
    </w:rPr>
  </w:style>
  <w:style w:type="paragraph" w:customStyle="1" w:styleId="195">
    <w:name w:val="Char Char Char Char Char Char Char Char Char Char"/>
    <w:basedOn w:val="21"/>
    <w:qFormat/>
    <w:uiPriority w:val="0"/>
  </w:style>
  <w:style w:type="paragraph" w:customStyle="1" w:styleId="196">
    <w:name w:val="Char Char4"/>
    <w:basedOn w:val="1"/>
    <w:qFormat/>
    <w:uiPriority w:val="0"/>
    <w:rPr>
      <w:rFonts w:ascii="Tahoma" w:hAnsi="Tahoma"/>
      <w:sz w:val="24"/>
      <w:szCs w:val="20"/>
    </w:rPr>
  </w:style>
  <w:style w:type="paragraph" w:customStyle="1" w:styleId="197">
    <w:name w:val="表内文字"/>
    <w:basedOn w:val="1"/>
    <w:qFormat/>
    <w:uiPriority w:val="0"/>
    <w:pPr>
      <w:jc w:val="center"/>
    </w:pPr>
    <w:rPr>
      <w:rFonts w:ascii="仿宋_GB2312" w:eastAsia="仿宋_GB2312"/>
      <w:sz w:val="24"/>
    </w:rPr>
  </w:style>
  <w:style w:type="paragraph" w:customStyle="1" w:styleId="198">
    <w:name w:val="产品手册技术规格类别"/>
    <w:basedOn w:val="1"/>
    <w:qFormat/>
    <w:uiPriority w:val="0"/>
    <w:pPr>
      <w:tabs>
        <w:tab w:val="left" w:pos="420"/>
      </w:tabs>
      <w:spacing w:line="400" w:lineRule="exact"/>
      <w:ind w:left="432" w:hanging="432"/>
    </w:pPr>
    <w:rPr>
      <w:rFonts w:ascii="Arial" w:hAnsi="Arial" w:eastAsia="黑体"/>
      <w:b/>
      <w:szCs w:val="21"/>
    </w:rPr>
  </w:style>
  <w:style w:type="paragraph" w:customStyle="1" w:styleId="199">
    <w:name w:val="b5-1"/>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200">
    <w:name w:val="Char Char3"/>
    <w:basedOn w:val="1"/>
    <w:qFormat/>
    <w:uiPriority w:val="0"/>
    <w:rPr>
      <w:rFonts w:ascii="仿宋_GB2312" w:eastAsia="仿宋_GB2312"/>
      <w:b/>
      <w:sz w:val="32"/>
      <w:szCs w:val="32"/>
    </w:rPr>
  </w:style>
  <w:style w:type="paragraph" w:customStyle="1" w:styleId="201">
    <w:name w:val="正文段"/>
    <w:basedOn w:val="1"/>
    <w:qFormat/>
    <w:uiPriority w:val="0"/>
    <w:pPr>
      <w:widowControl/>
      <w:snapToGrid w:val="0"/>
      <w:spacing w:after="50"/>
      <w:ind w:firstLine="200" w:firstLineChars="200"/>
    </w:pPr>
    <w:rPr>
      <w:kern w:val="0"/>
      <w:sz w:val="24"/>
      <w:szCs w:val="20"/>
    </w:rPr>
  </w:style>
  <w:style w:type="paragraph" w:customStyle="1" w:styleId="202">
    <w:name w:val="正文格式"/>
    <w:basedOn w:val="1"/>
    <w:qFormat/>
    <w:uiPriority w:val="0"/>
    <w:pPr>
      <w:spacing w:before="120" w:after="120" w:line="360" w:lineRule="auto"/>
      <w:ind w:firstLine="482"/>
      <w:jc w:val="left"/>
    </w:pPr>
    <w:rPr>
      <w:sz w:val="24"/>
      <w:szCs w:val="20"/>
    </w:rPr>
  </w:style>
  <w:style w:type="paragraph" w:customStyle="1" w:styleId="203">
    <w:name w:val="列出段落1"/>
    <w:basedOn w:val="1"/>
    <w:link w:val="408"/>
    <w:qFormat/>
    <w:uiPriority w:val="0"/>
    <w:pPr>
      <w:ind w:firstLine="420" w:firstLineChars="200"/>
    </w:pPr>
    <w:rPr>
      <w:szCs w:val="20"/>
    </w:rPr>
  </w:style>
  <w:style w:type="paragraph" w:customStyle="1" w:styleId="204">
    <w:name w:val="表格文字"/>
    <w:basedOn w:val="1"/>
    <w:next w:val="2"/>
    <w:link w:val="339"/>
    <w:qFormat/>
    <w:uiPriority w:val="0"/>
    <w:pPr>
      <w:widowControl/>
      <w:adjustRightInd w:val="0"/>
      <w:spacing w:line="420" w:lineRule="atLeast"/>
      <w:jc w:val="left"/>
      <w:textAlignment w:val="baseline"/>
    </w:pPr>
    <w:rPr>
      <w:kern w:val="0"/>
    </w:rPr>
  </w:style>
  <w:style w:type="paragraph" w:customStyle="1" w:styleId="205">
    <w:name w:val="附件"/>
    <w:basedOn w:val="5"/>
    <w:qFormat/>
    <w:uiPriority w:val="0"/>
    <w:pPr>
      <w:keepNext w:val="0"/>
      <w:pageBreakBefore/>
      <w:tabs>
        <w:tab w:val="left" w:pos="840"/>
      </w:tabs>
      <w:adjustRightInd w:val="0"/>
      <w:snapToGrid w:val="0"/>
      <w:spacing w:before="312" w:beforeLines="100" w:after="312" w:afterLines="100"/>
    </w:pPr>
    <w:rPr>
      <w:rFonts w:ascii="宋体" w:hAnsi="宋体"/>
      <w:b/>
      <w:kern w:val="44"/>
      <w:szCs w:val="36"/>
    </w:rPr>
  </w:style>
  <w:style w:type="paragraph" w:customStyle="1" w:styleId="206">
    <w:name w:val="l18"/>
    <w:basedOn w:val="1"/>
    <w:qFormat/>
    <w:uiPriority w:val="0"/>
    <w:pPr>
      <w:widowControl/>
      <w:spacing w:before="100" w:beforeAutospacing="1" w:after="100" w:afterAutospacing="1" w:line="337" w:lineRule="atLeast"/>
      <w:jc w:val="left"/>
    </w:pPr>
    <w:rPr>
      <w:rFonts w:ascii="宋体" w:hAnsi="宋体"/>
      <w:kern w:val="0"/>
      <w:sz w:val="24"/>
    </w:rPr>
  </w:style>
  <w:style w:type="paragraph" w:customStyle="1" w:styleId="207">
    <w:name w:val="Char Char9"/>
    <w:basedOn w:val="1"/>
    <w:qFormat/>
    <w:uiPriority w:val="0"/>
    <w:rPr>
      <w:rFonts w:ascii="宋体" w:hAnsi="宋体" w:cs="宋体"/>
      <w:b/>
      <w:bCs/>
      <w:color w:val="000000"/>
      <w:sz w:val="22"/>
      <w:szCs w:val="22"/>
    </w:rPr>
  </w:style>
  <w:style w:type="paragraph" w:customStyle="1" w:styleId="208">
    <w:name w:val="样式2"/>
    <w:basedOn w:val="8"/>
    <w:link w:val="355"/>
    <w:qFormat/>
    <w:uiPriority w:val="0"/>
    <w:pPr>
      <w:keepLines w:val="0"/>
      <w:widowControl/>
      <w:tabs>
        <w:tab w:val="left" w:pos="425"/>
      </w:tabs>
      <w:spacing w:before="240" w:after="60" w:line="240" w:lineRule="auto"/>
      <w:ind w:left="425" w:hanging="425"/>
      <w:jc w:val="left"/>
    </w:pPr>
    <w:rPr>
      <w:rFonts w:eastAsia="宋体"/>
      <w:bCs w:val="0"/>
      <w:kern w:val="0"/>
      <w:sz w:val="24"/>
      <w:szCs w:val="20"/>
      <w:lang w:eastAsia="en-US"/>
    </w:rPr>
  </w:style>
  <w:style w:type="paragraph" w:customStyle="1" w:styleId="209">
    <w:name w:val="xl77"/>
    <w:basedOn w:val="1"/>
    <w:link w:val="420"/>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210">
    <w:name w:val="font4_1"/>
    <w:basedOn w:val="1"/>
    <w:qFormat/>
    <w:uiPriority w:val="0"/>
    <w:pPr>
      <w:widowControl/>
      <w:spacing w:before="100" w:beforeAutospacing="1" w:after="100" w:afterAutospacing="1"/>
      <w:jc w:val="left"/>
    </w:pPr>
    <w:rPr>
      <w:rFonts w:ascii="宋体" w:hAnsi="宋体"/>
      <w:color w:val="FFFFFF"/>
      <w:kern w:val="0"/>
      <w:sz w:val="24"/>
    </w:rPr>
  </w:style>
  <w:style w:type="paragraph" w:customStyle="1" w:styleId="211">
    <w:name w:val="纯文本1"/>
    <w:basedOn w:val="1"/>
    <w:qFormat/>
    <w:uiPriority w:val="0"/>
    <w:pPr>
      <w:widowControl/>
      <w:spacing w:before="100" w:beforeAutospacing="1" w:after="100" w:afterAutospacing="1"/>
      <w:jc w:val="left"/>
    </w:pPr>
    <w:rPr>
      <w:rFonts w:ascii="宋体" w:hAnsi="宋体"/>
      <w:sz w:val="24"/>
    </w:rPr>
  </w:style>
  <w:style w:type="paragraph" w:customStyle="1" w:styleId="212">
    <w:name w:val="_Style 70"/>
    <w:basedOn w:val="1"/>
    <w:qFormat/>
    <w:uiPriority w:val="0"/>
    <w:rPr>
      <w:szCs w:val="20"/>
    </w:rPr>
  </w:style>
  <w:style w:type="paragraph" w:customStyle="1" w:styleId="213">
    <w:name w:val="Char5"/>
    <w:basedOn w:val="1"/>
    <w:qFormat/>
    <w:uiPriority w:val="0"/>
    <w:rPr>
      <w:rFonts w:ascii="仿宋_GB2312" w:eastAsia="仿宋_GB2312"/>
      <w:b/>
      <w:sz w:val="32"/>
      <w:szCs w:val="32"/>
    </w:rPr>
  </w:style>
  <w:style w:type="paragraph" w:customStyle="1" w:styleId="214">
    <w:name w:val="left"/>
    <w:basedOn w:val="1"/>
    <w:qFormat/>
    <w:uiPriority w:val="0"/>
    <w:pPr>
      <w:widowControl/>
      <w:spacing w:before="100" w:beforeAutospacing="1" w:after="100" w:afterAutospacing="1"/>
      <w:jc w:val="left"/>
    </w:pPr>
    <w:rPr>
      <w:rFonts w:ascii="宋体" w:hAnsi="宋体"/>
      <w:kern w:val="0"/>
      <w:sz w:val="24"/>
    </w:rPr>
  </w:style>
  <w:style w:type="paragraph" w:customStyle="1" w:styleId="215">
    <w:name w:val="Char Char2 Char"/>
    <w:basedOn w:val="1"/>
    <w:qFormat/>
    <w:uiPriority w:val="0"/>
    <w:pPr>
      <w:keepNext/>
      <w:keepLines/>
      <w:pageBreakBefore/>
      <w:tabs>
        <w:tab w:val="left" w:pos="845"/>
      </w:tabs>
      <w:ind w:left="845" w:hanging="420"/>
    </w:pPr>
    <w:rPr>
      <w:rFonts w:ascii="仿宋_GB2312" w:hAnsi="宋体" w:eastAsia="仿宋_GB2312"/>
      <w:b/>
      <w:color w:val="000000"/>
      <w:kern w:val="0"/>
      <w:szCs w:val="20"/>
    </w:rPr>
  </w:style>
  <w:style w:type="paragraph" w:customStyle="1" w:styleId="216">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17">
    <w:name w:val="Char Char7 Char2"/>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218">
    <w:name w:val="中等深浅网格 1 - 强调文字颜色 21"/>
    <w:basedOn w:val="1"/>
    <w:qFormat/>
    <w:uiPriority w:val="34"/>
    <w:pPr>
      <w:widowControl/>
      <w:ind w:firstLine="420" w:firstLineChars="200"/>
      <w:jc w:val="left"/>
    </w:pPr>
    <w:rPr>
      <w:kern w:val="0"/>
      <w:szCs w:val="20"/>
    </w:rPr>
  </w:style>
  <w:style w:type="paragraph" w:customStyle="1" w:styleId="219">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paragraph" w:customStyle="1" w:styleId="220">
    <w:name w:val="px12l140"/>
    <w:basedOn w:val="1"/>
    <w:qFormat/>
    <w:uiPriority w:val="0"/>
    <w:pPr>
      <w:widowControl/>
      <w:spacing w:before="100" w:beforeAutospacing="1" w:after="100" w:afterAutospacing="1" w:line="336" w:lineRule="auto"/>
      <w:jc w:val="left"/>
    </w:pPr>
    <w:rPr>
      <w:kern w:val="0"/>
      <w:sz w:val="20"/>
      <w:szCs w:val="20"/>
    </w:rPr>
  </w:style>
  <w:style w:type="paragraph" w:customStyle="1" w:styleId="221">
    <w:name w:val="Char Char Char"/>
    <w:basedOn w:val="1"/>
    <w:qFormat/>
    <w:uiPriority w:val="0"/>
    <w:rPr>
      <w:rFonts w:ascii="Tahoma" w:hAnsi="Tahoma"/>
      <w:sz w:val="24"/>
      <w:szCs w:val="20"/>
    </w:rPr>
  </w:style>
  <w:style w:type="paragraph" w:customStyle="1" w:styleId="2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3">
    <w:name w:val="默认段落字体 Para Char Char Char Char Char Char Char"/>
    <w:basedOn w:val="1"/>
    <w:qFormat/>
    <w:uiPriority w:val="0"/>
    <w:rPr>
      <w:rFonts w:ascii="Tahoma" w:hAnsi="Tahoma"/>
      <w:sz w:val="24"/>
      <w:szCs w:val="20"/>
    </w:rPr>
  </w:style>
  <w:style w:type="paragraph" w:customStyle="1" w:styleId="224">
    <w:name w:val="Char Char Char Char"/>
    <w:basedOn w:val="21"/>
    <w:qFormat/>
    <w:uiPriority w:val="0"/>
    <w:rPr>
      <w:rFonts w:ascii="Tahoma" w:hAnsi="Tahoma"/>
      <w:sz w:val="24"/>
    </w:rPr>
  </w:style>
  <w:style w:type="paragraph" w:customStyle="1" w:styleId="225">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26">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227">
    <w:name w:val="GP正文(首行缩进)"/>
    <w:basedOn w:val="1"/>
    <w:qFormat/>
    <w:uiPriority w:val="0"/>
    <w:pPr>
      <w:widowControl/>
      <w:spacing w:line="360" w:lineRule="auto"/>
      <w:ind w:firstLine="480" w:firstLineChars="200"/>
      <w:jc w:val="left"/>
    </w:pPr>
    <w:rPr>
      <w:rFonts w:hAnsi="宋体"/>
      <w:kern w:val="0"/>
      <w:sz w:val="24"/>
      <w:szCs w:val="20"/>
    </w:rPr>
  </w:style>
  <w:style w:type="paragraph" w:customStyle="1" w:styleId="228">
    <w:name w:val="12shad"/>
    <w:basedOn w:val="1"/>
    <w:qFormat/>
    <w:uiPriority w:val="0"/>
    <w:pPr>
      <w:widowControl/>
      <w:spacing w:before="100" w:beforeAutospacing="1" w:after="100" w:afterAutospacing="1"/>
      <w:jc w:val="left"/>
    </w:pPr>
    <w:rPr>
      <w:rFonts w:ascii="宋体" w:hAnsi="宋体"/>
      <w:color w:val="FFFFFF"/>
      <w:kern w:val="0"/>
      <w:sz w:val="22"/>
      <w:szCs w:val="22"/>
    </w:rPr>
  </w:style>
  <w:style w:type="paragraph" w:customStyle="1" w:styleId="229">
    <w:name w:val="Char Char1"/>
    <w:basedOn w:val="1"/>
    <w:qFormat/>
    <w:uiPriority w:val="0"/>
    <w:rPr>
      <w:rFonts w:ascii="Tahoma" w:hAnsi="Tahoma"/>
      <w:sz w:val="24"/>
      <w:szCs w:val="20"/>
    </w:rPr>
  </w:style>
  <w:style w:type="paragraph" w:customStyle="1" w:styleId="230">
    <w:name w:val="p14"/>
    <w:basedOn w:val="1"/>
    <w:qFormat/>
    <w:uiPriority w:val="0"/>
    <w:pPr>
      <w:widowControl/>
      <w:spacing w:before="100" w:beforeAutospacing="1" w:after="100" w:afterAutospacing="1" w:line="411" w:lineRule="atLeast"/>
      <w:jc w:val="left"/>
    </w:pPr>
    <w:rPr>
      <w:rFonts w:ascii="宋体" w:hAnsi="宋体"/>
      <w:kern w:val="0"/>
      <w:sz w:val="26"/>
      <w:szCs w:val="26"/>
    </w:rPr>
  </w:style>
  <w:style w:type="paragraph" w:customStyle="1" w:styleId="231">
    <w:name w:val="Figure Desription Char"/>
    <w:basedOn w:val="1"/>
    <w:qFormat/>
    <w:uiPriority w:val="0"/>
  </w:style>
  <w:style w:type="paragraph" w:customStyle="1" w:styleId="232">
    <w:name w:val="模板正文缩进"/>
    <w:basedOn w:val="1"/>
    <w:qFormat/>
    <w:uiPriority w:val="0"/>
    <w:pPr>
      <w:spacing w:before="156" w:beforeLines="50" w:after="156" w:afterLines="50" w:line="520" w:lineRule="exact"/>
      <w:ind w:left="1049" w:hanging="420"/>
    </w:pPr>
    <w:rPr>
      <w:rFonts w:ascii="宋体" w:hAnsi="宋体"/>
      <w:kern w:val="0"/>
      <w:sz w:val="24"/>
    </w:rPr>
  </w:style>
  <w:style w:type="paragraph" w:customStyle="1" w:styleId="233">
    <w:name w:val="标题 1 + 仿宋_GB2312"/>
    <w:basedOn w:val="5"/>
    <w:qFormat/>
    <w:uiPriority w:val="0"/>
    <w:pPr>
      <w:keepLines/>
      <w:spacing w:before="340" w:after="330" w:line="578" w:lineRule="auto"/>
      <w:jc w:val="both"/>
    </w:pPr>
    <w:rPr>
      <w:rFonts w:ascii="仿宋_GB2312" w:eastAsia="仿宋_GB2312"/>
      <w:b/>
      <w:bCs/>
      <w:kern w:val="44"/>
      <w:sz w:val="32"/>
      <w:szCs w:val="32"/>
    </w:rPr>
  </w:style>
  <w:style w:type="paragraph" w:customStyle="1" w:styleId="234">
    <w:name w:val="b2-2"/>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235">
    <w:name w:val="Paragraph Style"/>
    <w:qFormat/>
    <w:uiPriority w:val="0"/>
    <w:pPr>
      <w:widowControl w:val="0"/>
      <w:autoSpaceDE w:val="0"/>
      <w:autoSpaceDN w:val="0"/>
      <w:adjustRightInd w:val="0"/>
    </w:pPr>
    <w:rPr>
      <w:rFonts w:ascii="Verdana" w:hAnsi="Verdana" w:eastAsia="宋体" w:cs="Times New Roman"/>
      <w:sz w:val="24"/>
      <w:szCs w:val="24"/>
      <w:lang w:val="en-US" w:eastAsia="zh-CN" w:bidi="ar-SA"/>
    </w:rPr>
  </w:style>
  <w:style w:type="paragraph" w:customStyle="1" w:styleId="236">
    <w:name w:val="b2-1"/>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237">
    <w:name w:val="l17"/>
    <w:basedOn w:val="1"/>
    <w:qFormat/>
    <w:uiPriority w:val="0"/>
    <w:pPr>
      <w:widowControl/>
      <w:spacing w:before="100" w:beforeAutospacing="1" w:after="100" w:afterAutospacing="1" w:line="318" w:lineRule="atLeast"/>
      <w:jc w:val="left"/>
    </w:pPr>
    <w:rPr>
      <w:rFonts w:ascii="宋体" w:hAnsi="宋体"/>
      <w:kern w:val="0"/>
      <w:sz w:val="24"/>
    </w:rPr>
  </w:style>
  <w:style w:type="paragraph" w:customStyle="1" w:styleId="238">
    <w:name w:val="Char Char Char Char12"/>
    <w:basedOn w:val="1"/>
    <w:qFormat/>
    <w:uiPriority w:val="0"/>
    <w:rPr>
      <w:rFonts w:ascii="Tahoma" w:hAnsi="Tahoma"/>
      <w:sz w:val="24"/>
      <w:szCs w:val="20"/>
    </w:rPr>
  </w:style>
  <w:style w:type="paragraph" w:customStyle="1" w:styleId="239">
    <w:name w:val="list_sx"/>
    <w:basedOn w:val="1"/>
    <w:qFormat/>
    <w:uiPriority w:val="0"/>
    <w:pPr>
      <w:widowControl/>
      <w:spacing w:before="100" w:beforeAutospacing="1" w:after="100" w:afterAutospacing="1"/>
      <w:jc w:val="left"/>
    </w:pPr>
    <w:rPr>
      <w:rFonts w:ascii="宋体" w:hAnsi="宋体"/>
      <w:color w:val="3166CE"/>
      <w:kern w:val="0"/>
      <w:sz w:val="24"/>
    </w:rPr>
  </w:style>
  <w:style w:type="paragraph" w:customStyle="1" w:styleId="240">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41">
    <w:name w:val="Char2"/>
    <w:basedOn w:val="1"/>
    <w:qFormat/>
    <w:uiPriority w:val="0"/>
    <w:rPr>
      <w:rFonts w:ascii="仿宋_GB2312" w:eastAsia="仿宋_GB2312"/>
      <w:b/>
      <w:sz w:val="32"/>
      <w:szCs w:val="32"/>
    </w:rPr>
  </w:style>
  <w:style w:type="paragraph" w:customStyle="1" w:styleId="242">
    <w:name w:val="1.1.1B"/>
    <w:basedOn w:val="7"/>
    <w:qFormat/>
    <w:uiPriority w:val="0"/>
    <w:pPr>
      <w:tabs>
        <w:tab w:val="left" w:pos="567"/>
      </w:tabs>
      <w:spacing w:before="240" w:after="240" w:line="240" w:lineRule="auto"/>
      <w:ind w:left="567" w:hanging="567"/>
    </w:pPr>
    <w:rPr>
      <w:sz w:val="24"/>
    </w:rPr>
  </w:style>
  <w:style w:type="paragraph" w:customStyle="1" w:styleId="243">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244">
    <w:name w:val="Fließtext"/>
    <w:basedOn w:val="1"/>
    <w:qFormat/>
    <w:uiPriority w:val="0"/>
    <w:pPr>
      <w:widowControl/>
      <w:overflowPunct w:val="0"/>
      <w:autoSpaceDE w:val="0"/>
      <w:autoSpaceDN w:val="0"/>
      <w:adjustRightInd w:val="0"/>
      <w:jc w:val="left"/>
      <w:textAlignment w:val="baseline"/>
    </w:pPr>
    <w:rPr>
      <w:kern w:val="28"/>
      <w:szCs w:val="20"/>
    </w:rPr>
  </w:style>
  <w:style w:type="paragraph" w:customStyle="1" w:styleId="245">
    <w:name w:val="p14_1"/>
    <w:basedOn w:val="1"/>
    <w:qFormat/>
    <w:uiPriority w:val="0"/>
    <w:pPr>
      <w:widowControl/>
      <w:spacing w:before="100" w:beforeAutospacing="1" w:after="100" w:afterAutospacing="1"/>
      <w:jc w:val="left"/>
    </w:pPr>
    <w:rPr>
      <w:rFonts w:ascii="宋体" w:hAnsi="宋体"/>
      <w:color w:val="000000"/>
      <w:kern w:val="0"/>
      <w:sz w:val="26"/>
      <w:szCs w:val="26"/>
    </w:rPr>
  </w:style>
  <w:style w:type="paragraph" w:customStyle="1" w:styleId="246">
    <w:name w:val="样式1"/>
    <w:basedOn w:val="8"/>
    <w:link w:val="392"/>
    <w:qFormat/>
    <w:uiPriority w:val="0"/>
    <w:pPr>
      <w:spacing w:line="374" w:lineRule="auto"/>
    </w:pPr>
  </w:style>
  <w:style w:type="paragraph" w:customStyle="1" w:styleId="247">
    <w:name w:val="正文1"/>
    <w:link w:val="407"/>
    <w:qFormat/>
    <w:uiPriority w:val="0"/>
    <w:pPr>
      <w:jc w:val="both"/>
    </w:pPr>
    <w:rPr>
      <w:rFonts w:ascii="Times New Roman" w:hAnsi="Times New Roman" w:eastAsia="宋体" w:cs="Times New Roman"/>
      <w:kern w:val="2"/>
      <w:sz w:val="21"/>
      <w:szCs w:val="21"/>
      <w:lang w:val="en-US" w:eastAsia="zh-CN" w:bidi="ar-SA"/>
    </w:rPr>
  </w:style>
  <w:style w:type="paragraph" w:customStyle="1" w:styleId="248">
    <w:name w:val="标题1"/>
    <w:basedOn w:val="1"/>
    <w:qFormat/>
    <w:uiPriority w:val="0"/>
    <w:pPr>
      <w:widowControl/>
      <w:spacing w:before="100" w:beforeAutospacing="1" w:after="100" w:afterAutospacing="1"/>
      <w:jc w:val="left"/>
    </w:pPr>
    <w:rPr>
      <w:rFonts w:ascii="宋体" w:hAnsi="宋体"/>
      <w:b/>
      <w:bCs/>
      <w:color w:val="0000CC"/>
      <w:kern w:val="0"/>
      <w:sz w:val="34"/>
      <w:szCs w:val="34"/>
    </w:rPr>
  </w:style>
  <w:style w:type="paragraph" w:customStyle="1" w:styleId="249">
    <w:name w:val="font15"/>
    <w:basedOn w:val="1"/>
    <w:qFormat/>
    <w:uiPriority w:val="0"/>
    <w:pPr>
      <w:widowControl/>
      <w:spacing w:before="100" w:beforeAutospacing="1" w:after="100" w:afterAutospacing="1"/>
      <w:jc w:val="left"/>
    </w:pPr>
    <w:rPr>
      <w:rFonts w:ascii="宋体" w:hAnsi="宋体"/>
      <w:b/>
      <w:bCs/>
      <w:color w:val="5C9DDF"/>
      <w:kern w:val="0"/>
      <w:sz w:val="24"/>
    </w:rPr>
  </w:style>
  <w:style w:type="paragraph" w:customStyle="1" w:styleId="250">
    <w:name w:val="12shad1"/>
    <w:basedOn w:val="1"/>
    <w:qFormat/>
    <w:uiPriority w:val="0"/>
    <w:pPr>
      <w:widowControl/>
      <w:spacing w:before="100" w:beforeAutospacing="1" w:after="100" w:afterAutospacing="1"/>
      <w:jc w:val="left"/>
    </w:pPr>
    <w:rPr>
      <w:rFonts w:ascii="宋体" w:hAnsi="宋体"/>
      <w:b/>
      <w:bCs/>
      <w:color w:val="FFFFFF"/>
      <w:kern w:val="0"/>
      <w:sz w:val="22"/>
      <w:szCs w:val="22"/>
    </w:rPr>
  </w:style>
  <w:style w:type="paragraph" w:customStyle="1" w:styleId="251">
    <w:name w:val="Char Char Char Char1 Char Char Char Char"/>
    <w:basedOn w:val="21"/>
    <w:qFormat/>
    <w:uiPriority w:val="0"/>
    <w:rPr>
      <w:szCs w:val="20"/>
    </w:rPr>
  </w:style>
  <w:style w:type="paragraph" w:customStyle="1" w:styleId="252">
    <w:name w:val="3"/>
    <w:basedOn w:val="1"/>
    <w:next w:val="1"/>
    <w:link w:val="254"/>
    <w:qFormat/>
    <w:uiPriority w:val="0"/>
    <w:pPr>
      <w:ind w:left="210"/>
      <w:jc w:val="left"/>
    </w:pPr>
    <w:rPr>
      <w:rFonts w:ascii="长城仿宋" w:hAnsi="长城仿宋"/>
      <w:szCs w:val="20"/>
    </w:rPr>
  </w:style>
  <w:style w:type="character" w:customStyle="1" w:styleId="253">
    <w:name w:val="正文文本 Char"/>
    <w:qFormat/>
    <w:uiPriority w:val="0"/>
    <w:rPr>
      <w:rFonts w:ascii="长城仿宋" w:hAnsi="长城仿宋"/>
      <w:kern w:val="2"/>
      <w:sz w:val="21"/>
    </w:rPr>
  </w:style>
  <w:style w:type="character" w:customStyle="1" w:styleId="254">
    <w:name w:val="正文首行缩进 Char"/>
    <w:link w:val="252"/>
    <w:qFormat/>
    <w:uiPriority w:val="0"/>
    <w:rPr>
      <w:rFonts w:ascii="长城仿宋" w:hAnsi="长城仿宋"/>
      <w:kern w:val="2"/>
      <w:sz w:val="21"/>
    </w:rPr>
  </w:style>
  <w:style w:type="character" w:customStyle="1" w:styleId="255">
    <w:name w:val="正文缩进 Char"/>
    <w:qFormat/>
    <w:locked/>
    <w:uiPriority w:val="0"/>
    <w:rPr>
      <w:rFonts w:ascii="楷体_GB2312" w:hAnsi="Arial Unicode MS" w:eastAsia="楷体_GB2312"/>
      <w:b/>
      <w:color w:val="000000"/>
      <w:sz w:val="21"/>
      <w:lang w:val="en-US" w:eastAsia="zh-CN" w:bidi="ar-SA"/>
    </w:rPr>
  </w:style>
  <w:style w:type="character" w:customStyle="1" w:styleId="256">
    <w:name w:val="标题 1 Char"/>
    <w:qFormat/>
    <w:uiPriority w:val="9"/>
    <w:rPr>
      <w:rFonts w:ascii="???|CS?o｡ﾀ?" w:hAnsi="???|CS?o｡ﾀ?" w:eastAsia="Tahoma"/>
      <w:color w:val="000000"/>
      <w:spacing w:val="20"/>
      <w:kern w:val="44"/>
      <w:sz w:val="36"/>
    </w:rPr>
  </w:style>
  <w:style w:type="character" w:customStyle="1" w:styleId="257">
    <w:name w:val="标题 2 Char"/>
    <w:qFormat/>
    <w:uiPriority w:val="9"/>
    <w:rPr>
      <w:rFonts w:ascii="???|CS?o｡ﾀ?" w:hAnsi="???|CS?o｡ﾀ?" w:eastAsia="Tahoma"/>
      <w:color w:val="000000"/>
      <w:spacing w:val="20"/>
      <w:sz w:val="32"/>
    </w:rPr>
  </w:style>
  <w:style w:type="character" w:customStyle="1" w:styleId="258">
    <w:name w:val="标题 3 Char"/>
    <w:qFormat/>
    <w:uiPriority w:val="9"/>
    <w:rPr>
      <w:rFonts w:ascii="???|CS?o｡ﾀ?" w:hAnsi="???|CS?o｡ﾀ?" w:eastAsia="Tahoma"/>
      <w:color w:val="000000"/>
      <w:spacing w:val="20"/>
      <w:sz w:val="30"/>
    </w:rPr>
  </w:style>
  <w:style w:type="character" w:customStyle="1" w:styleId="259">
    <w:name w:val="标题 4 Char"/>
    <w:qFormat/>
    <w:uiPriority w:val="0"/>
    <w:rPr>
      <w:rFonts w:ascii="???|CS?o｡ﾀ?" w:hAnsi="???|CS?o｡ﾀ?" w:eastAsia="Tahoma"/>
      <w:color w:val="000000"/>
      <w:spacing w:val="10"/>
      <w:sz w:val="28"/>
    </w:rPr>
  </w:style>
  <w:style w:type="character" w:customStyle="1" w:styleId="260">
    <w:name w:val="标题 5 Char"/>
    <w:qFormat/>
    <w:uiPriority w:val="9"/>
    <w:rPr>
      <w:rFonts w:ascii="???|CS?o｡ﾀ?" w:hAnsi="???|CS?o｡ﾀ?" w:eastAsia="Tahoma"/>
      <w:color w:val="000000"/>
      <w:spacing w:val="10"/>
      <w:sz w:val="28"/>
    </w:rPr>
  </w:style>
  <w:style w:type="character" w:customStyle="1" w:styleId="261">
    <w:name w:val="标题 6 Char"/>
    <w:qFormat/>
    <w:uiPriority w:val="9"/>
    <w:rPr>
      <w:rFonts w:ascii="???|CS?o｡ﾀ?" w:hAnsi="???|CS?o｡ﾀ?" w:eastAsia="Tahoma"/>
      <w:color w:val="000000"/>
      <w:spacing w:val="10"/>
      <w:sz w:val="24"/>
    </w:rPr>
  </w:style>
  <w:style w:type="character" w:customStyle="1" w:styleId="262">
    <w:name w:val="标题 7 Char"/>
    <w:qFormat/>
    <w:uiPriority w:val="9"/>
    <w:rPr>
      <w:rFonts w:ascii="???|CS?o｡ﾀ?" w:hAnsi="???|CS?o｡ﾀ?" w:eastAsia="Tahoma"/>
      <w:color w:val="000000"/>
      <w:sz w:val="24"/>
    </w:rPr>
  </w:style>
  <w:style w:type="character" w:customStyle="1" w:styleId="263">
    <w:name w:val="标题 8 Char"/>
    <w:qFormat/>
    <w:uiPriority w:val="9"/>
    <w:rPr>
      <w:rFonts w:ascii="???|CS?o｡ﾀ?" w:hAnsi="???|CS?o｡ﾀ?" w:eastAsia="Tahoma"/>
      <w:b/>
      <w:color w:val="000000"/>
      <w:sz w:val="24"/>
    </w:rPr>
  </w:style>
  <w:style w:type="character" w:customStyle="1" w:styleId="264">
    <w:name w:val="标题 9 Char"/>
    <w:qFormat/>
    <w:uiPriority w:val="9"/>
    <w:rPr>
      <w:rFonts w:ascii="???|CS?o｡ﾀ?" w:hAnsi="???|CS?o｡ﾀ?" w:eastAsia="Tahoma"/>
      <w:b/>
      <w:color w:val="000000"/>
      <w:sz w:val="21"/>
    </w:rPr>
  </w:style>
  <w:style w:type="character" w:customStyle="1" w:styleId="265">
    <w:name w:val="font41"/>
    <w:qFormat/>
    <w:uiPriority w:val="0"/>
    <w:rPr>
      <w:rFonts w:hint="eastAsia" w:ascii="Arial Unicode MS" w:hAnsi="Arial Unicode MS" w:eastAsia="Arial Unicode MS" w:cs="Arial Unicode MS"/>
      <w:color w:val="000000"/>
      <w:sz w:val="22"/>
      <w:szCs w:val="22"/>
      <w:u w:val="none"/>
    </w:rPr>
  </w:style>
  <w:style w:type="character" w:customStyle="1" w:styleId="266">
    <w:name w:val="正文文本缩进 2 Char"/>
    <w:qFormat/>
    <w:uiPriority w:val="0"/>
    <w:rPr>
      <w:rFonts w:ascii="Arial Unicode MS" w:hAnsi="Arial Unicode MS" w:eastAsia="楷体_GB2312"/>
      <w:b/>
      <w:color w:val="000000"/>
      <w:sz w:val="24"/>
    </w:rPr>
  </w:style>
  <w:style w:type="character" w:customStyle="1" w:styleId="267">
    <w:name w:val="title1"/>
    <w:qFormat/>
    <w:uiPriority w:val="0"/>
    <w:rPr>
      <w:rFonts w:hint="eastAsia" w:ascii="Arial Unicode MS" w:hAnsi="Arial Unicode MS" w:eastAsia="Arial Unicode MS"/>
      <w:b/>
      <w:bCs/>
      <w:sz w:val="22"/>
      <w:szCs w:val="22"/>
    </w:rPr>
  </w:style>
  <w:style w:type="character" w:customStyle="1" w:styleId="268">
    <w:name w:val="style44"/>
    <w:qFormat/>
    <w:uiPriority w:val="0"/>
  </w:style>
  <w:style w:type="character" w:customStyle="1" w:styleId="269">
    <w:name w:val="批注文字 Char"/>
    <w:qFormat/>
    <w:uiPriority w:val="0"/>
    <w:rPr>
      <w:rFonts w:ascii="楷体_GB2312" w:hAnsi="Arial Unicode MS" w:eastAsia="楷体_GB2312"/>
      <w:b/>
      <w:color w:val="000000"/>
      <w:sz w:val="21"/>
    </w:rPr>
  </w:style>
  <w:style w:type="character" w:customStyle="1" w:styleId="270">
    <w:name w:val="正文文本缩进 Char"/>
    <w:qFormat/>
    <w:uiPriority w:val="0"/>
    <w:rPr>
      <w:rFonts w:hint="default" w:ascii="长城仿宋" w:hAnsi="长城仿宋" w:eastAsia="Arial Unicode MS" w:cs="长城仿宋"/>
      <w:szCs w:val="21"/>
    </w:rPr>
  </w:style>
  <w:style w:type="character" w:customStyle="1" w:styleId="271">
    <w:name w:val="17"/>
    <w:qFormat/>
    <w:uiPriority w:val="0"/>
    <w:rPr>
      <w:rFonts w:hint="default" w:ascii="长城仿宋" w:hAnsi="长城仿宋" w:cs="长城仿宋"/>
      <w:color w:val="222222"/>
      <w:sz w:val="21"/>
      <w:szCs w:val="21"/>
    </w:rPr>
  </w:style>
  <w:style w:type="character" w:customStyle="1" w:styleId="272">
    <w:name w:val="10"/>
    <w:qFormat/>
    <w:uiPriority w:val="0"/>
    <w:rPr>
      <w:rFonts w:hint="default" w:ascii="长城仿宋" w:hAnsi="长城仿宋" w:cs="长城仿宋"/>
    </w:rPr>
  </w:style>
  <w:style w:type="character" w:customStyle="1" w:styleId="273">
    <w:name w:val="font71"/>
    <w:qFormat/>
    <w:uiPriority w:val="0"/>
    <w:rPr>
      <w:rFonts w:hint="eastAsia" w:ascii="Arial Unicode MS" w:hAnsi="Arial Unicode MS" w:eastAsia="Arial Unicode MS" w:cs="Arial Unicode MS"/>
      <w:b/>
      <w:color w:val="000000"/>
      <w:sz w:val="22"/>
      <w:szCs w:val="22"/>
      <w:u w:val="none"/>
    </w:rPr>
  </w:style>
  <w:style w:type="character" w:customStyle="1" w:styleId="274">
    <w:name w:val="ca-6"/>
    <w:qFormat/>
    <w:uiPriority w:val="0"/>
    <w:rPr>
      <w:rFonts w:cs="长城仿宋"/>
    </w:rPr>
  </w:style>
  <w:style w:type="character" w:customStyle="1" w:styleId="275">
    <w:name w:val="font81"/>
    <w:basedOn w:val="67"/>
    <w:qFormat/>
    <w:uiPriority w:val="0"/>
    <w:rPr>
      <w:rFonts w:hint="eastAsia" w:ascii="Arial Unicode MS" w:hAnsi="Arial Unicode MS" w:eastAsia="Arial Unicode MS" w:cs="Arial Unicode MS"/>
      <w:color w:val="000000"/>
      <w:sz w:val="22"/>
      <w:szCs w:val="22"/>
      <w:u w:val="none"/>
    </w:rPr>
  </w:style>
  <w:style w:type="character" w:customStyle="1" w:styleId="276">
    <w:name w:val="15"/>
    <w:qFormat/>
    <w:uiPriority w:val="0"/>
    <w:rPr>
      <w:rFonts w:hint="default" w:ascii="长城仿宋" w:hAnsi="长城仿宋" w:cs="长城仿宋"/>
    </w:rPr>
  </w:style>
  <w:style w:type="character" w:customStyle="1" w:styleId="277">
    <w:name w:val="金保标题2 Char"/>
    <w:link w:val="278"/>
    <w:qFormat/>
    <w:uiPriority w:val="0"/>
    <w:rPr>
      <w:rFonts w:ascii="Tahoma" w:eastAsia="Tahoma"/>
      <w:bCs/>
      <w:kern w:val="2"/>
      <w:sz w:val="32"/>
      <w:szCs w:val="32"/>
    </w:rPr>
  </w:style>
  <w:style w:type="paragraph" w:customStyle="1" w:styleId="278">
    <w:name w:val="金保标题2"/>
    <w:basedOn w:val="6"/>
    <w:next w:val="1"/>
    <w:link w:val="277"/>
    <w:qFormat/>
    <w:uiPriority w:val="0"/>
    <w:pPr>
      <w:tabs>
        <w:tab w:val="left" w:pos="1050"/>
        <w:tab w:val="left" w:pos="1163"/>
        <w:tab w:val="left" w:pos="1260"/>
      </w:tabs>
      <w:spacing w:after="0" w:line="360" w:lineRule="auto"/>
      <w:ind w:left="1163" w:hanging="420"/>
    </w:pPr>
    <w:rPr>
      <w:rFonts w:ascii="Tahoma" w:hAnsi="Times New Roman" w:eastAsia="Tahoma"/>
      <w:b w:val="0"/>
    </w:rPr>
  </w:style>
  <w:style w:type="character" w:customStyle="1" w:styleId="279">
    <w:name w:val="16"/>
    <w:qFormat/>
    <w:uiPriority w:val="0"/>
    <w:rPr>
      <w:rFonts w:hint="default" w:ascii="长城仿宋" w:hAnsi="长城仿宋" w:cs="长城仿宋"/>
      <w:color w:val="0000FF"/>
      <w:u w:val="single"/>
    </w:rPr>
  </w:style>
  <w:style w:type="character" w:customStyle="1" w:styleId="280">
    <w:name w:val="页脚 Char"/>
    <w:qFormat/>
    <w:uiPriority w:val="99"/>
    <w:rPr>
      <w:rFonts w:ascii="楷体_GB2312" w:hAnsi="Arial Unicode MS" w:eastAsia="楷体_GB2312"/>
      <w:b/>
      <w:color w:val="000000"/>
      <w:sz w:val="18"/>
    </w:rPr>
  </w:style>
  <w:style w:type="character" w:customStyle="1" w:styleId="281">
    <w:name w:val="px141"/>
    <w:qFormat/>
    <w:uiPriority w:val="0"/>
    <w:rPr>
      <w:sz w:val="21"/>
      <w:szCs w:val="21"/>
    </w:rPr>
  </w:style>
  <w:style w:type="character" w:customStyle="1" w:styleId="282">
    <w:name w:val="批注框文本 Char"/>
    <w:qFormat/>
    <w:uiPriority w:val="99"/>
    <w:rPr>
      <w:rFonts w:ascii="楷体_GB2312" w:hAnsi="Arial Unicode MS" w:eastAsia="楷体_GB2312"/>
      <w:b/>
      <w:color w:val="000000"/>
      <w:sz w:val="18"/>
    </w:rPr>
  </w:style>
  <w:style w:type="character" w:customStyle="1" w:styleId="283">
    <w:name w:val="HTML 预设格式 字符1"/>
    <w:link w:val="58"/>
    <w:qFormat/>
    <w:uiPriority w:val="0"/>
    <w:rPr>
      <w:rFonts w:ascii="Arial Unicode MS" w:hAnsi="Arial Unicode MS" w:eastAsia="Arial Unicode MS" w:cs="Arial Unicode MS"/>
    </w:rPr>
  </w:style>
  <w:style w:type="character" w:customStyle="1" w:styleId="284">
    <w:name w:val="font91"/>
    <w:qFormat/>
    <w:uiPriority w:val="0"/>
    <w:rPr>
      <w:rFonts w:hint="eastAsia" w:ascii="Arial Unicode MS" w:hAnsi="Arial Unicode MS" w:eastAsia="Arial Unicode MS" w:cs="Arial Unicode MS"/>
      <w:color w:val="000000"/>
      <w:sz w:val="22"/>
      <w:szCs w:val="22"/>
      <w:u w:val="none"/>
    </w:rPr>
  </w:style>
  <w:style w:type="character" w:customStyle="1" w:styleId="285">
    <w:name w:val="unnamed11"/>
    <w:qFormat/>
    <w:uiPriority w:val="0"/>
    <w:rPr>
      <w:color w:val="000000"/>
      <w:u w:val="none"/>
    </w:rPr>
  </w:style>
  <w:style w:type="character" w:customStyle="1" w:styleId="286">
    <w:name w:val="f16b1"/>
    <w:qFormat/>
    <w:uiPriority w:val="0"/>
    <w:rPr>
      <w:b/>
      <w:bCs/>
      <w:color w:val="333333"/>
      <w:sz w:val="22"/>
      <w:szCs w:val="22"/>
    </w:rPr>
  </w:style>
  <w:style w:type="character" w:customStyle="1" w:styleId="287">
    <w:name w:val="font31"/>
    <w:basedOn w:val="67"/>
    <w:qFormat/>
    <w:uiPriority w:val="0"/>
    <w:rPr>
      <w:rFonts w:hint="eastAsia" w:ascii="Arial Unicode MS" w:hAnsi="Arial Unicode MS" w:eastAsia="Arial Unicode MS" w:cs="Arial Unicode MS"/>
      <w:color w:val="000000"/>
      <w:sz w:val="22"/>
      <w:szCs w:val="22"/>
      <w:u w:val="none"/>
    </w:rPr>
  </w:style>
  <w:style w:type="character" w:customStyle="1" w:styleId="288">
    <w:name w:val="style21"/>
    <w:qFormat/>
    <w:uiPriority w:val="0"/>
    <w:rPr>
      <w:sz w:val="15"/>
      <w:szCs w:val="15"/>
    </w:rPr>
  </w:style>
  <w:style w:type="character" w:customStyle="1" w:styleId="289">
    <w:name w:val="font101"/>
    <w:qFormat/>
    <w:uiPriority w:val="0"/>
    <w:rPr>
      <w:rFonts w:hint="eastAsia" w:ascii="Arial Unicode MS" w:hAnsi="Arial Unicode MS" w:eastAsia="Arial Unicode MS" w:cs="Arial Unicode MS"/>
      <w:color w:val="000000"/>
      <w:sz w:val="22"/>
      <w:szCs w:val="22"/>
      <w:u w:val="none"/>
    </w:rPr>
  </w:style>
  <w:style w:type="character" w:customStyle="1" w:styleId="290">
    <w:name w:val="unnamed31"/>
    <w:qFormat/>
    <w:uiPriority w:val="0"/>
    <w:rPr>
      <w:rFonts w:hint="eastAsia" w:ascii="Arial Unicode MS" w:hAnsi="Arial Unicode MS" w:eastAsia="Arial Unicode MS"/>
      <w:color w:val="6666CC"/>
      <w:sz w:val="18"/>
      <w:szCs w:val="18"/>
    </w:rPr>
  </w:style>
  <w:style w:type="character" w:customStyle="1" w:styleId="291">
    <w:name w:val="b2"/>
    <w:qFormat/>
    <w:uiPriority w:val="0"/>
  </w:style>
  <w:style w:type="character" w:customStyle="1" w:styleId="292">
    <w:name w:val="style13"/>
    <w:qFormat/>
    <w:uiPriority w:val="0"/>
  </w:style>
  <w:style w:type="character" w:customStyle="1" w:styleId="293">
    <w:name w:val="Char Char110"/>
    <w:qFormat/>
    <w:uiPriority w:val="0"/>
    <w:rPr>
      <w:rFonts w:ascii="Arial Unicode MS" w:hAnsi="微软雅黑" w:eastAsia="楷体_GB2312"/>
      <w:b/>
      <w:color w:val="000000"/>
      <w:sz w:val="21"/>
      <w:lang w:val="en-US" w:eastAsia="zh-CN" w:bidi="ar-SA"/>
    </w:rPr>
  </w:style>
  <w:style w:type="character" w:customStyle="1" w:styleId="294">
    <w:name w:val="标题 Char"/>
    <w:qFormat/>
    <w:uiPriority w:val="0"/>
    <w:rPr>
      <w:rFonts w:ascii="长城仿宋" w:hAnsi="长城仿宋"/>
      <w:b/>
      <w:sz w:val="24"/>
      <w:lang w:val="en-GB"/>
    </w:rPr>
  </w:style>
  <w:style w:type="character" w:customStyle="1" w:styleId="295">
    <w:name w:val="font51"/>
    <w:qFormat/>
    <w:uiPriority w:val="0"/>
    <w:rPr>
      <w:rFonts w:hint="default" w:ascii="???|CS?o｡ﾀ?" w:hAnsi="???|CS?o｡ﾀ?" w:cs="???|CS?o｡ﾀ?"/>
      <w:color w:val="000000"/>
      <w:sz w:val="22"/>
      <w:szCs w:val="22"/>
      <w:u w:val="none"/>
    </w:rPr>
  </w:style>
  <w:style w:type="character" w:customStyle="1" w:styleId="296">
    <w:name w:val="称呼 字符1"/>
    <w:link w:val="24"/>
    <w:qFormat/>
    <w:uiPriority w:val="0"/>
    <w:rPr>
      <w:rFonts w:ascii="长城仿宋" w:hAnsi="长城仿宋"/>
      <w:kern w:val="2"/>
      <w:sz w:val="24"/>
      <w:szCs w:val="24"/>
    </w:rPr>
  </w:style>
  <w:style w:type="character" w:customStyle="1" w:styleId="297">
    <w:name w:val="称呼 字符"/>
    <w:qFormat/>
    <w:uiPriority w:val="0"/>
    <w:rPr>
      <w:kern w:val="2"/>
      <w:sz w:val="21"/>
      <w:szCs w:val="24"/>
    </w:rPr>
  </w:style>
  <w:style w:type="character" w:customStyle="1" w:styleId="298">
    <w:name w:val="font21"/>
    <w:qFormat/>
    <w:uiPriority w:val="0"/>
    <w:rPr>
      <w:rFonts w:hint="eastAsia" w:ascii="Arial Unicode MS" w:hAnsi="Arial Unicode MS" w:eastAsia="Arial Unicode MS" w:cs="Arial Unicode MS"/>
      <w:color w:val="000000"/>
      <w:sz w:val="22"/>
      <w:szCs w:val="22"/>
      <w:u w:val="none"/>
    </w:rPr>
  </w:style>
  <w:style w:type="character" w:customStyle="1" w:styleId="299">
    <w:name w:val="批注主题 Char1"/>
    <w:qFormat/>
    <w:uiPriority w:val="99"/>
    <w:rPr>
      <w:rFonts w:ascii="楷体_GB2312" w:hAnsi="Arial Unicode MS" w:eastAsia="楷体_GB2312"/>
      <w:b/>
      <w:bCs/>
      <w:color w:val="000000"/>
      <w:sz w:val="21"/>
    </w:rPr>
  </w:style>
  <w:style w:type="character" w:customStyle="1" w:styleId="300">
    <w:name w:val="yellow12"/>
    <w:qFormat/>
    <w:uiPriority w:val="0"/>
  </w:style>
  <w:style w:type="character" w:customStyle="1" w:styleId="301">
    <w:name w:val="页眉 Char"/>
    <w:qFormat/>
    <w:uiPriority w:val="99"/>
    <w:rPr>
      <w:rFonts w:ascii="楷体_GB2312" w:hAnsi="Arial Unicode MS" w:eastAsia="楷体_GB2312"/>
      <w:b/>
      <w:color w:val="000000"/>
      <w:sz w:val="18"/>
    </w:rPr>
  </w:style>
  <w:style w:type="character" w:customStyle="1" w:styleId="302">
    <w:name w:val="文档结构图 Char"/>
    <w:qFormat/>
    <w:uiPriority w:val="0"/>
    <w:rPr>
      <w:rFonts w:ascii="长城仿宋" w:hAnsi="长城仿宋"/>
      <w:kern w:val="2"/>
      <w:sz w:val="21"/>
      <w:shd w:val="clear" w:color="auto" w:fill="000080"/>
    </w:rPr>
  </w:style>
  <w:style w:type="character" w:customStyle="1" w:styleId="303">
    <w:name w:val="批注文字 Char1"/>
    <w:qFormat/>
    <w:uiPriority w:val="99"/>
    <w:rPr>
      <w:rFonts w:ascii="楷体_GB2312" w:hAnsi="Arial Unicode MS" w:eastAsia="楷体_GB2312"/>
      <w:b/>
      <w:color w:val="000000"/>
      <w:sz w:val="21"/>
    </w:rPr>
  </w:style>
  <w:style w:type="character" w:customStyle="1" w:styleId="304">
    <w:name w:val="headst"/>
    <w:qFormat/>
    <w:uiPriority w:val="0"/>
  </w:style>
  <w:style w:type="character" w:customStyle="1" w:styleId="305">
    <w:name w:val="styles11"/>
    <w:qFormat/>
    <w:uiPriority w:val="0"/>
    <w:rPr>
      <w:rFonts w:hint="default"/>
      <w:sz w:val="21"/>
      <w:szCs w:val="21"/>
    </w:rPr>
  </w:style>
  <w:style w:type="character" w:customStyle="1" w:styleId="306">
    <w:name w:val="样式 金保文档标准正文 Char + 宋体1 Char"/>
    <w:link w:val="307"/>
    <w:qFormat/>
    <w:uiPriority w:val="0"/>
    <w:rPr>
      <w:rFonts w:ascii="Arial Unicode MS" w:hAnsi="Arial Unicode MS"/>
      <w:kern w:val="2"/>
      <w:sz w:val="24"/>
      <w:szCs w:val="24"/>
    </w:rPr>
  </w:style>
  <w:style w:type="paragraph" w:customStyle="1" w:styleId="307">
    <w:name w:val="样式 金保文档标准正文 Char + 宋体1"/>
    <w:basedOn w:val="1"/>
    <w:link w:val="306"/>
    <w:qFormat/>
    <w:uiPriority w:val="0"/>
    <w:pPr>
      <w:spacing w:line="360" w:lineRule="auto"/>
      <w:ind w:firstLine="480" w:firstLineChars="200"/>
      <w:jc w:val="left"/>
    </w:pPr>
    <w:rPr>
      <w:rFonts w:ascii="Arial Unicode MS" w:hAnsi="Arial Unicode MS"/>
      <w:sz w:val="24"/>
    </w:rPr>
  </w:style>
  <w:style w:type="character" w:customStyle="1" w:styleId="308">
    <w:name w:val="正文首行缩进 Char1"/>
    <w:qFormat/>
    <w:uiPriority w:val="0"/>
  </w:style>
  <w:style w:type="character" w:customStyle="1" w:styleId="309">
    <w:name w:val="标题 Char1"/>
    <w:qFormat/>
    <w:uiPriority w:val="10"/>
    <w:rPr>
      <w:rFonts w:ascii="ƨ" w:hAnsi="ƨ" w:eastAsia="Arial Unicode MS" w:cs="长城仿宋"/>
      <w:b/>
      <w:bCs/>
      <w:sz w:val="32"/>
      <w:szCs w:val="32"/>
    </w:rPr>
  </w:style>
  <w:style w:type="character" w:customStyle="1" w:styleId="310">
    <w:name w:val="font01"/>
    <w:qFormat/>
    <w:uiPriority w:val="0"/>
    <w:rPr>
      <w:rFonts w:hint="default" w:ascii="???|CS?o｡ﾀ?" w:hAnsi="???|CS?o｡ﾀ?" w:cs="???|CS?o｡ﾀ?"/>
      <w:color w:val="000000"/>
      <w:sz w:val="22"/>
      <w:szCs w:val="22"/>
      <w:u w:val="none"/>
      <w:vertAlign w:val="superscript"/>
    </w:rPr>
  </w:style>
  <w:style w:type="character" w:customStyle="1" w:styleId="311">
    <w:name w:val="正文文本 2 Char"/>
    <w:qFormat/>
    <w:uiPriority w:val="0"/>
    <w:rPr>
      <w:rFonts w:ascii="楷体_GB2312" w:hAnsi="Arial Unicode MS" w:eastAsia="楷体_GB2312"/>
      <w:b/>
      <w:color w:val="000000"/>
      <w:sz w:val="21"/>
    </w:rPr>
  </w:style>
  <w:style w:type="character" w:customStyle="1" w:styleId="312">
    <w:name w:val="Texte Char Char"/>
    <w:qFormat/>
    <w:uiPriority w:val="0"/>
    <w:rPr>
      <w:rFonts w:ascii="Arial Unicode MS" w:hAnsi="微软雅黑" w:eastAsia="楷体_GB2312" w:cs="Arial Unicode MS"/>
      <w:b/>
      <w:bCs/>
      <w:color w:val="000000"/>
      <w:sz w:val="21"/>
      <w:lang w:val="en-US" w:eastAsia="zh-CN" w:bidi="ar-SA"/>
    </w:rPr>
  </w:style>
  <w:style w:type="paragraph" w:customStyle="1" w:styleId="313">
    <w:name w:val="样式 首行缩进:  2 字符"/>
    <w:basedOn w:val="1"/>
    <w:qFormat/>
    <w:uiPriority w:val="0"/>
    <w:pPr>
      <w:spacing w:line="360" w:lineRule="auto"/>
      <w:ind w:firstLine="480" w:firstLineChars="200"/>
    </w:pPr>
    <w:rPr>
      <w:rFonts w:ascii="???|CS?o｡ﾀ?" w:hAnsi="???|CS?o｡ﾀ?" w:eastAsia="Arial Unicode MS" w:cs="Arial Unicode MS"/>
      <w:sz w:val="24"/>
      <w:szCs w:val="20"/>
    </w:rPr>
  </w:style>
  <w:style w:type="paragraph" w:customStyle="1" w:styleId="314">
    <w:name w:val="xl31"/>
    <w:basedOn w:val="1"/>
    <w:qFormat/>
    <w:uiPriority w:val="0"/>
    <w:pPr>
      <w:widowControl/>
      <w:spacing w:before="100" w:beforeAutospacing="1" w:after="100" w:afterAutospacing="1"/>
      <w:jc w:val="center"/>
    </w:pPr>
    <w:rPr>
      <w:rFonts w:ascii="Arial Unicode MS" w:hAnsi="Arial Unicode MS" w:eastAsia="Arial Unicode MS" w:cs="长城仿宋"/>
      <w:kern w:val="0"/>
      <w:sz w:val="20"/>
      <w:szCs w:val="20"/>
    </w:rPr>
  </w:style>
  <w:style w:type="paragraph" w:customStyle="1" w:styleId="315">
    <w:name w:val="xl3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rFonts w:ascii="长城仿宋" w:hAnsi="长城仿宋" w:eastAsia="Baskerville" w:cs="长城仿宋"/>
      <w:kern w:val="0"/>
      <w:sz w:val="18"/>
      <w:szCs w:val="18"/>
    </w:rPr>
  </w:style>
  <w:style w:type="paragraph" w:customStyle="1" w:styleId="316">
    <w:name w:val="xl66"/>
    <w:basedOn w:val="1"/>
    <w:qFormat/>
    <w:uiPriority w:val="0"/>
    <w:pPr>
      <w:widowControl/>
      <w:spacing w:before="100" w:beforeAutospacing="1" w:after="100" w:afterAutospacing="1"/>
    </w:pPr>
    <w:rPr>
      <w:rFonts w:ascii="Baskerville" w:hAnsi="Baskerville" w:eastAsia="Baskerville" w:cs="长城仿宋"/>
      <w:kern w:val="0"/>
      <w:sz w:val="24"/>
    </w:rPr>
  </w:style>
  <w:style w:type="paragraph" w:customStyle="1" w:styleId="317">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Baskerville" w:hAnsi="Baskerville" w:eastAsia="Baskerville" w:cs="Baskerville"/>
      <w:b/>
      <w:bCs/>
      <w:kern w:val="0"/>
      <w:sz w:val="24"/>
    </w:rPr>
  </w:style>
  <w:style w:type="paragraph" w:customStyle="1" w:styleId="318">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Baskerville" w:hAnsi="Baskerville" w:eastAsia="Baskerville" w:cs="Baskerville"/>
      <w:kern w:val="0"/>
      <w:sz w:val="24"/>
    </w:rPr>
  </w:style>
  <w:style w:type="paragraph" w:customStyle="1" w:styleId="319">
    <w:name w:val="投标书标题4"/>
    <w:next w:val="1"/>
    <w:qFormat/>
    <w:uiPriority w:val="0"/>
    <w:pPr>
      <w:spacing w:line="360" w:lineRule="auto"/>
      <w:outlineLvl w:val="3"/>
    </w:pPr>
    <w:rPr>
      <w:rFonts w:ascii="长城仿宋" w:hAnsi="长城仿宋" w:eastAsia="Tahoma" w:cs="长城仿宋"/>
      <w:b/>
      <w:kern w:val="2"/>
      <w:sz w:val="30"/>
      <w:szCs w:val="24"/>
      <w:lang w:val="en-US" w:eastAsia="zh-CN" w:bidi="ar-SA"/>
    </w:rPr>
  </w:style>
  <w:style w:type="paragraph" w:customStyle="1" w:styleId="320">
    <w:name w:val="列表内容"/>
    <w:next w:val="1"/>
    <w:qFormat/>
    <w:uiPriority w:val="0"/>
    <w:pPr>
      <w:tabs>
        <w:tab w:val="left" w:pos="360"/>
      </w:tabs>
    </w:pPr>
    <w:rPr>
      <w:rFonts w:ascii="长城仿宋" w:hAnsi="长城仿宋" w:eastAsia="Baskerville" w:cs="Baskerville"/>
      <w:color w:val="000000"/>
      <w:sz w:val="18"/>
      <w:szCs w:val="18"/>
      <w:u w:color="000000"/>
      <w:lang w:val="en-US" w:eastAsia="zh-CN" w:bidi="ar-SA"/>
    </w:rPr>
  </w:style>
  <w:style w:type="character" w:customStyle="1" w:styleId="321">
    <w:name w:val="普通(网站) 字符"/>
    <w:link w:val="59"/>
    <w:qFormat/>
    <w:uiPriority w:val="1"/>
    <w:rPr>
      <w:rFonts w:ascii="宋体" w:hAnsi="宋体"/>
      <w:sz w:val="24"/>
      <w:szCs w:val="24"/>
    </w:rPr>
  </w:style>
  <w:style w:type="paragraph" w:customStyle="1" w:styleId="322">
    <w:name w:val="xl10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Baskerville" w:hAnsi="Baskerville" w:eastAsia="Baskerville" w:cs="Baskerville"/>
      <w:kern w:val="0"/>
      <w:sz w:val="24"/>
    </w:rPr>
  </w:style>
  <w:style w:type="paragraph" w:customStyle="1" w:styleId="323">
    <w:name w:val="xl3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长城仿宋" w:hAnsi="长城仿宋" w:eastAsia="Baskerville" w:cs="长城仿宋"/>
      <w:kern w:val="0"/>
      <w:sz w:val="18"/>
      <w:szCs w:val="18"/>
    </w:rPr>
  </w:style>
  <w:style w:type="paragraph" w:customStyle="1" w:styleId="32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Baskerville" w:hAnsi="Baskerville" w:eastAsia="Baskerville" w:cs="Baskerville"/>
      <w:kern w:val="0"/>
      <w:sz w:val="24"/>
    </w:rPr>
  </w:style>
  <w:style w:type="paragraph" w:customStyle="1" w:styleId="325">
    <w:name w:val="xl80"/>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Baskerville" w:hAnsi="Baskerville" w:eastAsia="Baskerville" w:cs="Baskerville"/>
      <w:b/>
      <w:bCs/>
      <w:color w:val="FF0000"/>
      <w:kern w:val="0"/>
      <w:sz w:val="20"/>
      <w:szCs w:val="20"/>
    </w:rPr>
  </w:style>
  <w:style w:type="paragraph" w:customStyle="1" w:styleId="326">
    <w:name w:val="xl138"/>
    <w:basedOn w:val="1"/>
    <w:qFormat/>
    <w:uiPriority w:val="0"/>
    <w:pPr>
      <w:widowControl/>
      <w:pBdr>
        <w:top w:val="single" w:color="auto" w:sz="4" w:space="0"/>
        <w:bottom w:val="single" w:color="auto" w:sz="4" w:space="0"/>
      </w:pBdr>
      <w:spacing w:before="100" w:beforeAutospacing="1" w:after="100" w:afterAutospacing="1"/>
      <w:jc w:val="left"/>
    </w:pPr>
    <w:rPr>
      <w:rFonts w:ascii="Baskerville" w:hAnsi="Baskerville" w:eastAsia="Baskerville" w:cs="Baskerville"/>
      <w:b/>
      <w:bCs/>
      <w:kern w:val="0"/>
      <w:sz w:val="24"/>
    </w:rPr>
  </w:style>
  <w:style w:type="paragraph" w:customStyle="1" w:styleId="32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Baskerville" w:hAnsi="Baskerville" w:eastAsia="Baskerville" w:cs="Baskerville"/>
      <w:kern w:val="0"/>
      <w:sz w:val="24"/>
    </w:rPr>
  </w:style>
  <w:style w:type="paragraph" w:customStyle="1" w:styleId="328">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Baskerville" w:hAnsi="Baskerville" w:eastAsia="Baskerville" w:cs="Baskerville"/>
      <w:kern w:val="0"/>
      <w:sz w:val="20"/>
      <w:szCs w:val="20"/>
    </w:rPr>
  </w:style>
  <w:style w:type="paragraph" w:customStyle="1" w:styleId="329">
    <w:name w:val="xl105"/>
    <w:basedOn w:val="1"/>
    <w:qFormat/>
    <w:uiPriority w:val="0"/>
    <w:pPr>
      <w:widowControl/>
      <w:spacing w:before="100" w:beforeAutospacing="1" w:after="100" w:afterAutospacing="1"/>
      <w:jc w:val="center"/>
      <w:textAlignment w:val="center"/>
    </w:pPr>
    <w:rPr>
      <w:rFonts w:ascii="Baskerville" w:hAnsi="Baskerville" w:eastAsia="Baskerville" w:cs="Baskerville"/>
      <w:kern w:val="0"/>
      <w:sz w:val="24"/>
    </w:rPr>
  </w:style>
  <w:style w:type="paragraph" w:customStyle="1" w:styleId="330">
    <w:name w:val="文档正文"/>
    <w:basedOn w:val="1"/>
    <w:link w:val="331"/>
    <w:qFormat/>
    <w:uiPriority w:val="0"/>
    <w:pPr>
      <w:adjustRightInd w:val="0"/>
      <w:spacing w:line="312" w:lineRule="atLeast"/>
      <w:ind w:firstLine="567"/>
      <w:textAlignment w:val="baseline"/>
    </w:pPr>
    <w:rPr>
      <w:rFonts w:ascii="黑体" w:hAnsi="长城仿宋" w:eastAsia="黑体" w:cs="长城仿宋"/>
      <w:b/>
      <w:kern w:val="0"/>
      <w:sz w:val="28"/>
    </w:rPr>
  </w:style>
  <w:style w:type="character" w:customStyle="1" w:styleId="331">
    <w:name w:val="文档正文 Char"/>
    <w:link w:val="330"/>
    <w:qFormat/>
    <w:uiPriority w:val="0"/>
    <w:rPr>
      <w:rFonts w:ascii="黑体" w:hAnsi="长城仿宋" w:eastAsia="黑体" w:cs="长城仿宋"/>
      <w:b/>
      <w:sz w:val="28"/>
      <w:szCs w:val="24"/>
    </w:rPr>
  </w:style>
  <w:style w:type="paragraph" w:customStyle="1" w:styleId="332">
    <w:name w:val="xl118"/>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Baskerville" w:hAnsi="Baskerville" w:eastAsia="Baskerville" w:cs="Baskerville"/>
      <w:kern w:val="0"/>
      <w:sz w:val="24"/>
    </w:rPr>
  </w:style>
  <w:style w:type="paragraph" w:customStyle="1" w:styleId="333">
    <w:name w:val="正文一"/>
    <w:basedOn w:val="1"/>
    <w:qFormat/>
    <w:uiPriority w:val="0"/>
    <w:pPr>
      <w:widowControl/>
      <w:spacing w:line="360" w:lineRule="auto"/>
      <w:ind w:firstLine="480" w:firstLineChars="200"/>
      <w:jc w:val="left"/>
    </w:pPr>
    <w:rPr>
      <w:rFonts w:ascii="长城仿宋" w:hAnsi="长城仿宋" w:eastAsia="Arial Unicode MS" w:cs="长城仿宋"/>
      <w:kern w:val="0"/>
      <w:sz w:val="24"/>
      <w:lang w:bidi="he-IL"/>
    </w:rPr>
  </w:style>
  <w:style w:type="paragraph" w:customStyle="1" w:styleId="334">
    <w:name w:val="xl9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Baskerville" w:hAnsi="Baskerville" w:eastAsia="Baskerville" w:cs="Baskerville"/>
      <w:kern w:val="0"/>
      <w:sz w:val="24"/>
    </w:rPr>
  </w:style>
  <w:style w:type="paragraph" w:customStyle="1" w:styleId="335">
    <w:name w:val="xl40"/>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ascii="Baskerville" w:hAnsi="Baskerville" w:eastAsia="Baskerville" w:cs="Baskerville"/>
      <w:kern w:val="0"/>
      <w:sz w:val="18"/>
      <w:szCs w:val="18"/>
    </w:rPr>
  </w:style>
  <w:style w:type="paragraph" w:customStyle="1" w:styleId="336">
    <w:name w:val="xl3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Baskerville" w:hAnsi="Baskerville" w:eastAsia="Baskerville" w:cs="Baskerville"/>
      <w:kern w:val="0"/>
      <w:sz w:val="18"/>
      <w:szCs w:val="18"/>
    </w:rPr>
  </w:style>
  <w:style w:type="paragraph" w:customStyle="1" w:styleId="337">
    <w:name w:val="shadow2"/>
    <w:basedOn w:val="1"/>
    <w:qFormat/>
    <w:uiPriority w:val="0"/>
    <w:pPr>
      <w:widowControl/>
      <w:spacing w:before="100" w:beforeAutospacing="1" w:after="100" w:afterAutospacing="1"/>
      <w:jc w:val="left"/>
    </w:pPr>
    <w:rPr>
      <w:rFonts w:ascii="Baskerville" w:hAnsi="Baskerville" w:eastAsia="Baskerville" w:cs="长城仿宋"/>
      <w:color w:val="FFFFFF"/>
      <w:kern w:val="0"/>
      <w:sz w:val="24"/>
    </w:rPr>
  </w:style>
  <w:style w:type="paragraph" w:customStyle="1" w:styleId="338">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Baskerville" w:hAnsi="Baskerville" w:eastAsia="Baskerville" w:cs="Baskerville"/>
      <w:kern w:val="0"/>
      <w:sz w:val="18"/>
      <w:szCs w:val="18"/>
    </w:rPr>
  </w:style>
  <w:style w:type="character" w:customStyle="1" w:styleId="339">
    <w:name w:val="表格文字 Char"/>
    <w:link w:val="204"/>
    <w:qFormat/>
    <w:uiPriority w:val="0"/>
    <w:rPr>
      <w:sz w:val="21"/>
      <w:szCs w:val="24"/>
    </w:rPr>
  </w:style>
  <w:style w:type="paragraph" w:customStyle="1" w:styleId="34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长城仿宋" w:hAnsi="长城仿宋" w:eastAsia="Baskerville" w:cs="长城仿宋"/>
      <w:kern w:val="0"/>
      <w:sz w:val="18"/>
      <w:szCs w:val="18"/>
    </w:rPr>
  </w:style>
  <w:style w:type="paragraph" w:customStyle="1" w:styleId="341">
    <w:name w:val="表格正文"/>
    <w:basedOn w:val="1"/>
    <w:qFormat/>
    <w:uiPriority w:val="0"/>
    <w:pPr>
      <w:adjustRightInd w:val="0"/>
      <w:snapToGrid w:val="0"/>
      <w:spacing w:before="60" w:after="60"/>
      <w:jc w:val="center"/>
      <w:textAlignment w:val="baseline"/>
    </w:pPr>
    <w:rPr>
      <w:rFonts w:ascii="长城仿宋" w:hAnsi="长城仿宋" w:eastAsia="Arial Unicode MS" w:cs="长城仿宋"/>
      <w:kern w:val="0"/>
      <w:sz w:val="24"/>
      <w:szCs w:val="20"/>
    </w:rPr>
  </w:style>
  <w:style w:type="paragraph" w:customStyle="1" w:styleId="342">
    <w:name w:val="表格文本"/>
    <w:link w:val="343"/>
    <w:qFormat/>
    <w:uiPriority w:val="0"/>
    <w:pPr>
      <w:tabs>
        <w:tab w:val="decimal" w:pos="0"/>
      </w:tabs>
    </w:pPr>
    <w:rPr>
      <w:rFonts w:ascii="???|CS?o｡ﾀ?" w:hAnsi="???|CS?o｡ﾀ?" w:eastAsia="等线" w:cs="长城仿宋"/>
      <w:sz w:val="21"/>
      <w:szCs w:val="21"/>
      <w:lang w:val="en-US" w:eastAsia="zh-CN" w:bidi="ar-SA"/>
    </w:rPr>
  </w:style>
  <w:style w:type="character" w:customStyle="1" w:styleId="343">
    <w:name w:val="表格文本 Char"/>
    <w:link w:val="342"/>
    <w:qFormat/>
    <w:uiPriority w:val="0"/>
    <w:rPr>
      <w:rFonts w:ascii="???|CS?o｡ﾀ?" w:hAnsi="???|CS?o｡ﾀ?" w:eastAsia="等线" w:cs="长城仿宋"/>
      <w:sz w:val="21"/>
      <w:szCs w:val="21"/>
    </w:rPr>
  </w:style>
  <w:style w:type="paragraph" w:customStyle="1" w:styleId="34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Baskerville" w:hAnsi="Baskerville" w:eastAsia="Baskerville" w:cs="Baskerville"/>
      <w:kern w:val="0"/>
      <w:sz w:val="24"/>
    </w:rPr>
  </w:style>
  <w:style w:type="paragraph" w:customStyle="1" w:styleId="34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长城仿宋" w:hAnsi="长城仿宋" w:eastAsia="Baskerville" w:cs="长城仿宋"/>
      <w:kern w:val="0"/>
      <w:sz w:val="24"/>
    </w:rPr>
  </w:style>
  <w:style w:type="paragraph" w:customStyle="1" w:styleId="346">
    <w:name w:val="表文1"/>
    <w:basedOn w:val="1"/>
    <w:qFormat/>
    <w:uiPriority w:val="0"/>
    <w:pPr>
      <w:widowControl/>
      <w:spacing w:line="360" w:lineRule="auto"/>
      <w:ind w:firstLine="780" w:firstLineChars="300"/>
    </w:pPr>
    <w:rPr>
      <w:rFonts w:ascii="Arial Unicode MS" w:hAnsi="Arial Unicode MS" w:eastAsia="Arial Unicode MS" w:cs="长城仿宋"/>
      <w:bCs/>
      <w:color w:val="000000"/>
      <w:spacing w:val="10"/>
      <w:kern w:val="0"/>
      <w:sz w:val="24"/>
    </w:rPr>
  </w:style>
  <w:style w:type="paragraph" w:customStyle="1" w:styleId="34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Baskerville" w:hAnsi="Baskerville" w:eastAsia="Baskerville" w:cs="Baskerville"/>
      <w:kern w:val="0"/>
      <w:sz w:val="24"/>
    </w:rPr>
  </w:style>
  <w:style w:type="paragraph" w:customStyle="1" w:styleId="34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Baskerville" w:hAnsi="Baskerville" w:eastAsia="Baskerville" w:cs="Baskerville"/>
      <w:kern w:val="0"/>
      <w:sz w:val="24"/>
    </w:rPr>
  </w:style>
  <w:style w:type="paragraph" w:customStyle="1" w:styleId="349">
    <w:name w:val="2"/>
    <w:basedOn w:val="1"/>
    <w:next w:val="1"/>
    <w:qFormat/>
    <w:uiPriority w:val="0"/>
    <w:rPr>
      <w:rFonts w:ascii="楷体_GB2312" w:hAnsi="Arial Unicode MS" w:eastAsia="楷体_GB2312" w:cs="长城仿宋"/>
      <w:b/>
      <w:color w:val="000000"/>
      <w:kern w:val="0"/>
      <w:szCs w:val="20"/>
    </w:rPr>
  </w:style>
  <w:style w:type="paragraph" w:customStyle="1" w:styleId="350">
    <w:name w:val="1"/>
    <w:basedOn w:val="1"/>
    <w:next w:val="27"/>
    <w:qFormat/>
    <w:uiPriority w:val="99"/>
    <w:pPr>
      <w:spacing w:line="480" w:lineRule="exact"/>
      <w:ind w:firstLine="480"/>
    </w:pPr>
    <w:rPr>
      <w:rFonts w:ascii="Arial Unicode MS" w:hAnsi="Arial Unicode MS" w:eastAsia="楷体_GB2312" w:cs="长城仿宋"/>
      <w:b/>
      <w:color w:val="000000"/>
      <w:kern w:val="0"/>
      <w:sz w:val="24"/>
      <w:szCs w:val="20"/>
    </w:rPr>
  </w:style>
  <w:style w:type="paragraph" w:customStyle="1" w:styleId="351">
    <w:name w:val="加点"/>
    <w:basedOn w:val="1"/>
    <w:qFormat/>
    <w:uiPriority w:val="0"/>
    <w:pPr>
      <w:spacing w:line="360" w:lineRule="auto"/>
    </w:pPr>
    <w:rPr>
      <w:rFonts w:ascii="长城仿宋" w:hAnsi="长城仿宋" w:eastAsia="Courier New" w:cs="长城仿宋"/>
      <w:sz w:val="24"/>
      <w:szCs w:val="20"/>
    </w:rPr>
  </w:style>
  <w:style w:type="paragraph" w:customStyle="1" w:styleId="352">
    <w:name w:val="xl97"/>
    <w:basedOn w:val="1"/>
    <w:qFormat/>
    <w:uiPriority w:val="0"/>
    <w:pPr>
      <w:widowControl/>
      <w:spacing w:before="100" w:beforeAutospacing="1" w:after="100" w:afterAutospacing="1"/>
      <w:jc w:val="left"/>
    </w:pPr>
    <w:rPr>
      <w:rFonts w:ascii="Baskerville" w:hAnsi="Baskerville" w:eastAsia="Baskerville" w:cs="Baskerville"/>
      <w:kern w:val="0"/>
      <w:sz w:val="24"/>
      <w:u w:val="single"/>
    </w:rPr>
  </w:style>
  <w:style w:type="paragraph" w:customStyle="1" w:styleId="353">
    <w:name w:val="xl116"/>
    <w:basedOn w:val="1"/>
    <w:qFormat/>
    <w:uiPriority w:val="0"/>
    <w:pPr>
      <w:widowControl/>
      <w:spacing w:before="100" w:beforeAutospacing="1" w:after="100" w:afterAutospacing="1"/>
      <w:jc w:val="center"/>
    </w:pPr>
    <w:rPr>
      <w:rFonts w:ascii="长城仿宋" w:hAnsi="长城仿宋" w:eastAsia="Baskerville" w:cs="长城仿宋"/>
      <w:kern w:val="0"/>
      <w:sz w:val="24"/>
    </w:rPr>
  </w:style>
  <w:style w:type="paragraph" w:customStyle="1" w:styleId="35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Baskerville" w:hAnsi="Baskerville" w:eastAsia="Baskerville" w:cs="Baskerville"/>
      <w:kern w:val="0"/>
      <w:sz w:val="24"/>
    </w:rPr>
  </w:style>
  <w:style w:type="character" w:customStyle="1" w:styleId="355">
    <w:name w:val="样式2 Char"/>
    <w:link w:val="208"/>
    <w:qFormat/>
    <w:uiPriority w:val="0"/>
    <w:rPr>
      <w:rFonts w:ascii="Arial" w:hAnsi="Arial"/>
      <w:b/>
      <w:sz w:val="24"/>
      <w:lang w:eastAsia="en-US"/>
    </w:rPr>
  </w:style>
  <w:style w:type="paragraph" w:customStyle="1" w:styleId="356">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Baskerville" w:hAnsi="Baskerville" w:eastAsia="Baskerville" w:cs="Baskerville"/>
      <w:kern w:val="0"/>
      <w:sz w:val="24"/>
    </w:rPr>
  </w:style>
  <w:style w:type="paragraph" w:customStyle="1" w:styleId="357">
    <w:name w:val="样式3"/>
    <w:basedOn w:val="7"/>
    <w:qFormat/>
    <w:uiPriority w:val="0"/>
    <w:pPr>
      <w:tabs>
        <w:tab w:val="left" w:pos="720"/>
      </w:tabs>
      <w:adjustRightInd w:val="0"/>
      <w:snapToGrid w:val="0"/>
      <w:spacing w:before="100" w:beforeAutospacing="1" w:after="0" w:afterAutospacing="1" w:line="500" w:lineRule="atLeast"/>
      <w:ind w:left="454" w:hanging="284"/>
      <w:jc w:val="left"/>
      <w:textAlignment w:val="baseline"/>
    </w:pPr>
    <w:rPr>
      <w:rFonts w:ascii="Arial Unicode MS" w:hAnsi="???|CS?o｡ﾀ?" w:eastAsia="Courier New" w:cs="长城仿宋"/>
      <w:snapToGrid w:val="0"/>
      <w:kern w:val="0"/>
      <w:sz w:val="24"/>
      <w:szCs w:val="20"/>
    </w:rPr>
  </w:style>
  <w:style w:type="paragraph" w:customStyle="1" w:styleId="358">
    <w:name w:val="styles1"/>
    <w:basedOn w:val="1"/>
    <w:qFormat/>
    <w:uiPriority w:val="0"/>
    <w:pPr>
      <w:widowControl/>
      <w:spacing w:before="100" w:beforeAutospacing="1" w:after="100" w:afterAutospacing="1" w:line="312" w:lineRule="auto"/>
      <w:jc w:val="left"/>
    </w:pPr>
    <w:rPr>
      <w:rFonts w:ascii="楷体_GB2312" w:hAnsi="Arial Unicode MS" w:eastAsia="Arial Unicode MS" w:cs="???|CS?o｡ﾀ?"/>
      <w:color w:val="000000"/>
      <w:kern w:val="0"/>
      <w:szCs w:val="21"/>
    </w:rPr>
  </w:style>
  <w:style w:type="paragraph" w:customStyle="1" w:styleId="359">
    <w:name w:val="xl8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Baskerville" w:hAnsi="Baskerville" w:eastAsia="Baskerville" w:cs="Baskerville"/>
      <w:kern w:val="0"/>
      <w:sz w:val="20"/>
      <w:szCs w:val="20"/>
    </w:rPr>
  </w:style>
  <w:style w:type="paragraph" w:customStyle="1" w:styleId="360">
    <w:name w:val="xl128"/>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pPr>
    <w:rPr>
      <w:rFonts w:ascii="Baskerville" w:hAnsi="Baskerville" w:eastAsia="Baskerville" w:cs="Baskerville"/>
      <w:b/>
      <w:bCs/>
      <w:kern w:val="0"/>
      <w:sz w:val="24"/>
    </w:rPr>
  </w:style>
  <w:style w:type="paragraph" w:customStyle="1" w:styleId="361">
    <w:name w:val="font6"/>
    <w:basedOn w:val="1"/>
    <w:qFormat/>
    <w:uiPriority w:val="0"/>
    <w:pPr>
      <w:widowControl/>
      <w:spacing w:before="100" w:beforeAutospacing="1" w:after="100" w:afterAutospacing="1"/>
      <w:jc w:val="left"/>
    </w:pPr>
    <w:rPr>
      <w:rFonts w:hint="eastAsia" w:ascii="Arial Unicode MS" w:hAnsi="Arial Unicode MS" w:eastAsia="Arial Unicode MS" w:cs="Baskerville"/>
      <w:kern w:val="0"/>
      <w:sz w:val="18"/>
      <w:szCs w:val="18"/>
    </w:rPr>
  </w:style>
  <w:style w:type="paragraph" w:customStyle="1" w:styleId="362">
    <w:name w:val="xl6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Baskerville" w:hAnsi="Baskerville" w:eastAsia="Baskerville" w:cs="Baskerville"/>
      <w:kern w:val="0"/>
      <w:sz w:val="20"/>
      <w:szCs w:val="20"/>
    </w:rPr>
  </w:style>
  <w:style w:type="paragraph" w:customStyle="1" w:styleId="363">
    <w:name w:val="Char Char Char Char Char Char Char Char Char Char2"/>
    <w:basedOn w:val="21"/>
    <w:qFormat/>
    <w:uiPriority w:val="0"/>
    <w:rPr>
      <w:rFonts w:ascii="长城仿宋" w:hAnsi="长城仿宋" w:eastAsia="Arial Unicode MS" w:cs="长城仿宋"/>
    </w:rPr>
  </w:style>
  <w:style w:type="paragraph" w:customStyle="1" w:styleId="364">
    <w:name w:val="xl72"/>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Baskerville" w:hAnsi="Baskerville" w:eastAsia="Baskerville" w:cs="Baskerville"/>
      <w:kern w:val="0"/>
      <w:sz w:val="20"/>
      <w:szCs w:val="20"/>
    </w:rPr>
  </w:style>
  <w:style w:type="paragraph" w:customStyle="1" w:styleId="365">
    <w:name w:val="样式35"/>
    <w:qFormat/>
    <w:uiPriority w:val="0"/>
    <w:pPr>
      <w:keepNext/>
      <w:keepLines/>
      <w:pageBreakBefore/>
      <w:widowControl w:val="0"/>
      <w:spacing w:before="340" w:after="330" w:line="360" w:lineRule="auto"/>
      <w:ind w:left="431" w:hanging="431"/>
      <w:jc w:val="both"/>
      <w:outlineLvl w:val="0"/>
    </w:pPr>
    <w:rPr>
      <w:rFonts w:ascii="Calibri" w:hAnsi="Calibri" w:eastAsia="Calibri" w:cs="Calibri"/>
      <w:color w:val="000000"/>
      <w:kern w:val="44"/>
      <w:sz w:val="30"/>
      <w:szCs w:val="30"/>
      <w:u w:color="000000"/>
      <w:lang w:val="en-US" w:eastAsia="zh-CN" w:bidi="ar-SA"/>
    </w:rPr>
  </w:style>
  <w:style w:type="paragraph" w:customStyle="1" w:styleId="366">
    <w:name w:val="2册标题4"/>
    <w:basedOn w:val="1"/>
    <w:next w:val="1"/>
    <w:qFormat/>
    <w:uiPriority w:val="0"/>
    <w:pPr>
      <w:spacing w:before="120" w:after="120" w:line="300" w:lineRule="auto"/>
      <w:ind w:left="120"/>
      <w:outlineLvl w:val="3"/>
    </w:pPr>
    <w:rPr>
      <w:rFonts w:ascii="???|CS?o｡ﾀ?" w:hAnsi="???|CS?o｡ﾀ?" w:eastAsia="Arial Unicode MS" w:cs="???|CS?o｡ﾀ?"/>
    </w:rPr>
  </w:style>
  <w:style w:type="paragraph" w:customStyle="1" w:styleId="367">
    <w:name w:val="xl2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Baskerville" w:hAnsi="Baskerville" w:eastAsia="Baskerville" w:cs="Baskerville"/>
      <w:kern w:val="0"/>
      <w:sz w:val="18"/>
      <w:szCs w:val="18"/>
    </w:rPr>
  </w:style>
  <w:style w:type="paragraph" w:customStyle="1" w:styleId="368">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Baskerville" w:hAnsi="Baskerville" w:eastAsia="Baskerville" w:cs="Baskerville"/>
      <w:kern w:val="0"/>
      <w:sz w:val="24"/>
    </w:rPr>
  </w:style>
  <w:style w:type="paragraph" w:customStyle="1" w:styleId="369">
    <w:name w:val="time"/>
    <w:basedOn w:val="1"/>
    <w:qFormat/>
    <w:uiPriority w:val="0"/>
    <w:pPr>
      <w:widowControl/>
      <w:spacing w:before="100" w:beforeAutospacing="1" w:after="100" w:afterAutospacing="1"/>
      <w:jc w:val="left"/>
    </w:pPr>
    <w:rPr>
      <w:rFonts w:ascii="???|CS?o｡ﾀ?" w:hAnsi="???|CS?o｡ﾀ?" w:eastAsia="Baskerville" w:cs="???|CS?o｡ﾀ?"/>
      <w:kern w:val="0"/>
      <w:sz w:val="22"/>
      <w:szCs w:val="22"/>
    </w:rPr>
  </w:style>
  <w:style w:type="paragraph" w:customStyle="1" w:styleId="370">
    <w:name w:val="缺省文本"/>
    <w:basedOn w:val="1"/>
    <w:qFormat/>
    <w:uiPriority w:val="0"/>
    <w:pPr>
      <w:autoSpaceDE w:val="0"/>
      <w:autoSpaceDN w:val="0"/>
      <w:adjustRightInd w:val="0"/>
      <w:jc w:val="left"/>
    </w:pPr>
    <w:rPr>
      <w:rFonts w:ascii="长城仿宋" w:hAnsi="长城仿宋" w:eastAsia="Arial Unicode MS" w:cs="长城仿宋"/>
      <w:kern w:val="0"/>
      <w:sz w:val="24"/>
      <w:szCs w:val="20"/>
    </w:rPr>
  </w:style>
  <w:style w:type="paragraph" w:customStyle="1" w:styleId="371">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Baskerville" w:hAnsi="Baskerville" w:eastAsia="Baskerville" w:cs="Baskerville"/>
      <w:kern w:val="0"/>
      <w:sz w:val="24"/>
    </w:rPr>
  </w:style>
  <w:style w:type="paragraph" w:customStyle="1" w:styleId="372">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Baskerville" w:hAnsi="Baskerville" w:eastAsia="Baskerville" w:cs="长城仿宋"/>
      <w:kern w:val="0"/>
      <w:sz w:val="24"/>
    </w:rPr>
  </w:style>
  <w:style w:type="paragraph" w:customStyle="1" w:styleId="373">
    <w:name w:val="xl5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Tahoma" w:hAnsi="Baskerville" w:eastAsia="Tahoma" w:cs="Baskerville"/>
      <w:b/>
      <w:bCs/>
      <w:kern w:val="0"/>
      <w:sz w:val="40"/>
      <w:szCs w:val="40"/>
    </w:rPr>
  </w:style>
  <w:style w:type="paragraph" w:customStyle="1" w:styleId="374">
    <w:name w:val="font0"/>
    <w:basedOn w:val="1"/>
    <w:qFormat/>
    <w:uiPriority w:val="0"/>
    <w:pPr>
      <w:widowControl/>
      <w:spacing w:before="100" w:beforeAutospacing="1" w:after="100" w:afterAutospacing="1"/>
      <w:jc w:val="left"/>
    </w:pPr>
    <w:rPr>
      <w:rFonts w:hint="eastAsia" w:ascii="Arial Unicode MS" w:hAnsi="Arial Unicode MS" w:eastAsia="Arial Unicode MS" w:cs="Baskerville"/>
      <w:kern w:val="0"/>
      <w:sz w:val="24"/>
    </w:rPr>
  </w:style>
  <w:style w:type="paragraph" w:customStyle="1" w:styleId="375">
    <w:name w:val="yj正文首行缩进"/>
    <w:basedOn w:val="1"/>
    <w:qFormat/>
    <w:uiPriority w:val="0"/>
    <w:pPr>
      <w:spacing w:line="360" w:lineRule="auto"/>
      <w:ind w:firstLine="420" w:firstLineChars="200"/>
    </w:pPr>
    <w:rPr>
      <w:rFonts w:ascii="???|CS?o｡ﾀ?" w:hAnsi="???|CS?o｡ﾀ?" w:eastAsia="Arial Unicode MS" w:cs="长城仿宋"/>
      <w:color w:val="000000"/>
      <w:szCs w:val="20"/>
    </w:rPr>
  </w:style>
  <w:style w:type="paragraph" w:customStyle="1" w:styleId="37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Baskerville" w:hAnsi="Baskerville" w:eastAsia="Baskerville" w:cs="Baskerville"/>
      <w:kern w:val="0"/>
      <w:sz w:val="18"/>
      <w:szCs w:val="18"/>
    </w:rPr>
  </w:style>
  <w:style w:type="paragraph" w:customStyle="1" w:styleId="37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Baskerville" w:hAnsi="Baskerville" w:eastAsia="Baskerville" w:cs="Baskerville"/>
      <w:kern w:val="0"/>
      <w:sz w:val="24"/>
    </w:rPr>
  </w:style>
  <w:style w:type="paragraph" w:customStyle="1" w:styleId="37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Baskerville" w:hAnsi="Baskerville" w:eastAsia="Baskerville" w:cs="Baskerville"/>
      <w:kern w:val="0"/>
      <w:sz w:val="18"/>
      <w:szCs w:val="18"/>
    </w:rPr>
  </w:style>
  <w:style w:type="paragraph" w:customStyle="1" w:styleId="379">
    <w:name w:val="xl67"/>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Baskerville" w:hAnsi="Baskerville" w:eastAsia="Baskerville" w:cs="Baskerville"/>
      <w:kern w:val="0"/>
      <w:sz w:val="20"/>
      <w:szCs w:val="20"/>
    </w:rPr>
  </w:style>
  <w:style w:type="paragraph" w:customStyle="1" w:styleId="380">
    <w:name w:val="contentlabel"/>
    <w:basedOn w:val="1"/>
    <w:qFormat/>
    <w:uiPriority w:val="0"/>
    <w:pPr>
      <w:widowControl/>
      <w:spacing w:before="40" w:after="100" w:afterAutospacing="1"/>
      <w:ind w:left="120"/>
      <w:jc w:val="left"/>
    </w:pPr>
    <w:rPr>
      <w:rFonts w:ascii="???|CS?o｡ﾀ?" w:hAnsi="???|CS?o｡ﾀ?" w:eastAsia="Arial Unicode MS" w:cs="???|CS?o｡ﾀ?"/>
      <w:color w:val="336666"/>
      <w:kern w:val="0"/>
      <w:sz w:val="24"/>
    </w:rPr>
  </w:style>
  <w:style w:type="paragraph" w:customStyle="1" w:styleId="381">
    <w:name w:val="列表段落11"/>
    <w:basedOn w:val="1"/>
    <w:qFormat/>
    <w:uiPriority w:val="0"/>
    <w:pPr>
      <w:ind w:firstLine="420" w:firstLineChars="200"/>
    </w:pPr>
    <w:rPr>
      <w:rFonts w:ascii="Calibri" w:hAnsi="Calibri"/>
      <w:szCs w:val="22"/>
    </w:rPr>
  </w:style>
  <w:style w:type="paragraph" w:customStyle="1" w:styleId="38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Baskerville" w:hAnsi="Baskerville" w:eastAsia="Baskerville" w:cs="Baskerville"/>
      <w:kern w:val="0"/>
      <w:sz w:val="24"/>
    </w:rPr>
  </w:style>
  <w:style w:type="paragraph" w:customStyle="1" w:styleId="383">
    <w:name w:val="xl83"/>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Baskerville" w:hAnsi="Baskerville" w:eastAsia="Baskerville" w:cs="Baskerville"/>
      <w:kern w:val="0"/>
      <w:sz w:val="20"/>
      <w:szCs w:val="20"/>
    </w:rPr>
  </w:style>
  <w:style w:type="paragraph" w:customStyle="1" w:styleId="384">
    <w:name w:val="xl8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Baskerville" w:hAnsi="Baskerville" w:eastAsia="Baskerville" w:cs="Baskerville"/>
      <w:kern w:val="0"/>
      <w:sz w:val="20"/>
      <w:szCs w:val="20"/>
    </w:rPr>
  </w:style>
  <w:style w:type="paragraph" w:customStyle="1" w:styleId="385">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Baskerville" w:hAnsi="Baskerville" w:eastAsia="Baskerville" w:cs="Baskerville"/>
      <w:kern w:val="0"/>
      <w:sz w:val="18"/>
      <w:szCs w:val="18"/>
    </w:rPr>
  </w:style>
  <w:style w:type="paragraph" w:customStyle="1" w:styleId="386">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Baskerville" w:hAnsi="Baskerville" w:eastAsia="Baskerville" w:cs="Baskerville"/>
      <w:kern w:val="0"/>
      <w:sz w:val="20"/>
      <w:szCs w:val="20"/>
    </w:rPr>
  </w:style>
  <w:style w:type="paragraph" w:customStyle="1" w:styleId="387">
    <w:name w:val="xl78"/>
    <w:basedOn w:val="1"/>
    <w:qFormat/>
    <w:uiPriority w:val="0"/>
    <w:pPr>
      <w:widowControl/>
      <w:pBdr>
        <w:top w:val="single" w:color="auto" w:sz="8"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hint="eastAsia" w:ascii="Tahoma" w:hAnsi="Baskerville" w:eastAsia="Tahoma" w:cs="Baskerville"/>
      <w:kern w:val="0"/>
      <w:sz w:val="20"/>
      <w:szCs w:val="20"/>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长城仿宋" w:hAnsi="长城仿宋" w:eastAsia="Baskerville" w:cs="长城仿宋"/>
      <w:kern w:val="0"/>
      <w:sz w:val="24"/>
    </w:rPr>
  </w:style>
  <w:style w:type="paragraph" w:customStyle="1" w:styleId="38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长城仿宋" w:hAnsi="长城仿宋" w:eastAsia="Baskerville" w:cs="长城仿宋"/>
      <w:kern w:val="0"/>
      <w:sz w:val="24"/>
    </w:rPr>
  </w:style>
  <w:style w:type="paragraph" w:customStyle="1" w:styleId="39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Baskerville" w:hAnsi="Baskerville" w:eastAsia="Baskerville" w:cs="Baskerville"/>
      <w:kern w:val="0"/>
      <w:sz w:val="18"/>
      <w:szCs w:val="18"/>
    </w:rPr>
  </w:style>
  <w:style w:type="paragraph" w:customStyle="1" w:styleId="391">
    <w:name w:val="xl137"/>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Baskerville" w:hAnsi="Baskerville" w:eastAsia="Baskerville" w:cs="Baskerville"/>
      <w:b/>
      <w:bCs/>
      <w:kern w:val="0"/>
      <w:sz w:val="24"/>
    </w:rPr>
  </w:style>
  <w:style w:type="character" w:customStyle="1" w:styleId="392">
    <w:name w:val="样式1 Char"/>
    <w:link w:val="246"/>
    <w:qFormat/>
    <w:uiPriority w:val="0"/>
    <w:rPr>
      <w:rFonts w:ascii="Arial" w:hAnsi="Arial" w:eastAsia="黑体"/>
      <w:b/>
      <w:bCs/>
      <w:kern w:val="2"/>
      <w:sz w:val="28"/>
      <w:szCs w:val="28"/>
    </w:rPr>
  </w:style>
  <w:style w:type="paragraph" w:customStyle="1" w:styleId="39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Baskerville" w:hAnsi="Baskerville" w:eastAsia="Baskerville" w:cs="Baskerville"/>
      <w:kern w:val="0"/>
      <w:sz w:val="20"/>
      <w:szCs w:val="20"/>
    </w:rPr>
  </w:style>
  <w:style w:type="paragraph" w:customStyle="1" w:styleId="394">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Baskerville" w:hAnsi="Baskerville" w:eastAsia="Baskerville" w:cs="Baskerville"/>
      <w:kern w:val="0"/>
      <w:sz w:val="24"/>
    </w:rPr>
  </w:style>
  <w:style w:type="paragraph" w:customStyle="1" w:styleId="395">
    <w:name w:val="xl64"/>
    <w:basedOn w:val="1"/>
    <w:qFormat/>
    <w:uiPriority w:val="0"/>
    <w:pPr>
      <w:widowControl/>
      <w:spacing w:before="100" w:beforeAutospacing="1" w:after="100" w:afterAutospacing="1"/>
      <w:jc w:val="left"/>
      <w:textAlignment w:val="center"/>
    </w:pPr>
    <w:rPr>
      <w:rFonts w:ascii="Baskerville" w:hAnsi="Baskerville" w:eastAsia="Baskerville" w:cs="Baskerville"/>
      <w:kern w:val="0"/>
      <w:sz w:val="20"/>
      <w:szCs w:val="20"/>
    </w:rPr>
  </w:style>
  <w:style w:type="paragraph" w:customStyle="1" w:styleId="396">
    <w:name w:val="网新正文文本"/>
    <w:qFormat/>
    <w:uiPriority w:val="0"/>
    <w:pPr>
      <w:spacing w:line="360" w:lineRule="auto"/>
      <w:ind w:firstLine="200" w:firstLineChars="200"/>
    </w:pPr>
    <w:rPr>
      <w:rFonts w:ascii="长城仿宋" w:hAnsi="长城仿宋" w:eastAsia="等线" w:cs="长城仿宋"/>
      <w:kern w:val="2"/>
      <w:sz w:val="24"/>
      <w:szCs w:val="22"/>
      <w:lang w:val="en-US" w:eastAsia="zh-CN" w:bidi="ar-SA"/>
    </w:rPr>
  </w:style>
  <w:style w:type="paragraph" w:customStyle="1" w:styleId="397">
    <w:name w:val="Char1 Char Char Char1"/>
    <w:basedOn w:val="1"/>
    <w:qFormat/>
    <w:uiPriority w:val="0"/>
    <w:rPr>
      <w:rFonts w:ascii="Cambria" w:hAnsi="Cambria" w:eastAsia="Arial Unicode MS" w:cs="长城仿宋"/>
      <w:sz w:val="24"/>
      <w:szCs w:val="20"/>
    </w:rPr>
  </w:style>
  <w:style w:type="paragraph" w:customStyle="1" w:styleId="398">
    <w:name w:val="shadow1"/>
    <w:basedOn w:val="1"/>
    <w:qFormat/>
    <w:uiPriority w:val="0"/>
    <w:pPr>
      <w:widowControl/>
      <w:spacing w:before="100" w:beforeAutospacing="1" w:after="100" w:afterAutospacing="1"/>
      <w:jc w:val="left"/>
    </w:pPr>
    <w:rPr>
      <w:rFonts w:ascii="Baskerville" w:hAnsi="Baskerville" w:eastAsia="Baskerville" w:cs="长城仿宋"/>
      <w:color w:val="000000"/>
      <w:kern w:val="0"/>
      <w:sz w:val="24"/>
    </w:rPr>
  </w:style>
  <w:style w:type="paragraph" w:customStyle="1" w:styleId="399">
    <w:name w:val="font7"/>
    <w:basedOn w:val="1"/>
    <w:qFormat/>
    <w:uiPriority w:val="0"/>
    <w:pPr>
      <w:widowControl/>
      <w:spacing w:before="100" w:beforeAutospacing="1" w:after="100" w:afterAutospacing="1"/>
      <w:jc w:val="left"/>
    </w:pPr>
    <w:rPr>
      <w:rFonts w:ascii="长城仿宋" w:hAnsi="长城仿宋" w:eastAsia="Baskerville" w:cs="长城仿宋"/>
      <w:kern w:val="0"/>
      <w:sz w:val="24"/>
    </w:rPr>
  </w:style>
  <w:style w:type="paragraph" w:customStyle="1" w:styleId="400">
    <w:name w:val="内文正文"/>
    <w:qFormat/>
    <w:uiPriority w:val="0"/>
    <w:pPr>
      <w:autoSpaceDE w:val="0"/>
      <w:autoSpaceDN w:val="0"/>
      <w:spacing w:line="400" w:lineRule="exact"/>
      <w:ind w:firstLine="200" w:firstLineChars="200"/>
      <w:jc w:val="both"/>
      <w:textAlignment w:val="bottom"/>
    </w:pPr>
    <w:rPr>
      <w:rFonts w:ascii="Arial Unicode MS" w:hAnsi="仿宋_GB2312" w:eastAsia="等线" w:cs="长城仿宋"/>
      <w:sz w:val="21"/>
      <w:szCs w:val="28"/>
      <w:lang w:val="en-US" w:eastAsia="zh-CN" w:bidi="ar-SA"/>
    </w:rPr>
  </w:style>
  <w:style w:type="paragraph" w:customStyle="1" w:styleId="401">
    <w:name w:val="table_1stline"/>
    <w:basedOn w:val="1"/>
    <w:qFormat/>
    <w:uiPriority w:val="0"/>
    <w:pPr>
      <w:widowControl/>
      <w:spacing w:before="120"/>
      <w:jc w:val="left"/>
    </w:pPr>
    <w:rPr>
      <w:rFonts w:ascii="长城仿宋" w:hAnsi="长城仿宋" w:eastAsia="Arial Unicode MS" w:cs="长城仿宋"/>
      <w:bCs/>
      <w:kern w:val="0"/>
      <w:sz w:val="20"/>
      <w:szCs w:val="20"/>
      <w:lang w:val="de-DE" w:eastAsia="de-DE"/>
    </w:rPr>
  </w:style>
  <w:style w:type="paragraph" w:customStyle="1" w:styleId="402">
    <w:name w:val="Char3"/>
    <w:basedOn w:val="21"/>
    <w:qFormat/>
    <w:uiPriority w:val="0"/>
    <w:rPr>
      <w:rFonts w:ascii="Cambria" w:hAnsi="Cambria" w:eastAsia="Arial Unicode MS" w:cs="长城仿宋"/>
      <w:sz w:val="24"/>
    </w:rPr>
  </w:style>
  <w:style w:type="paragraph" w:customStyle="1" w:styleId="403">
    <w:name w:val="样式5"/>
    <w:basedOn w:val="45"/>
    <w:qFormat/>
    <w:uiPriority w:val="0"/>
    <w:pPr>
      <w:adjustRightInd w:val="0"/>
      <w:snapToGrid w:val="0"/>
      <w:spacing w:before="120" w:after="120" w:line="500" w:lineRule="atLeast"/>
      <w:jc w:val="left"/>
    </w:pPr>
    <w:rPr>
      <w:rFonts w:ascii="Tahoma" w:hAnsi="Arial Unicode MS" w:eastAsia="Tahoma" w:cs="???|CS?o｡ﾀ?"/>
      <w:bCs/>
      <w:caps/>
      <w:color w:val="000000"/>
      <w:kern w:val="0"/>
      <w:sz w:val="30"/>
      <w:szCs w:val="30"/>
    </w:rPr>
  </w:style>
  <w:style w:type="paragraph" w:customStyle="1" w:styleId="404">
    <w:name w:val="font8"/>
    <w:basedOn w:val="1"/>
    <w:qFormat/>
    <w:uiPriority w:val="0"/>
    <w:pPr>
      <w:widowControl/>
      <w:spacing w:before="100" w:beforeAutospacing="1" w:after="100" w:afterAutospacing="1"/>
      <w:jc w:val="left"/>
    </w:pPr>
    <w:rPr>
      <w:rFonts w:ascii="长城仿宋" w:hAnsi="长城仿宋" w:eastAsia="Baskerville" w:cs="长城仿宋"/>
      <w:kern w:val="0"/>
      <w:szCs w:val="21"/>
    </w:rPr>
  </w:style>
  <w:style w:type="paragraph" w:customStyle="1" w:styleId="405">
    <w:name w:val="xl63"/>
    <w:basedOn w:val="1"/>
    <w:qFormat/>
    <w:uiPriority w:val="0"/>
    <w:pPr>
      <w:widowControl/>
      <w:spacing w:before="100" w:beforeAutospacing="1" w:after="100" w:afterAutospacing="1"/>
      <w:jc w:val="center"/>
      <w:textAlignment w:val="center"/>
    </w:pPr>
    <w:rPr>
      <w:rFonts w:ascii="Baskerville" w:hAnsi="Baskerville" w:eastAsia="Baskerville" w:cs="Baskerville"/>
      <w:kern w:val="0"/>
      <w:sz w:val="20"/>
      <w:szCs w:val="20"/>
    </w:rPr>
  </w:style>
  <w:style w:type="paragraph" w:customStyle="1" w:styleId="40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长城仿宋" w:hAnsi="长城仿宋" w:eastAsia="Baskerville" w:cs="长城仿宋"/>
      <w:kern w:val="0"/>
      <w:sz w:val="24"/>
    </w:rPr>
  </w:style>
  <w:style w:type="character" w:customStyle="1" w:styleId="407">
    <w:name w:val="正文1 Char"/>
    <w:link w:val="247"/>
    <w:qFormat/>
    <w:uiPriority w:val="0"/>
    <w:rPr>
      <w:kern w:val="2"/>
      <w:sz w:val="21"/>
      <w:szCs w:val="21"/>
    </w:rPr>
  </w:style>
  <w:style w:type="character" w:customStyle="1" w:styleId="408">
    <w:name w:val="List Paragraph Char"/>
    <w:link w:val="203"/>
    <w:qFormat/>
    <w:uiPriority w:val="0"/>
    <w:rPr>
      <w:kern w:val="2"/>
      <w:sz w:val="21"/>
    </w:rPr>
  </w:style>
  <w:style w:type="paragraph" w:customStyle="1" w:styleId="40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Baskerville" w:hAnsi="Baskerville" w:eastAsia="Baskerville" w:cs="Baskerville"/>
      <w:kern w:val="0"/>
      <w:sz w:val="24"/>
    </w:rPr>
  </w:style>
  <w:style w:type="paragraph" w:customStyle="1" w:styleId="410">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Baskerville" w:hAnsi="Baskerville" w:eastAsia="Baskerville" w:cs="Baskerville"/>
      <w:kern w:val="0"/>
      <w:sz w:val="20"/>
      <w:szCs w:val="20"/>
    </w:rPr>
  </w:style>
  <w:style w:type="paragraph" w:customStyle="1" w:styleId="411">
    <w:name w:val="样式 标题 1 + 居中"/>
    <w:basedOn w:val="5"/>
    <w:qFormat/>
    <w:uiPriority w:val="0"/>
    <w:pPr>
      <w:widowControl/>
      <w:tabs>
        <w:tab w:val="left" w:pos="432"/>
      </w:tabs>
      <w:spacing w:before="340" w:beforeLines="50" w:after="120" w:afterLines="50" w:line="400" w:lineRule="atLeast"/>
    </w:pPr>
    <w:rPr>
      <w:rFonts w:ascii="Courier New" w:hAnsi="长城仿宋" w:eastAsia="Tahoma" w:cs="Arial Unicode MS"/>
      <w:kern w:val="0"/>
      <w:sz w:val="32"/>
      <w:szCs w:val="20"/>
    </w:rPr>
  </w:style>
  <w:style w:type="paragraph" w:customStyle="1" w:styleId="412">
    <w:name w:val="Char Char Char Char Char Char Char Char Char Char Char Char Char3"/>
    <w:basedOn w:val="1"/>
    <w:qFormat/>
    <w:uiPriority w:val="0"/>
    <w:rPr>
      <w:rFonts w:ascii="Cambria" w:hAnsi="Cambria" w:eastAsia="Arial Unicode MS" w:cs="长城仿宋"/>
      <w:sz w:val="24"/>
      <w:szCs w:val="20"/>
    </w:rPr>
  </w:style>
  <w:style w:type="paragraph" w:customStyle="1" w:styleId="413">
    <w:name w:val="样式 表内正文 + 五号 行距: 单倍行距"/>
    <w:basedOn w:val="1"/>
    <w:qFormat/>
    <w:uiPriority w:val="0"/>
    <w:pPr>
      <w:adjustRightInd w:val="0"/>
      <w:snapToGrid w:val="0"/>
    </w:pPr>
    <w:rPr>
      <w:rFonts w:ascii="???|CS?o｡ﾀ?" w:hAnsi="???|CS?o｡ﾀ?" w:eastAsia="Arial Unicode MS" w:cs="Arial Unicode MS"/>
      <w:szCs w:val="20"/>
    </w:rPr>
  </w:style>
  <w:style w:type="paragraph" w:customStyle="1" w:styleId="41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Baskerville" w:hAnsi="Baskerville" w:eastAsia="Baskerville" w:cs="Baskerville"/>
      <w:kern w:val="0"/>
      <w:sz w:val="20"/>
      <w:szCs w:val="20"/>
    </w:rPr>
  </w:style>
  <w:style w:type="paragraph" w:customStyle="1" w:styleId="415">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Baskerville" w:hAnsi="Baskerville" w:eastAsia="Baskerville" w:cs="Baskerville"/>
      <w:kern w:val="0"/>
      <w:sz w:val="18"/>
      <w:szCs w:val="18"/>
    </w:rPr>
  </w:style>
  <w:style w:type="paragraph" w:customStyle="1" w:styleId="416">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Baskerville" w:hAnsi="Baskerville" w:eastAsia="Baskerville" w:cs="Baskerville"/>
      <w:kern w:val="0"/>
      <w:sz w:val="24"/>
    </w:rPr>
  </w:style>
  <w:style w:type="paragraph" w:customStyle="1" w:styleId="417">
    <w:name w:val="简单回函地址"/>
    <w:basedOn w:val="1"/>
    <w:qFormat/>
    <w:uiPriority w:val="0"/>
    <w:rPr>
      <w:rFonts w:ascii="长城仿宋" w:hAnsi="长城仿宋" w:eastAsia="Arial Unicode MS" w:cs="长城仿宋"/>
    </w:rPr>
  </w:style>
  <w:style w:type="paragraph" w:customStyle="1" w:styleId="41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长城仿宋" w:hAnsi="长城仿宋" w:eastAsia="Baskerville" w:cs="长城仿宋"/>
      <w:kern w:val="0"/>
      <w:sz w:val="24"/>
    </w:rPr>
  </w:style>
  <w:style w:type="paragraph" w:customStyle="1" w:styleId="419">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Baskerville" w:hAnsi="Baskerville" w:eastAsia="Baskerville" w:cs="Baskerville"/>
      <w:kern w:val="0"/>
      <w:sz w:val="20"/>
      <w:szCs w:val="20"/>
    </w:rPr>
  </w:style>
  <w:style w:type="character" w:customStyle="1" w:styleId="420">
    <w:name w:val="xl77 Char"/>
    <w:link w:val="209"/>
    <w:qFormat/>
    <w:uiPriority w:val="0"/>
    <w:rPr>
      <w:rFonts w:ascii="Arial Unicode MS" w:hAnsi="Arial Unicode MS"/>
      <w:b/>
      <w:bCs/>
      <w:sz w:val="28"/>
      <w:szCs w:val="28"/>
    </w:rPr>
  </w:style>
  <w:style w:type="paragraph" w:customStyle="1" w:styleId="421">
    <w:name w:val="xl1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Baskerville" w:hAnsi="Baskerville" w:eastAsia="Baskerville" w:cs="Baskerville"/>
      <w:b/>
      <w:bCs/>
      <w:kern w:val="0"/>
      <w:sz w:val="24"/>
    </w:rPr>
  </w:style>
  <w:style w:type="paragraph" w:customStyle="1" w:styleId="422">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Baskerville" w:hAnsi="Baskerville" w:eastAsia="Baskerville" w:cs="Baskerville"/>
      <w:kern w:val="0"/>
      <w:sz w:val="20"/>
      <w:szCs w:val="20"/>
    </w:rPr>
  </w:style>
  <w:style w:type="paragraph" w:customStyle="1" w:styleId="423">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Baskerville" w:hAnsi="Baskerville" w:eastAsia="Baskerville" w:cs="Baskerville"/>
      <w:kern w:val="0"/>
      <w:sz w:val="24"/>
    </w:rPr>
  </w:style>
  <w:style w:type="paragraph" w:customStyle="1" w:styleId="424">
    <w:name w:val="xl5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Baskerville" w:hAnsi="Baskerville" w:eastAsia="Baskerville" w:cs="Baskerville"/>
      <w:kern w:val="0"/>
      <w:sz w:val="18"/>
      <w:szCs w:val="18"/>
    </w:rPr>
  </w:style>
  <w:style w:type="paragraph" w:customStyle="1" w:styleId="425">
    <w:name w:val="border"/>
    <w:basedOn w:val="1"/>
    <w:qFormat/>
    <w:uiPriority w:val="0"/>
    <w:pPr>
      <w:widowControl/>
      <w:pBdr>
        <w:top w:val="dotted" w:color="111111" w:sz="8" w:space="0"/>
        <w:left w:val="dotted" w:color="111111" w:sz="8" w:space="0"/>
        <w:bottom w:val="dotted" w:color="111111" w:sz="8" w:space="0"/>
        <w:right w:val="dotted" w:color="111111" w:sz="8" w:space="0"/>
      </w:pBdr>
      <w:shd w:val="clear" w:color="auto" w:fill="EFEFEF"/>
      <w:spacing w:before="100" w:beforeAutospacing="1" w:after="100" w:afterAutospacing="1"/>
      <w:jc w:val="left"/>
    </w:pPr>
    <w:rPr>
      <w:rFonts w:ascii="Baskerville" w:hAnsi="Baskerville" w:eastAsia="Baskerville" w:cs="长城仿宋"/>
      <w:color w:val="000000"/>
      <w:kern w:val="0"/>
      <w:sz w:val="24"/>
    </w:rPr>
  </w:style>
  <w:style w:type="paragraph" w:customStyle="1" w:styleId="426">
    <w:name w:val="Char Char Char Char Char Char Char Char Char Char Char Char Char Char Char Char"/>
    <w:basedOn w:val="1"/>
    <w:qFormat/>
    <w:uiPriority w:val="0"/>
    <w:pPr>
      <w:snapToGrid w:val="0"/>
      <w:spacing w:line="360" w:lineRule="auto"/>
      <w:ind w:firstLine="200" w:firstLineChars="200"/>
    </w:pPr>
    <w:rPr>
      <w:rFonts w:ascii="长城仿宋" w:hAnsi="长城仿宋" w:eastAsia="楷体_GB2312" w:cs="长城仿宋"/>
      <w:sz w:val="24"/>
    </w:rPr>
  </w:style>
  <w:style w:type="paragraph" w:customStyle="1" w:styleId="427">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Baskerville" w:hAnsi="Baskerville" w:eastAsia="Baskerville" w:cs="Baskerville"/>
      <w:kern w:val="0"/>
      <w:sz w:val="24"/>
    </w:rPr>
  </w:style>
  <w:style w:type="paragraph" w:customStyle="1" w:styleId="428">
    <w:name w:val="xl10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Baskerville" w:hAnsi="Baskerville" w:eastAsia="Baskerville" w:cs="Baskerville"/>
      <w:kern w:val="0"/>
      <w:sz w:val="24"/>
    </w:rPr>
  </w:style>
  <w:style w:type="paragraph" w:customStyle="1" w:styleId="429">
    <w:name w:val="xl10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Baskerville" w:hAnsi="Baskerville" w:eastAsia="Baskerville" w:cs="Baskerville"/>
      <w:kern w:val="0"/>
      <w:sz w:val="24"/>
    </w:rPr>
  </w:style>
  <w:style w:type="paragraph" w:customStyle="1" w:styleId="430">
    <w:name w:val="xl56"/>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长城仿宋" w:hAnsi="长城仿宋" w:eastAsia="Baskerville" w:cs="长城仿宋"/>
      <w:b/>
      <w:bCs/>
      <w:kern w:val="0"/>
      <w:sz w:val="40"/>
      <w:szCs w:val="40"/>
    </w:rPr>
  </w:style>
  <w:style w:type="paragraph" w:customStyle="1" w:styleId="431">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Baskerville" w:hAnsi="Baskerville" w:eastAsia="Baskerville" w:cs="Baskerville"/>
      <w:kern w:val="0"/>
      <w:sz w:val="24"/>
    </w:rPr>
  </w:style>
  <w:style w:type="paragraph" w:customStyle="1" w:styleId="432">
    <w:name w:val="xl1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Baskerville" w:hAnsi="Baskerville" w:eastAsia="Baskerville" w:cs="Baskerville"/>
      <w:b/>
      <w:bCs/>
      <w:kern w:val="0"/>
      <w:sz w:val="24"/>
    </w:rPr>
  </w:style>
  <w:style w:type="paragraph" w:customStyle="1" w:styleId="433">
    <w:name w:val="样式 样式 标题 4 + 非加粗 + (中文) 黑体 段前: 0 磅 段后: 0 磅 行距: 固定值 22 磅"/>
    <w:basedOn w:val="1"/>
    <w:qFormat/>
    <w:uiPriority w:val="2"/>
    <w:pPr>
      <w:keepNext/>
      <w:keepLines/>
      <w:widowControl/>
      <w:spacing w:beforeLines="50" w:afterLines="50" w:line="500" w:lineRule="exact"/>
      <w:jc w:val="left"/>
      <w:outlineLvl w:val="3"/>
    </w:pPr>
    <w:rPr>
      <w:rFonts w:ascii="???|CS?o｡ﾀ?" w:hAnsi="???|CS?o｡ﾀ?" w:eastAsia="Tahoma" w:cs="Arial Unicode MS"/>
      <w:b/>
      <w:bCs/>
      <w:kern w:val="0"/>
      <w:sz w:val="28"/>
    </w:rPr>
  </w:style>
  <w:style w:type="paragraph" w:customStyle="1" w:styleId="434">
    <w:name w:val="xl24"/>
    <w:basedOn w:val="1"/>
    <w:qFormat/>
    <w:uiPriority w:val="0"/>
    <w:pPr>
      <w:widowControl/>
      <w:pBdr>
        <w:bottom w:val="single" w:color="auto" w:sz="4" w:space="0"/>
        <w:right w:val="single" w:color="auto" w:sz="4" w:space="0"/>
      </w:pBdr>
      <w:spacing w:before="100" w:beforeAutospacing="1" w:after="100" w:afterAutospacing="1"/>
      <w:jc w:val="center"/>
    </w:pPr>
    <w:rPr>
      <w:rFonts w:ascii="Baskerville" w:hAnsi="Baskerville" w:eastAsia="Arial Unicode MS" w:cs="长城仿宋"/>
      <w:kern w:val="0"/>
      <w:sz w:val="24"/>
    </w:rPr>
  </w:style>
  <w:style w:type="paragraph" w:customStyle="1" w:styleId="435">
    <w:name w:val="Char Char Char Char Char Char Char3"/>
    <w:basedOn w:val="1"/>
    <w:qFormat/>
    <w:uiPriority w:val="0"/>
    <w:rPr>
      <w:rFonts w:ascii="长城仿宋" w:hAnsi="长城仿宋" w:eastAsia="Arial Unicode MS" w:cs="长城仿宋"/>
      <w:szCs w:val="20"/>
    </w:rPr>
  </w:style>
  <w:style w:type="paragraph" w:customStyle="1" w:styleId="436">
    <w:name w:val="xl74"/>
    <w:basedOn w:val="1"/>
    <w:qFormat/>
    <w:uiPriority w:val="0"/>
    <w:pPr>
      <w:widowControl/>
      <w:shd w:val="clear" w:color="auto" w:fill="FFFFFF"/>
      <w:spacing w:before="100" w:beforeAutospacing="1" w:after="100" w:afterAutospacing="1"/>
      <w:jc w:val="center"/>
      <w:textAlignment w:val="center"/>
    </w:pPr>
    <w:rPr>
      <w:rFonts w:ascii="Baskerville" w:hAnsi="Baskerville" w:eastAsia="Baskerville" w:cs="Baskerville"/>
      <w:kern w:val="0"/>
      <w:sz w:val="20"/>
      <w:szCs w:val="20"/>
    </w:rPr>
  </w:style>
  <w:style w:type="paragraph" w:customStyle="1" w:styleId="437">
    <w:name w:val="xl1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Baskerville" w:hAnsi="Baskerville" w:eastAsia="Baskerville" w:cs="Baskerville"/>
      <w:kern w:val="0"/>
      <w:sz w:val="24"/>
    </w:rPr>
  </w:style>
  <w:style w:type="paragraph" w:customStyle="1" w:styleId="438">
    <w:name w:val="xl32"/>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Baskerville" w:hAnsi="Baskerville" w:eastAsia="Baskerville" w:cs="Baskerville"/>
      <w:kern w:val="0"/>
      <w:sz w:val="18"/>
      <w:szCs w:val="18"/>
    </w:rPr>
  </w:style>
  <w:style w:type="paragraph" w:customStyle="1" w:styleId="439">
    <w:name w:val="Char Char41"/>
    <w:basedOn w:val="1"/>
    <w:qFormat/>
    <w:uiPriority w:val="0"/>
    <w:rPr>
      <w:rFonts w:ascii="长城仿宋" w:hAnsi="长城仿宋" w:eastAsia="Arial Unicode MS" w:cs="长城仿宋"/>
      <w:szCs w:val="20"/>
    </w:rPr>
  </w:style>
  <w:style w:type="paragraph" w:customStyle="1" w:styleId="44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Baskerville" w:hAnsi="Baskerville" w:eastAsia="Baskerville" w:cs="Baskerville"/>
      <w:kern w:val="0"/>
      <w:sz w:val="24"/>
    </w:rPr>
  </w:style>
  <w:style w:type="paragraph" w:customStyle="1" w:styleId="441">
    <w:name w:val="table"/>
    <w:basedOn w:val="1"/>
    <w:qFormat/>
    <w:uiPriority w:val="0"/>
    <w:pPr>
      <w:widowControl/>
      <w:pBdr>
        <w:left w:val="single" w:color="000000" w:sz="8" w:space="0"/>
        <w:right w:val="single" w:color="000000" w:sz="8" w:space="0"/>
      </w:pBdr>
      <w:shd w:val="clear" w:color="auto" w:fill="FFFFFF"/>
      <w:spacing w:before="100" w:beforeAutospacing="1" w:after="100" w:afterAutospacing="1"/>
      <w:jc w:val="left"/>
    </w:pPr>
    <w:rPr>
      <w:rFonts w:ascii="Baskerville" w:hAnsi="Baskerville" w:eastAsia="Baskerville" w:cs="长城仿宋"/>
      <w:kern w:val="0"/>
      <w:sz w:val="24"/>
    </w:rPr>
  </w:style>
  <w:style w:type="paragraph" w:customStyle="1" w:styleId="442">
    <w:name w:val="表头1"/>
    <w:basedOn w:val="346"/>
    <w:qFormat/>
    <w:uiPriority w:val="0"/>
    <w:pPr>
      <w:jc w:val="center"/>
    </w:pPr>
    <w:rPr>
      <w:rFonts w:ascii="Tahoma" w:eastAsia="Tahoma"/>
      <w:b/>
    </w:rPr>
  </w:style>
  <w:style w:type="paragraph" w:customStyle="1" w:styleId="443">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Baskerville" w:hAnsi="Baskerville" w:eastAsia="Baskerville" w:cs="Baskerville"/>
      <w:kern w:val="0"/>
      <w:sz w:val="24"/>
    </w:rPr>
  </w:style>
  <w:style w:type="paragraph" w:customStyle="1" w:styleId="444">
    <w:name w:val="Char Char7 Char1"/>
    <w:basedOn w:val="1"/>
    <w:qFormat/>
    <w:uiPriority w:val="0"/>
    <w:pPr>
      <w:tabs>
        <w:tab w:val="left" w:pos="425"/>
      </w:tabs>
      <w:ind w:left="420" w:leftChars="200" w:firstLine="270" w:firstLineChars="150"/>
    </w:pPr>
    <w:rPr>
      <w:rFonts w:ascii="Arial Unicode MS" w:hAnsi="Arial Unicode MS" w:eastAsia="Arial Unicode MS" w:cs="???|CS?o｡ﾀ?"/>
      <w:color w:val="5E5E5E"/>
      <w:kern w:val="0"/>
      <w:szCs w:val="21"/>
    </w:rPr>
  </w:style>
  <w:style w:type="paragraph" w:customStyle="1" w:styleId="445">
    <w:name w:val="xl48"/>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Baskerville" w:hAnsi="Baskerville" w:eastAsia="Baskerville" w:cs="Baskerville"/>
      <w:kern w:val="0"/>
      <w:sz w:val="20"/>
      <w:szCs w:val="20"/>
    </w:rPr>
  </w:style>
  <w:style w:type="paragraph" w:customStyle="1" w:styleId="446">
    <w:name w:val="xl12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Baskerville" w:hAnsi="Baskerville" w:eastAsia="Baskerville" w:cs="Baskerville"/>
      <w:kern w:val="0"/>
      <w:sz w:val="24"/>
    </w:rPr>
  </w:style>
  <w:style w:type="paragraph" w:customStyle="1" w:styleId="447">
    <w:name w:val="保留正文"/>
    <w:basedOn w:val="2"/>
    <w:qFormat/>
    <w:uiPriority w:val="0"/>
    <w:pPr>
      <w:keepNext/>
      <w:spacing w:after="160"/>
    </w:pPr>
    <w:rPr>
      <w:rFonts w:ascii="长城仿宋" w:hAnsi="长城仿宋" w:eastAsia="Arial Unicode MS" w:cs="长城仿宋"/>
      <w:bCs w:val="0"/>
      <w:sz w:val="21"/>
      <w:szCs w:val="20"/>
    </w:rPr>
  </w:style>
  <w:style w:type="paragraph" w:customStyle="1" w:styleId="448">
    <w:name w:val="xl1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Baskerville" w:hAnsi="Baskerville" w:eastAsia="Baskerville" w:cs="Baskerville"/>
      <w:kern w:val="0"/>
      <w:sz w:val="24"/>
    </w:rPr>
  </w:style>
  <w:style w:type="paragraph" w:customStyle="1" w:styleId="449">
    <w:name w:val="Char Char Char Char Char Char Char Char Char1 Char"/>
    <w:basedOn w:val="1"/>
    <w:qFormat/>
    <w:uiPriority w:val="0"/>
    <w:rPr>
      <w:rFonts w:ascii="长城仿宋" w:hAnsi="长城仿宋" w:eastAsia="Arial Unicode MS" w:cs="长城仿宋"/>
      <w:szCs w:val="20"/>
    </w:rPr>
  </w:style>
  <w:style w:type="paragraph" w:customStyle="1" w:styleId="45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Baskerville" w:hAnsi="Baskerville" w:eastAsia="Baskerville" w:cs="长城仿宋"/>
      <w:kern w:val="0"/>
      <w:sz w:val="24"/>
    </w:rPr>
  </w:style>
  <w:style w:type="paragraph" w:customStyle="1" w:styleId="451">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Baskerville" w:hAnsi="Baskerville" w:eastAsia="Baskerville" w:cs="Baskerville"/>
      <w:kern w:val="0"/>
      <w:sz w:val="24"/>
    </w:rPr>
  </w:style>
  <w:style w:type="paragraph" w:customStyle="1" w:styleId="452">
    <w:name w:val="投标书标题5"/>
    <w:next w:val="1"/>
    <w:qFormat/>
    <w:uiPriority w:val="0"/>
    <w:pPr>
      <w:spacing w:line="360" w:lineRule="auto"/>
      <w:outlineLvl w:val="4"/>
    </w:pPr>
    <w:rPr>
      <w:rFonts w:ascii="长城仿宋" w:hAnsi="长城仿宋" w:eastAsia="Tahoma" w:cs="长城仿宋"/>
      <w:b/>
      <w:kern w:val="2"/>
      <w:sz w:val="28"/>
      <w:szCs w:val="24"/>
      <w:lang w:val="en-US" w:eastAsia="zh-CN" w:bidi="ar-SA"/>
    </w:rPr>
  </w:style>
  <w:style w:type="paragraph" w:customStyle="1" w:styleId="453">
    <w:name w:val="xl71"/>
    <w:basedOn w:val="1"/>
    <w:qFormat/>
    <w:uiPriority w:val="0"/>
    <w:pPr>
      <w:widowControl/>
      <w:shd w:val="clear" w:color="auto" w:fill="FFFFFF"/>
      <w:spacing w:before="100" w:beforeAutospacing="1" w:after="100" w:afterAutospacing="1"/>
      <w:jc w:val="left"/>
      <w:textAlignment w:val="center"/>
    </w:pPr>
    <w:rPr>
      <w:rFonts w:ascii="Baskerville" w:hAnsi="Baskerville" w:eastAsia="Baskerville" w:cs="Baskerville"/>
      <w:kern w:val="0"/>
      <w:sz w:val="20"/>
      <w:szCs w:val="20"/>
    </w:rPr>
  </w:style>
  <w:style w:type="paragraph" w:customStyle="1" w:styleId="454">
    <w:name w:val="金保标题1"/>
    <w:basedOn w:val="5"/>
    <w:next w:val="1"/>
    <w:qFormat/>
    <w:uiPriority w:val="0"/>
    <w:pPr>
      <w:keepLines/>
      <w:pageBreakBefore/>
      <w:tabs>
        <w:tab w:val="left" w:pos="743"/>
        <w:tab w:val="left" w:pos="900"/>
      </w:tabs>
      <w:adjustRightInd w:val="0"/>
      <w:snapToGrid w:val="0"/>
      <w:spacing w:before="340" w:beforeLines="200" w:afterLines="200"/>
      <w:ind w:left="743" w:hanging="420"/>
    </w:pPr>
    <w:rPr>
      <w:rFonts w:ascii="Tahoma" w:hAnsi="Cambria" w:eastAsia="Tahoma" w:cs="长城仿宋"/>
      <w:bCs/>
      <w:kern w:val="44"/>
      <w:sz w:val="44"/>
      <w:szCs w:val="44"/>
      <w:lang w:val="zh-CN"/>
    </w:rPr>
  </w:style>
  <w:style w:type="paragraph" w:customStyle="1" w:styleId="455">
    <w:name w:val="xl6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Baskerville" w:hAnsi="Baskerville" w:eastAsia="Baskerville" w:cs="Baskerville"/>
      <w:kern w:val="0"/>
      <w:sz w:val="20"/>
      <w:szCs w:val="20"/>
    </w:rPr>
  </w:style>
  <w:style w:type="paragraph" w:customStyle="1" w:styleId="456">
    <w:name w:val="font5"/>
    <w:basedOn w:val="1"/>
    <w:qFormat/>
    <w:uiPriority w:val="0"/>
    <w:pPr>
      <w:widowControl/>
      <w:spacing w:before="100" w:beforeAutospacing="1" w:after="100" w:afterAutospacing="1"/>
      <w:jc w:val="left"/>
    </w:pPr>
    <w:rPr>
      <w:rFonts w:hint="eastAsia" w:ascii="Arial Unicode MS" w:hAnsi="Arial Unicode MS" w:eastAsia="Arial Unicode MS" w:cs="Baskerville"/>
      <w:kern w:val="0"/>
      <w:sz w:val="24"/>
    </w:rPr>
  </w:style>
  <w:style w:type="paragraph" w:customStyle="1" w:styleId="457">
    <w:name w:val="xl47"/>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Baskerville" w:hAnsi="Baskerville" w:eastAsia="Baskerville" w:cs="Baskerville"/>
      <w:kern w:val="0"/>
      <w:sz w:val="20"/>
      <w:szCs w:val="20"/>
    </w:rPr>
  </w:style>
  <w:style w:type="paragraph" w:customStyle="1" w:styleId="458">
    <w:name w:val="xl79"/>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Baskerville" w:hAnsi="Baskerville" w:eastAsia="Baskerville" w:cs="Baskerville"/>
      <w:b/>
      <w:bCs/>
      <w:kern w:val="0"/>
      <w:sz w:val="20"/>
      <w:szCs w:val="20"/>
    </w:rPr>
  </w:style>
  <w:style w:type="paragraph" w:customStyle="1" w:styleId="459">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Baskerville" w:hAnsi="Baskerville" w:eastAsia="Baskerville" w:cs="Baskerville"/>
      <w:kern w:val="0"/>
      <w:sz w:val="24"/>
    </w:rPr>
  </w:style>
  <w:style w:type="paragraph" w:customStyle="1" w:styleId="460">
    <w:name w:val="标准小四"/>
    <w:basedOn w:val="1"/>
    <w:qFormat/>
    <w:uiPriority w:val="0"/>
    <w:pPr>
      <w:spacing w:line="360" w:lineRule="auto"/>
      <w:ind w:firstLine="480" w:firstLineChars="200"/>
    </w:pPr>
    <w:rPr>
      <w:rFonts w:ascii="???|CS?o｡ﾀ?" w:hAnsi="???|CS?o｡ﾀ?" w:eastAsia="Arial Unicode MS" w:cs="长城仿宋"/>
      <w:sz w:val="24"/>
      <w:szCs w:val="21"/>
    </w:rPr>
  </w:style>
  <w:style w:type="paragraph" w:customStyle="1" w:styleId="461">
    <w:name w:val="font9"/>
    <w:basedOn w:val="1"/>
    <w:qFormat/>
    <w:uiPriority w:val="0"/>
    <w:pPr>
      <w:widowControl/>
      <w:spacing w:before="100" w:beforeAutospacing="1" w:after="100" w:afterAutospacing="1"/>
      <w:jc w:val="left"/>
    </w:pPr>
    <w:rPr>
      <w:rFonts w:hint="eastAsia" w:ascii="Arial Unicode MS" w:hAnsi="Arial Unicode MS" w:eastAsia="Arial Unicode MS" w:cs="Baskerville"/>
      <w:kern w:val="0"/>
      <w:szCs w:val="21"/>
    </w:rPr>
  </w:style>
  <w:style w:type="paragraph" w:customStyle="1" w:styleId="462">
    <w:name w:val="xl76"/>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Baskerville" w:hAnsi="Baskerville" w:eastAsia="Baskerville" w:cs="Baskerville"/>
      <w:b/>
      <w:bCs/>
      <w:kern w:val="0"/>
      <w:sz w:val="20"/>
      <w:szCs w:val="20"/>
    </w:rPr>
  </w:style>
  <w:style w:type="paragraph" w:customStyle="1" w:styleId="463">
    <w:name w:val="xl49"/>
    <w:basedOn w:val="1"/>
    <w:qFormat/>
    <w:uiPriority w:val="0"/>
    <w:pPr>
      <w:widowControl/>
      <w:pBdr>
        <w:left w:val="single" w:color="auto" w:sz="8" w:space="0"/>
        <w:bottom w:val="single" w:color="auto" w:sz="4" w:space="0"/>
      </w:pBdr>
      <w:tabs>
        <w:tab w:val="left" w:pos="743"/>
      </w:tabs>
      <w:spacing w:before="100" w:beforeAutospacing="1" w:after="100" w:afterAutospacing="1"/>
    </w:pPr>
    <w:rPr>
      <w:rFonts w:ascii="Baskerville" w:hAnsi="Baskerville" w:eastAsia="Baskerville" w:cs="长城仿宋"/>
      <w:kern w:val="0"/>
      <w:sz w:val="24"/>
    </w:rPr>
  </w:style>
  <w:style w:type="paragraph" w:customStyle="1" w:styleId="464">
    <w:name w:val="xl5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Baskerville" w:hAnsi="Baskerville" w:eastAsia="Baskerville" w:cs="Baskerville"/>
      <w:kern w:val="0"/>
      <w:sz w:val="20"/>
      <w:szCs w:val="20"/>
    </w:rPr>
  </w:style>
  <w:style w:type="paragraph" w:customStyle="1" w:styleId="465">
    <w:name w:val="xl41"/>
    <w:basedOn w:val="1"/>
    <w:qFormat/>
    <w:uiPriority w:val="0"/>
    <w:pPr>
      <w:widowControl/>
      <w:pBdr>
        <w:left w:val="single" w:color="auto" w:sz="4" w:space="0"/>
        <w:right w:val="single" w:color="auto" w:sz="8" w:space="0"/>
      </w:pBdr>
      <w:spacing w:before="100" w:beforeAutospacing="1" w:after="100" w:afterAutospacing="1"/>
      <w:jc w:val="center"/>
      <w:textAlignment w:val="center"/>
    </w:pPr>
    <w:rPr>
      <w:rFonts w:ascii="Baskerville" w:hAnsi="Baskerville" w:eastAsia="Baskerville" w:cs="Baskerville"/>
      <w:kern w:val="0"/>
      <w:sz w:val="18"/>
      <w:szCs w:val="18"/>
    </w:rPr>
  </w:style>
  <w:style w:type="paragraph" w:customStyle="1" w:styleId="466">
    <w:name w:val="xl62"/>
    <w:basedOn w:val="1"/>
    <w:qFormat/>
    <w:uiPriority w:val="0"/>
    <w:pPr>
      <w:widowControl/>
      <w:spacing w:before="100" w:beforeAutospacing="1" w:after="100" w:afterAutospacing="1"/>
      <w:jc w:val="left"/>
      <w:textAlignment w:val="center"/>
    </w:pPr>
    <w:rPr>
      <w:rFonts w:ascii="Baskerville" w:hAnsi="Baskerville" w:eastAsia="Baskerville" w:cs="Baskerville"/>
      <w:kern w:val="0"/>
      <w:sz w:val="20"/>
      <w:szCs w:val="20"/>
    </w:rPr>
  </w:style>
  <w:style w:type="paragraph" w:customStyle="1" w:styleId="467">
    <w:name w:val="wy"/>
    <w:basedOn w:val="8"/>
    <w:qFormat/>
    <w:uiPriority w:val="0"/>
    <w:pPr>
      <w:keepNext w:val="0"/>
      <w:keepLines w:val="0"/>
      <w:widowControl/>
      <w:tabs>
        <w:tab w:val="left" w:pos="2003"/>
      </w:tabs>
      <w:spacing w:before="240" w:after="0" w:line="240" w:lineRule="auto"/>
      <w:ind w:left="2003" w:hanging="420"/>
      <w:jc w:val="left"/>
    </w:pPr>
    <w:rPr>
      <w:rFonts w:ascii="楷体_GB2312" w:hAnsi="长城仿宋" w:eastAsia="楷体_GB2312" w:cs="长城仿宋"/>
      <w:iCs/>
      <w:snapToGrid w:val="0"/>
      <w:kern w:val="0"/>
      <w:sz w:val="24"/>
      <w:szCs w:val="20"/>
    </w:rPr>
  </w:style>
  <w:style w:type="paragraph" w:customStyle="1" w:styleId="468">
    <w:name w:val="xl45"/>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Baskerville" w:hAnsi="Baskerville" w:eastAsia="Baskerville" w:cs="Baskerville"/>
      <w:kern w:val="0"/>
      <w:sz w:val="18"/>
      <w:szCs w:val="18"/>
    </w:rPr>
  </w:style>
  <w:style w:type="paragraph" w:customStyle="1" w:styleId="469">
    <w:name w:val="titletext"/>
    <w:basedOn w:val="1"/>
    <w:qFormat/>
    <w:uiPriority w:val="0"/>
    <w:pPr>
      <w:widowControl/>
      <w:spacing w:before="100" w:beforeAutospacing="1" w:after="100" w:afterAutospacing="1" w:line="800" w:lineRule="atLeast"/>
      <w:jc w:val="left"/>
    </w:pPr>
    <w:rPr>
      <w:rFonts w:ascii="Arial Unicode MS" w:hAnsi="Arial Unicode MS" w:eastAsia="Baskerville" w:cs="长城仿宋"/>
      <w:color w:val="666666"/>
      <w:kern w:val="0"/>
      <w:sz w:val="36"/>
      <w:szCs w:val="36"/>
    </w:rPr>
  </w:style>
  <w:style w:type="paragraph" w:customStyle="1" w:styleId="470">
    <w:name w:val="xl65"/>
    <w:basedOn w:val="1"/>
    <w:qFormat/>
    <w:uiPriority w:val="0"/>
    <w:pPr>
      <w:widowControl/>
      <w:spacing w:before="100" w:beforeAutospacing="1" w:after="100" w:afterAutospacing="1"/>
      <w:jc w:val="left"/>
      <w:textAlignment w:val="center"/>
    </w:pPr>
    <w:rPr>
      <w:rFonts w:ascii="长城仿宋" w:hAnsi="长城仿宋" w:eastAsia="Baskerville" w:cs="长城仿宋"/>
      <w:kern w:val="0"/>
      <w:sz w:val="20"/>
      <w:szCs w:val="20"/>
    </w:rPr>
  </w:style>
  <w:style w:type="paragraph" w:customStyle="1" w:styleId="471">
    <w:name w:val="Char Char Char Char3"/>
    <w:basedOn w:val="21"/>
    <w:qFormat/>
    <w:uiPriority w:val="0"/>
    <w:rPr>
      <w:rFonts w:ascii="Cambria" w:hAnsi="Cambria" w:eastAsia="Arial Unicode MS" w:cs="长城仿宋"/>
      <w:sz w:val="24"/>
    </w:rPr>
  </w:style>
  <w:style w:type="paragraph" w:customStyle="1" w:styleId="472">
    <w:name w:val="xl82"/>
    <w:basedOn w:val="1"/>
    <w:qFormat/>
    <w:uiPriority w:val="0"/>
    <w:pPr>
      <w:widowControl/>
      <w:spacing w:before="100" w:beforeAutospacing="1" w:after="100" w:afterAutospacing="1"/>
      <w:jc w:val="center"/>
    </w:pPr>
    <w:rPr>
      <w:rFonts w:ascii="Baskerville" w:hAnsi="Baskerville" w:eastAsia="Baskerville" w:cs="Baskerville"/>
      <w:kern w:val="0"/>
      <w:sz w:val="24"/>
    </w:rPr>
  </w:style>
  <w:style w:type="paragraph" w:customStyle="1" w:styleId="473">
    <w:name w:val="样式4"/>
    <w:basedOn w:val="5"/>
    <w:qFormat/>
    <w:uiPriority w:val="0"/>
    <w:pPr>
      <w:tabs>
        <w:tab w:val="left" w:pos="432"/>
      </w:tabs>
      <w:adjustRightInd w:val="0"/>
      <w:snapToGrid w:val="0"/>
      <w:spacing w:line="500" w:lineRule="atLeast"/>
    </w:pPr>
    <w:rPr>
      <w:rFonts w:ascii="Tahoma" w:hAnsi="Arial Unicode MS" w:eastAsia="Tahoma" w:cs="???|CS?o｡ﾀ?"/>
      <w:b/>
      <w:sz w:val="30"/>
      <w:szCs w:val="30"/>
    </w:rPr>
  </w:style>
  <w:style w:type="paragraph" w:customStyle="1" w:styleId="474">
    <w:name w:val="xl53"/>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Baskerville" w:hAnsi="Baskerville" w:eastAsia="Baskerville" w:cs="Baskerville"/>
      <w:kern w:val="0"/>
      <w:sz w:val="18"/>
      <w:szCs w:val="18"/>
    </w:rPr>
  </w:style>
  <w:style w:type="paragraph" w:customStyle="1" w:styleId="475">
    <w:name w:val="Char Char1 Char Char Char Char Char Char Char Char Char Char1"/>
    <w:basedOn w:val="1"/>
    <w:qFormat/>
    <w:uiPriority w:val="0"/>
    <w:rPr>
      <w:rFonts w:ascii="Cambria" w:hAnsi="Cambria" w:eastAsia="Arial Unicode MS" w:cs="长城仿宋"/>
      <w:sz w:val="24"/>
      <w:szCs w:val="20"/>
    </w:rPr>
  </w:style>
  <w:style w:type="paragraph" w:customStyle="1" w:styleId="476">
    <w:name w:val="项目符号"/>
    <w:basedOn w:val="35"/>
    <w:qFormat/>
    <w:uiPriority w:val="0"/>
    <w:pPr>
      <w:tabs>
        <w:tab w:val="left" w:pos="1260"/>
        <w:tab w:val="left" w:pos="2260"/>
        <w:tab w:val="clear" w:pos="432"/>
      </w:tabs>
      <w:spacing w:line="360" w:lineRule="auto"/>
      <w:ind w:left="630" w:firstLine="0"/>
    </w:pPr>
    <w:rPr>
      <w:rFonts w:ascii="Arial Unicode MS" w:hAnsi="Arial Unicode MS"/>
      <w:sz w:val="24"/>
    </w:rPr>
  </w:style>
  <w:style w:type="paragraph" w:customStyle="1" w:styleId="477">
    <w:name w:val="Body Text(ch)"/>
    <w:basedOn w:val="1"/>
    <w:next w:val="2"/>
    <w:qFormat/>
    <w:uiPriority w:val="0"/>
    <w:pPr>
      <w:spacing w:line="500" w:lineRule="exact"/>
      <w:jc w:val="center"/>
    </w:pPr>
    <w:rPr>
      <w:rFonts w:ascii="长城仿宋" w:hAnsi="长城仿宋" w:eastAsia="Arial Unicode MS" w:cs="长城仿宋"/>
      <w:szCs w:val="20"/>
    </w:rPr>
  </w:style>
  <w:style w:type="paragraph" w:customStyle="1" w:styleId="4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Baskerville" w:hAnsi="Baskerville" w:eastAsia="Baskerville" w:cs="长城仿宋"/>
      <w:kern w:val="0"/>
      <w:sz w:val="24"/>
    </w:rPr>
  </w:style>
  <w:style w:type="paragraph" w:customStyle="1" w:styleId="47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Baskerville" w:hAnsi="Baskerville" w:eastAsia="Baskerville" w:cs="Baskerville"/>
      <w:kern w:val="0"/>
      <w:sz w:val="24"/>
    </w:rPr>
  </w:style>
  <w:style w:type="paragraph" w:customStyle="1" w:styleId="480">
    <w:name w:val="Char4"/>
    <w:basedOn w:val="43"/>
    <w:next w:val="43"/>
    <w:qFormat/>
    <w:uiPriority w:val="0"/>
    <w:pPr>
      <w:snapToGrid/>
      <w:jc w:val="right"/>
    </w:pPr>
    <w:rPr>
      <w:rFonts w:ascii="Arial Unicode MS" w:hAnsi="Arial Unicode MS" w:eastAsia="Arial Unicode MS" w:cs="长城仿宋"/>
      <w:b/>
      <w:sz w:val="21"/>
      <w:szCs w:val="21"/>
    </w:rPr>
  </w:style>
  <w:style w:type="paragraph" w:customStyle="1" w:styleId="481">
    <w:name w:val="正文 A A"/>
    <w:qFormat/>
    <w:uiPriority w:val="0"/>
    <w:pPr>
      <w:widowControl w:val="0"/>
      <w:jc w:val="both"/>
    </w:pPr>
    <w:rPr>
      <w:rFonts w:ascii="长城仿宋" w:hAnsi="长城仿宋" w:eastAsia="Baskerville" w:cs="Baskerville"/>
      <w:color w:val="000000"/>
      <w:kern w:val="2"/>
      <w:sz w:val="21"/>
      <w:szCs w:val="21"/>
      <w:u w:color="000000"/>
      <w:lang w:val="en-US" w:eastAsia="zh-CN" w:bidi="ar-SA"/>
    </w:rPr>
  </w:style>
  <w:style w:type="paragraph" w:customStyle="1" w:styleId="482">
    <w:name w:val="font"/>
    <w:basedOn w:val="1"/>
    <w:qFormat/>
    <w:uiPriority w:val="0"/>
    <w:pPr>
      <w:widowControl/>
      <w:spacing w:before="100" w:beforeAutospacing="1" w:after="100" w:afterAutospacing="1"/>
      <w:jc w:val="left"/>
    </w:pPr>
    <w:rPr>
      <w:rFonts w:ascii="Baskerville" w:hAnsi="Baskerville" w:eastAsia="Baskerville" w:cs="长城仿宋"/>
      <w:kern w:val="0"/>
      <w:sz w:val="24"/>
    </w:rPr>
  </w:style>
  <w:style w:type="paragraph" w:customStyle="1" w:styleId="483">
    <w:name w:val="xl104"/>
    <w:basedOn w:val="1"/>
    <w:qFormat/>
    <w:uiPriority w:val="0"/>
    <w:pPr>
      <w:widowControl/>
      <w:spacing w:before="100" w:beforeAutospacing="1" w:after="100" w:afterAutospacing="1"/>
      <w:jc w:val="center"/>
    </w:pPr>
    <w:rPr>
      <w:rFonts w:ascii="Baskerville" w:hAnsi="Baskerville" w:eastAsia="Baskerville" w:cs="Baskerville"/>
      <w:kern w:val="0"/>
      <w:sz w:val="24"/>
    </w:rPr>
  </w:style>
  <w:style w:type="paragraph" w:customStyle="1" w:styleId="484">
    <w:name w:val="tableheading"/>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485">
    <w:name w:val="xl134"/>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长城仿宋"/>
      <w:kern w:val="0"/>
      <w:sz w:val="24"/>
    </w:rPr>
  </w:style>
  <w:style w:type="table" w:customStyle="1" w:styleId="486">
    <w:name w:val="网格型1"/>
    <w:basedOn w:val="65"/>
    <w:qFormat/>
    <w:uiPriority w:val="59"/>
    <w:rPr>
      <w:rFonts w:ascii="长城仿宋" w:hAnsi="长城仿宋" w:eastAsia="等线" w:cs="长城仿宋"/>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87">
    <w:name w:val="投标正文 Char"/>
    <w:link w:val="488"/>
    <w:qFormat/>
    <w:uiPriority w:val="0"/>
    <w:rPr>
      <w:rFonts w:ascii="Calibri" w:hAnsi="Calibri"/>
      <w:sz w:val="24"/>
      <w:szCs w:val="24"/>
    </w:rPr>
  </w:style>
  <w:style w:type="paragraph" w:customStyle="1" w:styleId="488">
    <w:name w:val="投标正文"/>
    <w:basedOn w:val="1"/>
    <w:link w:val="487"/>
    <w:qFormat/>
    <w:uiPriority w:val="0"/>
    <w:pPr>
      <w:spacing w:line="360" w:lineRule="auto"/>
      <w:ind w:left="102" w:firstLine="200" w:firstLineChars="200"/>
    </w:pPr>
    <w:rPr>
      <w:rFonts w:ascii="Calibri" w:hAnsi="Calibri"/>
      <w:kern w:val="0"/>
      <w:sz w:val="24"/>
    </w:rPr>
  </w:style>
  <w:style w:type="character" w:customStyle="1" w:styleId="489">
    <w:name w:val="页脚 Char1"/>
    <w:qFormat/>
    <w:uiPriority w:val="0"/>
    <w:rPr>
      <w:rFonts w:ascii="仿宋_GB2312" w:hAnsi="宋体" w:eastAsia="仿宋_GB2312"/>
      <w:b/>
      <w:color w:val="000000"/>
      <w:sz w:val="18"/>
      <w:lang w:val="en-US" w:eastAsia="zh-CN" w:bidi="ar-SA"/>
    </w:rPr>
  </w:style>
  <w:style w:type="character" w:customStyle="1" w:styleId="490">
    <w:name w:val="宏文本 字符"/>
    <w:link w:val="4"/>
    <w:qFormat/>
    <w:uiPriority w:val="0"/>
    <w:rPr>
      <w:rFonts w:ascii="Wingdings" w:hAnsi="Wingdings" w:eastAsia="Times New Roman"/>
      <w:kern w:val="2"/>
      <w:sz w:val="24"/>
      <w:szCs w:val="24"/>
    </w:rPr>
  </w:style>
  <w:style w:type="character" w:customStyle="1" w:styleId="491">
    <w:name w:val="注释标题 字符"/>
    <w:link w:val="17"/>
    <w:qFormat/>
    <w:uiPriority w:val="0"/>
    <w:rPr>
      <w:rFonts w:ascii="DFKai-SB" w:hAnsi="DFKai-SB" w:eastAsia="DFKai-SB" w:cs="等线"/>
      <w:kern w:val="2"/>
      <w:lang w:eastAsia="zh-TW"/>
    </w:rPr>
  </w:style>
  <w:style w:type="character" w:customStyle="1" w:styleId="492">
    <w:name w:val="尾注文本 字符"/>
    <w:link w:val="39"/>
    <w:qFormat/>
    <w:uiPriority w:val="1"/>
    <w:rPr>
      <w:kern w:val="2"/>
      <w:sz w:val="28"/>
      <w:szCs w:val="24"/>
    </w:rPr>
  </w:style>
  <w:style w:type="character" w:customStyle="1" w:styleId="493">
    <w:name w:val="签名 字符"/>
    <w:link w:val="44"/>
    <w:qFormat/>
    <w:uiPriority w:val="0"/>
    <w:rPr>
      <w:rFonts w:ascii="等线" w:hAnsi="等线" w:eastAsia="黑体" w:cs="等线"/>
      <w:sz w:val="24"/>
    </w:rPr>
  </w:style>
  <w:style w:type="character" w:customStyle="1" w:styleId="494">
    <w:name w:val="副标题 字符"/>
    <w:link w:val="47"/>
    <w:qFormat/>
    <w:uiPriority w:val="0"/>
    <w:rPr>
      <w:rFonts w:ascii="Verdana" w:hAnsi="Verdana" w:eastAsia="仿宋_GB2312"/>
      <w:b/>
      <w:bCs/>
      <w:kern w:val="28"/>
      <w:sz w:val="32"/>
      <w:szCs w:val="32"/>
    </w:rPr>
  </w:style>
  <w:style w:type="character" w:customStyle="1" w:styleId="495">
    <w:name w:val="脚注文本 字符"/>
    <w:link w:val="50"/>
    <w:qFormat/>
    <w:uiPriority w:val="0"/>
    <w:rPr>
      <w:rFonts w:ascii="等线" w:hAnsi="等线" w:eastAsia="等线" w:cs="等线"/>
      <w:kern w:val="2"/>
      <w:sz w:val="18"/>
      <w:szCs w:val="18"/>
    </w:rPr>
  </w:style>
  <w:style w:type="character" w:customStyle="1" w:styleId="496">
    <w:name w:val="信息标题 字符"/>
    <w:link w:val="57"/>
    <w:qFormat/>
    <w:uiPriority w:val="0"/>
    <w:rPr>
      <w:rFonts w:eastAsia="仿宋_GB2312"/>
      <w:kern w:val="2"/>
      <w:sz w:val="21"/>
      <w:szCs w:val="24"/>
      <w:shd w:val="pct20" w:color="auto" w:fill="auto"/>
    </w:rPr>
  </w:style>
  <w:style w:type="character" w:customStyle="1" w:styleId="497">
    <w:name w:val="标题 1 字符1"/>
    <w:qFormat/>
    <w:uiPriority w:val="9"/>
    <w:rPr>
      <w:rFonts w:ascii="楷体_GB2312" w:eastAsia="楷体_GB2312"/>
      <w:b/>
      <w:bCs/>
      <w:kern w:val="2"/>
      <w:sz w:val="21"/>
      <w:szCs w:val="24"/>
    </w:rPr>
  </w:style>
  <w:style w:type="character" w:customStyle="1" w:styleId="498">
    <w:name w:val="标题 3 字符1"/>
    <w:qFormat/>
    <w:uiPriority w:val="9"/>
    <w:rPr>
      <w:b/>
      <w:bCs/>
      <w:kern w:val="2"/>
      <w:sz w:val="32"/>
      <w:szCs w:val="32"/>
      <w:lang w:bidi="ar-SA"/>
    </w:rPr>
  </w:style>
  <w:style w:type="character" w:customStyle="1" w:styleId="499">
    <w:name w:val="标题 4 字符1"/>
    <w:qFormat/>
    <w:uiPriority w:val="0"/>
    <w:rPr>
      <w:rFonts w:ascii="Cambria" w:hAnsi="Cambria" w:eastAsia="宋体"/>
      <w:b/>
      <w:bCs/>
      <w:kern w:val="2"/>
      <w:sz w:val="28"/>
      <w:szCs w:val="28"/>
      <w:lang w:bidi="ar-SA"/>
    </w:rPr>
  </w:style>
  <w:style w:type="character" w:customStyle="1" w:styleId="500">
    <w:name w:val="标题 5 字符1"/>
    <w:qFormat/>
    <w:uiPriority w:val="9"/>
    <w:rPr>
      <w:b/>
      <w:bCs/>
      <w:kern w:val="2"/>
      <w:sz w:val="28"/>
      <w:szCs w:val="28"/>
    </w:rPr>
  </w:style>
  <w:style w:type="character" w:customStyle="1" w:styleId="501">
    <w:name w:val="标题 6 字符1"/>
    <w:qFormat/>
    <w:uiPriority w:val="9"/>
    <w:rPr>
      <w:rFonts w:ascii="Cambria" w:hAnsi="Cambria" w:eastAsia="宋体" w:cs="Times New Roman"/>
      <w:b/>
      <w:bCs/>
      <w:kern w:val="2"/>
      <w:sz w:val="24"/>
      <w:szCs w:val="24"/>
    </w:rPr>
  </w:style>
  <w:style w:type="character" w:customStyle="1" w:styleId="502">
    <w:name w:val="样式6 列表并列 Char"/>
    <w:link w:val="503"/>
    <w:qFormat/>
    <w:locked/>
    <w:uiPriority w:val="0"/>
    <w:rPr>
      <w:rFonts w:ascii="Arial" w:hAnsi="Arial" w:cs="Arial"/>
      <w:kern w:val="21"/>
      <w:sz w:val="21"/>
      <w:szCs w:val="24"/>
    </w:rPr>
  </w:style>
  <w:style w:type="paragraph" w:customStyle="1" w:styleId="503">
    <w:name w:val="样式6 列表并列"/>
    <w:link w:val="502"/>
    <w:qFormat/>
    <w:uiPriority w:val="0"/>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504">
    <w:name w:val="正文文本 字符1"/>
    <w:qFormat/>
    <w:uiPriority w:val="99"/>
    <w:rPr>
      <w:kern w:val="2"/>
      <w:sz w:val="21"/>
      <w:szCs w:val="24"/>
    </w:rPr>
  </w:style>
  <w:style w:type="character" w:customStyle="1" w:styleId="505">
    <w:name w:val="正文文本缩进 字符1"/>
    <w:qFormat/>
    <w:uiPriority w:val="0"/>
    <w:rPr>
      <w:kern w:val="2"/>
      <w:sz w:val="24"/>
      <w:szCs w:val="24"/>
    </w:rPr>
  </w:style>
  <w:style w:type="character" w:customStyle="1" w:styleId="506">
    <w:name w:val="BZ_正文 Char"/>
    <w:link w:val="507"/>
    <w:qFormat/>
    <w:uiPriority w:val="0"/>
    <w:rPr>
      <w:rFonts w:ascii="宋体" w:hAnsi="宋体"/>
      <w:kern w:val="2"/>
      <w:sz w:val="24"/>
      <w:szCs w:val="24"/>
    </w:rPr>
  </w:style>
  <w:style w:type="paragraph" w:customStyle="1" w:styleId="507">
    <w:name w:val="BZ_正文"/>
    <w:basedOn w:val="1"/>
    <w:link w:val="506"/>
    <w:qFormat/>
    <w:uiPriority w:val="0"/>
    <w:pPr>
      <w:widowControl/>
      <w:spacing w:line="360" w:lineRule="auto"/>
      <w:ind w:firstLine="480" w:firstLineChars="200"/>
    </w:pPr>
    <w:rPr>
      <w:rFonts w:ascii="宋体" w:hAnsi="宋体"/>
      <w:sz w:val="24"/>
      <w:shd w:val="clear" w:color="auto" w:fill="FFFFFF"/>
    </w:rPr>
  </w:style>
  <w:style w:type="character" w:customStyle="1" w:styleId="508">
    <w:name w:val="正文缩进 字符1"/>
    <w:qFormat/>
    <w:uiPriority w:val="0"/>
    <w:rPr>
      <w:rFonts w:eastAsia="宋体"/>
      <w:sz w:val="21"/>
      <w:lang w:val="en-US" w:eastAsia="zh-CN" w:bidi="ar-SA"/>
    </w:rPr>
  </w:style>
  <w:style w:type="character" w:customStyle="1" w:styleId="509">
    <w:name w:val="BZ_题注_图 Char"/>
    <w:link w:val="510"/>
    <w:qFormat/>
    <w:uiPriority w:val="0"/>
    <w:rPr>
      <w:rFonts w:eastAsia="黑体"/>
      <w:kern w:val="2"/>
      <w:sz w:val="21"/>
      <w:szCs w:val="21"/>
    </w:rPr>
  </w:style>
  <w:style w:type="paragraph" w:customStyle="1" w:styleId="510">
    <w:name w:val="BZ_题注_图"/>
    <w:basedOn w:val="19"/>
    <w:next w:val="1"/>
    <w:link w:val="509"/>
    <w:qFormat/>
    <w:uiPriority w:val="0"/>
    <w:pPr>
      <w:widowControl/>
      <w:spacing w:beforeLines="50" w:afterLines="50"/>
      <w:jc w:val="center"/>
    </w:pPr>
    <w:rPr>
      <w:rFonts w:ascii="Times New Roman" w:hAnsi="Times New Roman" w:cs="Times New Roman"/>
      <w:sz w:val="21"/>
      <w:szCs w:val="21"/>
    </w:rPr>
  </w:style>
  <w:style w:type="character" w:customStyle="1" w:styleId="511">
    <w:name w:val="Char Char26"/>
    <w:qFormat/>
    <w:uiPriority w:val="0"/>
    <w:rPr>
      <w:rFonts w:ascii="宋体" w:hAnsi="Courier New" w:eastAsia="宋体"/>
      <w:kern w:val="2"/>
      <w:sz w:val="21"/>
      <w:lang w:val="en-US" w:eastAsia="zh-CN"/>
    </w:rPr>
  </w:style>
  <w:style w:type="character" w:customStyle="1" w:styleId="512">
    <w:name w:val="BZ_三级标题 Char"/>
    <w:link w:val="513"/>
    <w:qFormat/>
    <w:uiPriority w:val="0"/>
    <w:rPr>
      <w:rFonts w:eastAsia="黑体"/>
      <w:b/>
      <w:bCs/>
      <w:kern w:val="2"/>
      <w:sz w:val="28"/>
      <w:szCs w:val="28"/>
    </w:rPr>
  </w:style>
  <w:style w:type="paragraph" w:customStyle="1" w:styleId="513">
    <w:name w:val="BZ_三级标题"/>
    <w:basedOn w:val="7"/>
    <w:next w:val="507"/>
    <w:link w:val="512"/>
    <w:qFormat/>
    <w:uiPriority w:val="0"/>
    <w:pPr>
      <w:spacing w:line="240" w:lineRule="auto"/>
      <w:ind w:left="720" w:hanging="720"/>
    </w:pPr>
    <w:rPr>
      <w:rFonts w:eastAsia="黑体"/>
      <w:sz w:val="28"/>
      <w:szCs w:val="28"/>
    </w:rPr>
  </w:style>
  <w:style w:type="character" w:customStyle="1" w:styleId="514">
    <w:name w:val="哈哈正文 Char"/>
    <w:link w:val="515"/>
    <w:qFormat/>
    <w:uiPriority w:val="0"/>
    <w:rPr>
      <w:rFonts w:ascii="宋体" w:hAnsi="宋体" w:cs="宋体"/>
      <w:kern w:val="2"/>
      <w:sz w:val="24"/>
    </w:rPr>
  </w:style>
  <w:style w:type="paragraph" w:customStyle="1" w:styleId="515">
    <w:name w:val="哈哈正文"/>
    <w:basedOn w:val="1"/>
    <w:link w:val="514"/>
    <w:qFormat/>
    <w:uiPriority w:val="0"/>
    <w:pPr>
      <w:spacing w:line="360" w:lineRule="auto"/>
      <w:ind w:firstLine="200" w:firstLineChars="200"/>
    </w:pPr>
    <w:rPr>
      <w:rFonts w:ascii="宋体" w:hAnsi="宋体" w:cs="宋体"/>
      <w:sz w:val="24"/>
      <w:szCs w:val="20"/>
    </w:rPr>
  </w:style>
  <w:style w:type="character" w:customStyle="1" w:styleId="516">
    <w:name w:val="fontstyle01"/>
    <w:qFormat/>
    <w:uiPriority w:val="0"/>
    <w:rPr>
      <w:rFonts w:hint="eastAsia" w:ascii="楷体" w:hAnsi="楷体" w:eastAsia="楷体"/>
      <w:color w:val="000000"/>
      <w:sz w:val="24"/>
      <w:szCs w:val="24"/>
    </w:rPr>
  </w:style>
  <w:style w:type="paragraph" w:customStyle="1" w:styleId="517">
    <w:name w:val="style31"/>
    <w:basedOn w:val="1"/>
    <w:qFormat/>
    <w:uiPriority w:val="0"/>
    <w:pPr>
      <w:widowControl/>
      <w:spacing w:before="100" w:beforeAutospacing="1" w:after="100" w:afterAutospacing="1"/>
      <w:jc w:val="left"/>
    </w:pPr>
    <w:rPr>
      <w:rFonts w:ascii="宋体" w:hAnsi="宋体" w:cs="宋体"/>
      <w:kern w:val="0"/>
      <w:sz w:val="24"/>
    </w:rPr>
  </w:style>
  <w:style w:type="paragraph" w:customStyle="1" w:styleId="518">
    <w:name w:val="Char Char Char Char Char Char Char Char Char Char Char Char Char1"/>
    <w:basedOn w:val="1"/>
    <w:qFormat/>
    <w:uiPriority w:val="0"/>
    <w:rPr>
      <w:rFonts w:ascii="Tahoma" w:hAnsi="Tahoma"/>
      <w:sz w:val="24"/>
      <w:szCs w:val="20"/>
    </w:rPr>
  </w:style>
  <w:style w:type="paragraph" w:customStyle="1" w:styleId="519">
    <w:name w:val="BZ_六级标题"/>
    <w:basedOn w:val="10"/>
    <w:next w:val="507"/>
    <w:qFormat/>
    <w:uiPriority w:val="0"/>
    <w:pPr>
      <w:widowControl/>
      <w:tabs>
        <w:tab w:val="left" w:pos="360"/>
        <w:tab w:val="clear" w:pos="1152"/>
      </w:tabs>
      <w:spacing w:beforeLines="50" w:afterLines="50" w:line="240" w:lineRule="auto"/>
      <w:ind w:left="0" w:firstLine="0"/>
      <w:jc w:val="both"/>
    </w:pPr>
    <w:rPr>
      <w:rFonts w:ascii="Cambria" w:hAnsi="Cambria"/>
      <w:spacing w:val="0"/>
    </w:rPr>
  </w:style>
  <w:style w:type="paragraph" w:customStyle="1" w:styleId="520">
    <w:name w:val="Char Char Char Char2"/>
    <w:basedOn w:val="21"/>
    <w:qFormat/>
    <w:uiPriority w:val="0"/>
  </w:style>
  <w:style w:type="paragraph" w:customStyle="1" w:styleId="521">
    <w:name w:val="默认段落字体 Para Char"/>
    <w:basedOn w:val="1"/>
    <w:qFormat/>
    <w:uiPriority w:val="0"/>
    <w:pPr>
      <w:tabs>
        <w:tab w:val="left" w:pos="360"/>
      </w:tabs>
      <w:adjustRightInd w:val="0"/>
      <w:textAlignment w:val="baseline"/>
    </w:pPr>
    <w:rPr>
      <w:kern w:val="0"/>
      <w:sz w:val="24"/>
      <w:szCs w:val="20"/>
    </w:rPr>
  </w:style>
  <w:style w:type="paragraph" w:customStyle="1" w:styleId="522">
    <w:name w:val="Char Char Char Char Char Char Char1"/>
    <w:basedOn w:val="1"/>
    <w:qFormat/>
    <w:uiPriority w:val="0"/>
    <w:rPr>
      <w:rFonts w:ascii="仿宋_GB2312" w:eastAsia="仿宋_GB2312"/>
      <w:b/>
      <w:sz w:val="32"/>
      <w:szCs w:val="32"/>
    </w:rPr>
  </w:style>
  <w:style w:type="paragraph" w:customStyle="1" w:styleId="523">
    <w:name w:val="BZ_一级标题"/>
    <w:basedOn w:val="5"/>
    <w:next w:val="507"/>
    <w:link w:val="524"/>
    <w:qFormat/>
    <w:uiPriority w:val="0"/>
    <w:pPr>
      <w:keepLines/>
      <w:widowControl/>
      <w:spacing w:beforeLines="50" w:afterLines="50"/>
      <w:ind w:left="432" w:hanging="432"/>
      <w:jc w:val="both"/>
    </w:pPr>
    <w:rPr>
      <w:rFonts w:eastAsia="华文中宋"/>
      <w:b/>
      <w:bCs/>
      <w:kern w:val="44"/>
      <w:sz w:val="36"/>
      <w:szCs w:val="36"/>
    </w:rPr>
  </w:style>
  <w:style w:type="character" w:customStyle="1" w:styleId="524">
    <w:name w:val="BZ_一级标题 Char"/>
    <w:link w:val="523"/>
    <w:qFormat/>
    <w:uiPriority w:val="0"/>
    <w:rPr>
      <w:rFonts w:eastAsia="华文中宋"/>
      <w:b/>
      <w:bCs/>
      <w:kern w:val="44"/>
      <w:sz w:val="36"/>
      <w:szCs w:val="36"/>
    </w:rPr>
  </w:style>
  <w:style w:type="paragraph" w:customStyle="1" w:styleId="525">
    <w:name w:val="CM106"/>
    <w:basedOn w:val="222"/>
    <w:next w:val="222"/>
    <w:qFormat/>
    <w:uiPriority w:val="0"/>
    <w:rPr>
      <w:rFonts w:cs="Times New Roman"/>
      <w:color w:val="auto"/>
    </w:rPr>
  </w:style>
  <w:style w:type="paragraph" w:customStyle="1" w:styleId="526">
    <w:name w:val="Char Char1 Char Char Char Char Char Char"/>
    <w:basedOn w:val="1"/>
    <w:qFormat/>
    <w:uiPriority w:val="0"/>
    <w:pPr>
      <w:widowControl/>
      <w:spacing w:after="160" w:line="240" w:lineRule="exact"/>
      <w:jc w:val="left"/>
    </w:pPr>
    <w:rPr>
      <w:rFonts w:ascii="宋体" w:hAnsi="宋体" w:cs="宋体"/>
      <w:kern w:val="0"/>
      <w:szCs w:val="20"/>
    </w:rPr>
  </w:style>
  <w:style w:type="paragraph" w:customStyle="1" w:styleId="527">
    <w:name w:val="BZ_五级标题"/>
    <w:basedOn w:val="9"/>
    <w:next w:val="507"/>
    <w:qFormat/>
    <w:uiPriority w:val="0"/>
    <w:pPr>
      <w:widowControl/>
      <w:spacing w:beforeLines="50" w:afterLines="50" w:line="240" w:lineRule="auto"/>
    </w:pPr>
    <w:rPr>
      <w:rFonts w:eastAsia="黑体"/>
      <w:b w:val="0"/>
      <w:sz w:val="24"/>
      <w:szCs w:val="24"/>
    </w:rPr>
  </w:style>
  <w:style w:type="paragraph" w:customStyle="1" w:styleId="528">
    <w:name w:val="Char Char Char Char Char Char Char Char Char Char Char Char Char2"/>
    <w:basedOn w:val="1"/>
    <w:qFormat/>
    <w:uiPriority w:val="0"/>
    <w:rPr>
      <w:rFonts w:ascii="Tahoma" w:hAnsi="Tahoma"/>
      <w:sz w:val="24"/>
      <w:szCs w:val="20"/>
    </w:rPr>
  </w:style>
  <w:style w:type="paragraph" w:customStyle="1" w:styleId="529">
    <w:name w:val="Char Char Char Char Char Char Char2"/>
    <w:basedOn w:val="1"/>
    <w:qFormat/>
    <w:uiPriority w:val="0"/>
    <w:rPr>
      <w:rFonts w:ascii="仿宋_GB2312" w:eastAsia="仿宋_GB2312"/>
      <w:b/>
      <w:sz w:val="32"/>
      <w:szCs w:val="32"/>
    </w:rPr>
  </w:style>
  <w:style w:type="paragraph" w:customStyle="1" w:styleId="530">
    <w:name w:val="样式 Arial 小四 首行缩进:  0.85 厘米"/>
    <w:basedOn w:val="1"/>
    <w:qFormat/>
    <w:uiPriority w:val="0"/>
    <w:pPr>
      <w:spacing w:line="360" w:lineRule="auto"/>
      <w:ind w:firstLine="482"/>
    </w:pPr>
    <w:rPr>
      <w:rFonts w:ascii="Arial" w:hAnsi="Arial" w:cs="宋体"/>
      <w:sz w:val="24"/>
      <w:szCs w:val="20"/>
    </w:rPr>
  </w:style>
  <w:style w:type="paragraph" w:customStyle="1" w:styleId="531">
    <w:name w:val="修订1"/>
    <w:qFormat/>
    <w:uiPriority w:val="99"/>
    <w:rPr>
      <w:rFonts w:ascii="Times New Roman" w:hAnsi="Times New Roman" w:eastAsia="宋体" w:cs="Times New Roman"/>
      <w:kern w:val="2"/>
      <w:sz w:val="21"/>
      <w:szCs w:val="24"/>
      <w:lang w:val="en-US" w:eastAsia="zh-CN" w:bidi="ar-SA"/>
    </w:rPr>
  </w:style>
  <w:style w:type="paragraph" w:customStyle="1" w:styleId="532">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533">
    <w:name w:val="BZ_二级标题"/>
    <w:basedOn w:val="6"/>
    <w:next w:val="435"/>
    <w:qFormat/>
    <w:uiPriority w:val="0"/>
    <w:pPr>
      <w:widowControl/>
      <w:spacing w:beforeLines="50" w:afterLines="50" w:line="240" w:lineRule="auto"/>
      <w:ind w:left="576" w:hanging="576"/>
    </w:pPr>
    <w:rPr>
      <w:rFonts w:ascii="Times New Roman" w:hAnsi="Times New Roman" w:eastAsia="楷体"/>
    </w:rPr>
  </w:style>
  <w:style w:type="paragraph" w:customStyle="1" w:styleId="534">
    <w:name w:val="样式6"/>
    <w:basedOn w:val="1"/>
    <w:qFormat/>
    <w:uiPriority w:val="0"/>
    <w:pPr>
      <w:spacing w:line="360" w:lineRule="auto"/>
      <w:ind w:firstLine="200" w:firstLineChars="200"/>
      <w:jc w:val="left"/>
    </w:pPr>
    <w:rPr>
      <w:sz w:val="24"/>
    </w:rPr>
  </w:style>
  <w:style w:type="paragraph" w:customStyle="1" w:styleId="535">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character" w:customStyle="1" w:styleId="536">
    <w:name w:val="正文首行缩进2字符 Char"/>
    <w:link w:val="537"/>
    <w:qFormat/>
    <w:uiPriority w:val="0"/>
    <w:rPr>
      <w:rFonts w:eastAsia="仿宋"/>
      <w:sz w:val="28"/>
    </w:rPr>
  </w:style>
  <w:style w:type="paragraph" w:customStyle="1" w:styleId="537">
    <w:name w:val="正文首行缩进2字符"/>
    <w:basedOn w:val="1"/>
    <w:link w:val="536"/>
    <w:qFormat/>
    <w:locked/>
    <w:uiPriority w:val="0"/>
    <w:pPr>
      <w:spacing w:line="360" w:lineRule="auto"/>
      <w:ind w:firstLine="200" w:firstLineChars="200"/>
    </w:pPr>
    <w:rPr>
      <w:rFonts w:eastAsia="仿宋"/>
      <w:kern w:val="0"/>
      <w:sz w:val="28"/>
      <w:szCs w:val="20"/>
    </w:rPr>
  </w:style>
  <w:style w:type="character" w:customStyle="1" w:styleId="538">
    <w:name w:val="generalinfo-address-text"/>
    <w:qFormat/>
    <w:uiPriority w:val="0"/>
  </w:style>
  <w:style w:type="paragraph" w:customStyle="1" w:styleId="539">
    <w:name w:val="方案正文"/>
    <w:basedOn w:val="1"/>
    <w:link w:val="540"/>
    <w:qFormat/>
    <w:uiPriority w:val="0"/>
    <w:pPr>
      <w:spacing w:line="360" w:lineRule="auto"/>
      <w:ind w:firstLine="200" w:firstLineChars="200"/>
    </w:pPr>
    <w:rPr>
      <w:rFonts w:ascii="Century Gothic" w:hAnsi="Century Gothic"/>
      <w:szCs w:val="28"/>
    </w:rPr>
  </w:style>
  <w:style w:type="character" w:customStyle="1" w:styleId="540">
    <w:name w:val="方案正文 字符"/>
    <w:link w:val="539"/>
    <w:qFormat/>
    <w:uiPriority w:val="0"/>
    <w:rPr>
      <w:rFonts w:ascii="Century Gothic" w:hAnsi="Century Gothic"/>
      <w:kern w:val="2"/>
      <w:sz w:val="21"/>
      <w:szCs w:val="28"/>
    </w:rPr>
  </w:style>
  <w:style w:type="paragraph" w:customStyle="1" w:styleId="541">
    <w:name w:val="正文缩进1"/>
    <w:basedOn w:val="1"/>
    <w:qFormat/>
    <w:uiPriority w:val="0"/>
    <w:pPr>
      <w:spacing w:line="360" w:lineRule="auto"/>
      <w:ind w:firstLine="454"/>
      <w:jc w:val="left"/>
    </w:pPr>
    <w:rPr>
      <w:sz w:val="24"/>
    </w:rPr>
  </w:style>
  <w:style w:type="character" w:customStyle="1" w:styleId="542">
    <w:name w:val="ant-form-item-children"/>
    <w:qFormat/>
    <w:uiPriority w:val="0"/>
  </w:style>
  <w:style w:type="paragraph" w:customStyle="1" w:styleId="543">
    <w:name w:val="BZ_四级标题"/>
    <w:basedOn w:val="8"/>
    <w:next w:val="1"/>
    <w:link w:val="544"/>
    <w:qFormat/>
    <w:uiPriority w:val="0"/>
    <w:pPr>
      <w:widowControl/>
      <w:spacing w:beforeLines="50" w:afterLines="50" w:line="240" w:lineRule="auto"/>
      <w:ind w:left="864" w:hanging="864"/>
    </w:pPr>
    <w:rPr>
      <w:rFonts w:ascii="Times New Roman" w:hAnsi="Times New Roman"/>
      <w:b w:val="0"/>
      <w:sz w:val="24"/>
    </w:rPr>
  </w:style>
  <w:style w:type="character" w:customStyle="1" w:styleId="544">
    <w:name w:val="BZ_四级标题 Char"/>
    <w:link w:val="543"/>
    <w:qFormat/>
    <w:uiPriority w:val="0"/>
    <w:rPr>
      <w:rFonts w:eastAsia="黑体"/>
      <w:bCs/>
      <w:kern w:val="2"/>
      <w:sz w:val="24"/>
      <w:szCs w:val="28"/>
    </w:rPr>
  </w:style>
  <w:style w:type="paragraph" w:customStyle="1" w:styleId="545">
    <w:name w:val="_Style 10"/>
    <w:basedOn w:val="1"/>
    <w:qFormat/>
    <w:uiPriority w:val="0"/>
    <w:pPr>
      <w:spacing w:beforeLines="50" w:afterLines="50"/>
    </w:pPr>
    <w:rPr>
      <w:rFonts w:ascii="Calibri" w:hAnsi="Calibri"/>
      <w:szCs w:val="20"/>
    </w:rPr>
  </w:style>
  <w:style w:type="paragraph" w:customStyle="1" w:styleId="546">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54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48">
    <w:name w:val="标题 7 字符1"/>
    <w:qFormat/>
    <w:uiPriority w:val="9"/>
    <w:rPr>
      <w:rFonts w:eastAsia="等线"/>
      <w:b/>
      <w:kern w:val="2"/>
      <w:sz w:val="24"/>
      <w:szCs w:val="24"/>
    </w:rPr>
  </w:style>
  <w:style w:type="character" w:customStyle="1" w:styleId="549">
    <w:name w:val="标题 8 字符1"/>
    <w:qFormat/>
    <w:uiPriority w:val="9"/>
    <w:rPr>
      <w:rFonts w:ascii="Arial" w:hAnsi="Arial" w:eastAsia="黑体"/>
      <w:kern w:val="2"/>
      <w:sz w:val="24"/>
      <w:szCs w:val="24"/>
    </w:rPr>
  </w:style>
  <w:style w:type="character" w:customStyle="1" w:styleId="550">
    <w:name w:val="标题 9 字符1"/>
    <w:qFormat/>
    <w:uiPriority w:val="9"/>
    <w:rPr>
      <w:rFonts w:ascii="Arial" w:hAnsi="Arial" w:eastAsia="黑体"/>
      <w:kern w:val="2"/>
      <w:sz w:val="24"/>
      <w:szCs w:val="24"/>
    </w:rPr>
  </w:style>
  <w:style w:type="character" w:customStyle="1" w:styleId="551">
    <w:name w:val="Char Char112"/>
    <w:qFormat/>
    <w:uiPriority w:val="0"/>
    <w:rPr>
      <w:rFonts w:eastAsia="仿宋_GB2312"/>
      <w:kern w:val="2"/>
      <w:sz w:val="21"/>
      <w:szCs w:val="24"/>
      <w:lang w:val="en-US" w:eastAsia="zh-CN" w:bidi="ar-SA"/>
    </w:rPr>
  </w:style>
  <w:style w:type="character" w:customStyle="1" w:styleId="552">
    <w:name w:val="No Spacing Char"/>
    <w:link w:val="553"/>
    <w:qFormat/>
    <w:locked/>
    <w:uiPriority w:val="0"/>
    <w:rPr>
      <w:rFonts w:ascii="Calibri" w:hAnsi="Calibri" w:eastAsia="仿宋_GB2312"/>
      <w:sz w:val="28"/>
      <w:szCs w:val="22"/>
    </w:rPr>
  </w:style>
  <w:style w:type="paragraph" w:customStyle="1" w:styleId="553">
    <w:name w:val="无间隔1"/>
    <w:link w:val="552"/>
    <w:qFormat/>
    <w:uiPriority w:val="0"/>
    <w:pPr>
      <w:widowControl w:val="0"/>
      <w:ind w:firstLine="200" w:firstLineChars="200"/>
      <w:jc w:val="both"/>
    </w:pPr>
    <w:rPr>
      <w:rFonts w:ascii="Calibri" w:hAnsi="Calibri" w:eastAsia="仿宋_GB2312" w:cs="Times New Roman"/>
      <w:sz w:val="28"/>
      <w:szCs w:val="22"/>
      <w:lang w:val="en-US" w:eastAsia="zh-CN" w:bidi="ar-SA"/>
    </w:rPr>
  </w:style>
  <w:style w:type="character" w:customStyle="1" w:styleId="554">
    <w:name w:val="Char Char14"/>
    <w:qFormat/>
    <w:uiPriority w:val="0"/>
    <w:rPr>
      <w:rFonts w:eastAsia="仿宋_GB2312"/>
      <w:kern w:val="2"/>
      <w:sz w:val="21"/>
      <w:szCs w:val="24"/>
      <w:lang w:val="en-US" w:eastAsia="zh-CN" w:bidi="ar-SA"/>
    </w:rPr>
  </w:style>
  <w:style w:type="character" w:customStyle="1" w:styleId="555">
    <w:name w:val="明显强调1"/>
    <w:qFormat/>
    <w:uiPriority w:val="0"/>
    <w:rPr>
      <w:rFonts w:eastAsia="宋体"/>
      <w:b/>
      <w:bCs/>
      <w:iCs/>
      <w:color w:val="auto"/>
      <w:sz w:val="24"/>
    </w:rPr>
  </w:style>
  <w:style w:type="character" w:customStyle="1" w:styleId="556">
    <w:name w:val="样式 宋体 小四 行距: 1.5 倍行距 Char"/>
    <w:link w:val="557"/>
    <w:qFormat/>
    <w:uiPriority w:val="0"/>
    <w:rPr>
      <w:rFonts w:ascii="宋体" w:hAnsi="宋体" w:cs="宋体"/>
      <w:kern w:val="2"/>
      <w:sz w:val="24"/>
    </w:rPr>
  </w:style>
  <w:style w:type="paragraph" w:customStyle="1" w:styleId="557">
    <w:name w:val="样式 宋体 小四 行距: 1.5 倍行距"/>
    <w:basedOn w:val="1"/>
    <w:link w:val="556"/>
    <w:qFormat/>
    <w:uiPriority w:val="0"/>
    <w:pPr>
      <w:spacing w:line="360" w:lineRule="auto"/>
      <w:ind w:firstLine="540" w:firstLineChars="225"/>
    </w:pPr>
    <w:rPr>
      <w:rFonts w:ascii="宋体" w:hAnsi="宋体" w:cs="宋体"/>
      <w:sz w:val="24"/>
      <w:szCs w:val="20"/>
    </w:rPr>
  </w:style>
  <w:style w:type="character" w:customStyle="1" w:styleId="558">
    <w:name w:val="正文1 Char Char"/>
    <w:qFormat/>
    <w:uiPriority w:val="0"/>
    <w:rPr>
      <w:rFonts w:ascii="仿宋_GB2312" w:hAnsi="仿宋_GB2312" w:eastAsia="仿宋_GB2312" w:cs="仿宋_GB2312"/>
      <w:sz w:val="21"/>
      <w:lang w:val="en-US" w:eastAsia="zh-CN" w:bidi="ar-SA"/>
    </w:rPr>
  </w:style>
  <w:style w:type="character" w:customStyle="1" w:styleId="559">
    <w:name w:val="编号正文缩进 Char Char"/>
    <w:link w:val="560"/>
    <w:qFormat/>
    <w:uiPriority w:val="0"/>
    <w:rPr>
      <w:kern w:val="2"/>
      <w:sz w:val="24"/>
      <w:szCs w:val="24"/>
    </w:rPr>
  </w:style>
  <w:style w:type="paragraph" w:customStyle="1" w:styleId="560">
    <w:name w:val="编号正文缩进"/>
    <w:basedOn w:val="11"/>
    <w:link w:val="559"/>
    <w:qFormat/>
    <w:uiPriority w:val="0"/>
    <w:pPr>
      <w:tabs>
        <w:tab w:val="left" w:pos="1497"/>
      </w:tabs>
      <w:adjustRightInd w:val="0"/>
      <w:spacing w:after="0" w:line="400" w:lineRule="atLeast"/>
      <w:ind w:left="567" w:firstLine="510" w:firstLineChars="0"/>
      <w:textAlignment w:val="baseline"/>
    </w:pPr>
    <w:rPr>
      <w:szCs w:val="24"/>
    </w:rPr>
  </w:style>
  <w:style w:type="character" w:customStyle="1" w:styleId="561">
    <w:name w:val="Char Char18"/>
    <w:qFormat/>
    <w:uiPriority w:val="0"/>
    <w:rPr>
      <w:b/>
      <w:bCs/>
      <w:kern w:val="2"/>
      <w:sz w:val="32"/>
      <w:szCs w:val="32"/>
    </w:rPr>
  </w:style>
  <w:style w:type="paragraph" w:customStyle="1" w:styleId="562">
    <w:name w:val="列出段落11"/>
    <w:basedOn w:val="1"/>
    <w:qFormat/>
    <w:uiPriority w:val="34"/>
    <w:pPr>
      <w:ind w:firstLine="420" w:firstLineChars="200"/>
    </w:pPr>
    <w:rPr>
      <w:rFonts w:ascii="Calibri" w:hAnsi="Calibri" w:eastAsia="等线" w:cs="黑体"/>
      <w:szCs w:val="22"/>
    </w:rPr>
  </w:style>
  <w:style w:type="character" w:customStyle="1" w:styleId="563">
    <w:name w:val="Style3"/>
    <w:qFormat/>
    <w:uiPriority w:val="0"/>
    <w:rPr>
      <w:rFonts w:ascii="Century Gothic" w:hAnsi="仿宋_GB2312" w:eastAsia="仿宋_GB2312" w:cs="新宋体"/>
      <w:szCs w:val="22"/>
      <w:lang w:eastAsia="zh-CN"/>
    </w:rPr>
  </w:style>
  <w:style w:type="character" w:customStyle="1" w:styleId="564">
    <w:name w:val="副标题 Char1"/>
    <w:qFormat/>
    <w:uiPriority w:val="11"/>
    <w:rPr>
      <w:rFonts w:ascii="Cambria" w:hAnsi="Cambria" w:cs="Times New Roman"/>
      <w:b/>
      <w:bCs/>
      <w:kern w:val="28"/>
      <w:sz w:val="32"/>
      <w:szCs w:val="32"/>
    </w:rPr>
  </w:style>
  <w:style w:type="character" w:customStyle="1" w:styleId="565">
    <w:name w:val="Style4"/>
    <w:qFormat/>
    <w:uiPriority w:val="0"/>
    <w:rPr>
      <w:rFonts w:ascii="Century Gothic" w:hAnsi="仿宋_GB2312" w:eastAsia="仿宋_GB2312" w:cs="新宋体"/>
      <w:szCs w:val="22"/>
      <w:lang w:eastAsia="zh-CN"/>
    </w:rPr>
  </w:style>
  <w:style w:type="character" w:customStyle="1" w:styleId="566">
    <w:name w:val="页眉注释 Char Char"/>
    <w:link w:val="567"/>
    <w:qFormat/>
    <w:uiPriority w:val="0"/>
    <w:rPr>
      <w:rFonts w:ascii="华文细黑" w:hAnsi="华文细黑" w:eastAsia="华文细黑"/>
      <w:b/>
      <w:color w:val="FFFFFF"/>
      <w:kern w:val="2"/>
      <w:sz w:val="18"/>
      <w:szCs w:val="18"/>
    </w:rPr>
  </w:style>
  <w:style w:type="paragraph" w:customStyle="1" w:styleId="567">
    <w:name w:val="页眉注释"/>
    <w:basedOn w:val="1"/>
    <w:link w:val="566"/>
    <w:qFormat/>
    <w:uiPriority w:val="0"/>
    <w:pPr>
      <w:spacing w:line="0" w:lineRule="atLeast"/>
      <w:jc w:val="center"/>
    </w:pPr>
    <w:rPr>
      <w:rFonts w:ascii="华文细黑" w:hAnsi="华文细黑" w:eastAsia="华文细黑"/>
      <w:b/>
      <w:color w:val="FFFFFF"/>
      <w:sz w:val="18"/>
      <w:szCs w:val="18"/>
    </w:rPr>
  </w:style>
  <w:style w:type="character" w:customStyle="1" w:styleId="568">
    <w:name w:val="heading 4 Char"/>
    <w:qFormat/>
    <w:uiPriority w:val="0"/>
    <w:rPr>
      <w:rFonts w:ascii="Tahoma" w:hAnsi="Tahoma" w:eastAsia="Helvetica" w:cs="新宋体"/>
      <w:sz w:val="21"/>
      <w:szCs w:val="21"/>
    </w:rPr>
  </w:style>
  <w:style w:type="character" w:customStyle="1" w:styleId="569">
    <w:name w:val="Char Char16"/>
    <w:qFormat/>
    <w:uiPriority w:val="0"/>
    <w:rPr>
      <w:b/>
      <w:bCs/>
      <w:kern w:val="2"/>
      <w:sz w:val="28"/>
      <w:szCs w:val="28"/>
    </w:rPr>
  </w:style>
  <w:style w:type="character" w:customStyle="1" w:styleId="570">
    <w:name w:val="Char Char23"/>
    <w:qFormat/>
    <w:uiPriority w:val="0"/>
    <w:rPr>
      <w:rFonts w:eastAsia="仿宋_GB2312"/>
      <w:b/>
      <w:bCs/>
      <w:kern w:val="2"/>
      <w:sz w:val="32"/>
      <w:szCs w:val="32"/>
      <w:lang w:val="en-US" w:eastAsia="zh-CN" w:bidi="ar-SA"/>
    </w:rPr>
  </w:style>
  <w:style w:type="character" w:customStyle="1" w:styleId="571">
    <w:name w:val="apple-converted-space"/>
    <w:qFormat/>
    <w:uiPriority w:val="0"/>
  </w:style>
  <w:style w:type="character" w:customStyle="1" w:styleId="572">
    <w:name w:val="Char Char25"/>
    <w:qFormat/>
    <w:uiPriority w:val="0"/>
    <w:rPr>
      <w:rFonts w:ascii="Arial Unicode MS" w:eastAsia="Arial Unicode MS"/>
      <w:b/>
      <w:bCs/>
      <w:kern w:val="2"/>
      <w:sz w:val="21"/>
      <w:szCs w:val="24"/>
      <w:lang w:val="en-US" w:eastAsia="zh-CN" w:bidi="ar-SA"/>
    </w:rPr>
  </w:style>
  <w:style w:type="character" w:customStyle="1" w:styleId="573">
    <w:name w:val="heading 3 Char1"/>
    <w:qFormat/>
    <w:uiPriority w:val="0"/>
    <w:rPr>
      <w:rFonts w:eastAsia="仿宋_GB2312"/>
      <w:b/>
      <w:bCs/>
      <w:kern w:val="2"/>
      <w:sz w:val="32"/>
      <w:szCs w:val="32"/>
      <w:lang w:val="en-US" w:eastAsia="zh-CN" w:bidi="ar-SA"/>
    </w:rPr>
  </w:style>
  <w:style w:type="character" w:customStyle="1" w:styleId="574">
    <w:name w:val="不明显强调1"/>
    <w:qFormat/>
    <w:uiPriority w:val="0"/>
    <w:rPr>
      <w:i/>
      <w:iCs/>
      <w:color w:val="808080"/>
    </w:rPr>
  </w:style>
  <w:style w:type="character" w:customStyle="1" w:styleId="575">
    <w:name w:val="pt141"/>
    <w:qFormat/>
    <w:uiPriority w:val="0"/>
    <w:rPr>
      <w:color w:val="330066"/>
      <w:spacing w:val="450"/>
      <w:sz w:val="22"/>
      <w:szCs w:val="22"/>
    </w:rPr>
  </w:style>
  <w:style w:type="character" w:customStyle="1" w:styleId="576">
    <w:name w:val="无间隔 字符"/>
    <w:link w:val="577"/>
    <w:qFormat/>
    <w:uiPriority w:val="1"/>
    <w:rPr>
      <w:rFonts w:ascii="Century Gothic" w:hAnsi="Century Gothic" w:eastAsia="Times New Roman"/>
      <w:sz w:val="22"/>
      <w:szCs w:val="22"/>
    </w:rPr>
  </w:style>
  <w:style w:type="paragraph" w:styleId="577">
    <w:name w:val="No Spacing"/>
    <w:link w:val="576"/>
    <w:qFormat/>
    <w:uiPriority w:val="1"/>
    <w:rPr>
      <w:rFonts w:ascii="Century Gothic" w:hAnsi="Century Gothic" w:eastAsia="Times New Roman" w:cs="Times New Roman"/>
      <w:sz w:val="22"/>
      <w:szCs w:val="22"/>
      <w:lang w:val="en-US" w:eastAsia="zh-CN" w:bidi="ar-SA"/>
    </w:rPr>
  </w:style>
  <w:style w:type="character" w:customStyle="1" w:styleId="578">
    <w:name w:val="明显参考1"/>
    <w:qFormat/>
    <w:uiPriority w:val="0"/>
    <w:rPr>
      <w:b/>
      <w:bCs/>
      <w:smallCaps/>
      <w:color w:val="C0504D"/>
      <w:spacing w:val="5"/>
      <w:u w:val="single"/>
    </w:rPr>
  </w:style>
  <w:style w:type="character" w:customStyle="1" w:styleId="579">
    <w:name w:val="正文文本缩进 3 字符1"/>
    <w:qFormat/>
    <w:uiPriority w:val="0"/>
    <w:rPr>
      <w:kern w:val="2"/>
      <w:sz w:val="24"/>
      <w:szCs w:val="24"/>
    </w:rPr>
  </w:style>
  <w:style w:type="character" w:customStyle="1" w:styleId="580">
    <w:name w:val="文档结构图 字符1"/>
    <w:qFormat/>
    <w:uiPriority w:val="0"/>
    <w:rPr>
      <w:kern w:val="2"/>
      <w:sz w:val="21"/>
      <w:szCs w:val="24"/>
      <w:shd w:val="clear" w:color="auto" w:fill="000080"/>
    </w:rPr>
  </w:style>
  <w:style w:type="character" w:customStyle="1" w:styleId="581">
    <w:name w:val="1233 Char"/>
    <w:link w:val="582"/>
    <w:qFormat/>
    <w:uiPriority w:val="0"/>
    <w:rPr>
      <w:rFonts w:ascii="仿宋" w:hAnsi="仿宋" w:eastAsia="仿宋"/>
      <w:b/>
      <w:bCs/>
      <w:kern w:val="44"/>
      <w:sz w:val="24"/>
      <w:szCs w:val="24"/>
    </w:rPr>
  </w:style>
  <w:style w:type="paragraph" w:customStyle="1" w:styleId="582">
    <w:name w:val="1233"/>
    <w:basedOn w:val="5"/>
    <w:link w:val="581"/>
    <w:qFormat/>
    <w:uiPriority w:val="0"/>
    <w:pPr>
      <w:keepLines/>
      <w:spacing w:line="360" w:lineRule="auto"/>
      <w:ind w:firstLine="200" w:firstLineChars="200"/>
      <w:jc w:val="both"/>
    </w:pPr>
    <w:rPr>
      <w:rFonts w:ascii="仿宋" w:hAnsi="仿宋" w:eastAsia="仿宋"/>
      <w:b/>
      <w:bCs/>
      <w:kern w:val="44"/>
      <w:sz w:val="24"/>
    </w:rPr>
  </w:style>
  <w:style w:type="character" w:customStyle="1" w:styleId="583">
    <w:name w:val="heading 2 Char"/>
    <w:qFormat/>
    <w:uiPriority w:val="0"/>
    <w:rPr>
      <w:rFonts w:ascii="Tahoma" w:hAnsi="Tahoma" w:eastAsia="Helvetica" w:cs="新宋体"/>
      <w:sz w:val="30"/>
      <w:szCs w:val="24"/>
    </w:rPr>
  </w:style>
  <w:style w:type="character" w:customStyle="1" w:styleId="584">
    <w:name w:val="Intense Emphasis1"/>
    <w:qFormat/>
    <w:uiPriority w:val="0"/>
    <w:rPr>
      <w:b/>
      <w:bCs/>
      <w:i/>
      <w:iCs/>
      <w:color w:val="4F81BD"/>
    </w:rPr>
  </w:style>
  <w:style w:type="character" w:customStyle="1" w:styleId="585">
    <w:name w:val="emailstyle16"/>
    <w:qFormat/>
    <w:uiPriority w:val="0"/>
    <w:rPr>
      <w:rFonts w:ascii="Arial" w:hAnsi="Arial" w:eastAsia="宋体" w:cs="Arial"/>
      <w:color w:val="auto"/>
      <w:kern w:val="2"/>
      <w:sz w:val="20"/>
      <w:szCs w:val="24"/>
      <w:lang w:val="en-US" w:eastAsia="zh-CN" w:bidi="ar-SA"/>
    </w:rPr>
  </w:style>
  <w:style w:type="character" w:customStyle="1" w:styleId="586">
    <w:name w:val="正文靠右 Char Char"/>
    <w:link w:val="587"/>
    <w:qFormat/>
    <w:uiPriority w:val="0"/>
    <w:rPr>
      <w:kern w:val="2"/>
      <w:sz w:val="21"/>
      <w:szCs w:val="24"/>
    </w:rPr>
  </w:style>
  <w:style w:type="paragraph" w:customStyle="1" w:styleId="587">
    <w:name w:val="正文靠右"/>
    <w:basedOn w:val="1"/>
    <w:link w:val="586"/>
    <w:qFormat/>
    <w:uiPriority w:val="0"/>
    <w:pPr>
      <w:jc w:val="right"/>
    </w:pPr>
  </w:style>
  <w:style w:type="character" w:customStyle="1" w:styleId="588">
    <w:name w:val="Char Char111"/>
    <w:qFormat/>
    <w:uiPriority w:val="0"/>
    <w:rPr>
      <w:rFonts w:ascii="新宋体" w:hAnsi="新宋体" w:eastAsia="仿宋_GB2312" w:cs="新宋体"/>
      <w:sz w:val="18"/>
      <w:szCs w:val="18"/>
    </w:rPr>
  </w:style>
  <w:style w:type="character" w:customStyle="1" w:styleId="589">
    <w:name w:val="HTML 预设格式 Char1"/>
    <w:qFormat/>
    <w:uiPriority w:val="0"/>
    <w:rPr>
      <w:rFonts w:ascii="宋体" w:hAnsi="宋体" w:cs="宋体"/>
      <w:sz w:val="24"/>
      <w:szCs w:val="24"/>
    </w:rPr>
  </w:style>
  <w:style w:type="character" w:customStyle="1" w:styleId="590">
    <w:name w:val="Style1"/>
    <w:qFormat/>
    <w:uiPriority w:val="0"/>
    <w:rPr>
      <w:rFonts w:ascii="Century Gothic" w:hAnsi="仿宋_GB2312" w:eastAsia="仿宋_GB2312" w:cs="新宋体"/>
      <w:sz w:val="22"/>
      <w:szCs w:val="22"/>
      <w:lang w:eastAsia="zh-CN"/>
    </w:rPr>
  </w:style>
  <w:style w:type="character" w:customStyle="1" w:styleId="591">
    <w:name w:val="BZ_封面_名称 Char"/>
    <w:link w:val="592"/>
    <w:qFormat/>
    <w:uiPriority w:val="0"/>
    <w:rPr>
      <w:rFonts w:eastAsia="黑体"/>
      <w:kern w:val="2"/>
      <w:sz w:val="44"/>
      <w:szCs w:val="44"/>
    </w:rPr>
  </w:style>
  <w:style w:type="paragraph" w:customStyle="1" w:styleId="592">
    <w:name w:val="BZ_封面_名称"/>
    <w:basedOn w:val="1"/>
    <w:link w:val="591"/>
    <w:qFormat/>
    <w:uiPriority w:val="0"/>
    <w:pPr>
      <w:widowControl/>
      <w:jc w:val="center"/>
    </w:pPr>
    <w:rPr>
      <w:rFonts w:eastAsia="黑体"/>
      <w:sz w:val="44"/>
      <w:szCs w:val="44"/>
    </w:rPr>
  </w:style>
  <w:style w:type="character" w:customStyle="1" w:styleId="593">
    <w:name w:val="个人答复风格"/>
    <w:qFormat/>
    <w:uiPriority w:val="0"/>
    <w:rPr>
      <w:rFonts w:ascii="Arial" w:hAnsi="Arial" w:eastAsia="宋体" w:cs="Arial"/>
      <w:color w:val="auto"/>
      <w:kern w:val="2"/>
      <w:sz w:val="20"/>
      <w:szCs w:val="24"/>
      <w:lang w:val="en-US" w:eastAsia="zh-CN" w:bidi="ar-SA"/>
    </w:rPr>
  </w:style>
  <w:style w:type="character" w:customStyle="1" w:styleId="594">
    <w:name w:val="kpk:3级 Char"/>
    <w:link w:val="595"/>
    <w:qFormat/>
    <w:uiPriority w:val="0"/>
    <w:rPr>
      <w:rFonts w:ascii="黑体" w:eastAsia="黑体"/>
      <w:b/>
      <w:bCs/>
      <w:kern w:val="2"/>
      <w:sz w:val="24"/>
      <w:szCs w:val="24"/>
    </w:rPr>
  </w:style>
  <w:style w:type="paragraph" w:customStyle="1" w:styleId="595">
    <w:name w:val="kpk:3级"/>
    <w:basedOn w:val="7"/>
    <w:link w:val="594"/>
    <w:qFormat/>
    <w:uiPriority w:val="0"/>
    <w:pPr>
      <w:tabs>
        <w:tab w:val="left" w:pos="420"/>
      </w:tabs>
      <w:spacing w:before="0" w:after="0" w:line="360" w:lineRule="auto"/>
      <w:ind w:left="420" w:hanging="420"/>
    </w:pPr>
    <w:rPr>
      <w:rFonts w:ascii="黑体" w:eastAsia="黑体"/>
      <w:sz w:val="24"/>
      <w:szCs w:val="24"/>
    </w:rPr>
  </w:style>
  <w:style w:type="character" w:customStyle="1" w:styleId="596">
    <w:name w:val="Char Char19"/>
    <w:qFormat/>
    <w:uiPriority w:val="0"/>
    <w:rPr>
      <w:rFonts w:ascii="Tahoma" w:hAnsi="Tahoma" w:eastAsia="Helvetica"/>
      <w:sz w:val="21"/>
      <w:szCs w:val="21"/>
      <w:lang w:val="en-US" w:eastAsia="zh-CN" w:bidi="ar-SA"/>
    </w:rPr>
  </w:style>
  <w:style w:type="character" w:customStyle="1" w:styleId="597">
    <w:name w:val="Table Text Char Char"/>
    <w:qFormat/>
    <w:uiPriority w:val="0"/>
    <w:rPr>
      <w:rFonts w:eastAsia="仿宋_GB2312"/>
      <w:sz w:val="24"/>
      <w:lang w:bidi="ar-SA"/>
    </w:rPr>
  </w:style>
  <w:style w:type="character" w:customStyle="1" w:styleId="598">
    <w:name w:val="heading 4 Char1"/>
    <w:qFormat/>
    <w:uiPriority w:val="0"/>
    <w:rPr>
      <w:rFonts w:ascii="Verdana" w:hAnsi="Verdana" w:eastAsia="仿宋_GB2312"/>
      <w:b/>
      <w:bCs/>
      <w:kern w:val="2"/>
      <w:sz w:val="28"/>
      <w:szCs w:val="28"/>
      <w:lang w:val="en-US" w:eastAsia="zh-CN" w:bidi="ar-SA"/>
    </w:rPr>
  </w:style>
  <w:style w:type="character" w:customStyle="1" w:styleId="599">
    <w:name w:val="a61"/>
    <w:qFormat/>
    <w:uiPriority w:val="0"/>
    <w:rPr>
      <w:rFonts w:hint="eastAsia" w:ascii="宋体" w:hAnsi="宋体" w:eastAsia="宋体"/>
      <w:kern w:val="2"/>
      <w:sz w:val="23"/>
      <w:szCs w:val="23"/>
      <w:lang w:val="en-US" w:eastAsia="zh-CN" w:bidi="ar-SA"/>
    </w:rPr>
  </w:style>
  <w:style w:type="character" w:customStyle="1" w:styleId="600">
    <w:name w:val="kpk:4级 Char1"/>
    <w:link w:val="601"/>
    <w:qFormat/>
    <w:locked/>
    <w:uiPriority w:val="0"/>
    <w:rPr>
      <w:rFonts w:ascii="Arial" w:hAnsi="Arial" w:eastAsia="黑体"/>
      <w:bCs/>
      <w:sz w:val="24"/>
      <w:szCs w:val="28"/>
    </w:rPr>
  </w:style>
  <w:style w:type="paragraph" w:customStyle="1" w:styleId="601">
    <w:name w:val="kpk:4级"/>
    <w:basedOn w:val="8"/>
    <w:link w:val="600"/>
    <w:qFormat/>
    <w:uiPriority w:val="0"/>
    <w:pPr>
      <w:tabs>
        <w:tab w:val="left" w:pos="-142"/>
        <w:tab w:val="left" w:pos="0"/>
        <w:tab w:val="left" w:pos="284"/>
        <w:tab w:val="left" w:pos="780"/>
      </w:tabs>
      <w:spacing w:before="0" w:after="0" w:line="360" w:lineRule="auto"/>
      <w:ind w:left="780" w:leftChars="200" w:hanging="360"/>
    </w:pPr>
    <w:rPr>
      <w:b w:val="0"/>
      <w:kern w:val="0"/>
      <w:sz w:val="24"/>
    </w:rPr>
  </w:style>
  <w:style w:type="character" w:customStyle="1" w:styleId="602">
    <w:name w:val="heading 3 Char"/>
    <w:qFormat/>
    <w:uiPriority w:val="0"/>
    <w:rPr>
      <w:rFonts w:ascii="Tahoma" w:hAnsi="Tahoma" w:eastAsia="Helvetica"/>
      <w:sz w:val="28"/>
      <w:szCs w:val="24"/>
    </w:rPr>
  </w:style>
  <w:style w:type="character" w:customStyle="1" w:styleId="603">
    <w:name w:val="heading 4 Char2"/>
    <w:qFormat/>
    <w:uiPriority w:val="0"/>
    <w:rPr>
      <w:rFonts w:ascii="Verdana" w:hAnsi="Verdana"/>
      <w:b/>
      <w:bCs/>
      <w:kern w:val="2"/>
      <w:sz w:val="28"/>
      <w:szCs w:val="28"/>
    </w:rPr>
  </w:style>
  <w:style w:type="character" w:customStyle="1" w:styleId="604">
    <w:name w:val="样式 标题 3 + 黑体 小四 Char Char"/>
    <w:qFormat/>
    <w:uiPriority w:val="0"/>
    <w:rPr>
      <w:rFonts w:ascii="Helvetica" w:hAnsi="Tahoma" w:eastAsia="Helvetica"/>
      <w:bCs/>
      <w:sz w:val="24"/>
      <w:szCs w:val="24"/>
      <w:lang w:bidi="ar-SA"/>
    </w:rPr>
  </w:style>
  <w:style w:type="character" w:customStyle="1" w:styleId="605">
    <w:name w:val="四级标题 Char"/>
    <w:link w:val="606"/>
    <w:qFormat/>
    <w:uiPriority w:val="0"/>
    <w:rPr>
      <w:rFonts w:eastAsia="黑体"/>
      <w:b/>
      <w:kern w:val="2"/>
      <w:sz w:val="28"/>
      <w:szCs w:val="22"/>
    </w:rPr>
  </w:style>
  <w:style w:type="paragraph" w:customStyle="1" w:styleId="606">
    <w:name w:val="四级标题"/>
    <w:basedOn w:val="1"/>
    <w:link w:val="605"/>
    <w:qFormat/>
    <w:uiPriority w:val="0"/>
    <w:pPr>
      <w:tabs>
        <w:tab w:val="left" w:pos="420"/>
      </w:tabs>
      <w:spacing w:line="360" w:lineRule="auto"/>
      <w:ind w:left="420" w:firstLine="200" w:firstLineChars="200"/>
      <w:outlineLvl w:val="3"/>
    </w:pPr>
    <w:rPr>
      <w:rFonts w:eastAsia="黑体"/>
      <w:b/>
      <w:sz w:val="28"/>
      <w:szCs w:val="22"/>
    </w:rPr>
  </w:style>
  <w:style w:type="character" w:customStyle="1" w:styleId="607">
    <w:name w:val="heading 5 Char2"/>
    <w:qFormat/>
    <w:uiPriority w:val="0"/>
    <w:rPr>
      <w:b/>
      <w:bCs/>
      <w:kern w:val="2"/>
      <w:sz w:val="28"/>
      <w:szCs w:val="28"/>
    </w:rPr>
  </w:style>
  <w:style w:type="character" w:customStyle="1" w:styleId="608">
    <w:name w:val="书籍标题1"/>
    <w:qFormat/>
    <w:uiPriority w:val="0"/>
    <w:rPr>
      <w:b/>
      <w:bCs/>
      <w:smallCaps/>
      <w:spacing w:val="5"/>
    </w:rPr>
  </w:style>
  <w:style w:type="character" w:customStyle="1" w:styleId="609">
    <w:name w:val="Ò³Ã¼ Char Char2"/>
    <w:qFormat/>
    <w:uiPriority w:val="0"/>
    <w:rPr>
      <w:kern w:val="2"/>
      <w:sz w:val="18"/>
      <w:szCs w:val="18"/>
    </w:rPr>
  </w:style>
  <w:style w:type="character" w:customStyle="1" w:styleId="610">
    <w:name w:val="不明显参考1"/>
    <w:qFormat/>
    <w:uiPriority w:val="0"/>
    <w:rPr>
      <w:smallCaps/>
      <w:color w:val="C0504D"/>
      <w:u w:val="single"/>
    </w:rPr>
  </w:style>
  <w:style w:type="character" w:customStyle="1" w:styleId="611">
    <w:name w:val="A3 Char Char"/>
    <w:qFormat/>
    <w:uiPriority w:val="0"/>
    <w:rPr>
      <w:rFonts w:eastAsia="宋体"/>
      <w:b/>
      <w:bCs/>
      <w:sz w:val="32"/>
      <w:szCs w:val="32"/>
      <w:lang w:bidi="ar-SA"/>
    </w:rPr>
  </w:style>
  <w:style w:type="character" w:customStyle="1" w:styleId="612">
    <w:name w:val="Footer-Even Char"/>
    <w:qFormat/>
    <w:uiPriority w:val="0"/>
    <w:rPr>
      <w:sz w:val="18"/>
      <w:szCs w:val="18"/>
    </w:rPr>
  </w:style>
  <w:style w:type="character" w:customStyle="1" w:styleId="613">
    <w:name w:val="content_title1"/>
    <w:qFormat/>
    <w:uiPriority w:val="0"/>
    <w:rPr>
      <w:rFonts w:eastAsia="宋体"/>
      <w:color w:val="9A1601"/>
      <w:kern w:val="2"/>
      <w:sz w:val="21"/>
      <w:szCs w:val="21"/>
      <w:lang w:val="en-US" w:eastAsia="zh-CN" w:bidi="ar-SA"/>
    </w:rPr>
  </w:style>
  <w:style w:type="character" w:customStyle="1" w:styleId="614">
    <w:name w:val="Char Char62"/>
    <w:qFormat/>
    <w:uiPriority w:val="0"/>
    <w:rPr>
      <w:rFonts w:ascii="新宋体" w:hAnsi="新宋体" w:eastAsia="仿宋_GB2312" w:cs="新宋体"/>
      <w:szCs w:val="24"/>
    </w:rPr>
  </w:style>
  <w:style w:type="character" w:customStyle="1" w:styleId="615">
    <w:name w:val="smalltxt1"/>
    <w:qFormat/>
    <w:uiPriority w:val="0"/>
    <w:rPr>
      <w:rFonts w:hint="default" w:ascii="宋体,Verdana,Arial" w:hAnsi="宋体,Verdana,Arial"/>
      <w:sz w:val="24"/>
      <w:szCs w:val="24"/>
    </w:rPr>
  </w:style>
  <w:style w:type="character" w:customStyle="1" w:styleId="616">
    <w:name w:val="正文居中 Char Char"/>
    <w:link w:val="617"/>
    <w:qFormat/>
    <w:uiPriority w:val="0"/>
    <w:rPr>
      <w:kern w:val="2"/>
      <w:sz w:val="21"/>
      <w:szCs w:val="24"/>
    </w:rPr>
  </w:style>
  <w:style w:type="paragraph" w:customStyle="1" w:styleId="617">
    <w:name w:val="正文居中"/>
    <w:basedOn w:val="1"/>
    <w:link w:val="616"/>
    <w:qFormat/>
    <w:uiPriority w:val="0"/>
    <w:pPr>
      <w:jc w:val="center"/>
    </w:pPr>
  </w:style>
  <w:style w:type="character" w:customStyle="1" w:styleId="618">
    <w:name w:val="样式2 Char Char"/>
    <w:qFormat/>
    <w:uiPriority w:val="0"/>
    <w:rPr>
      <w:rFonts w:ascii="仿宋_GB2312" w:hAnsi="仿宋_GB2312" w:eastAsia="仿宋_GB2312"/>
      <w:bCs/>
      <w:kern w:val="2"/>
      <w:sz w:val="28"/>
      <w:szCs w:val="28"/>
      <w:lang w:val="en-US" w:eastAsia="zh-CN" w:bidi="ar-SA"/>
    </w:rPr>
  </w:style>
  <w:style w:type="character" w:customStyle="1" w:styleId="619">
    <w:name w:val="heading 6 Char1"/>
    <w:qFormat/>
    <w:uiPriority w:val="0"/>
    <w:rPr>
      <w:rFonts w:ascii="Tahoma" w:hAnsi="Tahoma" w:eastAsia="Helvetica"/>
      <w:kern w:val="2"/>
      <w:sz w:val="24"/>
      <w:szCs w:val="24"/>
      <w:lang w:val="en-US" w:eastAsia="zh-CN" w:bidi="ar-SA"/>
    </w:rPr>
  </w:style>
  <w:style w:type="character" w:customStyle="1" w:styleId="620">
    <w:name w:val="t11"/>
    <w:qFormat/>
    <w:uiPriority w:val="0"/>
    <w:rPr>
      <w:rFonts w:eastAsia="宋体"/>
      <w:color w:val="333333"/>
      <w:kern w:val="2"/>
      <w:sz w:val="18"/>
      <w:szCs w:val="18"/>
      <w:lang w:val="en-US" w:eastAsia="zh-CN" w:bidi="ar-SA"/>
    </w:rPr>
  </w:style>
  <w:style w:type="character" w:customStyle="1" w:styleId="621">
    <w:name w:val="正文文本 Char Char"/>
    <w:qFormat/>
    <w:uiPriority w:val="0"/>
    <w:rPr>
      <w:rFonts w:ascii="Times New Roman" w:hAnsi="Times New Roman"/>
      <w:kern w:val="2"/>
      <w:sz w:val="21"/>
      <w:szCs w:val="24"/>
    </w:rPr>
  </w:style>
  <w:style w:type="character" w:customStyle="1" w:styleId="622">
    <w:name w:val="引用 Char"/>
    <w:qFormat/>
    <w:uiPriority w:val="0"/>
    <w:rPr>
      <w:rFonts w:ascii="Century Gothic" w:hAnsi="Century Gothic" w:eastAsia="仿宋_GB2312"/>
      <w:i/>
      <w:iCs/>
      <w:color w:val="000000"/>
    </w:rPr>
  </w:style>
  <w:style w:type="paragraph" w:styleId="623">
    <w:name w:val="Quote"/>
    <w:basedOn w:val="1"/>
    <w:next w:val="1"/>
    <w:link w:val="624"/>
    <w:qFormat/>
    <w:uiPriority w:val="0"/>
    <w:rPr>
      <w:rFonts w:ascii="Century Gothic" w:hAnsi="Century Gothic" w:eastAsia="仿宋_GB2312"/>
      <w:i/>
      <w:iCs/>
      <w:color w:val="000000"/>
      <w:kern w:val="0"/>
      <w:sz w:val="20"/>
      <w:szCs w:val="20"/>
    </w:rPr>
  </w:style>
  <w:style w:type="character" w:customStyle="1" w:styleId="624">
    <w:name w:val="引用 字符"/>
    <w:link w:val="623"/>
    <w:qFormat/>
    <w:uiPriority w:val="0"/>
    <w:rPr>
      <w:rFonts w:ascii="Century Gothic" w:hAnsi="Century Gothic" w:eastAsia="仿宋_GB2312"/>
      <w:i/>
      <w:iCs/>
      <w:color w:val="000000"/>
    </w:rPr>
  </w:style>
  <w:style w:type="character" w:customStyle="1" w:styleId="625">
    <w:name w:val="Plain Text Char"/>
    <w:qFormat/>
    <w:uiPriority w:val="0"/>
    <w:rPr>
      <w:rFonts w:ascii="仿宋_GB2312" w:hAnsi="Wingdings" w:eastAsia="仿宋_GB2312" w:cs="新宋体"/>
      <w:sz w:val="21"/>
      <w:szCs w:val="21"/>
    </w:rPr>
  </w:style>
  <w:style w:type="character" w:customStyle="1" w:styleId="626">
    <w:name w:val="A4 Char Char"/>
    <w:qFormat/>
    <w:uiPriority w:val="0"/>
    <w:rPr>
      <w:rFonts w:ascii="Cambria" w:hAnsi="Cambria" w:eastAsia="宋体"/>
      <w:b/>
      <w:bCs/>
      <w:sz w:val="28"/>
      <w:szCs w:val="28"/>
    </w:rPr>
  </w:style>
  <w:style w:type="character" w:customStyle="1" w:styleId="627">
    <w:name w:val="正文4 Char"/>
    <w:qFormat/>
    <w:uiPriority w:val="0"/>
    <w:rPr>
      <w:rFonts w:ascii="新宋体" w:hAnsi="新宋体" w:eastAsia="宋体" w:cs="新宋体"/>
      <w:kern w:val="2"/>
      <w:sz w:val="24"/>
      <w:szCs w:val="24"/>
      <w:lang w:val="en-US" w:eastAsia="zh-CN" w:bidi="ar-SA"/>
    </w:rPr>
  </w:style>
  <w:style w:type="character" w:customStyle="1" w:styleId="628">
    <w:name w:val="heading 5 Char1"/>
    <w:qFormat/>
    <w:uiPriority w:val="0"/>
    <w:rPr>
      <w:rFonts w:eastAsia="仿宋_GB2312"/>
      <w:b/>
      <w:bCs/>
      <w:kern w:val="2"/>
      <w:sz w:val="28"/>
      <w:szCs w:val="28"/>
      <w:lang w:val="en-US" w:eastAsia="zh-CN" w:bidi="ar-SA"/>
    </w:rPr>
  </w:style>
  <w:style w:type="character" w:customStyle="1" w:styleId="629">
    <w:name w:val="Char Char22"/>
    <w:qFormat/>
    <w:uiPriority w:val="0"/>
    <w:rPr>
      <w:rFonts w:ascii="Tahoma" w:hAnsi="Tahoma" w:eastAsia="Helvetica"/>
      <w:b/>
      <w:bCs/>
      <w:kern w:val="44"/>
      <w:sz w:val="30"/>
      <w:szCs w:val="44"/>
      <w:lang w:val="en-US" w:eastAsia="zh-CN" w:bidi="ar-SA"/>
    </w:rPr>
  </w:style>
  <w:style w:type="character" w:customStyle="1" w:styleId="630">
    <w:name w:val="表格 Char Char"/>
    <w:link w:val="631"/>
    <w:qFormat/>
    <w:uiPriority w:val="0"/>
    <w:rPr>
      <w:rFonts w:ascii="仿宋_GB2312" w:hAnsi="仿宋_GB2312" w:eastAsia="仿宋_GB2312"/>
    </w:rPr>
  </w:style>
  <w:style w:type="paragraph" w:customStyle="1" w:styleId="631">
    <w:name w:val="表格"/>
    <w:basedOn w:val="1"/>
    <w:link w:val="630"/>
    <w:qFormat/>
    <w:uiPriority w:val="0"/>
    <w:pPr>
      <w:autoSpaceDE w:val="0"/>
      <w:autoSpaceDN w:val="0"/>
      <w:adjustRightInd w:val="0"/>
      <w:snapToGrid w:val="0"/>
      <w:ind w:firstLine="42" w:firstLineChars="21"/>
      <w:jc w:val="left"/>
    </w:pPr>
    <w:rPr>
      <w:rFonts w:ascii="仿宋_GB2312" w:hAnsi="仿宋_GB2312" w:eastAsia="仿宋_GB2312"/>
      <w:kern w:val="0"/>
      <w:sz w:val="20"/>
      <w:szCs w:val="20"/>
    </w:rPr>
  </w:style>
  <w:style w:type="character" w:customStyle="1" w:styleId="632">
    <w:name w:val="一级标题 Char"/>
    <w:link w:val="633"/>
    <w:qFormat/>
    <w:uiPriority w:val="0"/>
    <w:rPr>
      <w:rFonts w:ascii="黑体" w:eastAsia="华文中宋"/>
      <w:b/>
      <w:kern w:val="44"/>
      <w:sz w:val="36"/>
      <w:szCs w:val="44"/>
    </w:rPr>
  </w:style>
  <w:style w:type="paragraph" w:customStyle="1" w:styleId="633">
    <w:name w:val="一级标题"/>
    <w:basedOn w:val="5"/>
    <w:link w:val="632"/>
    <w:qFormat/>
    <w:uiPriority w:val="0"/>
    <w:pPr>
      <w:keepLines/>
      <w:pageBreakBefore/>
      <w:spacing w:line="578" w:lineRule="auto"/>
      <w:ind w:left="432" w:hanging="432"/>
    </w:pPr>
    <w:rPr>
      <w:rFonts w:ascii="黑体" w:eastAsia="华文中宋"/>
      <w:b/>
      <w:kern w:val="44"/>
      <w:sz w:val="36"/>
      <w:szCs w:val="44"/>
    </w:rPr>
  </w:style>
  <w:style w:type="character" w:customStyle="1" w:styleId="634">
    <w:name w:val="批注框文本 字符1"/>
    <w:qFormat/>
    <w:uiPriority w:val="0"/>
    <w:rPr>
      <w:kern w:val="2"/>
      <w:sz w:val="18"/>
      <w:szCs w:val="18"/>
    </w:rPr>
  </w:style>
  <w:style w:type="character" w:customStyle="1" w:styleId="635">
    <w:name w:val="正文（小四+1.25倍行距） Char"/>
    <w:link w:val="636"/>
    <w:qFormat/>
    <w:uiPriority w:val="0"/>
    <w:rPr>
      <w:sz w:val="24"/>
      <w:szCs w:val="24"/>
    </w:rPr>
  </w:style>
  <w:style w:type="paragraph" w:customStyle="1" w:styleId="636">
    <w:name w:val="正文（小四+1.25倍行距）"/>
    <w:basedOn w:val="1"/>
    <w:link w:val="635"/>
    <w:qFormat/>
    <w:uiPriority w:val="0"/>
    <w:pPr>
      <w:spacing w:afterLines="50" w:line="300" w:lineRule="auto"/>
      <w:ind w:firstLine="420"/>
    </w:pPr>
    <w:rPr>
      <w:kern w:val="0"/>
      <w:sz w:val="24"/>
    </w:rPr>
  </w:style>
  <w:style w:type="character" w:customStyle="1" w:styleId="637">
    <w:name w:val="Ò³Ã¼ Char Char1"/>
    <w:qFormat/>
    <w:uiPriority w:val="0"/>
    <w:rPr>
      <w:rFonts w:eastAsia="仿宋_GB2312"/>
      <w:kern w:val="2"/>
      <w:sz w:val="18"/>
      <w:szCs w:val="18"/>
      <w:lang w:val="en-US" w:eastAsia="zh-CN" w:bidi="ar-SA"/>
    </w:rPr>
  </w:style>
  <w:style w:type="character" w:customStyle="1" w:styleId="638">
    <w:name w:val="正文首行缩进 字符"/>
    <w:qFormat/>
    <w:uiPriority w:val="0"/>
  </w:style>
  <w:style w:type="character" w:customStyle="1" w:styleId="639">
    <w:name w:val="信息标题 Char"/>
    <w:qFormat/>
    <w:uiPriority w:val="0"/>
    <w:rPr>
      <w:rFonts w:eastAsia="仿宋_GB2312"/>
      <w:kern w:val="2"/>
      <w:sz w:val="21"/>
      <w:szCs w:val="24"/>
      <w:shd w:val="pct20" w:color="auto" w:fill="auto"/>
    </w:rPr>
  </w:style>
  <w:style w:type="character" w:customStyle="1" w:styleId="640">
    <w:name w:val="A4 Char"/>
    <w:link w:val="641"/>
    <w:qFormat/>
    <w:uiPriority w:val="0"/>
    <w:rPr>
      <w:rFonts w:ascii="Cambria" w:hAnsi="Cambria" w:cs="新宋体"/>
      <w:b/>
      <w:bCs/>
      <w:sz w:val="28"/>
      <w:szCs w:val="28"/>
    </w:rPr>
  </w:style>
  <w:style w:type="paragraph" w:customStyle="1" w:styleId="641">
    <w:name w:val="A4"/>
    <w:basedOn w:val="8"/>
    <w:link w:val="640"/>
    <w:qFormat/>
    <w:uiPriority w:val="0"/>
    <w:pPr>
      <w:spacing w:line="377" w:lineRule="auto"/>
      <w:jc w:val="left"/>
    </w:pPr>
    <w:rPr>
      <w:rFonts w:ascii="Cambria" w:hAnsi="Cambria" w:eastAsia="宋体" w:cs="新宋体"/>
      <w:kern w:val="0"/>
    </w:rPr>
  </w:style>
  <w:style w:type="character" w:customStyle="1" w:styleId="642">
    <w:name w:val="Char Char61"/>
    <w:qFormat/>
    <w:uiPriority w:val="0"/>
    <w:rPr>
      <w:rFonts w:ascii="新宋体" w:hAnsi="新宋体" w:eastAsia="仿宋_GB2312" w:cs="新宋体"/>
      <w:szCs w:val="24"/>
    </w:rPr>
  </w:style>
  <w:style w:type="character" w:customStyle="1" w:styleId="643">
    <w:name w:val="符号正文缩进 Char Char"/>
    <w:link w:val="644"/>
    <w:qFormat/>
    <w:uiPriority w:val="0"/>
    <w:rPr>
      <w:kern w:val="2"/>
      <w:sz w:val="24"/>
      <w:szCs w:val="24"/>
    </w:rPr>
  </w:style>
  <w:style w:type="paragraph" w:customStyle="1" w:styleId="644">
    <w:name w:val="符号正文缩进"/>
    <w:basedOn w:val="11"/>
    <w:link w:val="643"/>
    <w:qFormat/>
    <w:uiPriority w:val="0"/>
    <w:pPr>
      <w:tabs>
        <w:tab w:val="left" w:pos="1497"/>
      </w:tabs>
      <w:adjustRightInd w:val="0"/>
      <w:spacing w:after="0" w:line="400" w:lineRule="atLeast"/>
      <w:ind w:left="567" w:firstLine="510" w:firstLineChars="0"/>
      <w:textAlignment w:val="baseline"/>
    </w:pPr>
    <w:rPr>
      <w:szCs w:val="24"/>
    </w:rPr>
  </w:style>
  <w:style w:type="character" w:customStyle="1" w:styleId="645">
    <w:name w:val="Char Char11"/>
    <w:qFormat/>
    <w:uiPriority w:val="0"/>
    <w:rPr>
      <w:rFonts w:ascii="新宋体" w:hAnsi="新宋体" w:eastAsia="仿宋_GB2312" w:cs="新宋体"/>
      <w:sz w:val="18"/>
      <w:szCs w:val="18"/>
    </w:rPr>
  </w:style>
  <w:style w:type="character" w:customStyle="1" w:styleId="646">
    <w:name w:val="heading 1 Char2"/>
    <w:qFormat/>
    <w:uiPriority w:val="0"/>
    <w:rPr>
      <w:b/>
      <w:bCs/>
      <w:kern w:val="44"/>
      <w:sz w:val="44"/>
      <w:szCs w:val="44"/>
    </w:rPr>
  </w:style>
  <w:style w:type="character" w:customStyle="1" w:styleId="647">
    <w:name w:val="Char Char13"/>
    <w:qFormat/>
    <w:uiPriority w:val="0"/>
    <w:rPr>
      <w:rFonts w:ascii="Times New Roman" w:hAnsi="Times New Roman" w:eastAsia="宋体" w:cs="Times New Roman"/>
      <w:b/>
      <w:bCs/>
      <w:color w:val="auto"/>
      <w:kern w:val="2"/>
      <w:szCs w:val="20"/>
    </w:rPr>
  </w:style>
  <w:style w:type="character" w:customStyle="1" w:styleId="648">
    <w:name w:val="heading 7 Char1"/>
    <w:qFormat/>
    <w:uiPriority w:val="0"/>
    <w:rPr>
      <w:rFonts w:ascii="Tahoma" w:hAnsi="Tahoma" w:eastAsia="Helvetica"/>
      <w:sz w:val="21"/>
      <w:szCs w:val="21"/>
      <w:lang w:val="en-US" w:eastAsia="zh-CN" w:bidi="ar-SA"/>
    </w:rPr>
  </w:style>
  <w:style w:type="character" w:customStyle="1" w:styleId="649">
    <w:name w:val="Style2"/>
    <w:qFormat/>
    <w:uiPriority w:val="0"/>
    <w:rPr>
      <w:rFonts w:ascii="Century Gothic" w:hAnsi="仿宋_GB2312" w:eastAsia="仿宋_GB2312" w:cs="新宋体"/>
      <w:sz w:val="22"/>
      <w:szCs w:val="22"/>
      <w:lang w:eastAsia="zh-CN"/>
    </w:rPr>
  </w:style>
  <w:style w:type="character" w:customStyle="1" w:styleId="650">
    <w:name w:val="blue1"/>
    <w:qFormat/>
    <w:uiPriority w:val="0"/>
  </w:style>
  <w:style w:type="character" w:customStyle="1" w:styleId="651">
    <w:name w:val="style111"/>
    <w:qFormat/>
    <w:uiPriority w:val="0"/>
    <w:rPr>
      <w:sz w:val="27"/>
      <w:szCs w:val="27"/>
    </w:rPr>
  </w:style>
  <w:style w:type="character" w:customStyle="1" w:styleId="652">
    <w:name w:val="emailstyle15"/>
    <w:qFormat/>
    <w:uiPriority w:val="0"/>
    <w:rPr>
      <w:rFonts w:ascii="Arial" w:hAnsi="Arial" w:eastAsia="宋体" w:cs="Arial"/>
      <w:color w:val="auto"/>
      <w:kern w:val="2"/>
      <w:sz w:val="20"/>
      <w:szCs w:val="24"/>
      <w:lang w:val="en-US" w:eastAsia="zh-CN" w:bidi="ar-SA"/>
    </w:rPr>
  </w:style>
  <w:style w:type="character" w:customStyle="1" w:styleId="653">
    <w:name w:val="个人撰写风格"/>
    <w:qFormat/>
    <w:uiPriority w:val="0"/>
    <w:rPr>
      <w:rFonts w:ascii="Arial" w:hAnsi="Arial" w:eastAsia="宋体" w:cs="Arial"/>
      <w:color w:val="auto"/>
      <w:kern w:val="2"/>
      <w:sz w:val="20"/>
      <w:szCs w:val="24"/>
      <w:lang w:val="en-US" w:eastAsia="zh-CN" w:bidi="ar-SA"/>
    </w:rPr>
  </w:style>
  <w:style w:type="character" w:customStyle="1" w:styleId="654">
    <w:name w:val="Char Char21"/>
    <w:qFormat/>
    <w:uiPriority w:val="0"/>
    <w:rPr>
      <w:rFonts w:ascii="新宋体" w:hAnsi="新宋体" w:eastAsia="仿宋_GB2312" w:cs="新宋体"/>
      <w:b/>
      <w:bCs/>
      <w:kern w:val="44"/>
      <w:sz w:val="44"/>
      <w:szCs w:val="44"/>
    </w:rPr>
  </w:style>
  <w:style w:type="character" w:customStyle="1" w:styleId="655">
    <w:name w:val="Char Char24"/>
    <w:qFormat/>
    <w:uiPriority w:val="0"/>
    <w:rPr>
      <w:rFonts w:ascii="Verdana" w:hAnsi="Verdana" w:eastAsia="仿宋_GB2312"/>
      <w:b/>
      <w:bCs/>
      <w:kern w:val="2"/>
      <w:sz w:val="32"/>
      <w:szCs w:val="32"/>
      <w:lang w:val="en-US" w:eastAsia="zh-CN" w:bidi="ar-SA"/>
    </w:rPr>
  </w:style>
  <w:style w:type="character" w:customStyle="1" w:styleId="656">
    <w:name w:val="Char Char181"/>
    <w:qFormat/>
    <w:uiPriority w:val="0"/>
    <w:rPr>
      <w:rFonts w:ascii="Tahoma" w:hAnsi="Tahoma" w:eastAsia="Helvetica"/>
      <w:sz w:val="24"/>
      <w:lang w:val="en-US" w:eastAsia="zh-CN" w:bidi="ar-SA"/>
    </w:rPr>
  </w:style>
  <w:style w:type="character" w:customStyle="1" w:styleId="657">
    <w:name w:val="heading 5 Char"/>
    <w:qFormat/>
    <w:uiPriority w:val="0"/>
    <w:rPr>
      <w:rFonts w:ascii="Tahoma" w:hAnsi="Tahoma" w:eastAsia="Helvetica"/>
      <w:sz w:val="21"/>
      <w:szCs w:val="21"/>
    </w:rPr>
  </w:style>
  <w:style w:type="character" w:customStyle="1" w:styleId="658">
    <w:name w:val="heading 3 Char2"/>
    <w:qFormat/>
    <w:uiPriority w:val="0"/>
    <w:rPr>
      <w:b/>
      <w:bCs/>
      <w:kern w:val="2"/>
      <w:sz w:val="32"/>
      <w:szCs w:val="32"/>
    </w:rPr>
  </w:style>
  <w:style w:type="character" w:customStyle="1" w:styleId="659">
    <w:name w:val="列出段落 Char1"/>
    <w:qFormat/>
    <w:uiPriority w:val="0"/>
    <w:rPr>
      <w:kern w:val="2"/>
      <w:sz w:val="21"/>
      <w:szCs w:val="24"/>
    </w:rPr>
  </w:style>
  <w:style w:type="character" w:customStyle="1" w:styleId="660">
    <w:name w:val="Footer-Even Char2"/>
    <w:qFormat/>
    <w:uiPriority w:val="0"/>
    <w:rPr>
      <w:kern w:val="2"/>
      <w:sz w:val="18"/>
      <w:szCs w:val="18"/>
    </w:rPr>
  </w:style>
  <w:style w:type="character" w:customStyle="1" w:styleId="661">
    <w:name w:val="heading 1 Char1"/>
    <w:qFormat/>
    <w:uiPriority w:val="0"/>
    <w:rPr>
      <w:rFonts w:eastAsia="仿宋_GB2312"/>
      <w:b/>
      <w:bCs/>
      <w:kern w:val="44"/>
      <w:sz w:val="44"/>
      <w:szCs w:val="44"/>
      <w:lang w:val="en-US" w:eastAsia="zh-CN" w:bidi="ar-SA"/>
    </w:rPr>
  </w:style>
  <w:style w:type="character" w:customStyle="1" w:styleId="662">
    <w:name w:val="kpk:正文 Char"/>
    <w:link w:val="663"/>
    <w:qFormat/>
    <w:uiPriority w:val="0"/>
    <w:rPr>
      <w:rFonts w:ascii="宋体" w:hAnsi="宋体"/>
      <w:kern w:val="2"/>
      <w:sz w:val="24"/>
      <w:szCs w:val="24"/>
      <w:lang w:val="en-GB"/>
    </w:rPr>
  </w:style>
  <w:style w:type="paragraph" w:customStyle="1" w:styleId="663">
    <w:name w:val="kpk:正文"/>
    <w:basedOn w:val="1"/>
    <w:link w:val="662"/>
    <w:qFormat/>
    <w:uiPriority w:val="0"/>
    <w:pPr>
      <w:wordWrap w:val="0"/>
      <w:spacing w:beforeLines="50" w:after="312" w:line="360" w:lineRule="auto"/>
      <w:ind w:firstLine="480" w:firstLineChars="200"/>
      <w:jc w:val="left"/>
    </w:pPr>
    <w:rPr>
      <w:rFonts w:ascii="宋体" w:hAnsi="宋体"/>
      <w:sz w:val="24"/>
      <w:lang w:val="en-GB"/>
    </w:rPr>
  </w:style>
  <w:style w:type="character" w:customStyle="1" w:styleId="664">
    <w:name w:val="彩色列表 - 强调文字颜色 1 Char"/>
    <w:link w:val="665"/>
    <w:qFormat/>
    <w:uiPriority w:val="0"/>
    <w:rPr>
      <w:kern w:val="2"/>
      <w:sz w:val="21"/>
      <w:szCs w:val="22"/>
    </w:rPr>
  </w:style>
  <w:style w:type="paragraph" w:customStyle="1" w:styleId="665">
    <w:name w:val="彩色列表 - 强调文字颜色 11"/>
    <w:basedOn w:val="1"/>
    <w:link w:val="664"/>
    <w:qFormat/>
    <w:uiPriority w:val="0"/>
    <w:pPr>
      <w:ind w:firstLine="420" w:firstLineChars="200"/>
    </w:pPr>
    <w:rPr>
      <w:szCs w:val="22"/>
    </w:rPr>
  </w:style>
  <w:style w:type="character" w:customStyle="1" w:styleId="666">
    <w:name w:val="A3 Char"/>
    <w:link w:val="667"/>
    <w:qFormat/>
    <w:uiPriority w:val="0"/>
    <w:rPr>
      <w:b/>
      <w:bCs/>
      <w:sz w:val="32"/>
      <w:szCs w:val="32"/>
    </w:rPr>
  </w:style>
  <w:style w:type="paragraph" w:customStyle="1" w:styleId="667">
    <w:name w:val="A3"/>
    <w:basedOn w:val="7"/>
    <w:link w:val="666"/>
    <w:qFormat/>
    <w:uiPriority w:val="0"/>
    <w:pPr>
      <w:spacing w:before="0" w:after="0" w:line="415" w:lineRule="auto"/>
      <w:ind w:left="720" w:hanging="720"/>
      <w:jc w:val="left"/>
    </w:pPr>
    <w:rPr>
      <w:kern w:val="0"/>
    </w:rPr>
  </w:style>
  <w:style w:type="character" w:customStyle="1" w:styleId="668">
    <w:name w:val="正文文本缩进 2 字符1"/>
    <w:qFormat/>
    <w:uiPriority w:val="0"/>
    <w:rPr>
      <w:kern w:val="2"/>
      <w:sz w:val="24"/>
      <w:szCs w:val="24"/>
    </w:rPr>
  </w:style>
  <w:style w:type="character" w:customStyle="1" w:styleId="669">
    <w:name w:val="Table Text Char"/>
    <w:link w:val="670"/>
    <w:qFormat/>
    <w:uiPriority w:val="0"/>
    <w:rPr>
      <w:rFonts w:eastAsia="仿宋_GB2312"/>
      <w:sz w:val="24"/>
    </w:rPr>
  </w:style>
  <w:style w:type="paragraph" w:customStyle="1" w:styleId="670">
    <w:name w:val="Table Text"/>
    <w:basedOn w:val="1"/>
    <w:link w:val="669"/>
    <w:qFormat/>
    <w:uiPriority w:val="0"/>
    <w:pPr>
      <w:widowControl/>
      <w:autoSpaceDE w:val="0"/>
      <w:autoSpaceDN w:val="0"/>
      <w:adjustRightInd w:val="0"/>
      <w:spacing w:before="60" w:after="60"/>
      <w:jc w:val="left"/>
    </w:pPr>
    <w:rPr>
      <w:rFonts w:eastAsia="仿宋_GB2312"/>
      <w:kern w:val="0"/>
      <w:sz w:val="24"/>
      <w:szCs w:val="20"/>
    </w:rPr>
  </w:style>
  <w:style w:type="character" w:customStyle="1" w:styleId="671">
    <w:name w:val="!我的正文 Ctr+Q Char Char"/>
    <w:qFormat/>
    <w:uiPriority w:val="0"/>
    <w:rPr>
      <w:rFonts w:ascii="Arial" w:hAnsi="Arial"/>
      <w:kern w:val="2"/>
      <w:sz w:val="24"/>
      <w:szCs w:val="21"/>
      <w:lang w:bidi="ar-SA"/>
    </w:rPr>
  </w:style>
  <w:style w:type="character" w:customStyle="1" w:styleId="672">
    <w:name w:val="Char Char172"/>
    <w:qFormat/>
    <w:uiPriority w:val="0"/>
    <w:rPr>
      <w:rFonts w:ascii="Tahoma" w:hAnsi="Tahoma" w:eastAsia="Helvetica"/>
      <w:sz w:val="21"/>
      <w:lang w:val="en-US" w:eastAsia="zh-CN" w:bidi="ar-SA"/>
    </w:rPr>
  </w:style>
  <w:style w:type="character" w:customStyle="1" w:styleId="673">
    <w:name w:val="heading 2 Char2"/>
    <w:qFormat/>
    <w:uiPriority w:val="0"/>
    <w:rPr>
      <w:rFonts w:ascii="Verdana" w:hAnsi="Verdana"/>
      <w:b/>
      <w:bCs/>
      <w:kern w:val="2"/>
      <w:sz w:val="32"/>
      <w:szCs w:val="32"/>
    </w:rPr>
  </w:style>
  <w:style w:type="character" w:customStyle="1" w:styleId="674">
    <w:name w:val="正文缩进字符"/>
    <w:link w:val="675"/>
    <w:qFormat/>
    <w:uiPriority w:val="0"/>
    <w:rPr>
      <w:rFonts w:ascii="宋体"/>
      <w:sz w:val="24"/>
    </w:rPr>
  </w:style>
  <w:style w:type="paragraph" w:customStyle="1" w:styleId="675">
    <w:name w:val="正文缩进2"/>
    <w:basedOn w:val="1"/>
    <w:link w:val="674"/>
    <w:qFormat/>
    <w:uiPriority w:val="0"/>
    <w:pPr>
      <w:autoSpaceDE w:val="0"/>
      <w:autoSpaceDN w:val="0"/>
      <w:adjustRightInd w:val="0"/>
      <w:spacing w:line="360" w:lineRule="auto"/>
      <w:ind w:firstLine="420" w:firstLineChars="200"/>
      <w:jc w:val="left"/>
    </w:pPr>
    <w:rPr>
      <w:rFonts w:ascii="宋体"/>
      <w:kern w:val="0"/>
      <w:sz w:val="24"/>
      <w:szCs w:val="20"/>
    </w:rPr>
  </w:style>
  <w:style w:type="character" w:customStyle="1" w:styleId="676">
    <w:name w:val="1Text Char"/>
    <w:link w:val="677"/>
    <w:qFormat/>
    <w:uiPriority w:val="0"/>
    <w:rPr>
      <w:rFonts w:ascii="Calibri" w:hAnsi="Calibri"/>
      <w:sz w:val="24"/>
      <w:szCs w:val="24"/>
    </w:rPr>
  </w:style>
  <w:style w:type="paragraph" w:customStyle="1" w:styleId="677">
    <w:name w:val="1Text"/>
    <w:basedOn w:val="1"/>
    <w:link w:val="676"/>
    <w:qFormat/>
    <w:uiPriority w:val="0"/>
    <w:pPr>
      <w:spacing w:beforeLines="50" w:afterLines="50" w:line="360" w:lineRule="auto"/>
      <w:ind w:firstLine="480" w:firstLineChars="200"/>
      <w:jc w:val="left"/>
    </w:pPr>
    <w:rPr>
      <w:rFonts w:ascii="Calibri" w:hAnsi="Calibri"/>
      <w:kern w:val="0"/>
      <w:sz w:val="24"/>
    </w:rPr>
  </w:style>
  <w:style w:type="character" w:customStyle="1" w:styleId="678">
    <w:name w:val="heading 8 Char1"/>
    <w:qFormat/>
    <w:uiPriority w:val="0"/>
    <w:rPr>
      <w:rFonts w:ascii="Tahoma" w:hAnsi="Tahoma" w:eastAsia="Helvetica"/>
      <w:sz w:val="24"/>
      <w:lang w:val="en-US" w:eastAsia="zh-CN" w:bidi="ar-SA"/>
    </w:rPr>
  </w:style>
  <w:style w:type="character" w:customStyle="1" w:styleId="679">
    <w:name w:val="Char Char171"/>
    <w:qFormat/>
    <w:uiPriority w:val="0"/>
    <w:rPr>
      <w:rFonts w:ascii="Verdana" w:hAnsi="Verdana"/>
      <w:b/>
      <w:bCs/>
      <w:kern w:val="2"/>
      <w:sz w:val="28"/>
      <w:szCs w:val="28"/>
    </w:rPr>
  </w:style>
  <w:style w:type="character" w:customStyle="1" w:styleId="680">
    <w:name w:val="副标题 Char"/>
    <w:qFormat/>
    <w:uiPriority w:val="0"/>
    <w:rPr>
      <w:rFonts w:ascii="Verdana" w:hAnsi="Verdana" w:eastAsia="仿宋_GB2312"/>
      <w:b/>
      <w:bCs/>
      <w:kern w:val="28"/>
      <w:sz w:val="32"/>
      <w:szCs w:val="32"/>
    </w:rPr>
  </w:style>
  <w:style w:type="character" w:customStyle="1" w:styleId="681">
    <w:name w:val="内容文本 Char"/>
    <w:link w:val="682"/>
    <w:qFormat/>
    <w:uiPriority w:val="0"/>
    <w:rPr>
      <w:rFonts w:ascii="宋体" w:hAnsi="宋体"/>
      <w:sz w:val="24"/>
      <w:szCs w:val="24"/>
      <w:lang w:eastAsia="en-US" w:bidi="en-US"/>
    </w:rPr>
  </w:style>
  <w:style w:type="paragraph" w:customStyle="1" w:styleId="682">
    <w:name w:val="内容文本"/>
    <w:basedOn w:val="665"/>
    <w:link w:val="681"/>
    <w:qFormat/>
    <w:uiPriority w:val="0"/>
    <w:pPr>
      <w:spacing w:line="360" w:lineRule="auto"/>
      <w:ind w:firstLine="200"/>
      <w:contextualSpacing/>
      <w:jc w:val="left"/>
    </w:pPr>
    <w:rPr>
      <w:rFonts w:ascii="宋体" w:hAnsi="宋体"/>
      <w:kern w:val="0"/>
      <w:sz w:val="24"/>
      <w:szCs w:val="24"/>
      <w:lang w:eastAsia="en-US" w:bidi="en-US"/>
    </w:rPr>
  </w:style>
  <w:style w:type="character" w:customStyle="1" w:styleId="683">
    <w:name w:val="明显引用 Char"/>
    <w:qFormat/>
    <w:uiPriority w:val="0"/>
    <w:rPr>
      <w:rFonts w:ascii="Century Gothic" w:hAnsi="Century Gothic" w:eastAsia="仿宋_GB2312"/>
      <w:b/>
      <w:bCs/>
      <w:i/>
      <w:iCs/>
      <w:color w:val="4F81BD"/>
    </w:rPr>
  </w:style>
  <w:style w:type="paragraph" w:styleId="684">
    <w:name w:val="Intense Quote"/>
    <w:basedOn w:val="1"/>
    <w:next w:val="1"/>
    <w:link w:val="685"/>
    <w:qFormat/>
    <w:uiPriority w:val="0"/>
    <w:pPr>
      <w:pBdr>
        <w:bottom w:val="single" w:color="4F81BD" w:sz="4" w:space="4"/>
      </w:pBdr>
      <w:spacing w:before="200" w:after="280"/>
      <w:ind w:left="936" w:right="936"/>
    </w:pPr>
    <w:rPr>
      <w:rFonts w:ascii="Century Gothic" w:hAnsi="Century Gothic" w:eastAsia="仿宋_GB2312"/>
      <w:b/>
      <w:bCs/>
      <w:i/>
      <w:iCs/>
      <w:color w:val="4F81BD"/>
      <w:kern w:val="0"/>
      <w:sz w:val="20"/>
      <w:szCs w:val="20"/>
    </w:rPr>
  </w:style>
  <w:style w:type="character" w:customStyle="1" w:styleId="685">
    <w:name w:val="明显引用 字符"/>
    <w:link w:val="684"/>
    <w:qFormat/>
    <w:uiPriority w:val="0"/>
    <w:rPr>
      <w:rFonts w:ascii="Century Gothic" w:hAnsi="Century Gothic" w:eastAsia="仿宋_GB2312"/>
      <w:b/>
      <w:bCs/>
      <w:i/>
      <w:iCs/>
      <w:color w:val="4F81BD"/>
    </w:rPr>
  </w:style>
  <w:style w:type="character" w:customStyle="1" w:styleId="686">
    <w:name w:val="Style5"/>
    <w:qFormat/>
    <w:uiPriority w:val="0"/>
    <w:rPr>
      <w:rFonts w:ascii="Century Gothic" w:hAnsi="仿宋_GB2312" w:eastAsia="仿宋_GB2312" w:cs="新宋体"/>
      <w:sz w:val="22"/>
      <w:szCs w:val="22"/>
      <w:lang w:eastAsia="zh-CN"/>
    </w:rPr>
  </w:style>
  <w:style w:type="character" w:customStyle="1" w:styleId="687">
    <w:name w:val="BZ_图 Char"/>
    <w:link w:val="688"/>
    <w:qFormat/>
    <w:uiPriority w:val="0"/>
    <w:rPr>
      <w:kern w:val="2"/>
      <w:sz w:val="21"/>
      <w:szCs w:val="24"/>
    </w:rPr>
  </w:style>
  <w:style w:type="paragraph" w:customStyle="1" w:styleId="688">
    <w:name w:val="BZ_图"/>
    <w:basedOn w:val="1"/>
    <w:next w:val="1"/>
    <w:link w:val="687"/>
    <w:qFormat/>
    <w:uiPriority w:val="0"/>
    <w:pPr>
      <w:keepNext/>
      <w:widowControl/>
      <w:spacing w:beforeLines="50" w:afterLines="50"/>
      <w:jc w:val="center"/>
    </w:pPr>
  </w:style>
  <w:style w:type="character" w:customStyle="1" w:styleId="689">
    <w:name w:val="Char Char Char Char Char Char Char Char Char Char Char Char Char Char Char"/>
    <w:qFormat/>
    <w:uiPriority w:val="0"/>
    <w:rPr>
      <w:rFonts w:ascii="仿宋_GB2312" w:hAnsi="Wingdings" w:eastAsia="仿宋_GB2312"/>
      <w:sz w:val="21"/>
      <w:szCs w:val="21"/>
      <w:lang w:val="en-US" w:eastAsia="zh-CN" w:bidi="ar-SA"/>
    </w:rPr>
  </w:style>
  <w:style w:type="character" w:customStyle="1" w:styleId="690">
    <w:name w:val="dandyren_title1"/>
    <w:qFormat/>
    <w:uiPriority w:val="0"/>
    <w:rPr>
      <w:b/>
      <w:bCs/>
      <w:color w:val="FF6633"/>
      <w:sz w:val="18"/>
      <w:szCs w:val="18"/>
    </w:rPr>
  </w:style>
  <w:style w:type="character" w:customStyle="1" w:styleId="691">
    <w:name w:val="样式 正文缩进首行缩进两字正文（首行缩进两字） Char正文（首行缩进两字） Char Char Char正文（首行缩进... Char"/>
    <w:link w:val="692"/>
    <w:qFormat/>
    <w:uiPriority w:val="0"/>
    <w:rPr>
      <w:rFonts w:cs="宋体"/>
      <w:szCs w:val="28"/>
    </w:rPr>
  </w:style>
  <w:style w:type="paragraph" w:customStyle="1" w:styleId="692">
    <w:name w:val="样式 正文缩进首行缩进两字正文（首行缩进两字） Char正文（首行缩进两字） Char Char Char正文（首行缩进..."/>
    <w:basedOn w:val="11"/>
    <w:link w:val="691"/>
    <w:qFormat/>
    <w:uiPriority w:val="0"/>
    <w:pPr>
      <w:autoSpaceDE w:val="0"/>
      <w:autoSpaceDN w:val="0"/>
      <w:adjustRightInd w:val="0"/>
      <w:spacing w:after="0"/>
      <w:ind w:firstLine="567" w:firstLineChars="0"/>
      <w:textAlignment w:val="baseline"/>
    </w:pPr>
    <w:rPr>
      <w:rFonts w:cs="宋体"/>
      <w:kern w:val="0"/>
      <w:sz w:val="20"/>
      <w:szCs w:val="28"/>
    </w:rPr>
  </w:style>
  <w:style w:type="character" w:customStyle="1" w:styleId="693">
    <w:name w:val="1Text Char Char"/>
    <w:qFormat/>
    <w:uiPriority w:val="0"/>
    <w:rPr>
      <w:rFonts w:ascii="Calibri" w:hAnsi="Calibri" w:eastAsia="宋体"/>
      <w:sz w:val="24"/>
      <w:szCs w:val="24"/>
      <w:lang w:bidi="ar-SA"/>
    </w:rPr>
  </w:style>
  <w:style w:type="character" w:customStyle="1" w:styleId="694">
    <w:name w:val="Char Char211"/>
    <w:qFormat/>
    <w:uiPriority w:val="0"/>
    <w:rPr>
      <w:rFonts w:ascii="新宋体" w:hAnsi="新宋体" w:eastAsia="仿宋_GB2312" w:cs="新宋体"/>
      <w:b/>
      <w:bCs/>
      <w:kern w:val="44"/>
      <w:sz w:val="44"/>
      <w:szCs w:val="44"/>
    </w:rPr>
  </w:style>
  <w:style w:type="character" w:customStyle="1" w:styleId="695">
    <w:name w:val="强调划线"/>
    <w:qFormat/>
    <w:uiPriority w:val="0"/>
    <w:rPr>
      <w:u w:val="single"/>
    </w:rPr>
  </w:style>
  <w:style w:type="character" w:customStyle="1" w:styleId="696">
    <w:name w:val="backtitle1"/>
    <w:qFormat/>
    <w:uiPriority w:val="0"/>
    <w:rPr>
      <w:rFonts w:eastAsia="宋体"/>
      <w:b/>
      <w:bCs/>
      <w:color w:val="000000"/>
      <w:kern w:val="2"/>
      <w:sz w:val="18"/>
      <w:szCs w:val="18"/>
      <w:lang w:val="en-US" w:eastAsia="zh-CN" w:bidi="ar-SA"/>
    </w:rPr>
  </w:style>
  <w:style w:type="character" w:customStyle="1" w:styleId="697">
    <w:name w:val="哈哈正文 Char Char"/>
    <w:qFormat/>
    <w:uiPriority w:val="0"/>
    <w:rPr>
      <w:rFonts w:ascii="宋体" w:hAnsi="宋体"/>
      <w:kern w:val="2"/>
      <w:sz w:val="24"/>
      <w:lang w:bidi="ar-SA"/>
    </w:rPr>
  </w:style>
  <w:style w:type="character" w:customStyle="1" w:styleId="698">
    <w:name w:val="正文首行缩进 2 Char"/>
    <w:qFormat/>
    <w:uiPriority w:val="0"/>
    <w:rPr>
      <w:kern w:val="2"/>
      <w:sz w:val="21"/>
      <w:szCs w:val="24"/>
    </w:rPr>
  </w:style>
  <w:style w:type="character" w:customStyle="1" w:styleId="699">
    <w:name w:val="注释题目"/>
    <w:qFormat/>
    <w:uiPriority w:val="0"/>
    <w:rPr>
      <w:rFonts w:eastAsia="黑体"/>
      <w:sz w:val="28"/>
      <w:u w:val="none"/>
    </w:rPr>
  </w:style>
  <w:style w:type="character" w:customStyle="1" w:styleId="700">
    <w:name w:val="三级标题 Char"/>
    <w:link w:val="701"/>
    <w:qFormat/>
    <w:uiPriority w:val="0"/>
    <w:rPr>
      <w:rFonts w:eastAsia="黑体"/>
      <w:b/>
      <w:kern w:val="2"/>
      <w:sz w:val="28"/>
      <w:szCs w:val="22"/>
    </w:rPr>
  </w:style>
  <w:style w:type="paragraph" w:customStyle="1" w:styleId="701">
    <w:name w:val="三级标题"/>
    <w:basedOn w:val="1"/>
    <w:link w:val="700"/>
    <w:qFormat/>
    <w:uiPriority w:val="0"/>
    <w:pPr>
      <w:tabs>
        <w:tab w:val="left" w:pos="420"/>
      </w:tabs>
      <w:spacing w:line="360" w:lineRule="auto"/>
      <w:ind w:left="420" w:firstLine="200" w:firstLineChars="200"/>
      <w:outlineLvl w:val="2"/>
    </w:pPr>
    <w:rPr>
      <w:rFonts w:eastAsia="黑体"/>
      <w:b/>
      <w:sz w:val="28"/>
      <w:szCs w:val="22"/>
    </w:rPr>
  </w:style>
  <w:style w:type="character" w:customStyle="1" w:styleId="702">
    <w:name w:val="样式 宋体"/>
    <w:qFormat/>
    <w:uiPriority w:val="0"/>
    <w:rPr>
      <w:rFonts w:ascii="仿宋_GB2312" w:hAnsi="仿宋_GB2312" w:eastAsia="仿宋_GB2312"/>
      <w:sz w:val="24"/>
      <w:szCs w:val="24"/>
    </w:rPr>
  </w:style>
  <w:style w:type="character" w:customStyle="1" w:styleId="703">
    <w:name w:val="heading 1 Char"/>
    <w:qFormat/>
    <w:uiPriority w:val="0"/>
    <w:rPr>
      <w:rFonts w:ascii="Tahoma" w:hAnsi="Tahoma" w:eastAsia="Helvetica"/>
      <w:b/>
      <w:sz w:val="36"/>
      <w:szCs w:val="36"/>
    </w:rPr>
  </w:style>
  <w:style w:type="character" w:customStyle="1" w:styleId="704">
    <w:name w:val="栏目标题 Char Char"/>
    <w:link w:val="705"/>
    <w:qFormat/>
    <w:uiPriority w:val="0"/>
    <w:rPr>
      <w:rFonts w:ascii="黑体" w:hAnsi="黑体" w:eastAsia="黑体"/>
      <w:b/>
      <w:kern w:val="2"/>
      <w:sz w:val="21"/>
      <w:szCs w:val="24"/>
    </w:rPr>
  </w:style>
  <w:style w:type="paragraph" w:customStyle="1" w:styleId="705">
    <w:name w:val="栏目标题"/>
    <w:basedOn w:val="1"/>
    <w:link w:val="704"/>
    <w:qFormat/>
    <w:uiPriority w:val="0"/>
    <w:pPr>
      <w:jc w:val="center"/>
    </w:pPr>
    <w:rPr>
      <w:rFonts w:ascii="黑体" w:hAnsi="黑体" w:eastAsia="黑体"/>
      <w:b/>
    </w:rPr>
  </w:style>
  <w:style w:type="character" w:customStyle="1" w:styleId="706">
    <w:name w:val="!我的正文 Ctr+Q Char"/>
    <w:link w:val="707"/>
    <w:qFormat/>
    <w:uiPriority w:val="0"/>
    <w:rPr>
      <w:rFonts w:ascii="Arial" w:hAnsi="Arial"/>
      <w:kern w:val="2"/>
      <w:sz w:val="24"/>
      <w:szCs w:val="21"/>
    </w:rPr>
  </w:style>
  <w:style w:type="paragraph" w:customStyle="1" w:styleId="707">
    <w:name w:val="!我的正文 Ctr+Q"/>
    <w:basedOn w:val="1"/>
    <w:link w:val="706"/>
    <w:qFormat/>
    <w:uiPriority w:val="0"/>
    <w:pPr>
      <w:adjustRightInd w:val="0"/>
      <w:snapToGrid w:val="0"/>
      <w:spacing w:beforeLines="50" w:afterLines="50" w:line="360" w:lineRule="auto"/>
      <w:ind w:firstLine="480" w:firstLineChars="200"/>
      <w:jc w:val="left"/>
    </w:pPr>
    <w:rPr>
      <w:rFonts w:ascii="Arial" w:hAnsi="Arial"/>
      <w:sz w:val="24"/>
      <w:szCs w:val="21"/>
    </w:rPr>
  </w:style>
  <w:style w:type="character" w:customStyle="1" w:styleId="708">
    <w:name w:val="Char Char121"/>
    <w:qFormat/>
    <w:uiPriority w:val="0"/>
    <w:rPr>
      <w:rFonts w:ascii="仿宋_GB2312" w:hAnsi="Wingdings" w:eastAsia="仿宋_GB2312"/>
      <w:sz w:val="21"/>
      <w:szCs w:val="21"/>
      <w:lang w:val="en-US" w:eastAsia="zh-CN" w:bidi="ar-SA"/>
    </w:rPr>
  </w:style>
  <w:style w:type="character" w:customStyle="1" w:styleId="709">
    <w:name w:val="Char Char221"/>
    <w:qFormat/>
    <w:uiPriority w:val="0"/>
    <w:rPr>
      <w:rFonts w:ascii="Verdana" w:hAnsi="Verdana" w:eastAsia="仿宋_GB2312"/>
      <w:b/>
      <w:bCs/>
      <w:kern w:val="2"/>
      <w:sz w:val="28"/>
      <w:szCs w:val="28"/>
      <w:lang w:val="en-US" w:eastAsia="zh-CN" w:bidi="ar-SA"/>
    </w:rPr>
  </w:style>
  <w:style w:type="character" w:customStyle="1" w:styleId="710">
    <w:name w:val="Footer-Even Char1"/>
    <w:qFormat/>
    <w:uiPriority w:val="0"/>
    <w:rPr>
      <w:rFonts w:eastAsia="仿宋_GB2312"/>
      <w:kern w:val="2"/>
      <w:sz w:val="18"/>
      <w:szCs w:val="18"/>
      <w:lang w:val="en-US" w:eastAsia="zh-CN" w:bidi="ar-SA"/>
    </w:rPr>
  </w:style>
  <w:style w:type="character" w:customStyle="1" w:styleId="711">
    <w:name w:val="Subtle Emphasis1"/>
    <w:qFormat/>
    <w:uiPriority w:val="0"/>
    <w:rPr>
      <w:i/>
      <w:iCs/>
      <w:color w:val="808080"/>
    </w:rPr>
  </w:style>
  <w:style w:type="character" w:customStyle="1" w:styleId="712">
    <w:name w:val="Book Title1"/>
    <w:qFormat/>
    <w:uiPriority w:val="0"/>
    <w:rPr>
      <w:b/>
      <w:bCs/>
      <w:smallCaps/>
      <w:spacing w:val="5"/>
    </w:rPr>
  </w:style>
  <w:style w:type="character" w:customStyle="1" w:styleId="713">
    <w:name w:val="目录标题 Char Char"/>
    <w:link w:val="714"/>
    <w:qFormat/>
    <w:uiPriority w:val="0"/>
    <w:rPr>
      <w:rFonts w:eastAsia="黑体"/>
      <w:b/>
      <w:bCs/>
      <w:kern w:val="2"/>
      <w:sz w:val="44"/>
      <w:szCs w:val="44"/>
    </w:rPr>
  </w:style>
  <w:style w:type="paragraph" w:customStyle="1" w:styleId="714">
    <w:name w:val="目录标题"/>
    <w:basedOn w:val="1"/>
    <w:link w:val="713"/>
    <w:qFormat/>
    <w:uiPriority w:val="0"/>
    <w:pPr>
      <w:jc w:val="center"/>
    </w:pPr>
    <w:rPr>
      <w:rFonts w:eastAsia="黑体"/>
      <w:b/>
      <w:bCs/>
      <w:sz w:val="44"/>
      <w:szCs w:val="44"/>
    </w:rPr>
  </w:style>
  <w:style w:type="character" w:customStyle="1" w:styleId="715">
    <w:name w:val="4 Char"/>
    <w:link w:val="716"/>
    <w:qFormat/>
    <w:uiPriority w:val="0"/>
    <w:rPr>
      <w:rFonts w:ascii="仿宋" w:hAnsi="仿宋" w:eastAsia="仿宋"/>
      <w:b/>
      <w:bCs/>
      <w:kern w:val="2"/>
      <w:sz w:val="24"/>
      <w:szCs w:val="24"/>
    </w:rPr>
  </w:style>
  <w:style w:type="paragraph" w:customStyle="1" w:styleId="716">
    <w:name w:val="4"/>
    <w:basedOn w:val="8"/>
    <w:link w:val="715"/>
    <w:qFormat/>
    <w:uiPriority w:val="0"/>
    <w:pPr>
      <w:spacing w:before="0" w:after="0" w:line="360" w:lineRule="auto"/>
      <w:ind w:firstLine="200" w:firstLineChars="200"/>
    </w:pPr>
    <w:rPr>
      <w:rFonts w:ascii="仿宋" w:hAnsi="仿宋" w:eastAsia="仿宋"/>
      <w:sz w:val="24"/>
      <w:szCs w:val="24"/>
    </w:rPr>
  </w:style>
  <w:style w:type="character" w:customStyle="1" w:styleId="717">
    <w:name w:val="文本正文 Char"/>
    <w:link w:val="718"/>
    <w:qFormat/>
    <w:uiPriority w:val="0"/>
    <w:rPr>
      <w:rFonts w:ascii="Calibri" w:hAnsi="Calibri" w:eastAsia="仿宋"/>
      <w:kern w:val="2"/>
      <w:sz w:val="24"/>
      <w:szCs w:val="22"/>
    </w:rPr>
  </w:style>
  <w:style w:type="paragraph" w:customStyle="1" w:styleId="718">
    <w:name w:val="文本正文"/>
    <w:basedOn w:val="1"/>
    <w:link w:val="717"/>
    <w:qFormat/>
    <w:uiPriority w:val="0"/>
    <w:pPr>
      <w:spacing w:beforeLines="50" w:afterLines="50" w:line="360" w:lineRule="auto"/>
      <w:ind w:firstLine="200" w:firstLineChars="200"/>
    </w:pPr>
    <w:rPr>
      <w:rFonts w:ascii="Calibri" w:hAnsi="Calibri" w:eastAsia="仿宋"/>
      <w:sz w:val="24"/>
      <w:szCs w:val="22"/>
    </w:rPr>
  </w:style>
  <w:style w:type="character" w:customStyle="1" w:styleId="719">
    <w:name w:val="ll"/>
    <w:qFormat/>
    <w:uiPriority w:val="0"/>
    <w:rPr>
      <w:rFonts w:eastAsia="宋体"/>
      <w:kern w:val="2"/>
      <w:sz w:val="21"/>
      <w:szCs w:val="24"/>
      <w:lang w:val="en-US" w:eastAsia="zh-CN" w:bidi="ar-SA"/>
    </w:rPr>
  </w:style>
  <w:style w:type="character" w:customStyle="1" w:styleId="720">
    <w:name w:val="五级标题 Char"/>
    <w:link w:val="721"/>
    <w:qFormat/>
    <w:uiPriority w:val="0"/>
    <w:rPr>
      <w:rFonts w:eastAsia="黑体"/>
      <w:b/>
      <w:kern w:val="2"/>
      <w:sz w:val="28"/>
      <w:szCs w:val="22"/>
    </w:rPr>
  </w:style>
  <w:style w:type="paragraph" w:customStyle="1" w:styleId="721">
    <w:name w:val="五级标题"/>
    <w:basedOn w:val="1"/>
    <w:link w:val="720"/>
    <w:qFormat/>
    <w:uiPriority w:val="0"/>
    <w:pPr>
      <w:spacing w:line="360" w:lineRule="auto"/>
      <w:ind w:left="420" w:firstLine="200" w:firstLineChars="200"/>
      <w:outlineLvl w:val="4"/>
    </w:pPr>
    <w:rPr>
      <w:rFonts w:eastAsia="黑体"/>
      <w:b/>
      <w:sz w:val="28"/>
      <w:szCs w:val="22"/>
    </w:rPr>
  </w:style>
  <w:style w:type="character" w:customStyle="1" w:styleId="722">
    <w:name w:val="Char Char212"/>
    <w:qFormat/>
    <w:uiPriority w:val="0"/>
    <w:rPr>
      <w:rFonts w:eastAsia="仿宋_GB2312"/>
      <w:b/>
      <w:bCs/>
      <w:kern w:val="2"/>
      <w:sz w:val="28"/>
      <w:szCs w:val="28"/>
      <w:lang w:val="en-US" w:eastAsia="zh-CN" w:bidi="ar-SA"/>
    </w:rPr>
  </w:style>
  <w:style w:type="character" w:customStyle="1" w:styleId="723">
    <w:name w:val="表正文 Char2"/>
    <w:qFormat/>
    <w:uiPriority w:val="0"/>
    <w:rPr>
      <w:rFonts w:ascii="新宋体" w:hAnsi="新宋体" w:eastAsia="仿宋_GB2312" w:cs="新宋体"/>
      <w:szCs w:val="24"/>
    </w:rPr>
  </w:style>
  <w:style w:type="character" w:customStyle="1" w:styleId="724">
    <w:name w:val="大标题 Char"/>
    <w:qFormat/>
    <w:uiPriority w:val="0"/>
    <w:rPr>
      <w:rFonts w:ascii="黑体" w:hAnsi="黑体" w:eastAsia="黑体"/>
      <w:b/>
      <w:bCs/>
      <w:kern w:val="2"/>
      <w:sz w:val="72"/>
      <w:szCs w:val="72"/>
    </w:rPr>
  </w:style>
  <w:style w:type="character" w:customStyle="1" w:styleId="725">
    <w:name w:val="Char Char Char1"/>
    <w:qFormat/>
    <w:uiPriority w:val="0"/>
    <w:rPr>
      <w:rFonts w:ascii="仿宋_GB2312" w:hAnsi="Wingdings"/>
      <w:sz w:val="21"/>
      <w:szCs w:val="21"/>
    </w:rPr>
  </w:style>
  <w:style w:type="character" w:customStyle="1" w:styleId="726">
    <w:name w:val="Char Char15"/>
    <w:qFormat/>
    <w:uiPriority w:val="0"/>
    <w:rPr>
      <w:rFonts w:ascii="Tahoma" w:hAnsi="Tahoma" w:eastAsia="Helvetica"/>
      <w:sz w:val="24"/>
      <w:szCs w:val="24"/>
    </w:rPr>
  </w:style>
  <w:style w:type="character" w:customStyle="1" w:styleId="727">
    <w:name w:val="表格标题 Char Char"/>
    <w:link w:val="728"/>
    <w:qFormat/>
    <w:uiPriority w:val="0"/>
    <w:rPr>
      <w:rFonts w:ascii="黑体" w:hAnsi="黑体" w:eastAsia="黑体"/>
      <w:b/>
      <w:color w:val="FFFFFF"/>
      <w:kern w:val="2"/>
      <w:sz w:val="21"/>
      <w:szCs w:val="24"/>
    </w:rPr>
  </w:style>
  <w:style w:type="paragraph" w:customStyle="1" w:styleId="728">
    <w:name w:val="表格标题"/>
    <w:basedOn w:val="1"/>
    <w:link w:val="727"/>
    <w:qFormat/>
    <w:uiPriority w:val="0"/>
    <w:rPr>
      <w:rFonts w:ascii="黑体" w:hAnsi="黑体" w:eastAsia="黑体"/>
      <w:b/>
      <w:color w:val="FFFFFF"/>
    </w:rPr>
  </w:style>
  <w:style w:type="character" w:customStyle="1" w:styleId="729">
    <w:name w:val="Intense Reference1"/>
    <w:qFormat/>
    <w:uiPriority w:val="32"/>
    <w:rPr>
      <w:b/>
      <w:bCs/>
      <w:smallCaps/>
      <w:color w:val="C0504D"/>
      <w:spacing w:val="5"/>
      <w:u w:val="single"/>
    </w:rPr>
  </w:style>
  <w:style w:type="character" w:customStyle="1" w:styleId="730">
    <w:name w:val="gray6"/>
    <w:qFormat/>
    <w:uiPriority w:val="0"/>
  </w:style>
  <w:style w:type="character" w:customStyle="1" w:styleId="731">
    <w:name w:val="Char Char202"/>
    <w:qFormat/>
    <w:uiPriority w:val="0"/>
    <w:rPr>
      <w:b/>
      <w:bCs/>
      <w:kern w:val="44"/>
      <w:sz w:val="44"/>
      <w:szCs w:val="44"/>
    </w:rPr>
  </w:style>
  <w:style w:type="character" w:customStyle="1" w:styleId="732">
    <w:name w:val="ändrad Char"/>
    <w:qFormat/>
    <w:uiPriority w:val="0"/>
    <w:rPr>
      <w:rFonts w:eastAsia="仿宋_GB2312"/>
      <w:kern w:val="2"/>
      <w:sz w:val="21"/>
      <w:szCs w:val="24"/>
      <w:lang w:val="en-US" w:eastAsia="zh-CN" w:bidi="ar-SA"/>
    </w:rPr>
  </w:style>
  <w:style w:type="character" w:customStyle="1" w:styleId="733">
    <w:name w:val="大标题 Char Char"/>
    <w:link w:val="734"/>
    <w:qFormat/>
    <w:uiPriority w:val="0"/>
    <w:rPr>
      <w:rFonts w:ascii="黑体" w:hAnsi="黑体" w:eastAsia="黑体"/>
      <w:b/>
      <w:bCs/>
      <w:kern w:val="2"/>
      <w:sz w:val="72"/>
      <w:szCs w:val="72"/>
    </w:rPr>
  </w:style>
  <w:style w:type="paragraph" w:customStyle="1" w:styleId="734">
    <w:name w:val="大标题"/>
    <w:basedOn w:val="1"/>
    <w:link w:val="733"/>
    <w:qFormat/>
    <w:uiPriority w:val="0"/>
    <w:pPr>
      <w:spacing w:line="40" w:lineRule="atLeast"/>
    </w:pPr>
    <w:rPr>
      <w:rFonts w:ascii="黑体" w:hAnsi="黑体" w:eastAsia="黑体"/>
      <w:b/>
      <w:bCs/>
      <w:sz w:val="72"/>
      <w:szCs w:val="72"/>
    </w:rPr>
  </w:style>
  <w:style w:type="character" w:customStyle="1" w:styleId="735">
    <w:name w:val="Ò³Ã¼ Char Char"/>
    <w:qFormat/>
    <w:uiPriority w:val="0"/>
    <w:rPr>
      <w:sz w:val="18"/>
      <w:szCs w:val="18"/>
    </w:rPr>
  </w:style>
  <w:style w:type="character" w:customStyle="1" w:styleId="736">
    <w:name w:val="Char Char161"/>
    <w:qFormat/>
    <w:uiPriority w:val="0"/>
    <w:rPr>
      <w:rFonts w:eastAsia="仿宋_GB2312"/>
      <w:sz w:val="21"/>
      <w:lang w:val="en-US" w:eastAsia="zh-CN" w:bidi="ar-SA"/>
    </w:rPr>
  </w:style>
  <w:style w:type="character" w:customStyle="1" w:styleId="737">
    <w:name w:val="style41"/>
    <w:qFormat/>
    <w:uiPriority w:val="0"/>
    <w:rPr>
      <w:color w:val="auto"/>
    </w:rPr>
  </w:style>
  <w:style w:type="character" w:customStyle="1" w:styleId="738">
    <w:name w:val="正文4 Char Char"/>
    <w:link w:val="739"/>
    <w:qFormat/>
    <w:uiPriority w:val="0"/>
    <w:rPr>
      <w:kern w:val="2"/>
      <w:sz w:val="24"/>
      <w:szCs w:val="24"/>
    </w:rPr>
  </w:style>
  <w:style w:type="paragraph" w:customStyle="1" w:styleId="739">
    <w:name w:val="正文4"/>
    <w:basedOn w:val="1"/>
    <w:link w:val="738"/>
    <w:qFormat/>
    <w:uiPriority w:val="0"/>
    <w:pPr>
      <w:tabs>
        <w:tab w:val="left" w:pos="520"/>
      </w:tabs>
      <w:spacing w:before="60" w:after="60" w:line="360" w:lineRule="auto"/>
    </w:pPr>
    <w:rPr>
      <w:sz w:val="24"/>
    </w:rPr>
  </w:style>
  <w:style w:type="character" w:customStyle="1" w:styleId="740">
    <w:name w:val="Char Char201"/>
    <w:qFormat/>
    <w:uiPriority w:val="0"/>
    <w:rPr>
      <w:rFonts w:ascii="Verdana" w:hAnsi="Verdana" w:eastAsia="仿宋_GB2312" w:cs="新宋体"/>
      <w:b/>
      <w:bCs/>
      <w:sz w:val="32"/>
      <w:szCs w:val="32"/>
    </w:rPr>
  </w:style>
  <w:style w:type="character" w:customStyle="1" w:styleId="741">
    <w:name w:val="Char Char20"/>
    <w:qFormat/>
    <w:uiPriority w:val="0"/>
    <w:rPr>
      <w:rFonts w:ascii="Tahoma" w:hAnsi="Tahoma" w:eastAsia="Helvetica"/>
      <w:sz w:val="21"/>
      <w:szCs w:val="21"/>
      <w:lang w:val="en-US" w:eastAsia="zh-CN" w:bidi="ar-SA"/>
    </w:rPr>
  </w:style>
  <w:style w:type="character" w:customStyle="1" w:styleId="742">
    <w:name w:val="Char Char10"/>
    <w:qFormat/>
    <w:uiPriority w:val="0"/>
    <w:rPr>
      <w:rFonts w:eastAsia="仿宋_GB2312"/>
      <w:b/>
      <w:bCs/>
      <w:kern w:val="2"/>
      <w:sz w:val="21"/>
      <w:szCs w:val="24"/>
      <w:lang w:val="en-US" w:eastAsia="zh-CN" w:bidi="ar-SA"/>
    </w:rPr>
  </w:style>
  <w:style w:type="character" w:customStyle="1" w:styleId="743">
    <w:name w:val="heading 9 Char1"/>
    <w:qFormat/>
    <w:uiPriority w:val="0"/>
    <w:rPr>
      <w:rFonts w:ascii="Tahoma" w:hAnsi="Tahoma" w:eastAsia="Helvetica"/>
      <w:sz w:val="21"/>
      <w:lang w:val="en-US" w:eastAsia="zh-CN" w:bidi="ar-SA"/>
    </w:rPr>
  </w:style>
  <w:style w:type="character" w:customStyle="1" w:styleId="744">
    <w:name w:val="PI Char1"/>
    <w:qFormat/>
    <w:uiPriority w:val="0"/>
    <w:rPr>
      <w:rFonts w:eastAsia="仿宋_GB2312"/>
      <w:kern w:val="2"/>
      <w:sz w:val="24"/>
      <w:szCs w:val="24"/>
      <w:lang w:val="en-US" w:eastAsia="zh-CN" w:bidi="ar-SA"/>
    </w:rPr>
  </w:style>
  <w:style w:type="character" w:customStyle="1" w:styleId="745">
    <w:name w:val="注释正文"/>
    <w:qFormat/>
    <w:uiPriority w:val="0"/>
    <w:rPr>
      <w:rFonts w:eastAsia="宋体"/>
      <w:sz w:val="28"/>
      <w:u w:val="single"/>
    </w:rPr>
  </w:style>
  <w:style w:type="character" w:customStyle="1" w:styleId="746">
    <w:name w:val="样式 标题 3 + 黑体 小四 Char"/>
    <w:link w:val="747"/>
    <w:qFormat/>
    <w:uiPriority w:val="0"/>
    <w:rPr>
      <w:rFonts w:ascii="Helvetica" w:hAnsi="Tahoma" w:eastAsia="Helvetica"/>
      <w:bCs/>
      <w:sz w:val="24"/>
      <w:szCs w:val="24"/>
    </w:rPr>
  </w:style>
  <w:style w:type="paragraph" w:customStyle="1" w:styleId="747">
    <w:name w:val="样式 标题 3 + 黑体 小四"/>
    <w:basedOn w:val="7"/>
    <w:link w:val="746"/>
    <w:qFormat/>
    <w:uiPriority w:val="0"/>
    <w:pPr>
      <w:spacing w:before="0" w:after="0" w:line="415" w:lineRule="auto"/>
    </w:pPr>
    <w:rPr>
      <w:rFonts w:ascii="Helvetica" w:hAnsi="Tahoma" w:eastAsia="Helvetica"/>
      <w:b w:val="0"/>
      <w:kern w:val="0"/>
      <w:sz w:val="24"/>
      <w:szCs w:val="24"/>
    </w:rPr>
  </w:style>
  <w:style w:type="character" w:customStyle="1" w:styleId="748">
    <w:name w:val="宏文本 Char"/>
    <w:qFormat/>
    <w:uiPriority w:val="0"/>
    <w:rPr>
      <w:rFonts w:ascii="Wingdings" w:hAnsi="Wingdings" w:eastAsia="Times New Roman"/>
      <w:kern w:val="2"/>
      <w:sz w:val="24"/>
      <w:szCs w:val="24"/>
    </w:rPr>
  </w:style>
  <w:style w:type="character" w:customStyle="1" w:styleId="749">
    <w:name w:val="Subtle Reference1"/>
    <w:qFormat/>
    <w:uiPriority w:val="0"/>
    <w:rPr>
      <w:smallCaps/>
      <w:color w:val="C0504D"/>
      <w:u w:val="single"/>
    </w:rPr>
  </w:style>
  <w:style w:type="character" w:customStyle="1" w:styleId="750">
    <w:name w:val="Char Char191"/>
    <w:qFormat/>
    <w:uiPriority w:val="0"/>
    <w:rPr>
      <w:rFonts w:ascii="Verdana" w:hAnsi="Verdana"/>
      <w:b/>
      <w:bCs/>
      <w:kern w:val="2"/>
      <w:sz w:val="32"/>
      <w:szCs w:val="32"/>
    </w:rPr>
  </w:style>
  <w:style w:type="character" w:customStyle="1" w:styleId="751">
    <w:name w:val="Char Char Char2"/>
    <w:qFormat/>
    <w:uiPriority w:val="0"/>
    <w:rPr>
      <w:rFonts w:ascii="仿宋_GB2312" w:hAnsi="Wingdings" w:eastAsia="仿宋_GB2312"/>
      <w:sz w:val="21"/>
      <w:szCs w:val="21"/>
      <w:lang w:val="en-US" w:eastAsia="zh-CN" w:bidi="ar-SA"/>
    </w:rPr>
  </w:style>
  <w:style w:type="character" w:customStyle="1" w:styleId="752">
    <w:name w:val="PI Char2"/>
    <w:qFormat/>
    <w:uiPriority w:val="0"/>
    <w:rPr>
      <w:kern w:val="2"/>
      <w:sz w:val="24"/>
      <w:szCs w:val="24"/>
    </w:rPr>
  </w:style>
  <w:style w:type="character" w:customStyle="1" w:styleId="753">
    <w:name w:val="小标题 Char Char"/>
    <w:link w:val="754"/>
    <w:qFormat/>
    <w:uiPriority w:val="0"/>
    <w:rPr>
      <w:rFonts w:ascii="黑体" w:hAnsi="黑体" w:eastAsia="黑体"/>
      <w:b/>
      <w:bCs/>
      <w:kern w:val="2"/>
      <w:sz w:val="48"/>
      <w:szCs w:val="48"/>
    </w:rPr>
  </w:style>
  <w:style w:type="paragraph" w:customStyle="1" w:styleId="754">
    <w:name w:val="小标题"/>
    <w:basedOn w:val="1"/>
    <w:link w:val="753"/>
    <w:qFormat/>
    <w:uiPriority w:val="0"/>
    <w:pPr>
      <w:spacing w:line="40" w:lineRule="atLeast"/>
    </w:pPr>
    <w:rPr>
      <w:rFonts w:ascii="黑体" w:hAnsi="黑体" w:eastAsia="黑体"/>
      <w:b/>
      <w:bCs/>
      <w:sz w:val="48"/>
      <w:szCs w:val="48"/>
    </w:rPr>
  </w:style>
  <w:style w:type="paragraph" w:customStyle="1" w:styleId="755">
    <w:name w:val="標題10.3-1"/>
    <w:basedOn w:val="756"/>
    <w:qFormat/>
    <w:uiPriority w:val="0"/>
    <w:pPr>
      <w:tabs>
        <w:tab w:val="left" w:pos="5529"/>
      </w:tabs>
      <w:adjustRightInd/>
      <w:spacing w:line="240" w:lineRule="atLeast"/>
      <w:ind w:left="993" w:hanging="284"/>
      <w:textAlignment w:val="auto"/>
    </w:pPr>
    <w:rPr>
      <w:rFonts w:ascii="Times New Roman"/>
      <w:kern w:val="2"/>
      <w:sz w:val="24"/>
      <w:szCs w:val="24"/>
    </w:rPr>
  </w:style>
  <w:style w:type="paragraph" w:customStyle="1" w:styleId="756">
    <w:name w:val="標題 (1)"/>
    <w:basedOn w:val="1"/>
    <w:qFormat/>
    <w:uiPriority w:val="0"/>
    <w:pPr>
      <w:adjustRightInd w:val="0"/>
      <w:spacing w:line="567" w:lineRule="atLeast"/>
      <w:ind w:left="1560" w:hanging="709" w:firstLineChars="200"/>
      <w:textAlignment w:val="baseline"/>
    </w:pPr>
    <w:rPr>
      <w:rFonts w:ascii="PMingLiU" w:hAnsi="等线" w:eastAsia="PMingLiU" w:cs="等线"/>
      <w:kern w:val="0"/>
      <w:sz w:val="28"/>
      <w:szCs w:val="20"/>
      <w:lang w:eastAsia="zh-TW"/>
    </w:rPr>
  </w:style>
  <w:style w:type="paragraph" w:customStyle="1" w:styleId="757">
    <w:name w:val="日期1"/>
    <w:basedOn w:val="1"/>
    <w:next w:val="1"/>
    <w:qFormat/>
    <w:uiPriority w:val="0"/>
    <w:pPr>
      <w:tabs>
        <w:tab w:val="left" w:pos="425"/>
      </w:tabs>
      <w:autoSpaceDE w:val="0"/>
      <w:autoSpaceDN w:val="0"/>
      <w:adjustRightInd w:val="0"/>
      <w:spacing w:before="60" w:after="60" w:line="312" w:lineRule="atLeast"/>
      <w:ind w:left="420" w:firstLine="200" w:firstLineChars="200"/>
      <w:jc w:val="right"/>
      <w:textAlignment w:val="baseline"/>
    </w:pPr>
    <w:rPr>
      <w:rFonts w:ascii="等线" w:hAnsi="等线" w:eastAsia="等线" w:cs="等线"/>
      <w:kern w:val="0"/>
      <w:sz w:val="44"/>
      <w:szCs w:val="20"/>
    </w:rPr>
  </w:style>
  <w:style w:type="paragraph" w:customStyle="1" w:styleId="758">
    <w:name w:val="Char11"/>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759">
    <w:name w:val="kpk:1级"/>
    <w:basedOn w:val="5"/>
    <w:qFormat/>
    <w:uiPriority w:val="0"/>
    <w:pPr>
      <w:keepLines/>
      <w:tabs>
        <w:tab w:val="left" w:pos="420"/>
        <w:tab w:val="left" w:pos="643"/>
      </w:tabs>
      <w:spacing w:beforeLines="120" w:afterLines="100"/>
      <w:ind w:firstLine="200" w:firstLineChars="200"/>
      <w:jc w:val="both"/>
    </w:pPr>
    <w:rPr>
      <w:rFonts w:ascii="黑体" w:hAnsi="等线" w:eastAsia="等线"/>
      <w:b/>
      <w:bCs/>
      <w:kern w:val="44"/>
      <w:sz w:val="30"/>
      <w:szCs w:val="32"/>
    </w:rPr>
  </w:style>
  <w:style w:type="paragraph" w:customStyle="1" w:styleId="760">
    <w:name w:val="前言、引言标题"/>
    <w:next w:val="1"/>
    <w:qFormat/>
    <w:uiPriority w:val="0"/>
    <w:pPr>
      <w:shd w:val="clear" w:color="FFFFFF" w:fill="FFFFFF"/>
      <w:spacing w:before="640" w:after="560"/>
      <w:jc w:val="center"/>
      <w:outlineLvl w:val="0"/>
    </w:pPr>
    <w:rPr>
      <w:rFonts w:ascii="Helvetica" w:hAnsi="等线" w:eastAsia="Helvetica" w:cs="等线"/>
      <w:sz w:val="32"/>
      <w:lang w:val="en-US" w:eastAsia="zh-CN" w:bidi="ar-SA"/>
    </w:rPr>
  </w:style>
  <w:style w:type="paragraph" w:customStyle="1" w:styleId="761">
    <w:name w:val="正文文字"/>
    <w:basedOn w:val="1"/>
    <w:qFormat/>
    <w:uiPriority w:val="99"/>
    <w:pPr>
      <w:spacing w:line="360" w:lineRule="auto"/>
      <w:ind w:firstLine="200" w:firstLineChars="200"/>
      <w:textAlignment w:val="top"/>
    </w:pPr>
    <w:rPr>
      <w:rFonts w:ascii="等线" w:hAnsi="等线" w:eastAsia="等线" w:cs="等线"/>
      <w:color w:val="000000"/>
      <w:kern w:val="0"/>
      <w:sz w:val="24"/>
      <w:szCs w:val="21"/>
    </w:rPr>
  </w:style>
  <w:style w:type="paragraph" w:customStyle="1" w:styleId="762">
    <w:name w:val="部分1"/>
    <w:basedOn w:val="1"/>
    <w:qFormat/>
    <w:uiPriority w:val="0"/>
    <w:pPr>
      <w:keepNext/>
      <w:pageBreakBefore/>
      <w:tabs>
        <w:tab w:val="left" w:pos="720"/>
      </w:tabs>
      <w:autoSpaceDE w:val="0"/>
      <w:autoSpaceDN w:val="0"/>
      <w:adjustRightInd w:val="0"/>
      <w:spacing w:line="360" w:lineRule="auto"/>
      <w:jc w:val="center"/>
      <w:outlineLvl w:val="0"/>
    </w:pPr>
    <w:rPr>
      <w:rFonts w:ascii="等线" w:hAnsi="等线" w:eastAsia="Helvetica" w:cs="等线"/>
      <w:b/>
      <w:kern w:val="44"/>
      <w:sz w:val="36"/>
      <w:szCs w:val="20"/>
    </w:rPr>
  </w:style>
  <w:style w:type="paragraph" w:customStyle="1" w:styleId="763">
    <w:name w:val="5"/>
    <w:basedOn w:val="1"/>
    <w:qFormat/>
    <w:uiPriority w:val="0"/>
    <w:pPr>
      <w:widowControl/>
      <w:tabs>
        <w:tab w:val="left" w:pos="420"/>
        <w:tab w:val="left" w:pos="926"/>
      </w:tabs>
      <w:spacing w:after="160" w:line="240" w:lineRule="exact"/>
      <w:ind w:firstLine="200" w:firstLineChars="200"/>
      <w:jc w:val="left"/>
    </w:pPr>
    <w:rPr>
      <w:rFonts w:ascii="等线" w:hAnsi="等线" w:eastAsia="等线" w:cs="等线"/>
      <w:szCs w:val="20"/>
    </w:rPr>
  </w:style>
  <w:style w:type="paragraph" w:customStyle="1" w:styleId="76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paragraph" w:customStyle="1" w:styleId="765">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766">
    <w:name w:val="二级标题"/>
    <w:basedOn w:val="6"/>
    <w:qFormat/>
    <w:uiPriority w:val="0"/>
    <w:pPr>
      <w:ind w:left="576" w:hanging="576"/>
    </w:pPr>
    <w:rPr>
      <w:rFonts w:ascii="华文中宋" w:hAnsi="Cambria" w:eastAsia="华文中宋"/>
      <w:kern w:val="0"/>
    </w:rPr>
  </w:style>
  <w:style w:type="paragraph" w:customStyle="1" w:styleId="767">
    <w:name w:val="数字级连标题2"/>
    <w:basedOn w:val="6"/>
    <w:next w:val="1"/>
    <w:qFormat/>
    <w:uiPriority w:val="0"/>
    <w:pPr>
      <w:tabs>
        <w:tab w:val="left" w:pos="0"/>
      </w:tabs>
      <w:spacing w:before="0" w:after="0" w:line="360" w:lineRule="auto"/>
      <w:ind w:left="567" w:hanging="567"/>
    </w:pPr>
    <w:rPr>
      <w:rFonts w:ascii="Times New Roman" w:hAnsi="Times New Roman" w:eastAsia="等线"/>
      <w:bCs w:val="0"/>
      <w:sz w:val="28"/>
      <w:szCs w:val="20"/>
      <w:lang w:eastAsia="ar-SA"/>
    </w:rPr>
  </w:style>
  <w:style w:type="paragraph" w:customStyle="1" w:styleId="768">
    <w:name w:val="四级条标题"/>
    <w:basedOn w:val="769"/>
    <w:next w:val="1"/>
    <w:qFormat/>
    <w:uiPriority w:val="0"/>
    <w:pPr>
      <w:outlineLvl w:val="5"/>
    </w:pPr>
  </w:style>
  <w:style w:type="paragraph" w:customStyle="1" w:styleId="769">
    <w:name w:val="三级条标题"/>
    <w:basedOn w:val="770"/>
    <w:next w:val="1"/>
    <w:qFormat/>
    <w:uiPriority w:val="0"/>
    <w:pPr>
      <w:outlineLvl w:val="4"/>
    </w:pPr>
  </w:style>
  <w:style w:type="paragraph" w:customStyle="1" w:styleId="770">
    <w:name w:val="二级条标题"/>
    <w:basedOn w:val="771"/>
    <w:next w:val="1"/>
    <w:qFormat/>
    <w:uiPriority w:val="0"/>
    <w:pPr>
      <w:outlineLvl w:val="3"/>
    </w:pPr>
  </w:style>
  <w:style w:type="paragraph" w:customStyle="1" w:styleId="771">
    <w:name w:val="一级条标题"/>
    <w:next w:val="1"/>
    <w:qFormat/>
    <w:uiPriority w:val="0"/>
    <w:pPr>
      <w:outlineLvl w:val="2"/>
    </w:pPr>
    <w:rPr>
      <w:rFonts w:ascii="等线" w:hAnsi="等线" w:eastAsia="Helvetica" w:cs="等线"/>
      <w:sz w:val="21"/>
      <w:lang w:val="en-US" w:eastAsia="zh-CN" w:bidi="ar-SA"/>
    </w:rPr>
  </w:style>
  <w:style w:type="paragraph" w:customStyle="1" w:styleId="772">
    <w:name w:val="样式 标题 3 + 黑色 段前: 5 磅 段后: 5 磅 行距: 1.5 倍行距"/>
    <w:basedOn w:val="1"/>
    <w:qFormat/>
    <w:uiPriority w:val="0"/>
    <w:pPr>
      <w:ind w:left="855" w:hanging="855"/>
    </w:pPr>
    <w:rPr>
      <w:rFonts w:ascii="等线" w:hAnsi="等线" w:eastAsia="等线" w:cs="等线"/>
      <w:sz w:val="24"/>
      <w:szCs w:val="20"/>
    </w:rPr>
  </w:style>
  <w:style w:type="paragraph" w:customStyle="1" w:styleId="773">
    <w:name w:val="正文首行缩进1"/>
    <w:basedOn w:val="2"/>
    <w:qFormat/>
    <w:uiPriority w:val="0"/>
    <w:pPr>
      <w:suppressAutoHyphens/>
      <w:spacing w:after="120"/>
      <w:ind w:firstLine="420"/>
      <w:jc w:val="left"/>
    </w:pPr>
    <w:rPr>
      <w:rFonts w:ascii="等线" w:hAnsi="等线" w:cs="等线"/>
      <w:bCs w:val="0"/>
      <w:kern w:val="1"/>
      <w:sz w:val="28"/>
      <w:lang w:eastAsia="ar-SA"/>
    </w:rPr>
  </w:style>
  <w:style w:type="paragraph" w:customStyle="1" w:styleId="774">
    <w:name w:val="样式 首行缩进:  1 厘米"/>
    <w:basedOn w:val="1"/>
    <w:qFormat/>
    <w:uiPriority w:val="0"/>
    <w:pPr>
      <w:autoSpaceDE w:val="0"/>
      <w:autoSpaceDN w:val="0"/>
      <w:adjustRightInd w:val="0"/>
      <w:ind w:firstLine="567"/>
      <w:textAlignment w:val="baseline"/>
    </w:pPr>
    <w:rPr>
      <w:rFonts w:ascii="等线" w:hAnsi="等线" w:eastAsia="等线" w:cs="宋体"/>
      <w:kern w:val="0"/>
      <w:sz w:val="28"/>
      <w:szCs w:val="28"/>
    </w:rPr>
  </w:style>
  <w:style w:type="character" w:customStyle="1" w:styleId="775">
    <w:name w:val="HTML 预设格式 字符"/>
    <w:qFormat/>
    <w:uiPriority w:val="0"/>
    <w:rPr>
      <w:rFonts w:ascii="Courier New" w:hAnsi="Courier New" w:cs="Courier New"/>
      <w:kern w:val="2"/>
    </w:rPr>
  </w:style>
  <w:style w:type="paragraph" w:customStyle="1" w:styleId="776">
    <w:name w:val="正文文本缩进 21"/>
    <w:basedOn w:val="1"/>
    <w:qFormat/>
    <w:uiPriority w:val="0"/>
    <w:pPr>
      <w:adjustRightInd w:val="0"/>
      <w:spacing w:line="580" w:lineRule="atLeast"/>
      <w:ind w:right="-57" w:firstLine="570"/>
      <w:jc w:val="left"/>
      <w:textAlignment w:val="baseline"/>
    </w:pPr>
    <w:rPr>
      <w:rFonts w:ascii="楷体_GB2312" w:hAnsi="等线" w:eastAsia="楷体_GB2312" w:cs="等线"/>
      <w:sz w:val="28"/>
      <w:szCs w:val="20"/>
    </w:rPr>
  </w:style>
  <w:style w:type="paragraph" w:customStyle="1" w:styleId="777">
    <w:name w:val="1 Char"/>
    <w:basedOn w:val="11"/>
    <w:qFormat/>
    <w:uiPriority w:val="0"/>
    <w:pPr>
      <w:spacing w:after="0" w:line="360" w:lineRule="auto"/>
    </w:pPr>
    <w:rPr>
      <w:rFonts w:eastAsia="仿宋_GB2312"/>
      <w:sz w:val="21"/>
    </w:rPr>
  </w:style>
  <w:style w:type="paragraph" w:customStyle="1" w:styleId="778">
    <w:name w:val="Char1 Char Char Char Char"/>
    <w:basedOn w:val="21"/>
    <w:qFormat/>
    <w:uiPriority w:val="0"/>
    <w:rPr>
      <w:rFonts w:ascii="Tahoma" w:hAnsi="Tahoma" w:eastAsia="等线" w:cs="Tahoma"/>
      <w:kern w:val="0"/>
      <w:sz w:val="18"/>
    </w:rPr>
  </w:style>
  <w:style w:type="paragraph" w:customStyle="1" w:styleId="779">
    <w:name w:val="ÕýÎÄ"/>
    <w:qFormat/>
    <w:uiPriority w:val="0"/>
    <w:pPr>
      <w:widowControl w:val="0"/>
      <w:overflowPunct w:val="0"/>
      <w:autoSpaceDE w:val="0"/>
      <w:autoSpaceDN w:val="0"/>
      <w:adjustRightInd w:val="0"/>
      <w:textAlignment w:val="baseline"/>
    </w:pPr>
    <w:rPr>
      <w:rFonts w:ascii="等线" w:hAnsi="等线" w:eastAsia="等线" w:cs="等线"/>
      <w:lang w:val="en-US" w:eastAsia="zh-CN" w:bidi="ar-SA"/>
    </w:rPr>
  </w:style>
  <w:style w:type="paragraph" w:customStyle="1" w:styleId="7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781">
    <w:name w:val="Intense Quote1"/>
    <w:basedOn w:val="1"/>
    <w:next w:val="1"/>
    <w:qFormat/>
    <w:uiPriority w:val="0"/>
    <w:pPr>
      <w:pBdr>
        <w:bottom w:val="single" w:color="4F81BD" w:sz="4" w:space="4"/>
      </w:pBdr>
      <w:spacing w:before="200" w:after="280"/>
      <w:ind w:left="936" w:right="936"/>
    </w:pPr>
    <w:rPr>
      <w:rFonts w:ascii="Century Gothic" w:hAnsi="Century Gothic" w:eastAsia="仿宋_GB2312" w:cs="新宋体"/>
      <w:b/>
      <w:bCs/>
      <w:i/>
      <w:iCs/>
      <w:color w:val="4F81BD"/>
      <w:kern w:val="0"/>
      <w:sz w:val="20"/>
      <w:szCs w:val="20"/>
    </w:rPr>
  </w:style>
  <w:style w:type="paragraph" w:customStyle="1" w:styleId="782">
    <w:name w:val="样式 正文缩进正文（首行缩进两字）表正文正文非缩进特点段1正文不缩进标题4水上软件ALT+Z四号正文文字3..."/>
    <w:basedOn w:val="11"/>
    <w:qFormat/>
    <w:uiPriority w:val="0"/>
    <w:pPr>
      <w:spacing w:after="0" w:line="360" w:lineRule="auto"/>
      <w:ind w:firstLine="480"/>
    </w:pPr>
    <w:rPr>
      <w:rFonts w:ascii="Calibri" w:hAnsi="Calibri" w:eastAsia="等线" w:cs="宋体"/>
      <w:kern w:val="0"/>
    </w:rPr>
  </w:style>
  <w:style w:type="paragraph" w:customStyle="1" w:styleId="783">
    <w:name w:val="标书正文格式"/>
    <w:qFormat/>
    <w:uiPriority w:val="0"/>
    <w:pPr>
      <w:spacing w:line="360" w:lineRule="auto"/>
      <w:ind w:firstLine="200" w:firstLineChars="200"/>
    </w:pPr>
    <w:rPr>
      <w:rFonts w:ascii="等线" w:hAnsi="等线" w:eastAsia="Arial Unicode MS" w:cs="等线"/>
      <w:kern w:val="2"/>
      <w:sz w:val="24"/>
      <w:szCs w:val="24"/>
      <w:lang w:val="en-US" w:eastAsia="zh-CN" w:bidi="ar-SA"/>
    </w:rPr>
  </w:style>
  <w:style w:type="paragraph" w:customStyle="1" w:styleId="784">
    <w:name w:val="技术报告正文"/>
    <w:basedOn w:val="1"/>
    <w:qFormat/>
    <w:uiPriority w:val="0"/>
    <w:pPr>
      <w:autoSpaceDE w:val="0"/>
      <w:autoSpaceDN w:val="0"/>
      <w:adjustRightInd w:val="0"/>
      <w:spacing w:beforeLines="50" w:line="440" w:lineRule="exact"/>
      <w:ind w:firstLine="538" w:firstLineChars="192"/>
      <w:jc w:val="left"/>
    </w:pPr>
    <w:rPr>
      <w:rFonts w:ascii="等线" w:hAnsi="等线" w:eastAsia="等线" w:cs="Tahoma"/>
      <w:bCs/>
      <w:kern w:val="0"/>
      <w:sz w:val="28"/>
      <w:szCs w:val="20"/>
    </w:rPr>
  </w:style>
  <w:style w:type="paragraph" w:customStyle="1" w:styleId="785">
    <w:name w:val="无间距1"/>
    <w:basedOn w:val="1"/>
    <w:qFormat/>
    <w:uiPriority w:val="0"/>
    <w:pPr>
      <w:spacing w:line="360" w:lineRule="auto"/>
      <w:ind w:firstLine="200" w:firstLineChars="200"/>
      <w:jc w:val="center"/>
    </w:pPr>
    <w:rPr>
      <w:rFonts w:ascii="等线" w:hAnsi="等线" w:eastAsia="楷体" w:cs="黑体"/>
      <w:sz w:val="24"/>
    </w:rPr>
  </w:style>
  <w:style w:type="paragraph" w:customStyle="1" w:styleId="786">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黑体" w:hAnsi="等线" w:eastAsia="Calibri" w:cs="等线"/>
      <w:kern w:val="0"/>
      <w:sz w:val="24"/>
      <w:szCs w:val="20"/>
    </w:rPr>
  </w:style>
  <w:style w:type="paragraph" w:customStyle="1" w:styleId="787">
    <w:name w:val="注："/>
    <w:next w:val="119"/>
    <w:qFormat/>
    <w:uiPriority w:val="0"/>
    <w:pPr>
      <w:widowControl w:val="0"/>
      <w:tabs>
        <w:tab w:val="left" w:pos="420"/>
      </w:tabs>
      <w:autoSpaceDE w:val="0"/>
      <w:autoSpaceDN w:val="0"/>
      <w:ind w:left="420" w:hanging="420"/>
      <w:jc w:val="both"/>
    </w:pPr>
    <w:rPr>
      <w:rFonts w:ascii="宋体" w:hAnsi="等线" w:eastAsia="等线" w:cs="等线"/>
      <w:sz w:val="18"/>
      <w:szCs w:val="18"/>
      <w:lang w:val="en-US" w:eastAsia="zh-CN" w:bidi="ar-SA"/>
    </w:rPr>
  </w:style>
  <w:style w:type="paragraph" w:customStyle="1" w:styleId="788">
    <w:name w:val="Char Char Char Char11"/>
    <w:basedOn w:val="1"/>
    <w:qFormat/>
    <w:uiPriority w:val="0"/>
    <w:pPr>
      <w:autoSpaceDE w:val="0"/>
      <w:autoSpaceDN w:val="0"/>
      <w:adjustRightInd w:val="0"/>
      <w:jc w:val="left"/>
    </w:pPr>
    <w:rPr>
      <w:rFonts w:ascii="Cambria" w:hAnsi="Cambria" w:eastAsia="等线" w:cs="等线"/>
      <w:kern w:val="0"/>
      <w:sz w:val="24"/>
      <w:szCs w:val="20"/>
    </w:rPr>
  </w:style>
  <w:style w:type="paragraph" w:customStyle="1" w:styleId="789">
    <w:name w:val="样式 标题 2 + 黑体 行距: 1.5 倍行距"/>
    <w:basedOn w:val="1"/>
    <w:qFormat/>
    <w:uiPriority w:val="0"/>
    <w:pPr>
      <w:tabs>
        <w:tab w:val="left" w:pos="360"/>
        <w:tab w:val="left" w:pos="576"/>
      </w:tabs>
      <w:spacing w:line="360" w:lineRule="auto"/>
      <w:ind w:firstLine="200" w:firstLineChars="200"/>
    </w:pPr>
    <w:rPr>
      <w:rFonts w:ascii="等线" w:hAnsi="等线" w:eastAsia="等线" w:cs="等线"/>
      <w:szCs w:val="20"/>
    </w:rPr>
  </w:style>
  <w:style w:type="paragraph" w:customStyle="1" w:styleId="790">
    <w:name w:val="內文項目之符號"/>
    <w:basedOn w:val="1"/>
    <w:qFormat/>
    <w:uiPriority w:val="0"/>
    <w:pPr>
      <w:widowControl/>
      <w:tabs>
        <w:tab w:val="left" w:pos="1080"/>
      </w:tabs>
      <w:spacing w:before="120" w:line="560" w:lineRule="exact"/>
      <w:ind w:left="1080" w:hanging="1080" w:firstLineChars="200"/>
    </w:pPr>
    <w:rPr>
      <w:rFonts w:ascii="等线" w:hAnsi="等线" w:eastAsia="DFKai-SB" w:cs="等线"/>
      <w:kern w:val="0"/>
      <w:sz w:val="28"/>
      <w:lang w:eastAsia="zh-TW"/>
    </w:rPr>
  </w:style>
  <w:style w:type="paragraph" w:customStyle="1" w:styleId="791">
    <w:name w:val="Para"/>
    <w:qFormat/>
    <w:uiPriority w:val="0"/>
    <w:pPr>
      <w:spacing w:before="120"/>
    </w:pPr>
    <w:rPr>
      <w:rFonts w:ascii="等线" w:hAnsi="等线" w:eastAsia="等线" w:cs="等线"/>
      <w:sz w:val="18"/>
      <w:lang w:val="en-US" w:eastAsia="zh-CN" w:bidi="ar-SA"/>
    </w:rPr>
  </w:style>
  <w:style w:type="paragraph" w:customStyle="1" w:styleId="792">
    <w:name w:val="标题五"/>
    <w:basedOn w:val="1"/>
    <w:qFormat/>
    <w:uiPriority w:val="0"/>
    <w:pPr>
      <w:tabs>
        <w:tab w:val="left" w:pos="1440"/>
      </w:tabs>
      <w:autoSpaceDE w:val="0"/>
      <w:autoSpaceDN w:val="0"/>
      <w:adjustRightInd w:val="0"/>
      <w:spacing w:beforeLines="50" w:line="360" w:lineRule="auto"/>
      <w:ind w:left="1440" w:hanging="420"/>
      <w:jc w:val="left"/>
    </w:pPr>
    <w:rPr>
      <w:rFonts w:ascii="等线" w:hAnsi="等线" w:eastAsia="等线" w:cs="等线"/>
      <w:b/>
      <w:kern w:val="0"/>
      <w:sz w:val="24"/>
      <w:szCs w:val="20"/>
    </w:rPr>
  </w:style>
  <w:style w:type="paragraph" w:customStyle="1" w:styleId="793">
    <w:name w:val="rm"/>
    <w:basedOn w:val="1"/>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794">
    <w:name w:val="技术方案正文样式"/>
    <w:basedOn w:val="1"/>
    <w:qFormat/>
    <w:uiPriority w:val="0"/>
    <w:pPr>
      <w:autoSpaceDE w:val="0"/>
      <w:autoSpaceDN w:val="0"/>
      <w:adjustRightInd w:val="0"/>
      <w:spacing w:line="400" w:lineRule="exact"/>
      <w:ind w:firstLine="480" w:firstLineChars="200"/>
    </w:pPr>
    <w:rPr>
      <w:rFonts w:ascii="宋体" w:hAnsi="宋体" w:eastAsia="等线" w:cs="宋体"/>
      <w:sz w:val="24"/>
      <w:szCs w:val="21"/>
    </w:rPr>
  </w:style>
  <w:style w:type="paragraph" w:customStyle="1" w:styleId="795">
    <w:name w:val="NICMAN Body Text"/>
    <w:basedOn w:val="1"/>
    <w:next w:val="2"/>
    <w:qFormat/>
    <w:uiPriority w:val="0"/>
    <w:pPr>
      <w:autoSpaceDE w:val="0"/>
      <w:autoSpaceDN w:val="0"/>
      <w:adjustRightInd w:val="0"/>
      <w:spacing w:after="120"/>
      <w:jc w:val="left"/>
    </w:pPr>
    <w:rPr>
      <w:rFonts w:ascii="等线" w:hAnsi="等线" w:eastAsia="等线" w:cs="等线"/>
      <w:kern w:val="0"/>
      <w:sz w:val="20"/>
      <w:szCs w:val="20"/>
    </w:rPr>
  </w:style>
  <w:style w:type="paragraph" w:customStyle="1" w:styleId="796">
    <w:name w:val="第一個訊息標題"/>
    <w:basedOn w:val="57"/>
    <w:next w:val="57"/>
    <w:qFormat/>
    <w:uiPriority w:val="0"/>
    <w:pPr>
      <w:keepLines/>
      <w:widowControl/>
      <w:pBdr>
        <w:top w:val="none" w:color="auto" w:sz="0" w:space="0"/>
        <w:left w:val="none" w:color="auto" w:sz="0" w:space="0"/>
        <w:bottom w:val="none" w:color="auto" w:sz="0" w:space="0"/>
        <w:right w:val="none" w:color="auto" w:sz="0" w:space="0"/>
      </w:pBdr>
      <w:shd w:val="clear" w:color="auto" w:fill="auto"/>
      <w:tabs>
        <w:tab w:val="left" w:pos="1560"/>
        <w:tab w:val="left" w:pos="4920"/>
        <w:tab w:val="left" w:pos="5640"/>
      </w:tabs>
      <w:overflowPunct w:val="0"/>
      <w:autoSpaceDE w:val="0"/>
      <w:autoSpaceDN w:val="0"/>
      <w:spacing w:line="533" w:lineRule="auto"/>
      <w:ind w:left="1560" w:leftChars="0" w:right="-120" w:hanging="720" w:firstLineChars="0"/>
    </w:pPr>
    <w:rPr>
      <w:rFonts w:eastAsia="MingLiU"/>
      <w:sz w:val="20"/>
      <w:szCs w:val="20"/>
    </w:rPr>
  </w:style>
  <w:style w:type="paragraph" w:customStyle="1" w:styleId="797">
    <w:name w:val="Normal_2"/>
    <w:qFormat/>
    <w:uiPriority w:val="0"/>
    <w:pPr>
      <w:spacing w:before="120" w:after="240"/>
      <w:jc w:val="both"/>
    </w:pPr>
    <w:rPr>
      <w:rFonts w:ascii="等线" w:hAnsi="等线" w:eastAsia="Times New Roman" w:cs="等线"/>
      <w:sz w:val="22"/>
      <w:szCs w:val="22"/>
      <w:lang w:val="en-US" w:eastAsia="en-US" w:bidi="ar-SA"/>
    </w:rPr>
  </w:style>
  <w:style w:type="paragraph" w:customStyle="1" w:styleId="798">
    <w:name w:val="font13"/>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799">
    <w:name w:val="xl9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800">
    <w:name w:val="font10"/>
    <w:basedOn w:val="1"/>
    <w:qFormat/>
    <w:uiPriority w:val="0"/>
    <w:pPr>
      <w:widowControl/>
      <w:spacing w:before="100" w:beforeAutospacing="1" w:after="100" w:afterAutospacing="1"/>
      <w:jc w:val="left"/>
    </w:pPr>
    <w:rPr>
      <w:rFonts w:ascii="等线" w:hAnsi="等线" w:eastAsia="等线" w:cs="等线"/>
      <w:kern w:val="0"/>
      <w:sz w:val="16"/>
      <w:szCs w:val="16"/>
    </w:rPr>
  </w:style>
  <w:style w:type="paragraph" w:customStyle="1" w:styleId="801">
    <w:name w:val="a5"/>
    <w:basedOn w:val="1"/>
    <w:qFormat/>
    <w:uiPriority w:val="0"/>
    <w:pPr>
      <w:widowControl/>
      <w:spacing w:before="100" w:beforeAutospacing="1" w:after="100" w:afterAutospacing="1"/>
      <w:jc w:val="left"/>
    </w:pPr>
    <w:rPr>
      <w:rFonts w:hint="eastAsia" w:ascii="宋体" w:hAnsi="宋体" w:eastAsia="等线" w:cs="等线"/>
      <w:kern w:val="0"/>
      <w:sz w:val="27"/>
      <w:szCs w:val="27"/>
    </w:rPr>
  </w:style>
  <w:style w:type="paragraph" w:customStyle="1" w:styleId="802">
    <w:name w:val="正文3"/>
    <w:qFormat/>
    <w:uiPriority w:val="0"/>
    <w:pPr>
      <w:jc w:val="both"/>
    </w:pPr>
    <w:rPr>
      <w:rFonts w:ascii="等线" w:hAnsi="等线" w:eastAsia="等线" w:cs="等线"/>
      <w:kern w:val="2"/>
      <w:sz w:val="21"/>
      <w:szCs w:val="21"/>
      <w:lang w:val="en-US" w:eastAsia="zh-CN" w:bidi="ar-SA"/>
    </w:rPr>
  </w:style>
  <w:style w:type="paragraph" w:customStyle="1" w:styleId="803">
    <w:name w:val="Char21"/>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804">
    <w:name w:val="af17cgridlangnp1033langf"/>
    <w:qFormat/>
    <w:uiPriority w:val="0"/>
    <w:pPr>
      <w:widowControl w:val="0"/>
      <w:autoSpaceDE w:val="0"/>
      <w:autoSpaceDN w:val="0"/>
      <w:adjustRightInd w:val="0"/>
      <w:spacing w:before="156" w:line="360" w:lineRule="atLeast"/>
      <w:ind w:left="567" w:firstLine="510"/>
      <w:jc w:val="both"/>
    </w:pPr>
    <w:rPr>
      <w:rFonts w:ascii="等线" w:hAnsi="等线" w:eastAsia="等线" w:cs="等线"/>
      <w:lang w:val="en-US" w:eastAsia="zh-CN" w:bidi="ar-SA"/>
    </w:rPr>
  </w:style>
  <w:style w:type="paragraph" w:customStyle="1" w:styleId="805">
    <w:name w:val="xl89"/>
    <w:basedOn w:val="1"/>
    <w:qFormat/>
    <w:uiPriority w:val="0"/>
    <w:pPr>
      <w:widowControl/>
      <w:spacing w:before="100" w:beforeAutospacing="1" w:after="100" w:afterAutospacing="1"/>
      <w:jc w:val="left"/>
    </w:pPr>
    <w:rPr>
      <w:rFonts w:ascii="仿宋_GB2312" w:hAnsi="仿宋_GB2312" w:eastAsia="等线" w:cs="仿宋_GB2312"/>
      <w:kern w:val="0"/>
      <w:sz w:val="24"/>
    </w:rPr>
  </w:style>
  <w:style w:type="paragraph" w:customStyle="1" w:styleId="806">
    <w:name w:val="Char3 Char Char Char Char Char Char"/>
    <w:basedOn w:val="1"/>
    <w:qFormat/>
    <w:uiPriority w:val="0"/>
    <w:pPr>
      <w:widowControl/>
      <w:spacing w:after="160" w:line="240" w:lineRule="exact"/>
      <w:ind w:firstLine="200" w:firstLineChars="200"/>
      <w:jc w:val="left"/>
    </w:pPr>
    <w:rPr>
      <w:rFonts w:ascii="Verdana" w:hAnsi="Verdana" w:eastAsia="等线" w:cs="等线"/>
      <w:kern w:val="0"/>
      <w:sz w:val="18"/>
      <w:szCs w:val="20"/>
      <w:lang w:eastAsia="en-US"/>
    </w:rPr>
  </w:style>
  <w:style w:type="paragraph" w:customStyle="1" w:styleId="807">
    <w:name w:val="德山-正文"/>
    <w:basedOn w:val="1"/>
    <w:qFormat/>
    <w:uiPriority w:val="0"/>
    <w:pPr>
      <w:spacing w:beforeLines="50" w:afterLines="50" w:line="360" w:lineRule="auto"/>
      <w:ind w:firstLine="200" w:firstLineChars="200"/>
    </w:pPr>
    <w:rPr>
      <w:rFonts w:ascii="Calibri" w:hAnsi="Calibri" w:eastAsia="等线" w:cs="等线"/>
      <w:sz w:val="24"/>
      <w:szCs w:val="21"/>
    </w:rPr>
  </w:style>
  <w:style w:type="paragraph" w:customStyle="1" w:styleId="808">
    <w:name w:val="样式7"/>
    <w:basedOn w:val="8"/>
    <w:qFormat/>
    <w:uiPriority w:val="0"/>
    <w:rPr>
      <w:rFonts w:ascii="Cambria" w:hAnsi="Cambria" w:eastAsia="宋体"/>
    </w:rPr>
  </w:style>
  <w:style w:type="paragraph" w:customStyle="1" w:styleId="809">
    <w:name w:val="正文缩进3"/>
    <w:basedOn w:val="1"/>
    <w:qFormat/>
    <w:uiPriority w:val="0"/>
    <w:pPr>
      <w:spacing w:line="360" w:lineRule="auto"/>
      <w:ind w:firstLine="420" w:firstLineChars="200"/>
    </w:pPr>
    <w:rPr>
      <w:rFonts w:ascii="等线" w:hAnsi="等线" w:eastAsia="等线" w:cs="等线"/>
      <w:szCs w:val="20"/>
    </w:rPr>
  </w:style>
  <w:style w:type="paragraph" w:customStyle="1" w:styleId="810">
    <w:name w:val="xl6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811">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812">
    <w:name w:val="样式 标题 3 + 黑体 小四 非加粗"/>
    <w:basedOn w:val="7"/>
    <w:qFormat/>
    <w:uiPriority w:val="0"/>
    <w:pPr>
      <w:spacing w:before="0" w:after="0" w:line="415" w:lineRule="auto"/>
    </w:pPr>
    <w:rPr>
      <w:rFonts w:ascii="Helvetica" w:hAnsi="Helvetica" w:eastAsia="Helvetica"/>
      <w:b w:val="0"/>
      <w:bCs w:val="0"/>
      <w:kern w:val="0"/>
      <w:sz w:val="24"/>
    </w:rPr>
  </w:style>
  <w:style w:type="paragraph" w:customStyle="1" w:styleId="813">
    <w:name w:val="工可正文"/>
    <w:basedOn w:val="34"/>
    <w:qFormat/>
    <w:uiPriority w:val="0"/>
    <w:pPr>
      <w:ind w:firstLine="560" w:firstLineChars="200"/>
    </w:pPr>
    <w:rPr>
      <w:rFonts w:ascii="Times New Roman" w:hAnsi="Times New Roman" w:eastAsia="等线"/>
      <w:kern w:val="0"/>
      <w:sz w:val="28"/>
    </w:rPr>
  </w:style>
  <w:style w:type="paragraph" w:customStyle="1" w:styleId="814">
    <w:name w:val="Table Contents"/>
    <w:basedOn w:val="1"/>
    <w:qFormat/>
    <w:uiPriority w:val="0"/>
    <w:pPr>
      <w:suppressAutoHyphens/>
      <w:autoSpaceDE w:val="0"/>
      <w:autoSpaceDN w:val="0"/>
      <w:adjustRightInd w:val="0"/>
      <w:spacing w:after="120"/>
      <w:jc w:val="left"/>
    </w:pPr>
    <w:rPr>
      <w:rFonts w:ascii="ˎ̥" w:hAnsi="ˎ̥" w:eastAsia="等线" w:cs="等线"/>
      <w:kern w:val="1"/>
      <w:sz w:val="20"/>
      <w:szCs w:val="20"/>
    </w:rPr>
  </w:style>
  <w:style w:type="paragraph" w:customStyle="1" w:styleId="815">
    <w:name w:val="信息标题2"/>
    <w:basedOn w:val="19"/>
    <w:next w:val="19"/>
    <w:qFormat/>
    <w:uiPriority w:val="0"/>
    <w:pPr>
      <w:spacing w:beforeLines="50" w:afterLines="50" w:line="360" w:lineRule="auto"/>
      <w:ind w:left="422" w:hanging="422" w:hangingChars="200"/>
      <w:jc w:val="left"/>
    </w:pPr>
    <w:rPr>
      <w:rFonts w:ascii="Arial Black" w:hAnsi="Arial Black" w:eastAsia="宋体" w:cs="Times New Roman"/>
      <w:b/>
      <w:bCs/>
      <w:sz w:val="30"/>
    </w:rPr>
  </w:style>
  <w:style w:type="paragraph" w:customStyle="1" w:styleId="816">
    <w:name w:val="地址內名稱"/>
    <w:basedOn w:val="1"/>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81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等线" w:hAnsi="等线" w:eastAsia="等线" w:cs="等线"/>
      <w:b/>
      <w:w w:val="170"/>
      <w:sz w:val="96"/>
      <w:szCs w:val="96"/>
      <w:lang w:val="en-US" w:eastAsia="zh-CN" w:bidi="ar-SA"/>
    </w:rPr>
  </w:style>
  <w:style w:type="paragraph" w:customStyle="1" w:styleId="818">
    <w:name w:val="样式 标题 1"/>
    <w:basedOn w:val="5"/>
    <w:next w:val="1"/>
    <w:qFormat/>
    <w:uiPriority w:val="0"/>
    <w:pPr>
      <w:keepNext w:val="0"/>
      <w:pageBreakBefore/>
      <w:tabs>
        <w:tab w:val="left" w:pos="584"/>
      </w:tabs>
      <w:adjustRightInd w:val="0"/>
      <w:snapToGrid w:val="0"/>
      <w:spacing w:beforeLines="100" w:line="480" w:lineRule="exact"/>
      <w:ind w:left="360"/>
    </w:pPr>
    <w:rPr>
      <w:rFonts w:ascii="黑体" w:hAnsi="宋体" w:eastAsia="黑体" w:cs="宋体"/>
      <w:b/>
      <w:bCs/>
      <w:color w:val="000000"/>
      <w:sz w:val="36"/>
      <w:szCs w:val="36"/>
    </w:rPr>
  </w:style>
  <w:style w:type="paragraph" w:customStyle="1" w:styleId="819">
    <w:name w:val="样式 四号 首行缩进:  1 厘米"/>
    <w:basedOn w:val="1"/>
    <w:qFormat/>
    <w:uiPriority w:val="0"/>
    <w:pPr>
      <w:spacing w:line="440" w:lineRule="exact"/>
      <w:ind w:firstLine="567"/>
    </w:pPr>
    <w:rPr>
      <w:rFonts w:ascii="等线" w:hAnsi="等线" w:eastAsia="等线" w:cs="宋体"/>
      <w:sz w:val="28"/>
      <w:szCs w:val="20"/>
    </w:rPr>
  </w:style>
  <w:style w:type="paragraph" w:customStyle="1" w:styleId="820">
    <w:name w:val="Item List in Table"/>
    <w:qFormat/>
    <w:uiPriority w:val="0"/>
    <w:pPr>
      <w:tabs>
        <w:tab w:val="left" w:pos="284"/>
        <w:tab w:val="left" w:pos="720"/>
      </w:tabs>
      <w:spacing w:before="40" w:after="40"/>
      <w:ind w:left="720" w:hanging="720"/>
      <w:jc w:val="both"/>
    </w:pPr>
    <w:rPr>
      <w:rFonts w:ascii="Century Gothic" w:hAnsi="Century Gothic" w:eastAsia="等线" w:cs="Tahoma"/>
      <w:kern w:val="2"/>
      <w:sz w:val="18"/>
      <w:szCs w:val="18"/>
      <w:lang w:val="en-US" w:eastAsia="zh-CN" w:bidi="ar-SA"/>
    </w:rPr>
  </w:style>
  <w:style w:type="paragraph" w:customStyle="1" w:styleId="821">
    <w:name w:val="Body"/>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等线" w:cs="等线"/>
      <w:color w:val="000000"/>
      <w:sz w:val="18"/>
      <w:lang w:val="en-US" w:eastAsia="en-US" w:bidi="ar-SA"/>
    </w:rPr>
  </w:style>
  <w:style w:type="paragraph" w:customStyle="1" w:styleId="822">
    <w:name w:val="_Style 113"/>
    <w:basedOn w:val="1"/>
    <w:qFormat/>
    <w:uiPriority w:val="0"/>
    <w:pPr>
      <w:spacing w:line="360" w:lineRule="auto"/>
      <w:ind w:firstLine="420" w:firstLineChars="200"/>
    </w:pPr>
    <w:rPr>
      <w:rFonts w:ascii="等线" w:hAnsi="等线" w:eastAsia="等线" w:cs="等线"/>
      <w:szCs w:val="20"/>
    </w:rPr>
  </w:style>
  <w:style w:type="paragraph" w:customStyle="1" w:styleId="823">
    <w:name w:val="正文段落 Char"/>
    <w:basedOn w:val="1"/>
    <w:qFormat/>
    <w:uiPriority w:val="0"/>
    <w:pPr>
      <w:spacing w:line="360" w:lineRule="auto"/>
      <w:ind w:firstLine="480" w:firstLineChars="200"/>
    </w:pPr>
    <w:rPr>
      <w:rFonts w:ascii="等线" w:hAnsi="等线" w:eastAsia="等线" w:cs="等线"/>
      <w:kern w:val="0"/>
      <w:sz w:val="24"/>
      <w:szCs w:val="20"/>
    </w:rPr>
  </w:style>
  <w:style w:type="paragraph" w:customStyle="1" w:styleId="824">
    <w:name w:val="章标题"/>
    <w:next w:val="1"/>
    <w:qFormat/>
    <w:uiPriority w:val="0"/>
    <w:pPr>
      <w:spacing w:beforeLines="50" w:afterLines="50"/>
      <w:jc w:val="both"/>
      <w:outlineLvl w:val="1"/>
    </w:pPr>
    <w:rPr>
      <w:rFonts w:ascii="Helvetica" w:hAnsi="等线" w:eastAsia="Helvetica" w:cs="等线"/>
      <w:sz w:val="21"/>
      <w:lang w:val="en-US" w:eastAsia="zh-CN" w:bidi="ar-SA"/>
    </w:rPr>
  </w:style>
  <w:style w:type="paragraph" w:customStyle="1" w:styleId="825">
    <w:name w:val="五级条标题"/>
    <w:basedOn w:val="768"/>
    <w:next w:val="1"/>
    <w:qFormat/>
    <w:uiPriority w:val="0"/>
    <w:pPr>
      <w:outlineLvl w:val="6"/>
    </w:pPr>
  </w:style>
  <w:style w:type="paragraph" w:customStyle="1" w:styleId="826">
    <w:name w:val="條文12"/>
    <w:basedOn w:val="1"/>
    <w:qFormat/>
    <w:uiPriority w:val="0"/>
    <w:pPr>
      <w:adjustRightInd w:val="0"/>
      <w:spacing w:line="400" w:lineRule="atLeast"/>
      <w:ind w:left="1186" w:hanging="284" w:firstLineChars="200"/>
      <w:jc w:val="left"/>
      <w:textAlignment w:val="baseline"/>
    </w:pPr>
    <w:rPr>
      <w:rFonts w:ascii="全真楷書" w:hAnsi="等线" w:eastAsia="全真楷書" w:cs="等线"/>
      <w:kern w:val="0"/>
      <w:sz w:val="28"/>
      <w:szCs w:val="20"/>
      <w:lang w:eastAsia="zh-TW"/>
    </w:rPr>
  </w:style>
  <w:style w:type="paragraph" w:customStyle="1" w:styleId="827">
    <w:name w:val="数字级连标题1"/>
    <w:basedOn w:val="5"/>
    <w:next w:val="1"/>
    <w:qFormat/>
    <w:uiPriority w:val="0"/>
    <w:pPr>
      <w:keepLines/>
      <w:tabs>
        <w:tab w:val="left" w:pos="390"/>
      </w:tabs>
      <w:spacing w:line="360" w:lineRule="auto"/>
      <w:ind w:left="390" w:hanging="390"/>
      <w:jc w:val="both"/>
    </w:pPr>
    <w:rPr>
      <w:rFonts w:ascii="等线" w:hAnsi="等线" w:eastAsia="等线"/>
      <w:b/>
      <w:szCs w:val="20"/>
      <w:lang w:eastAsia="ar-SA"/>
    </w:rPr>
  </w:style>
  <w:style w:type="paragraph" w:customStyle="1" w:styleId="828">
    <w:name w:val="款1"/>
    <w:basedOn w:val="826"/>
    <w:qFormat/>
    <w:uiPriority w:val="0"/>
    <w:pPr>
      <w:ind w:left="1146"/>
    </w:pPr>
  </w:style>
  <w:style w:type="paragraph" w:customStyle="1" w:styleId="829">
    <w:name w:val="段落正文"/>
    <w:basedOn w:val="1"/>
    <w:qFormat/>
    <w:uiPriority w:val="0"/>
    <w:pPr>
      <w:spacing w:before="140" w:after="140" w:line="401" w:lineRule="auto"/>
      <w:ind w:firstLine="200" w:firstLineChars="200"/>
    </w:pPr>
    <w:rPr>
      <w:rFonts w:ascii="宋体" w:hAnsi="宋体" w:eastAsia="等线" w:cs="等线"/>
    </w:rPr>
  </w:style>
  <w:style w:type="paragraph" w:customStyle="1" w:styleId="830">
    <w:name w:val="密级编号"/>
    <w:basedOn w:val="1"/>
    <w:qFormat/>
    <w:uiPriority w:val="0"/>
    <w:pPr>
      <w:adjustRightInd w:val="0"/>
      <w:jc w:val="center"/>
      <w:textAlignment w:val="baseline"/>
    </w:pPr>
    <w:rPr>
      <w:rFonts w:ascii="仿宋_GB2312" w:hAnsi="等线" w:eastAsia="仿宋_GB2312" w:cs="等线"/>
      <w:kern w:val="0"/>
      <w:sz w:val="24"/>
      <w:szCs w:val="20"/>
    </w:rPr>
  </w:style>
  <w:style w:type="paragraph" w:customStyle="1" w:styleId="831">
    <w:name w:val="標題 (一)"/>
    <w:basedOn w:val="6"/>
    <w:qFormat/>
    <w:uiPriority w:val="0"/>
    <w:pPr>
      <w:tabs>
        <w:tab w:val="left" w:pos="709"/>
      </w:tabs>
      <w:adjustRightInd w:val="0"/>
      <w:spacing w:before="0" w:after="0" w:line="567" w:lineRule="atLeast"/>
      <w:ind w:left="709" w:hanging="567" w:firstLineChars="200"/>
      <w:textAlignment w:val="baseline"/>
      <w:outlineLvl w:val="9"/>
    </w:pPr>
    <w:rPr>
      <w:rFonts w:ascii="PMingLiU" w:hAnsi="Times New Roman" w:eastAsia="PMingLiU"/>
      <w:b w:val="0"/>
      <w:bCs w:val="0"/>
      <w:kern w:val="0"/>
      <w:sz w:val="28"/>
      <w:szCs w:val="20"/>
      <w:lang w:eastAsia="zh-TW"/>
    </w:rPr>
  </w:style>
  <w:style w:type="paragraph" w:customStyle="1" w:styleId="832">
    <w:name w:val="List Paragraph11"/>
    <w:basedOn w:val="1"/>
    <w:qFormat/>
    <w:uiPriority w:val="0"/>
    <w:pPr>
      <w:ind w:firstLine="420" w:firstLineChars="200"/>
    </w:pPr>
    <w:rPr>
      <w:rFonts w:ascii="Century Gothic" w:hAnsi="Century Gothic" w:eastAsia="仿宋_GB2312" w:cs="新宋体"/>
      <w:szCs w:val="22"/>
    </w:rPr>
  </w:style>
  <w:style w:type="paragraph" w:customStyle="1" w:styleId="833">
    <w:name w:val="正文文字 5"/>
    <w:basedOn w:val="27"/>
    <w:qFormat/>
    <w:uiPriority w:val="0"/>
    <w:pPr>
      <w:autoSpaceDE/>
      <w:autoSpaceDN/>
      <w:snapToGrid/>
      <w:spacing w:after="120" w:line="312" w:lineRule="atLeast"/>
      <w:ind w:left="420" w:firstLine="0"/>
      <w:textAlignment w:val="baseline"/>
    </w:pPr>
    <w:rPr>
      <w:rFonts w:ascii="等线" w:hAnsi="等线" w:eastAsia="宋体" w:cs="等线"/>
      <w:b w:val="0"/>
      <w:bCs w:val="0"/>
      <w:color w:val="auto"/>
      <w:kern w:val="0"/>
      <w:sz w:val="21"/>
      <w:szCs w:val="20"/>
    </w:rPr>
  </w:style>
  <w:style w:type="paragraph" w:customStyle="1" w:styleId="834">
    <w:name w:val="七级标题"/>
    <w:basedOn w:val="12"/>
    <w:qFormat/>
    <w:uiPriority w:val="0"/>
    <w:pPr>
      <w:tabs>
        <w:tab w:val="clear" w:pos="1296"/>
      </w:tabs>
      <w:ind w:left="1276" w:hanging="1276"/>
      <w:jc w:val="both"/>
    </w:pPr>
    <w:rPr>
      <w:rFonts w:ascii="黑体" w:hAnsi="黑体" w:eastAsia="黑体"/>
      <w:spacing w:val="0"/>
      <w:kern w:val="0"/>
    </w:rPr>
  </w:style>
  <w:style w:type="paragraph" w:customStyle="1" w:styleId="835">
    <w:name w:val="样式 标题 1Level 1Level 11h1II+IHeading1H1-Heading 1Header 1..."/>
    <w:basedOn w:val="5"/>
    <w:qFormat/>
    <w:uiPriority w:val="0"/>
    <w:pPr>
      <w:keepLines/>
      <w:pageBreakBefore/>
      <w:spacing w:line="360" w:lineRule="auto"/>
      <w:ind w:left="1680" w:hanging="420"/>
      <w:jc w:val="left"/>
    </w:pPr>
    <w:rPr>
      <w:rFonts w:ascii="Tahoma" w:hAnsi="Tahoma" w:eastAsia="Helvetica" w:cs="仿宋_GB2312"/>
      <w:b/>
      <w:bCs/>
      <w:kern w:val="44"/>
      <w:sz w:val="44"/>
      <w:szCs w:val="20"/>
    </w:rPr>
  </w:style>
  <w:style w:type="paragraph" w:customStyle="1" w:styleId="836">
    <w:name w:val="button"/>
    <w:basedOn w:val="1"/>
    <w:qFormat/>
    <w:uiPriority w:val="0"/>
    <w:pPr>
      <w:widowControl/>
      <w:autoSpaceDE w:val="0"/>
      <w:autoSpaceDN w:val="0"/>
      <w:adjustRightInd w:val="0"/>
      <w:spacing w:before="100" w:beforeAutospacing="1" w:after="100" w:afterAutospacing="1"/>
      <w:jc w:val="left"/>
    </w:pPr>
    <w:rPr>
      <w:rFonts w:ascii="等线" w:hAnsi="等线" w:eastAsia="等线" w:cs="等线"/>
      <w:color w:val="000000"/>
      <w:kern w:val="0"/>
      <w:sz w:val="24"/>
      <w:szCs w:val="20"/>
    </w:rPr>
  </w:style>
  <w:style w:type="paragraph" w:customStyle="1" w:styleId="837">
    <w:name w:val="正文样式 首行缩进:  0.74 厘米"/>
    <w:basedOn w:val="1"/>
    <w:qFormat/>
    <w:uiPriority w:val="0"/>
    <w:pPr>
      <w:autoSpaceDE w:val="0"/>
      <w:autoSpaceDN w:val="0"/>
      <w:adjustRightInd w:val="0"/>
      <w:spacing w:beforeLines="50" w:line="360" w:lineRule="auto"/>
      <w:ind w:firstLine="420"/>
      <w:jc w:val="left"/>
    </w:pPr>
    <w:rPr>
      <w:rFonts w:ascii="等线" w:hAnsi="等线" w:eastAsia="等线" w:cs="仿宋_GB2312"/>
      <w:kern w:val="0"/>
      <w:sz w:val="24"/>
      <w:szCs w:val="20"/>
    </w:rPr>
  </w:style>
  <w:style w:type="paragraph" w:customStyle="1" w:styleId="838">
    <w:name w:val="普通(Web)"/>
    <w:basedOn w:val="1"/>
    <w:qFormat/>
    <w:uiPriority w:val="0"/>
    <w:pPr>
      <w:widowControl/>
      <w:spacing w:before="100" w:beforeAutospacing="1" w:after="100" w:afterAutospacing="1" w:line="240" w:lineRule="atLeast"/>
      <w:ind w:firstLine="360" w:firstLineChars="200"/>
      <w:jc w:val="left"/>
    </w:pPr>
    <w:rPr>
      <w:rFonts w:ascii="宋体" w:hAnsi="宋体" w:eastAsia="等线" w:cs="等线"/>
      <w:kern w:val="0"/>
      <w:sz w:val="18"/>
      <w:szCs w:val="18"/>
    </w:rPr>
  </w:style>
  <w:style w:type="paragraph" w:customStyle="1" w:styleId="839">
    <w:name w:val="标题 11"/>
    <w:basedOn w:val="1"/>
    <w:next w:val="1"/>
    <w:qFormat/>
    <w:uiPriority w:val="0"/>
    <w:pPr>
      <w:tabs>
        <w:tab w:val="left" w:pos="420"/>
        <w:tab w:val="left" w:pos="568"/>
      </w:tabs>
      <w:adjustRightInd w:val="0"/>
      <w:spacing w:line="567" w:lineRule="atLeast"/>
      <w:ind w:firstLine="200" w:firstLineChars="200"/>
      <w:jc w:val="left"/>
      <w:textAlignment w:val="baseline"/>
    </w:pPr>
    <w:rPr>
      <w:rFonts w:ascii="MingLiU" w:hAnsi="等线" w:eastAsia="MingLiU" w:cs="等线"/>
      <w:b/>
      <w:kern w:val="0"/>
      <w:sz w:val="24"/>
      <w:szCs w:val="20"/>
      <w:lang w:eastAsia="zh-TW"/>
    </w:rPr>
  </w:style>
  <w:style w:type="paragraph" w:customStyle="1" w:styleId="840">
    <w:name w:val="Char Char Char Char Char Char Char Char Char Char Char Char1 Char"/>
    <w:basedOn w:val="1"/>
    <w:qFormat/>
    <w:uiPriority w:val="0"/>
    <w:pPr>
      <w:snapToGrid w:val="0"/>
      <w:spacing w:line="360" w:lineRule="auto"/>
      <w:ind w:firstLine="200" w:firstLineChars="200"/>
    </w:pPr>
    <w:rPr>
      <w:rFonts w:ascii="等线" w:hAnsi="等线" w:eastAsia="等线" w:cs="等线"/>
      <w:szCs w:val="20"/>
    </w:rPr>
  </w:style>
  <w:style w:type="paragraph" w:customStyle="1" w:styleId="841">
    <w:name w:val="表格栏头"/>
    <w:basedOn w:val="341"/>
    <w:next w:val="341"/>
    <w:qFormat/>
    <w:uiPriority w:val="0"/>
    <w:pPr>
      <w:widowControl/>
      <w:overflowPunct w:val="0"/>
      <w:autoSpaceDE w:val="0"/>
      <w:autoSpaceDN w:val="0"/>
      <w:snapToGrid/>
      <w:spacing w:before="312" w:after="312" w:line="360" w:lineRule="auto"/>
      <w:ind w:firstLine="200" w:firstLineChars="200"/>
      <w:jc w:val="left"/>
    </w:pPr>
    <w:rPr>
      <w:rFonts w:ascii="宋体" w:hAnsi="Tahoma" w:eastAsia="等线" w:cs="等线"/>
      <w:b/>
    </w:rPr>
  </w:style>
  <w:style w:type="paragraph" w:customStyle="1" w:styleId="842">
    <w:name w:val="Char Char Char Char Char Char Char Char Char Char Char Char Char Char Char Char Char Char Char2"/>
    <w:basedOn w:val="1"/>
    <w:qFormat/>
    <w:uiPriority w:val="0"/>
    <w:rPr>
      <w:rFonts w:ascii="黑体" w:hAnsi="等线" w:eastAsia="黑体" w:cs="等线"/>
      <w:b/>
      <w:sz w:val="32"/>
      <w:szCs w:val="32"/>
    </w:rPr>
  </w:style>
  <w:style w:type="paragraph" w:customStyle="1" w:styleId="843">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844">
    <w:name w:val="修订2"/>
    <w:qFormat/>
    <w:uiPriority w:val="99"/>
    <w:rPr>
      <w:rFonts w:ascii="等线" w:hAnsi="等线" w:eastAsia="等线" w:cs="等线"/>
      <w:kern w:val="2"/>
      <w:sz w:val="21"/>
      <w:szCs w:val="24"/>
      <w:lang w:val="en-US" w:eastAsia="zh-CN" w:bidi="ar-SA"/>
    </w:rPr>
  </w:style>
  <w:style w:type="paragraph" w:customStyle="1" w:styleId="845">
    <w:name w:val="Item Step in Table"/>
    <w:qFormat/>
    <w:uiPriority w:val="0"/>
    <w:pPr>
      <w:tabs>
        <w:tab w:val="left" w:pos="397"/>
      </w:tabs>
      <w:spacing w:before="40" w:after="40"/>
      <w:ind w:left="420" w:hanging="420"/>
      <w:jc w:val="both"/>
    </w:pPr>
    <w:rPr>
      <w:rFonts w:ascii="Arial" w:hAnsi="Arial" w:eastAsia="等线" w:cs="等线"/>
      <w:sz w:val="18"/>
      <w:lang w:val="en-US" w:eastAsia="zh-CN" w:bidi="ar-SA"/>
    </w:rPr>
  </w:style>
  <w:style w:type="paragraph" w:customStyle="1" w:styleId="846">
    <w:name w:val="样式 左侧:  0.85 厘米 首行缩进:  0.85 厘米"/>
    <w:basedOn w:val="1"/>
    <w:qFormat/>
    <w:uiPriority w:val="0"/>
    <w:pPr>
      <w:autoSpaceDE w:val="0"/>
      <w:autoSpaceDN w:val="0"/>
      <w:adjustRightInd w:val="0"/>
      <w:spacing w:line="360" w:lineRule="auto"/>
      <w:ind w:firstLine="482"/>
      <w:jc w:val="left"/>
    </w:pPr>
    <w:rPr>
      <w:rFonts w:ascii="等线" w:hAnsi="等线" w:eastAsia="等线" w:cs="仿宋_GB2312"/>
      <w:kern w:val="0"/>
      <w:sz w:val="24"/>
      <w:szCs w:val="20"/>
    </w:rPr>
  </w:style>
  <w:style w:type="paragraph" w:customStyle="1" w:styleId="847">
    <w:name w:val="Copyright"/>
    <w:basedOn w:val="2"/>
    <w:qFormat/>
    <w:uiPriority w:val="0"/>
    <w:pPr>
      <w:widowControl/>
      <w:spacing w:before="480" w:after="60" w:line="360" w:lineRule="auto"/>
      <w:ind w:firstLine="200" w:firstLineChars="200"/>
      <w:jc w:val="center"/>
    </w:pPr>
    <w:rPr>
      <w:rFonts w:ascii="Trebuchet MS" w:hAnsi="Trebuchet MS" w:eastAsia="等线" w:cs="Trebuchet MS"/>
      <w:b/>
      <w:bCs w:val="0"/>
      <w:color w:val="042D56"/>
      <w:kern w:val="0"/>
      <w:sz w:val="20"/>
    </w:rPr>
  </w:style>
  <w:style w:type="paragraph" w:customStyle="1" w:styleId="848">
    <w:name w:val="标准段落"/>
    <w:basedOn w:val="1"/>
    <w:qFormat/>
    <w:uiPriority w:val="0"/>
    <w:pPr>
      <w:spacing w:after="120" w:line="360" w:lineRule="auto"/>
      <w:ind w:firstLine="420"/>
    </w:pPr>
    <w:rPr>
      <w:rFonts w:ascii="Helvetica" w:hAnsi="仿宋_GB2312" w:eastAsia="Helvetica" w:cs="等线"/>
      <w:b/>
      <w:spacing w:val="6"/>
      <w:szCs w:val="22"/>
    </w:rPr>
  </w:style>
  <w:style w:type="paragraph" w:customStyle="1" w:styleId="849">
    <w:name w:val="features1"/>
    <w:basedOn w:val="1"/>
    <w:qFormat/>
    <w:uiPriority w:val="0"/>
    <w:pPr>
      <w:widowControl/>
      <w:spacing w:before="100" w:beforeAutospacing="1" w:after="100" w:afterAutospacing="1"/>
      <w:jc w:val="left"/>
    </w:pPr>
    <w:rPr>
      <w:rFonts w:ascii="仿宋_GB2312" w:hAnsi="仿宋_GB2312" w:eastAsia="等线" w:cs="仿宋_GB2312"/>
      <w:b/>
      <w:bCs/>
      <w:kern w:val="0"/>
      <w:sz w:val="18"/>
      <w:szCs w:val="18"/>
    </w:rPr>
  </w:style>
  <w:style w:type="paragraph" w:customStyle="1" w:styleId="850">
    <w:name w:val="kpk:2级"/>
    <w:basedOn w:val="6"/>
    <w:qFormat/>
    <w:uiPriority w:val="0"/>
    <w:pPr>
      <w:keepLines w:val="0"/>
      <w:widowControl/>
      <w:tabs>
        <w:tab w:val="left" w:pos="643"/>
        <w:tab w:val="left" w:pos="1440"/>
      </w:tabs>
      <w:spacing w:before="0" w:after="0" w:line="360" w:lineRule="auto"/>
      <w:ind w:left="357" w:hanging="357" w:firstLineChars="200"/>
    </w:pPr>
    <w:rPr>
      <w:rFonts w:eastAsia="等线"/>
      <w:sz w:val="28"/>
      <w:szCs w:val="30"/>
    </w:rPr>
  </w:style>
  <w:style w:type="paragraph" w:customStyle="1" w:styleId="851">
    <w:name w:val="Plain Text1"/>
    <w:basedOn w:val="1"/>
    <w:qFormat/>
    <w:uiPriority w:val="0"/>
    <w:pPr>
      <w:adjustRightInd w:val="0"/>
      <w:spacing w:line="360" w:lineRule="auto"/>
      <w:ind w:firstLine="200" w:firstLineChars="200"/>
      <w:jc w:val="left"/>
      <w:textAlignment w:val="baseline"/>
    </w:pPr>
    <w:rPr>
      <w:rFonts w:ascii="MingLiU" w:hAnsi="Courier New" w:eastAsia="MingLiU" w:cs="等线"/>
      <w:sz w:val="24"/>
      <w:szCs w:val="20"/>
      <w:lang w:eastAsia="zh-TW"/>
    </w:rPr>
  </w:style>
  <w:style w:type="paragraph" w:customStyle="1" w:styleId="852">
    <w:name w:val="标题11"/>
    <w:basedOn w:val="62"/>
    <w:qFormat/>
    <w:uiPriority w:val="0"/>
    <w:pPr>
      <w:spacing w:after="240"/>
      <w:ind w:firstLine="200" w:firstLineChars="200"/>
    </w:pPr>
    <w:rPr>
      <w:bCs w:val="0"/>
      <w:spacing w:val="2"/>
      <w:sz w:val="44"/>
      <w:szCs w:val="20"/>
    </w:rPr>
  </w:style>
  <w:style w:type="paragraph" w:customStyle="1" w:styleId="853">
    <w:name w:val="1."/>
    <w:basedOn w:val="7"/>
    <w:qFormat/>
    <w:uiPriority w:val="0"/>
    <w:pPr>
      <w:widowControl/>
      <w:autoSpaceDE w:val="0"/>
      <w:autoSpaceDN w:val="0"/>
      <w:adjustRightInd w:val="0"/>
      <w:spacing w:before="0" w:after="0" w:line="240" w:lineRule="atLeast"/>
      <w:ind w:left="360" w:hanging="284" w:firstLineChars="200"/>
      <w:textAlignment w:val="bottom"/>
      <w:outlineLvl w:val="9"/>
    </w:pPr>
    <w:rPr>
      <w:rFonts w:ascii="等线" w:hAnsi="等线" w:eastAsia="DFKai-SB"/>
      <w:b w:val="0"/>
      <w:bCs w:val="0"/>
      <w:kern w:val="0"/>
      <w:sz w:val="24"/>
      <w:szCs w:val="20"/>
      <w:lang w:eastAsia="zh-TW"/>
    </w:rPr>
  </w:style>
  <w:style w:type="paragraph" w:customStyle="1" w:styleId="854">
    <w:name w:val="文字"/>
    <w:basedOn w:val="1"/>
    <w:qFormat/>
    <w:uiPriority w:val="0"/>
    <w:pPr>
      <w:tabs>
        <w:tab w:val="left" w:pos="8520"/>
      </w:tabs>
      <w:spacing w:line="312" w:lineRule="auto"/>
      <w:ind w:right="-210" w:firstLine="556"/>
    </w:pPr>
    <w:rPr>
      <w:rFonts w:ascii="仿宋_GB2312" w:hAnsi="等线" w:eastAsia="等线" w:cs="等线"/>
      <w:sz w:val="28"/>
      <w:szCs w:val="20"/>
    </w:rPr>
  </w:style>
  <w:style w:type="paragraph" w:customStyle="1" w:styleId="855">
    <w:name w:val="版权"/>
    <w:basedOn w:val="1"/>
    <w:qFormat/>
    <w:uiPriority w:val="0"/>
    <w:pPr>
      <w:spacing w:before="312" w:after="312" w:line="360" w:lineRule="auto"/>
      <w:ind w:firstLine="480" w:firstLineChars="200"/>
      <w:jc w:val="center"/>
      <w:outlineLvl w:val="0"/>
    </w:pPr>
    <w:rPr>
      <w:rFonts w:ascii="华文中宋" w:hAnsi="华文中宋" w:eastAsia="等线" w:cs="等线"/>
      <w:b/>
      <w:sz w:val="24"/>
      <w:szCs w:val="20"/>
    </w:rPr>
  </w:style>
  <w:style w:type="paragraph" w:customStyle="1" w:styleId="856">
    <w:name w:val="greytypebeni"/>
    <w:basedOn w:val="1"/>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85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等线" w:eastAsia="黑体" w:cs="等线"/>
      <w:sz w:val="52"/>
      <w:szCs w:val="22"/>
      <w:lang w:val="en-US" w:eastAsia="zh-CN" w:bidi="ar-SA"/>
    </w:rPr>
  </w:style>
  <w:style w:type="paragraph" w:customStyle="1" w:styleId="858">
    <w:name w:val="Paragraf"/>
    <w:basedOn w:val="1"/>
    <w:qFormat/>
    <w:uiPriority w:val="0"/>
    <w:pPr>
      <w:widowControl/>
      <w:overflowPunct w:val="0"/>
      <w:autoSpaceDE w:val="0"/>
      <w:autoSpaceDN w:val="0"/>
      <w:adjustRightInd w:val="0"/>
      <w:spacing w:before="120" w:line="360" w:lineRule="auto"/>
      <w:ind w:left="454" w:hanging="454" w:firstLineChars="200"/>
      <w:jc w:val="left"/>
      <w:textAlignment w:val="baseline"/>
    </w:pPr>
    <w:rPr>
      <w:rFonts w:ascii="等线" w:hAnsi="等线" w:eastAsia="Times New Roman" w:cs="等线"/>
      <w:kern w:val="0"/>
      <w:sz w:val="22"/>
      <w:szCs w:val="20"/>
      <w:lang w:val="en-GB" w:eastAsia="en-US"/>
    </w:rPr>
  </w:style>
  <w:style w:type="paragraph" w:customStyle="1" w:styleId="859">
    <w:name w:val="黑列表"/>
    <w:basedOn w:val="1"/>
    <w:qFormat/>
    <w:uiPriority w:val="0"/>
    <w:pPr>
      <w:widowControl/>
      <w:tabs>
        <w:tab w:val="left" w:pos="420"/>
      </w:tabs>
      <w:adjustRightInd w:val="0"/>
      <w:spacing w:line="300" w:lineRule="auto"/>
      <w:ind w:left="300" w:leftChars="200" w:hanging="100" w:hangingChars="100"/>
      <w:jc w:val="left"/>
    </w:pPr>
    <w:rPr>
      <w:rFonts w:ascii="等线" w:hAnsi="等线" w:eastAsia="等线" w:cs="等线"/>
      <w:bCs/>
      <w:kern w:val="0"/>
      <w:sz w:val="24"/>
      <w:szCs w:val="20"/>
    </w:rPr>
  </w:style>
  <w:style w:type="paragraph" w:customStyle="1" w:styleId="860">
    <w:name w:val="正文 New New"/>
    <w:qFormat/>
    <w:uiPriority w:val="0"/>
    <w:pPr>
      <w:widowControl w:val="0"/>
      <w:jc w:val="both"/>
    </w:pPr>
    <w:rPr>
      <w:rFonts w:ascii="等线" w:hAnsi="等线" w:eastAsia="等线" w:cs="等线"/>
      <w:kern w:val="2"/>
      <w:sz w:val="21"/>
      <w:szCs w:val="24"/>
      <w:lang w:val="en-US" w:eastAsia="zh-CN" w:bidi="ar-SA"/>
    </w:rPr>
  </w:style>
  <w:style w:type="paragraph" w:customStyle="1" w:styleId="861">
    <w:name w:val="六级标题"/>
    <w:basedOn w:val="10"/>
    <w:qFormat/>
    <w:uiPriority w:val="0"/>
    <w:pPr>
      <w:tabs>
        <w:tab w:val="clear" w:pos="1152"/>
      </w:tabs>
      <w:ind w:left="1134" w:hanging="1134"/>
      <w:jc w:val="both"/>
    </w:pPr>
    <w:rPr>
      <w:rFonts w:ascii="黑体" w:hAnsi="黑体"/>
      <w:spacing w:val="0"/>
      <w:kern w:val="0"/>
    </w:rPr>
  </w:style>
  <w:style w:type="paragraph" w:customStyle="1" w:styleId="862">
    <w:name w:val="Normal0"/>
    <w:qFormat/>
    <w:uiPriority w:val="0"/>
    <w:rPr>
      <w:rFonts w:ascii="等线" w:hAnsi="等线" w:eastAsia="等线" w:cs="等线"/>
      <w:lang w:val="en-US" w:eastAsia="en-US" w:bidi="ar-SA"/>
    </w:rPr>
  </w:style>
  <w:style w:type="paragraph" w:customStyle="1" w:styleId="863">
    <w:name w:val="xl22"/>
    <w:basedOn w:val="1"/>
    <w:qFormat/>
    <w:uiPriority w:val="0"/>
    <w:pPr>
      <w:widowControl/>
      <w:spacing w:before="100" w:beforeAutospacing="1" w:after="100" w:afterAutospacing="1"/>
      <w:jc w:val="center"/>
    </w:pPr>
    <w:rPr>
      <w:rFonts w:ascii="宋体" w:hAnsi="宋体" w:eastAsia="等线" w:cs="等线"/>
      <w:kern w:val="0"/>
      <w:sz w:val="24"/>
    </w:rPr>
  </w:style>
  <w:style w:type="paragraph" w:customStyle="1" w:styleId="864">
    <w:name w:val="Quote1"/>
    <w:basedOn w:val="1"/>
    <w:next w:val="1"/>
    <w:qFormat/>
    <w:uiPriority w:val="0"/>
    <w:rPr>
      <w:rFonts w:ascii="Century Gothic" w:hAnsi="Century Gothic" w:eastAsia="仿宋_GB2312" w:cs="新宋体"/>
      <w:i/>
      <w:iCs/>
      <w:color w:val="000000"/>
      <w:kern w:val="0"/>
      <w:sz w:val="20"/>
      <w:szCs w:val="20"/>
    </w:rPr>
  </w:style>
  <w:style w:type="paragraph" w:customStyle="1" w:styleId="865">
    <w:name w:val="Char Char Char Char Char Char Char Char"/>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866">
    <w:name w:val="正文 New"/>
    <w:qFormat/>
    <w:uiPriority w:val="0"/>
    <w:pPr>
      <w:widowControl w:val="0"/>
      <w:jc w:val="both"/>
    </w:pPr>
    <w:rPr>
      <w:rFonts w:ascii="等线" w:hAnsi="等线" w:eastAsia="等线" w:cs="等线"/>
      <w:kern w:val="2"/>
      <w:sz w:val="21"/>
      <w:szCs w:val="24"/>
      <w:lang w:val="en-US" w:eastAsia="zh-CN" w:bidi="ar-SA"/>
    </w:rPr>
  </w:style>
  <w:style w:type="paragraph" w:customStyle="1" w:styleId="867">
    <w:name w:val="标-1"/>
    <w:basedOn w:val="5"/>
    <w:qFormat/>
    <w:uiPriority w:val="0"/>
    <w:pPr>
      <w:keepLines/>
      <w:tabs>
        <w:tab w:val="left" w:pos="360"/>
      </w:tabs>
      <w:spacing w:line="300" w:lineRule="auto"/>
      <w:ind w:firstLine="200" w:firstLineChars="200"/>
      <w:jc w:val="both"/>
    </w:pPr>
    <w:rPr>
      <w:rFonts w:ascii="Arial" w:hAnsi="Arial" w:eastAsia="黑体" w:cs="Arial"/>
      <w:b/>
      <w:color w:val="336699"/>
      <w:kern w:val="44"/>
      <w:sz w:val="32"/>
      <w:szCs w:val="28"/>
    </w:rPr>
  </w:style>
  <w:style w:type="paragraph" w:customStyle="1" w:styleId="868">
    <w:name w:val="標題 1."/>
    <w:basedOn w:val="7"/>
    <w:qFormat/>
    <w:uiPriority w:val="0"/>
    <w:pPr>
      <w:adjustRightInd w:val="0"/>
      <w:spacing w:before="0" w:after="0" w:line="567" w:lineRule="atLeast"/>
      <w:ind w:left="993" w:hanging="283" w:firstLineChars="200"/>
      <w:textAlignment w:val="baseline"/>
      <w:outlineLvl w:val="9"/>
    </w:pPr>
    <w:rPr>
      <w:rFonts w:ascii="PMingLiU" w:hAnsi="等线" w:eastAsia="PMingLiU"/>
      <w:b w:val="0"/>
      <w:bCs w:val="0"/>
      <w:kern w:val="0"/>
      <w:sz w:val="28"/>
      <w:szCs w:val="20"/>
      <w:lang w:eastAsia="zh-TW"/>
    </w:rPr>
  </w:style>
  <w:style w:type="paragraph" w:customStyle="1" w:styleId="869">
    <w:name w:val="此正文"/>
    <w:basedOn w:val="1"/>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870">
    <w:name w:val="Table Heading"/>
    <w:qFormat/>
    <w:uiPriority w:val="0"/>
    <w:pPr>
      <w:keepNext/>
      <w:snapToGrid w:val="0"/>
      <w:spacing w:before="80" w:after="80"/>
      <w:jc w:val="center"/>
    </w:pPr>
    <w:rPr>
      <w:rFonts w:ascii="Century Gothic" w:hAnsi="Century Gothic" w:eastAsia="Helvetica" w:cs="Tahoma"/>
      <w:kern w:val="2"/>
      <w:sz w:val="18"/>
      <w:szCs w:val="18"/>
      <w:lang w:val="en-US" w:eastAsia="zh-CN" w:bidi="ar-SA"/>
    </w:rPr>
  </w:style>
  <w:style w:type="paragraph" w:customStyle="1" w:styleId="871">
    <w:name w:val="Char Char2 字元 字元"/>
    <w:basedOn w:val="1"/>
    <w:qFormat/>
    <w:uiPriority w:val="0"/>
    <w:pPr>
      <w:widowControl/>
      <w:spacing w:after="160" w:line="240" w:lineRule="exact"/>
      <w:ind w:firstLine="200" w:firstLineChars="200"/>
      <w:jc w:val="left"/>
    </w:pPr>
    <w:rPr>
      <w:rFonts w:ascii="等线" w:hAnsi="等线" w:eastAsia="等线" w:cs="等线"/>
      <w:szCs w:val="20"/>
    </w:rPr>
  </w:style>
  <w:style w:type="paragraph" w:customStyle="1" w:styleId="872">
    <w:name w:val="xl2917089"/>
    <w:basedOn w:val="1"/>
    <w:qFormat/>
    <w:uiPriority w:val="0"/>
    <w:pPr>
      <w:widowControl/>
      <w:pBdr>
        <w:left w:val="single" w:color="auto" w:sz="4" w:space="1"/>
        <w:right w:val="single" w:color="auto" w:sz="4" w:space="1"/>
      </w:pBdr>
      <w:spacing w:before="100" w:beforeAutospacing="1" w:after="100" w:afterAutospacing="1"/>
      <w:jc w:val="center"/>
      <w:textAlignment w:val="center"/>
    </w:pPr>
    <w:rPr>
      <w:rFonts w:hint="eastAsia" w:ascii="宋体" w:hAnsi="宋体" w:eastAsia="等线" w:cs="等线"/>
      <w:kern w:val="0"/>
      <w:sz w:val="24"/>
    </w:rPr>
  </w:style>
  <w:style w:type="paragraph" w:customStyle="1" w:styleId="873">
    <w:name w:val="封面标准号2"/>
    <w:qFormat/>
    <w:uiPriority w:val="0"/>
    <w:pPr>
      <w:framePr w:w="9140" w:h="1242" w:hRule="exact" w:hSpace="284" w:wrap="around" w:vAnchor="page" w:hAnchor="page" w:x="1645" w:y="2910" w:anchorLock="1"/>
      <w:spacing w:before="357" w:line="280" w:lineRule="exact"/>
      <w:jc w:val="right"/>
    </w:pPr>
    <w:rPr>
      <w:rFonts w:ascii="黑体" w:hAnsi="等线" w:eastAsia="黑体" w:cs="等线"/>
      <w:sz w:val="28"/>
      <w:szCs w:val="28"/>
      <w:lang w:val="en-US" w:eastAsia="zh-CN" w:bidi="ar-SA"/>
    </w:rPr>
  </w:style>
  <w:style w:type="paragraph" w:customStyle="1" w:styleId="874">
    <w:name w:val="Default Text"/>
    <w:basedOn w:val="1"/>
    <w:qFormat/>
    <w:uiPriority w:val="0"/>
    <w:pPr>
      <w:autoSpaceDE w:val="0"/>
      <w:autoSpaceDN w:val="0"/>
      <w:adjustRightInd w:val="0"/>
      <w:spacing w:line="360" w:lineRule="auto"/>
      <w:ind w:firstLine="200" w:firstLineChars="200"/>
      <w:jc w:val="left"/>
    </w:pPr>
    <w:rPr>
      <w:rFonts w:ascii="等线" w:hAnsi="等线" w:eastAsia="PMingLiU" w:cs="等线"/>
      <w:kern w:val="0"/>
      <w:sz w:val="24"/>
      <w:szCs w:val="20"/>
      <w:lang w:eastAsia="zh-TW"/>
    </w:rPr>
  </w:style>
  <w:style w:type="paragraph" w:customStyle="1" w:styleId="875">
    <w:name w:val="(1)"/>
    <w:basedOn w:val="1"/>
    <w:qFormat/>
    <w:uiPriority w:val="0"/>
    <w:pPr>
      <w:adjustRightInd w:val="0"/>
      <w:spacing w:line="454" w:lineRule="atLeast"/>
      <w:ind w:left="1701" w:hanging="709" w:firstLineChars="200"/>
      <w:textAlignment w:val="baseline"/>
    </w:pPr>
    <w:rPr>
      <w:rFonts w:ascii="PMingLiU" w:hAnsi="等线" w:eastAsia="PMingLiU" w:cs="等线"/>
      <w:kern w:val="0"/>
      <w:sz w:val="28"/>
      <w:szCs w:val="20"/>
      <w:lang w:eastAsia="zh-TW"/>
    </w:rPr>
  </w:style>
  <w:style w:type="paragraph" w:customStyle="1" w:styleId="876">
    <w:name w:val=".."/>
    <w:basedOn w:val="1"/>
    <w:next w:val="1"/>
    <w:qFormat/>
    <w:uiPriority w:val="0"/>
    <w:pPr>
      <w:autoSpaceDE w:val="0"/>
      <w:autoSpaceDN w:val="0"/>
      <w:adjustRightInd w:val="0"/>
      <w:spacing w:line="360" w:lineRule="auto"/>
      <w:ind w:firstLine="200" w:firstLineChars="200"/>
      <w:jc w:val="left"/>
    </w:pPr>
    <w:rPr>
      <w:rFonts w:ascii="等线" w:hAnsi="等线" w:eastAsia="等线" w:cs="等线"/>
      <w:kern w:val="0"/>
      <w:sz w:val="24"/>
    </w:rPr>
  </w:style>
  <w:style w:type="paragraph" w:customStyle="1" w:styleId="877">
    <w:name w:val="Char Char Char Char Char Char Char Char Char Char Char Char Char Char Char Char Char Char Char1"/>
    <w:basedOn w:val="1"/>
    <w:qFormat/>
    <w:uiPriority w:val="0"/>
    <w:rPr>
      <w:rFonts w:ascii="黑体" w:hAnsi="等线" w:eastAsia="黑体" w:cs="等线"/>
      <w:b/>
      <w:sz w:val="32"/>
      <w:szCs w:val="32"/>
    </w:rPr>
  </w:style>
  <w:style w:type="paragraph" w:customStyle="1" w:styleId="878">
    <w:name w:val="规范正文"/>
    <w:basedOn w:val="1"/>
    <w:qFormat/>
    <w:uiPriority w:val="0"/>
    <w:pPr>
      <w:adjustRightInd w:val="0"/>
      <w:spacing w:line="360" w:lineRule="auto"/>
      <w:ind w:left="480" w:firstLine="200" w:firstLineChars="200"/>
      <w:textAlignment w:val="baseline"/>
    </w:pPr>
    <w:rPr>
      <w:rFonts w:ascii="宋体" w:hAnsi="宋体" w:eastAsia="等线" w:cs="等线"/>
      <w:kern w:val="0"/>
      <w:sz w:val="24"/>
    </w:rPr>
  </w:style>
  <w:style w:type="paragraph" w:customStyle="1" w:styleId="879">
    <w:name w:val="网格表 31"/>
    <w:basedOn w:val="5"/>
    <w:next w:val="1"/>
    <w:unhideWhenUsed/>
    <w:qFormat/>
    <w:uiPriority w:val="0"/>
    <w:pPr>
      <w:keepLines/>
      <w:widowControl/>
      <w:spacing w:line="259" w:lineRule="auto"/>
      <w:jc w:val="left"/>
      <w:outlineLvl w:val="9"/>
    </w:pPr>
    <w:rPr>
      <w:rFonts w:ascii="Calibri Light" w:hAnsi="Calibri Light" w:eastAsia="等线"/>
      <w:color w:val="2E74B5"/>
      <w:kern w:val="0"/>
      <w:sz w:val="32"/>
      <w:szCs w:val="32"/>
    </w:rPr>
  </w:style>
  <w:style w:type="paragraph" w:customStyle="1" w:styleId="880">
    <w:name w:val="中等深浅网格 1 - 着色 21"/>
    <w:basedOn w:val="1"/>
    <w:qFormat/>
    <w:uiPriority w:val="0"/>
    <w:pPr>
      <w:spacing w:line="360" w:lineRule="auto"/>
      <w:ind w:firstLine="200" w:firstLineChars="200"/>
    </w:pPr>
    <w:rPr>
      <w:rFonts w:ascii="Verdana" w:hAnsi="Verdana" w:eastAsia="等线" w:cs="等线"/>
      <w:sz w:val="24"/>
      <w:szCs w:val="20"/>
    </w:rPr>
  </w:style>
  <w:style w:type="paragraph" w:customStyle="1" w:styleId="881">
    <w:name w:val="Char Char Char Char Char Char1 Char Char Char Char"/>
    <w:basedOn w:val="21"/>
    <w:qFormat/>
    <w:uiPriority w:val="0"/>
    <w:pPr>
      <w:spacing w:line="360" w:lineRule="auto"/>
      <w:ind w:firstLine="200" w:firstLineChars="200"/>
    </w:pPr>
    <w:rPr>
      <w:rFonts w:ascii="Tahoma" w:hAnsi="Tahoma" w:eastAsia="等线"/>
      <w:sz w:val="24"/>
      <w:szCs w:val="20"/>
    </w:rPr>
  </w:style>
  <w:style w:type="paragraph" w:customStyle="1" w:styleId="882">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883">
    <w:name w:val="正文Y"/>
    <w:basedOn w:val="1"/>
    <w:qFormat/>
    <w:uiPriority w:val="0"/>
    <w:pPr>
      <w:spacing w:line="360" w:lineRule="auto"/>
      <w:ind w:firstLine="420" w:firstLineChars="200"/>
    </w:pPr>
    <w:rPr>
      <w:rFonts w:ascii="等线" w:hAnsi="等线" w:eastAsia="等线" w:cs="等线"/>
      <w:sz w:val="24"/>
    </w:rPr>
  </w:style>
  <w:style w:type="paragraph" w:customStyle="1" w:styleId="884">
    <w:name w:val="_Style 54"/>
    <w:basedOn w:val="1"/>
    <w:qFormat/>
    <w:uiPriority w:val="0"/>
    <w:rPr>
      <w:rFonts w:ascii="等线" w:hAnsi="等线" w:eastAsia="等线" w:cs="等线"/>
    </w:rPr>
  </w:style>
  <w:style w:type="paragraph" w:customStyle="1" w:styleId="885">
    <w:name w:val="标3"/>
    <w:basedOn w:val="7"/>
    <w:next w:val="8"/>
    <w:qFormat/>
    <w:uiPriority w:val="0"/>
    <w:pPr>
      <w:spacing w:before="240" w:after="180" w:line="360" w:lineRule="auto"/>
      <w:ind w:firstLine="576" w:firstLineChars="205"/>
    </w:pPr>
    <w:rPr>
      <w:rFonts w:ascii="等线" w:hAnsi="等线" w:eastAsia="等线"/>
      <w:bCs w:val="0"/>
      <w:sz w:val="28"/>
    </w:rPr>
  </w:style>
  <w:style w:type="paragraph" w:customStyle="1" w:styleId="886">
    <w:name w:val="Char Char1 Char"/>
    <w:basedOn w:val="1"/>
    <w:qFormat/>
    <w:uiPriority w:val="0"/>
    <w:pPr>
      <w:widowControl/>
      <w:autoSpaceDE w:val="0"/>
      <w:autoSpaceDN w:val="0"/>
      <w:adjustRightInd w:val="0"/>
      <w:snapToGrid w:val="0"/>
      <w:spacing w:before="120" w:after="160" w:line="360" w:lineRule="auto"/>
      <w:ind w:right="-360"/>
      <w:jc w:val="left"/>
    </w:pPr>
    <w:rPr>
      <w:rFonts w:ascii="Tahoma" w:hAnsi="Tahoma" w:eastAsia="等线" w:cs="等线"/>
      <w:kern w:val="0"/>
      <w:sz w:val="24"/>
      <w:szCs w:val="20"/>
      <w:lang w:eastAsia="en-US"/>
    </w:rPr>
  </w:style>
  <w:style w:type="paragraph" w:customStyle="1" w:styleId="887">
    <w:name w:val="reader-word-layer"/>
    <w:basedOn w:val="1"/>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888">
    <w:name w:val="Char Char 字元 字元 字元 Char Char Char Char"/>
    <w:basedOn w:val="1"/>
    <w:qFormat/>
    <w:uiPriority w:val="0"/>
    <w:pPr>
      <w:adjustRightInd w:val="0"/>
      <w:spacing w:line="360" w:lineRule="auto"/>
      <w:ind w:firstLine="200" w:firstLineChars="200"/>
    </w:pPr>
    <w:rPr>
      <w:rFonts w:ascii="等线" w:hAnsi="等线" w:eastAsia="等线" w:cs="等线"/>
      <w:kern w:val="0"/>
      <w:sz w:val="24"/>
      <w:szCs w:val="20"/>
    </w:rPr>
  </w:style>
  <w:style w:type="paragraph" w:customStyle="1" w:styleId="889">
    <w:name w:val="中等深浅底纹 1 - 着色 11"/>
    <w:qFormat/>
    <w:uiPriority w:val="0"/>
    <w:rPr>
      <w:rFonts w:ascii="等线" w:hAnsi="等线" w:eastAsia="等线" w:cs="等线"/>
      <w:sz w:val="22"/>
      <w:szCs w:val="22"/>
      <w:lang w:val="en-US" w:eastAsia="zh-CN" w:bidi="ar-SA"/>
    </w:rPr>
  </w:style>
  <w:style w:type="paragraph" w:customStyle="1" w:styleId="890">
    <w:name w:val="完成日期"/>
    <w:basedOn w:val="1"/>
    <w:qFormat/>
    <w:uiPriority w:val="0"/>
    <w:pPr>
      <w:adjustRightInd w:val="0"/>
      <w:spacing w:line="360" w:lineRule="auto"/>
      <w:jc w:val="center"/>
      <w:textAlignment w:val="baseline"/>
    </w:pPr>
    <w:rPr>
      <w:rFonts w:ascii="楷体_GB2312" w:hAnsi="等线" w:eastAsia="楷体_GB2312" w:cs="等线"/>
      <w:kern w:val="0"/>
      <w:sz w:val="30"/>
      <w:szCs w:val="20"/>
    </w:rPr>
  </w:style>
  <w:style w:type="paragraph" w:customStyle="1" w:styleId="891">
    <w:name w:val="正文 New New New New"/>
    <w:qFormat/>
    <w:uiPriority w:val="2"/>
    <w:pPr>
      <w:widowControl w:val="0"/>
      <w:jc w:val="both"/>
    </w:pPr>
    <w:rPr>
      <w:rFonts w:ascii="Calibri" w:hAnsi="Calibri" w:eastAsia="等线" w:cs="等线"/>
      <w:color w:val="000000"/>
      <w:szCs w:val="24"/>
      <w:lang w:val="en-US" w:eastAsia="zh-CN" w:bidi="ar-SA"/>
    </w:rPr>
  </w:style>
  <w:style w:type="paragraph" w:customStyle="1" w:styleId="892">
    <w:name w:val="正文（首行缩进）"/>
    <w:basedOn w:val="27"/>
    <w:qFormat/>
    <w:uiPriority w:val="0"/>
    <w:pPr>
      <w:widowControl/>
      <w:overflowPunct w:val="0"/>
      <w:snapToGrid/>
      <w:spacing w:beforeLines="50" w:after="120" w:line="400" w:lineRule="exact"/>
      <w:ind w:left="200" w:leftChars="200" w:firstLine="200" w:firstLineChars="200"/>
      <w:jc w:val="left"/>
      <w:textAlignment w:val="baseline"/>
    </w:pPr>
    <w:rPr>
      <w:rFonts w:ascii="等线" w:hAnsi="等线" w:cs="等线"/>
      <w:b w:val="0"/>
      <w:bCs w:val="0"/>
      <w:color w:val="auto"/>
      <w:spacing w:val="10"/>
      <w:kern w:val="0"/>
      <w:szCs w:val="20"/>
    </w:rPr>
  </w:style>
  <w:style w:type="paragraph" w:customStyle="1" w:styleId="893">
    <w:name w:val="其他标准标志"/>
    <w:basedOn w:val="817"/>
    <w:qFormat/>
    <w:uiPriority w:val="0"/>
    <w:pPr>
      <w:framePr w:w="6101" w:wrap="around" w:vAnchor="page" w:hAnchor="page" w:x="4673" w:y="942"/>
    </w:pPr>
    <w:rPr>
      <w:w w:val="130"/>
    </w:rPr>
  </w:style>
  <w:style w:type="paragraph" w:customStyle="1" w:styleId="894">
    <w:name w:val="2级"/>
    <w:basedOn w:val="6"/>
    <w:next w:val="64"/>
    <w:qFormat/>
    <w:uiPriority w:val="0"/>
    <w:pPr>
      <w:spacing w:line="415" w:lineRule="auto"/>
      <w:ind w:left="420"/>
    </w:pPr>
    <w:rPr>
      <w:rFonts w:ascii="Cambria" w:hAnsi="Cambria"/>
      <w:kern w:val="0"/>
      <w:sz w:val="30"/>
    </w:rPr>
  </w:style>
  <w:style w:type="paragraph" w:customStyle="1" w:styleId="895">
    <w:name w:val="表格文字（大）"/>
    <w:basedOn w:val="1"/>
    <w:qFormat/>
    <w:uiPriority w:val="0"/>
    <w:pPr>
      <w:autoSpaceDE w:val="0"/>
      <w:autoSpaceDN w:val="0"/>
      <w:adjustRightInd w:val="0"/>
      <w:spacing w:before="20" w:after="20"/>
      <w:jc w:val="left"/>
    </w:pPr>
    <w:rPr>
      <w:rFonts w:ascii="Arial Unicode MS" w:hAnsi="Arial Unicode MS" w:eastAsia="等线" w:cs="Arial Unicode MS"/>
      <w:kern w:val="0"/>
      <w:sz w:val="24"/>
      <w:szCs w:val="20"/>
    </w:rPr>
  </w:style>
  <w:style w:type="paragraph" w:customStyle="1" w:styleId="896">
    <w:name w:val="A正文"/>
    <w:basedOn w:val="507"/>
    <w:qFormat/>
    <w:uiPriority w:val="0"/>
    <w:pPr>
      <w:jc w:val="left"/>
    </w:pPr>
    <w:rPr>
      <w:rFonts w:ascii="等线" w:hAnsi="等线" w:eastAsia="等线"/>
      <w:shd w:val="clear" w:color="auto" w:fill="auto"/>
    </w:rPr>
  </w:style>
  <w:style w:type="paragraph" w:customStyle="1" w:styleId="897">
    <w:name w:val="14"/>
    <w:basedOn w:val="1"/>
    <w:qFormat/>
    <w:uiPriority w:val="0"/>
    <w:pPr>
      <w:snapToGrid w:val="0"/>
      <w:spacing w:beforeLines="30" w:line="288" w:lineRule="auto"/>
      <w:ind w:left="852" w:leftChars="355" w:firstLine="420" w:firstLineChars="175"/>
    </w:pPr>
    <w:rPr>
      <w:rFonts w:ascii="Calibri" w:hAnsi="Calibri" w:eastAsia="等线" w:cs="等线"/>
      <w:sz w:val="24"/>
      <w:szCs w:val="20"/>
    </w:rPr>
  </w:style>
  <w:style w:type="paragraph" w:customStyle="1" w:styleId="898">
    <w:name w:val="Char Char1 Char Char Char"/>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899">
    <w:name w:val="项目2"/>
    <w:qFormat/>
    <w:uiPriority w:val="0"/>
    <w:pPr>
      <w:tabs>
        <w:tab w:val="left" w:pos="425"/>
      </w:tabs>
      <w:spacing w:before="120" w:after="120" w:line="360" w:lineRule="auto"/>
      <w:ind w:left="420" w:hanging="420"/>
    </w:pPr>
    <w:rPr>
      <w:rFonts w:ascii="等线" w:hAnsi="等线" w:eastAsia="仿宋_GB2312" w:cs="等线"/>
      <w:sz w:val="24"/>
      <w:lang w:val="en-US" w:eastAsia="zh-CN" w:bidi="ar-SA"/>
    </w:rPr>
  </w:style>
  <w:style w:type="paragraph" w:customStyle="1" w:styleId="900">
    <w:name w:val="Char13"/>
    <w:basedOn w:val="1"/>
    <w:qFormat/>
    <w:uiPriority w:val="0"/>
    <w:pPr>
      <w:widowControl/>
      <w:spacing w:after="160" w:line="240" w:lineRule="exact"/>
      <w:jc w:val="left"/>
    </w:pPr>
    <w:rPr>
      <w:rFonts w:ascii="Courier New" w:hAnsi="Courier New" w:eastAsia="等线" w:cs="等线"/>
      <w:kern w:val="0"/>
      <w:sz w:val="20"/>
      <w:szCs w:val="20"/>
      <w:lang w:eastAsia="en-US"/>
    </w:rPr>
  </w:style>
  <w:style w:type="paragraph" w:customStyle="1" w:styleId="901">
    <w:name w:val="c"/>
    <w:qFormat/>
    <w:uiPriority w:val="0"/>
    <w:pPr>
      <w:widowControl w:val="0"/>
      <w:autoSpaceDE w:val="0"/>
      <w:autoSpaceDN w:val="0"/>
      <w:adjustRightInd w:val="0"/>
      <w:jc w:val="both"/>
    </w:pPr>
    <w:rPr>
      <w:rFonts w:ascii="Arial" w:hAnsi="Arial" w:eastAsia="等线" w:cs="等线"/>
      <w:sz w:val="24"/>
      <w:lang w:val="en-US" w:eastAsia="zh-CN" w:bidi="ar-SA"/>
    </w:rPr>
  </w:style>
  <w:style w:type="paragraph" w:customStyle="1" w:styleId="902">
    <w:name w:val="font12"/>
    <w:basedOn w:val="1"/>
    <w:qFormat/>
    <w:uiPriority w:val="0"/>
    <w:pPr>
      <w:widowControl/>
      <w:spacing w:before="100" w:beforeAutospacing="1" w:after="100" w:afterAutospacing="1"/>
      <w:jc w:val="left"/>
    </w:pPr>
    <w:rPr>
      <w:rFonts w:ascii="等线" w:hAnsi="等线" w:eastAsia="等线" w:cs="等线"/>
      <w:kern w:val="0"/>
      <w:sz w:val="28"/>
      <w:szCs w:val="28"/>
    </w:rPr>
  </w:style>
  <w:style w:type="paragraph" w:customStyle="1" w:styleId="903">
    <w:name w:val="数字级连标题3"/>
    <w:basedOn w:val="7"/>
    <w:next w:val="1"/>
    <w:qFormat/>
    <w:uiPriority w:val="0"/>
    <w:pPr>
      <w:suppressAutoHyphens/>
      <w:spacing w:before="0" w:after="0" w:line="360" w:lineRule="auto"/>
    </w:pPr>
    <w:rPr>
      <w:rFonts w:ascii="等线" w:hAnsi="等线" w:eastAsia="等线"/>
      <w:bCs w:val="0"/>
      <w:sz w:val="28"/>
      <w:szCs w:val="20"/>
      <w:lang w:eastAsia="ar-SA"/>
    </w:rPr>
  </w:style>
  <w:style w:type="paragraph" w:customStyle="1" w:styleId="904">
    <w:name w:val="Item List"/>
    <w:qFormat/>
    <w:uiPriority w:val="0"/>
    <w:pPr>
      <w:spacing w:line="300" w:lineRule="auto"/>
      <w:ind w:left="1701"/>
      <w:jc w:val="both"/>
    </w:pPr>
    <w:rPr>
      <w:rFonts w:ascii="Arial" w:hAnsi="Arial" w:eastAsia="等线" w:cs="等线"/>
      <w:sz w:val="21"/>
      <w:lang w:val="en-US" w:eastAsia="zh-CN" w:bidi="ar-SA"/>
    </w:rPr>
  </w:style>
  <w:style w:type="paragraph" w:customStyle="1" w:styleId="905">
    <w:name w:val="默认段落字体 Para Char Char Char Char Char Char Char Char Char Char"/>
    <w:basedOn w:val="1"/>
    <w:qFormat/>
    <w:uiPriority w:val="0"/>
    <w:pPr>
      <w:widowControl/>
      <w:spacing w:after="200"/>
      <w:jc w:val="left"/>
    </w:pPr>
    <w:rPr>
      <w:rFonts w:ascii="Tahoma" w:hAnsi="Tahoma" w:eastAsia="等线" w:cs="等线"/>
      <w:kern w:val="0"/>
      <w:sz w:val="22"/>
      <w:szCs w:val="20"/>
      <w:lang w:eastAsia="en-US" w:bidi="en-US"/>
    </w:rPr>
  </w:style>
  <w:style w:type="paragraph" w:customStyle="1" w:styleId="906">
    <w:name w:val="标书正文带编号"/>
    <w:basedOn w:val="1"/>
    <w:qFormat/>
    <w:uiPriority w:val="0"/>
    <w:pPr>
      <w:tabs>
        <w:tab w:val="left" w:pos="397"/>
      </w:tabs>
      <w:autoSpaceDE w:val="0"/>
      <w:autoSpaceDN w:val="0"/>
      <w:adjustRightInd w:val="0"/>
      <w:ind w:firstLine="397"/>
      <w:jc w:val="left"/>
    </w:pPr>
    <w:rPr>
      <w:rFonts w:ascii="等线" w:hAnsi="等线" w:eastAsia="等线" w:cs="仿宋_GB2312"/>
      <w:kern w:val="0"/>
      <w:sz w:val="20"/>
      <w:szCs w:val="21"/>
    </w:rPr>
  </w:style>
  <w:style w:type="paragraph" w:customStyle="1" w:styleId="907">
    <w:name w:val="标题小四"/>
    <w:basedOn w:val="6"/>
    <w:qFormat/>
    <w:uiPriority w:val="0"/>
    <w:pPr>
      <w:keepNext w:val="0"/>
      <w:keepLines w:val="0"/>
      <w:spacing w:before="0" w:after="0" w:line="360" w:lineRule="auto"/>
      <w:ind w:right="90"/>
      <w:outlineLvl w:val="9"/>
    </w:pPr>
    <w:rPr>
      <w:rFonts w:ascii="仿宋_GB2312" w:hAnsi="宋体" w:eastAsia="仿宋_GB2312" w:cs="Arial Unicode MS"/>
      <w:b w:val="0"/>
      <w:bCs w:val="0"/>
      <w:color w:val="000000"/>
      <w:sz w:val="21"/>
      <w:szCs w:val="21"/>
    </w:rPr>
  </w:style>
  <w:style w:type="paragraph" w:customStyle="1" w:styleId="908">
    <w:name w:val="_Style 3"/>
    <w:qFormat/>
    <w:uiPriority w:val="0"/>
    <w:rPr>
      <w:rFonts w:ascii="Calibri" w:hAnsi="Calibri" w:eastAsia="等线" w:cs="等线"/>
      <w:sz w:val="22"/>
      <w:szCs w:val="22"/>
      <w:lang w:val="en-US" w:eastAsia="zh-CN" w:bidi="ar-SA"/>
    </w:rPr>
  </w:style>
  <w:style w:type="paragraph" w:customStyle="1" w:styleId="909">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91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等线"/>
      <w:spacing w:val="-40"/>
      <w:sz w:val="48"/>
      <w:szCs w:val="52"/>
      <w:lang w:val="en-US" w:eastAsia="zh-CN" w:bidi="ar-SA"/>
    </w:rPr>
  </w:style>
  <w:style w:type="paragraph" w:customStyle="1" w:styleId="911">
    <w:name w:val="样式 标题 5 + 段前: 5 磅 段后: 5 磅 行距: 单倍行距"/>
    <w:basedOn w:val="9"/>
    <w:qFormat/>
    <w:uiPriority w:val="0"/>
    <w:pPr>
      <w:tabs>
        <w:tab w:val="left" w:pos="2100"/>
      </w:tabs>
      <w:adjustRightInd w:val="0"/>
      <w:spacing w:before="100" w:after="100" w:line="240" w:lineRule="auto"/>
      <w:ind w:left="2100" w:hanging="420" w:firstLineChars="200"/>
      <w:jc w:val="left"/>
      <w:textAlignment w:val="baseline"/>
    </w:pPr>
    <w:rPr>
      <w:bCs w:val="0"/>
      <w:kern w:val="0"/>
      <w:szCs w:val="20"/>
    </w:rPr>
  </w:style>
  <w:style w:type="paragraph" w:customStyle="1" w:styleId="912">
    <w:name w:val="列出段落3"/>
    <w:basedOn w:val="1"/>
    <w:qFormat/>
    <w:uiPriority w:val="0"/>
    <w:pPr>
      <w:ind w:firstLine="420" w:firstLineChars="200"/>
    </w:pPr>
    <w:rPr>
      <w:rFonts w:ascii="Calibri" w:hAnsi="Calibri" w:eastAsia="等线" w:cs="等线"/>
      <w:szCs w:val="22"/>
    </w:rPr>
  </w:style>
  <w:style w:type="paragraph" w:customStyle="1" w:styleId="913">
    <w:name w:val="排列"/>
    <w:basedOn w:val="1"/>
    <w:qFormat/>
    <w:uiPriority w:val="0"/>
    <w:pPr>
      <w:widowControl/>
      <w:autoSpaceDE w:val="0"/>
      <w:autoSpaceDN w:val="0"/>
      <w:adjustRightInd w:val="0"/>
      <w:spacing w:line="360" w:lineRule="auto"/>
      <w:jc w:val="left"/>
    </w:pPr>
    <w:rPr>
      <w:rFonts w:ascii="仿宋_GB2312" w:hAnsi="仿宋_GB2312" w:eastAsia="等线" w:cs="等线"/>
      <w:kern w:val="0"/>
      <w:sz w:val="20"/>
      <w:szCs w:val="20"/>
      <w:lang w:val="zh-CN"/>
    </w:rPr>
  </w:style>
  <w:style w:type="paragraph" w:customStyle="1" w:styleId="91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paragraph" w:customStyle="1" w:styleId="915">
    <w:name w:val="標題 2..."/>
    <w:basedOn w:val="1"/>
    <w:qFormat/>
    <w:uiPriority w:val="0"/>
    <w:pPr>
      <w:spacing w:line="360" w:lineRule="auto"/>
      <w:ind w:left="568" w:firstLine="567" w:firstLineChars="200"/>
    </w:pPr>
    <w:rPr>
      <w:rFonts w:ascii="等线" w:hAnsi="等线" w:eastAsia="PMingLiU" w:cs="等线"/>
      <w:sz w:val="24"/>
      <w:lang w:eastAsia="zh-TW"/>
    </w:rPr>
  </w:style>
  <w:style w:type="paragraph" w:customStyle="1" w:styleId="916">
    <w:name w:val="TOC 标题1"/>
    <w:basedOn w:val="5"/>
    <w:next w:val="1"/>
    <w:qFormat/>
    <w:uiPriority w:val="39"/>
    <w:pPr>
      <w:keepLines/>
      <w:spacing w:beforeLines="50" w:afterLines="50" w:line="578" w:lineRule="auto"/>
      <w:jc w:val="both"/>
      <w:outlineLvl w:val="9"/>
    </w:pPr>
    <w:rPr>
      <w:rFonts w:ascii="等线" w:hAnsi="等线" w:eastAsia="等线"/>
      <w:b/>
      <w:bCs/>
      <w:kern w:val="44"/>
      <w:sz w:val="44"/>
      <w:szCs w:val="44"/>
    </w:rPr>
  </w:style>
  <w:style w:type="paragraph" w:customStyle="1" w:styleId="917">
    <w:name w:val="正文 首行缩进:  2 字符 Char"/>
    <w:basedOn w:val="1"/>
    <w:qFormat/>
    <w:uiPriority w:val="0"/>
    <w:pPr>
      <w:spacing w:line="360" w:lineRule="auto"/>
      <w:ind w:firstLine="480"/>
    </w:pPr>
    <w:rPr>
      <w:rFonts w:ascii="等线" w:hAnsi="等线" w:eastAsia="等线" w:cs="仿宋_GB2312"/>
      <w:sz w:val="24"/>
      <w:szCs w:val="20"/>
    </w:rPr>
  </w:style>
  <w:style w:type="paragraph" w:customStyle="1" w:styleId="918">
    <w:name w:val="附录表标题"/>
    <w:basedOn w:val="1"/>
    <w:next w:val="119"/>
    <w:qFormat/>
    <w:uiPriority w:val="0"/>
    <w:pPr>
      <w:tabs>
        <w:tab w:val="left" w:pos="180"/>
        <w:tab w:val="left" w:pos="992"/>
      </w:tabs>
      <w:autoSpaceDE w:val="0"/>
      <w:autoSpaceDN w:val="0"/>
      <w:adjustRightInd w:val="0"/>
      <w:spacing w:beforeLines="50" w:afterLines="50"/>
      <w:jc w:val="center"/>
      <w:textAlignment w:val="baseline"/>
    </w:pPr>
    <w:rPr>
      <w:rFonts w:ascii="黑体" w:hAnsi="等线" w:eastAsia="黑体" w:cs="等线"/>
      <w:kern w:val="0"/>
      <w:sz w:val="28"/>
      <w:szCs w:val="21"/>
    </w:rPr>
  </w:style>
  <w:style w:type="paragraph" w:customStyle="1" w:styleId="919">
    <w:name w:val="WW-正文文字缩进 2"/>
    <w:basedOn w:val="1"/>
    <w:qFormat/>
    <w:uiPriority w:val="0"/>
    <w:pPr>
      <w:suppressAutoHyphens/>
      <w:autoSpaceDE w:val="0"/>
      <w:autoSpaceDN w:val="0"/>
      <w:adjustRightInd w:val="0"/>
      <w:ind w:firstLine="420"/>
      <w:jc w:val="left"/>
    </w:pPr>
    <w:rPr>
      <w:rFonts w:ascii="等线" w:hAnsi="等线" w:eastAsia="等线" w:cs="等线"/>
      <w:kern w:val="1"/>
      <w:sz w:val="20"/>
      <w:szCs w:val="20"/>
    </w:rPr>
  </w:style>
  <w:style w:type="paragraph" w:customStyle="1" w:styleId="920">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rFonts w:ascii="等线" w:hAnsi="等线" w:eastAsia="等线" w:cs="等线"/>
      <w:kern w:val="0"/>
      <w:sz w:val="20"/>
      <w:szCs w:val="20"/>
    </w:rPr>
  </w:style>
  <w:style w:type="paragraph" w:customStyle="1" w:styleId="921">
    <w:name w:val="PP Line"/>
    <w:basedOn w:val="44"/>
    <w:qFormat/>
    <w:uiPriority w:val="0"/>
    <w:pPr>
      <w:autoSpaceDE/>
      <w:autoSpaceDN/>
      <w:spacing w:after="0" w:line="360" w:lineRule="atLeast"/>
      <w:ind w:left="100" w:leftChars="1800" w:firstLine="200" w:firstLineChars="200"/>
      <w:jc w:val="left"/>
    </w:pPr>
    <w:rPr>
      <w:rFonts w:eastAsia="PMingLiU"/>
      <w:lang w:eastAsia="zh-TW"/>
    </w:rPr>
  </w:style>
  <w:style w:type="paragraph" w:customStyle="1" w:styleId="922">
    <w:name w:val="正文文本 21"/>
    <w:basedOn w:val="1"/>
    <w:qFormat/>
    <w:uiPriority w:val="0"/>
    <w:pPr>
      <w:widowControl/>
      <w:overflowPunct w:val="0"/>
      <w:autoSpaceDE w:val="0"/>
      <w:autoSpaceDN w:val="0"/>
      <w:adjustRightInd w:val="0"/>
      <w:ind w:left="720" w:hanging="720"/>
      <w:jc w:val="left"/>
      <w:textAlignment w:val="baseline"/>
    </w:pPr>
    <w:rPr>
      <w:rFonts w:ascii="等线" w:hAnsi="等线" w:eastAsia="等线" w:cs="等线"/>
      <w:kern w:val="0"/>
      <w:sz w:val="24"/>
      <w:szCs w:val="20"/>
      <w:lang w:val="en-GB"/>
    </w:rPr>
  </w:style>
  <w:style w:type="paragraph" w:customStyle="1" w:styleId="923">
    <w:name w:val="样式 普通(网站) + 仿宋_GB2312 段前: 自动 段后: 自动 行距: 1.5 倍行距1"/>
    <w:basedOn w:val="1"/>
    <w:qFormat/>
    <w:uiPriority w:val="0"/>
    <w:pPr>
      <w:widowControl/>
      <w:tabs>
        <w:tab w:val="left" w:pos="1134"/>
      </w:tabs>
      <w:spacing w:after="120" w:line="360" w:lineRule="auto"/>
      <w:ind w:left="1134" w:hanging="294" w:firstLineChars="200"/>
      <w:jc w:val="left"/>
    </w:pPr>
    <w:rPr>
      <w:rFonts w:ascii="Arial" w:hAnsi="Arial" w:eastAsia="等线" w:cs="等线"/>
      <w:kern w:val="0"/>
      <w:sz w:val="20"/>
      <w:szCs w:val="20"/>
    </w:rPr>
  </w:style>
  <w:style w:type="paragraph" w:customStyle="1" w:styleId="924">
    <w:name w:val="_Style 125"/>
    <w:basedOn w:val="1"/>
    <w:qFormat/>
    <w:uiPriority w:val="0"/>
    <w:rPr>
      <w:rFonts w:ascii="等线" w:hAnsi="等线" w:eastAsia="等线" w:cs="等线"/>
    </w:rPr>
  </w:style>
  <w:style w:type="paragraph" w:customStyle="1" w:styleId="925">
    <w:name w:val="封面标准代替信息"/>
    <w:qFormat/>
    <w:uiPriority w:val="0"/>
    <w:pPr>
      <w:framePr w:w="9140" w:h="1242" w:hRule="exact" w:hSpace="284" w:wrap="around" w:vAnchor="page" w:hAnchor="page" w:x="1645" w:y="2910" w:anchorLock="1"/>
      <w:spacing w:before="57" w:line="280" w:lineRule="exact"/>
      <w:jc w:val="right"/>
    </w:pPr>
    <w:rPr>
      <w:rFonts w:ascii="宋体" w:hAnsi="等线" w:eastAsia="等线" w:cs="等线"/>
      <w:sz w:val="21"/>
      <w:szCs w:val="21"/>
      <w:lang w:val="en-US" w:eastAsia="zh-CN" w:bidi="ar-SA"/>
    </w:rPr>
  </w:style>
  <w:style w:type="paragraph" w:customStyle="1" w:styleId="926">
    <w:name w:val="彩色列表 - 着色 11"/>
    <w:basedOn w:val="1"/>
    <w:qFormat/>
    <w:uiPriority w:val="0"/>
    <w:pPr>
      <w:spacing w:line="360" w:lineRule="auto"/>
      <w:ind w:firstLine="420" w:firstLineChars="200"/>
    </w:pPr>
    <w:rPr>
      <w:rFonts w:ascii="Calibri" w:hAnsi="Calibri" w:eastAsia="等线" w:cs="等线"/>
      <w:szCs w:val="20"/>
    </w:rPr>
  </w:style>
  <w:style w:type="paragraph" w:customStyle="1" w:styleId="927">
    <w:name w:val="my正文"/>
    <w:basedOn w:val="1"/>
    <w:qFormat/>
    <w:uiPriority w:val="0"/>
    <w:pPr>
      <w:spacing w:line="360" w:lineRule="auto"/>
      <w:ind w:firstLine="480" w:firstLineChars="200"/>
    </w:pPr>
    <w:rPr>
      <w:rFonts w:ascii="Tahoma" w:hAnsi="Tahoma" w:eastAsia="等线" w:cs="等线"/>
      <w:sz w:val="24"/>
    </w:rPr>
  </w:style>
  <w:style w:type="paragraph" w:customStyle="1" w:styleId="928">
    <w:name w:val="寄件者簡短地址"/>
    <w:basedOn w:val="1"/>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929">
    <w:name w:val="context-item"/>
    <w:basedOn w:val="930"/>
    <w:qFormat/>
    <w:uiPriority w:val="0"/>
    <w:pPr>
      <w:ind w:left="1418" w:hanging="284"/>
    </w:pPr>
  </w:style>
  <w:style w:type="paragraph" w:customStyle="1" w:styleId="930">
    <w:name w:val="context"/>
    <w:basedOn w:val="1"/>
    <w:qFormat/>
    <w:uiPriority w:val="0"/>
    <w:pPr>
      <w:adjustRightInd w:val="0"/>
      <w:spacing w:before="60" w:line="240" w:lineRule="atLeast"/>
      <w:ind w:left="567" w:firstLine="567" w:firstLineChars="200"/>
      <w:textAlignment w:val="baseline"/>
    </w:pPr>
    <w:rPr>
      <w:rFonts w:ascii="全真楷書" w:hAnsi="等线" w:eastAsia="全真楷書" w:cs="等线"/>
      <w:kern w:val="0"/>
      <w:sz w:val="24"/>
      <w:szCs w:val="20"/>
      <w:lang w:eastAsia="zh-TW"/>
    </w:rPr>
  </w:style>
  <w:style w:type="paragraph" w:customStyle="1" w:styleId="931">
    <w:name w:val="_Style 5"/>
    <w:basedOn w:val="21"/>
    <w:qFormat/>
    <w:uiPriority w:val="0"/>
    <w:rPr>
      <w:rFonts w:eastAsia="等线"/>
    </w:rPr>
  </w:style>
  <w:style w:type="paragraph" w:customStyle="1" w:styleId="932">
    <w:name w:val="表头"/>
    <w:basedOn w:val="1"/>
    <w:qFormat/>
    <w:uiPriority w:val="0"/>
    <w:pPr>
      <w:spacing w:before="120" w:after="120" w:line="480" w:lineRule="exact"/>
      <w:jc w:val="center"/>
    </w:pPr>
    <w:rPr>
      <w:rFonts w:ascii="黑体" w:hAnsi="等线" w:eastAsia="黑体" w:cs="等线"/>
      <w:sz w:val="24"/>
      <w:szCs w:val="20"/>
    </w:rPr>
  </w:style>
  <w:style w:type="paragraph" w:customStyle="1" w:styleId="933">
    <w:name w:val="正文文本缩进 31"/>
    <w:basedOn w:val="1"/>
    <w:qFormat/>
    <w:uiPriority w:val="0"/>
    <w:pPr>
      <w:autoSpaceDE w:val="0"/>
      <w:autoSpaceDN w:val="0"/>
      <w:adjustRightInd w:val="0"/>
      <w:spacing w:line="360" w:lineRule="auto"/>
      <w:ind w:firstLine="567"/>
      <w:jc w:val="left"/>
      <w:textAlignment w:val="baseline"/>
    </w:pPr>
    <w:rPr>
      <w:rFonts w:ascii="宋体" w:hAnsi="等线" w:eastAsia="等线" w:cs="等线"/>
      <w:kern w:val="0"/>
      <w:sz w:val="28"/>
      <w:szCs w:val="20"/>
    </w:rPr>
  </w:style>
  <w:style w:type="paragraph" w:customStyle="1" w:styleId="934">
    <w:name w:val="List Paragraph1"/>
    <w:basedOn w:val="1"/>
    <w:qFormat/>
    <w:uiPriority w:val="0"/>
    <w:pPr>
      <w:spacing w:line="360" w:lineRule="auto"/>
      <w:ind w:firstLine="420" w:firstLineChars="200"/>
    </w:pPr>
    <w:rPr>
      <w:rFonts w:ascii="等线" w:hAnsi="等线" w:eastAsia="等线" w:cs="等线"/>
      <w:szCs w:val="20"/>
    </w:rPr>
  </w:style>
  <w:style w:type="paragraph" w:customStyle="1" w:styleId="935">
    <w:name w:val="aspnumfaautoadjustrightr"/>
    <w:qFormat/>
    <w:uiPriority w:val="0"/>
    <w:pPr>
      <w:widowControl w:val="0"/>
      <w:autoSpaceDE w:val="0"/>
      <w:autoSpaceDN w:val="0"/>
      <w:adjustRightInd w:val="0"/>
      <w:ind w:firstLine="720"/>
      <w:jc w:val="both"/>
    </w:pPr>
    <w:rPr>
      <w:rFonts w:ascii="等线" w:hAnsi="等线" w:eastAsia="等线" w:cs="等线"/>
      <w:lang w:val="en-US" w:eastAsia="zh-CN" w:bidi="ar-SA"/>
    </w:rPr>
  </w:style>
  <w:style w:type="paragraph" w:customStyle="1" w:styleId="936">
    <w:name w:val="Test2"/>
    <w:basedOn w:val="6"/>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hAnsi="Tahoma" w:eastAsia="仿宋_GB2312"/>
      <w:b w:val="0"/>
      <w:bCs w:val="0"/>
      <w:snapToGrid w:val="0"/>
      <w:kern w:val="0"/>
      <w:sz w:val="28"/>
    </w:rPr>
  </w:style>
  <w:style w:type="paragraph" w:customStyle="1" w:styleId="937">
    <w:name w:val="No Spacing1"/>
    <w:qFormat/>
    <w:uiPriority w:val="0"/>
    <w:rPr>
      <w:rFonts w:ascii="Century Gothic" w:hAnsi="Century Gothic" w:eastAsia="仿宋_GB2312" w:cs="新宋体"/>
      <w:sz w:val="22"/>
      <w:szCs w:val="22"/>
      <w:lang w:val="en-US" w:eastAsia="zh-CN" w:bidi="ar-SA"/>
    </w:rPr>
  </w:style>
  <w:style w:type="paragraph" w:customStyle="1" w:styleId="938">
    <w:name w:val="正文字缩2字"/>
    <w:basedOn w:val="1"/>
    <w:qFormat/>
    <w:uiPriority w:val="0"/>
    <w:pPr>
      <w:spacing w:before="60" w:after="60" w:line="360" w:lineRule="auto"/>
      <w:ind w:left="200" w:leftChars="200" w:firstLine="200" w:firstLineChars="200"/>
    </w:pPr>
    <w:rPr>
      <w:rFonts w:ascii="等线" w:hAnsi="等线" w:eastAsia="等线" w:cs="等线"/>
      <w:sz w:val="24"/>
    </w:rPr>
  </w:style>
  <w:style w:type="paragraph" w:customStyle="1" w:styleId="939">
    <w:name w:val="题目副题"/>
    <w:basedOn w:val="47"/>
    <w:qFormat/>
    <w:uiPriority w:val="0"/>
    <w:pPr>
      <w:spacing w:before="0" w:after="312"/>
      <w:ind w:left="240" w:firstLine="600" w:firstLineChars="200"/>
      <w:jc w:val="left"/>
      <w:outlineLvl w:val="9"/>
    </w:pPr>
    <w:rPr>
      <w:rFonts w:ascii="宋体" w:hAnsi="宋体" w:eastAsia="宋体"/>
      <w:bCs w:val="0"/>
      <w:sz w:val="30"/>
      <w:szCs w:val="20"/>
    </w:rPr>
  </w:style>
  <w:style w:type="paragraph" w:customStyle="1" w:styleId="940">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ascii="等线" w:hAnsi="等线" w:eastAsia="新宋体" w:cs="等线"/>
      <w:kern w:val="0"/>
      <w:sz w:val="20"/>
      <w:szCs w:val="20"/>
    </w:rPr>
  </w:style>
  <w:style w:type="paragraph" w:customStyle="1" w:styleId="941">
    <w:name w:val="Char Char Char2 Char"/>
    <w:basedOn w:val="1"/>
    <w:qFormat/>
    <w:uiPriority w:val="0"/>
    <w:pPr>
      <w:tabs>
        <w:tab w:val="left" w:pos="360"/>
        <w:tab w:val="left" w:pos="420"/>
      </w:tabs>
      <w:ind w:left="360" w:hanging="360"/>
    </w:pPr>
    <w:rPr>
      <w:rFonts w:ascii="等线" w:hAnsi="等线" w:eastAsia="等线" w:cs="等线"/>
    </w:rPr>
  </w:style>
  <w:style w:type="paragraph" w:customStyle="1" w:styleId="942">
    <w:name w:val="Char2 Char Char"/>
    <w:basedOn w:val="1"/>
    <w:qFormat/>
    <w:uiPriority w:val="0"/>
    <w:pPr>
      <w:spacing w:line="360" w:lineRule="auto"/>
      <w:ind w:firstLine="200" w:firstLineChars="200"/>
    </w:pPr>
    <w:rPr>
      <w:rFonts w:ascii="Tahoma" w:hAnsi="Tahoma" w:eastAsia="等线" w:cs="等线"/>
      <w:sz w:val="24"/>
      <w:szCs w:val="20"/>
    </w:rPr>
  </w:style>
  <w:style w:type="paragraph" w:customStyle="1" w:styleId="943">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944">
    <w:name w:val="Char Char Char Char Char Char"/>
    <w:basedOn w:val="1"/>
    <w:qFormat/>
    <w:uiPriority w:val="0"/>
    <w:rPr>
      <w:rFonts w:ascii="Tahoma" w:hAnsi="Tahoma" w:eastAsia="等线" w:cs="等线"/>
      <w:sz w:val="24"/>
      <w:szCs w:val="20"/>
    </w:rPr>
  </w:style>
  <w:style w:type="paragraph" w:customStyle="1" w:styleId="945">
    <w:name w:val="font1"/>
    <w:basedOn w:val="1"/>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946">
    <w:name w:val="xl2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947">
    <w:name w:val="style1"/>
    <w:basedOn w:val="1"/>
    <w:qFormat/>
    <w:uiPriority w:val="0"/>
    <w:pPr>
      <w:widowControl/>
      <w:spacing w:before="100" w:beforeAutospacing="1" w:after="100" w:afterAutospacing="1" w:line="360" w:lineRule="auto"/>
      <w:ind w:firstLine="200" w:firstLineChars="200"/>
      <w:jc w:val="left"/>
    </w:pPr>
    <w:rPr>
      <w:rFonts w:ascii="宋体" w:hAnsi="宋体" w:eastAsia="等线" w:cs="宋体"/>
      <w:b/>
      <w:bCs/>
      <w:color w:val="FF0000"/>
      <w:kern w:val="0"/>
      <w:sz w:val="28"/>
      <w:szCs w:val="28"/>
    </w:rPr>
  </w:style>
  <w:style w:type="paragraph" w:customStyle="1" w:styleId="948">
    <w:name w:val="TOC Heading1"/>
    <w:basedOn w:val="5"/>
    <w:next w:val="1"/>
    <w:qFormat/>
    <w:uiPriority w:val="0"/>
    <w:pPr>
      <w:keepLines/>
      <w:widowControl/>
      <w:spacing w:before="480" w:line="276" w:lineRule="auto"/>
      <w:jc w:val="left"/>
      <w:outlineLvl w:val="9"/>
    </w:pPr>
    <w:rPr>
      <w:rFonts w:ascii="Verdana" w:hAnsi="Verdana" w:eastAsia="仿宋_GB2312" w:cs="新宋体"/>
      <w:b/>
      <w:bCs/>
      <w:color w:val="365F91"/>
      <w:kern w:val="0"/>
      <w:szCs w:val="28"/>
    </w:rPr>
  </w:style>
  <w:style w:type="paragraph" w:customStyle="1" w:styleId="949">
    <w:name w:val="普通 (Web)"/>
    <w:basedOn w:val="1"/>
    <w:qFormat/>
    <w:uiPriority w:val="0"/>
    <w:pPr>
      <w:widowControl/>
      <w:spacing w:before="100" w:after="100"/>
      <w:jc w:val="left"/>
    </w:pPr>
    <w:rPr>
      <w:rFonts w:ascii="宋体" w:hAnsi="宋体" w:eastAsia="等线" w:cs="等线"/>
      <w:kern w:val="0"/>
      <w:sz w:val="24"/>
      <w:szCs w:val="20"/>
    </w:rPr>
  </w:style>
  <w:style w:type="paragraph" w:customStyle="1" w:styleId="950">
    <w:name w:val="1、"/>
    <w:basedOn w:val="1"/>
    <w:qFormat/>
    <w:uiPriority w:val="0"/>
    <w:pPr>
      <w:adjustRightInd w:val="0"/>
      <w:spacing w:line="454" w:lineRule="atLeast"/>
      <w:ind w:left="1276" w:hanging="426" w:firstLineChars="200"/>
      <w:textAlignment w:val="baseline"/>
    </w:pPr>
    <w:rPr>
      <w:rFonts w:ascii="PMingLiU" w:hAnsi="等线" w:eastAsia="PMingLiU" w:cs="等线"/>
      <w:kern w:val="0"/>
      <w:sz w:val="28"/>
      <w:szCs w:val="20"/>
      <w:lang w:eastAsia="zh-TW"/>
    </w:rPr>
  </w:style>
  <w:style w:type="paragraph" w:customStyle="1" w:styleId="951">
    <w:name w:val="正文缩进HS-正文1"/>
    <w:basedOn w:val="1"/>
    <w:qFormat/>
    <w:uiPriority w:val="0"/>
    <w:pPr>
      <w:jc w:val="center"/>
    </w:pPr>
    <w:rPr>
      <w:rFonts w:ascii="宋体" w:hAnsi="宋体" w:eastAsia="等线" w:cs="等线"/>
      <w:color w:val="000000"/>
      <w:szCs w:val="21"/>
    </w:rPr>
  </w:style>
  <w:style w:type="paragraph" w:customStyle="1" w:styleId="952">
    <w:name w:val="列项——（一级）"/>
    <w:qFormat/>
    <w:uiPriority w:val="0"/>
    <w:pPr>
      <w:widowControl w:val="0"/>
      <w:tabs>
        <w:tab w:val="left" w:pos="854"/>
        <w:tab w:val="left" w:pos="1260"/>
      </w:tabs>
      <w:ind w:left="1260" w:hanging="420"/>
      <w:jc w:val="both"/>
    </w:pPr>
    <w:rPr>
      <w:rFonts w:ascii="仿宋_GB2312" w:hAnsi="等线" w:eastAsia="等线" w:cs="等线"/>
      <w:sz w:val="21"/>
      <w:lang w:val="en-US" w:eastAsia="zh-CN" w:bidi="ar-SA"/>
    </w:rPr>
  </w:style>
  <w:style w:type="paragraph" w:customStyle="1" w:styleId="953">
    <w:name w:val="6"/>
    <w:basedOn w:val="1"/>
    <w:qFormat/>
    <w:uiPriority w:val="0"/>
    <w:pPr>
      <w:tabs>
        <w:tab w:val="left" w:pos="360"/>
      </w:tabs>
    </w:pPr>
    <w:rPr>
      <w:rFonts w:ascii="等线" w:hAnsi="等线" w:eastAsia="等线" w:cs="等线"/>
      <w:szCs w:val="20"/>
    </w:rPr>
  </w:style>
  <w:style w:type="paragraph" w:customStyle="1" w:styleId="95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200" w:firstLineChars="200"/>
      <w:jc w:val="left"/>
    </w:pPr>
    <w:rPr>
      <w:rFonts w:ascii="Courier New" w:hAnsi="Courier New" w:eastAsia="等线" w:cs="等线"/>
      <w:kern w:val="0"/>
      <w:sz w:val="20"/>
      <w:szCs w:val="20"/>
    </w:rPr>
  </w:style>
  <w:style w:type="paragraph" w:customStyle="1" w:styleId="955">
    <w:name w:val="Char Char Char Char Char Char Char Char Char"/>
    <w:basedOn w:val="1"/>
    <w:qFormat/>
    <w:uiPriority w:val="0"/>
    <w:pPr>
      <w:widowControl/>
      <w:spacing w:before="100" w:beforeAutospacing="1" w:after="100" w:afterAutospacing="1" w:line="360" w:lineRule="auto"/>
      <w:ind w:left="357"/>
      <w:jc w:val="left"/>
    </w:pPr>
    <w:rPr>
      <w:rFonts w:ascii="ˎ̥" w:hAnsi="ˎ̥" w:eastAsia="等线" w:cs="宋体"/>
      <w:color w:val="51585D"/>
      <w:kern w:val="0"/>
      <w:sz w:val="24"/>
      <w:szCs w:val="18"/>
    </w:rPr>
  </w:style>
  <w:style w:type="paragraph" w:customStyle="1" w:styleId="956">
    <w:name w:val="Char Char Char Char Char Char Char Char Char Char1"/>
    <w:basedOn w:val="1"/>
    <w:qFormat/>
    <w:uiPriority w:val="0"/>
    <w:pPr>
      <w:widowControl/>
      <w:spacing w:after="160" w:line="240" w:lineRule="exact"/>
      <w:ind w:firstLine="200" w:firstLineChars="200"/>
      <w:jc w:val="left"/>
    </w:pPr>
    <w:rPr>
      <w:rFonts w:ascii="Verdana" w:hAnsi="Verdana" w:eastAsia="仿宋_GB2312" w:cs="等线"/>
      <w:kern w:val="0"/>
      <w:sz w:val="24"/>
      <w:szCs w:val="20"/>
      <w:lang w:eastAsia="en-US"/>
    </w:rPr>
  </w:style>
  <w:style w:type="paragraph" w:customStyle="1" w:styleId="957">
    <w:name w:val="正文列表"/>
    <w:basedOn w:val="1"/>
    <w:qFormat/>
    <w:uiPriority w:val="0"/>
    <w:pPr>
      <w:autoSpaceDE w:val="0"/>
      <w:autoSpaceDN w:val="0"/>
      <w:adjustRightInd w:val="0"/>
      <w:spacing w:line="360" w:lineRule="auto"/>
      <w:ind w:firstLine="200" w:firstLineChars="200"/>
      <w:jc w:val="center"/>
      <w:textAlignment w:val="baseline"/>
    </w:pPr>
    <w:rPr>
      <w:rFonts w:ascii="宋体" w:hAnsi="宋体" w:eastAsia="等线" w:cs="等线"/>
      <w:kern w:val="0"/>
      <w:sz w:val="24"/>
      <w:szCs w:val="20"/>
    </w:rPr>
  </w:style>
  <w:style w:type="paragraph" w:customStyle="1" w:styleId="958">
    <w:name w:val="普通(网站)1"/>
    <w:basedOn w:val="1"/>
    <w:qFormat/>
    <w:uiPriority w:val="0"/>
    <w:pPr>
      <w:widowControl/>
      <w:spacing w:before="100" w:beforeAutospacing="1" w:after="100" w:afterAutospacing="1" w:line="360" w:lineRule="auto"/>
      <w:ind w:firstLine="200" w:firstLineChars="200"/>
      <w:jc w:val="left"/>
    </w:pPr>
    <w:rPr>
      <w:rFonts w:ascii="宋体" w:hAnsi="宋体" w:eastAsia="等线" w:cs="等线"/>
      <w:color w:val="000000"/>
      <w:kern w:val="0"/>
      <w:sz w:val="24"/>
      <w:szCs w:val="20"/>
    </w:rPr>
  </w:style>
  <w:style w:type="paragraph" w:customStyle="1" w:styleId="959">
    <w:name w:val="p16"/>
    <w:basedOn w:val="1"/>
    <w:qFormat/>
    <w:uiPriority w:val="0"/>
    <w:pPr>
      <w:widowControl/>
      <w:spacing w:before="100" w:after="100" w:line="360" w:lineRule="auto"/>
      <w:ind w:firstLine="420" w:firstLineChars="200"/>
    </w:pPr>
    <w:rPr>
      <w:rFonts w:ascii="Calibri" w:hAnsi="Calibri" w:eastAsia="等线" w:cs="等线"/>
      <w:kern w:val="0"/>
      <w:sz w:val="24"/>
      <w:szCs w:val="20"/>
    </w:rPr>
  </w:style>
  <w:style w:type="paragraph" w:customStyle="1" w:styleId="960">
    <w:name w:val="Char Char Char1 Char Char Char Char"/>
    <w:basedOn w:val="1"/>
    <w:qFormat/>
    <w:uiPriority w:val="0"/>
    <w:pPr>
      <w:spacing w:line="360" w:lineRule="auto"/>
      <w:ind w:firstLine="200" w:firstLineChars="200"/>
    </w:pPr>
    <w:rPr>
      <w:rFonts w:ascii="Tahoma" w:hAnsi="Tahoma" w:eastAsia="等线" w:cs="等线"/>
      <w:sz w:val="24"/>
      <w:szCs w:val="20"/>
    </w:rPr>
  </w:style>
  <w:style w:type="character" w:customStyle="1" w:styleId="961">
    <w:name w:val="表格 Char"/>
    <w:qFormat/>
    <w:uiPriority w:val="99"/>
    <w:rPr>
      <w:kern w:val="2"/>
      <w:sz w:val="24"/>
    </w:rPr>
  </w:style>
  <w:style w:type="character" w:customStyle="1" w:styleId="962">
    <w:name w:val="fontstyle31"/>
    <w:qFormat/>
    <w:uiPriority w:val="0"/>
    <w:rPr>
      <w:rFonts w:ascii="TimesNewRomanPSMT" w:hAnsi="TimesNewRomanPSMT" w:eastAsia="TimesNewRomanPSMT" w:cs="TimesNewRomanPSMT"/>
      <w:color w:val="000000"/>
      <w:sz w:val="22"/>
      <w:szCs w:val="22"/>
    </w:rPr>
  </w:style>
  <w:style w:type="character" w:customStyle="1" w:styleId="963">
    <w:name w:val="尾注文本 Char"/>
    <w:qFormat/>
    <w:uiPriority w:val="1"/>
    <w:rPr>
      <w:kern w:val="2"/>
      <w:sz w:val="28"/>
      <w:szCs w:val="24"/>
    </w:rPr>
  </w:style>
  <w:style w:type="character" w:customStyle="1" w:styleId="964">
    <w:name w:val="表头编号 Char"/>
    <w:link w:val="965"/>
    <w:qFormat/>
    <w:uiPriority w:val="0"/>
    <w:rPr>
      <w:rFonts w:eastAsia="黑体"/>
      <w:sz w:val="24"/>
      <w:szCs w:val="24"/>
    </w:rPr>
  </w:style>
  <w:style w:type="paragraph" w:customStyle="1" w:styleId="965">
    <w:name w:val="表头编号"/>
    <w:basedOn w:val="1"/>
    <w:next w:val="342"/>
    <w:link w:val="964"/>
    <w:qFormat/>
    <w:uiPriority w:val="0"/>
    <w:pPr>
      <w:adjustRightInd w:val="0"/>
      <w:snapToGrid w:val="0"/>
      <w:spacing w:line="360" w:lineRule="auto"/>
      <w:jc w:val="left"/>
    </w:pPr>
    <w:rPr>
      <w:rFonts w:eastAsia="黑体"/>
      <w:kern w:val="0"/>
      <w:sz w:val="24"/>
    </w:rPr>
  </w:style>
  <w:style w:type="character" w:customStyle="1" w:styleId="966">
    <w:name w:val="表格标题/图片标题/日期格式/图片居中 Char"/>
    <w:link w:val="967"/>
    <w:qFormat/>
    <w:uiPriority w:val="0"/>
    <w:rPr>
      <w:b/>
      <w:kern w:val="2"/>
      <w:sz w:val="28"/>
      <w:szCs w:val="24"/>
    </w:rPr>
  </w:style>
  <w:style w:type="paragraph" w:customStyle="1" w:styleId="967">
    <w:name w:val="表格标题/图片标题/日期格式/图片居中"/>
    <w:link w:val="966"/>
    <w:qFormat/>
    <w:uiPriority w:val="0"/>
    <w:pPr>
      <w:jc w:val="center"/>
    </w:pPr>
    <w:rPr>
      <w:rFonts w:ascii="Times New Roman" w:hAnsi="Times New Roman" w:eastAsia="宋体" w:cs="Times New Roman"/>
      <w:b/>
      <w:kern w:val="2"/>
      <w:sz w:val="28"/>
      <w:szCs w:val="24"/>
      <w:lang w:val="en-US" w:eastAsia="zh-CN" w:bidi="ar-SA"/>
    </w:rPr>
  </w:style>
  <w:style w:type="character" w:customStyle="1" w:styleId="968">
    <w:name w:val="fontstyle21"/>
    <w:qFormat/>
    <w:uiPriority w:val="0"/>
    <w:rPr>
      <w:rFonts w:ascii="宋体" w:hAnsi="宋体" w:eastAsia="宋体" w:cs="宋体"/>
      <w:color w:val="000000"/>
      <w:sz w:val="22"/>
      <w:szCs w:val="22"/>
    </w:rPr>
  </w:style>
  <w:style w:type="character" w:customStyle="1" w:styleId="969">
    <w:name w:val="font201"/>
    <w:qFormat/>
    <w:uiPriority w:val="0"/>
    <w:rPr>
      <w:rFonts w:hint="eastAsia" w:ascii="宋体" w:hAnsi="宋体" w:eastAsia="宋体" w:cs="宋体"/>
      <w:b/>
      <w:color w:val="000000"/>
      <w:sz w:val="24"/>
      <w:szCs w:val="24"/>
      <w:u w:val="none"/>
    </w:rPr>
  </w:style>
  <w:style w:type="character" w:customStyle="1" w:styleId="970">
    <w:name w:val="font221"/>
    <w:qFormat/>
    <w:uiPriority w:val="0"/>
    <w:rPr>
      <w:rFonts w:hint="eastAsia" w:ascii="宋体" w:hAnsi="宋体" w:eastAsia="宋体" w:cs="宋体"/>
      <w:color w:val="000000"/>
      <w:sz w:val="24"/>
      <w:szCs w:val="24"/>
      <w:u w:val="none"/>
    </w:rPr>
  </w:style>
  <w:style w:type="paragraph" w:customStyle="1" w:styleId="971">
    <w:name w:val="[Normal]"/>
    <w:qFormat/>
    <w:uiPriority w:val="0"/>
    <w:rPr>
      <w:rFonts w:ascii="宋体" w:hAnsi="宋体" w:eastAsia="宋体" w:cs="Times New Roman"/>
      <w:sz w:val="24"/>
      <w:szCs w:val="22"/>
      <w:lang w:val="zh-CN" w:eastAsia="zh-CN" w:bidi="ar-SA"/>
    </w:rPr>
  </w:style>
  <w:style w:type="paragraph" w:customStyle="1" w:styleId="972">
    <w:name w:val="表格文字（居中）"/>
    <w:basedOn w:val="1"/>
    <w:qFormat/>
    <w:uiPriority w:val="0"/>
    <w:pPr>
      <w:spacing w:line="360" w:lineRule="auto"/>
      <w:ind w:firstLine="200" w:firstLineChars="200"/>
      <w:jc w:val="center"/>
    </w:pPr>
    <w:rPr>
      <w:sz w:val="28"/>
    </w:rPr>
  </w:style>
  <w:style w:type="paragraph" w:customStyle="1" w:styleId="973">
    <w:name w:val="文章正文"/>
    <w:basedOn w:val="1"/>
    <w:qFormat/>
    <w:uiPriority w:val="0"/>
    <w:pPr>
      <w:spacing w:line="360" w:lineRule="auto"/>
      <w:ind w:firstLine="200" w:firstLineChars="200"/>
    </w:pPr>
    <w:rPr>
      <w:kern w:val="0"/>
      <w:sz w:val="28"/>
      <w:szCs w:val="22"/>
    </w:rPr>
  </w:style>
  <w:style w:type="paragraph" w:customStyle="1" w:styleId="974">
    <w:name w:val="表格内容"/>
    <w:basedOn w:val="1"/>
    <w:qFormat/>
    <w:uiPriority w:val="0"/>
    <w:pPr>
      <w:jc w:val="center"/>
    </w:pPr>
    <w:rPr>
      <w:sz w:val="24"/>
      <w:szCs w:val="21"/>
    </w:rPr>
  </w:style>
  <w:style w:type="paragraph" w:customStyle="1" w:styleId="975">
    <w:name w:val="图名"/>
    <w:basedOn w:val="1"/>
    <w:next w:val="1"/>
    <w:qFormat/>
    <w:uiPriority w:val="1"/>
    <w:pPr>
      <w:spacing w:line="360" w:lineRule="auto"/>
      <w:jc w:val="center"/>
    </w:pPr>
    <w:rPr>
      <w:rFonts w:eastAsia="Times New Roman"/>
      <w:b/>
      <w:color w:val="000000"/>
      <w:sz w:val="28"/>
    </w:rPr>
  </w:style>
  <w:style w:type="paragraph" w:customStyle="1" w:styleId="976">
    <w:name w:val="08-123456789"/>
    <w:basedOn w:val="1"/>
    <w:qFormat/>
    <w:uiPriority w:val="0"/>
    <w:pPr>
      <w:ind w:firstLine="553" w:firstLineChars="200"/>
    </w:pPr>
    <w:rPr>
      <w:rFonts w:cs="宋体"/>
      <w:sz w:val="26"/>
      <w:szCs w:val="26"/>
    </w:rPr>
  </w:style>
  <w:style w:type="paragraph" w:customStyle="1" w:styleId="977">
    <w:name w:val="封面文字"/>
    <w:basedOn w:val="1"/>
    <w:qFormat/>
    <w:uiPriority w:val="0"/>
    <w:pPr>
      <w:spacing w:line="360" w:lineRule="auto"/>
      <w:jc w:val="center"/>
    </w:pPr>
    <w:rPr>
      <w:rFonts w:hAnsi="宋体" w:eastAsia="黑体"/>
      <w:sz w:val="48"/>
    </w:rPr>
  </w:style>
  <w:style w:type="paragraph" w:customStyle="1" w:styleId="978">
    <w:name w:val="表头、图名"/>
    <w:basedOn w:val="1"/>
    <w:link w:val="979"/>
    <w:qFormat/>
    <w:uiPriority w:val="0"/>
    <w:pPr>
      <w:spacing w:line="360" w:lineRule="auto"/>
      <w:ind w:firstLine="200" w:firstLineChars="200"/>
      <w:jc w:val="center"/>
    </w:pPr>
    <w:rPr>
      <w:b/>
      <w:sz w:val="28"/>
      <w:szCs w:val="20"/>
    </w:rPr>
  </w:style>
  <w:style w:type="character" w:customStyle="1" w:styleId="979">
    <w:name w:val="表头 Char"/>
    <w:link w:val="978"/>
    <w:qFormat/>
    <w:uiPriority w:val="0"/>
    <w:rPr>
      <w:b/>
      <w:kern w:val="2"/>
      <w:sz w:val="28"/>
    </w:rPr>
  </w:style>
  <w:style w:type="paragraph" w:customStyle="1" w:styleId="980">
    <w:name w:val="表头2"/>
    <w:basedOn w:val="728"/>
    <w:qFormat/>
    <w:uiPriority w:val="0"/>
    <w:pPr>
      <w:spacing w:line="520" w:lineRule="exact"/>
      <w:jc w:val="left"/>
    </w:pPr>
    <w:rPr>
      <w:rFonts w:ascii="Calibri" w:hAnsi="Calibri" w:eastAsia="宋体"/>
      <w:color w:val="auto"/>
      <w:szCs w:val="28"/>
    </w:rPr>
  </w:style>
  <w:style w:type="paragraph" w:customStyle="1" w:styleId="981">
    <w:name w:val="WPSOffice手动目录 1"/>
    <w:qFormat/>
    <w:uiPriority w:val="0"/>
    <w:rPr>
      <w:rFonts w:ascii="Times New Roman" w:hAnsi="Times New Roman" w:eastAsia="宋体" w:cs="Times New Roman"/>
      <w:lang w:val="en-US" w:eastAsia="zh-CN" w:bidi="ar-SA"/>
    </w:rPr>
  </w:style>
  <w:style w:type="paragraph" w:customStyle="1" w:styleId="982">
    <w:name w:val="表格备注"/>
    <w:basedOn w:val="1"/>
    <w:next w:val="1"/>
    <w:qFormat/>
    <w:uiPriority w:val="2"/>
    <w:pPr>
      <w:spacing w:afterLines="50"/>
    </w:pPr>
  </w:style>
  <w:style w:type="paragraph" w:customStyle="1" w:styleId="983">
    <w:name w:val="目  录"/>
    <w:basedOn w:val="1"/>
    <w:qFormat/>
    <w:uiPriority w:val="0"/>
    <w:pPr>
      <w:spacing w:line="360" w:lineRule="auto"/>
      <w:jc w:val="center"/>
    </w:pPr>
    <w:rPr>
      <w:rFonts w:hAnsi="宋体" w:eastAsia="黑体"/>
      <w:sz w:val="44"/>
    </w:rPr>
  </w:style>
  <w:style w:type="paragraph" w:customStyle="1" w:styleId="984">
    <w:name w:val="表格样式"/>
    <w:basedOn w:val="1"/>
    <w:qFormat/>
    <w:uiPriority w:val="0"/>
    <w:pPr>
      <w:widowControl/>
      <w:jc w:val="center"/>
    </w:pPr>
    <w:rPr>
      <w:bCs/>
      <w:kern w:val="0"/>
      <w:sz w:val="24"/>
    </w:rPr>
  </w:style>
  <w:style w:type="paragraph" w:customStyle="1" w:styleId="985">
    <w:name w:val="正文 1.5 倍行距"/>
    <w:basedOn w:val="1"/>
    <w:qFormat/>
    <w:uiPriority w:val="0"/>
    <w:pPr>
      <w:autoSpaceDE w:val="0"/>
      <w:autoSpaceDN w:val="0"/>
      <w:adjustRightInd w:val="0"/>
      <w:spacing w:line="360" w:lineRule="auto"/>
      <w:ind w:firstLine="480" w:firstLineChars="200"/>
      <w:textAlignment w:val="baseline"/>
    </w:pPr>
    <w:rPr>
      <w:kern w:val="0"/>
      <w:sz w:val="24"/>
      <w:szCs w:val="20"/>
    </w:rPr>
  </w:style>
  <w:style w:type="paragraph" w:customStyle="1" w:styleId="986">
    <w:name w:val="表图内容"/>
    <w:basedOn w:val="1"/>
    <w:qFormat/>
    <w:uiPriority w:val="0"/>
    <w:pPr>
      <w:spacing w:line="360" w:lineRule="auto"/>
      <w:ind w:firstLine="200" w:firstLineChars="200"/>
      <w:jc w:val="center"/>
    </w:pPr>
    <w:rPr>
      <w:sz w:val="24"/>
      <w:szCs w:val="21"/>
    </w:rPr>
  </w:style>
  <w:style w:type="paragraph" w:customStyle="1" w:styleId="987">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98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89">
    <w:name w:val="图片"/>
    <w:basedOn w:val="1"/>
    <w:qFormat/>
    <w:uiPriority w:val="0"/>
    <w:pPr>
      <w:jc w:val="center"/>
    </w:pPr>
    <w:rPr>
      <w:sz w:val="28"/>
    </w:rPr>
  </w:style>
  <w:style w:type="character" w:customStyle="1" w:styleId="990">
    <w:name w:val="招标正文 字符"/>
    <w:link w:val="991"/>
    <w:qFormat/>
    <w:uiPriority w:val="0"/>
    <w:rPr>
      <w:rFonts w:ascii="宋体" w:hAnsi="宋体"/>
      <w:color w:val="000000"/>
      <w:sz w:val="24"/>
      <w:szCs w:val="21"/>
    </w:rPr>
  </w:style>
  <w:style w:type="paragraph" w:customStyle="1" w:styleId="991">
    <w:name w:val="招标正文"/>
    <w:basedOn w:val="1"/>
    <w:link w:val="990"/>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992">
    <w:name w:val="招标-标题1 字符"/>
    <w:link w:val="993"/>
    <w:qFormat/>
    <w:uiPriority w:val="0"/>
    <w:rPr>
      <w:rFonts w:ascii="宋体" w:hAnsi="宋体"/>
      <w:b/>
      <w:bCs/>
      <w:sz w:val="28"/>
      <w:szCs w:val="21"/>
    </w:rPr>
  </w:style>
  <w:style w:type="paragraph" w:customStyle="1" w:styleId="993">
    <w:name w:val="招标-标题1"/>
    <w:basedOn w:val="1"/>
    <w:link w:val="992"/>
    <w:qFormat/>
    <w:uiPriority w:val="0"/>
    <w:pPr>
      <w:spacing w:line="300" w:lineRule="auto"/>
      <w:ind w:left="560" w:firstLine="200" w:firstLineChars="200"/>
    </w:pPr>
    <w:rPr>
      <w:rFonts w:ascii="宋体" w:hAnsi="宋体"/>
      <w:b/>
      <w:bCs/>
      <w:kern w:val="0"/>
      <w:sz w:val="28"/>
      <w:szCs w:val="21"/>
    </w:rPr>
  </w:style>
  <w:style w:type="character" w:customStyle="1" w:styleId="994">
    <w:name w:val="招标-主标题 字符"/>
    <w:link w:val="995"/>
    <w:qFormat/>
    <w:uiPriority w:val="0"/>
    <w:rPr>
      <w:rFonts w:ascii="宋体" w:hAnsi="宋体"/>
      <w:b/>
      <w:sz w:val="32"/>
    </w:rPr>
  </w:style>
  <w:style w:type="paragraph" w:customStyle="1" w:styleId="995">
    <w:name w:val="招标-主标题"/>
    <w:basedOn w:val="1"/>
    <w:link w:val="994"/>
    <w:qFormat/>
    <w:uiPriority w:val="0"/>
    <w:pPr>
      <w:tabs>
        <w:tab w:val="left" w:pos="1620"/>
        <w:tab w:val="left" w:pos="1800"/>
        <w:tab w:val="left" w:pos="1980"/>
      </w:tabs>
      <w:spacing w:line="768" w:lineRule="auto"/>
      <w:ind w:firstLine="200" w:firstLineChars="200"/>
      <w:jc w:val="center"/>
    </w:pPr>
    <w:rPr>
      <w:rFonts w:ascii="宋体" w:hAnsi="宋体"/>
      <w:b/>
      <w:kern w:val="0"/>
      <w:sz w:val="32"/>
      <w:szCs w:val="20"/>
    </w:rPr>
  </w:style>
  <w:style w:type="paragraph" w:customStyle="1" w:styleId="996">
    <w:name w:val="表名"/>
    <w:basedOn w:val="1"/>
    <w:qFormat/>
    <w:uiPriority w:val="0"/>
    <w:pPr>
      <w:spacing w:after="60" w:line="560" w:lineRule="exact"/>
      <w:ind w:firstLine="100" w:firstLineChars="100"/>
    </w:pPr>
    <w:rPr>
      <w:rFonts w:ascii="黑体" w:eastAsia="黑体"/>
      <w:sz w:val="24"/>
    </w:rPr>
  </w:style>
  <w:style w:type="paragraph" w:customStyle="1" w:styleId="997">
    <w:name w:val="样式 仿宋_GB2312 小三 黑色"/>
    <w:basedOn w:val="1"/>
    <w:qFormat/>
    <w:uiPriority w:val="0"/>
    <w:pPr>
      <w:autoSpaceDE w:val="0"/>
      <w:autoSpaceDN w:val="0"/>
      <w:adjustRightInd w:val="0"/>
      <w:spacing w:line="520" w:lineRule="exact"/>
      <w:ind w:firstLine="560" w:firstLineChars="200"/>
    </w:pPr>
    <w:rPr>
      <w:rFonts w:ascii="仿宋_GB2312" w:eastAsia="仿宋_GB2312" w:cs="仿宋_GB2312"/>
      <w:sz w:val="30"/>
      <w:szCs w:val="30"/>
      <w:lang w:val="zh-CN"/>
    </w:rPr>
  </w:style>
  <w:style w:type="character" w:customStyle="1" w:styleId="998">
    <w:name w:val="样式 仿宋_GB2312 小三 黑色 Char"/>
    <w:qFormat/>
    <w:uiPriority w:val="0"/>
    <w:rPr>
      <w:rFonts w:ascii="仿宋_GB2312" w:eastAsia="仿宋_GB2312" w:cs="仿宋_GB2312"/>
      <w:kern w:val="2"/>
      <w:sz w:val="30"/>
      <w:szCs w:val="30"/>
      <w:lang w:val="zh-CN" w:eastAsia="zh-CN" w:bidi="ar-SA"/>
    </w:rPr>
  </w:style>
  <w:style w:type="paragraph" w:customStyle="1" w:styleId="999">
    <w:name w:val="样式 仿宋_GB2312 小三"/>
    <w:basedOn w:val="1"/>
    <w:qFormat/>
    <w:uiPriority w:val="0"/>
    <w:pPr>
      <w:autoSpaceDE w:val="0"/>
      <w:autoSpaceDN w:val="0"/>
      <w:adjustRightInd w:val="0"/>
      <w:spacing w:line="520" w:lineRule="exact"/>
      <w:ind w:firstLine="600" w:firstLineChars="200"/>
    </w:pPr>
    <w:rPr>
      <w:rFonts w:ascii="仿宋_GB2312" w:eastAsia="仿宋_GB2312" w:cs="仿宋_GB2312"/>
      <w:sz w:val="30"/>
      <w:szCs w:val="30"/>
      <w:lang w:val="zh-CN"/>
    </w:rPr>
  </w:style>
  <w:style w:type="character" w:customStyle="1" w:styleId="1000">
    <w:name w:val="样式 仿宋_GB2312 小三 Char"/>
    <w:qFormat/>
    <w:uiPriority w:val="0"/>
    <w:rPr>
      <w:rFonts w:ascii="仿宋_GB2312" w:eastAsia="仿宋_GB2312" w:cs="仿宋_GB2312"/>
      <w:kern w:val="2"/>
      <w:sz w:val="30"/>
      <w:szCs w:val="30"/>
      <w:lang w:val="zh-CN" w:eastAsia="zh-CN" w:bidi="ar-SA"/>
    </w:rPr>
  </w:style>
  <w:style w:type="paragraph" w:customStyle="1" w:styleId="1001">
    <w:name w:val="图中文字"/>
    <w:qFormat/>
    <w:uiPriority w:val="0"/>
    <w:pPr>
      <w:adjustRightInd w:val="0"/>
      <w:snapToGrid w:val="0"/>
      <w:jc w:val="both"/>
    </w:pPr>
    <w:rPr>
      <w:rFonts w:ascii="宋体" w:hAnsi="Times New Roman" w:eastAsia="宋体" w:cs="Times New Roman"/>
      <w:kern w:val="2"/>
      <w:sz w:val="21"/>
      <w:lang w:val="en-US" w:eastAsia="zh-CN" w:bidi="ar-SA"/>
    </w:rPr>
  </w:style>
  <w:style w:type="paragraph" w:customStyle="1" w:styleId="1002">
    <w:name w:val="Xie图文中"/>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paragraph" w:customStyle="1" w:styleId="1003">
    <w:name w:val="瑞安正文"/>
    <w:basedOn w:val="1"/>
    <w:qFormat/>
    <w:uiPriority w:val="0"/>
    <w:pPr>
      <w:adjustRightInd w:val="0"/>
      <w:snapToGrid w:val="0"/>
      <w:spacing w:afterLines="50" w:line="300" w:lineRule="auto"/>
      <w:ind w:firstLine="200" w:firstLineChars="200"/>
    </w:pPr>
    <w:rPr>
      <w:sz w:val="24"/>
    </w:rPr>
  </w:style>
  <w:style w:type="paragraph" w:customStyle="1" w:styleId="1004">
    <w:name w:val="样式 图文仿宋四号 + (西文) 宋体 (中文) 宋体"/>
    <w:basedOn w:val="1"/>
    <w:link w:val="1005"/>
    <w:qFormat/>
    <w:uiPriority w:val="0"/>
    <w:pPr>
      <w:adjustRightInd w:val="0"/>
      <w:spacing w:line="360" w:lineRule="auto"/>
      <w:ind w:firstLine="640" w:firstLineChars="200"/>
      <w:jc w:val="left"/>
    </w:pPr>
    <w:rPr>
      <w:rFonts w:ascii="仿宋_GB2312" w:eastAsia="仿宋_GB2312"/>
      <w:sz w:val="32"/>
      <w:szCs w:val="32"/>
      <w:lang w:val="zh-CN"/>
    </w:rPr>
  </w:style>
  <w:style w:type="character" w:customStyle="1" w:styleId="1005">
    <w:name w:val="样式 图文仿宋四号 + (西文) 宋体 (中文) 宋体 Char"/>
    <w:link w:val="1004"/>
    <w:qFormat/>
    <w:uiPriority w:val="0"/>
    <w:rPr>
      <w:rFonts w:ascii="仿宋_GB2312" w:eastAsia="仿宋_GB2312"/>
      <w:kern w:val="2"/>
      <w:sz w:val="32"/>
      <w:szCs w:val="32"/>
      <w:lang w:val="zh-CN"/>
    </w:rPr>
  </w:style>
  <w:style w:type="paragraph" w:customStyle="1" w:styleId="1006">
    <w:name w:val="temp标题1"/>
    <w:basedOn w:val="5"/>
    <w:next w:val="5"/>
    <w:qFormat/>
    <w:uiPriority w:val="0"/>
    <w:pPr>
      <w:keepLines/>
      <w:spacing w:beforeLines="150" w:afterLines="50" w:line="360" w:lineRule="auto"/>
      <w:ind w:firstLine="200" w:firstLineChars="200"/>
    </w:pPr>
    <w:rPr>
      <w:rFonts w:eastAsia="黑体"/>
      <w:b/>
      <w:bCs/>
      <w:kern w:val="0"/>
      <w:sz w:val="32"/>
      <w:szCs w:val="32"/>
      <w:lang w:val="zh-CN"/>
    </w:rPr>
  </w:style>
  <w:style w:type="paragraph" w:customStyle="1" w:styleId="1007">
    <w:name w:val="temp标题2"/>
    <w:basedOn w:val="6"/>
    <w:next w:val="1"/>
    <w:qFormat/>
    <w:uiPriority w:val="0"/>
    <w:pPr>
      <w:adjustRightInd w:val="0"/>
      <w:spacing w:beforeLines="100" w:after="0" w:line="360" w:lineRule="auto"/>
      <w:ind w:firstLine="200" w:firstLineChars="200"/>
      <w:jc w:val="left"/>
    </w:pPr>
    <w:rPr>
      <w:rFonts w:ascii="Times New Roman" w:hAnsi="Times New Roman" w:eastAsia="楷体_GB2312"/>
      <w:kern w:val="0"/>
      <w:sz w:val="30"/>
      <w:szCs w:val="30"/>
      <w:lang w:val="zh-CN"/>
    </w:rPr>
  </w:style>
  <w:style w:type="paragraph" w:customStyle="1" w:styleId="1008">
    <w:name w:val="temp标题3"/>
    <w:basedOn w:val="7"/>
    <w:qFormat/>
    <w:uiPriority w:val="0"/>
    <w:pPr>
      <w:spacing w:beforeLines="50" w:after="0" w:line="360" w:lineRule="auto"/>
      <w:ind w:firstLine="200" w:firstLineChars="200"/>
      <w:jc w:val="left"/>
    </w:pPr>
    <w:rPr>
      <w:rFonts w:eastAsia="楷体_GB2312"/>
      <w:b w:val="0"/>
      <w:kern w:val="0"/>
      <w:sz w:val="28"/>
      <w:szCs w:val="28"/>
    </w:rPr>
  </w:style>
  <w:style w:type="paragraph" w:customStyle="1" w:styleId="1009">
    <w:name w:val="样式 temp标题1 + 段前: 0.5 行"/>
    <w:basedOn w:val="1006"/>
    <w:qFormat/>
    <w:uiPriority w:val="0"/>
    <w:pPr>
      <w:spacing w:beforeLines="100"/>
    </w:pPr>
    <w:rPr>
      <w:rFonts w:cs="宋体"/>
      <w:bCs w:val="0"/>
      <w:szCs w:val="20"/>
    </w:rPr>
  </w:style>
  <w:style w:type="paragraph" w:customStyle="1" w:styleId="1010">
    <w:name w:val="样式 Times New Roman 加粗 首行缩进:  2 字符 行距: 1.5 倍行距"/>
    <w:basedOn w:val="1"/>
    <w:qFormat/>
    <w:uiPriority w:val="0"/>
    <w:pPr>
      <w:spacing w:line="360" w:lineRule="auto"/>
      <w:ind w:firstLine="562" w:firstLineChars="200"/>
    </w:pPr>
    <w:rPr>
      <w:rFonts w:eastAsia="楷体_GB2312" w:cs="宋体"/>
      <w:bCs/>
      <w:sz w:val="28"/>
      <w:szCs w:val="20"/>
    </w:rPr>
  </w:style>
  <w:style w:type="paragraph" w:customStyle="1" w:styleId="1011">
    <w:name w:val="页码1"/>
    <w:basedOn w:val="1"/>
    <w:next w:val="1"/>
    <w:qFormat/>
    <w:uiPriority w:val="0"/>
    <w:pPr>
      <w:widowControl/>
      <w:spacing w:line="360" w:lineRule="auto"/>
      <w:ind w:firstLine="200" w:firstLineChars="200"/>
    </w:pPr>
    <w:rPr>
      <w:color w:val="000000"/>
      <w:sz w:val="28"/>
      <w:szCs w:val="28"/>
    </w:rPr>
  </w:style>
  <w:style w:type="paragraph" w:customStyle="1" w:styleId="1012">
    <w:name w:val="附图表"/>
    <w:basedOn w:val="1"/>
    <w:link w:val="1013"/>
    <w:qFormat/>
    <w:uiPriority w:val="0"/>
    <w:pPr>
      <w:widowControl/>
      <w:spacing w:line="360" w:lineRule="auto"/>
      <w:ind w:firstLine="200" w:firstLineChars="200"/>
      <w:jc w:val="left"/>
      <w:outlineLvl w:val="4"/>
    </w:pPr>
    <w:rPr>
      <w:rFonts w:ascii="黑体" w:hAnsi="黑体" w:eastAsia="黑体"/>
      <w:color w:val="000000"/>
      <w:kern w:val="0"/>
      <w:sz w:val="28"/>
      <w:szCs w:val="30"/>
      <w:lang w:val="zh-CN"/>
    </w:rPr>
  </w:style>
  <w:style w:type="character" w:customStyle="1" w:styleId="1013">
    <w:name w:val="附图表 Char"/>
    <w:link w:val="1012"/>
    <w:qFormat/>
    <w:uiPriority w:val="0"/>
    <w:rPr>
      <w:rFonts w:ascii="黑体" w:hAnsi="黑体" w:eastAsia="黑体"/>
      <w:color w:val="000000"/>
      <w:sz w:val="28"/>
      <w:szCs w:val="30"/>
      <w:lang w:val="zh-CN"/>
    </w:rPr>
  </w:style>
  <w:style w:type="character" w:customStyle="1" w:styleId="1014">
    <w:name w:val="Char Char71"/>
    <w:qFormat/>
    <w:uiPriority w:val="0"/>
    <w:rPr>
      <w:rFonts w:hAnsi="宋体" w:eastAsia="宋体"/>
      <w:kern w:val="2"/>
      <w:sz w:val="18"/>
      <w:szCs w:val="18"/>
      <w:lang w:val="zh-CN" w:eastAsia="zh-CN" w:bidi="ar-SA"/>
    </w:rPr>
  </w:style>
  <w:style w:type="character" w:customStyle="1" w:styleId="1015">
    <w:name w:val="content1"/>
    <w:qFormat/>
    <w:uiPriority w:val="0"/>
    <w:rPr>
      <w:sz w:val="22"/>
      <w:szCs w:val="22"/>
    </w:rPr>
  </w:style>
  <w:style w:type="paragraph" w:customStyle="1" w:styleId="1016">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17">
    <w:name w:val="纯文本2"/>
    <w:basedOn w:val="1016"/>
    <w:qFormat/>
    <w:uiPriority w:val="0"/>
    <w:pPr>
      <w:widowControl/>
      <w:jc w:val="left"/>
    </w:pPr>
    <w:rPr>
      <w:rFonts w:ascii="宋体" w:hAnsi="Courier New"/>
    </w:rPr>
  </w:style>
  <w:style w:type="paragraph" w:customStyle="1" w:styleId="1018">
    <w:name w:val="二级无"/>
    <w:basedOn w:val="770"/>
    <w:qFormat/>
    <w:uiPriority w:val="0"/>
    <w:pPr>
      <w:ind w:left="735"/>
    </w:pPr>
    <w:rPr>
      <w:rFonts w:ascii="宋体" w:hAnsi="Calibri" w:eastAsia="宋体" w:cs="Times New Roman"/>
      <w:szCs w:val="21"/>
    </w:rPr>
  </w:style>
  <w:style w:type="paragraph" w:customStyle="1" w:styleId="1019">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1020">
    <w:name w:val="area_1"/>
    <w:qFormat/>
    <w:uiPriority w:val="0"/>
    <w:rPr>
      <w:rFonts w:ascii="宋体" w:hAnsi="宋体"/>
      <w:sz w:val="24"/>
    </w:rPr>
  </w:style>
  <w:style w:type="character" w:customStyle="1" w:styleId="1021">
    <w:name w:val="正文文本缩进 2 Char1"/>
    <w:semiHidden/>
    <w:qFormat/>
    <w:uiPriority w:val="99"/>
    <w:rPr>
      <w:rFonts w:ascii="楷体_GB2312" w:hAnsi="Arial Unicode MS" w:eastAsia="楷体_GB2312" w:cs="长城仿宋"/>
      <w:b/>
      <w:color w:val="000000"/>
      <w:kern w:val="0"/>
      <w:szCs w:val="20"/>
    </w:rPr>
  </w:style>
  <w:style w:type="character" w:customStyle="1" w:styleId="1022">
    <w:name w:val="正文文本缩进 Char1"/>
    <w:semiHidden/>
    <w:qFormat/>
    <w:uiPriority w:val="0"/>
    <w:rPr>
      <w:rFonts w:ascii="楷体_GB2312" w:hAnsi="Arial Unicode MS" w:eastAsia="楷体_GB2312" w:cs="长城仿宋"/>
      <w:b/>
      <w:color w:val="000000"/>
      <w:kern w:val="0"/>
      <w:szCs w:val="20"/>
    </w:rPr>
  </w:style>
  <w:style w:type="character" w:customStyle="1" w:styleId="1023">
    <w:name w:val="批注框文本 Char1"/>
    <w:semiHidden/>
    <w:qFormat/>
    <w:uiPriority w:val="99"/>
    <w:rPr>
      <w:rFonts w:ascii="楷体_GB2312" w:hAnsi="Arial Unicode MS" w:eastAsia="楷体_GB2312" w:cs="长城仿宋"/>
      <w:b/>
      <w:color w:val="000000"/>
      <w:kern w:val="0"/>
      <w:sz w:val="18"/>
      <w:szCs w:val="18"/>
    </w:rPr>
  </w:style>
  <w:style w:type="character" w:customStyle="1" w:styleId="1024">
    <w:name w:val="正文文本缩进 3 Char1"/>
    <w:semiHidden/>
    <w:qFormat/>
    <w:uiPriority w:val="99"/>
    <w:rPr>
      <w:rFonts w:ascii="楷体_GB2312" w:hAnsi="Arial Unicode MS" w:eastAsia="楷体_GB2312" w:cs="长城仿宋"/>
      <w:b/>
      <w:color w:val="000000"/>
      <w:kern w:val="0"/>
      <w:sz w:val="16"/>
      <w:szCs w:val="16"/>
    </w:rPr>
  </w:style>
  <w:style w:type="character" w:customStyle="1" w:styleId="1025">
    <w:name w:val="日期 Char1"/>
    <w:semiHidden/>
    <w:qFormat/>
    <w:uiPriority w:val="0"/>
    <w:rPr>
      <w:rFonts w:ascii="楷体_GB2312" w:hAnsi="Arial Unicode MS" w:eastAsia="楷体_GB2312" w:cs="长城仿宋"/>
      <w:b/>
      <w:color w:val="000000"/>
      <w:kern w:val="0"/>
      <w:szCs w:val="20"/>
    </w:rPr>
  </w:style>
  <w:style w:type="character" w:customStyle="1" w:styleId="1026">
    <w:name w:val="称呼 Char1"/>
    <w:semiHidden/>
    <w:qFormat/>
    <w:uiPriority w:val="99"/>
    <w:rPr>
      <w:rFonts w:ascii="楷体_GB2312" w:hAnsi="Arial Unicode MS" w:eastAsia="楷体_GB2312" w:cs="长城仿宋"/>
      <w:b/>
      <w:color w:val="000000"/>
      <w:kern w:val="0"/>
      <w:szCs w:val="20"/>
    </w:rPr>
  </w:style>
  <w:style w:type="character" w:customStyle="1" w:styleId="1027">
    <w:name w:val="页眉 Char2"/>
    <w:semiHidden/>
    <w:qFormat/>
    <w:uiPriority w:val="99"/>
    <w:rPr>
      <w:rFonts w:ascii="楷体_GB2312" w:hAnsi="Arial Unicode MS" w:eastAsia="楷体_GB2312" w:cs="长城仿宋"/>
      <w:b/>
      <w:color w:val="000000"/>
      <w:kern w:val="0"/>
      <w:sz w:val="18"/>
      <w:szCs w:val="18"/>
    </w:rPr>
  </w:style>
  <w:style w:type="character" w:customStyle="1" w:styleId="1028">
    <w:name w:val="文档结构图 Char1"/>
    <w:semiHidden/>
    <w:qFormat/>
    <w:uiPriority w:val="99"/>
    <w:rPr>
      <w:rFonts w:ascii="Microsoft YaHei UI" w:hAnsi="Arial Unicode MS" w:eastAsia="Microsoft YaHei UI" w:cs="长城仿宋"/>
      <w:b/>
      <w:color w:val="000000"/>
      <w:kern w:val="0"/>
      <w:sz w:val="18"/>
      <w:szCs w:val="18"/>
    </w:rPr>
  </w:style>
  <w:style w:type="character" w:customStyle="1" w:styleId="1029">
    <w:name w:val="正文文本 2 Char1"/>
    <w:semiHidden/>
    <w:qFormat/>
    <w:uiPriority w:val="99"/>
    <w:rPr>
      <w:rFonts w:ascii="楷体_GB2312" w:hAnsi="Arial Unicode MS" w:eastAsia="楷体_GB2312" w:cs="长城仿宋"/>
      <w:b/>
      <w:color w:val="000000"/>
      <w:kern w:val="0"/>
      <w:szCs w:val="20"/>
    </w:rPr>
  </w:style>
  <w:style w:type="character" w:customStyle="1" w:styleId="1030">
    <w:name w:val="普通(网站) Char"/>
    <w:qFormat/>
    <w:uiPriority w:val="1"/>
    <w:rPr>
      <w:rFonts w:ascii="长城仿宋" w:hAnsi="长城仿宋" w:eastAsia="Arial Unicode MS" w:cs="长城仿宋"/>
      <w:kern w:val="0"/>
      <w:sz w:val="24"/>
      <w:szCs w:val="20"/>
    </w:rPr>
  </w:style>
  <w:style w:type="character" w:customStyle="1" w:styleId="1031">
    <w:name w:val="正文文本 3 Char"/>
    <w:semiHidden/>
    <w:qFormat/>
    <w:uiPriority w:val="99"/>
    <w:rPr>
      <w:rFonts w:ascii="楷体_GB2312" w:hAnsi="Arial Unicode MS" w:eastAsia="楷体_GB2312" w:cs="长城仿宋"/>
      <w:b/>
      <w:color w:val="000000"/>
      <w:kern w:val="0"/>
      <w:sz w:val="16"/>
      <w:szCs w:val="16"/>
    </w:rPr>
  </w:style>
  <w:style w:type="character" w:customStyle="1" w:styleId="1032">
    <w:name w:val="正文文本 3 Char1"/>
    <w:qFormat/>
    <w:uiPriority w:val="0"/>
    <w:rPr>
      <w:rFonts w:ascii="楷体_GB2312" w:hAnsi="Arial Unicode MS" w:eastAsia="楷体_GB2312" w:cs="长城仿宋"/>
      <w:b/>
      <w:color w:val="000000"/>
      <w:kern w:val="0"/>
      <w:sz w:val="16"/>
      <w:szCs w:val="16"/>
    </w:rPr>
  </w:style>
  <w:style w:type="character" w:customStyle="1" w:styleId="1033">
    <w:name w:val="宏文本 Char1"/>
    <w:qFormat/>
    <w:uiPriority w:val="0"/>
    <w:rPr>
      <w:rFonts w:ascii="Wingdings" w:hAnsi="Wingdings" w:eastAsia="Times New Roman" w:cs="Times New Roman"/>
      <w:sz w:val="24"/>
      <w:szCs w:val="24"/>
    </w:rPr>
  </w:style>
  <w:style w:type="character" w:customStyle="1" w:styleId="1034">
    <w:name w:val="注释标题 Char"/>
    <w:semiHidden/>
    <w:qFormat/>
    <w:uiPriority w:val="99"/>
    <w:rPr>
      <w:rFonts w:ascii="楷体_GB2312" w:hAnsi="Arial Unicode MS" w:eastAsia="楷体_GB2312" w:cs="长城仿宋"/>
      <w:b/>
      <w:color w:val="000000"/>
      <w:kern w:val="0"/>
      <w:szCs w:val="20"/>
    </w:rPr>
  </w:style>
  <w:style w:type="character" w:customStyle="1" w:styleId="1035">
    <w:name w:val="注释标题 Char1"/>
    <w:qFormat/>
    <w:uiPriority w:val="0"/>
    <w:rPr>
      <w:rFonts w:ascii="DFKai-SB" w:hAnsi="DFKai-SB" w:eastAsia="DFKai-SB" w:cs="等线"/>
      <w:sz w:val="20"/>
      <w:szCs w:val="20"/>
      <w:lang w:eastAsia="zh-TW"/>
    </w:rPr>
  </w:style>
  <w:style w:type="character" w:customStyle="1" w:styleId="1036">
    <w:name w:val="尾注文本 Char1"/>
    <w:qFormat/>
    <w:uiPriority w:val="1"/>
    <w:rPr>
      <w:rFonts w:ascii="Times New Roman" w:hAnsi="Times New Roman" w:eastAsia="宋体" w:cs="Times New Roman"/>
      <w:sz w:val="28"/>
      <w:szCs w:val="24"/>
    </w:rPr>
  </w:style>
  <w:style w:type="character" w:customStyle="1" w:styleId="1037">
    <w:name w:val="签名 Char"/>
    <w:semiHidden/>
    <w:qFormat/>
    <w:uiPriority w:val="99"/>
    <w:rPr>
      <w:rFonts w:ascii="楷体_GB2312" w:hAnsi="Arial Unicode MS" w:eastAsia="楷体_GB2312" w:cs="长城仿宋"/>
      <w:b/>
      <w:color w:val="000000"/>
      <w:kern w:val="0"/>
      <w:szCs w:val="20"/>
    </w:rPr>
  </w:style>
  <w:style w:type="character" w:customStyle="1" w:styleId="1038">
    <w:name w:val="签名 Char1"/>
    <w:qFormat/>
    <w:uiPriority w:val="0"/>
    <w:rPr>
      <w:rFonts w:ascii="等线" w:hAnsi="等线" w:eastAsia="黑体" w:cs="等线"/>
      <w:kern w:val="0"/>
      <w:sz w:val="24"/>
      <w:szCs w:val="20"/>
    </w:rPr>
  </w:style>
  <w:style w:type="character" w:customStyle="1" w:styleId="1039">
    <w:name w:val="副标题 Char2"/>
    <w:qFormat/>
    <w:uiPriority w:val="0"/>
    <w:rPr>
      <w:rFonts w:ascii="Verdana" w:hAnsi="Verdana" w:eastAsia="仿宋_GB2312" w:cs="Times New Roman"/>
      <w:b/>
      <w:bCs/>
      <w:kern w:val="28"/>
      <w:sz w:val="32"/>
      <w:szCs w:val="32"/>
    </w:rPr>
  </w:style>
  <w:style w:type="character" w:customStyle="1" w:styleId="1040">
    <w:name w:val="脚注文本 Char"/>
    <w:semiHidden/>
    <w:qFormat/>
    <w:uiPriority w:val="99"/>
    <w:rPr>
      <w:rFonts w:ascii="楷体_GB2312" w:hAnsi="Arial Unicode MS" w:eastAsia="楷体_GB2312" w:cs="长城仿宋"/>
      <w:b/>
      <w:color w:val="000000"/>
      <w:kern w:val="0"/>
      <w:sz w:val="18"/>
      <w:szCs w:val="18"/>
    </w:rPr>
  </w:style>
  <w:style w:type="character" w:customStyle="1" w:styleId="1041">
    <w:name w:val="脚注文本 Char1"/>
    <w:qFormat/>
    <w:uiPriority w:val="0"/>
    <w:rPr>
      <w:rFonts w:ascii="等线" w:hAnsi="等线" w:eastAsia="等线" w:cs="等线"/>
      <w:sz w:val="18"/>
      <w:szCs w:val="18"/>
    </w:rPr>
  </w:style>
  <w:style w:type="character" w:customStyle="1" w:styleId="1042">
    <w:name w:val="信息标题 Char1"/>
    <w:qFormat/>
    <w:uiPriority w:val="0"/>
    <w:rPr>
      <w:rFonts w:ascii="Times New Roman" w:hAnsi="Times New Roman" w:eastAsia="仿宋_GB2312" w:cs="Times New Roman"/>
      <w:szCs w:val="24"/>
      <w:shd w:val="pct20" w:color="auto" w:fill="auto"/>
    </w:rPr>
  </w:style>
  <w:style w:type="character" w:customStyle="1" w:styleId="1043">
    <w:name w:val="列出段落 Char2"/>
    <w:qFormat/>
    <w:uiPriority w:val="0"/>
    <w:rPr>
      <w:rFonts w:ascii="Times New Roman" w:hAnsi="Times New Roman" w:eastAsia="宋体" w:cs="Times New Roman"/>
      <w:szCs w:val="24"/>
    </w:rPr>
  </w:style>
  <w:style w:type="character" w:customStyle="1" w:styleId="1044">
    <w:name w:val="无间隔 Char"/>
    <w:qFormat/>
    <w:uiPriority w:val="1"/>
    <w:rPr>
      <w:rFonts w:ascii="Century Gothic" w:hAnsi="Century Gothic" w:eastAsia="Times New Roman"/>
      <w:sz w:val="22"/>
    </w:rPr>
  </w:style>
  <w:style w:type="character" w:customStyle="1" w:styleId="1045">
    <w:name w:val="引用 Char1"/>
    <w:qFormat/>
    <w:uiPriority w:val="29"/>
    <w:rPr>
      <w:rFonts w:ascii="楷体_GB2312" w:hAnsi="Arial Unicode MS" w:eastAsia="楷体_GB2312" w:cs="长城仿宋"/>
      <w:b/>
      <w:i/>
      <w:iCs/>
      <w:color w:val="404040"/>
      <w:kern w:val="0"/>
      <w:szCs w:val="20"/>
    </w:rPr>
  </w:style>
  <w:style w:type="character" w:customStyle="1" w:styleId="1046">
    <w:name w:val="引用 Char2"/>
    <w:qFormat/>
    <w:uiPriority w:val="0"/>
    <w:rPr>
      <w:rFonts w:ascii="Century Gothic" w:hAnsi="Century Gothic" w:eastAsia="仿宋_GB2312" w:cs="Times New Roman"/>
      <w:i/>
      <w:iCs/>
      <w:color w:val="000000"/>
      <w:kern w:val="0"/>
      <w:sz w:val="20"/>
      <w:szCs w:val="20"/>
    </w:rPr>
  </w:style>
  <w:style w:type="character" w:customStyle="1" w:styleId="1047">
    <w:name w:val="明显引用 Char1"/>
    <w:qFormat/>
    <w:uiPriority w:val="30"/>
    <w:rPr>
      <w:rFonts w:ascii="楷体_GB2312" w:hAnsi="Arial Unicode MS" w:eastAsia="楷体_GB2312" w:cs="长城仿宋"/>
      <w:b/>
      <w:i/>
      <w:iCs/>
      <w:color w:val="5B9BD5"/>
      <w:kern w:val="0"/>
      <w:szCs w:val="20"/>
    </w:rPr>
  </w:style>
  <w:style w:type="character" w:customStyle="1" w:styleId="1048">
    <w:name w:val="明显引用 Char2"/>
    <w:qFormat/>
    <w:uiPriority w:val="0"/>
    <w:rPr>
      <w:rFonts w:ascii="Century Gothic" w:hAnsi="Century Gothic" w:eastAsia="仿宋_GB2312" w:cs="Times New Roman"/>
      <w:b/>
      <w:bCs/>
      <w:i/>
      <w:iCs/>
      <w:color w:val="4F81BD"/>
      <w:kern w:val="0"/>
      <w:sz w:val="20"/>
      <w:szCs w:val="20"/>
    </w:rPr>
  </w:style>
  <w:style w:type="character" w:customStyle="1" w:styleId="1049">
    <w:name w:val="正文首行缩进 2 Char1"/>
    <w:semiHidden/>
    <w:qFormat/>
    <w:uiPriority w:val="99"/>
    <w:rPr>
      <w:rFonts w:hint="default" w:ascii="楷体_GB2312" w:hAnsi="Arial Unicode MS" w:eastAsia="楷体_GB2312" w:cs="长城仿宋"/>
      <w:b/>
      <w:color w:val="000000"/>
      <w:kern w:val="0"/>
      <w:szCs w:val="20"/>
    </w:rPr>
  </w:style>
  <w:style w:type="paragraph" w:customStyle="1" w:styleId="1050">
    <w:name w:val="附录图标题"/>
    <w:next w:val="1"/>
    <w:qFormat/>
    <w:uiPriority w:val="0"/>
    <w:pPr>
      <w:numPr>
        <w:ilvl w:val="0"/>
        <w:numId w:val="1"/>
      </w:numPr>
      <w:spacing w:line="360" w:lineRule="auto"/>
      <w:jc w:val="center"/>
    </w:pPr>
    <w:rPr>
      <w:rFonts w:ascii="黑体" w:hAnsi="Times New Roman" w:eastAsia="黑体" w:cs="Times New Roman"/>
      <w:sz w:val="24"/>
      <w:lang w:val="en-US" w:eastAsia="zh-CN" w:bidi="ar-SA"/>
    </w:rPr>
  </w:style>
  <w:style w:type="paragraph" w:customStyle="1" w:styleId="1051">
    <w:name w:val="02-一级标题"/>
    <w:basedOn w:val="1"/>
    <w:next w:val="1"/>
    <w:link w:val="1052"/>
    <w:qFormat/>
    <w:uiPriority w:val="0"/>
    <w:pPr>
      <w:widowControl/>
      <w:spacing w:beforeLines="100" w:afterLines="50" w:line="400" w:lineRule="exact"/>
      <w:jc w:val="center"/>
      <w:outlineLvl w:val="1"/>
    </w:pPr>
    <w:rPr>
      <w:rFonts w:ascii="宋体" w:hAnsi="宋体"/>
      <w:b/>
      <w:sz w:val="30"/>
      <w:szCs w:val="21"/>
    </w:rPr>
  </w:style>
  <w:style w:type="character" w:customStyle="1" w:styleId="1052">
    <w:name w:val="02-一级标题 Char Char"/>
    <w:link w:val="1051"/>
    <w:qFormat/>
    <w:uiPriority w:val="0"/>
    <w:rPr>
      <w:rFonts w:ascii="宋体" w:hAnsi="宋体"/>
      <w:b/>
      <w:kern w:val="2"/>
      <w:sz w:val="30"/>
      <w:szCs w:val="21"/>
    </w:rPr>
  </w:style>
  <w:style w:type="paragraph" w:customStyle="1" w:styleId="1053">
    <w:name w:val="CM12"/>
    <w:basedOn w:val="222"/>
    <w:next w:val="222"/>
    <w:qFormat/>
    <w:uiPriority w:val="0"/>
    <w:pPr>
      <w:spacing w:line="466" w:lineRule="atLeast"/>
      <w:jc w:val="both"/>
    </w:pPr>
    <w:rPr>
      <w:rFonts w:cs="Times New Roman"/>
      <w:color w:val="auto"/>
    </w:rPr>
  </w:style>
  <w:style w:type="paragraph" w:customStyle="1" w:styleId="1054">
    <w:name w:val="CM14"/>
    <w:basedOn w:val="222"/>
    <w:next w:val="222"/>
    <w:qFormat/>
    <w:uiPriority w:val="0"/>
    <w:pPr>
      <w:spacing w:line="933" w:lineRule="atLeast"/>
      <w:jc w:val="both"/>
    </w:pPr>
    <w:rPr>
      <w:rFonts w:cs="Times New Roman"/>
      <w:color w:val="auto"/>
    </w:rPr>
  </w:style>
  <w:style w:type="paragraph" w:customStyle="1" w:styleId="1055">
    <w:name w:val="CM122"/>
    <w:basedOn w:val="222"/>
    <w:next w:val="222"/>
    <w:qFormat/>
    <w:uiPriority w:val="0"/>
    <w:pPr>
      <w:spacing w:after="625" w:line="360" w:lineRule="auto"/>
      <w:jc w:val="both"/>
    </w:pPr>
    <w:rPr>
      <w:rFonts w:cs="Times New Roman"/>
      <w:color w:val="auto"/>
    </w:rPr>
  </w:style>
  <w:style w:type="paragraph" w:customStyle="1" w:styleId="1056">
    <w:name w:val="03-二级标题"/>
    <w:next w:val="1"/>
    <w:link w:val="1057"/>
    <w:qFormat/>
    <w:uiPriority w:val="0"/>
    <w:pPr>
      <w:tabs>
        <w:tab w:val="left" w:pos="1260"/>
      </w:tabs>
      <w:spacing w:beforeLines="50" w:afterLines="50" w:line="400" w:lineRule="exact"/>
      <w:ind w:left="481" w:hanging="481" w:hangingChars="171"/>
      <w:jc w:val="center"/>
      <w:outlineLvl w:val="2"/>
    </w:pPr>
    <w:rPr>
      <w:rFonts w:ascii="Times New Roman" w:hAnsi="Times New Roman" w:eastAsia="宋体" w:cs="Times New Roman"/>
      <w:b/>
      <w:kern w:val="2"/>
      <w:sz w:val="28"/>
      <w:szCs w:val="24"/>
      <w:lang w:val="en-US" w:eastAsia="zh-CN" w:bidi="ar-SA"/>
    </w:rPr>
  </w:style>
  <w:style w:type="character" w:customStyle="1" w:styleId="1057">
    <w:name w:val="03-二级标题 Char Char"/>
    <w:link w:val="1056"/>
    <w:qFormat/>
    <w:uiPriority w:val="0"/>
    <w:rPr>
      <w:b/>
      <w:kern w:val="2"/>
      <w:sz w:val="28"/>
      <w:szCs w:val="24"/>
    </w:rPr>
  </w:style>
  <w:style w:type="paragraph" w:customStyle="1" w:styleId="1058">
    <w:name w:val="CM117"/>
    <w:basedOn w:val="222"/>
    <w:next w:val="222"/>
    <w:qFormat/>
    <w:uiPriority w:val="0"/>
    <w:pPr>
      <w:spacing w:after="150" w:line="360" w:lineRule="auto"/>
      <w:jc w:val="both"/>
    </w:pPr>
    <w:rPr>
      <w:rFonts w:cs="Times New Roman"/>
      <w:color w:val="auto"/>
    </w:rPr>
  </w:style>
  <w:style w:type="paragraph" w:customStyle="1" w:styleId="1059">
    <w:name w:val="CM15"/>
    <w:basedOn w:val="222"/>
    <w:next w:val="222"/>
    <w:qFormat/>
    <w:uiPriority w:val="0"/>
    <w:pPr>
      <w:spacing w:line="583" w:lineRule="atLeast"/>
      <w:jc w:val="both"/>
    </w:pPr>
    <w:rPr>
      <w:rFonts w:cs="Times New Roman"/>
      <w:color w:val="auto"/>
    </w:rPr>
  </w:style>
  <w:style w:type="paragraph" w:customStyle="1" w:styleId="1060">
    <w:name w:val="CM118"/>
    <w:basedOn w:val="222"/>
    <w:next w:val="222"/>
    <w:qFormat/>
    <w:uiPriority w:val="0"/>
    <w:pPr>
      <w:spacing w:after="330" w:line="360" w:lineRule="auto"/>
      <w:jc w:val="both"/>
    </w:pPr>
    <w:rPr>
      <w:rFonts w:cs="Times New Roman"/>
      <w:color w:val="auto"/>
    </w:rPr>
  </w:style>
  <w:style w:type="paragraph" w:customStyle="1" w:styleId="1061">
    <w:name w:val="CM123"/>
    <w:basedOn w:val="222"/>
    <w:next w:val="222"/>
    <w:qFormat/>
    <w:uiPriority w:val="0"/>
    <w:pPr>
      <w:spacing w:after="68" w:line="360" w:lineRule="auto"/>
      <w:jc w:val="both"/>
    </w:pPr>
    <w:rPr>
      <w:rFonts w:cs="Times New Roman"/>
      <w:color w:val="auto"/>
    </w:rPr>
  </w:style>
  <w:style w:type="paragraph" w:customStyle="1" w:styleId="1062">
    <w:name w:val="CM124"/>
    <w:basedOn w:val="222"/>
    <w:next w:val="222"/>
    <w:qFormat/>
    <w:uiPriority w:val="0"/>
    <w:pPr>
      <w:spacing w:after="558" w:line="360" w:lineRule="auto"/>
      <w:jc w:val="both"/>
    </w:pPr>
    <w:rPr>
      <w:rFonts w:cs="Times New Roman"/>
      <w:color w:val="auto"/>
    </w:rPr>
  </w:style>
  <w:style w:type="paragraph" w:customStyle="1" w:styleId="1063">
    <w:name w:val="标题6"/>
    <w:basedOn w:val="1"/>
    <w:next w:val="5"/>
    <w:qFormat/>
    <w:uiPriority w:val="0"/>
    <w:pPr>
      <w:widowControl/>
      <w:snapToGrid w:val="0"/>
      <w:spacing w:beforeLines="50" w:afterLines="50" w:line="520" w:lineRule="atLeast"/>
      <w:ind w:firstLine="200" w:firstLineChars="200"/>
      <w:jc w:val="left"/>
    </w:pPr>
    <w:rPr>
      <w:rFonts w:cs="Arial"/>
      <w:b/>
    </w:rPr>
  </w:style>
  <w:style w:type="paragraph" w:customStyle="1" w:styleId="1064">
    <w:name w:val="CM136"/>
    <w:basedOn w:val="222"/>
    <w:next w:val="222"/>
    <w:qFormat/>
    <w:uiPriority w:val="0"/>
    <w:pPr>
      <w:spacing w:after="275" w:line="360" w:lineRule="auto"/>
      <w:jc w:val="both"/>
    </w:pPr>
    <w:rPr>
      <w:rFonts w:cs="Times New Roman"/>
      <w:color w:val="auto"/>
    </w:rPr>
  </w:style>
  <w:style w:type="paragraph" w:customStyle="1" w:styleId="1065">
    <w:name w:val="样式 表格正文 + 两端对齐"/>
    <w:basedOn w:val="1"/>
    <w:qFormat/>
    <w:uiPriority w:val="0"/>
    <w:pPr>
      <w:widowControl/>
      <w:spacing w:line="300" w:lineRule="auto"/>
      <w:jc w:val="left"/>
    </w:pPr>
    <w:rPr>
      <w:szCs w:val="20"/>
    </w:rPr>
  </w:style>
  <w:style w:type="paragraph" w:customStyle="1" w:styleId="1066">
    <w:name w:val="CM1"/>
    <w:basedOn w:val="222"/>
    <w:next w:val="222"/>
    <w:qFormat/>
    <w:uiPriority w:val="0"/>
    <w:pPr>
      <w:spacing w:line="468" w:lineRule="atLeast"/>
      <w:jc w:val="both"/>
    </w:pPr>
    <w:rPr>
      <w:rFonts w:cs="Times New Roman"/>
      <w:color w:val="auto"/>
    </w:rPr>
  </w:style>
  <w:style w:type="paragraph" w:customStyle="1" w:styleId="1067">
    <w:name w:val="CM2"/>
    <w:basedOn w:val="222"/>
    <w:next w:val="222"/>
    <w:qFormat/>
    <w:uiPriority w:val="0"/>
    <w:pPr>
      <w:spacing w:line="471" w:lineRule="atLeast"/>
      <w:jc w:val="both"/>
    </w:pPr>
    <w:rPr>
      <w:rFonts w:cs="Times New Roman"/>
      <w:color w:val="auto"/>
    </w:rPr>
  </w:style>
  <w:style w:type="paragraph" w:customStyle="1" w:styleId="1068">
    <w:name w:val="CM6"/>
    <w:basedOn w:val="222"/>
    <w:next w:val="222"/>
    <w:qFormat/>
    <w:uiPriority w:val="0"/>
    <w:pPr>
      <w:spacing w:line="466" w:lineRule="atLeast"/>
      <w:jc w:val="both"/>
    </w:pPr>
    <w:rPr>
      <w:rFonts w:cs="Times New Roman"/>
      <w:color w:val="auto"/>
    </w:rPr>
  </w:style>
  <w:style w:type="paragraph" w:customStyle="1" w:styleId="1069">
    <w:name w:val="CM3"/>
    <w:basedOn w:val="222"/>
    <w:next w:val="222"/>
    <w:qFormat/>
    <w:uiPriority w:val="0"/>
    <w:pPr>
      <w:spacing w:line="466" w:lineRule="atLeast"/>
      <w:jc w:val="both"/>
    </w:pPr>
    <w:rPr>
      <w:rFonts w:cs="Times New Roman"/>
      <w:color w:val="auto"/>
    </w:rPr>
  </w:style>
  <w:style w:type="paragraph" w:customStyle="1" w:styleId="1070">
    <w:name w:val="CM11"/>
    <w:basedOn w:val="222"/>
    <w:next w:val="222"/>
    <w:qFormat/>
    <w:uiPriority w:val="0"/>
    <w:pPr>
      <w:spacing w:line="360" w:lineRule="auto"/>
      <w:jc w:val="both"/>
    </w:pPr>
    <w:rPr>
      <w:rFonts w:cs="Times New Roman"/>
      <w:color w:val="auto"/>
    </w:rPr>
  </w:style>
  <w:style w:type="paragraph" w:customStyle="1" w:styleId="1071">
    <w:name w:val="CM120"/>
    <w:basedOn w:val="222"/>
    <w:next w:val="222"/>
    <w:qFormat/>
    <w:uiPriority w:val="0"/>
    <w:pPr>
      <w:spacing w:after="455" w:line="360" w:lineRule="auto"/>
      <w:jc w:val="both"/>
    </w:pPr>
    <w:rPr>
      <w:rFonts w:cs="Times New Roman"/>
      <w:color w:val="auto"/>
    </w:rPr>
  </w:style>
  <w:style w:type="paragraph" w:customStyle="1" w:styleId="1072">
    <w:name w:val="CM13"/>
    <w:basedOn w:val="222"/>
    <w:next w:val="222"/>
    <w:qFormat/>
    <w:uiPriority w:val="0"/>
    <w:pPr>
      <w:spacing w:line="466" w:lineRule="atLeast"/>
      <w:jc w:val="both"/>
    </w:pPr>
    <w:rPr>
      <w:rFonts w:cs="Times New Roman"/>
      <w:color w:val="auto"/>
    </w:rPr>
  </w:style>
  <w:style w:type="paragraph" w:customStyle="1" w:styleId="1073">
    <w:name w:val="CM17"/>
    <w:basedOn w:val="222"/>
    <w:next w:val="222"/>
    <w:qFormat/>
    <w:uiPriority w:val="0"/>
    <w:pPr>
      <w:spacing w:line="583" w:lineRule="atLeast"/>
      <w:jc w:val="both"/>
    </w:pPr>
    <w:rPr>
      <w:rFonts w:cs="Times New Roman"/>
      <w:color w:val="auto"/>
    </w:rPr>
  </w:style>
  <w:style w:type="paragraph" w:customStyle="1" w:styleId="1074">
    <w:name w:val="CM18"/>
    <w:basedOn w:val="222"/>
    <w:next w:val="222"/>
    <w:qFormat/>
    <w:uiPriority w:val="0"/>
    <w:pPr>
      <w:spacing w:line="583" w:lineRule="atLeast"/>
      <w:jc w:val="both"/>
    </w:pPr>
    <w:rPr>
      <w:rFonts w:cs="Times New Roman"/>
      <w:color w:val="auto"/>
    </w:rPr>
  </w:style>
  <w:style w:type="paragraph" w:customStyle="1" w:styleId="1075">
    <w:name w:val="CM126"/>
    <w:basedOn w:val="222"/>
    <w:next w:val="222"/>
    <w:qFormat/>
    <w:uiPriority w:val="0"/>
    <w:pPr>
      <w:spacing w:after="1365" w:line="360" w:lineRule="auto"/>
      <w:jc w:val="both"/>
    </w:pPr>
    <w:rPr>
      <w:rFonts w:cs="Times New Roman"/>
      <w:color w:val="auto"/>
    </w:rPr>
  </w:style>
  <w:style w:type="paragraph" w:customStyle="1" w:styleId="1076">
    <w:name w:val="CM19"/>
    <w:basedOn w:val="222"/>
    <w:next w:val="222"/>
    <w:qFormat/>
    <w:uiPriority w:val="0"/>
    <w:pPr>
      <w:spacing w:line="580" w:lineRule="atLeast"/>
      <w:jc w:val="both"/>
    </w:pPr>
    <w:rPr>
      <w:rFonts w:cs="Times New Roman"/>
      <w:color w:val="auto"/>
    </w:rPr>
  </w:style>
  <w:style w:type="paragraph" w:customStyle="1" w:styleId="1077">
    <w:name w:val="CM125"/>
    <w:basedOn w:val="222"/>
    <w:next w:val="222"/>
    <w:qFormat/>
    <w:uiPriority w:val="0"/>
    <w:pPr>
      <w:spacing w:after="705" w:line="360" w:lineRule="auto"/>
      <w:jc w:val="both"/>
    </w:pPr>
    <w:rPr>
      <w:rFonts w:cs="Times New Roman"/>
      <w:color w:val="auto"/>
    </w:rPr>
  </w:style>
  <w:style w:type="paragraph" w:customStyle="1" w:styleId="1078">
    <w:name w:val="CM20"/>
    <w:basedOn w:val="222"/>
    <w:next w:val="222"/>
    <w:qFormat/>
    <w:uiPriority w:val="0"/>
    <w:pPr>
      <w:spacing w:line="580" w:lineRule="atLeast"/>
      <w:jc w:val="both"/>
    </w:pPr>
    <w:rPr>
      <w:rFonts w:cs="Times New Roman"/>
      <w:color w:val="auto"/>
    </w:rPr>
  </w:style>
  <w:style w:type="paragraph" w:customStyle="1" w:styleId="1079">
    <w:name w:val="CM21"/>
    <w:basedOn w:val="222"/>
    <w:next w:val="222"/>
    <w:qFormat/>
    <w:uiPriority w:val="0"/>
    <w:pPr>
      <w:spacing w:line="583" w:lineRule="atLeast"/>
      <w:jc w:val="both"/>
    </w:pPr>
    <w:rPr>
      <w:rFonts w:cs="Times New Roman"/>
      <w:color w:val="auto"/>
    </w:rPr>
  </w:style>
  <w:style w:type="paragraph" w:customStyle="1" w:styleId="1080">
    <w:name w:val="CM22"/>
    <w:basedOn w:val="222"/>
    <w:next w:val="222"/>
    <w:qFormat/>
    <w:uiPriority w:val="0"/>
    <w:pPr>
      <w:spacing w:line="360" w:lineRule="auto"/>
      <w:jc w:val="both"/>
    </w:pPr>
    <w:rPr>
      <w:rFonts w:cs="Times New Roman"/>
      <w:color w:val="auto"/>
    </w:rPr>
  </w:style>
  <w:style w:type="paragraph" w:customStyle="1" w:styleId="1081">
    <w:name w:val="CM119"/>
    <w:basedOn w:val="222"/>
    <w:next w:val="222"/>
    <w:qFormat/>
    <w:uiPriority w:val="0"/>
    <w:pPr>
      <w:spacing w:after="223" w:line="360" w:lineRule="auto"/>
      <w:jc w:val="both"/>
    </w:pPr>
    <w:rPr>
      <w:rFonts w:cs="Times New Roman"/>
      <w:color w:val="auto"/>
    </w:rPr>
  </w:style>
  <w:style w:type="paragraph" w:customStyle="1" w:styleId="1082">
    <w:name w:val="CM26"/>
    <w:basedOn w:val="222"/>
    <w:next w:val="222"/>
    <w:qFormat/>
    <w:uiPriority w:val="0"/>
    <w:pPr>
      <w:spacing w:line="583" w:lineRule="atLeast"/>
      <w:jc w:val="both"/>
    </w:pPr>
    <w:rPr>
      <w:rFonts w:cs="Times New Roman"/>
      <w:color w:val="auto"/>
    </w:rPr>
  </w:style>
  <w:style w:type="paragraph" w:customStyle="1" w:styleId="1083">
    <w:name w:val="CM131"/>
    <w:basedOn w:val="222"/>
    <w:next w:val="222"/>
    <w:qFormat/>
    <w:uiPriority w:val="0"/>
    <w:pPr>
      <w:spacing w:after="1113" w:line="360" w:lineRule="auto"/>
      <w:jc w:val="both"/>
    </w:pPr>
    <w:rPr>
      <w:rFonts w:cs="Times New Roman"/>
      <w:color w:val="auto"/>
    </w:rPr>
  </w:style>
  <w:style w:type="paragraph" w:customStyle="1" w:styleId="1084">
    <w:name w:val="CM27"/>
    <w:basedOn w:val="222"/>
    <w:next w:val="222"/>
    <w:qFormat/>
    <w:uiPriority w:val="0"/>
    <w:pPr>
      <w:spacing w:line="360" w:lineRule="auto"/>
      <w:jc w:val="both"/>
    </w:pPr>
    <w:rPr>
      <w:rFonts w:cs="Times New Roman"/>
      <w:color w:val="auto"/>
    </w:rPr>
  </w:style>
  <w:style w:type="paragraph" w:customStyle="1" w:styleId="1085">
    <w:name w:val="CM28"/>
    <w:basedOn w:val="222"/>
    <w:next w:val="222"/>
    <w:qFormat/>
    <w:uiPriority w:val="0"/>
    <w:pPr>
      <w:spacing w:line="580" w:lineRule="atLeast"/>
      <w:jc w:val="both"/>
    </w:pPr>
    <w:rPr>
      <w:rFonts w:cs="Times New Roman"/>
      <w:color w:val="auto"/>
    </w:rPr>
  </w:style>
  <w:style w:type="paragraph" w:customStyle="1" w:styleId="1086">
    <w:name w:val="CM29"/>
    <w:basedOn w:val="222"/>
    <w:next w:val="222"/>
    <w:qFormat/>
    <w:uiPriority w:val="0"/>
    <w:pPr>
      <w:spacing w:line="738" w:lineRule="atLeast"/>
      <w:jc w:val="both"/>
    </w:pPr>
    <w:rPr>
      <w:rFonts w:cs="Times New Roman"/>
      <w:color w:val="auto"/>
    </w:rPr>
  </w:style>
  <w:style w:type="paragraph" w:customStyle="1" w:styleId="1087">
    <w:name w:val="CM30"/>
    <w:basedOn w:val="222"/>
    <w:next w:val="222"/>
    <w:qFormat/>
    <w:uiPriority w:val="0"/>
    <w:pPr>
      <w:spacing w:line="656" w:lineRule="atLeast"/>
      <w:jc w:val="both"/>
    </w:pPr>
    <w:rPr>
      <w:rFonts w:cs="Times New Roman"/>
      <w:color w:val="auto"/>
    </w:rPr>
  </w:style>
  <w:style w:type="paragraph" w:customStyle="1" w:styleId="1088">
    <w:name w:val="CM133"/>
    <w:basedOn w:val="222"/>
    <w:next w:val="222"/>
    <w:qFormat/>
    <w:uiPriority w:val="0"/>
    <w:pPr>
      <w:spacing w:after="860" w:line="360" w:lineRule="auto"/>
      <w:jc w:val="both"/>
    </w:pPr>
    <w:rPr>
      <w:rFonts w:cs="Times New Roman"/>
      <w:color w:val="auto"/>
    </w:rPr>
  </w:style>
  <w:style w:type="paragraph" w:customStyle="1" w:styleId="1089">
    <w:name w:val="CM31"/>
    <w:basedOn w:val="222"/>
    <w:next w:val="222"/>
    <w:qFormat/>
    <w:uiPriority w:val="0"/>
    <w:pPr>
      <w:spacing w:line="626" w:lineRule="atLeast"/>
      <w:jc w:val="both"/>
    </w:pPr>
    <w:rPr>
      <w:rFonts w:cs="Times New Roman"/>
      <w:color w:val="auto"/>
    </w:rPr>
  </w:style>
  <w:style w:type="paragraph" w:customStyle="1" w:styleId="1090">
    <w:name w:val="CM32"/>
    <w:basedOn w:val="222"/>
    <w:next w:val="222"/>
    <w:qFormat/>
    <w:uiPriority w:val="0"/>
    <w:pPr>
      <w:spacing w:line="706" w:lineRule="atLeast"/>
      <w:jc w:val="both"/>
    </w:pPr>
    <w:rPr>
      <w:rFonts w:cs="Times New Roman"/>
      <w:color w:val="auto"/>
    </w:rPr>
  </w:style>
  <w:style w:type="paragraph" w:customStyle="1" w:styleId="1091">
    <w:name w:val="CM135"/>
    <w:basedOn w:val="222"/>
    <w:next w:val="222"/>
    <w:qFormat/>
    <w:uiPriority w:val="0"/>
    <w:pPr>
      <w:spacing w:after="1223" w:line="360" w:lineRule="auto"/>
      <w:jc w:val="both"/>
    </w:pPr>
    <w:rPr>
      <w:rFonts w:cs="Times New Roman"/>
      <w:color w:val="auto"/>
    </w:rPr>
  </w:style>
  <w:style w:type="paragraph" w:customStyle="1" w:styleId="1092">
    <w:name w:val="CM127"/>
    <w:basedOn w:val="222"/>
    <w:next w:val="222"/>
    <w:qFormat/>
    <w:uiPriority w:val="0"/>
    <w:pPr>
      <w:spacing w:after="775" w:line="360" w:lineRule="auto"/>
      <w:jc w:val="both"/>
    </w:pPr>
    <w:rPr>
      <w:rFonts w:cs="Times New Roman"/>
      <w:color w:val="auto"/>
    </w:rPr>
  </w:style>
  <w:style w:type="paragraph" w:customStyle="1" w:styleId="1093">
    <w:name w:val="CM33"/>
    <w:basedOn w:val="222"/>
    <w:next w:val="222"/>
    <w:qFormat/>
    <w:uiPriority w:val="0"/>
    <w:pPr>
      <w:spacing w:line="466" w:lineRule="atLeast"/>
      <w:jc w:val="both"/>
    </w:pPr>
    <w:rPr>
      <w:rFonts w:cs="Times New Roman"/>
      <w:color w:val="auto"/>
    </w:rPr>
  </w:style>
  <w:style w:type="paragraph" w:customStyle="1" w:styleId="1094">
    <w:name w:val="CM34"/>
    <w:basedOn w:val="222"/>
    <w:next w:val="222"/>
    <w:qFormat/>
    <w:uiPriority w:val="0"/>
    <w:pPr>
      <w:spacing w:line="360" w:lineRule="auto"/>
      <w:jc w:val="both"/>
    </w:pPr>
    <w:rPr>
      <w:rFonts w:cs="Times New Roman"/>
      <w:color w:val="auto"/>
    </w:rPr>
  </w:style>
  <w:style w:type="paragraph" w:customStyle="1" w:styleId="1095">
    <w:name w:val="CM35"/>
    <w:basedOn w:val="222"/>
    <w:next w:val="222"/>
    <w:qFormat/>
    <w:uiPriority w:val="0"/>
    <w:pPr>
      <w:spacing w:line="583" w:lineRule="atLeast"/>
      <w:jc w:val="both"/>
    </w:pPr>
    <w:rPr>
      <w:rFonts w:cs="Times New Roman"/>
      <w:color w:val="auto"/>
    </w:rPr>
  </w:style>
  <w:style w:type="paragraph" w:customStyle="1" w:styleId="1096">
    <w:name w:val="CM36"/>
    <w:basedOn w:val="222"/>
    <w:next w:val="222"/>
    <w:qFormat/>
    <w:uiPriority w:val="0"/>
    <w:pPr>
      <w:spacing w:line="583" w:lineRule="atLeast"/>
      <w:jc w:val="both"/>
    </w:pPr>
    <w:rPr>
      <w:rFonts w:cs="Times New Roman"/>
      <w:color w:val="auto"/>
    </w:rPr>
  </w:style>
  <w:style w:type="paragraph" w:customStyle="1" w:styleId="1097">
    <w:name w:val="CM37"/>
    <w:basedOn w:val="222"/>
    <w:next w:val="222"/>
    <w:qFormat/>
    <w:uiPriority w:val="0"/>
    <w:pPr>
      <w:spacing w:line="583" w:lineRule="atLeast"/>
      <w:jc w:val="both"/>
    </w:pPr>
    <w:rPr>
      <w:rFonts w:cs="Times New Roman"/>
      <w:color w:val="auto"/>
    </w:rPr>
  </w:style>
  <w:style w:type="paragraph" w:customStyle="1" w:styleId="1098">
    <w:name w:val="CM38"/>
    <w:basedOn w:val="222"/>
    <w:next w:val="222"/>
    <w:qFormat/>
    <w:uiPriority w:val="0"/>
    <w:pPr>
      <w:spacing w:line="580" w:lineRule="atLeast"/>
      <w:jc w:val="both"/>
    </w:pPr>
    <w:rPr>
      <w:rFonts w:cs="Times New Roman"/>
      <w:color w:val="auto"/>
    </w:rPr>
  </w:style>
  <w:style w:type="paragraph" w:customStyle="1" w:styleId="1099">
    <w:name w:val="CM39"/>
    <w:basedOn w:val="222"/>
    <w:next w:val="222"/>
    <w:qFormat/>
    <w:uiPriority w:val="0"/>
    <w:pPr>
      <w:spacing w:line="583" w:lineRule="atLeast"/>
      <w:jc w:val="both"/>
    </w:pPr>
    <w:rPr>
      <w:rFonts w:cs="Times New Roman"/>
      <w:color w:val="auto"/>
    </w:rPr>
  </w:style>
  <w:style w:type="paragraph" w:customStyle="1" w:styleId="1100">
    <w:name w:val="CM40"/>
    <w:basedOn w:val="222"/>
    <w:next w:val="222"/>
    <w:qFormat/>
    <w:uiPriority w:val="0"/>
    <w:pPr>
      <w:spacing w:line="580" w:lineRule="atLeast"/>
      <w:jc w:val="both"/>
    </w:pPr>
    <w:rPr>
      <w:rFonts w:cs="Times New Roman"/>
      <w:color w:val="auto"/>
    </w:rPr>
  </w:style>
  <w:style w:type="paragraph" w:customStyle="1" w:styleId="1101">
    <w:name w:val="CM41"/>
    <w:basedOn w:val="222"/>
    <w:next w:val="222"/>
    <w:qFormat/>
    <w:uiPriority w:val="0"/>
    <w:pPr>
      <w:spacing w:line="580" w:lineRule="atLeast"/>
      <w:jc w:val="both"/>
    </w:pPr>
    <w:rPr>
      <w:rFonts w:cs="Times New Roman"/>
      <w:color w:val="auto"/>
    </w:rPr>
  </w:style>
  <w:style w:type="paragraph" w:customStyle="1" w:styleId="1102">
    <w:name w:val="CM130"/>
    <w:basedOn w:val="222"/>
    <w:next w:val="222"/>
    <w:qFormat/>
    <w:uiPriority w:val="0"/>
    <w:pPr>
      <w:spacing w:after="508" w:line="360" w:lineRule="auto"/>
      <w:jc w:val="both"/>
    </w:pPr>
    <w:rPr>
      <w:rFonts w:cs="Times New Roman"/>
      <w:color w:val="auto"/>
    </w:rPr>
  </w:style>
  <w:style w:type="paragraph" w:customStyle="1" w:styleId="1103">
    <w:name w:val="CM138"/>
    <w:basedOn w:val="222"/>
    <w:next w:val="222"/>
    <w:qFormat/>
    <w:uiPriority w:val="0"/>
    <w:pPr>
      <w:spacing w:after="87" w:line="360" w:lineRule="auto"/>
      <w:jc w:val="both"/>
    </w:pPr>
    <w:rPr>
      <w:rFonts w:cs="Times New Roman"/>
      <w:color w:val="auto"/>
    </w:rPr>
  </w:style>
  <w:style w:type="paragraph" w:customStyle="1" w:styleId="1104">
    <w:name w:val="CM42"/>
    <w:basedOn w:val="222"/>
    <w:next w:val="222"/>
    <w:qFormat/>
    <w:uiPriority w:val="0"/>
    <w:pPr>
      <w:spacing w:line="360" w:lineRule="auto"/>
      <w:jc w:val="both"/>
    </w:pPr>
    <w:rPr>
      <w:rFonts w:cs="Times New Roman"/>
      <w:color w:val="auto"/>
    </w:rPr>
  </w:style>
  <w:style w:type="paragraph" w:customStyle="1" w:styleId="1105">
    <w:name w:val="CM43"/>
    <w:basedOn w:val="222"/>
    <w:next w:val="222"/>
    <w:qFormat/>
    <w:uiPriority w:val="0"/>
    <w:pPr>
      <w:spacing w:line="583" w:lineRule="atLeast"/>
      <w:jc w:val="both"/>
    </w:pPr>
    <w:rPr>
      <w:rFonts w:cs="Times New Roman"/>
      <w:color w:val="auto"/>
    </w:rPr>
  </w:style>
  <w:style w:type="paragraph" w:customStyle="1" w:styleId="1106">
    <w:name w:val="CM129"/>
    <w:basedOn w:val="222"/>
    <w:next w:val="222"/>
    <w:qFormat/>
    <w:uiPriority w:val="0"/>
    <w:pPr>
      <w:spacing w:after="1053" w:line="360" w:lineRule="auto"/>
      <w:jc w:val="both"/>
    </w:pPr>
    <w:rPr>
      <w:rFonts w:cs="Times New Roman"/>
      <w:color w:val="auto"/>
    </w:rPr>
  </w:style>
  <w:style w:type="paragraph" w:customStyle="1" w:styleId="1107">
    <w:name w:val="CM44"/>
    <w:basedOn w:val="222"/>
    <w:next w:val="222"/>
    <w:qFormat/>
    <w:uiPriority w:val="0"/>
    <w:pPr>
      <w:spacing w:line="360" w:lineRule="auto"/>
      <w:jc w:val="both"/>
    </w:pPr>
    <w:rPr>
      <w:rFonts w:cs="Times New Roman"/>
      <w:color w:val="auto"/>
    </w:rPr>
  </w:style>
  <w:style w:type="paragraph" w:customStyle="1" w:styleId="1108">
    <w:name w:val="CM140"/>
    <w:basedOn w:val="222"/>
    <w:next w:val="222"/>
    <w:qFormat/>
    <w:uiPriority w:val="0"/>
    <w:pPr>
      <w:spacing w:after="945" w:line="360" w:lineRule="auto"/>
      <w:jc w:val="both"/>
    </w:pPr>
    <w:rPr>
      <w:rFonts w:cs="Times New Roman"/>
      <w:color w:val="auto"/>
    </w:rPr>
  </w:style>
  <w:style w:type="paragraph" w:customStyle="1" w:styleId="1109">
    <w:name w:val="CM45"/>
    <w:basedOn w:val="222"/>
    <w:next w:val="222"/>
    <w:qFormat/>
    <w:uiPriority w:val="0"/>
    <w:pPr>
      <w:spacing w:line="360" w:lineRule="auto"/>
      <w:jc w:val="both"/>
    </w:pPr>
    <w:rPr>
      <w:rFonts w:cs="Times New Roman"/>
      <w:color w:val="auto"/>
    </w:rPr>
  </w:style>
  <w:style w:type="paragraph" w:customStyle="1" w:styleId="1110">
    <w:name w:val="CM46"/>
    <w:basedOn w:val="222"/>
    <w:next w:val="222"/>
    <w:qFormat/>
    <w:uiPriority w:val="0"/>
    <w:pPr>
      <w:spacing w:line="698" w:lineRule="atLeast"/>
      <w:jc w:val="both"/>
    </w:pPr>
    <w:rPr>
      <w:rFonts w:cs="Times New Roman"/>
      <w:color w:val="auto"/>
    </w:rPr>
  </w:style>
  <w:style w:type="paragraph" w:customStyle="1" w:styleId="1111">
    <w:name w:val="CM47"/>
    <w:basedOn w:val="222"/>
    <w:next w:val="222"/>
    <w:qFormat/>
    <w:uiPriority w:val="0"/>
    <w:pPr>
      <w:spacing w:line="648" w:lineRule="atLeast"/>
      <w:jc w:val="both"/>
    </w:pPr>
    <w:rPr>
      <w:rFonts w:cs="Times New Roman"/>
      <w:color w:val="auto"/>
    </w:rPr>
  </w:style>
  <w:style w:type="paragraph" w:customStyle="1" w:styleId="1112">
    <w:name w:val="CM48"/>
    <w:basedOn w:val="222"/>
    <w:next w:val="222"/>
    <w:qFormat/>
    <w:uiPriority w:val="0"/>
    <w:pPr>
      <w:spacing w:line="580" w:lineRule="atLeast"/>
      <w:jc w:val="both"/>
    </w:pPr>
    <w:rPr>
      <w:rFonts w:cs="Times New Roman"/>
      <w:color w:val="auto"/>
    </w:rPr>
  </w:style>
  <w:style w:type="paragraph" w:customStyle="1" w:styleId="1113">
    <w:name w:val="CM142"/>
    <w:basedOn w:val="222"/>
    <w:next w:val="222"/>
    <w:qFormat/>
    <w:uiPriority w:val="0"/>
    <w:pPr>
      <w:spacing w:after="400" w:line="360" w:lineRule="auto"/>
      <w:jc w:val="both"/>
    </w:pPr>
    <w:rPr>
      <w:rFonts w:cs="Times New Roman"/>
      <w:color w:val="auto"/>
    </w:rPr>
  </w:style>
  <w:style w:type="paragraph" w:customStyle="1" w:styleId="1114">
    <w:name w:val="CM10"/>
    <w:basedOn w:val="222"/>
    <w:next w:val="222"/>
    <w:qFormat/>
    <w:uiPriority w:val="0"/>
    <w:pPr>
      <w:spacing w:line="466" w:lineRule="atLeast"/>
      <w:jc w:val="both"/>
    </w:pPr>
    <w:rPr>
      <w:rFonts w:cs="Times New Roman"/>
      <w:color w:val="auto"/>
    </w:rPr>
  </w:style>
  <w:style w:type="paragraph" w:customStyle="1" w:styleId="1115">
    <w:name w:val="CM50"/>
    <w:basedOn w:val="222"/>
    <w:next w:val="222"/>
    <w:qFormat/>
    <w:uiPriority w:val="0"/>
    <w:pPr>
      <w:spacing w:line="360" w:lineRule="auto"/>
      <w:jc w:val="both"/>
    </w:pPr>
    <w:rPr>
      <w:rFonts w:cs="Times New Roman"/>
      <w:color w:val="auto"/>
    </w:rPr>
  </w:style>
  <w:style w:type="paragraph" w:customStyle="1" w:styleId="1116">
    <w:name w:val="CM51"/>
    <w:basedOn w:val="222"/>
    <w:next w:val="222"/>
    <w:qFormat/>
    <w:uiPriority w:val="0"/>
    <w:pPr>
      <w:spacing w:line="466" w:lineRule="atLeast"/>
      <w:jc w:val="both"/>
    </w:pPr>
    <w:rPr>
      <w:rFonts w:cs="Times New Roman"/>
      <w:color w:val="auto"/>
    </w:rPr>
  </w:style>
  <w:style w:type="paragraph" w:customStyle="1" w:styleId="1117">
    <w:name w:val="CM52"/>
    <w:basedOn w:val="222"/>
    <w:next w:val="222"/>
    <w:qFormat/>
    <w:uiPriority w:val="0"/>
    <w:pPr>
      <w:spacing w:line="466" w:lineRule="atLeast"/>
      <w:jc w:val="both"/>
    </w:pPr>
    <w:rPr>
      <w:rFonts w:cs="Times New Roman"/>
      <w:color w:val="auto"/>
    </w:rPr>
  </w:style>
  <w:style w:type="paragraph" w:customStyle="1" w:styleId="1118">
    <w:name w:val="CM54"/>
    <w:basedOn w:val="222"/>
    <w:next w:val="222"/>
    <w:qFormat/>
    <w:uiPriority w:val="0"/>
    <w:pPr>
      <w:spacing w:line="466" w:lineRule="atLeast"/>
      <w:jc w:val="both"/>
    </w:pPr>
    <w:rPr>
      <w:rFonts w:cs="Times New Roman"/>
      <w:color w:val="auto"/>
    </w:rPr>
  </w:style>
  <w:style w:type="paragraph" w:customStyle="1" w:styleId="1119">
    <w:name w:val="CM57"/>
    <w:basedOn w:val="222"/>
    <w:next w:val="222"/>
    <w:qFormat/>
    <w:uiPriority w:val="0"/>
    <w:pPr>
      <w:spacing w:line="360" w:lineRule="auto"/>
      <w:jc w:val="both"/>
    </w:pPr>
    <w:rPr>
      <w:rFonts w:cs="Times New Roman"/>
      <w:color w:val="auto"/>
    </w:rPr>
  </w:style>
  <w:style w:type="paragraph" w:customStyle="1" w:styleId="1120">
    <w:name w:val="CM53"/>
    <w:basedOn w:val="222"/>
    <w:next w:val="222"/>
    <w:qFormat/>
    <w:uiPriority w:val="0"/>
    <w:pPr>
      <w:spacing w:line="466" w:lineRule="atLeast"/>
      <w:jc w:val="both"/>
    </w:pPr>
    <w:rPr>
      <w:rFonts w:cs="Times New Roman"/>
      <w:color w:val="auto"/>
    </w:rPr>
  </w:style>
  <w:style w:type="paragraph" w:customStyle="1" w:styleId="1121">
    <w:name w:val="CM59"/>
    <w:basedOn w:val="222"/>
    <w:next w:val="222"/>
    <w:qFormat/>
    <w:uiPriority w:val="0"/>
    <w:pPr>
      <w:spacing w:line="391" w:lineRule="atLeast"/>
      <w:jc w:val="both"/>
    </w:pPr>
    <w:rPr>
      <w:rFonts w:cs="Times New Roman"/>
      <w:color w:val="auto"/>
    </w:rPr>
  </w:style>
  <w:style w:type="paragraph" w:customStyle="1" w:styleId="1122">
    <w:name w:val="CM60"/>
    <w:basedOn w:val="222"/>
    <w:next w:val="222"/>
    <w:qFormat/>
    <w:uiPriority w:val="0"/>
    <w:pPr>
      <w:spacing w:line="391" w:lineRule="atLeast"/>
      <w:jc w:val="both"/>
    </w:pPr>
    <w:rPr>
      <w:rFonts w:cs="Times New Roman"/>
      <w:color w:val="auto"/>
    </w:rPr>
  </w:style>
  <w:style w:type="paragraph" w:customStyle="1" w:styleId="1123">
    <w:name w:val="CM61"/>
    <w:basedOn w:val="222"/>
    <w:next w:val="222"/>
    <w:qFormat/>
    <w:uiPriority w:val="0"/>
    <w:pPr>
      <w:spacing w:line="426" w:lineRule="atLeast"/>
      <w:jc w:val="both"/>
    </w:pPr>
    <w:rPr>
      <w:rFonts w:cs="Times New Roman"/>
      <w:color w:val="auto"/>
    </w:rPr>
  </w:style>
  <w:style w:type="paragraph" w:customStyle="1" w:styleId="1124">
    <w:name w:val="CM63"/>
    <w:basedOn w:val="222"/>
    <w:next w:val="222"/>
    <w:qFormat/>
    <w:uiPriority w:val="0"/>
    <w:pPr>
      <w:spacing w:line="391" w:lineRule="atLeast"/>
      <w:jc w:val="both"/>
    </w:pPr>
    <w:rPr>
      <w:rFonts w:cs="Times New Roman"/>
      <w:color w:val="auto"/>
    </w:rPr>
  </w:style>
  <w:style w:type="paragraph" w:customStyle="1" w:styleId="1125">
    <w:name w:val="CM64"/>
    <w:basedOn w:val="222"/>
    <w:next w:val="222"/>
    <w:qFormat/>
    <w:uiPriority w:val="0"/>
    <w:pPr>
      <w:spacing w:line="391" w:lineRule="atLeast"/>
      <w:jc w:val="both"/>
    </w:pPr>
    <w:rPr>
      <w:rFonts w:cs="Times New Roman"/>
      <w:color w:val="auto"/>
    </w:rPr>
  </w:style>
  <w:style w:type="paragraph" w:customStyle="1" w:styleId="1126">
    <w:name w:val="CM65"/>
    <w:basedOn w:val="222"/>
    <w:next w:val="222"/>
    <w:qFormat/>
    <w:uiPriority w:val="0"/>
    <w:pPr>
      <w:spacing w:line="391" w:lineRule="atLeast"/>
      <w:jc w:val="both"/>
    </w:pPr>
    <w:rPr>
      <w:rFonts w:cs="Times New Roman"/>
      <w:color w:val="auto"/>
    </w:rPr>
  </w:style>
  <w:style w:type="paragraph" w:customStyle="1" w:styleId="1127">
    <w:name w:val="CM66"/>
    <w:basedOn w:val="222"/>
    <w:next w:val="222"/>
    <w:qFormat/>
    <w:uiPriority w:val="0"/>
    <w:pPr>
      <w:spacing w:line="391" w:lineRule="atLeast"/>
      <w:jc w:val="both"/>
    </w:pPr>
    <w:rPr>
      <w:rFonts w:cs="Times New Roman"/>
      <w:color w:val="auto"/>
    </w:rPr>
  </w:style>
  <w:style w:type="paragraph" w:customStyle="1" w:styleId="1128">
    <w:name w:val="CM67"/>
    <w:basedOn w:val="222"/>
    <w:next w:val="222"/>
    <w:qFormat/>
    <w:uiPriority w:val="0"/>
    <w:pPr>
      <w:spacing w:line="391" w:lineRule="atLeast"/>
      <w:jc w:val="both"/>
    </w:pPr>
    <w:rPr>
      <w:rFonts w:cs="Times New Roman"/>
      <w:color w:val="auto"/>
    </w:rPr>
  </w:style>
  <w:style w:type="paragraph" w:customStyle="1" w:styleId="1129">
    <w:name w:val="CM132"/>
    <w:basedOn w:val="222"/>
    <w:next w:val="222"/>
    <w:qFormat/>
    <w:uiPriority w:val="0"/>
    <w:pPr>
      <w:spacing w:after="1730" w:line="360" w:lineRule="auto"/>
      <w:jc w:val="both"/>
    </w:pPr>
    <w:rPr>
      <w:rFonts w:cs="Times New Roman"/>
      <w:color w:val="auto"/>
    </w:rPr>
  </w:style>
  <w:style w:type="paragraph" w:customStyle="1" w:styleId="1130">
    <w:name w:val="CM68"/>
    <w:basedOn w:val="222"/>
    <w:next w:val="222"/>
    <w:qFormat/>
    <w:uiPriority w:val="0"/>
    <w:pPr>
      <w:spacing w:line="360" w:lineRule="auto"/>
      <w:jc w:val="both"/>
    </w:pPr>
    <w:rPr>
      <w:rFonts w:cs="Times New Roman"/>
      <w:color w:val="auto"/>
    </w:rPr>
  </w:style>
  <w:style w:type="paragraph" w:customStyle="1" w:styleId="1131">
    <w:name w:val="CM69"/>
    <w:basedOn w:val="222"/>
    <w:next w:val="222"/>
    <w:qFormat/>
    <w:uiPriority w:val="0"/>
    <w:pPr>
      <w:spacing w:line="540" w:lineRule="atLeast"/>
      <w:jc w:val="both"/>
    </w:pPr>
    <w:rPr>
      <w:rFonts w:cs="Times New Roman"/>
      <w:color w:val="auto"/>
    </w:rPr>
  </w:style>
  <w:style w:type="paragraph" w:customStyle="1" w:styleId="1132">
    <w:name w:val="CM70"/>
    <w:basedOn w:val="222"/>
    <w:next w:val="222"/>
    <w:qFormat/>
    <w:uiPriority w:val="0"/>
    <w:pPr>
      <w:spacing w:line="546" w:lineRule="atLeast"/>
      <w:jc w:val="both"/>
    </w:pPr>
    <w:rPr>
      <w:rFonts w:cs="Times New Roman"/>
      <w:color w:val="auto"/>
    </w:rPr>
  </w:style>
  <w:style w:type="paragraph" w:customStyle="1" w:styleId="1133">
    <w:name w:val="CM71"/>
    <w:basedOn w:val="222"/>
    <w:next w:val="222"/>
    <w:qFormat/>
    <w:uiPriority w:val="0"/>
    <w:pPr>
      <w:spacing w:line="391" w:lineRule="atLeast"/>
      <w:jc w:val="both"/>
    </w:pPr>
    <w:rPr>
      <w:rFonts w:cs="Times New Roman"/>
      <w:color w:val="auto"/>
    </w:rPr>
  </w:style>
  <w:style w:type="paragraph" w:customStyle="1" w:styleId="1134">
    <w:name w:val="CM74"/>
    <w:basedOn w:val="222"/>
    <w:next w:val="222"/>
    <w:qFormat/>
    <w:uiPriority w:val="0"/>
    <w:pPr>
      <w:spacing w:line="391" w:lineRule="atLeast"/>
      <w:jc w:val="both"/>
    </w:pPr>
    <w:rPr>
      <w:rFonts w:cs="Times New Roman"/>
      <w:color w:val="auto"/>
    </w:rPr>
  </w:style>
  <w:style w:type="paragraph" w:customStyle="1" w:styleId="1135">
    <w:name w:val="CM49"/>
    <w:basedOn w:val="222"/>
    <w:next w:val="222"/>
    <w:qFormat/>
    <w:uiPriority w:val="0"/>
    <w:pPr>
      <w:spacing w:line="360" w:lineRule="auto"/>
      <w:jc w:val="both"/>
    </w:pPr>
    <w:rPr>
      <w:rFonts w:cs="Times New Roman"/>
      <w:color w:val="auto"/>
    </w:rPr>
  </w:style>
  <w:style w:type="paragraph" w:customStyle="1" w:styleId="1136">
    <w:name w:val="CM76"/>
    <w:basedOn w:val="222"/>
    <w:next w:val="222"/>
    <w:qFormat/>
    <w:uiPriority w:val="0"/>
    <w:pPr>
      <w:spacing w:line="313" w:lineRule="atLeast"/>
      <w:jc w:val="both"/>
    </w:pPr>
    <w:rPr>
      <w:rFonts w:cs="Times New Roman"/>
      <w:color w:val="auto"/>
    </w:rPr>
  </w:style>
  <w:style w:type="paragraph" w:customStyle="1" w:styleId="1137">
    <w:name w:val="CM77"/>
    <w:basedOn w:val="222"/>
    <w:next w:val="222"/>
    <w:qFormat/>
    <w:uiPriority w:val="0"/>
    <w:pPr>
      <w:spacing w:line="391" w:lineRule="atLeast"/>
      <w:jc w:val="both"/>
    </w:pPr>
    <w:rPr>
      <w:rFonts w:cs="Times New Roman"/>
      <w:color w:val="auto"/>
    </w:rPr>
  </w:style>
  <w:style w:type="paragraph" w:customStyle="1" w:styleId="1138">
    <w:name w:val="CM78"/>
    <w:basedOn w:val="222"/>
    <w:next w:val="222"/>
    <w:qFormat/>
    <w:uiPriority w:val="0"/>
    <w:pPr>
      <w:spacing w:line="391" w:lineRule="atLeast"/>
      <w:jc w:val="both"/>
    </w:pPr>
    <w:rPr>
      <w:rFonts w:cs="Times New Roman"/>
      <w:color w:val="auto"/>
    </w:rPr>
  </w:style>
  <w:style w:type="paragraph" w:customStyle="1" w:styleId="1139">
    <w:name w:val="CM79"/>
    <w:basedOn w:val="222"/>
    <w:next w:val="222"/>
    <w:qFormat/>
    <w:uiPriority w:val="0"/>
    <w:pPr>
      <w:spacing w:line="540" w:lineRule="atLeast"/>
      <w:jc w:val="both"/>
    </w:pPr>
    <w:rPr>
      <w:rFonts w:cs="Times New Roman"/>
      <w:color w:val="auto"/>
    </w:rPr>
  </w:style>
  <w:style w:type="paragraph" w:customStyle="1" w:styleId="1140">
    <w:name w:val="CM80"/>
    <w:basedOn w:val="222"/>
    <w:next w:val="222"/>
    <w:qFormat/>
    <w:uiPriority w:val="0"/>
    <w:pPr>
      <w:spacing w:line="483" w:lineRule="atLeast"/>
      <w:jc w:val="both"/>
    </w:pPr>
    <w:rPr>
      <w:rFonts w:cs="Times New Roman"/>
      <w:color w:val="auto"/>
    </w:rPr>
  </w:style>
  <w:style w:type="paragraph" w:customStyle="1" w:styleId="1141">
    <w:name w:val="CM81"/>
    <w:basedOn w:val="222"/>
    <w:next w:val="222"/>
    <w:qFormat/>
    <w:uiPriority w:val="0"/>
    <w:pPr>
      <w:spacing w:line="313" w:lineRule="atLeast"/>
      <w:jc w:val="both"/>
    </w:pPr>
    <w:rPr>
      <w:rFonts w:cs="Times New Roman"/>
      <w:color w:val="auto"/>
    </w:rPr>
  </w:style>
  <w:style w:type="paragraph" w:customStyle="1" w:styleId="1142">
    <w:name w:val="CM82"/>
    <w:basedOn w:val="222"/>
    <w:next w:val="222"/>
    <w:qFormat/>
    <w:uiPriority w:val="0"/>
    <w:pPr>
      <w:spacing w:line="626" w:lineRule="atLeast"/>
      <w:jc w:val="both"/>
    </w:pPr>
    <w:rPr>
      <w:rFonts w:cs="Times New Roman"/>
      <w:color w:val="auto"/>
    </w:rPr>
  </w:style>
  <w:style w:type="paragraph" w:customStyle="1" w:styleId="1143">
    <w:name w:val="CM73"/>
    <w:basedOn w:val="222"/>
    <w:next w:val="222"/>
    <w:qFormat/>
    <w:uiPriority w:val="0"/>
    <w:pPr>
      <w:spacing w:line="391" w:lineRule="atLeast"/>
      <w:jc w:val="both"/>
    </w:pPr>
    <w:rPr>
      <w:rFonts w:cs="Times New Roman"/>
      <w:color w:val="auto"/>
    </w:rPr>
  </w:style>
  <w:style w:type="paragraph" w:customStyle="1" w:styleId="1144">
    <w:name w:val="CM83"/>
    <w:basedOn w:val="222"/>
    <w:next w:val="222"/>
    <w:qFormat/>
    <w:uiPriority w:val="0"/>
    <w:pPr>
      <w:spacing w:line="360" w:lineRule="auto"/>
      <w:jc w:val="both"/>
    </w:pPr>
    <w:rPr>
      <w:rFonts w:cs="Times New Roman"/>
      <w:color w:val="auto"/>
    </w:rPr>
  </w:style>
  <w:style w:type="paragraph" w:customStyle="1" w:styleId="1145">
    <w:name w:val="CM84"/>
    <w:basedOn w:val="222"/>
    <w:next w:val="222"/>
    <w:qFormat/>
    <w:uiPriority w:val="0"/>
    <w:pPr>
      <w:spacing w:line="391" w:lineRule="atLeast"/>
      <w:jc w:val="both"/>
    </w:pPr>
    <w:rPr>
      <w:rFonts w:cs="Times New Roman"/>
      <w:color w:val="auto"/>
    </w:rPr>
  </w:style>
  <w:style w:type="paragraph" w:customStyle="1" w:styleId="1146">
    <w:name w:val="CM85"/>
    <w:basedOn w:val="222"/>
    <w:next w:val="222"/>
    <w:qFormat/>
    <w:uiPriority w:val="0"/>
    <w:pPr>
      <w:spacing w:line="360" w:lineRule="auto"/>
      <w:jc w:val="both"/>
    </w:pPr>
    <w:rPr>
      <w:rFonts w:cs="Times New Roman"/>
      <w:color w:val="auto"/>
    </w:rPr>
  </w:style>
  <w:style w:type="paragraph" w:customStyle="1" w:styleId="1147">
    <w:name w:val="CM88"/>
    <w:basedOn w:val="222"/>
    <w:next w:val="222"/>
    <w:qFormat/>
    <w:uiPriority w:val="0"/>
    <w:pPr>
      <w:spacing w:line="360" w:lineRule="auto"/>
      <w:jc w:val="both"/>
    </w:pPr>
    <w:rPr>
      <w:rFonts w:cs="Times New Roman"/>
      <w:color w:val="auto"/>
    </w:rPr>
  </w:style>
  <w:style w:type="paragraph" w:customStyle="1" w:styleId="1148">
    <w:name w:val="CM96"/>
    <w:basedOn w:val="222"/>
    <w:next w:val="222"/>
    <w:qFormat/>
    <w:uiPriority w:val="0"/>
    <w:pPr>
      <w:spacing w:line="463" w:lineRule="atLeast"/>
      <w:jc w:val="both"/>
    </w:pPr>
    <w:rPr>
      <w:rFonts w:cs="Times New Roman"/>
      <w:color w:val="auto"/>
    </w:rPr>
  </w:style>
  <w:style w:type="paragraph" w:customStyle="1" w:styleId="1149">
    <w:name w:val="CM97"/>
    <w:basedOn w:val="222"/>
    <w:next w:val="222"/>
    <w:qFormat/>
    <w:uiPriority w:val="0"/>
    <w:pPr>
      <w:spacing w:line="360" w:lineRule="auto"/>
      <w:jc w:val="both"/>
    </w:pPr>
    <w:rPr>
      <w:rFonts w:cs="Times New Roman"/>
      <w:color w:val="auto"/>
    </w:rPr>
  </w:style>
  <w:style w:type="paragraph" w:customStyle="1" w:styleId="1150">
    <w:name w:val="CM99"/>
    <w:basedOn w:val="222"/>
    <w:next w:val="222"/>
    <w:qFormat/>
    <w:uiPriority w:val="0"/>
    <w:pPr>
      <w:spacing w:line="626" w:lineRule="atLeast"/>
      <w:jc w:val="both"/>
    </w:pPr>
    <w:rPr>
      <w:rFonts w:cs="Times New Roman"/>
      <w:color w:val="auto"/>
    </w:rPr>
  </w:style>
  <w:style w:type="paragraph" w:customStyle="1" w:styleId="1151">
    <w:name w:val="CM101"/>
    <w:basedOn w:val="222"/>
    <w:next w:val="222"/>
    <w:qFormat/>
    <w:uiPriority w:val="0"/>
    <w:pPr>
      <w:spacing w:line="360" w:lineRule="auto"/>
      <w:jc w:val="both"/>
    </w:pPr>
    <w:rPr>
      <w:rFonts w:cs="Times New Roman"/>
      <w:color w:val="auto"/>
    </w:rPr>
  </w:style>
  <w:style w:type="paragraph" w:customStyle="1" w:styleId="1152">
    <w:name w:val="CM107"/>
    <w:basedOn w:val="222"/>
    <w:next w:val="222"/>
    <w:qFormat/>
    <w:uiPriority w:val="0"/>
    <w:pPr>
      <w:spacing w:line="626" w:lineRule="atLeast"/>
      <w:jc w:val="both"/>
    </w:pPr>
    <w:rPr>
      <w:rFonts w:cs="Times New Roman"/>
      <w:color w:val="auto"/>
    </w:rPr>
  </w:style>
  <w:style w:type="paragraph" w:customStyle="1" w:styleId="1153">
    <w:name w:val="CM137"/>
    <w:basedOn w:val="222"/>
    <w:next w:val="222"/>
    <w:qFormat/>
    <w:uiPriority w:val="0"/>
    <w:pPr>
      <w:spacing w:after="1470" w:line="360" w:lineRule="auto"/>
      <w:jc w:val="both"/>
    </w:pPr>
    <w:rPr>
      <w:rFonts w:cs="Times New Roman"/>
      <w:color w:val="auto"/>
    </w:rPr>
  </w:style>
  <w:style w:type="paragraph" w:customStyle="1" w:styleId="1154">
    <w:name w:val="CM108"/>
    <w:basedOn w:val="222"/>
    <w:next w:val="222"/>
    <w:qFormat/>
    <w:uiPriority w:val="0"/>
    <w:pPr>
      <w:spacing w:line="391" w:lineRule="atLeast"/>
      <w:jc w:val="both"/>
    </w:pPr>
    <w:rPr>
      <w:rFonts w:cs="Times New Roman"/>
      <w:color w:val="auto"/>
    </w:rPr>
  </w:style>
  <w:style w:type="paragraph" w:customStyle="1" w:styleId="1155">
    <w:name w:val="CM109"/>
    <w:basedOn w:val="222"/>
    <w:next w:val="222"/>
    <w:qFormat/>
    <w:uiPriority w:val="0"/>
    <w:pPr>
      <w:spacing w:line="360" w:lineRule="auto"/>
      <w:jc w:val="both"/>
    </w:pPr>
    <w:rPr>
      <w:rFonts w:cs="Times New Roman"/>
      <w:color w:val="auto"/>
    </w:rPr>
  </w:style>
  <w:style w:type="paragraph" w:customStyle="1" w:styleId="1156">
    <w:name w:val="CM112"/>
    <w:basedOn w:val="222"/>
    <w:next w:val="222"/>
    <w:qFormat/>
    <w:uiPriority w:val="0"/>
    <w:pPr>
      <w:spacing w:line="391" w:lineRule="atLeast"/>
      <w:jc w:val="both"/>
    </w:pPr>
    <w:rPr>
      <w:rFonts w:cs="Times New Roman"/>
      <w:color w:val="auto"/>
    </w:rPr>
  </w:style>
  <w:style w:type="paragraph" w:customStyle="1" w:styleId="1157">
    <w:name w:val="CM113"/>
    <w:basedOn w:val="222"/>
    <w:next w:val="222"/>
    <w:qFormat/>
    <w:uiPriority w:val="0"/>
    <w:pPr>
      <w:spacing w:line="360" w:lineRule="auto"/>
      <w:jc w:val="both"/>
    </w:pPr>
    <w:rPr>
      <w:rFonts w:cs="Times New Roman"/>
      <w:color w:val="auto"/>
    </w:rPr>
  </w:style>
  <w:style w:type="paragraph" w:customStyle="1" w:styleId="1158">
    <w:name w:val="CM115"/>
    <w:basedOn w:val="222"/>
    <w:next w:val="222"/>
    <w:qFormat/>
    <w:uiPriority w:val="0"/>
    <w:pPr>
      <w:spacing w:line="391" w:lineRule="atLeast"/>
      <w:jc w:val="both"/>
    </w:pPr>
    <w:rPr>
      <w:rFonts w:cs="Times New Roman"/>
      <w:color w:val="auto"/>
    </w:rPr>
  </w:style>
  <w:style w:type="paragraph" w:customStyle="1" w:styleId="1159">
    <w:name w:val="CM116"/>
    <w:basedOn w:val="222"/>
    <w:next w:val="222"/>
    <w:qFormat/>
    <w:uiPriority w:val="0"/>
    <w:pPr>
      <w:spacing w:line="391" w:lineRule="atLeast"/>
      <w:jc w:val="both"/>
    </w:pPr>
    <w:rPr>
      <w:rFonts w:cs="Times New Roman"/>
      <w:color w:val="auto"/>
    </w:rPr>
  </w:style>
  <w:style w:type="paragraph" w:customStyle="1" w:styleId="1160">
    <w:name w:val="CM9"/>
    <w:basedOn w:val="222"/>
    <w:next w:val="222"/>
    <w:qFormat/>
    <w:uiPriority w:val="0"/>
    <w:pPr>
      <w:spacing w:line="360" w:lineRule="auto"/>
      <w:jc w:val="both"/>
    </w:pPr>
    <w:rPr>
      <w:rFonts w:ascii="Verdana" w:hAnsi="Verdana" w:cs="Times New Roman"/>
      <w:color w:val="auto"/>
    </w:rPr>
  </w:style>
  <w:style w:type="paragraph" w:customStyle="1" w:styleId="1161">
    <w:name w:val="CM4"/>
    <w:basedOn w:val="222"/>
    <w:next w:val="222"/>
    <w:qFormat/>
    <w:uiPriority w:val="0"/>
    <w:pPr>
      <w:spacing w:line="360" w:lineRule="atLeast"/>
      <w:jc w:val="both"/>
    </w:pPr>
    <w:rPr>
      <w:rFonts w:ascii="Verdana" w:hAnsi="Verdana" w:cs="Times New Roman"/>
      <w:color w:val="auto"/>
    </w:rPr>
  </w:style>
  <w:style w:type="paragraph" w:customStyle="1" w:styleId="1162">
    <w:name w:val="CM5"/>
    <w:basedOn w:val="222"/>
    <w:next w:val="222"/>
    <w:qFormat/>
    <w:uiPriority w:val="0"/>
    <w:pPr>
      <w:spacing w:line="360" w:lineRule="atLeast"/>
      <w:jc w:val="both"/>
    </w:pPr>
    <w:rPr>
      <w:rFonts w:ascii="Verdana" w:hAnsi="Verdana" w:cs="Times New Roman"/>
      <w:color w:val="auto"/>
    </w:rPr>
  </w:style>
  <w:style w:type="paragraph" w:customStyle="1" w:styleId="1163">
    <w:name w:val="CM16"/>
    <w:basedOn w:val="222"/>
    <w:next w:val="222"/>
    <w:qFormat/>
    <w:uiPriority w:val="0"/>
    <w:pPr>
      <w:spacing w:line="360" w:lineRule="auto"/>
      <w:jc w:val="both"/>
    </w:pPr>
    <w:rPr>
      <w:rFonts w:ascii="Verdana" w:hAnsi="Verdana" w:cs="Times New Roman"/>
      <w:color w:val="auto"/>
    </w:rPr>
  </w:style>
  <w:style w:type="paragraph" w:customStyle="1" w:styleId="1164">
    <w:name w:val="p17"/>
    <w:basedOn w:val="1"/>
    <w:qFormat/>
    <w:uiPriority w:val="0"/>
    <w:pPr>
      <w:widowControl/>
      <w:spacing w:line="360" w:lineRule="auto"/>
      <w:ind w:firstLine="540"/>
      <w:jc w:val="left"/>
    </w:pPr>
    <w:rPr>
      <w:rFonts w:ascii="宋体" w:hAnsi="宋体" w:cs="宋体"/>
      <w:kern w:val="0"/>
      <w:sz w:val="28"/>
      <w:szCs w:val="28"/>
    </w:rPr>
  </w:style>
  <w:style w:type="paragraph" w:customStyle="1" w:styleId="1165">
    <w:name w:val="Char Char Char Char Char Char Char Char Char Char Char Char Char Char Char Char Char Char1 Char Char Char1 Char"/>
    <w:basedOn w:val="1"/>
    <w:qFormat/>
    <w:uiPriority w:val="0"/>
    <w:pPr>
      <w:widowControl/>
      <w:tabs>
        <w:tab w:val="left" w:pos="1380"/>
      </w:tabs>
      <w:spacing w:line="360" w:lineRule="auto"/>
      <w:ind w:firstLine="420"/>
      <w:jc w:val="left"/>
    </w:pPr>
    <w:rPr>
      <w:szCs w:val="20"/>
    </w:rPr>
  </w:style>
  <w:style w:type="paragraph" w:customStyle="1" w:styleId="1166">
    <w:name w:val="标书标题 3 Char"/>
    <w:basedOn w:val="1"/>
    <w:qFormat/>
    <w:uiPriority w:val="0"/>
    <w:pPr>
      <w:widowControl/>
      <w:numPr>
        <w:ilvl w:val="2"/>
        <w:numId w:val="2"/>
      </w:numPr>
      <w:spacing w:line="360" w:lineRule="auto"/>
      <w:jc w:val="left"/>
      <w:outlineLvl w:val="2"/>
    </w:pPr>
    <w:rPr>
      <w:rFonts w:ascii="Arial" w:hAnsi="Arial"/>
      <w:bCs/>
      <w:szCs w:val="32"/>
    </w:rPr>
  </w:style>
  <w:style w:type="paragraph" w:customStyle="1" w:styleId="1167">
    <w:name w:val="自动更正"/>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168">
    <w:name w:val="答复:"/>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169">
    <w:name w:val="关于:"/>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170">
    <w:name w:val="参考:"/>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171">
    <w:name w:val="亲启"/>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172">
    <w:name w:val="请勿折叠！"/>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173">
    <w:name w:val="音问久疏，唯愿一切康适。"/>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174">
    <w:name w:val="分手多日，近况如何？"/>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175">
    <w:name w:val="知尊恙复发，心甚念之。"/>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176">
    <w:name w:val="久不通函，至以为念。"/>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177">
    <w:name w:val="近来寒暑不常，希自珍慰。"/>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178">
    <w:name w:val="奉读大示，心折殊深。"/>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179">
    <w:name w:val="惠书敬悉，迟复为歉。"/>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180">
    <w:name w:val="前上一函，谅达雅鉴，迄今未闻复音。"/>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181">
    <w:name w:val="主题:"/>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182">
    <w:name w:val="敬启者："/>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183">
    <w:name w:val="先生/女士："/>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184">
    <w:name w:val="临书仓促，不尽欲言。"/>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185">
    <w:name w:val="匆此先复，余容后禀。"/>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186">
    <w:name w:val="纸短情长，再祈珍重！"/>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187">
    <w:name w:val="尊意如何，请即示知。"/>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188">
    <w:name w:val="奉恳之事，乞速复为荷。"/>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189">
    <w:name w:val="顺颂商祺！"/>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190">
    <w:name w:val="叩请金安！"/>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191">
    <w:name w:val="- 页码 -"/>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192">
    <w:name w:val="第 X 页 共 Y 页"/>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193">
    <w:name w:val="作者"/>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194">
    <w:name w:val="创建日期"/>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195">
    <w:name w:val="上次打印时间"/>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196">
    <w:name w:val="上次保存者"/>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197">
    <w:name w:val="文件名"/>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198">
    <w:name w:val="文件名和路径"/>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199">
    <w:name w:val="作者、页码、日期"/>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200">
    <w:name w:val="机密、页码、日期"/>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character" w:customStyle="1" w:styleId="1201">
    <w:name w:val="标书标题 3 Char Char"/>
    <w:qFormat/>
    <w:uiPriority w:val="0"/>
    <w:rPr>
      <w:rFonts w:ascii="Arial" w:hAnsi="Arial" w:eastAsia="宋体"/>
      <w:b/>
      <w:bCs/>
      <w:kern w:val="2"/>
      <w:sz w:val="24"/>
      <w:szCs w:val="32"/>
      <w:lang w:val="en-US" w:eastAsia="zh-CN" w:bidi="ar-SA"/>
    </w:rPr>
  </w:style>
  <w:style w:type="character" w:customStyle="1" w:styleId="1202">
    <w:name w:val="样式 标题 2 + 三号 Char"/>
    <w:qFormat/>
    <w:uiPriority w:val="0"/>
    <w:rPr>
      <w:rFonts w:ascii="Swis721 Cn BT" w:hAnsi="Swis721 Cn BT" w:eastAsia="幼圆"/>
      <w:b/>
      <w:bCs/>
      <w:spacing w:val="40"/>
      <w:kern w:val="32"/>
      <w:sz w:val="32"/>
      <w:szCs w:val="32"/>
      <w:lang w:val="en-US" w:eastAsia="zh-CN" w:bidi="ar-SA"/>
    </w:rPr>
  </w:style>
  <w:style w:type="paragraph" w:customStyle="1" w:styleId="1203">
    <w:name w:val="样式 标题 1 + 左侧:  0.74 厘米"/>
    <w:basedOn w:val="5"/>
    <w:qFormat/>
    <w:uiPriority w:val="0"/>
    <w:pPr>
      <w:keepNext w:val="0"/>
      <w:widowControl/>
      <w:tabs>
        <w:tab w:val="left" w:pos="425"/>
      </w:tabs>
      <w:spacing w:before="340" w:beforeLines="1600" w:line="300" w:lineRule="auto"/>
      <w:ind w:firstLine="420"/>
    </w:pPr>
    <w:rPr>
      <w:rFonts w:ascii="华文彩云" w:hAnsi="宋体" w:eastAsia="华文彩云" w:cs="宋体"/>
      <w:sz w:val="52"/>
      <w:szCs w:val="20"/>
    </w:rPr>
  </w:style>
  <w:style w:type="paragraph" w:customStyle="1" w:styleId="1204">
    <w:name w:val="标书标题 4"/>
    <w:basedOn w:val="1166"/>
    <w:qFormat/>
    <w:uiPriority w:val="0"/>
    <w:pPr>
      <w:numPr>
        <w:ilvl w:val="0"/>
        <w:numId w:val="0"/>
      </w:numPr>
      <w:tabs>
        <w:tab w:val="left" w:pos="851"/>
        <w:tab w:val="left" w:pos="1080"/>
      </w:tabs>
      <w:ind w:left="851" w:hanging="341"/>
    </w:pPr>
    <w:rPr>
      <w:szCs w:val="28"/>
    </w:rPr>
  </w:style>
  <w:style w:type="paragraph" w:customStyle="1" w:styleId="1205">
    <w:name w:val="Char2 Char Char Char Char Char Char Char Char Char"/>
    <w:basedOn w:val="1"/>
    <w:qFormat/>
    <w:uiPriority w:val="0"/>
    <w:pPr>
      <w:widowControl/>
      <w:spacing w:line="360" w:lineRule="auto"/>
      <w:ind w:firstLine="200" w:firstLineChars="200"/>
      <w:jc w:val="left"/>
    </w:pPr>
  </w:style>
  <w:style w:type="paragraph" w:customStyle="1" w:styleId="1206">
    <w:name w:val="样式 标题 2 + 三号"/>
    <w:basedOn w:val="6"/>
    <w:qFormat/>
    <w:uiPriority w:val="0"/>
    <w:pPr>
      <w:pageBreakBefore/>
      <w:widowControl/>
      <w:tabs>
        <w:tab w:val="left" w:pos="1287"/>
      </w:tabs>
      <w:spacing w:before="0" w:after="0" w:line="300" w:lineRule="auto"/>
      <w:jc w:val="center"/>
    </w:pPr>
    <w:rPr>
      <w:rFonts w:ascii="Swis721 Cn BT" w:hAnsi="Swis721 Cn BT" w:eastAsia="幼圆"/>
      <w:spacing w:val="40"/>
      <w:kern w:val="32"/>
    </w:rPr>
  </w:style>
  <w:style w:type="paragraph" w:customStyle="1" w:styleId="1207">
    <w:name w:val="Bulleted Body Text"/>
    <w:basedOn w:val="1"/>
    <w:qFormat/>
    <w:uiPriority w:val="0"/>
    <w:pPr>
      <w:widowControl/>
      <w:tabs>
        <w:tab w:val="left" w:pos="425"/>
        <w:tab w:val="left" w:pos="1069"/>
      </w:tabs>
      <w:spacing w:after="120" w:line="300" w:lineRule="auto"/>
      <w:ind w:left="425" w:right="284" w:hanging="425"/>
      <w:jc w:val="left"/>
    </w:pPr>
    <w:rPr>
      <w:rFonts w:ascii="Arial" w:hAnsi="Arial"/>
      <w:color w:val="000000"/>
      <w:kern w:val="0"/>
      <w:sz w:val="22"/>
      <w:szCs w:val="20"/>
      <w:lang w:val="en-GB" w:eastAsia="en-US"/>
    </w:rPr>
  </w:style>
  <w:style w:type="paragraph" w:customStyle="1" w:styleId="1208">
    <w:name w:val="wellhope正文"/>
    <w:basedOn w:val="1"/>
    <w:link w:val="1209"/>
    <w:qFormat/>
    <w:uiPriority w:val="0"/>
    <w:pPr>
      <w:widowControl/>
      <w:spacing w:before="60" w:after="60" w:line="360" w:lineRule="auto"/>
      <w:ind w:firstLine="200" w:firstLineChars="200"/>
      <w:jc w:val="left"/>
    </w:pPr>
    <w:rPr>
      <w:rFonts w:eastAsia="楷体_GB2312"/>
      <w:szCs w:val="20"/>
    </w:rPr>
  </w:style>
  <w:style w:type="character" w:customStyle="1" w:styleId="1209">
    <w:name w:val="wellhope正文 Char1"/>
    <w:link w:val="1208"/>
    <w:qFormat/>
    <w:uiPriority w:val="0"/>
    <w:rPr>
      <w:rFonts w:eastAsia="楷体_GB2312"/>
      <w:kern w:val="2"/>
      <w:sz w:val="21"/>
    </w:rPr>
  </w:style>
  <w:style w:type="paragraph" w:customStyle="1" w:styleId="1210">
    <w:name w:val="样式 样式 行距: 多倍行距 1.25 字行 + 两端对齐 首行缩进:  0.63 厘米"/>
    <w:basedOn w:val="1"/>
    <w:qFormat/>
    <w:uiPriority w:val="0"/>
    <w:pPr>
      <w:widowControl/>
      <w:spacing w:line="360" w:lineRule="auto"/>
      <w:jc w:val="left"/>
    </w:pPr>
    <w:rPr>
      <w:rFonts w:cs="宋体"/>
      <w:szCs w:val="21"/>
    </w:rPr>
  </w:style>
  <w:style w:type="paragraph" w:customStyle="1" w:styleId="1211">
    <w:name w:val="样式 样式 标题 1 + 左侧:  0.74 厘米 + 两端对齐"/>
    <w:basedOn w:val="1"/>
    <w:qFormat/>
    <w:uiPriority w:val="0"/>
    <w:pPr>
      <w:widowControl/>
      <w:tabs>
        <w:tab w:val="left" w:pos="420"/>
      </w:tabs>
      <w:spacing w:line="360" w:lineRule="auto"/>
      <w:ind w:left="420" w:hanging="420"/>
      <w:jc w:val="left"/>
    </w:pPr>
  </w:style>
  <w:style w:type="paragraph" w:customStyle="1" w:styleId="1212">
    <w:name w:val="Abstract Bold"/>
    <w:basedOn w:val="1"/>
    <w:qFormat/>
    <w:uiPriority w:val="0"/>
    <w:pPr>
      <w:widowControl/>
      <w:autoSpaceDE w:val="0"/>
      <w:autoSpaceDN w:val="0"/>
      <w:spacing w:before="60" w:after="60" w:line="360" w:lineRule="auto"/>
      <w:jc w:val="left"/>
    </w:pPr>
    <w:rPr>
      <w:rFonts w:ascii="Arial" w:hAnsi="Arial"/>
      <w:b/>
      <w:kern w:val="0"/>
      <w:szCs w:val="20"/>
    </w:rPr>
  </w:style>
  <w:style w:type="paragraph" w:customStyle="1" w:styleId="1213">
    <w:name w:val="01-大标题"/>
    <w:next w:val="1"/>
    <w:link w:val="1214"/>
    <w:qFormat/>
    <w:uiPriority w:val="0"/>
    <w:pPr>
      <w:tabs>
        <w:tab w:val="left" w:pos="0"/>
      </w:tabs>
      <w:adjustRightInd w:val="0"/>
      <w:spacing w:beforeLines="100" w:afterLines="100" w:line="400" w:lineRule="exact"/>
      <w:jc w:val="center"/>
      <w:outlineLvl w:val="0"/>
    </w:pPr>
    <w:rPr>
      <w:rFonts w:ascii="Times New Roman" w:hAnsi="Times New Roman" w:eastAsia="黑体" w:cs="Times New Roman"/>
      <w:b/>
      <w:spacing w:val="-10"/>
      <w:kern w:val="2"/>
      <w:sz w:val="36"/>
      <w:szCs w:val="24"/>
      <w:lang w:val="en-US" w:eastAsia="zh-CN" w:bidi="ar-SA"/>
    </w:rPr>
  </w:style>
  <w:style w:type="character" w:customStyle="1" w:styleId="1214">
    <w:name w:val="01-大标题 Char Char"/>
    <w:link w:val="1213"/>
    <w:qFormat/>
    <w:uiPriority w:val="0"/>
    <w:rPr>
      <w:rFonts w:eastAsia="黑体"/>
      <w:b/>
      <w:spacing w:val="-10"/>
      <w:kern w:val="2"/>
      <w:sz w:val="36"/>
      <w:szCs w:val="24"/>
    </w:rPr>
  </w:style>
  <w:style w:type="paragraph" w:customStyle="1" w:styleId="1215">
    <w:name w:val="04-三级标题"/>
    <w:next w:val="56"/>
    <w:link w:val="1216"/>
    <w:qFormat/>
    <w:uiPriority w:val="0"/>
    <w:pPr>
      <w:spacing w:beforeLines="100" w:afterLines="50" w:line="360" w:lineRule="auto"/>
      <w:outlineLvl w:val="3"/>
    </w:pPr>
    <w:rPr>
      <w:rFonts w:ascii="Times New Roman" w:hAnsi="Times New Roman" w:eastAsia="宋体" w:cs="Times New Roman"/>
      <w:b/>
      <w:bCs/>
      <w:sz w:val="24"/>
      <w:szCs w:val="24"/>
      <w:lang w:val="en-US" w:eastAsia="zh-CN" w:bidi="ar-SA"/>
    </w:rPr>
  </w:style>
  <w:style w:type="character" w:customStyle="1" w:styleId="1216">
    <w:name w:val="04-三级标题 Char Char"/>
    <w:link w:val="1215"/>
    <w:qFormat/>
    <w:uiPriority w:val="0"/>
    <w:rPr>
      <w:b/>
      <w:bCs/>
      <w:sz w:val="24"/>
      <w:szCs w:val="24"/>
    </w:rPr>
  </w:style>
  <w:style w:type="paragraph" w:customStyle="1" w:styleId="1217">
    <w:name w:val="06-表列表"/>
    <w:qFormat/>
    <w:uiPriority w:val="0"/>
    <w:pPr>
      <w:numPr>
        <w:ilvl w:val="0"/>
        <w:numId w:val="3"/>
      </w:numPr>
      <w:spacing w:line="400" w:lineRule="exact"/>
      <w:jc w:val="center"/>
      <w:outlineLvl w:val="5"/>
    </w:pPr>
    <w:rPr>
      <w:rFonts w:ascii="Times New Roman" w:hAnsi="Times New Roman" w:eastAsia="宋体" w:cs="Tahoma"/>
      <w:color w:val="000000"/>
      <w:sz w:val="24"/>
      <w:szCs w:val="24"/>
      <w:lang w:val="en-US" w:eastAsia="zh-CN" w:bidi="ar-SA"/>
    </w:rPr>
  </w:style>
  <w:style w:type="paragraph" w:customStyle="1" w:styleId="1218">
    <w:name w:val="05-图列表"/>
    <w:link w:val="1219"/>
    <w:qFormat/>
    <w:uiPriority w:val="0"/>
    <w:pPr>
      <w:numPr>
        <w:ilvl w:val="0"/>
        <w:numId w:val="4"/>
      </w:numPr>
      <w:tabs>
        <w:tab w:val="clear" w:pos="4507"/>
      </w:tabs>
      <w:spacing w:line="300" w:lineRule="exact"/>
      <w:ind w:left="0" w:firstLine="0"/>
      <w:jc w:val="center"/>
      <w:outlineLvl w:val="5"/>
    </w:pPr>
    <w:rPr>
      <w:rFonts w:ascii="Times New Roman" w:hAnsi="Times New Roman" w:eastAsia="宋体" w:cs="Tahoma"/>
      <w:color w:val="000000"/>
      <w:sz w:val="24"/>
      <w:szCs w:val="21"/>
      <w:lang w:val="en-US" w:eastAsia="zh-CN" w:bidi="ar-SA"/>
    </w:rPr>
  </w:style>
  <w:style w:type="character" w:customStyle="1" w:styleId="1219">
    <w:name w:val="05-图列表 Char Char"/>
    <w:link w:val="1218"/>
    <w:qFormat/>
    <w:uiPriority w:val="0"/>
    <w:rPr>
      <w:rFonts w:cs="Tahoma"/>
      <w:color w:val="000000"/>
      <w:sz w:val="24"/>
      <w:szCs w:val="21"/>
    </w:rPr>
  </w:style>
  <w:style w:type="paragraph" w:customStyle="1" w:styleId="1220">
    <w:name w:val="07-图片格式"/>
    <w:basedOn w:val="1"/>
    <w:link w:val="1221"/>
    <w:qFormat/>
    <w:uiPriority w:val="0"/>
    <w:pPr>
      <w:widowControl/>
      <w:autoSpaceDE w:val="0"/>
      <w:autoSpaceDN w:val="0"/>
      <w:adjustRightInd w:val="0"/>
      <w:spacing w:line="360" w:lineRule="auto"/>
      <w:jc w:val="center"/>
    </w:pPr>
    <w:rPr>
      <w:rFonts w:cs="Tahoma"/>
      <w:color w:val="000000"/>
      <w:kern w:val="0"/>
      <w:szCs w:val="21"/>
    </w:rPr>
  </w:style>
  <w:style w:type="character" w:customStyle="1" w:styleId="1221">
    <w:name w:val="07-图片格式 Char Char"/>
    <w:link w:val="1220"/>
    <w:qFormat/>
    <w:uiPriority w:val="0"/>
    <w:rPr>
      <w:rFonts w:cs="Tahoma"/>
      <w:color w:val="000000"/>
      <w:sz w:val="21"/>
      <w:szCs w:val="21"/>
    </w:rPr>
  </w:style>
  <w:style w:type="paragraph" w:customStyle="1" w:styleId="1222">
    <w:name w:val="居中"/>
    <w:qFormat/>
    <w:uiPriority w:val="0"/>
    <w:pPr>
      <w:tabs>
        <w:tab w:val="right" w:leader="dot" w:pos="9714"/>
      </w:tabs>
      <w:spacing w:beforeLines="100" w:afterLines="150" w:line="360" w:lineRule="auto"/>
      <w:jc w:val="center"/>
    </w:pPr>
    <w:rPr>
      <w:rFonts w:ascii="Times New Roman" w:hAnsi="Times New Roman" w:eastAsia="宋体" w:cs="Times New Roman"/>
      <w:b/>
      <w:kern w:val="2"/>
      <w:sz w:val="28"/>
      <w:lang w:val="en-US" w:eastAsia="zh-CN" w:bidi="ar-SA"/>
    </w:rPr>
  </w:style>
  <w:style w:type="paragraph" w:customStyle="1" w:styleId="1223">
    <w:name w:val="08-表格内容"/>
    <w:basedOn w:val="1"/>
    <w:qFormat/>
    <w:uiPriority w:val="0"/>
    <w:pPr>
      <w:widowControl/>
      <w:autoSpaceDE w:val="0"/>
      <w:autoSpaceDN w:val="0"/>
      <w:adjustRightInd w:val="0"/>
      <w:spacing w:line="360" w:lineRule="auto"/>
      <w:jc w:val="center"/>
    </w:pPr>
    <w:rPr>
      <w:rFonts w:ascii="Arial" w:hAnsi="Arial" w:cs="Arial"/>
      <w:kern w:val="0"/>
    </w:rPr>
  </w:style>
  <w:style w:type="paragraph" w:customStyle="1" w:styleId="1224">
    <w:name w:val="09-项目"/>
    <w:basedOn w:val="1"/>
    <w:link w:val="1225"/>
    <w:qFormat/>
    <w:uiPriority w:val="0"/>
    <w:pPr>
      <w:widowControl/>
      <w:numPr>
        <w:ilvl w:val="0"/>
        <w:numId w:val="5"/>
      </w:numPr>
      <w:autoSpaceDE w:val="0"/>
      <w:autoSpaceDN w:val="0"/>
      <w:adjustRightInd w:val="0"/>
      <w:spacing w:line="360" w:lineRule="auto"/>
      <w:jc w:val="left"/>
    </w:pPr>
    <w:rPr>
      <w:rFonts w:cs="Tahoma"/>
      <w:color w:val="000000"/>
      <w:kern w:val="0"/>
    </w:rPr>
  </w:style>
  <w:style w:type="character" w:customStyle="1" w:styleId="1225">
    <w:name w:val="09-项目 Char Char"/>
    <w:link w:val="1224"/>
    <w:qFormat/>
    <w:uiPriority w:val="0"/>
    <w:rPr>
      <w:rFonts w:cs="Tahoma"/>
      <w:color w:val="000000"/>
      <w:sz w:val="21"/>
      <w:szCs w:val="24"/>
    </w:rPr>
  </w:style>
  <w:style w:type="paragraph" w:customStyle="1" w:styleId="1226">
    <w:name w:val="缩进正文"/>
    <w:basedOn w:val="1"/>
    <w:link w:val="1227"/>
    <w:qFormat/>
    <w:uiPriority w:val="0"/>
    <w:pPr>
      <w:widowControl/>
      <w:adjustRightInd w:val="0"/>
      <w:snapToGrid w:val="0"/>
      <w:spacing w:line="460" w:lineRule="atLeast"/>
      <w:ind w:firstLine="200" w:firstLineChars="200"/>
      <w:jc w:val="left"/>
    </w:pPr>
    <w:rPr>
      <w:rFonts w:ascii="Calibri" w:hAnsi="Calibri"/>
    </w:rPr>
  </w:style>
  <w:style w:type="character" w:customStyle="1" w:styleId="1227">
    <w:name w:val="缩进正文 Char"/>
    <w:link w:val="1226"/>
    <w:qFormat/>
    <w:uiPriority w:val="0"/>
    <w:rPr>
      <w:rFonts w:ascii="Calibri" w:hAnsi="Calibri"/>
      <w:kern w:val="2"/>
      <w:sz w:val="21"/>
      <w:szCs w:val="24"/>
    </w:rPr>
  </w:style>
  <w:style w:type="paragraph" w:customStyle="1" w:styleId="1228">
    <w:name w:val="表格标题(居中)"/>
    <w:basedOn w:val="1"/>
    <w:qFormat/>
    <w:uiPriority w:val="0"/>
    <w:pPr>
      <w:widowControl/>
      <w:snapToGrid w:val="0"/>
      <w:spacing w:line="300" w:lineRule="auto"/>
      <w:jc w:val="center"/>
    </w:pPr>
    <w:rPr>
      <w:rFonts w:eastAsia="黑体"/>
      <w:szCs w:val="20"/>
    </w:rPr>
  </w:style>
  <w:style w:type="paragraph" w:customStyle="1" w:styleId="1229">
    <w:name w:val="样式 文章正文OK + 行距: 1.5 倍行距"/>
    <w:basedOn w:val="1"/>
    <w:qFormat/>
    <w:uiPriority w:val="0"/>
    <w:pPr>
      <w:widowControl/>
      <w:spacing w:line="360" w:lineRule="auto"/>
      <w:ind w:firstLine="560" w:firstLineChars="200"/>
      <w:jc w:val="left"/>
    </w:pPr>
    <w:rPr>
      <w:rFonts w:cs="宋体"/>
      <w:sz w:val="28"/>
      <w:szCs w:val="20"/>
    </w:rPr>
  </w:style>
  <w:style w:type="paragraph" w:customStyle="1" w:styleId="1230">
    <w:name w:val="样式 行距: 固定值 22 磅"/>
    <w:basedOn w:val="1"/>
    <w:link w:val="1231"/>
    <w:qFormat/>
    <w:uiPriority w:val="0"/>
    <w:pPr>
      <w:widowControl/>
      <w:adjustRightInd w:val="0"/>
      <w:snapToGrid w:val="0"/>
      <w:spacing w:line="360" w:lineRule="auto"/>
      <w:ind w:firstLine="200" w:firstLineChars="200"/>
      <w:jc w:val="left"/>
    </w:pPr>
    <w:rPr>
      <w:rFonts w:eastAsia="仿宋_GB2312" w:cs="宋体"/>
      <w:sz w:val="28"/>
      <w:szCs w:val="20"/>
    </w:rPr>
  </w:style>
  <w:style w:type="character" w:customStyle="1" w:styleId="1231">
    <w:name w:val="样式 行距: 固定值 22 磅 Char"/>
    <w:link w:val="1230"/>
    <w:qFormat/>
    <w:uiPriority w:val="0"/>
    <w:rPr>
      <w:rFonts w:eastAsia="仿宋_GB2312" w:cs="宋体"/>
      <w:kern w:val="2"/>
      <w:sz w:val="28"/>
    </w:rPr>
  </w:style>
  <w:style w:type="paragraph" w:customStyle="1" w:styleId="1232">
    <w:name w:val="正文文字1"/>
    <w:basedOn w:val="1"/>
    <w:link w:val="1233"/>
    <w:qFormat/>
    <w:uiPriority w:val="0"/>
    <w:pPr>
      <w:widowControl/>
      <w:adjustRightInd w:val="0"/>
      <w:snapToGrid w:val="0"/>
      <w:spacing w:line="360" w:lineRule="auto"/>
      <w:ind w:firstLine="200" w:firstLineChars="200"/>
      <w:jc w:val="left"/>
    </w:pPr>
  </w:style>
  <w:style w:type="character" w:customStyle="1" w:styleId="1233">
    <w:name w:val="正文文字1 Char"/>
    <w:link w:val="1232"/>
    <w:qFormat/>
    <w:uiPriority w:val="0"/>
    <w:rPr>
      <w:kern w:val="2"/>
      <w:sz w:val="21"/>
      <w:szCs w:val="24"/>
    </w:rPr>
  </w:style>
  <w:style w:type="paragraph" w:customStyle="1" w:styleId="1234">
    <w:name w:val="标书"/>
    <w:basedOn w:val="1"/>
    <w:link w:val="1235"/>
    <w:qFormat/>
    <w:uiPriority w:val="0"/>
    <w:pPr>
      <w:widowControl/>
      <w:shd w:val="clear" w:color="auto" w:fill="FFFFFF"/>
      <w:spacing w:line="360" w:lineRule="auto"/>
      <w:ind w:firstLine="480"/>
      <w:jc w:val="left"/>
    </w:pPr>
    <w:rPr>
      <w:rFonts w:ascii="宋体" w:hAnsi="宋体"/>
      <w:kern w:val="0"/>
    </w:rPr>
  </w:style>
  <w:style w:type="character" w:customStyle="1" w:styleId="1235">
    <w:name w:val="标书 Char"/>
    <w:link w:val="1234"/>
    <w:qFormat/>
    <w:uiPriority w:val="0"/>
    <w:rPr>
      <w:rFonts w:ascii="宋体" w:hAnsi="宋体"/>
      <w:sz w:val="21"/>
      <w:szCs w:val="24"/>
      <w:shd w:val="clear" w:color="auto" w:fill="FFFFFF"/>
    </w:rPr>
  </w:style>
  <w:style w:type="character" w:customStyle="1" w:styleId="1236">
    <w:name w:val="题注 字符"/>
    <w:link w:val="19"/>
    <w:qFormat/>
    <w:uiPriority w:val="0"/>
    <w:rPr>
      <w:rFonts w:ascii="Arial" w:hAnsi="Arial" w:eastAsia="黑体" w:cs="Arial"/>
      <w:kern w:val="2"/>
    </w:rPr>
  </w:style>
  <w:style w:type="character" w:customStyle="1" w:styleId="1237">
    <w:name w:val="Book Title"/>
    <w:qFormat/>
    <w:uiPriority w:val="0"/>
    <w:rPr>
      <w:b/>
      <w:bCs/>
      <w:smallCaps/>
      <w:spacing w:val="5"/>
    </w:rPr>
  </w:style>
  <w:style w:type="paragraph" w:customStyle="1" w:styleId="1238">
    <w:name w:val="pa-2"/>
    <w:basedOn w:val="1"/>
    <w:qFormat/>
    <w:uiPriority w:val="0"/>
    <w:pPr>
      <w:widowControl/>
      <w:spacing w:before="150" w:after="150"/>
      <w:jc w:val="left"/>
    </w:pPr>
    <w:rPr>
      <w:rFonts w:ascii="宋体" w:hAnsi="宋体" w:cs="宋体"/>
      <w:kern w:val="0"/>
      <w:sz w:val="24"/>
    </w:rPr>
  </w:style>
  <w:style w:type="paragraph" w:customStyle="1" w:styleId="123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0">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241">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242">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0"/>
      <w:szCs w:val="20"/>
    </w:rPr>
  </w:style>
  <w:style w:type="paragraph" w:customStyle="1" w:styleId="1243">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244">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0"/>
      <w:szCs w:val="20"/>
    </w:rPr>
  </w:style>
  <w:style w:type="paragraph" w:customStyle="1" w:styleId="1245">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0"/>
      <w:szCs w:val="20"/>
    </w:rPr>
  </w:style>
  <w:style w:type="paragraph" w:customStyle="1" w:styleId="1246">
    <w:name w:val="xl146"/>
    <w:basedOn w:val="1"/>
    <w:qFormat/>
    <w:uiPriority w:val="0"/>
    <w:pPr>
      <w:widowControl/>
      <w:spacing w:before="100" w:beforeAutospacing="1" w:after="100" w:afterAutospacing="1"/>
      <w:jc w:val="right"/>
      <w:textAlignment w:val="top"/>
    </w:pPr>
    <w:rPr>
      <w:rFonts w:ascii="宋体" w:hAnsi="宋体" w:cs="宋体"/>
      <w:kern w:val="0"/>
      <w:sz w:val="20"/>
      <w:szCs w:val="20"/>
    </w:rPr>
  </w:style>
  <w:style w:type="paragraph" w:customStyle="1" w:styleId="1247">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0"/>
      <w:szCs w:val="20"/>
    </w:rPr>
  </w:style>
  <w:style w:type="paragraph" w:customStyle="1" w:styleId="1248">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0"/>
      <w:szCs w:val="20"/>
    </w:rPr>
  </w:style>
  <w:style w:type="paragraph" w:customStyle="1" w:styleId="1249">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0"/>
      <w:szCs w:val="20"/>
    </w:rPr>
  </w:style>
  <w:style w:type="paragraph" w:customStyle="1" w:styleId="1250">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b/>
      <w:bCs/>
      <w:kern w:val="0"/>
      <w:sz w:val="20"/>
      <w:szCs w:val="20"/>
    </w:rPr>
  </w:style>
  <w:style w:type="paragraph" w:customStyle="1" w:styleId="1251">
    <w:name w:val="xl15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52">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253">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254">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0"/>
      <w:szCs w:val="20"/>
    </w:rPr>
  </w:style>
  <w:style w:type="paragraph" w:customStyle="1" w:styleId="1255">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256">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257">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258">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0"/>
      <w:szCs w:val="20"/>
    </w:rPr>
  </w:style>
  <w:style w:type="paragraph" w:customStyle="1" w:styleId="1259">
    <w:name w:val="纯文本3"/>
    <w:basedOn w:val="1"/>
    <w:qFormat/>
    <w:uiPriority w:val="0"/>
    <w:pPr>
      <w:adjustRightInd w:val="0"/>
    </w:pPr>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HZHQ</Company>
  <Pages>62</Pages>
  <Words>36024</Words>
  <Characters>37046</Characters>
  <Lines>311</Lines>
  <Paragraphs>87</Paragraphs>
  <TotalTime>7</TotalTime>
  <ScaleCrop>false</ScaleCrop>
  <LinksUpToDate>false</LinksUpToDate>
  <CharactersWithSpaces>38571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2024-03-21T08:38:00Z</dcterms:created>
  <dc:creator>william wong</dc:creator>
  <cp:lastModifiedBy>Hpwilliam</cp:lastModifiedBy>
  <cp:lastPrinted>2020-08-03T15:45:00Z</cp:lastPrinted>
  <dcterms:modified xsi:type="dcterms:W3CDTF">2024-11-28T06:21:42Z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C3CE35B559934ABBBA54BCC38964D8B7</vt:lpwstr>
  </property>
  <property fmtid="{D5CDD505-2E9C-101B-9397-08002B2CF9AE}" pid="4" name="woTemplateTypoMode">
    <vt:lpwstr>web</vt:lpwstr>
  </property>
  <property fmtid="{D5CDD505-2E9C-101B-9397-08002B2CF9AE}" pid="5" name="woTemplate">
    <vt:r8>1</vt:r8>
  </property>
</Properties>
</file>