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17055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p>
    <w:p w14:paraId="76E45C0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p>
    <w:p w14:paraId="6BCBB61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48"/>
          <w:szCs w:val="48"/>
          <w:highlight w:val="none"/>
        </w:rPr>
      </w:pPr>
    </w:p>
    <w:p w14:paraId="49C02E2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杭州市上城区住房和城市建设局房产类法律服务</w:t>
      </w:r>
    </w:p>
    <w:p w14:paraId="496CC5B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345C953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02BD598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color w:val="auto"/>
          <w:sz w:val="30"/>
          <w:szCs w:val="30"/>
          <w:highlight w:val="none"/>
          <w:lang w:val="en-US"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w:t>
      </w:r>
      <w:r>
        <w:rPr>
          <w:rFonts w:hint="eastAsia" w:ascii="宋体" w:hAnsi="宋体" w:cs="宋体"/>
          <w:color w:val="auto"/>
          <w:sz w:val="30"/>
          <w:szCs w:val="30"/>
          <w:highlight w:val="none"/>
          <w:lang w:val="en-US" w:eastAsia="zh-CN"/>
        </w:rPr>
        <w:t>SCZJ-FLFW2025-1</w:t>
      </w:r>
    </w:p>
    <w:p w14:paraId="5E99280B">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8"/>
          <w:szCs w:val="20"/>
          <w:highlight w:val="none"/>
        </w:rPr>
      </w:pPr>
    </w:p>
    <w:p w14:paraId="0520DAF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1FD18F3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44"/>
          <w:szCs w:val="44"/>
          <w:highlight w:val="none"/>
        </w:rPr>
      </w:pPr>
    </w:p>
    <w:p w14:paraId="77A0CF8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p w14:paraId="78BFBBE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p w14:paraId="7D0F5AB8">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32"/>
          <w:szCs w:val="32"/>
          <w:highlight w:val="none"/>
        </w:rPr>
      </w:pPr>
    </w:p>
    <w:p w14:paraId="4670BF9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color w:val="auto"/>
          <w:sz w:val="32"/>
          <w:szCs w:val="32"/>
          <w:highlight w:val="none"/>
        </w:rPr>
      </w:pPr>
      <w:r>
        <w:rPr>
          <w:rFonts w:hint="eastAsia" w:ascii="宋体" w:hAnsi="宋体" w:cs="宋体"/>
          <w:color w:val="auto"/>
          <w:sz w:val="32"/>
          <w:szCs w:val="32"/>
          <w:highlight w:val="none"/>
        </w:rPr>
        <w:t>采购人</w:t>
      </w:r>
      <w:r>
        <w:rPr>
          <w:rFonts w:hint="eastAsia" w:ascii="宋体" w:hAnsi="宋体" w:cs="宋体"/>
          <w:color w:val="auto"/>
          <w:sz w:val="32"/>
          <w:szCs w:val="32"/>
          <w:highlight w:val="none"/>
          <w:lang w:eastAsia="zh-CN"/>
        </w:rPr>
        <w:t>：</w:t>
      </w:r>
      <w:r>
        <w:rPr>
          <w:rFonts w:hint="eastAsia" w:ascii="宋体" w:hAnsi="宋体" w:eastAsia="宋体" w:cs="宋体"/>
          <w:color w:val="auto"/>
          <w:sz w:val="32"/>
          <w:szCs w:val="32"/>
          <w:highlight w:val="none"/>
        </w:rPr>
        <w:t>杭州市上城区住房和城市建设局</w:t>
      </w:r>
    </w:p>
    <w:p w14:paraId="3F0D8F8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color w:val="auto"/>
          <w:sz w:val="32"/>
          <w:szCs w:val="32"/>
          <w:highlight w:val="none"/>
        </w:rPr>
      </w:pPr>
    </w:p>
    <w:p w14:paraId="5FE56D2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采购代理机构</w:t>
      </w:r>
      <w:r>
        <w:rPr>
          <w:rFonts w:hint="eastAsia" w:ascii="宋体" w:hAnsi="宋体" w:eastAsia="宋体" w:cs="宋体"/>
          <w:color w:val="auto"/>
          <w:sz w:val="32"/>
          <w:szCs w:val="32"/>
          <w:highlight w:val="none"/>
          <w:lang w:eastAsia="zh-CN"/>
        </w:rPr>
        <w:t>：留印工程咨询（浙江）有限公司</w:t>
      </w:r>
    </w:p>
    <w:p w14:paraId="24B857C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Cs/>
          <w:color w:val="auto"/>
          <w:sz w:val="32"/>
          <w:szCs w:val="32"/>
          <w:highlight w:val="none"/>
        </w:rPr>
      </w:pPr>
    </w:p>
    <w:p w14:paraId="38183FB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日</w:t>
      </w:r>
    </w:p>
    <w:p w14:paraId="36E3C5E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64DB67E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32"/>
          <w:szCs w:val="32"/>
          <w:highlight w:val="none"/>
        </w:rPr>
      </w:pPr>
      <w:r>
        <w:rPr>
          <w:rFonts w:hint="eastAsia" w:ascii="宋体" w:hAnsi="宋体" w:cs="宋体"/>
          <w:b/>
          <w:color w:val="auto"/>
          <w:sz w:val="48"/>
          <w:szCs w:val="48"/>
          <w:highlight w:val="none"/>
        </w:rPr>
        <w:t>目  录</w:t>
      </w:r>
    </w:p>
    <w:p w14:paraId="6A8BE4F8">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32"/>
          <w:szCs w:val="32"/>
          <w:highlight w:val="none"/>
        </w:rPr>
      </w:pPr>
    </w:p>
    <w:p w14:paraId="314DF81A">
      <w:pPr>
        <w:widowControl w:val="0"/>
        <w:kinsoku/>
        <w:wordWrap/>
        <w:overflowPunct/>
        <w:topLinePunct w:val="0"/>
        <w:bidi w:val="0"/>
        <w:adjustRightInd w:val="0"/>
        <w:snapToGrid w:val="0"/>
        <w:spacing w:beforeAutospacing="0" w:afterAutospacing="0" w:line="360" w:lineRule="auto"/>
        <w:ind w:left="0" w:leftChars="0" w:right="0" w:rightChars="0" w:firstLine="1280" w:firstLineChars="400"/>
        <w:textAlignment w:val="auto"/>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35FD0695">
      <w:pPr>
        <w:widowControl w:val="0"/>
        <w:kinsoku/>
        <w:wordWrap/>
        <w:overflowPunct/>
        <w:topLinePunct w:val="0"/>
        <w:bidi w:val="0"/>
        <w:adjustRightInd w:val="0"/>
        <w:snapToGrid w:val="0"/>
        <w:spacing w:beforeAutospacing="0" w:afterAutospacing="0" w:line="360" w:lineRule="auto"/>
        <w:ind w:left="0" w:leftChars="0" w:right="0" w:rightChars="0" w:firstLine="1280" w:firstLineChars="400"/>
        <w:textAlignment w:val="auto"/>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7C3FA63A">
      <w:pPr>
        <w:widowControl w:val="0"/>
        <w:kinsoku/>
        <w:wordWrap/>
        <w:overflowPunct/>
        <w:topLinePunct w:val="0"/>
        <w:bidi w:val="0"/>
        <w:adjustRightInd w:val="0"/>
        <w:snapToGrid w:val="0"/>
        <w:spacing w:beforeAutospacing="0" w:afterAutospacing="0" w:line="360" w:lineRule="auto"/>
        <w:ind w:left="0" w:leftChars="0" w:right="0" w:rightChars="0" w:firstLine="1280" w:firstLineChars="400"/>
        <w:textAlignment w:val="auto"/>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446A3DF6">
      <w:pPr>
        <w:widowControl w:val="0"/>
        <w:kinsoku/>
        <w:wordWrap/>
        <w:overflowPunct/>
        <w:topLinePunct w:val="0"/>
        <w:bidi w:val="0"/>
        <w:adjustRightInd w:val="0"/>
        <w:snapToGrid w:val="0"/>
        <w:spacing w:beforeAutospacing="0" w:afterAutospacing="0" w:line="360" w:lineRule="auto"/>
        <w:ind w:left="0" w:leftChars="0" w:right="0" w:rightChars="0" w:firstLine="1280" w:firstLineChars="400"/>
        <w:textAlignment w:val="auto"/>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055E030E">
      <w:pPr>
        <w:widowControl w:val="0"/>
        <w:kinsoku/>
        <w:wordWrap/>
        <w:overflowPunct/>
        <w:topLinePunct w:val="0"/>
        <w:bidi w:val="0"/>
        <w:adjustRightInd w:val="0"/>
        <w:snapToGrid w:val="0"/>
        <w:spacing w:beforeAutospacing="0" w:afterAutospacing="0" w:line="360" w:lineRule="auto"/>
        <w:ind w:left="0" w:leftChars="0" w:right="0" w:rightChars="0" w:firstLine="1280" w:firstLineChars="400"/>
        <w:textAlignment w:val="auto"/>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5F4872CE">
      <w:pPr>
        <w:widowControl w:val="0"/>
        <w:kinsoku/>
        <w:wordWrap/>
        <w:overflowPunct/>
        <w:topLinePunct w:val="0"/>
        <w:bidi w:val="0"/>
        <w:adjustRightInd w:val="0"/>
        <w:snapToGrid w:val="0"/>
        <w:spacing w:beforeAutospacing="0" w:afterAutospacing="0" w:line="360" w:lineRule="auto"/>
        <w:ind w:left="0" w:leftChars="0" w:right="0" w:rightChars="0" w:firstLine="1280" w:firstLineChars="400"/>
        <w:textAlignment w:val="auto"/>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4A4FF099">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bookmarkStart w:id="1" w:name="_Hlt91233176"/>
      <w:bookmarkEnd w:id="1"/>
      <w:bookmarkStart w:id="2" w:name="_Toc91899869"/>
    </w:p>
    <w:p w14:paraId="696D41CC">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5F5D444D">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3144B441">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67A92623">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03BA6515">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5BDFBF62">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4BD2A1EA">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07125A09">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37FBFED7">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75CD3FBC">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5B26FEA7">
      <w:pPr>
        <w:widowControl w:val="0"/>
        <w:kinsoku/>
        <w:wordWrap/>
        <w:overflowPunct/>
        <w:topLinePunct w:val="0"/>
        <w:bidi w:val="0"/>
        <w:adjustRightInd w:val="0"/>
        <w:snapToGrid w:val="0"/>
        <w:spacing w:beforeAutospacing="0" w:afterAutospacing="0" w:line="360" w:lineRule="auto"/>
        <w:ind w:left="0" w:leftChars="0" w:right="0" w:rightChars="0" w:firstLine="549" w:firstLineChars="229"/>
        <w:textAlignment w:val="auto"/>
        <w:rPr>
          <w:rFonts w:ascii="宋体" w:hAnsi="宋体" w:cs="宋体"/>
          <w:color w:val="auto"/>
          <w:sz w:val="24"/>
          <w:highlight w:val="none"/>
        </w:rPr>
      </w:pPr>
    </w:p>
    <w:p w14:paraId="41557E0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8647"/>
      <w:bookmarkEnd w:id="4"/>
      <w:bookmarkStart w:id="5" w:name="_Hlt74649545"/>
      <w:bookmarkEnd w:id="5"/>
      <w:bookmarkStart w:id="6" w:name="_Hlt74707423"/>
      <w:bookmarkEnd w:id="6"/>
      <w:bookmarkStart w:id="7" w:name="_Hlt74729822"/>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3EE54905">
      <w:pPr>
        <w:widowControl w:val="0"/>
        <w:pBdr>
          <w:top w:val="single" w:color="auto" w:sz="4" w:space="1"/>
          <w:left w:val="single" w:color="auto" w:sz="4" w:space="4"/>
          <w:bottom w:val="single" w:color="auto" w:sz="4" w:space="1"/>
          <w:right w:val="single" w:color="auto" w:sz="4" w:space="4"/>
        </w:pBdr>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项目概况</w:t>
      </w:r>
    </w:p>
    <w:p w14:paraId="39B70076">
      <w:pPr>
        <w:widowControl w:val="0"/>
        <w:pBdr>
          <w:top w:val="single" w:color="auto" w:sz="4" w:space="1"/>
          <w:left w:val="single" w:color="auto" w:sz="4" w:space="4"/>
          <w:bottom w:val="single" w:color="auto" w:sz="4" w:space="1"/>
          <w:right w:val="single" w:color="auto" w:sz="4" w:space="4"/>
        </w:pBdr>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u w:val="single"/>
        </w:rPr>
      </w:pPr>
      <w:r>
        <w:rPr>
          <w:rStyle w:val="77"/>
          <w:rFonts w:hint="eastAsia" w:ascii="宋体" w:hAnsi="宋体" w:cs="宋体"/>
          <w:snapToGrid/>
          <w:color w:val="auto"/>
          <w:kern w:val="2"/>
          <w:sz w:val="24"/>
          <w:szCs w:val="24"/>
          <w:highlight w:val="none"/>
          <w:lang w:eastAsia="zh-CN"/>
        </w:rPr>
        <w:t>杭州市上城区住房和城市建设局房产类法律服务</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hint="eastAsia" w:ascii="宋体" w:hAnsi="宋体" w:eastAsia="宋体" w:cs="宋体"/>
          <w:snapToGrid/>
          <w:color w:val="auto"/>
          <w:kern w:val="2"/>
          <w:sz w:val="24"/>
          <w:szCs w:val="24"/>
          <w:highlight w:val="none"/>
        </w:rPr>
        <w:t>https://www.zcygov.cn/）获取（下载）招标文件，并于202</w:t>
      </w:r>
      <w:r>
        <w:rPr>
          <w:rStyle w:val="77"/>
          <w:rFonts w:hint="eastAsia" w:ascii="宋体" w:hAnsi="宋体" w:cs="宋体"/>
          <w:snapToGrid/>
          <w:color w:val="auto"/>
          <w:kern w:val="2"/>
          <w:sz w:val="24"/>
          <w:szCs w:val="24"/>
          <w:highlight w:val="none"/>
          <w:lang w:val="en-US" w:eastAsia="zh-CN"/>
        </w:rPr>
        <w:t>5</w:t>
      </w:r>
      <w:r>
        <w:rPr>
          <w:rStyle w:val="77"/>
          <w:rFonts w:hint="eastAsia" w:ascii="宋体" w:hAnsi="宋体" w:eastAsia="宋体" w:cs="宋体"/>
          <w:snapToGrid/>
          <w:color w:val="auto"/>
          <w:kern w:val="2"/>
          <w:sz w:val="24"/>
          <w:szCs w:val="24"/>
          <w:highlight w:val="none"/>
        </w:rPr>
        <w:t>年</w:t>
      </w:r>
      <w:r>
        <w:rPr>
          <w:rStyle w:val="77"/>
          <w:rFonts w:hint="eastAsia" w:ascii="宋体" w:hAnsi="宋体" w:cs="宋体"/>
          <w:snapToGrid/>
          <w:color w:val="auto"/>
          <w:kern w:val="2"/>
          <w:sz w:val="24"/>
          <w:szCs w:val="24"/>
          <w:highlight w:val="none"/>
          <w:lang w:val="en-US" w:eastAsia="zh-CN"/>
        </w:rPr>
        <w:t>4</w:t>
      </w:r>
      <w:r>
        <w:rPr>
          <w:rStyle w:val="77"/>
          <w:rFonts w:hint="eastAsia" w:ascii="宋体" w:hAnsi="宋体" w:eastAsia="宋体" w:cs="宋体"/>
          <w:snapToGrid/>
          <w:color w:val="auto"/>
          <w:kern w:val="2"/>
          <w:sz w:val="24"/>
          <w:szCs w:val="24"/>
          <w:highlight w:val="none"/>
        </w:rPr>
        <w:t>月</w:t>
      </w:r>
      <w:r>
        <w:rPr>
          <w:rStyle w:val="77"/>
          <w:rFonts w:hint="eastAsia" w:ascii="宋体" w:hAnsi="宋体" w:cs="宋体"/>
          <w:snapToGrid/>
          <w:color w:val="auto"/>
          <w:kern w:val="2"/>
          <w:sz w:val="24"/>
          <w:szCs w:val="24"/>
          <w:highlight w:val="none"/>
          <w:lang w:val="en-US" w:eastAsia="zh-CN"/>
        </w:rPr>
        <w:t>26</w:t>
      </w:r>
      <w:r>
        <w:rPr>
          <w:rStyle w:val="77"/>
          <w:rFonts w:hint="eastAsia" w:ascii="宋体" w:hAnsi="宋体" w:eastAsia="宋体" w:cs="宋体"/>
          <w:snapToGrid/>
          <w:color w:val="auto"/>
          <w:kern w:val="2"/>
          <w:sz w:val="24"/>
          <w:szCs w:val="24"/>
          <w:highlight w:val="none"/>
        </w:rPr>
        <w:t>日</w:t>
      </w:r>
      <w:r>
        <w:rPr>
          <w:rStyle w:val="77"/>
          <w:rFonts w:hint="eastAsia" w:ascii="宋体" w:hAnsi="宋体" w:cs="宋体"/>
          <w:snapToGrid/>
          <w:color w:val="auto"/>
          <w:kern w:val="2"/>
          <w:sz w:val="24"/>
          <w:szCs w:val="24"/>
          <w:highlight w:val="none"/>
          <w:lang w:val="en-US" w:eastAsia="zh-CN"/>
        </w:rPr>
        <w:t>9</w:t>
      </w:r>
      <w:r>
        <w:rPr>
          <w:rStyle w:val="77"/>
          <w:rFonts w:hint="eastAsia" w:ascii="宋体" w:hAnsi="宋体" w:eastAsia="宋体" w:cs="宋体"/>
          <w:snapToGrid/>
          <w:color w:val="auto"/>
          <w:kern w:val="2"/>
          <w:sz w:val="24"/>
          <w:szCs w:val="24"/>
          <w:highlight w:val="none"/>
        </w:rPr>
        <w:t>点</w:t>
      </w:r>
      <w:r>
        <w:rPr>
          <w:rStyle w:val="77"/>
          <w:rFonts w:hint="eastAsia" w:ascii="宋体" w:hAnsi="宋体" w:cs="宋体"/>
          <w:snapToGrid/>
          <w:color w:val="auto"/>
          <w:kern w:val="2"/>
          <w:sz w:val="24"/>
          <w:szCs w:val="24"/>
          <w:highlight w:val="none"/>
          <w:lang w:val="en-US" w:eastAsia="zh-CN"/>
        </w:rPr>
        <w:t>45</w:t>
      </w:r>
      <w:r>
        <w:rPr>
          <w:rStyle w:val="77"/>
          <w:rFonts w:hint="eastAsia" w:ascii="宋体" w:hAnsi="宋体" w:eastAsia="宋体" w:cs="宋体"/>
          <w:snapToGrid/>
          <w:color w:val="auto"/>
          <w:kern w:val="2"/>
          <w:sz w:val="24"/>
          <w:szCs w:val="24"/>
          <w:highlight w:val="none"/>
        </w:rPr>
        <w:t>分</w:t>
      </w:r>
      <w:r>
        <w:rPr>
          <w:rStyle w:val="77"/>
          <w:rFonts w:hint="eastAsia" w:ascii="宋体" w:hAnsi="宋体" w:eastAsia="宋体" w:cs="宋体"/>
          <w:bCs/>
          <w:snapToGrid/>
          <w:color w:val="auto"/>
          <w:kern w:val="2"/>
          <w:sz w:val="24"/>
          <w:szCs w:val="24"/>
          <w:highlight w:val="none"/>
        </w:rPr>
        <w:t>00秒</w:t>
      </w:r>
      <w:r>
        <w:rPr>
          <w:rStyle w:val="77"/>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ED9D18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3DD65179">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val="en-US" w:eastAsia="zh-CN"/>
        </w:rPr>
        <w:t>SCZJ-FLFW2025-1</w:t>
      </w:r>
    </w:p>
    <w:p w14:paraId="3026B1CD">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杭州市上城区住房和城市建设局房产类法律服务</w:t>
      </w:r>
    </w:p>
    <w:p w14:paraId="034B20F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00000</w:t>
      </w:r>
      <w:r>
        <w:rPr>
          <w:rFonts w:hint="eastAsia" w:ascii="宋体" w:hAnsi="宋体" w:eastAsia="宋体" w:cs="宋体"/>
          <w:color w:val="auto"/>
          <w:sz w:val="24"/>
          <w:highlight w:val="none"/>
        </w:rPr>
        <w:t xml:space="preserve"> </w:t>
      </w:r>
    </w:p>
    <w:p w14:paraId="0E36EF8E">
      <w:pPr>
        <w:widowControl w:val="0"/>
        <w:kinsoku/>
        <w:wordWrap/>
        <w:overflowPunct/>
        <w:topLinePunct w:val="0"/>
        <w:bidi w:val="0"/>
        <w:adjustRightInd w:val="0"/>
        <w:snapToGrid w:val="0"/>
        <w:spacing w:beforeAutospacing="0" w:afterAutospacing="0" w:line="360" w:lineRule="auto"/>
        <w:ind w:left="0" w:leftChars="0" w:right="0" w:rightChars="0" w:firstLine="480"/>
        <w:textAlignment w:val="auto"/>
        <w:rPr>
          <w:rFonts w:hint="eastAsia" w:ascii="宋体" w:hAnsi="宋体" w:eastAsia="宋体" w:cs="宋体"/>
          <w:color w:val="auto"/>
          <w:sz w:val="24"/>
          <w:highlight w:val="none"/>
          <w:lang w:val="en-US" w:eastAsia="zh-CN"/>
        </w:rPr>
      </w:pPr>
      <w:r>
        <w:rPr>
          <w:rFonts w:hint="eastAsia" w:ascii="宋体" w:hAnsi="宋体" w:cs="宋体"/>
          <w:b/>
          <w:color w:val="auto"/>
          <w:sz w:val="24"/>
          <w:highlight w:val="none"/>
        </w:rPr>
        <w:t>最高限价（元）：</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 xml:space="preserve">00000 </w:t>
      </w:r>
    </w:p>
    <w:p w14:paraId="64597C7E">
      <w:pPr>
        <w:snapToGrid w:val="0"/>
        <w:spacing w:line="360" w:lineRule="auto"/>
        <w:ind w:firstLine="480" w:firstLineChars="200"/>
        <w:rPr>
          <w:rFonts w:hAnsi="宋体" w:cs="宋体"/>
          <w:bCs/>
          <w:snapToGrid/>
          <w:color w:val="auto"/>
          <w:kern w:val="2"/>
          <w:sz w:val="24"/>
          <w:szCs w:val="24"/>
          <w:highlight w:val="none"/>
        </w:rPr>
      </w:pPr>
      <w:r>
        <w:rPr>
          <w:rFonts w:hint="eastAsia" w:ascii="宋体" w:hAnsi="宋体" w:cs="宋体"/>
          <w:sz w:val="24"/>
        </w:rPr>
        <w:t>简要规格描述或项目基本概况介绍、用途：为杭州市上城区住房和城市建设局以及局机关下属单位提供房产类常年法律顾问服务及行政复议、行政诉讼、调解或仲裁案件、信访案件、法律文件等，以及上级部门交办的案件</w:t>
      </w:r>
      <w:r>
        <w:rPr>
          <w:rFonts w:hint="eastAsia" w:asciiTheme="minorEastAsia" w:hAnsiTheme="minorEastAsia" w:eastAsiaTheme="minorEastAsia"/>
          <w:snapToGrid/>
          <w:color w:val="auto"/>
          <w:kern w:val="2"/>
          <w:sz w:val="24"/>
          <w:szCs w:val="24"/>
          <w:highlight w:val="none"/>
        </w:rPr>
        <w:t>。</w:t>
      </w:r>
    </w:p>
    <w:p w14:paraId="5EBD4F45">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2"/>
        <w:textAlignment w:val="auto"/>
        <w:outlineLvl w:val="2"/>
        <w:rPr>
          <w:rFonts w:hint="eastAsia" w:cs="Times New Roman" w:asciiTheme="minorEastAsia" w:hAnsiTheme="minorEastAsia" w:eastAsiaTheme="minorEastAsia"/>
          <w:snapToGrid/>
          <w:color w:val="auto"/>
          <w:kern w:val="2"/>
          <w:sz w:val="24"/>
          <w:szCs w:val="24"/>
          <w:highlight w:val="none"/>
          <w:lang w:val="en-US" w:eastAsia="zh-CN" w:bidi="ar-SA"/>
        </w:rPr>
      </w:pPr>
      <w:r>
        <w:rPr>
          <w:rFonts w:hint="eastAsia" w:ascii="宋体" w:hAnsi="宋体" w:cs="宋体"/>
          <w:b/>
          <w:color w:val="auto"/>
          <w:highlight w:val="none"/>
        </w:rPr>
        <w:t>合同履约期限：</w:t>
      </w:r>
      <w:r>
        <w:rPr>
          <w:rFonts w:hint="eastAsia" w:cs="Times New Roman" w:asciiTheme="minorEastAsia" w:hAnsiTheme="minorEastAsia" w:eastAsiaTheme="minorEastAsia"/>
          <w:snapToGrid/>
          <w:color w:val="auto"/>
          <w:kern w:val="2"/>
          <w:sz w:val="24"/>
          <w:szCs w:val="24"/>
          <w:highlight w:val="none"/>
          <w:lang w:val="en-US" w:eastAsia="zh-CN" w:bidi="ar-SA"/>
        </w:rPr>
        <w:t xml:space="preserve">1年（具体按合同签订时间为准） </w:t>
      </w:r>
    </w:p>
    <w:p w14:paraId="427C9C9B">
      <w:pPr>
        <w:pStyle w:val="8"/>
        <w:widowControl w:val="0"/>
        <w:kinsoku/>
        <w:wordWrap/>
        <w:overflowPunct/>
        <w:topLinePunct w:val="0"/>
        <w:bidi w:val="0"/>
        <w:adjustRightInd w:val="0"/>
        <w:snapToGrid w:val="0"/>
        <w:spacing w:beforeAutospacing="0" w:afterAutospacing="0" w:line="360" w:lineRule="auto"/>
        <w:ind w:left="0" w:leftChars="0" w:right="0" w:rightChars="0" w:firstLine="480"/>
        <w:textAlignment w:val="auto"/>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47474477"/>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ascii="Wingdings" w:hAnsi="Wingdings" w:eastAsia="宋体" w:cs="Segoe UI Symbol"/>
              <w:snapToGrid w:val="0"/>
              <w:color w:val="auto"/>
              <w:kern w:val="0"/>
              <w:sz w:val="24"/>
              <w:szCs w:val="20"/>
              <w:highlight w:val="none"/>
              <w:lang w:val="en-US" w:eastAsia="zh-CN" w:bidi="ar-SA"/>
            </w:rPr>
            <w:t>þ</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321A3200">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40C7D581">
      <w:pPr>
        <w:widowControl w:val="0"/>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23559B2">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2BCFF7E8">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1FFBB7F7">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292C865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7FF2F208">
      <w:pPr>
        <w:widowControl w:val="0"/>
        <w:kinsoku/>
        <w:wordWrap/>
        <w:overflowPunct/>
        <w:topLinePunct w:val="0"/>
        <w:bidi w:val="0"/>
        <w:adjustRightInd w:val="0"/>
        <w:snapToGrid w:val="0"/>
        <w:spacing w:beforeAutospacing="0" w:afterAutospacing="0" w:line="360" w:lineRule="auto"/>
        <w:ind w:left="0" w:leftChars="0" w:right="0" w:rightChars="0" w:firstLine="897" w:firstLineChars="374"/>
        <w:textAlignment w:val="auto"/>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6955FA2F">
      <w:pPr>
        <w:widowControl w:val="0"/>
        <w:kinsoku/>
        <w:wordWrap/>
        <w:overflowPunct/>
        <w:topLinePunct w:val="0"/>
        <w:bidi w:val="0"/>
        <w:adjustRightInd w:val="0"/>
        <w:snapToGrid w:val="0"/>
        <w:spacing w:beforeAutospacing="0" w:afterAutospacing="0" w:line="360" w:lineRule="auto"/>
        <w:ind w:left="0" w:leftChars="0" w:right="0" w:rightChars="0" w:firstLine="897" w:firstLineChars="374"/>
        <w:textAlignment w:val="auto"/>
        <w:rPr>
          <w:rFonts w:ascii="宋体" w:hAnsi="宋体" w:cs="宋体"/>
          <w:color w:val="auto"/>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19E9523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0764627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0E3E0B7C">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70E80F9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lang w:val="en-US" w:eastAsia="zh-CN"/>
        </w:rPr>
        <w:t>无。</w:t>
      </w:r>
    </w:p>
    <w:p w14:paraId="5679171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有特定资格要求：</w:t>
      </w:r>
      <w:r>
        <w:rPr>
          <w:rFonts w:hint="eastAsia" w:ascii="宋体" w:hAnsi="宋体" w:eastAsia="宋体" w:cs="宋体"/>
          <w:color w:val="auto"/>
          <w:sz w:val="24"/>
          <w:highlight w:val="none"/>
          <w:u w:val="single"/>
        </w:rPr>
        <w:t>具有有效的《律师事务所执业许可证》</w:t>
      </w:r>
      <w:r>
        <w:rPr>
          <w:rFonts w:hint="eastAsia" w:ascii="宋体" w:hAnsi="宋体" w:eastAsia="宋体" w:cs="宋体"/>
          <w:color w:val="auto"/>
          <w:sz w:val="24"/>
          <w:highlight w:val="none"/>
        </w:rPr>
        <w:t>，</w:t>
      </w:r>
      <w:r>
        <w:rPr>
          <w:rFonts w:hint="eastAsia" w:ascii="宋体" w:hAnsi="宋体" w:cs="宋体"/>
          <w:color w:val="auto"/>
          <w:sz w:val="24"/>
          <w:highlight w:val="none"/>
        </w:rPr>
        <w:t>该特定条件的法律法规依据：</w:t>
      </w:r>
      <w:r>
        <w:rPr>
          <w:rFonts w:hint="eastAsia" w:ascii="宋体" w:hAnsi="宋体" w:eastAsia="宋体" w:cs="宋体"/>
          <w:color w:val="auto"/>
          <w:sz w:val="24"/>
          <w:highlight w:val="none"/>
          <w:u w:val="single"/>
        </w:rPr>
        <w:t>《中华人民共和国律师法》</w:t>
      </w:r>
      <w:r>
        <w:rPr>
          <w:rFonts w:hint="eastAsia" w:ascii="宋体" w:hAnsi="宋体" w:eastAsia="宋体" w:cs="宋体"/>
          <w:color w:val="auto"/>
          <w:sz w:val="24"/>
          <w:highlight w:val="none"/>
          <w:u w:val="single"/>
          <w:lang w:eastAsia="zh-CN"/>
        </w:rPr>
        <w:t>、《律师事务所管理办法》</w:t>
      </w:r>
      <w:r>
        <w:rPr>
          <w:rFonts w:hint="eastAsia" w:ascii="宋体" w:hAnsi="宋体" w:cs="宋体"/>
          <w:color w:val="auto"/>
          <w:sz w:val="24"/>
          <w:highlight w:val="none"/>
        </w:rPr>
        <w:t>。</w:t>
      </w:r>
    </w:p>
    <w:p w14:paraId="0249536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6B48F1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CCF5014">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26</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4B6952F0">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5EB4CE5">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7540028A">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693F82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2669A40D">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26</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45</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2A3CAED5">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6BC19E47">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26</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45</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23927B7D">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CBAC883">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50348C53">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自本公告发布之日起5个工作日。</w:t>
      </w:r>
    </w:p>
    <w:p w14:paraId="4B11B242">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六、其他补充事宜</w:t>
      </w:r>
    </w:p>
    <w:p w14:paraId="77297A7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26F0EECC">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ECCC177">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4F3C20A">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6E09DDD1">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4086967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75C8145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cs="宋体"/>
          <w:color w:val="auto"/>
          <w:sz w:val="24"/>
          <w:highlight w:val="none"/>
        </w:rPr>
        <w:t xml:space="preserve">    名称：</w:t>
      </w:r>
      <w:r>
        <w:rPr>
          <w:rFonts w:hint="eastAsia" w:ascii="宋体" w:hAnsi="宋体" w:eastAsia="宋体" w:cs="宋体"/>
          <w:color w:val="auto"/>
          <w:sz w:val="24"/>
          <w:highlight w:val="none"/>
        </w:rPr>
        <w:t xml:space="preserve">杭州市上城区住房和城市建设局 </w:t>
      </w:r>
    </w:p>
    <w:p w14:paraId="480508D8">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地址：杭州市上城区望潮路77号       </w:t>
      </w:r>
    </w:p>
    <w:p w14:paraId="4180BCF3">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传真： /</w:t>
      </w:r>
    </w:p>
    <w:p w14:paraId="18DDFEC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项目联系人（询问）：金工  </w:t>
      </w:r>
    </w:p>
    <w:p w14:paraId="22E3FD03">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项目联系方式（询问）：0571-89501035 </w:t>
      </w:r>
    </w:p>
    <w:p w14:paraId="322BC7A6">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质疑联系人：李工 </w:t>
      </w:r>
    </w:p>
    <w:p w14:paraId="740B5B72">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质疑联系方式：15356150478 </w:t>
      </w:r>
    </w:p>
    <w:p w14:paraId="5943DE4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4FD1195A">
      <w:pPr>
        <w:widowControl w:val="0"/>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color w:val="auto"/>
          <w:sz w:val="24"/>
          <w:highlight w:val="none"/>
        </w:rPr>
      </w:pPr>
      <w:r>
        <w:rPr>
          <w:rFonts w:hint="eastAsia" w:ascii="宋体" w:hAnsi="宋体" w:cs="宋体"/>
          <w:color w:val="auto"/>
          <w:sz w:val="24"/>
          <w:highlight w:val="none"/>
        </w:rPr>
        <w:t>名称：</w:t>
      </w:r>
      <w:r>
        <w:rPr>
          <w:rFonts w:hint="eastAsia" w:ascii="宋体" w:hAnsi="宋体" w:cs="宋体"/>
          <w:color w:val="auto"/>
          <w:spacing w:val="0"/>
          <w:sz w:val="24"/>
          <w:szCs w:val="24"/>
          <w:u w:val="none"/>
          <w:lang w:val="en-US" w:eastAsia="zh-CN"/>
        </w:rPr>
        <w:t>留印工程咨询（浙江）有限公司</w:t>
      </w:r>
    </w:p>
    <w:p w14:paraId="51A6D2A5">
      <w:pPr>
        <w:widowControl w:val="0"/>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eastAsia="宋体" w:cs="宋体"/>
          <w:color w:val="auto"/>
          <w:sz w:val="24"/>
          <w:szCs w:val="24"/>
          <w:highlight w:val="none"/>
          <w:lang w:val="en-US" w:eastAsia="zh-CN"/>
        </w:rPr>
        <w:t>杭州市上城区钱塘航空大厦2幢1910-1912室</w:t>
      </w:r>
    </w:p>
    <w:p w14:paraId="01D2E38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传真：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14:paraId="2CB17EB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lang w:val="en-US" w:eastAsia="zh-CN"/>
        </w:rPr>
        <w:t>许工</w:t>
      </w:r>
      <w:r>
        <w:rPr>
          <w:rFonts w:hint="eastAsia" w:ascii="宋体" w:hAnsi="宋体" w:cs="宋体"/>
          <w:color w:val="auto"/>
          <w:sz w:val="24"/>
          <w:highlight w:val="none"/>
        </w:rPr>
        <w:t xml:space="preserve"> </w:t>
      </w:r>
    </w:p>
    <w:p w14:paraId="75C3F6D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lang w:val="en-US" w:eastAsia="zh-CN"/>
        </w:rPr>
        <w:t>15355414266</w:t>
      </w:r>
    </w:p>
    <w:p w14:paraId="1D36ADCC">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lang w:val="en-US" w:eastAsia="zh-CN"/>
        </w:rPr>
        <w:t>张工</w:t>
      </w:r>
      <w:r>
        <w:rPr>
          <w:rFonts w:hint="eastAsia" w:ascii="宋体" w:hAnsi="宋体" w:cs="宋体"/>
          <w:color w:val="auto"/>
          <w:sz w:val="24"/>
          <w:highlight w:val="none"/>
        </w:rPr>
        <w:t xml:space="preserve"> </w:t>
      </w:r>
    </w:p>
    <w:p w14:paraId="72768A79">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eastAsia="宋体" w:cs="宋体"/>
          <w:color w:val="auto"/>
          <w:sz w:val="24"/>
          <w:szCs w:val="24"/>
          <w:highlight w:val="none"/>
          <w:lang w:val="en-US" w:eastAsia="zh-CN"/>
        </w:rPr>
        <w:t>18737253601</w:t>
      </w:r>
    </w:p>
    <w:p w14:paraId="4DED2E40">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4DD17A1C">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名称：杭州市上城区财政局/浙江省政府采购行政裁决服务中心（杭州）</w:t>
      </w:r>
    </w:p>
    <w:p w14:paraId="2B03699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eastAsia="宋体" w:cs="宋体"/>
          <w:color w:val="auto"/>
          <w:sz w:val="24"/>
          <w:highlight w:val="none"/>
        </w:rPr>
        <w:t xml:space="preserve">    地址：</w:t>
      </w:r>
      <w:r>
        <w:rPr>
          <w:rFonts w:hint="eastAsia" w:ascii="宋体" w:hAnsi="宋体" w:eastAsia="宋体" w:cs="宋体"/>
          <w:color w:val="auto"/>
          <w:sz w:val="24"/>
          <w:highlight w:val="none"/>
          <w:lang w:eastAsia="zh-CN"/>
        </w:rPr>
        <w:t>杭</w:t>
      </w:r>
      <w:r>
        <w:rPr>
          <w:rFonts w:hint="eastAsia" w:ascii="宋体" w:hAnsi="宋体" w:eastAsia="宋体" w:cs="宋体"/>
          <w:i w:val="0"/>
          <w:caps w:val="0"/>
          <w:color w:val="auto"/>
          <w:spacing w:val="0"/>
          <w:sz w:val="24"/>
          <w:szCs w:val="24"/>
          <w:highlight w:val="none"/>
          <w:lang w:eastAsia="zh-CN"/>
        </w:rPr>
        <w:t>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75F34AA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传真： /</w:t>
      </w:r>
    </w:p>
    <w:p w14:paraId="59D0370C">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0DDDE2E0">
      <w:pPr>
        <w:widowControl w:val="0"/>
        <w:kinsoku/>
        <w:wordWrap/>
        <w:overflowPunct/>
        <w:topLinePunct w:val="0"/>
        <w:bidi w:val="0"/>
        <w:adjustRightInd w:val="0"/>
        <w:snapToGrid w:val="0"/>
        <w:spacing w:beforeAutospacing="0" w:afterAutospacing="0" w:line="360" w:lineRule="auto"/>
        <w:ind w:left="0" w:leftChars="0" w:right="0" w:rightChars="0" w:firstLine="48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政策咨询电话：X先生，0571-8958XXXX 政府采购监管部门工作人员</w:t>
      </w:r>
    </w:p>
    <w:p w14:paraId="6177B6D4">
      <w:pPr>
        <w:widowControl w:val="0"/>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06F3AF97">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2BBFC576">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sz w:val="36"/>
          <w:szCs w:val="20"/>
          <w:highlight w:val="none"/>
        </w:rPr>
      </w:pPr>
      <w:r>
        <w:rPr>
          <w:rFonts w:ascii="宋体" w:hAnsi="宋体" w:cs="宋体"/>
          <w:b/>
          <w:color w:val="auto"/>
          <w:sz w:val="36"/>
          <w:szCs w:val="20"/>
          <w:highlight w:val="none"/>
        </w:rPr>
        <w:br w:type="page"/>
      </w:r>
    </w:p>
    <w:p w14:paraId="4897F1E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4C860F04">
      <w:pPr>
        <w:widowControl w:val="0"/>
        <w:kinsoku/>
        <w:wordWrap/>
        <w:overflowPunct/>
        <w:topLinePunct w:val="0"/>
        <w:bidi w:val="0"/>
        <w:adjustRightInd w:val="0"/>
        <w:snapToGrid w:val="0"/>
        <w:spacing w:beforeAutospacing="0" w:afterAutospacing="0" w:line="360" w:lineRule="auto"/>
        <w:ind w:left="0" w:leftChars="0" w:right="0" w:rightChars="0" w:firstLine="3845" w:firstLineChars="1197"/>
        <w:textAlignment w:val="auto"/>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9260" w:type="dxa"/>
        <w:tblInd w:w="3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10"/>
        <w:gridCol w:w="1850"/>
        <w:gridCol w:w="6800"/>
      </w:tblGrid>
      <w:tr w14:paraId="40DE24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10" w:type="dxa"/>
            <w:tcBorders>
              <w:top w:val="single" w:color="auto" w:sz="4" w:space="0"/>
              <w:left w:val="single" w:color="auto" w:sz="4" w:space="0"/>
              <w:bottom w:val="single" w:color="auto" w:sz="4" w:space="0"/>
              <w:right w:val="single" w:color="auto" w:sz="4" w:space="0"/>
            </w:tcBorders>
          </w:tcPr>
          <w:p w14:paraId="29F50BC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序号</w:t>
            </w:r>
          </w:p>
        </w:tc>
        <w:tc>
          <w:tcPr>
            <w:tcW w:w="1850" w:type="dxa"/>
            <w:tcBorders>
              <w:top w:val="single" w:color="000000" w:sz="8" w:space="0"/>
              <w:left w:val="single" w:color="auto" w:sz="4" w:space="0"/>
              <w:bottom w:val="single" w:color="000000" w:sz="8" w:space="0"/>
              <w:right w:val="single" w:color="000000" w:sz="8" w:space="0"/>
            </w:tcBorders>
            <w:vAlign w:val="center"/>
          </w:tcPr>
          <w:p w14:paraId="1F179CE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事项</w:t>
            </w:r>
          </w:p>
        </w:tc>
        <w:tc>
          <w:tcPr>
            <w:tcW w:w="6800" w:type="dxa"/>
            <w:tcBorders>
              <w:top w:val="single" w:color="000000" w:sz="8" w:space="0"/>
              <w:left w:val="single" w:color="000000" w:sz="2" w:space="0"/>
              <w:bottom w:val="single" w:color="000000" w:sz="8" w:space="0"/>
              <w:right w:val="single" w:color="000000" w:sz="8" w:space="0"/>
            </w:tcBorders>
            <w:vAlign w:val="center"/>
          </w:tcPr>
          <w:p w14:paraId="4673E7A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38DD0C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3" w:hRule="atLeast"/>
          <w:tblHeader/>
        </w:trPr>
        <w:tc>
          <w:tcPr>
            <w:tcW w:w="610" w:type="dxa"/>
            <w:tcBorders>
              <w:top w:val="single" w:color="auto" w:sz="4" w:space="0"/>
              <w:left w:val="single" w:color="auto" w:sz="4" w:space="0"/>
              <w:bottom w:val="single" w:color="auto" w:sz="4" w:space="0"/>
              <w:right w:val="single" w:color="auto" w:sz="4" w:space="0"/>
            </w:tcBorders>
            <w:vAlign w:val="center"/>
          </w:tcPr>
          <w:p w14:paraId="4D7D047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w:t>
            </w:r>
          </w:p>
        </w:tc>
        <w:tc>
          <w:tcPr>
            <w:tcW w:w="1850" w:type="dxa"/>
            <w:tcBorders>
              <w:top w:val="single" w:color="000000" w:sz="8" w:space="0"/>
              <w:left w:val="single" w:color="auto" w:sz="4" w:space="0"/>
              <w:bottom w:val="single" w:color="000000" w:sz="8" w:space="0"/>
              <w:right w:val="single" w:color="000000" w:sz="8" w:space="0"/>
            </w:tcBorders>
            <w:vAlign w:val="center"/>
          </w:tcPr>
          <w:p w14:paraId="2022048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800" w:type="dxa"/>
            <w:tcBorders>
              <w:top w:val="single" w:color="000000" w:sz="8" w:space="0"/>
              <w:left w:val="single" w:color="000000" w:sz="2" w:space="0"/>
              <w:bottom w:val="single" w:color="000000" w:sz="8" w:space="0"/>
              <w:right w:val="single" w:color="000000" w:sz="8" w:space="0"/>
            </w:tcBorders>
            <w:vAlign w:val="center"/>
          </w:tcPr>
          <w:p w14:paraId="09BAEA7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服务类。</w:t>
            </w:r>
          </w:p>
        </w:tc>
      </w:tr>
      <w:tr w14:paraId="168462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10" w:type="dxa"/>
            <w:tcBorders>
              <w:top w:val="single" w:color="auto" w:sz="4" w:space="0"/>
              <w:left w:val="single" w:color="auto" w:sz="4" w:space="0"/>
              <w:bottom w:val="single" w:color="auto" w:sz="4" w:space="0"/>
              <w:right w:val="single" w:color="auto" w:sz="4" w:space="0"/>
            </w:tcBorders>
          </w:tcPr>
          <w:p w14:paraId="258A04E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2</w:t>
            </w:r>
          </w:p>
        </w:tc>
        <w:tc>
          <w:tcPr>
            <w:tcW w:w="1850" w:type="dxa"/>
            <w:tcBorders>
              <w:top w:val="single" w:color="000000" w:sz="8" w:space="0"/>
              <w:left w:val="single" w:color="auto" w:sz="4" w:space="0"/>
              <w:bottom w:val="single" w:color="000000" w:sz="8" w:space="0"/>
              <w:right w:val="single" w:color="000000" w:sz="8" w:space="0"/>
            </w:tcBorders>
            <w:vAlign w:val="center"/>
          </w:tcPr>
          <w:p w14:paraId="2B2168C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800" w:type="dxa"/>
            <w:tcBorders>
              <w:top w:val="single" w:color="000000" w:sz="8" w:space="0"/>
              <w:left w:val="single" w:color="000000" w:sz="2" w:space="0"/>
              <w:bottom w:val="single" w:color="000000" w:sz="8" w:space="0"/>
              <w:right w:val="single" w:color="000000" w:sz="8" w:space="0"/>
            </w:tcBorders>
            <w:vAlign w:val="center"/>
          </w:tcPr>
          <w:p w14:paraId="686AD0D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eastAsia="宋体" w:cs="宋体"/>
                <w:color w:val="auto"/>
                <w:kern w:val="0"/>
                <w:sz w:val="24"/>
                <w:highlight w:val="none"/>
                <w:u w:val="single"/>
                <w:lang w:val="en-US" w:eastAsia="zh-CN"/>
              </w:rPr>
              <w:t>法律顾问服务</w:t>
            </w:r>
            <w:r>
              <w:rPr>
                <w:rFonts w:hint="eastAsia" w:ascii="宋体" w:hAnsi="宋体" w:cs="宋体"/>
                <w:color w:val="auto"/>
                <w:kern w:val="0"/>
                <w:sz w:val="24"/>
                <w:highlight w:val="none"/>
              </w:rPr>
              <w:t>，属于</w:t>
            </w:r>
            <w:r>
              <w:rPr>
                <w:rFonts w:hint="eastAsia" w:ascii="宋体" w:hAnsi="宋体" w:eastAsia="宋体" w:cs="宋体"/>
                <w:color w:val="auto"/>
                <w:kern w:val="0"/>
                <w:sz w:val="24"/>
                <w:highlight w:val="none"/>
                <w:u w:val="single"/>
                <w:lang w:val="en-US" w:eastAsia="zh-CN"/>
              </w:rPr>
              <w:t>租赁和商务服务</w:t>
            </w:r>
            <w:r>
              <w:rPr>
                <w:rFonts w:hint="eastAsia" w:ascii="宋体" w:hAnsi="宋体" w:cs="宋体"/>
                <w:color w:val="auto"/>
                <w:kern w:val="0"/>
                <w:sz w:val="24"/>
                <w:highlight w:val="none"/>
              </w:rPr>
              <w:t>行业；</w:t>
            </w:r>
          </w:p>
          <w:p w14:paraId="2FF18E1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宋体" w:hAnsi="宋体" w:eastAsia="宋体" w:cs="宋体"/>
                <w:color w:val="auto"/>
                <w:kern w:val="0"/>
                <w:sz w:val="24"/>
                <w:highlight w:val="none"/>
                <w:u w:val="single"/>
                <w:lang w:val="en-US" w:eastAsia="zh-CN"/>
              </w:rPr>
              <w:t>租赁和商务服务</w:t>
            </w:r>
            <w:r>
              <w:rPr>
                <w:rFonts w:hint="eastAsia" w:ascii="宋体" w:hAnsi="宋体" w:eastAsia="宋体" w:cs="宋体"/>
                <w:b w:val="0"/>
                <w:bCs w:val="0"/>
                <w:color w:val="auto"/>
                <w:kern w:val="0"/>
                <w:sz w:val="24"/>
                <w:szCs w:val="24"/>
                <w:highlight w:val="none"/>
                <w:lang w:val="en-US" w:eastAsia="zh-CN" w:bidi="ar-SA"/>
              </w:rPr>
              <w:t>行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52F740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10" w:type="dxa"/>
            <w:tcBorders>
              <w:top w:val="single" w:color="auto" w:sz="4" w:space="0"/>
              <w:left w:val="single" w:color="auto" w:sz="4" w:space="0"/>
              <w:bottom w:val="single" w:color="auto" w:sz="4" w:space="0"/>
              <w:right w:val="single" w:color="auto" w:sz="4" w:space="0"/>
            </w:tcBorders>
          </w:tcPr>
          <w:p w14:paraId="332C387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3</w:t>
            </w:r>
          </w:p>
        </w:tc>
        <w:tc>
          <w:tcPr>
            <w:tcW w:w="1850" w:type="dxa"/>
            <w:tcBorders>
              <w:top w:val="single" w:color="000000" w:sz="8" w:space="0"/>
              <w:left w:val="single" w:color="auto" w:sz="4" w:space="0"/>
              <w:bottom w:val="single" w:color="000000" w:sz="8" w:space="0"/>
              <w:right w:val="single" w:color="000000" w:sz="8" w:space="0"/>
            </w:tcBorders>
            <w:vAlign w:val="center"/>
          </w:tcPr>
          <w:p w14:paraId="56149EA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800" w:type="dxa"/>
            <w:tcBorders>
              <w:top w:val="single" w:color="000000" w:sz="8" w:space="0"/>
              <w:left w:val="single" w:color="000000" w:sz="2" w:space="0"/>
              <w:bottom w:val="single" w:color="000000" w:sz="8" w:space="0"/>
              <w:right w:val="single" w:color="000000" w:sz="8" w:space="0"/>
            </w:tcBorders>
            <w:vAlign w:val="center"/>
          </w:tcPr>
          <w:p w14:paraId="36DA72A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211A2EA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34D368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50" w:hRule="atLeast"/>
          <w:tblHeader/>
        </w:trPr>
        <w:tc>
          <w:tcPr>
            <w:tcW w:w="610" w:type="dxa"/>
            <w:tcBorders>
              <w:top w:val="single" w:color="auto" w:sz="4" w:space="0"/>
              <w:left w:val="single" w:color="auto" w:sz="4" w:space="0"/>
              <w:bottom w:val="single" w:color="auto" w:sz="4" w:space="0"/>
              <w:right w:val="single" w:color="auto" w:sz="4" w:space="0"/>
            </w:tcBorders>
            <w:vAlign w:val="center"/>
          </w:tcPr>
          <w:p w14:paraId="79F05B5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4</w:t>
            </w:r>
          </w:p>
        </w:tc>
        <w:tc>
          <w:tcPr>
            <w:tcW w:w="1850" w:type="dxa"/>
            <w:tcBorders>
              <w:top w:val="single" w:color="000000" w:sz="8" w:space="0"/>
              <w:left w:val="single" w:color="auto" w:sz="4" w:space="0"/>
              <w:bottom w:val="single" w:color="000000" w:sz="8" w:space="0"/>
              <w:right w:val="single" w:color="000000" w:sz="8" w:space="0"/>
            </w:tcBorders>
            <w:vAlign w:val="center"/>
          </w:tcPr>
          <w:p w14:paraId="08298F1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2" w:firstLineChars="200"/>
              <w:textAlignment w:val="auto"/>
              <w:rPr>
                <w:rFonts w:ascii="宋体" w:hAnsi="宋体" w:cs="宋体"/>
                <w:b/>
                <w:color w:val="auto"/>
                <w:sz w:val="24"/>
                <w:highlight w:val="none"/>
              </w:rPr>
            </w:pPr>
            <w:r>
              <w:rPr>
                <w:rFonts w:hint="eastAsia" w:ascii="宋体" w:hAnsi="宋体" w:cs="宋体"/>
                <w:b/>
                <w:color w:val="auto"/>
                <w:sz w:val="24"/>
                <w:highlight w:val="none"/>
              </w:rPr>
              <w:t>分包</w:t>
            </w:r>
          </w:p>
        </w:tc>
        <w:tc>
          <w:tcPr>
            <w:tcW w:w="6800" w:type="dxa"/>
            <w:tcBorders>
              <w:top w:val="single" w:color="000000" w:sz="8" w:space="0"/>
              <w:left w:val="single" w:color="000000" w:sz="2" w:space="0"/>
              <w:bottom w:val="single" w:color="000000" w:sz="8" w:space="0"/>
              <w:right w:val="single" w:color="000000" w:sz="8" w:space="0"/>
            </w:tcBorders>
            <w:vAlign w:val="center"/>
          </w:tcPr>
          <w:p w14:paraId="61192CB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68165565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0858EC7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4BBBF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90" w:hRule="atLeast"/>
          <w:tblHeader/>
        </w:trPr>
        <w:tc>
          <w:tcPr>
            <w:tcW w:w="610" w:type="dxa"/>
            <w:tcBorders>
              <w:top w:val="single" w:color="auto" w:sz="4" w:space="0"/>
              <w:left w:val="single" w:color="auto" w:sz="4" w:space="0"/>
              <w:bottom w:val="single" w:color="auto" w:sz="4" w:space="0"/>
              <w:right w:val="single" w:color="auto" w:sz="4" w:space="0"/>
            </w:tcBorders>
          </w:tcPr>
          <w:p w14:paraId="5ADF891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19A05E7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2FBA4F7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5</w:t>
            </w:r>
          </w:p>
        </w:tc>
        <w:tc>
          <w:tcPr>
            <w:tcW w:w="1850" w:type="dxa"/>
            <w:tcBorders>
              <w:top w:val="single" w:color="000000" w:sz="8" w:space="0"/>
              <w:left w:val="single" w:color="auto" w:sz="4" w:space="0"/>
              <w:bottom w:val="single" w:color="000000" w:sz="8" w:space="0"/>
              <w:right w:val="single" w:color="000000" w:sz="8" w:space="0"/>
            </w:tcBorders>
            <w:vAlign w:val="center"/>
          </w:tcPr>
          <w:p w14:paraId="2F326F0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800" w:type="dxa"/>
            <w:tcBorders>
              <w:top w:val="single" w:color="000000" w:sz="8" w:space="0"/>
              <w:left w:val="single" w:color="000000" w:sz="2" w:space="0"/>
              <w:bottom w:val="single" w:color="000000" w:sz="8" w:space="0"/>
              <w:right w:val="single" w:color="000000" w:sz="8" w:space="0"/>
            </w:tcBorders>
            <w:vAlign w:val="center"/>
          </w:tcPr>
          <w:p w14:paraId="3C7F6E2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43D4D19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6827CD42">
            <w:pPr>
              <w:pStyle w:val="80"/>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0" w:firstLineChars="0"/>
              <w:textAlignment w:val="auto"/>
              <w:rPr>
                <w:color w:val="auto"/>
                <w:highlight w:val="none"/>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tc>
      </w:tr>
      <w:tr w14:paraId="2BCBCF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11" w:hRule="atLeast"/>
          <w:tblHeader/>
        </w:trPr>
        <w:tc>
          <w:tcPr>
            <w:tcW w:w="610" w:type="dxa"/>
            <w:tcBorders>
              <w:top w:val="single" w:color="auto" w:sz="4" w:space="0"/>
              <w:left w:val="single" w:color="auto" w:sz="4" w:space="0"/>
              <w:bottom w:val="single" w:color="auto" w:sz="4" w:space="0"/>
              <w:right w:val="single" w:color="auto" w:sz="4" w:space="0"/>
            </w:tcBorders>
          </w:tcPr>
          <w:p w14:paraId="63F2387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43F1157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6496B5B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46D3DA9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36B910B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405A9DD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44456B8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6A1B49A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24AD543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259C3B6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6</w:t>
            </w:r>
          </w:p>
        </w:tc>
        <w:tc>
          <w:tcPr>
            <w:tcW w:w="1850" w:type="dxa"/>
            <w:tcBorders>
              <w:top w:val="single" w:color="000000" w:sz="8" w:space="0"/>
              <w:left w:val="single" w:color="auto" w:sz="4" w:space="0"/>
              <w:bottom w:val="single" w:color="000000" w:sz="8" w:space="0"/>
              <w:right w:val="single" w:color="000000" w:sz="8" w:space="0"/>
            </w:tcBorders>
            <w:vAlign w:val="center"/>
          </w:tcPr>
          <w:p w14:paraId="62E0991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样品提供</w:t>
            </w:r>
          </w:p>
        </w:tc>
        <w:tc>
          <w:tcPr>
            <w:tcW w:w="6800" w:type="dxa"/>
            <w:tcBorders>
              <w:top w:val="single" w:color="000000" w:sz="8" w:space="0"/>
              <w:left w:val="single" w:color="000000" w:sz="2" w:space="0"/>
              <w:bottom w:val="single" w:color="000000" w:sz="8" w:space="0"/>
              <w:right w:val="single" w:color="000000" w:sz="8" w:space="0"/>
            </w:tcBorders>
            <w:vAlign w:val="center"/>
          </w:tcPr>
          <w:p w14:paraId="4E2DEA7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69DFB19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52E5A6C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631F6E2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47C90FE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5FBDA2B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C408B1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1336B76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4DD783D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256944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10" w:type="dxa"/>
            <w:tcBorders>
              <w:top w:val="single" w:color="auto" w:sz="4" w:space="0"/>
              <w:left w:val="single" w:color="auto" w:sz="4" w:space="0"/>
              <w:bottom w:val="single" w:color="auto" w:sz="4" w:space="0"/>
              <w:right w:val="single" w:color="auto" w:sz="4" w:space="0"/>
            </w:tcBorders>
          </w:tcPr>
          <w:p w14:paraId="2C9B500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77BD596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6CDE1DB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635263A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6515564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0D87601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14B8F0E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1FC911E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5CD515A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7</w:t>
            </w:r>
          </w:p>
        </w:tc>
        <w:tc>
          <w:tcPr>
            <w:tcW w:w="1850" w:type="dxa"/>
            <w:tcBorders>
              <w:top w:val="single" w:color="000000" w:sz="8" w:space="0"/>
              <w:left w:val="single" w:color="auto" w:sz="4" w:space="0"/>
              <w:bottom w:val="single" w:color="000000" w:sz="8" w:space="0"/>
              <w:right w:val="single" w:color="000000" w:sz="8" w:space="0"/>
            </w:tcBorders>
            <w:vAlign w:val="center"/>
          </w:tcPr>
          <w:p w14:paraId="757BB8F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800" w:type="dxa"/>
            <w:tcBorders>
              <w:top w:val="single" w:color="000000" w:sz="8" w:space="0"/>
              <w:left w:val="single" w:color="000000" w:sz="2" w:space="0"/>
              <w:bottom w:val="single" w:color="000000" w:sz="8" w:space="0"/>
              <w:right w:val="single" w:color="000000" w:sz="8" w:space="0"/>
            </w:tcBorders>
            <w:vAlign w:val="center"/>
          </w:tcPr>
          <w:p w14:paraId="4111145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3F5A67B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2951DD4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F69D07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427A77D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1DFE60C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67DCCDD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B5DE9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10" w:type="dxa"/>
            <w:vMerge w:val="restart"/>
            <w:tcBorders>
              <w:top w:val="single" w:color="auto" w:sz="4" w:space="0"/>
              <w:left w:val="single" w:color="auto" w:sz="4" w:space="0"/>
              <w:right w:val="single" w:color="auto" w:sz="4" w:space="0"/>
            </w:tcBorders>
          </w:tcPr>
          <w:p w14:paraId="2EF4837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3ACE595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1574698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8</w:t>
            </w:r>
          </w:p>
        </w:tc>
        <w:tc>
          <w:tcPr>
            <w:tcW w:w="1850" w:type="dxa"/>
            <w:vMerge w:val="restart"/>
            <w:tcBorders>
              <w:top w:val="single" w:color="000000" w:sz="8" w:space="0"/>
              <w:left w:val="single" w:color="auto" w:sz="4" w:space="0"/>
              <w:right w:val="single" w:color="000000" w:sz="8" w:space="0"/>
            </w:tcBorders>
            <w:vAlign w:val="center"/>
          </w:tcPr>
          <w:p w14:paraId="493A2B3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800" w:type="dxa"/>
            <w:tcBorders>
              <w:top w:val="single" w:color="000000" w:sz="8" w:space="0"/>
              <w:left w:val="single" w:color="000000" w:sz="2" w:space="0"/>
              <w:bottom w:val="single" w:color="auto" w:sz="4" w:space="0"/>
              <w:right w:val="single" w:color="000000" w:sz="8" w:space="0"/>
            </w:tcBorders>
            <w:vAlign w:val="center"/>
          </w:tcPr>
          <w:p w14:paraId="2B41B2A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20A049F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17359D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1" w:hRule="atLeast"/>
          <w:tblHeader/>
        </w:trPr>
        <w:tc>
          <w:tcPr>
            <w:tcW w:w="610" w:type="dxa"/>
            <w:vMerge w:val="continue"/>
            <w:tcBorders>
              <w:left w:val="single" w:color="auto" w:sz="4" w:space="0"/>
              <w:bottom w:val="single" w:color="auto" w:sz="4" w:space="0"/>
              <w:right w:val="single" w:color="auto" w:sz="4" w:space="0"/>
            </w:tcBorders>
          </w:tcPr>
          <w:p w14:paraId="7FA1BEA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tc>
        <w:tc>
          <w:tcPr>
            <w:tcW w:w="1850" w:type="dxa"/>
            <w:vMerge w:val="continue"/>
            <w:tcBorders>
              <w:left w:val="single" w:color="auto" w:sz="4" w:space="0"/>
              <w:bottom w:val="single" w:color="000000" w:sz="8" w:space="0"/>
              <w:right w:val="single" w:color="000000" w:sz="8" w:space="0"/>
            </w:tcBorders>
            <w:vAlign w:val="center"/>
          </w:tcPr>
          <w:p w14:paraId="7132C1A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p>
        </w:tc>
        <w:tc>
          <w:tcPr>
            <w:tcW w:w="6800" w:type="dxa"/>
            <w:tcBorders>
              <w:top w:val="single" w:color="auto" w:sz="4" w:space="0"/>
              <w:left w:val="single" w:color="000000" w:sz="2" w:space="0"/>
              <w:bottom w:val="single" w:color="000000" w:sz="8" w:space="0"/>
              <w:right w:val="single" w:color="000000" w:sz="8" w:space="0"/>
            </w:tcBorders>
            <w:vAlign w:val="center"/>
          </w:tcPr>
          <w:p w14:paraId="31D3291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7E25DE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10" w:type="dxa"/>
            <w:tcBorders>
              <w:top w:val="single" w:color="auto" w:sz="4" w:space="0"/>
              <w:left w:val="single" w:color="000000" w:sz="8" w:space="0"/>
              <w:bottom w:val="single" w:color="auto" w:sz="4" w:space="0"/>
              <w:right w:val="single" w:color="000000" w:sz="2" w:space="0"/>
            </w:tcBorders>
          </w:tcPr>
          <w:p w14:paraId="0ABC448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2B7AB73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3F4A21C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9</w:t>
            </w:r>
          </w:p>
        </w:tc>
        <w:tc>
          <w:tcPr>
            <w:tcW w:w="1850" w:type="dxa"/>
            <w:tcBorders>
              <w:top w:val="single" w:color="000000" w:sz="8" w:space="0"/>
              <w:left w:val="single" w:color="000000" w:sz="2" w:space="0"/>
              <w:bottom w:val="single" w:color="000000" w:sz="8" w:space="0"/>
              <w:right w:val="single" w:color="000000" w:sz="8" w:space="0"/>
            </w:tcBorders>
            <w:vAlign w:val="center"/>
          </w:tcPr>
          <w:p w14:paraId="17B0569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800" w:type="dxa"/>
            <w:tcBorders>
              <w:top w:val="single" w:color="000000" w:sz="8" w:space="0"/>
              <w:left w:val="single" w:color="000000" w:sz="2" w:space="0"/>
              <w:bottom w:val="single" w:color="000000" w:sz="8" w:space="0"/>
              <w:right w:val="single" w:color="000000" w:sz="8" w:space="0"/>
            </w:tcBorders>
            <w:vAlign w:val="center"/>
          </w:tcPr>
          <w:p w14:paraId="79E4CEEA">
            <w:pPr>
              <w:pStyle w:val="80"/>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44EA2D58">
            <w:pPr>
              <w:pStyle w:val="80"/>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强制采购。产品：（）；□优先采购节能产品。产品：（）</w:t>
            </w:r>
          </w:p>
          <w:p w14:paraId="162C2999">
            <w:pPr>
              <w:pStyle w:val="80"/>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0" w:firstLineChars="0"/>
              <w:textAlignment w:val="auto"/>
              <w:rPr>
                <w:color w:val="auto"/>
                <w:highlight w:val="none"/>
              </w:rPr>
            </w:pPr>
            <w:r>
              <w:rPr>
                <w:rFonts w:hint="eastAsia" w:ascii="宋体" w:hAnsi="宋体" w:eastAsia="宋体" w:cs="宋体"/>
                <w:color w:val="auto"/>
                <w:kern w:val="2"/>
                <w:sz w:val="24"/>
                <w:szCs w:val="24"/>
                <w:highlight w:val="none"/>
                <w:lang w:val="en-US" w:eastAsia="zh-CN" w:bidi="ar-SA"/>
              </w:rPr>
              <w:t>□优先采购环保产品。产品：（）；☑无</w:t>
            </w:r>
          </w:p>
        </w:tc>
      </w:tr>
      <w:tr w14:paraId="45AE7E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10" w:type="dxa"/>
            <w:tcBorders>
              <w:top w:val="single" w:color="auto" w:sz="4" w:space="0"/>
              <w:left w:val="single" w:color="000000" w:sz="8" w:space="0"/>
              <w:bottom w:val="single" w:color="auto" w:sz="4" w:space="0"/>
              <w:right w:val="single" w:color="000000" w:sz="2" w:space="0"/>
            </w:tcBorders>
          </w:tcPr>
          <w:p w14:paraId="3854191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642ACE8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781FDC6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44BB38C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66D2E03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4E03E34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10</w:t>
            </w:r>
          </w:p>
        </w:tc>
        <w:tc>
          <w:tcPr>
            <w:tcW w:w="1850" w:type="dxa"/>
            <w:tcBorders>
              <w:top w:val="single" w:color="000000" w:sz="8" w:space="0"/>
              <w:left w:val="single" w:color="000000" w:sz="2" w:space="0"/>
              <w:bottom w:val="single" w:color="000000" w:sz="8" w:space="0"/>
              <w:right w:val="single" w:color="000000" w:sz="8" w:space="0"/>
            </w:tcBorders>
            <w:vAlign w:val="center"/>
          </w:tcPr>
          <w:p w14:paraId="4A6F13F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报价要求</w:t>
            </w:r>
          </w:p>
        </w:tc>
        <w:tc>
          <w:tcPr>
            <w:tcW w:w="6800" w:type="dxa"/>
            <w:tcBorders>
              <w:top w:val="single" w:color="000000" w:sz="8" w:space="0"/>
              <w:left w:val="single" w:color="000000" w:sz="2" w:space="0"/>
              <w:bottom w:val="single" w:color="000000" w:sz="8" w:space="0"/>
              <w:right w:val="single" w:color="000000" w:sz="8" w:space="0"/>
            </w:tcBorders>
            <w:vAlign w:val="center"/>
          </w:tcPr>
          <w:p w14:paraId="369E285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71754FB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595D176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241" w:firstLineChars="100"/>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4B79F46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241" w:firstLineChars="100"/>
              <w:jc w:val="left"/>
              <w:textAlignment w:val="auto"/>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3787DDB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241" w:firstLineChars="100"/>
              <w:textAlignment w:val="auto"/>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45745F7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241" w:firstLineChars="100"/>
              <w:textAlignment w:val="auto"/>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742D44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8" w:hRule="atLeast"/>
          <w:tblHeader/>
        </w:trPr>
        <w:tc>
          <w:tcPr>
            <w:tcW w:w="610" w:type="dxa"/>
            <w:tcBorders>
              <w:top w:val="single" w:color="auto" w:sz="4" w:space="0"/>
              <w:left w:val="single" w:color="000000" w:sz="8" w:space="0"/>
              <w:right w:val="single" w:color="000000" w:sz="2" w:space="0"/>
            </w:tcBorders>
          </w:tcPr>
          <w:p w14:paraId="23C3490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p w14:paraId="068BC4F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11</w:t>
            </w:r>
          </w:p>
        </w:tc>
        <w:tc>
          <w:tcPr>
            <w:tcW w:w="1850" w:type="dxa"/>
            <w:tcBorders>
              <w:top w:val="single" w:color="000000" w:sz="8" w:space="0"/>
              <w:left w:val="single" w:color="000000" w:sz="2" w:space="0"/>
              <w:right w:val="single" w:color="000000" w:sz="8" w:space="0"/>
            </w:tcBorders>
            <w:vAlign w:val="center"/>
          </w:tcPr>
          <w:p w14:paraId="37D9721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800" w:type="dxa"/>
            <w:tcBorders>
              <w:top w:val="single" w:color="000000" w:sz="8" w:space="0"/>
              <w:left w:val="single" w:color="000000" w:sz="2" w:space="0"/>
              <w:right w:val="single" w:color="000000" w:sz="8" w:space="0"/>
            </w:tcBorders>
            <w:vAlign w:val="center"/>
          </w:tcPr>
          <w:p w14:paraId="5A80739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77244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4" w:hRule="atLeast"/>
          <w:tblHeader/>
        </w:trPr>
        <w:tc>
          <w:tcPr>
            <w:tcW w:w="610" w:type="dxa"/>
            <w:tcBorders>
              <w:top w:val="single" w:color="auto" w:sz="4" w:space="0"/>
              <w:left w:val="single" w:color="000000" w:sz="8" w:space="0"/>
              <w:bottom w:val="single" w:color="auto" w:sz="4" w:space="0"/>
              <w:right w:val="single" w:color="000000" w:sz="2" w:space="0"/>
            </w:tcBorders>
            <w:vAlign w:val="center"/>
          </w:tcPr>
          <w:p w14:paraId="6354CDF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12</w:t>
            </w:r>
          </w:p>
        </w:tc>
        <w:tc>
          <w:tcPr>
            <w:tcW w:w="1850" w:type="dxa"/>
            <w:tcBorders>
              <w:top w:val="single" w:color="000000" w:sz="8" w:space="0"/>
              <w:left w:val="single" w:color="000000" w:sz="2" w:space="0"/>
              <w:bottom w:val="single" w:color="000000" w:sz="8" w:space="0"/>
              <w:right w:val="single" w:color="000000" w:sz="8" w:space="0"/>
            </w:tcBorders>
            <w:vAlign w:val="center"/>
          </w:tcPr>
          <w:p w14:paraId="6C95C33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800" w:type="dxa"/>
            <w:tcBorders>
              <w:top w:val="single" w:color="000000" w:sz="8" w:space="0"/>
              <w:left w:val="single" w:color="000000" w:sz="2" w:space="0"/>
              <w:bottom w:val="single" w:color="000000" w:sz="8" w:space="0"/>
              <w:right w:val="single" w:color="000000" w:sz="8" w:space="0"/>
            </w:tcBorders>
            <w:vAlign w:val="center"/>
          </w:tcPr>
          <w:p w14:paraId="7F1DBEB6">
            <w:pPr>
              <w:pStyle w:val="35"/>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ascii="宋体" w:hAnsi="宋体" w:eastAsia="宋体" w:cs="宋体"/>
                <w:color w:val="auto"/>
                <w:sz w:val="24"/>
                <w:highlight w:val="none"/>
                <w:u w:val="single"/>
                <w:lang w:val="en-US" w:eastAsia="zh-CN"/>
              </w:rPr>
              <w:t>杭州市上城区钱塘航空大厦2幢1910-1912室</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lang w:val="en-US" w:eastAsia="zh-CN"/>
              </w:rPr>
              <w:t>张家</w:t>
            </w:r>
            <w:r>
              <w:rPr>
                <w:rFonts w:hint="eastAsia" w:ascii="宋体" w:hAnsi="宋体" w:eastAsia="宋体" w:cs="宋体"/>
                <w:color w:val="auto"/>
                <w:sz w:val="24"/>
                <w:highlight w:val="none"/>
                <w:u w:val="single"/>
                <w:lang w:val="en-US" w:eastAsia="zh-CN"/>
              </w:rPr>
              <w:t>乐，18737253601</w:t>
            </w:r>
            <w:r>
              <w:rPr>
                <w:rFonts w:hint="eastAsia" w:hAnsi="宋体" w:cs="宋体"/>
                <w:color w:val="auto"/>
                <w:sz w:val="24"/>
                <w:szCs w:val="24"/>
                <w:highlight w:val="none"/>
              </w:rPr>
              <w:t>。</w:t>
            </w:r>
            <w:r>
              <w:rPr>
                <w:rFonts w:hint="eastAsia" w:hAnsi="宋体" w:cs="宋体"/>
                <w:color w:val="auto"/>
                <w:kern w:val="28"/>
                <w:sz w:val="24"/>
                <w:szCs w:val="24"/>
                <w:highlight w:val="none"/>
              </w:rPr>
              <w:t>备份投标文件送达</w:t>
            </w:r>
            <w:r>
              <w:rPr>
                <w:rFonts w:hint="eastAsia" w:hAnsi="宋体" w:cs="宋体"/>
                <w:color w:val="auto"/>
                <w:kern w:val="28"/>
                <w:sz w:val="24"/>
                <w:szCs w:val="24"/>
                <w:highlight w:val="none"/>
                <w:lang w:val="en-US" w:eastAsia="zh-CN"/>
              </w:rPr>
              <w:t>时间：</w:t>
            </w:r>
            <w:r>
              <w:rPr>
                <w:rFonts w:hint="eastAsia" w:hAnsi="宋体" w:cs="宋体"/>
                <w:color w:val="auto"/>
                <w:kern w:val="28"/>
                <w:sz w:val="24"/>
                <w:szCs w:val="24"/>
                <w:highlight w:val="none"/>
              </w:rPr>
              <w:t>提交投标文件截止时间</w:t>
            </w:r>
            <w:r>
              <w:rPr>
                <w:rFonts w:hint="eastAsia" w:hAnsi="宋体" w:cs="宋体"/>
                <w:color w:val="auto"/>
                <w:kern w:val="28"/>
                <w:sz w:val="24"/>
                <w:szCs w:val="24"/>
                <w:highlight w:val="none"/>
                <w:lang w:val="en-US" w:eastAsia="zh-CN"/>
              </w:rPr>
              <w:t>前（以实际收到时间为准）</w:t>
            </w:r>
            <w:r>
              <w:rPr>
                <w:rFonts w:hint="eastAsia" w:hAnsi="宋体" w:cs="宋体"/>
                <w:color w:val="auto"/>
                <w:kern w:val="28"/>
                <w:sz w:val="24"/>
                <w:szCs w:val="24"/>
                <w:highlight w:val="none"/>
                <w:lang w:eastAsia="zh-CN"/>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762B10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5" w:hRule="atLeast"/>
          <w:tblHeader/>
        </w:trPr>
        <w:tc>
          <w:tcPr>
            <w:tcW w:w="610" w:type="dxa"/>
            <w:vMerge w:val="restart"/>
            <w:tcBorders>
              <w:top w:val="single" w:color="auto" w:sz="4" w:space="0"/>
              <w:left w:val="single" w:color="000000" w:sz="8" w:space="0"/>
              <w:right w:val="single" w:color="000000" w:sz="2" w:space="0"/>
            </w:tcBorders>
            <w:vAlign w:val="center"/>
          </w:tcPr>
          <w:p w14:paraId="5E158E1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13</w:t>
            </w:r>
          </w:p>
        </w:tc>
        <w:tc>
          <w:tcPr>
            <w:tcW w:w="1850" w:type="dxa"/>
            <w:vMerge w:val="restart"/>
            <w:tcBorders>
              <w:top w:val="single" w:color="000000" w:sz="8" w:space="0"/>
              <w:left w:val="single" w:color="000000" w:sz="2" w:space="0"/>
              <w:right w:val="single" w:color="000000" w:sz="8" w:space="0"/>
            </w:tcBorders>
            <w:vAlign w:val="center"/>
          </w:tcPr>
          <w:p w14:paraId="7D10ADC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800" w:type="dxa"/>
            <w:tcBorders>
              <w:top w:val="single" w:color="000000" w:sz="8" w:space="0"/>
              <w:left w:val="single" w:color="000000" w:sz="2" w:space="0"/>
              <w:bottom w:val="single" w:color="000000" w:sz="8" w:space="0"/>
              <w:right w:val="single" w:color="000000" w:sz="8" w:space="0"/>
            </w:tcBorders>
            <w:vAlign w:val="center"/>
          </w:tcPr>
          <w:p w14:paraId="40AD010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7BF168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46" w:hRule="atLeast"/>
          <w:tblHeader/>
        </w:trPr>
        <w:tc>
          <w:tcPr>
            <w:tcW w:w="610" w:type="dxa"/>
            <w:vMerge w:val="continue"/>
            <w:tcBorders>
              <w:left w:val="single" w:color="000000" w:sz="8" w:space="0"/>
              <w:right w:val="single" w:color="000000" w:sz="2" w:space="0"/>
            </w:tcBorders>
          </w:tcPr>
          <w:p w14:paraId="70B61E8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sz w:val="24"/>
                <w:highlight w:val="none"/>
              </w:rPr>
            </w:pPr>
          </w:p>
        </w:tc>
        <w:tc>
          <w:tcPr>
            <w:tcW w:w="1850" w:type="dxa"/>
            <w:vMerge w:val="continue"/>
            <w:tcBorders>
              <w:left w:val="single" w:color="000000" w:sz="2" w:space="0"/>
              <w:right w:val="single" w:color="000000" w:sz="8" w:space="0"/>
            </w:tcBorders>
            <w:vAlign w:val="center"/>
          </w:tcPr>
          <w:p w14:paraId="5BD29CE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z w:val="24"/>
                <w:highlight w:val="none"/>
              </w:rPr>
            </w:pPr>
          </w:p>
        </w:tc>
        <w:tc>
          <w:tcPr>
            <w:tcW w:w="6800" w:type="dxa"/>
            <w:tcBorders>
              <w:top w:val="single" w:color="000000" w:sz="8" w:space="0"/>
              <w:left w:val="single" w:color="000000" w:sz="2" w:space="0"/>
              <w:bottom w:val="single" w:color="000000" w:sz="8" w:space="0"/>
              <w:right w:val="single" w:color="000000" w:sz="8" w:space="0"/>
            </w:tcBorders>
            <w:vAlign w:val="center"/>
          </w:tcPr>
          <w:p w14:paraId="6E5D455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3E5FCF6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695B77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5" w:hRule="atLeast"/>
          <w:tblHeader/>
        </w:trPr>
        <w:tc>
          <w:tcPr>
            <w:tcW w:w="610" w:type="dxa"/>
            <w:tcBorders>
              <w:top w:val="single" w:color="auto" w:sz="4" w:space="0"/>
              <w:left w:val="single" w:color="auto" w:sz="4" w:space="0"/>
              <w:bottom w:val="single" w:color="auto" w:sz="4" w:space="0"/>
              <w:right w:val="single" w:color="000000" w:sz="2" w:space="0"/>
            </w:tcBorders>
          </w:tcPr>
          <w:p w14:paraId="7607FB6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50" w:type="dxa"/>
            <w:tcBorders>
              <w:top w:val="single" w:color="auto" w:sz="4" w:space="0"/>
              <w:left w:val="single" w:color="000000" w:sz="2" w:space="0"/>
              <w:bottom w:val="single" w:color="auto" w:sz="4" w:space="0"/>
              <w:right w:val="single" w:color="000000" w:sz="8" w:space="0"/>
            </w:tcBorders>
            <w:vAlign w:val="center"/>
          </w:tcPr>
          <w:p w14:paraId="7DE74F2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800" w:type="dxa"/>
            <w:tcBorders>
              <w:top w:val="single" w:color="auto" w:sz="4" w:space="0"/>
              <w:left w:val="single" w:color="000000" w:sz="2" w:space="0"/>
              <w:bottom w:val="single" w:color="000000" w:sz="8" w:space="0"/>
              <w:right w:val="single" w:color="auto" w:sz="4" w:space="0"/>
            </w:tcBorders>
            <w:vAlign w:val="center"/>
          </w:tcPr>
          <w:p w14:paraId="1A63212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3名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79C00D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10" w:type="dxa"/>
            <w:tcBorders>
              <w:top w:val="single" w:color="auto" w:sz="4" w:space="0"/>
              <w:left w:val="single" w:color="auto" w:sz="4" w:space="0"/>
              <w:bottom w:val="single" w:color="auto" w:sz="4" w:space="0"/>
              <w:right w:val="single" w:color="000000" w:sz="2" w:space="0"/>
            </w:tcBorders>
          </w:tcPr>
          <w:p w14:paraId="4AABB13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50" w:type="dxa"/>
            <w:tcBorders>
              <w:top w:val="single" w:color="auto" w:sz="4" w:space="0"/>
              <w:left w:val="single" w:color="000000" w:sz="2" w:space="0"/>
              <w:bottom w:val="single" w:color="auto" w:sz="4" w:space="0"/>
              <w:right w:val="single" w:color="auto" w:sz="4" w:space="0"/>
            </w:tcBorders>
            <w:vAlign w:val="center"/>
          </w:tcPr>
          <w:p w14:paraId="502EE08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800" w:type="dxa"/>
            <w:tcBorders>
              <w:top w:val="single" w:color="000000" w:sz="8" w:space="0"/>
              <w:left w:val="single" w:color="auto" w:sz="4" w:space="0"/>
              <w:bottom w:val="single" w:color="auto" w:sz="4" w:space="0"/>
              <w:right w:val="single" w:color="auto" w:sz="4" w:space="0"/>
            </w:tcBorders>
            <w:vAlign w:val="center"/>
          </w:tcPr>
          <w:p w14:paraId="5C9E49B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b/>
                <w:color w:val="000000"/>
                <w:sz w:val="24"/>
                <w:szCs w:val="20"/>
                <w:highlight w:val="none"/>
              </w:rPr>
              <w:t>本项目的招标代理费</w:t>
            </w:r>
            <w:r>
              <w:rPr>
                <w:rFonts w:hint="eastAsia" w:ascii="宋体" w:hAnsi="宋体" w:eastAsia="宋体" w:cs="宋体"/>
                <w:b/>
                <w:color w:val="000000"/>
                <w:sz w:val="24"/>
                <w:szCs w:val="20"/>
                <w:highlight w:val="none"/>
                <w:lang w:val="en-US" w:eastAsia="zh-CN"/>
              </w:rPr>
              <w:t>按照</w:t>
            </w:r>
            <w:r>
              <w:rPr>
                <w:rFonts w:hint="eastAsia" w:ascii="宋体" w:hAnsi="宋体" w:eastAsia="宋体" w:cs="宋体"/>
                <w:b/>
                <w:color w:val="000000"/>
                <w:sz w:val="24"/>
                <w:szCs w:val="20"/>
                <w:highlight w:val="none"/>
              </w:rPr>
              <w:t>《招标代理服务收费管理暂行办法》（[2002]1980号文件）的收费标准的75%</w:t>
            </w:r>
            <w:r>
              <w:rPr>
                <w:rFonts w:hint="eastAsia" w:ascii="宋体" w:hAnsi="宋体" w:eastAsia="宋体" w:cs="宋体"/>
                <w:b/>
                <w:color w:val="000000"/>
                <w:sz w:val="24"/>
                <w:szCs w:val="20"/>
                <w:highlight w:val="none"/>
                <w:lang w:val="en-US" w:eastAsia="zh-CN"/>
              </w:rPr>
              <w:t>计算</w:t>
            </w:r>
            <w:r>
              <w:rPr>
                <w:rFonts w:hint="eastAsia" w:ascii="宋体" w:hAnsi="宋体" w:eastAsia="宋体" w:cs="宋体"/>
                <w:b/>
                <w:color w:val="000000"/>
                <w:sz w:val="24"/>
                <w:szCs w:val="20"/>
                <w:highlight w:val="none"/>
              </w:rPr>
              <w:t>由中标单位支付，投标人在报价时应综合考虑该笔费用，</w:t>
            </w:r>
            <w:r>
              <w:rPr>
                <w:rFonts w:hint="eastAsia" w:ascii="宋体" w:hAnsi="宋体" w:cs="宋体"/>
                <w:b/>
                <w:color w:val="000000"/>
                <w:sz w:val="24"/>
                <w:szCs w:val="20"/>
                <w:highlight w:val="none"/>
                <w:lang w:val="en-US" w:eastAsia="zh-CN"/>
              </w:rPr>
              <w:t>无须在</w:t>
            </w:r>
            <w:r>
              <w:rPr>
                <w:rFonts w:hint="eastAsia" w:ascii="宋体" w:hAnsi="宋体" w:eastAsia="宋体" w:cs="宋体"/>
                <w:b/>
                <w:color w:val="000000"/>
                <w:sz w:val="24"/>
                <w:szCs w:val="20"/>
                <w:highlight w:val="none"/>
              </w:rPr>
              <w:t>投标</w:t>
            </w:r>
            <w:r>
              <w:rPr>
                <w:rFonts w:hint="eastAsia" w:ascii="宋体" w:hAnsi="宋体" w:cs="宋体"/>
                <w:b/>
                <w:color w:val="000000"/>
                <w:sz w:val="24"/>
                <w:szCs w:val="20"/>
                <w:highlight w:val="none"/>
                <w:lang w:val="en-US" w:eastAsia="zh-CN"/>
              </w:rPr>
              <w:t>报</w:t>
            </w:r>
            <w:r>
              <w:rPr>
                <w:rFonts w:hint="eastAsia" w:ascii="宋体" w:hAnsi="宋体" w:eastAsia="宋体" w:cs="宋体"/>
                <w:b/>
                <w:color w:val="000000"/>
                <w:sz w:val="24"/>
                <w:szCs w:val="20"/>
                <w:highlight w:val="none"/>
              </w:rPr>
              <w:t>价</w:t>
            </w:r>
            <w:r>
              <w:rPr>
                <w:rFonts w:hint="eastAsia" w:ascii="宋体" w:hAnsi="宋体" w:cs="宋体"/>
                <w:b/>
                <w:color w:val="000000"/>
                <w:sz w:val="24"/>
                <w:szCs w:val="20"/>
                <w:highlight w:val="none"/>
                <w:lang w:val="en-US" w:eastAsia="zh-CN"/>
              </w:rPr>
              <w:t>中</w:t>
            </w:r>
            <w:r>
              <w:rPr>
                <w:rFonts w:hint="eastAsia" w:ascii="宋体" w:hAnsi="宋体" w:eastAsia="宋体" w:cs="宋体"/>
                <w:b/>
                <w:color w:val="000000"/>
                <w:sz w:val="24"/>
                <w:szCs w:val="20"/>
                <w:highlight w:val="none"/>
              </w:rPr>
              <w:t>单列。</w:t>
            </w:r>
          </w:p>
        </w:tc>
      </w:tr>
      <w:bookmarkEnd w:id="10"/>
    </w:tbl>
    <w:p w14:paraId="757DBC94">
      <w:pPr>
        <w:widowControl w:val="0"/>
        <w:kinsoku/>
        <w:wordWrap/>
        <w:overflowPunct/>
        <w:topLinePunct w:val="0"/>
        <w:bidi w:val="0"/>
        <w:adjustRightInd w:val="0"/>
        <w:snapToGrid w:val="0"/>
        <w:spacing w:beforeAutospacing="0" w:afterAutospacing="0" w:line="360" w:lineRule="auto"/>
        <w:ind w:left="0" w:leftChars="0" w:right="0" w:rightChars="0" w:firstLine="3845" w:firstLineChars="1197"/>
        <w:textAlignment w:val="auto"/>
        <w:outlineLvl w:val="0"/>
        <w:rPr>
          <w:rFonts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t>一、总则</w:t>
      </w:r>
    </w:p>
    <w:p w14:paraId="2A38D586">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361" w:firstLineChars="150"/>
        <w:jc w:val="left"/>
        <w:textAlignment w:val="auto"/>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4F8A6783">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689C9A76">
      <w:pPr>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1E881207">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718CF7F8">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441E5339">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1A251AE6">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70214FF4">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10D7770">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71EF139E">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15E2E6C8">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241" w:firstLineChars="100"/>
        <w:textAlignment w:val="auto"/>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7B59645D">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240" w:firstLineChars="100"/>
        <w:textAlignment w:val="auto"/>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774D41CF">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240" w:firstLineChars="100"/>
        <w:textAlignment w:val="auto"/>
        <w:rPr>
          <w:rFonts w:ascii="宋体" w:hAnsi="宋体" w:cs="宋体"/>
          <w:color w:val="auto"/>
          <w:sz w:val="24"/>
          <w:highlight w:val="none"/>
        </w:rPr>
      </w:pPr>
      <w:r>
        <w:rPr>
          <w:rFonts w:hint="eastAsia" w:ascii="宋体" w:hAnsi="宋体" w:cs="宋体"/>
          <w:color w:val="auto"/>
          <w:sz w:val="24"/>
          <w:highlight w:val="none"/>
        </w:rPr>
        <w:t>3.2 支持绿色发展</w:t>
      </w:r>
    </w:p>
    <w:p w14:paraId="32082355">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6F88BB1E">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7D060B17">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4CBE7B78">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303EB86">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240" w:firstLineChars="10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3.3支持中小企业发展</w:t>
      </w:r>
      <w:r>
        <w:rPr>
          <w:rFonts w:hint="eastAsia" w:ascii="宋体" w:hAnsi="宋体" w:cs="宋体"/>
          <w:color w:val="auto"/>
          <w:sz w:val="24"/>
          <w:highlight w:val="none"/>
          <w:lang w:eastAsia="zh-CN"/>
        </w:rPr>
        <w:t>（</w:t>
      </w:r>
      <w:r>
        <w:rPr>
          <w:rFonts w:hint="eastAsia" w:ascii="宋体" w:hAnsi="宋体"/>
          <w:b/>
          <w:sz w:val="24"/>
        </w:rPr>
        <w:t>本项目专门面向对中小企业投标，投标价格不给予价格的扣除，用投标的价格直接参与评审。</w:t>
      </w:r>
      <w:r>
        <w:rPr>
          <w:rFonts w:hint="eastAsia" w:ascii="宋体" w:hAnsi="宋体" w:cs="宋体"/>
          <w:color w:val="auto"/>
          <w:sz w:val="24"/>
          <w:highlight w:val="none"/>
          <w:lang w:eastAsia="zh-CN"/>
        </w:rPr>
        <w:t>）</w:t>
      </w:r>
    </w:p>
    <w:p w14:paraId="6433B21B">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CC5DA46">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6ED91A3F">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5ED49DC0">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1BDE44F5">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7A6A5839">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15A51FD8">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B984AC1">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17A78489">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058AF60A">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240" w:firstLineChars="100"/>
        <w:textAlignment w:val="auto"/>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56A5BB48">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66FD27C2">
      <w:pPr>
        <w:pStyle w:val="6"/>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79DBCE">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184FF22">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240" w:firstLineChars="100"/>
        <w:textAlignment w:val="auto"/>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7D07C688">
      <w:pPr>
        <w:pageBreakBefore w:val="0"/>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5727EE7">
      <w:pPr>
        <w:pageBreakBefore w:val="0"/>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462E3D1D">
      <w:pPr>
        <w:pageBreakBefore w:val="0"/>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12F3D46">
      <w:pPr>
        <w:pageBreakBefore w:val="0"/>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240" w:firstLineChars="1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C466D90">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A3C66C6">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4298634B">
      <w:pPr>
        <w:pStyle w:val="8"/>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17555332">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230A53B2">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43F21BA0">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1E0E109A">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70728297">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57474CBB">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7B39A706">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68BA07E1">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62CC10F9">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56BB91E">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rPr>
        <w:t>质疑函范本及制作说明详见附件2。</w:t>
      </w:r>
    </w:p>
    <w:p w14:paraId="2BE4E998">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rPr>
        <w:t>4.3.4对同一采购程序环节的质疑，供应商须在法定质疑期内一次性提出。</w:t>
      </w:r>
    </w:p>
    <w:p w14:paraId="7C3FFD78">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55D27F58">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08183EA5">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80" w:firstLineChars="200"/>
        <w:contextualSpacing/>
        <w:textAlignment w:val="auto"/>
        <w:rPr>
          <w:color w:val="auto"/>
          <w:highlight w:val="none"/>
          <w:lang w:val="zh-CN"/>
        </w:rPr>
      </w:pPr>
      <w:r>
        <w:rPr>
          <w:rFonts w:hint="eastAsia"/>
          <w:color w:val="auto"/>
          <w:highlight w:val="none"/>
          <w:lang w:val="zh-CN"/>
        </w:rPr>
        <w:t>4.4供应商投诉</w:t>
      </w:r>
    </w:p>
    <w:p w14:paraId="574221CF">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2DDEAC02">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12607D40">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rPr>
        <w:t>4.4.3供应商投诉应当有明确的请求和必要的证明材料。</w:t>
      </w:r>
    </w:p>
    <w:p w14:paraId="3920FBA0">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color w:val="auto"/>
          <w:highlight w:val="none"/>
        </w:rPr>
      </w:pPr>
      <w:r>
        <w:rPr>
          <w:rFonts w:hint="eastAsia"/>
          <w:color w:val="auto"/>
          <w:highlight w:val="none"/>
        </w:rPr>
        <w:t>4.4.4以联合体形式参加政府采购活动的，其投诉应当由组成联合体的所有供应商共同提出。</w:t>
      </w:r>
    </w:p>
    <w:p w14:paraId="0602A68B">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1B1353D4">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仿宋"/>
          <w:color w:val="auto"/>
          <w:sz w:val="24"/>
          <w:highlight w:val="none"/>
        </w:rPr>
      </w:pPr>
      <w:r>
        <w:rPr>
          <w:rFonts w:hint="eastAsia" w:ascii="宋体" w:hAnsi="宋体" w:cs="仿宋"/>
          <w:color w:val="auto"/>
          <w:sz w:val="24"/>
          <w:highlight w:val="none"/>
        </w:rPr>
        <w:t>4.5 补偿救济</w:t>
      </w:r>
    </w:p>
    <w:p w14:paraId="5414E9E4">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6CF44ACB">
      <w:pPr>
        <w:pStyle w:val="889"/>
        <w:pageBreakBefore w:val="0"/>
        <w:widowControl w:val="0"/>
        <w:shd w:val="clear" w:color="auto" w:fill="FFFFFF"/>
        <w:kinsoku/>
        <w:wordWrap/>
        <w:overflowPunct/>
        <w:topLinePunct w:val="0"/>
        <w:bidi w:val="0"/>
        <w:adjustRightInd w:val="0"/>
        <w:snapToGrid w:val="0"/>
        <w:spacing w:before="0" w:beforeAutospacing="0" w:after="0" w:afterAutospacing="0" w:line="360" w:lineRule="auto"/>
        <w:ind w:left="0" w:leftChars="0" w:right="0" w:rightChars="0" w:firstLine="400"/>
        <w:contextualSpacing/>
        <w:textAlignment w:val="auto"/>
        <w:rPr>
          <w:rFonts w:ascii="宋体" w:hAnsi="宋体" w:cs="宋体"/>
          <w:color w:val="auto"/>
          <w:sz w:val="18"/>
          <w:szCs w:val="18"/>
          <w:highlight w:val="none"/>
        </w:rPr>
      </w:pPr>
      <w:r>
        <w:rPr>
          <w:rFonts w:hint="eastAsia"/>
          <w:color w:val="auto"/>
          <w:highlight w:val="none"/>
        </w:rPr>
        <w:t>投诉书范本及制作说明详见附件3。</w:t>
      </w:r>
    </w:p>
    <w:p w14:paraId="34475AEF">
      <w:pPr>
        <w:pageBreakBefore w:val="0"/>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36A9A1B7">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3E2620B7">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74686196">
      <w:pPr>
        <w:pStyle w:val="35"/>
        <w:pageBreakBefore w:val="0"/>
        <w:widowControl w:val="0"/>
        <w:tabs>
          <w:tab w:val="left" w:pos="840"/>
        </w:tabs>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Ansi="宋体" w:cs="宋体"/>
          <w:color w:val="auto"/>
          <w:sz w:val="24"/>
          <w:szCs w:val="24"/>
          <w:highlight w:val="none"/>
        </w:rPr>
      </w:pPr>
      <w:r>
        <w:rPr>
          <w:rFonts w:hint="eastAsia" w:hAnsi="宋体" w:cs="宋体"/>
          <w:color w:val="auto"/>
          <w:sz w:val="24"/>
          <w:szCs w:val="24"/>
          <w:highlight w:val="none"/>
        </w:rPr>
        <w:t>5.1.1招标公告；</w:t>
      </w:r>
    </w:p>
    <w:p w14:paraId="4E1C3ECE">
      <w:pPr>
        <w:pStyle w:val="35"/>
        <w:pageBreakBefore w:val="0"/>
        <w:widowControl w:val="0"/>
        <w:tabs>
          <w:tab w:val="left" w:pos="840"/>
        </w:tabs>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Ansi="宋体" w:cs="宋体"/>
          <w:color w:val="auto"/>
          <w:sz w:val="24"/>
          <w:szCs w:val="24"/>
          <w:highlight w:val="none"/>
        </w:rPr>
      </w:pPr>
      <w:r>
        <w:rPr>
          <w:rFonts w:hint="eastAsia" w:hAnsi="宋体" w:cs="宋体"/>
          <w:color w:val="auto"/>
          <w:sz w:val="24"/>
          <w:szCs w:val="24"/>
          <w:highlight w:val="none"/>
        </w:rPr>
        <w:t>5.1.2投标人须知；</w:t>
      </w:r>
    </w:p>
    <w:p w14:paraId="3A21C340">
      <w:pPr>
        <w:pStyle w:val="35"/>
        <w:pageBreakBefore w:val="0"/>
        <w:widowControl w:val="0"/>
        <w:tabs>
          <w:tab w:val="left" w:pos="840"/>
        </w:tabs>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Ansi="宋体" w:cs="宋体"/>
          <w:color w:val="auto"/>
          <w:sz w:val="24"/>
          <w:szCs w:val="24"/>
          <w:highlight w:val="none"/>
        </w:rPr>
      </w:pPr>
      <w:r>
        <w:rPr>
          <w:rFonts w:hint="eastAsia" w:hAnsi="宋体" w:cs="宋体"/>
          <w:color w:val="auto"/>
          <w:sz w:val="24"/>
          <w:szCs w:val="24"/>
          <w:highlight w:val="none"/>
        </w:rPr>
        <w:t>5.1.3采购需求；</w:t>
      </w:r>
    </w:p>
    <w:p w14:paraId="538DB964">
      <w:pPr>
        <w:pStyle w:val="35"/>
        <w:pageBreakBefore w:val="0"/>
        <w:widowControl w:val="0"/>
        <w:tabs>
          <w:tab w:val="left" w:pos="840"/>
        </w:tabs>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Ansi="宋体" w:cs="宋体"/>
          <w:color w:val="auto"/>
          <w:sz w:val="24"/>
          <w:szCs w:val="24"/>
          <w:highlight w:val="none"/>
        </w:rPr>
      </w:pPr>
      <w:r>
        <w:rPr>
          <w:rFonts w:hint="eastAsia" w:hAnsi="宋体" w:cs="宋体"/>
          <w:color w:val="auto"/>
          <w:sz w:val="24"/>
          <w:szCs w:val="24"/>
          <w:highlight w:val="none"/>
        </w:rPr>
        <w:t>5.1.4评标办法；</w:t>
      </w:r>
    </w:p>
    <w:p w14:paraId="29CB52D2">
      <w:pPr>
        <w:pStyle w:val="35"/>
        <w:pageBreakBefore w:val="0"/>
        <w:widowControl w:val="0"/>
        <w:tabs>
          <w:tab w:val="left" w:pos="840"/>
        </w:tabs>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Ansi="宋体" w:cs="宋体"/>
          <w:color w:val="auto"/>
          <w:sz w:val="24"/>
          <w:szCs w:val="24"/>
          <w:highlight w:val="none"/>
        </w:rPr>
      </w:pPr>
      <w:r>
        <w:rPr>
          <w:rFonts w:hint="eastAsia" w:hAnsi="宋体" w:cs="宋体"/>
          <w:color w:val="auto"/>
          <w:sz w:val="24"/>
          <w:szCs w:val="24"/>
          <w:highlight w:val="none"/>
        </w:rPr>
        <w:t>5.1.5拟签订的合同文本；</w:t>
      </w:r>
    </w:p>
    <w:p w14:paraId="0EFBAD0A">
      <w:pPr>
        <w:pStyle w:val="35"/>
        <w:pageBreakBefore w:val="0"/>
        <w:widowControl w:val="0"/>
        <w:tabs>
          <w:tab w:val="left" w:pos="840"/>
        </w:tabs>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3A7AC905">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4E0EB4B9">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57E51B6D">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0E704EB8">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hAnsi="宋体" w:cs="宋体"/>
          <w:color w:val="auto"/>
          <w:sz w:val="18"/>
          <w:szCs w:val="18"/>
          <w:highlight w:val="none"/>
          <w:lang w:val="en-US"/>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C6F6035">
      <w:pPr>
        <w:pageBreakBefore w:val="0"/>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75373290">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50FC1A07">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25653128">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60BEA29D">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074619EB">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Cs w:val="24"/>
          <w:highlight w:val="none"/>
        </w:rPr>
      </w:pPr>
      <w:r>
        <w:rPr>
          <w:rFonts w:hint="eastAsia" w:hAnsi="宋体" w:cs="宋体"/>
          <w:b/>
          <w:color w:val="auto"/>
          <w:kern w:val="28"/>
          <w:sz w:val="24"/>
          <w:szCs w:val="24"/>
          <w:highlight w:val="none"/>
        </w:rPr>
        <w:t>9.投标保证金</w:t>
      </w:r>
    </w:p>
    <w:p w14:paraId="4B875C10">
      <w:pPr>
        <w:pStyle w:val="8"/>
        <w:pageBreakBefore w:val="0"/>
        <w:widowControl w:val="0"/>
        <w:kinsoku/>
        <w:wordWrap/>
        <w:overflowPunct/>
        <w:topLinePunct w:val="0"/>
        <w:bidi w:val="0"/>
        <w:adjustRightInd w:val="0"/>
        <w:snapToGrid w:val="0"/>
        <w:spacing w:beforeAutospacing="0" w:afterAutospacing="0" w:line="360" w:lineRule="auto"/>
        <w:ind w:left="0" w:leftChars="0" w:right="0" w:rightChars="0" w:firstLine="470" w:firstLineChars="196"/>
        <w:textAlignment w:val="auto"/>
        <w:rPr>
          <w:rFonts w:hAnsi="宋体" w:cs="宋体"/>
          <w:color w:val="auto"/>
          <w:sz w:val="24"/>
          <w:highlight w:val="none"/>
        </w:rPr>
      </w:pPr>
      <w:r>
        <w:rPr>
          <w:rFonts w:hint="eastAsia" w:hAnsi="宋体" w:cs="宋体"/>
          <w:color w:val="auto"/>
          <w:sz w:val="24"/>
          <w:highlight w:val="none"/>
        </w:rPr>
        <w:t>本项目不需缴纳投标保证金。</w:t>
      </w:r>
    </w:p>
    <w:p w14:paraId="6A897DED">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7387AB54">
      <w:pPr>
        <w:pageBreakBefore w:val="0"/>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D9FCCCF">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05BB455A">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4CA7E7B3">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0B01C5A">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A8B2258">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r>
        <w:rPr>
          <w:rFonts w:hint="eastAsia" w:ascii="宋体" w:hAnsi="宋体" w:cs="宋体"/>
          <w:snapToGrid w:val="0"/>
          <w:color w:val="000000"/>
          <w:kern w:val="28"/>
          <w:sz w:val="24"/>
          <w:szCs w:val="20"/>
          <w:highlight w:val="none"/>
          <w:lang w:val="en-US" w:eastAsia="zh-CN"/>
        </w:rPr>
        <w:t>提供中小企业声明函。</w:t>
      </w:r>
    </w:p>
    <w:p w14:paraId="4463F9D7">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000000"/>
          <w:kern w:val="28"/>
          <w:sz w:val="24"/>
          <w:szCs w:val="20"/>
          <w:highlight w:val="none"/>
          <w:lang w:val="en-US" w:eastAsia="zh-CN"/>
        </w:rPr>
        <w:t>提供营业执</w:t>
      </w:r>
      <w:r>
        <w:rPr>
          <w:rFonts w:hint="eastAsia" w:ascii="宋体" w:hAnsi="宋体" w:eastAsia="宋体" w:cs="宋体"/>
          <w:color w:val="000000"/>
          <w:sz w:val="24"/>
          <w:highlight w:val="none"/>
          <w:lang w:val="en-US" w:eastAsia="zh-CN"/>
        </w:rPr>
        <w:t>照、</w:t>
      </w:r>
      <w:r>
        <w:rPr>
          <w:rFonts w:hint="eastAsia" w:ascii="宋体" w:hAnsi="宋体" w:eastAsia="宋体" w:cs="宋体"/>
          <w:color w:val="000000"/>
          <w:sz w:val="24"/>
          <w:highlight w:val="none"/>
        </w:rPr>
        <w:t>《律师事务所执业许可证》</w:t>
      </w:r>
      <w:r>
        <w:rPr>
          <w:rFonts w:hint="eastAsia" w:ascii="宋体" w:hAnsi="宋体" w:cs="宋体"/>
          <w:color w:val="auto"/>
          <w:sz w:val="24"/>
          <w:highlight w:val="none"/>
        </w:rPr>
        <w:t>。</w:t>
      </w:r>
    </w:p>
    <w:p w14:paraId="17C01E9C">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2E7B3111">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496308F5">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54B49E76">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F8ACD15">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DB30654">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7ECE8099">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916B6FA">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27210854">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648477D6">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0381458">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11.3.1开标一览表（报价表）</w:t>
      </w:r>
      <w:r>
        <w:rPr>
          <w:rFonts w:hint="eastAsia" w:ascii="宋体" w:hAnsi="宋体" w:cs="宋体"/>
          <w:color w:val="auto"/>
          <w:sz w:val="24"/>
          <w:highlight w:val="none"/>
          <w:lang w:eastAsia="zh-CN"/>
        </w:rPr>
        <w:t>：</w:t>
      </w:r>
    </w:p>
    <w:p w14:paraId="3456C21E">
      <w:pPr>
        <w:widowControl w:val="0"/>
        <w:kinsoku/>
        <w:wordWrap/>
        <w:overflowPunct/>
        <w:topLinePunct w:val="0"/>
        <w:bidi w:val="0"/>
        <w:adjustRightInd w:val="0"/>
        <w:snapToGrid w:val="0"/>
        <w:spacing w:beforeAutospacing="0" w:afterAutospacing="0" w:line="360" w:lineRule="auto"/>
        <w:ind w:left="0" w:leftChars="0" w:right="0" w:rightChars="0" w:firstLine="960" w:firstLineChars="40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kern w:val="2"/>
          <w:sz w:val="24"/>
          <w:szCs w:val="24"/>
          <w:highlight w:val="none"/>
          <w:lang w:val="en-US" w:eastAsia="zh-CN" w:bidi="ar-SA"/>
        </w:rPr>
        <w:t>成本分析；</w:t>
      </w:r>
    </w:p>
    <w:p w14:paraId="04467D89">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723" w:firstLineChars="300"/>
        <w:textAlignment w:val="auto"/>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03DEB26B">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723" w:firstLineChars="300"/>
        <w:textAlignment w:val="auto"/>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47F9A6E5">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720" w:firstLineChars="300"/>
        <w:textAlignment w:val="auto"/>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BD67106">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7144BF6C">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8BB58FF">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6A29C32">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2B08681B">
      <w:pPr>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701120AF">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0229B0D3">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1D21010B">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00417FBF">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F718B1B">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AF1B2A1">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4E7A393B">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5DF4273F">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
          <w:color w:val="auto"/>
          <w:sz w:val="24"/>
          <w:szCs w:val="24"/>
          <w:highlight w:val="none"/>
        </w:rPr>
      </w:pPr>
      <w:r>
        <w:rPr>
          <w:rFonts w:hint="eastAsia" w:hAnsi="宋体" w:cs="宋体"/>
          <w:b/>
          <w:color w:val="auto"/>
          <w:sz w:val="24"/>
          <w:szCs w:val="24"/>
          <w:highlight w:val="none"/>
        </w:rPr>
        <w:t>15.备份投标文件</w:t>
      </w:r>
    </w:p>
    <w:p w14:paraId="36376915">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360" w:firstLineChars="150"/>
        <w:textAlignment w:val="auto"/>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338F68DC">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504AABC3">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7E369C14">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58B74EAA">
      <w:pPr>
        <w:pStyle w:val="35"/>
        <w:pageBreakBefore w:val="0"/>
        <w:widowControl w:val="0"/>
        <w:kinsoku/>
        <w:wordWrap/>
        <w:overflowPunct/>
        <w:topLinePunct w:val="0"/>
        <w:bidi w:val="0"/>
        <w:adjustRightInd w:val="0"/>
        <w:snapToGrid w:val="0"/>
        <w:spacing w:beforeAutospacing="0" w:afterAutospacing="0" w:line="360" w:lineRule="auto"/>
        <w:ind w:left="0" w:leftChars="0" w:right="0" w:rightChars="0" w:firstLine="479" w:firstLineChars="199"/>
        <w:textAlignment w:val="auto"/>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7D5A0B5F">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19D12736">
      <w:pPr>
        <w:pStyle w:val="27"/>
        <w:pageBreakBefore w:val="0"/>
        <w:widowControl w:val="0"/>
        <w:kinsoku/>
        <w:wordWrap/>
        <w:overflowPunct/>
        <w:topLinePunct w:val="0"/>
        <w:bidi w:val="0"/>
        <w:adjustRightInd w:val="0"/>
        <w:snapToGrid w:val="0"/>
        <w:spacing w:beforeAutospacing="0" w:afterAutospacing="0" w:line="360" w:lineRule="auto"/>
        <w:ind w:left="0" w:leftChars="0" w:right="0" w:rightChars="0" w:firstLine="360" w:firstLineChars="150"/>
        <w:textAlignment w:val="auto"/>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52C00192">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rPr>
          <w:rFonts w:ascii="宋体" w:hAnsi="宋体" w:cs="宋体"/>
          <w:b/>
          <w:color w:val="auto"/>
          <w:szCs w:val="24"/>
          <w:highlight w:val="none"/>
        </w:rPr>
      </w:pPr>
      <w:r>
        <w:rPr>
          <w:rFonts w:hint="eastAsia" w:ascii="宋体" w:hAnsi="宋体" w:cs="宋体"/>
          <w:b/>
          <w:color w:val="auto"/>
          <w:szCs w:val="24"/>
          <w:highlight w:val="none"/>
        </w:rPr>
        <w:t>17.投标有效期</w:t>
      </w:r>
    </w:p>
    <w:p w14:paraId="19DB1D74">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46D0DDEF">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2A08696D">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b/>
          <w:color w:val="auto"/>
          <w:sz w:val="32"/>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125778C6">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1928" w:firstLineChars="600"/>
        <w:textAlignment w:val="auto"/>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594AE6C0">
      <w:pPr>
        <w:pStyle w:val="557"/>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241" w:firstLineChars="100"/>
        <w:contextualSpacing/>
        <w:textAlignment w:val="auto"/>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4E0EDAC">
      <w:pPr>
        <w:pStyle w:val="557"/>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firstLineChars="200"/>
        <w:contextualSpacing/>
        <w:textAlignment w:val="auto"/>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008CC573">
      <w:pPr>
        <w:pStyle w:val="557"/>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240" w:firstLineChars="100"/>
        <w:contextualSpacing/>
        <w:textAlignment w:val="auto"/>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66D2A485">
      <w:pPr>
        <w:pStyle w:val="557"/>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240" w:firstLineChars="100"/>
        <w:contextualSpacing/>
        <w:textAlignment w:val="auto"/>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0EBED939">
      <w:pPr>
        <w:pageBreakBefore w:val="0"/>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60FD5F62">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6A098BA9">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0F79D090">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24CDEC3B">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32DDD9F1">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rPr>
          <w:rFonts w:ascii="宋体" w:hAnsi="宋体" w:cs="宋体"/>
          <w:b/>
          <w:color w:val="auto"/>
          <w:szCs w:val="24"/>
          <w:highlight w:val="none"/>
        </w:rPr>
      </w:pPr>
      <w:r>
        <w:rPr>
          <w:rFonts w:hint="eastAsia" w:ascii="宋体" w:hAnsi="宋体" w:cs="宋体"/>
          <w:b/>
          <w:color w:val="auto"/>
          <w:szCs w:val="24"/>
          <w:highlight w:val="none"/>
        </w:rPr>
        <w:t>20、信用信息查询</w:t>
      </w:r>
    </w:p>
    <w:p w14:paraId="03865CDA">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95" w:firstLineChars="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69566780">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95" w:firstLineChars="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1ACB6D9A">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95" w:firstLineChars="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5888658">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5B775BE1">
      <w:pPr>
        <w:pageBreakBefore w:val="0"/>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734D7AD1">
      <w:pPr>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386EBCF9">
      <w:pPr>
        <w:pageBreakBefore w:val="0"/>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08E7BC9F">
      <w:pPr>
        <w:pStyle w:val="27"/>
        <w:pageBreakBefore w:val="0"/>
        <w:widowControl w:val="0"/>
        <w:kinsoku/>
        <w:wordWrap/>
        <w:overflowPunct/>
        <w:topLinePunct w:val="0"/>
        <w:bidi w:val="0"/>
        <w:adjustRightInd w:val="0"/>
        <w:snapToGrid w:val="0"/>
        <w:spacing w:beforeAutospacing="0" w:afterAutospacing="0" w:line="360" w:lineRule="auto"/>
        <w:ind w:left="479" w:leftChars="0" w:right="0" w:rightChars="0" w:hanging="479" w:hangingChars="199"/>
        <w:textAlignment w:val="auto"/>
        <w:rPr>
          <w:rFonts w:cs="宋体"/>
          <w:b/>
          <w:color w:val="auto"/>
          <w:highlight w:val="none"/>
        </w:rPr>
      </w:pPr>
      <w:r>
        <w:rPr>
          <w:rFonts w:hint="eastAsia" w:cs="宋体"/>
          <w:b/>
          <w:color w:val="auto"/>
          <w:highlight w:val="none"/>
        </w:rPr>
        <w:t>22. 确定中标供应商</w:t>
      </w:r>
    </w:p>
    <w:p w14:paraId="08BC48DA">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3280C1F2">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3B757BC4">
      <w:pPr>
        <w:pageBreakBefore w:val="0"/>
        <w:widowControl w:val="0"/>
        <w:shd w:val="clear" w:color="auto" w:fill="FFFFFF"/>
        <w:kinsoku/>
        <w:wordWrap/>
        <w:overflowPunct/>
        <w:topLinePunct w:val="0"/>
        <w:bidi w:val="0"/>
        <w:adjustRightInd w:val="0"/>
        <w:snapToGrid w:val="0"/>
        <w:spacing w:beforeAutospacing="0" w:afterAutospacing="0" w:line="360" w:lineRule="auto"/>
        <w:ind w:left="0" w:leftChars="0" w:right="0" w:rightChars="0" w:firstLine="480"/>
        <w:jc w:val="left"/>
        <w:textAlignment w:val="auto"/>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730E0E56">
      <w:pPr>
        <w:pageBreakBefore w:val="0"/>
        <w:widowControl w:val="0"/>
        <w:shd w:val="clear" w:color="auto" w:fill="FFFFFF"/>
        <w:kinsoku/>
        <w:wordWrap/>
        <w:overflowPunct/>
        <w:topLinePunct w:val="0"/>
        <w:bidi w:val="0"/>
        <w:adjustRightInd w:val="0"/>
        <w:snapToGrid w:val="0"/>
        <w:spacing w:beforeAutospacing="0" w:afterAutospacing="0" w:line="360" w:lineRule="auto"/>
        <w:ind w:left="0" w:leftChars="0" w:right="0" w:rightChars="0" w:firstLine="480"/>
        <w:jc w:val="left"/>
        <w:textAlignment w:val="auto"/>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66D90E30">
      <w:pPr>
        <w:pageBreakBefore w:val="0"/>
        <w:widowControl w:val="0"/>
        <w:shd w:val="clear" w:color="auto" w:fill="FFFFFF"/>
        <w:kinsoku/>
        <w:wordWrap/>
        <w:overflowPunct/>
        <w:topLinePunct w:val="0"/>
        <w:bidi w:val="0"/>
        <w:adjustRightInd w:val="0"/>
        <w:snapToGrid w:val="0"/>
        <w:spacing w:beforeAutospacing="0" w:afterAutospacing="0" w:line="360" w:lineRule="auto"/>
        <w:ind w:left="0" w:leftChars="0" w:right="0" w:rightChars="0" w:firstLine="480"/>
        <w:jc w:val="left"/>
        <w:textAlignment w:val="auto"/>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57E10399">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2" w:firstLineChars="200"/>
        <w:textAlignment w:val="auto"/>
        <w:rPr>
          <w:rFonts w:ascii="宋体" w:hAnsi="宋体" w:cs="宋体"/>
          <w:b/>
          <w:color w:val="auto"/>
          <w:sz w:val="32"/>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6B28A94D">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2" w:firstLineChars="150"/>
        <w:jc w:val="center"/>
        <w:textAlignment w:val="auto"/>
        <w:rPr>
          <w:rFonts w:ascii="宋体" w:hAnsi="宋体" w:cs="宋体"/>
          <w:b/>
          <w:color w:val="auto"/>
          <w:sz w:val="32"/>
          <w:highlight w:val="none"/>
        </w:rPr>
      </w:pPr>
      <w:r>
        <w:rPr>
          <w:rFonts w:hint="eastAsia" w:ascii="宋体" w:hAnsi="宋体" w:cs="宋体"/>
          <w:b/>
          <w:color w:val="auto"/>
          <w:sz w:val="32"/>
          <w:highlight w:val="none"/>
        </w:rPr>
        <w:t>七、合同授予</w:t>
      </w:r>
    </w:p>
    <w:p w14:paraId="6A7542CF">
      <w:pPr>
        <w:pStyle w:val="27"/>
        <w:pageBreakBefore w:val="0"/>
        <w:widowControl w:val="0"/>
        <w:kinsoku/>
        <w:wordWrap/>
        <w:overflowPunct/>
        <w:topLinePunct w:val="0"/>
        <w:bidi w:val="0"/>
        <w:adjustRightInd w:val="0"/>
        <w:snapToGrid w:val="0"/>
        <w:spacing w:beforeAutospacing="0" w:afterAutospacing="0" w:line="360" w:lineRule="auto"/>
        <w:ind w:left="479" w:leftChars="0" w:right="0" w:rightChars="0" w:hanging="479" w:hangingChars="199"/>
        <w:textAlignment w:val="auto"/>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841142E">
      <w:pPr>
        <w:pStyle w:val="27"/>
        <w:pageBreakBefore w:val="0"/>
        <w:widowControl w:val="0"/>
        <w:kinsoku/>
        <w:wordWrap/>
        <w:overflowPunct/>
        <w:topLinePunct w:val="0"/>
        <w:bidi w:val="0"/>
        <w:adjustRightInd w:val="0"/>
        <w:snapToGrid w:val="0"/>
        <w:spacing w:beforeAutospacing="0" w:afterAutospacing="0" w:line="360" w:lineRule="auto"/>
        <w:ind w:left="479" w:leftChars="0" w:right="0" w:rightChars="0" w:hanging="479" w:hangingChars="199"/>
        <w:textAlignment w:val="auto"/>
        <w:rPr>
          <w:rFonts w:cs="宋体"/>
          <w:b/>
          <w:color w:val="auto"/>
          <w:highlight w:val="none"/>
        </w:rPr>
      </w:pPr>
      <w:r>
        <w:rPr>
          <w:rFonts w:hint="eastAsia" w:cs="宋体"/>
          <w:b/>
          <w:color w:val="auto"/>
          <w:highlight w:val="none"/>
        </w:rPr>
        <w:t>25. 合同的签订</w:t>
      </w:r>
    </w:p>
    <w:p w14:paraId="4CDEA5FE">
      <w:pPr>
        <w:pageBreakBefore w:val="0"/>
        <w:widowControl w:val="0"/>
        <w:shd w:val="clear" w:color="auto" w:fill="FFFFFF"/>
        <w:kinsoku/>
        <w:wordWrap/>
        <w:overflowPunct/>
        <w:topLinePunct w:val="0"/>
        <w:bidi w:val="0"/>
        <w:adjustRightInd w:val="0"/>
        <w:snapToGrid w:val="0"/>
        <w:spacing w:beforeAutospacing="0" w:afterAutospacing="0" w:line="360" w:lineRule="auto"/>
        <w:ind w:left="0" w:leftChars="0" w:right="0" w:rightChars="0" w:firstLine="480"/>
        <w:jc w:val="left"/>
        <w:textAlignment w:val="auto"/>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A432185">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03E103C3">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3D3D6E04">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7A43807E">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40CA5A26">
      <w:pPr>
        <w:pStyle w:val="27"/>
        <w:pageBreakBefore w:val="0"/>
        <w:widowControl w:val="0"/>
        <w:kinsoku/>
        <w:wordWrap/>
        <w:overflowPunct/>
        <w:topLinePunct w:val="0"/>
        <w:bidi w:val="0"/>
        <w:adjustRightInd w:val="0"/>
        <w:snapToGrid w:val="0"/>
        <w:spacing w:beforeAutospacing="0" w:afterAutospacing="0" w:line="360" w:lineRule="auto"/>
        <w:ind w:left="479" w:leftChars="0" w:right="0" w:rightChars="0" w:hanging="479" w:hangingChars="199"/>
        <w:textAlignment w:val="auto"/>
        <w:rPr>
          <w:rFonts w:cs="宋体"/>
          <w:b/>
          <w:color w:val="auto"/>
          <w:highlight w:val="none"/>
        </w:rPr>
      </w:pPr>
      <w:r>
        <w:rPr>
          <w:rFonts w:hint="eastAsia" w:cs="宋体"/>
          <w:b/>
          <w:color w:val="auto"/>
          <w:highlight w:val="none"/>
        </w:rPr>
        <w:t>26. 履约保证金</w:t>
      </w:r>
    </w:p>
    <w:p w14:paraId="22099A66">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2"/>
        <w:textAlignment w:val="auto"/>
        <w:rPr>
          <w:rFonts w:hint="eastAsia" w:ascii="宋体" w:hAnsi="宋体" w:eastAsia="宋体" w:cs="宋体"/>
          <w:color w:val="auto"/>
          <w:kern w:val="0"/>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w:t>
      </w:r>
      <w:r>
        <w:rPr>
          <w:rFonts w:hint="eastAsia" w:ascii="宋体" w:hAnsi="宋体" w:eastAsia="宋体" w:cs="宋体"/>
          <w:color w:val="auto"/>
          <w:kern w:val="0"/>
          <w:sz w:val="24"/>
          <w:highlight w:val="none"/>
        </w:rPr>
        <w:t>人不得拒收履约保函，项目验收结束后应及时退还，延迟退还的，应当按照合同约定和法律规定承担相应的赔偿责任。</w:t>
      </w:r>
    </w:p>
    <w:p w14:paraId="0D837DE5">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2"/>
        <w:textAlignment w:val="auto"/>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rPr>
        <w:t>供应商</w:t>
      </w:r>
      <w:r>
        <w:rPr>
          <w:rFonts w:hint="eastAsia" w:ascii="宋体" w:hAnsi="宋体" w:eastAsia="宋体" w:cs="宋体"/>
          <w:color w:val="auto"/>
          <w:kern w:val="0"/>
          <w:sz w:val="24"/>
          <w:highlight w:val="none"/>
          <w:lang w:val="en-US"/>
        </w:rPr>
        <w:t>可</w:t>
      </w:r>
      <w:r>
        <w:rPr>
          <w:rFonts w:hint="eastAsia" w:ascii="宋体" w:hAnsi="宋体" w:eastAsia="宋体" w:cs="宋体"/>
          <w:color w:val="auto"/>
          <w:kern w:val="0"/>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color w:val="auto"/>
          <w:kern w:val="0"/>
          <w:sz w:val="24"/>
          <w:highlight w:val="none"/>
          <w:lang w:val="en-US" w:eastAsia="zh-CN"/>
        </w:rPr>
        <w:t>95763</w:t>
      </w:r>
      <w:r>
        <w:rPr>
          <w:rFonts w:hint="eastAsia" w:ascii="宋体" w:hAnsi="宋体" w:eastAsia="宋体" w:cs="宋体"/>
          <w:color w:val="auto"/>
          <w:kern w:val="0"/>
          <w:sz w:val="24"/>
          <w:highlight w:val="none"/>
        </w:rPr>
        <w:t>。</w:t>
      </w:r>
    </w:p>
    <w:p w14:paraId="4F5AC571">
      <w:pPr>
        <w:pageBreakBefore w:val="0"/>
        <w:widowControl w:val="0"/>
        <w:numPr>
          <w:ilvl w:val="0"/>
          <w:numId w:val="1"/>
        </w:numPr>
        <w:tabs>
          <w:tab w:val="left" w:pos="0"/>
        </w:tabs>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val="en-US"/>
        </w:rPr>
        <w:t>预付款</w:t>
      </w:r>
    </w:p>
    <w:p w14:paraId="1162399F">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2"/>
        <w:textAlignment w:val="auto"/>
        <w:rPr>
          <w:rFonts w:ascii="宋体" w:hAnsi="宋体" w:cs="宋体"/>
          <w:b/>
          <w:color w:val="auto"/>
          <w:sz w:val="32"/>
          <w:highlight w:val="none"/>
        </w:rPr>
      </w:pPr>
      <w:r>
        <w:rPr>
          <w:rFonts w:hint="eastAsia" w:ascii="宋体" w:hAnsi="宋体" w:eastAsia="宋体" w:cs="宋体"/>
          <w:color w:val="auto"/>
          <w:kern w:val="0"/>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w:t>
      </w:r>
      <w:r>
        <w:rPr>
          <w:rFonts w:ascii="宋体" w:hAnsi="宋体"/>
          <w:color w:val="auto"/>
          <w:sz w:val="24"/>
          <w:highlight w:val="none"/>
        </w:rPr>
        <w:t>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7BFC281E">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3357" w:firstLineChars="1045"/>
        <w:textAlignment w:val="auto"/>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183E8A28">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5B6169C4">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497D62EF">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1588C8F5">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0E3AF68F">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19D328D6">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57CF58E6">
      <w:pPr>
        <w:pStyle w:val="132"/>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0" w:firstLineChars="0"/>
        <w:textAlignment w:val="auto"/>
        <w:rPr>
          <w:rFonts w:ascii="宋体" w:hAnsi="宋体" w:cs="宋体"/>
          <w:color w:val="auto"/>
          <w:sz w:val="24"/>
          <w:highlight w:val="none"/>
        </w:rPr>
      </w:pPr>
      <w:r>
        <w:rPr>
          <w:rFonts w:hint="eastAsia" w:ascii="宋体" w:hAnsi="宋体" w:cs="宋体"/>
          <w:color w:val="auto"/>
          <w:highlight w:val="none"/>
        </w:rPr>
        <w:t xml:space="preserve"> </w:t>
      </w:r>
      <w:r>
        <w:rPr>
          <w:rFonts w:hint="eastAsia" w:ascii="宋体" w:hAnsi="宋体" w:cs="宋体"/>
          <w:b/>
          <w:bCs/>
          <w:color w:val="auto"/>
          <w:highlight w:val="none"/>
        </w:rPr>
        <w:t>29.</w:t>
      </w:r>
      <w:r>
        <w:rPr>
          <w:rFonts w:hint="eastAsia" w:ascii="宋体" w:hAnsi="宋体" w:cs="宋体"/>
          <w:b/>
          <w:bCs/>
          <w:color w:val="auto"/>
          <w:highlight w:val="none"/>
          <w:lang w:val="en-US" w:eastAsia="zh-CN"/>
        </w:rPr>
        <w:t xml:space="preserve"> </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61C67750">
      <w:pPr>
        <w:pageBreakBefore w:val="0"/>
        <w:widowControl w:val="0"/>
        <w:kinsoku/>
        <w:wordWrap/>
        <w:overflowPunct/>
        <w:topLinePunct w:val="0"/>
        <w:bidi w:val="0"/>
        <w:adjustRightInd w:val="0"/>
        <w:snapToGrid w:val="0"/>
        <w:spacing w:beforeAutospacing="0" w:afterAutospacing="0" w:line="360" w:lineRule="auto"/>
        <w:ind w:left="0" w:leftChars="0" w:right="0" w:rightChars="0" w:firstLine="482" w:firstLineChars="150"/>
        <w:jc w:val="center"/>
        <w:textAlignment w:val="auto"/>
        <w:rPr>
          <w:rFonts w:ascii="宋体" w:hAnsi="宋体" w:cs="宋体"/>
          <w:b/>
          <w:color w:val="auto"/>
          <w:sz w:val="32"/>
          <w:highlight w:val="none"/>
        </w:rPr>
      </w:pPr>
      <w:r>
        <w:rPr>
          <w:rFonts w:hint="eastAsia" w:ascii="宋体" w:hAnsi="宋体" w:cs="宋体"/>
          <w:b/>
          <w:color w:val="auto"/>
          <w:sz w:val="32"/>
          <w:highlight w:val="none"/>
        </w:rPr>
        <w:t>九、验收</w:t>
      </w:r>
    </w:p>
    <w:p w14:paraId="5C542546">
      <w:pPr>
        <w:pStyle w:val="27"/>
        <w:pageBreakBefore w:val="0"/>
        <w:widowControl w:val="0"/>
        <w:kinsoku/>
        <w:wordWrap/>
        <w:overflowPunct/>
        <w:topLinePunct w:val="0"/>
        <w:bidi w:val="0"/>
        <w:adjustRightInd w:val="0"/>
        <w:snapToGrid w:val="0"/>
        <w:spacing w:beforeAutospacing="0" w:afterAutospacing="0" w:line="360" w:lineRule="auto"/>
        <w:ind w:left="0" w:leftChars="0" w:right="0" w:rightChars="0" w:firstLine="0" w:firstLineChars="0"/>
        <w:textAlignment w:val="auto"/>
        <w:rPr>
          <w:rFonts w:cs="宋体"/>
          <w:b/>
          <w:color w:val="auto"/>
          <w:highlight w:val="none"/>
        </w:rPr>
      </w:pPr>
      <w:r>
        <w:rPr>
          <w:rFonts w:hint="eastAsia" w:cs="宋体"/>
          <w:b/>
          <w:color w:val="auto"/>
          <w:highlight w:val="none"/>
        </w:rPr>
        <w:t>30.验收</w:t>
      </w:r>
    </w:p>
    <w:p w14:paraId="231CC5D8">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01F2E69">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352FFC3C">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76052EB">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CD2C4F0">
      <w:pPr>
        <w:pStyle w:val="6"/>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66C3B68F">
      <w:pPr>
        <w:pStyle w:val="81"/>
        <w:pageBreakBefore w:val="0"/>
        <w:widowControl w:val="0"/>
        <w:kinsoku/>
        <w:wordWrap/>
        <w:overflowPunct/>
        <w:topLinePunct w:val="0"/>
        <w:bidi w:val="0"/>
        <w:adjustRightInd w:val="0"/>
        <w:snapToGrid w:val="0"/>
        <w:spacing w:beforeAutospacing="0" w:afterAutospacing="0" w:line="360" w:lineRule="auto"/>
        <w:ind w:left="0" w:leftChars="0" w:right="0" w:rightChars="0"/>
        <w:textAlignment w:val="auto"/>
        <w:rPr>
          <w:color w:val="auto"/>
          <w:highlight w:val="none"/>
        </w:rPr>
      </w:pPr>
    </w:p>
    <w:bookmarkEnd w:id="13"/>
    <w:p w14:paraId="0A857D06">
      <w:pPr>
        <w:pageBreakBefore w:val="0"/>
        <w:widowControl w:val="0"/>
        <w:tabs>
          <w:tab w:val="left" w:pos="0"/>
        </w:tabs>
        <w:kinsoku/>
        <w:wordWrap/>
        <w:overflowPunct/>
        <w:topLinePunct w:val="0"/>
        <w:bidi w:val="0"/>
        <w:adjustRightInd w:val="0"/>
        <w:snapToGrid w:val="0"/>
        <w:spacing w:beforeAutospacing="0" w:afterAutospacing="0" w:line="360" w:lineRule="auto"/>
        <w:ind w:left="0" w:leftChars="0" w:right="0" w:rightChars="0" w:firstLine="480"/>
        <w:textAlignment w:val="auto"/>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1247" w:right="1247" w:bottom="1247" w:left="1361" w:header="851" w:footer="992" w:gutter="57"/>
          <w:cols w:space="0" w:num="1"/>
          <w:titlePg/>
          <w:rtlGutter w:val="0"/>
          <w:docGrid w:linePitch="312" w:charSpace="0"/>
        </w:sectPr>
      </w:pPr>
      <w:bookmarkStart w:id="15" w:name="_Hlt68073093"/>
      <w:bookmarkEnd w:id="15"/>
      <w:bookmarkStart w:id="16" w:name="_Hlt75236011"/>
      <w:bookmarkEnd w:id="16"/>
      <w:bookmarkStart w:id="17" w:name="_Hlt75236101"/>
      <w:bookmarkEnd w:id="17"/>
      <w:bookmarkStart w:id="18" w:name="_Hlt68057669"/>
      <w:bookmarkEnd w:id="18"/>
      <w:bookmarkStart w:id="19" w:name="_Hlt74729768"/>
      <w:bookmarkEnd w:id="19"/>
      <w:bookmarkStart w:id="20" w:name="_Hlt68072990"/>
      <w:bookmarkEnd w:id="20"/>
      <w:bookmarkStart w:id="21" w:name="_Hlt74730295"/>
      <w:bookmarkEnd w:id="21"/>
      <w:bookmarkStart w:id="22" w:name="_Hlt68072998"/>
      <w:bookmarkEnd w:id="22"/>
      <w:bookmarkStart w:id="23" w:name="_Hlt68403820"/>
      <w:bookmarkEnd w:id="23"/>
      <w:bookmarkStart w:id="24" w:name="_Hlt75236290"/>
      <w:bookmarkEnd w:id="24"/>
      <w:bookmarkStart w:id="25" w:name="_Hlt74707468"/>
      <w:bookmarkEnd w:id="25"/>
      <w:bookmarkStart w:id="26" w:name="_Hlt74714665"/>
      <w:bookmarkEnd w:id="26"/>
    </w:p>
    <w:bookmarkEnd w:id="11"/>
    <w:bookmarkEnd w:id="12"/>
    <w:p w14:paraId="3FD2265E">
      <w:pPr>
        <w:widowControl w:val="0"/>
        <w:numPr>
          <w:ilvl w:val="0"/>
          <w:numId w:val="2"/>
        </w:numPr>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hint="eastAsia"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 xml:space="preserve">  采购需求</w:t>
      </w:r>
    </w:p>
    <w:p w14:paraId="54FA3ED5">
      <w:pPr>
        <w:widowControl w:val="0"/>
        <w:kinsoku/>
        <w:wordWrap/>
        <w:overflowPunct/>
        <w:topLinePunct w:val="0"/>
        <w:bidi w:val="0"/>
        <w:adjustRightInd w:val="0"/>
        <w:snapToGrid w:val="0"/>
        <w:spacing w:beforeAutospacing="0" w:afterAutospacing="0" w:line="360" w:lineRule="auto"/>
        <w:ind w:right="0" w:rightChars="0"/>
        <w:jc w:val="left"/>
        <w:textAlignment w:val="auto"/>
        <w:outlineLvl w:val="1"/>
        <w:rPr>
          <w:rFonts w:hint="eastAsia" w:ascii="宋体" w:hAnsi="宋体" w:cs="宋体"/>
          <w:b/>
          <w:bCs/>
          <w:spacing w:val="-1"/>
          <w:sz w:val="24"/>
        </w:rPr>
      </w:pPr>
      <w:r>
        <w:rPr>
          <w:rFonts w:hint="eastAsia" w:ascii="宋体" w:hAnsi="宋体" w:cs="宋体"/>
          <w:b/>
          <w:bCs/>
          <w:spacing w:val="-1"/>
          <w:sz w:val="24"/>
        </w:rPr>
        <w:t>一、项目概况</w:t>
      </w:r>
    </w:p>
    <w:p w14:paraId="2324CC1A">
      <w:pPr>
        <w:widowControl w:val="0"/>
        <w:kinsoku/>
        <w:wordWrap/>
        <w:overflowPunct/>
        <w:topLinePunct w:val="0"/>
        <w:bidi w:val="0"/>
        <w:adjustRightInd w:val="0"/>
        <w:snapToGrid w:val="0"/>
        <w:spacing w:beforeAutospacing="0" w:afterAutospacing="0" w:line="360" w:lineRule="auto"/>
        <w:ind w:left="0" w:leftChars="0" w:right="0" w:rightChars="0" w:firstLine="468" w:firstLineChars="200"/>
        <w:jc w:val="left"/>
        <w:textAlignment w:val="auto"/>
        <w:outlineLvl w:val="1"/>
        <w:rPr>
          <w:rFonts w:hint="eastAsia" w:ascii="宋体" w:hAnsi="宋体" w:eastAsia="宋体" w:cs="宋体"/>
          <w:spacing w:val="-3"/>
          <w:position w:val="1"/>
          <w:sz w:val="24"/>
          <w:lang w:eastAsia="zh-CN"/>
        </w:rPr>
      </w:pPr>
      <w:r>
        <w:rPr>
          <w:rFonts w:hint="eastAsia" w:ascii="宋体" w:hAnsi="宋体" w:cs="宋体"/>
          <w:spacing w:val="-3"/>
          <w:position w:val="1"/>
          <w:sz w:val="24"/>
        </w:rPr>
        <w:t>1、项目名称：</w:t>
      </w:r>
      <w:r>
        <w:rPr>
          <w:rFonts w:hint="eastAsia" w:ascii="宋体" w:hAnsi="宋体" w:cs="宋体"/>
          <w:spacing w:val="-3"/>
          <w:position w:val="1"/>
          <w:sz w:val="24"/>
          <w:lang w:eastAsia="zh-CN"/>
        </w:rPr>
        <w:t>杭州市上城区住房和城市建设局房产类法律服务</w:t>
      </w:r>
    </w:p>
    <w:p w14:paraId="5201368F">
      <w:pPr>
        <w:widowControl w:val="0"/>
        <w:kinsoku/>
        <w:wordWrap/>
        <w:overflowPunct/>
        <w:topLinePunct w:val="0"/>
        <w:bidi w:val="0"/>
        <w:adjustRightInd w:val="0"/>
        <w:snapToGrid w:val="0"/>
        <w:spacing w:beforeAutospacing="0" w:afterAutospacing="0" w:line="360" w:lineRule="auto"/>
        <w:ind w:left="0" w:leftChars="0" w:right="0" w:rightChars="0" w:firstLine="468" w:firstLineChars="200"/>
        <w:textAlignment w:val="auto"/>
        <w:rPr>
          <w:rFonts w:ascii="宋体" w:hAnsi="宋体" w:cs="宋体"/>
          <w:spacing w:val="-3"/>
          <w:position w:val="1"/>
          <w:sz w:val="24"/>
        </w:rPr>
      </w:pPr>
      <w:r>
        <w:rPr>
          <w:rFonts w:hint="eastAsia" w:ascii="宋体" w:hAnsi="宋体" w:cs="宋体"/>
          <w:spacing w:val="-3"/>
          <w:position w:val="1"/>
          <w:sz w:val="24"/>
        </w:rPr>
        <w:t>2、采购标项：</w:t>
      </w:r>
      <w:r>
        <w:rPr>
          <w:rFonts w:hint="eastAsia" w:ascii="宋体" w:hAnsi="宋体" w:cs="宋体"/>
          <w:sz w:val="24"/>
        </w:rPr>
        <w:t>房产类</w:t>
      </w:r>
      <w:r>
        <w:rPr>
          <w:rFonts w:hint="eastAsia" w:ascii="宋体" w:hAnsi="宋体" w:cs="宋体"/>
          <w:spacing w:val="-3"/>
          <w:position w:val="1"/>
          <w:sz w:val="24"/>
        </w:rPr>
        <w:t>法律服务。</w:t>
      </w:r>
    </w:p>
    <w:p w14:paraId="046998C6">
      <w:pPr>
        <w:widowControl w:val="0"/>
        <w:kinsoku/>
        <w:wordWrap/>
        <w:overflowPunct/>
        <w:topLinePunct w:val="0"/>
        <w:bidi w:val="0"/>
        <w:adjustRightInd w:val="0"/>
        <w:snapToGrid w:val="0"/>
        <w:spacing w:beforeAutospacing="0" w:afterAutospacing="0" w:line="360" w:lineRule="auto"/>
        <w:ind w:left="0" w:leftChars="0" w:right="0" w:rightChars="0" w:firstLine="468" w:firstLineChars="200"/>
        <w:jc w:val="left"/>
        <w:textAlignment w:val="auto"/>
        <w:outlineLvl w:val="1"/>
        <w:rPr>
          <w:rFonts w:hint="eastAsia" w:ascii="宋体" w:hAnsi="宋体" w:cs="宋体"/>
          <w:spacing w:val="-3"/>
          <w:position w:val="1"/>
          <w:sz w:val="24"/>
        </w:rPr>
      </w:pPr>
      <w:r>
        <w:rPr>
          <w:rFonts w:hint="eastAsia" w:ascii="宋体" w:hAnsi="宋体" w:cs="宋体"/>
          <w:spacing w:val="-3"/>
          <w:position w:val="1"/>
          <w:sz w:val="24"/>
        </w:rPr>
        <w:t>3、采购内容：</w:t>
      </w:r>
    </w:p>
    <w:p w14:paraId="7686F7CD">
      <w:pPr>
        <w:widowControl w:val="0"/>
        <w:kinsoku/>
        <w:wordWrap/>
        <w:overflowPunct/>
        <w:topLinePunct w:val="0"/>
        <w:bidi w:val="0"/>
        <w:adjustRightInd w:val="0"/>
        <w:snapToGrid w:val="0"/>
        <w:spacing w:beforeAutospacing="0" w:afterAutospacing="0" w:line="360" w:lineRule="auto"/>
        <w:ind w:left="0" w:leftChars="0" w:right="0" w:rightChars="0" w:firstLine="468" w:firstLineChars="200"/>
        <w:jc w:val="left"/>
        <w:textAlignment w:val="auto"/>
        <w:outlineLvl w:val="1"/>
        <w:rPr>
          <w:rFonts w:hint="eastAsia" w:ascii="宋体" w:hAnsi="宋体" w:cs="宋体"/>
          <w:spacing w:val="-3"/>
          <w:position w:val="1"/>
          <w:sz w:val="24"/>
        </w:rPr>
      </w:pPr>
      <w:r>
        <w:rPr>
          <w:rFonts w:hint="eastAsia" w:ascii="宋体" w:hAnsi="宋体" w:cs="宋体"/>
          <w:spacing w:val="-3"/>
          <w:position w:val="1"/>
          <w:sz w:val="24"/>
        </w:rPr>
        <w:t>为杭州市上城区住房和城建局以及局机关下属单位提供不仅限于房产类常年法律顾问服务及行政复议、行政诉讼、调解或仲裁案件、信访案件、法律文件等，以及上级部门交办的案件和采购人移交的其他需要协助、配合、办理的法律服务。</w:t>
      </w:r>
    </w:p>
    <w:p w14:paraId="31FB2F39">
      <w:pPr>
        <w:widowControl w:val="0"/>
        <w:kinsoku/>
        <w:wordWrap/>
        <w:overflowPunct/>
        <w:topLinePunct w:val="0"/>
        <w:bidi w:val="0"/>
        <w:adjustRightInd w:val="0"/>
        <w:snapToGrid w:val="0"/>
        <w:spacing w:beforeAutospacing="0" w:afterAutospacing="0" w:line="360" w:lineRule="auto"/>
        <w:ind w:left="0" w:leftChars="0" w:right="0" w:rightChars="0" w:firstLine="468" w:firstLineChars="200"/>
        <w:jc w:val="left"/>
        <w:textAlignment w:val="auto"/>
        <w:outlineLvl w:val="1"/>
        <w:rPr>
          <w:rFonts w:hint="eastAsia" w:ascii="宋体" w:hAnsi="宋体" w:cs="宋体"/>
          <w:spacing w:val="-3"/>
          <w:position w:val="1"/>
          <w:sz w:val="24"/>
        </w:rPr>
      </w:pPr>
      <w:r>
        <w:rPr>
          <w:rFonts w:hint="eastAsia" w:ascii="宋体" w:hAnsi="宋体" w:cs="宋体"/>
          <w:spacing w:val="-3"/>
          <w:position w:val="1"/>
          <w:sz w:val="24"/>
        </w:rPr>
        <w:t>4、合同履约地点：杭州市上城区</w:t>
      </w:r>
    </w:p>
    <w:p w14:paraId="4DA090F8">
      <w:pPr>
        <w:widowControl w:val="0"/>
        <w:kinsoku/>
        <w:wordWrap/>
        <w:overflowPunct/>
        <w:topLinePunct w:val="0"/>
        <w:bidi w:val="0"/>
        <w:adjustRightInd w:val="0"/>
        <w:snapToGrid w:val="0"/>
        <w:spacing w:beforeAutospacing="0" w:afterAutospacing="0" w:line="360" w:lineRule="auto"/>
        <w:ind w:left="0" w:leftChars="0" w:right="0" w:rightChars="0" w:firstLine="468" w:firstLineChars="200"/>
        <w:jc w:val="left"/>
        <w:textAlignment w:val="auto"/>
        <w:outlineLvl w:val="1"/>
        <w:rPr>
          <w:rFonts w:ascii="宋体" w:hAnsi="宋体" w:cs="宋体"/>
          <w:spacing w:val="-3"/>
          <w:position w:val="1"/>
          <w:sz w:val="24"/>
        </w:rPr>
      </w:pPr>
      <w:r>
        <w:rPr>
          <w:rFonts w:hint="eastAsia" w:ascii="宋体" w:hAnsi="宋体" w:cs="宋体"/>
          <w:spacing w:val="-3"/>
          <w:position w:val="1"/>
          <w:sz w:val="24"/>
        </w:rPr>
        <w:t>5、预算金额：房产类法律服务</w:t>
      </w:r>
      <w:r>
        <w:rPr>
          <w:rFonts w:hint="eastAsia" w:ascii="宋体" w:hAnsi="宋体" w:cs="宋体"/>
          <w:spacing w:val="-3"/>
          <w:position w:val="1"/>
          <w:sz w:val="24"/>
          <w:lang w:val="en-US" w:eastAsia="zh-CN"/>
        </w:rPr>
        <w:t>300000</w:t>
      </w:r>
      <w:r>
        <w:rPr>
          <w:rFonts w:hint="eastAsia" w:ascii="宋体" w:hAnsi="宋体" w:cs="宋体"/>
          <w:spacing w:val="-3"/>
          <w:position w:val="1"/>
          <w:sz w:val="24"/>
        </w:rPr>
        <w:t>元。</w:t>
      </w:r>
    </w:p>
    <w:p w14:paraId="1E4B6189">
      <w:pPr>
        <w:widowControl w:val="0"/>
        <w:kinsoku/>
        <w:wordWrap/>
        <w:overflowPunct/>
        <w:topLinePunct w:val="0"/>
        <w:bidi w:val="0"/>
        <w:adjustRightInd w:val="0"/>
        <w:snapToGrid w:val="0"/>
        <w:spacing w:beforeAutospacing="0" w:afterAutospacing="0" w:line="360" w:lineRule="auto"/>
        <w:ind w:right="0" w:rightChars="0"/>
        <w:jc w:val="left"/>
        <w:textAlignment w:val="auto"/>
        <w:outlineLvl w:val="1"/>
        <w:rPr>
          <w:rFonts w:hint="eastAsia" w:ascii="宋体" w:hAnsi="宋体" w:cs="宋体"/>
          <w:b/>
          <w:bCs/>
          <w:sz w:val="24"/>
        </w:rPr>
      </w:pPr>
      <w:r>
        <w:rPr>
          <w:rFonts w:hint="eastAsia" w:ascii="宋体" w:hAnsi="宋体" w:cs="宋体"/>
          <w:b/>
          <w:bCs/>
          <w:spacing w:val="-2"/>
          <w:sz w:val="24"/>
        </w:rPr>
        <w:t>二、具体服务要求</w:t>
      </w:r>
    </w:p>
    <w:p w14:paraId="58A08177">
      <w:pPr>
        <w:widowControl w:val="0"/>
        <w:kinsoku/>
        <w:wordWrap/>
        <w:overflowPunct/>
        <w:topLinePunct w:val="0"/>
        <w:bidi w:val="0"/>
        <w:adjustRightInd w:val="0"/>
        <w:snapToGrid w:val="0"/>
        <w:spacing w:beforeAutospacing="0" w:afterAutospacing="0" w:line="360" w:lineRule="auto"/>
        <w:ind w:left="0" w:leftChars="0" w:right="0" w:rightChars="0" w:firstLine="563"/>
        <w:textAlignment w:val="auto"/>
        <w:outlineLvl w:val="1"/>
        <w:rPr>
          <w:rFonts w:hint="eastAsia" w:ascii="宋体" w:hAnsi="宋体" w:cs="宋体"/>
          <w:sz w:val="24"/>
        </w:rPr>
      </w:pPr>
      <w:r>
        <w:rPr>
          <w:rFonts w:hint="eastAsia" w:ascii="宋体" w:hAnsi="宋体" w:cs="宋体"/>
          <w:spacing w:val="-3"/>
          <w:position w:val="1"/>
          <w:sz w:val="24"/>
        </w:rPr>
        <w:t>（一）项目内容范围</w:t>
      </w:r>
    </w:p>
    <w:p w14:paraId="600AB7B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（1）为采购人的重大行政决策提供法律咨询；并就决策的合法性提出意见或进行论证；</w:t>
      </w:r>
    </w:p>
    <w:p w14:paraId="413F2EDB">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（2）对采购人制定的规范性文件提供法律咨询或提出修改意见；</w:t>
      </w:r>
    </w:p>
    <w:p w14:paraId="7CDB506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（3）为采购人作出行政许可等具体行政行为提供法律咨询、意见，确保依法行政、合理行政、程序正当；</w:t>
      </w:r>
    </w:p>
    <w:p w14:paraId="375C650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（4）受采购人委托参与有关行政复议、行政诉讼、调解或仲裁案件；</w:t>
      </w:r>
    </w:p>
    <w:p w14:paraId="2255206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（5）起草、审核、修改协议、合同、章程等各类法律文件；</w:t>
      </w:r>
    </w:p>
    <w:p w14:paraId="6C4E21D0">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（6）受委托对涉法事件进行法律风险评估，并协助处理涉法信访事件；</w:t>
      </w:r>
    </w:p>
    <w:p w14:paraId="7507434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（7）承担相应的法律援助任务；</w:t>
      </w:r>
    </w:p>
    <w:p w14:paraId="11C96DC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（8）不定期对采购人执法人员进行法制宣传教育；</w:t>
      </w:r>
    </w:p>
    <w:p w14:paraId="732EACFD">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（9）协助采购人委托的其他涉法事务。</w:t>
      </w:r>
    </w:p>
    <w:p w14:paraId="086050A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cs="宋体"/>
          <w:sz w:val="24"/>
        </w:rPr>
      </w:pPr>
      <w:r>
        <w:rPr>
          <w:rFonts w:hint="eastAsia" w:ascii="宋体" w:hAnsi="宋体" w:cs="宋体"/>
          <w:sz w:val="24"/>
        </w:rPr>
        <w:t>（10）有关不仅限于消防、建筑市场管理、建设审批的政策制定、行政复议、行政诉讼、民事诉讼、调解或仲裁案件，法律文件等，</w:t>
      </w:r>
      <w:r>
        <w:rPr>
          <w:rFonts w:hint="eastAsia" w:ascii="宋体" w:hAnsi="宋体" w:cs="宋体"/>
          <w:spacing w:val="-3"/>
          <w:position w:val="1"/>
          <w:sz w:val="24"/>
        </w:rPr>
        <w:t>以及上级部门交办的案件和</w:t>
      </w:r>
      <w:r>
        <w:rPr>
          <w:rFonts w:hint="eastAsia" w:ascii="宋体" w:hAnsi="宋体" w:cs="宋体"/>
          <w:sz w:val="24"/>
        </w:rPr>
        <w:t>采购人交办的其他所有法律服务工作。</w:t>
      </w:r>
    </w:p>
    <w:p w14:paraId="7198EDE2">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宋体"/>
          <w:sz w:val="24"/>
        </w:rPr>
      </w:pPr>
      <w:r>
        <w:rPr>
          <w:rFonts w:hint="eastAsia" w:ascii="宋体" w:hAnsi="宋体" w:cs="宋体"/>
          <w:sz w:val="24"/>
        </w:rPr>
        <w:t>（二）服务要求</w:t>
      </w:r>
    </w:p>
    <w:p w14:paraId="6E0EA108">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hint="eastAsia" w:ascii="宋体" w:hAnsi="宋体" w:cs="宋体"/>
          <w:b/>
          <w:bCs/>
          <w:sz w:val="24"/>
        </w:rPr>
      </w:pPr>
      <w:r>
        <w:rPr>
          <w:rFonts w:hint="eastAsia" w:ascii="宋体" w:hAnsi="宋体" w:cs="宋体"/>
          <w:b/>
          <w:bCs/>
          <w:sz w:val="24"/>
        </w:rPr>
        <w:t>1. 服务对象</w:t>
      </w:r>
    </w:p>
    <w:p w14:paraId="5C9C2E14">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宋体"/>
          <w:sz w:val="24"/>
        </w:rPr>
      </w:pPr>
      <w:r>
        <w:rPr>
          <w:rFonts w:hint="eastAsia" w:ascii="宋体" w:hAnsi="宋体" w:cs="宋体"/>
          <w:sz w:val="24"/>
        </w:rPr>
        <w:t>局机关杭州市上城区住房和城市建设局，以及局机关下属单位杭州市上城区城市发展研究中心、杭州市上城区建设工程质量安全监督站、</w:t>
      </w:r>
      <w:r>
        <w:rPr>
          <w:rFonts w:hint="eastAsia" w:ascii="宋体" w:hAnsi="宋体" w:cs="宋体"/>
          <w:sz w:val="24"/>
          <w:woUserID w:val="2"/>
        </w:rPr>
        <w:t>杭州市上城区房屋安全和租赁事务中心</w:t>
      </w:r>
      <w:r>
        <w:rPr>
          <w:rFonts w:hint="eastAsia" w:ascii="宋体" w:hAnsi="宋体" w:cs="宋体"/>
          <w:color w:val="417FF9"/>
          <w:sz w:val="24"/>
          <w:highlight w:val="none"/>
        </w:rPr>
        <w:t>、</w:t>
      </w:r>
      <w:r>
        <w:rPr>
          <w:rFonts w:hint="eastAsia" w:ascii="宋体" w:hAnsi="宋体" w:cs="宋体"/>
          <w:sz w:val="24"/>
        </w:rPr>
        <w:t>杭州市上城区国有土地房屋征收补偿事务中心、杭州市上城区建设公有资产管理中心、杭州市上城区历史文化街区和历史建筑保护服务中心、杭州市上城区园林绿化发展中心、杭州市上城区城市基础设施建设中心、</w:t>
      </w:r>
      <w:r>
        <w:rPr>
          <w:rFonts w:hint="eastAsia" w:ascii="宋体" w:hAnsi="宋体" w:cs="宋体"/>
          <w:sz w:val="24"/>
          <w:woUserID w:val="2"/>
        </w:rPr>
        <w:t>杭州市上城区</w:t>
      </w:r>
      <w:r>
        <w:rPr>
          <w:rFonts w:hint="default" w:ascii="宋体" w:hAnsi="宋体" w:cs="宋体"/>
          <w:sz w:val="24"/>
          <w:woUserID w:val="2"/>
        </w:rPr>
        <w:t>直管公房</w:t>
      </w:r>
      <w:r>
        <w:rPr>
          <w:rFonts w:hint="eastAsia" w:ascii="宋体" w:hAnsi="宋体" w:cs="宋体"/>
          <w:sz w:val="24"/>
          <w:woUserID w:val="2"/>
        </w:rPr>
        <w:t>保障服务中心</w:t>
      </w:r>
      <w:r>
        <w:rPr>
          <w:rFonts w:hint="eastAsia" w:ascii="宋体" w:hAnsi="宋体" w:cs="宋体"/>
          <w:color w:val="417FF9"/>
          <w:sz w:val="24"/>
        </w:rPr>
        <w:t>、</w:t>
      </w:r>
      <w:r>
        <w:rPr>
          <w:rFonts w:hint="eastAsia" w:ascii="宋体" w:hAnsi="宋体" w:cs="宋体"/>
          <w:sz w:val="24"/>
        </w:rPr>
        <w:t>杭州市上城区农居建设管理中心等。</w:t>
      </w:r>
    </w:p>
    <w:p w14:paraId="7CC8F20A">
      <w:pPr>
        <w:widowControl w:val="0"/>
        <w:kinsoku/>
        <w:wordWrap/>
        <w:overflowPunct/>
        <w:topLinePunct w:val="0"/>
        <w:bidi w:val="0"/>
        <w:adjustRightInd w:val="0"/>
        <w:snapToGrid w:val="0"/>
        <w:spacing w:beforeAutospacing="0" w:afterAutospacing="0" w:line="360" w:lineRule="auto"/>
        <w:ind w:left="0" w:leftChars="0" w:right="0" w:rightChars="0" w:firstLine="470" w:firstLineChars="200"/>
        <w:textAlignment w:val="auto"/>
        <w:outlineLvl w:val="2"/>
        <w:rPr>
          <w:rFonts w:hint="eastAsia" w:ascii="宋体" w:hAnsi="宋体" w:cs="宋体"/>
          <w:b/>
          <w:bCs/>
          <w:sz w:val="24"/>
        </w:rPr>
      </w:pPr>
      <w:r>
        <w:rPr>
          <w:rFonts w:hint="eastAsia" w:ascii="宋体" w:hAnsi="宋体" w:cs="宋体"/>
          <w:b/>
          <w:bCs/>
          <w:spacing w:val="-3"/>
          <w:sz w:val="24"/>
        </w:rPr>
        <w:t>2.基本要求</w:t>
      </w:r>
    </w:p>
    <w:p w14:paraId="796EF828">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（1）供应商必须认同并遵守服务对象的一切规章制度和管理要求，愿意接受采购人的考核管理。</w:t>
      </w:r>
    </w:p>
    <w:p w14:paraId="7DC8D75D">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（2）供应商应指派三名以上从事政府法律顾问经验的本单位律师，并指派一名项目负责人，服务对象有以上服务范围内的需求时，可及时联络到顾问律师。</w:t>
      </w:r>
    </w:p>
    <w:p w14:paraId="52EC5B45">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（3）供应商应保证指派的顾问律师每周至少2次有一人在采购人处为服务对象提供顾问服务，并及时响应服务对象的需求，确保24小时电话畅通，遇紧急突发情况要求积极配合确保3小时内到场处理。</w:t>
      </w:r>
    </w:p>
    <w:p w14:paraId="26F6E352">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（4）供应商必须爱护采购人提供办公场地和各种设备设施，做好采购人提供的办公场所内办公桌椅等各类办公物品管理工作，对丢失（遗失）或人为损坏须按价赔偿。</w:t>
      </w:r>
    </w:p>
    <w:p w14:paraId="7577AA07">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（5）供应商应根据服务对象要求做好各类相关法律服务工作，维护服务对象合法权益，严禁在办公场所开展其他与法律工作无关的活动。</w:t>
      </w:r>
    </w:p>
    <w:p w14:paraId="56ED8A35">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（6）供应商不得从事有损于服务对象利益的其他活动，要求对日常接触了解到的不宜公开或保密的情况负有保密责任。在服务对象的诉讼、调解或仲裁活动中，供应商不得担任对方当事人代理人。</w:t>
      </w:r>
    </w:p>
    <w:p w14:paraId="08DAA3B0">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（7）案件办理费用支付要求：案件装订标准和资料归档，须在案件办理之后，按合同约定付款日的7日前将装订归档的案卷移交招标人。装订标准满足招标人</w:t>
      </w:r>
      <w:r>
        <w:rPr>
          <w:rFonts w:hint="eastAsia" w:ascii="宋体" w:hAnsi="宋体" w:cs="宋体"/>
          <w:spacing w:val="-1"/>
          <w:sz w:val="24"/>
        </w:rPr>
        <w:t>《人民法院诉讼文书立卷归档办法》文件标准</w:t>
      </w:r>
      <w:r>
        <w:rPr>
          <w:rFonts w:hint="eastAsia" w:ascii="宋体" w:hAnsi="宋体" w:cs="宋体"/>
          <w:spacing w:val="-3"/>
          <w:sz w:val="24"/>
        </w:rPr>
        <w:t xml:space="preserve">。 </w:t>
      </w:r>
    </w:p>
    <w:p w14:paraId="49AE0C6A">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spacing w:val="-3"/>
          <w:sz w:val="24"/>
        </w:rPr>
      </w:pPr>
      <w:r>
        <w:rPr>
          <w:rFonts w:hint="eastAsia" w:ascii="宋体" w:hAnsi="宋体" w:cs="宋体"/>
          <w:spacing w:val="-3"/>
          <w:sz w:val="24"/>
        </w:rPr>
        <w:t>（8）由于中标单位服务不能及时响应，工作需求不能满足招标人要求的，招标人有权提前终止合同</w:t>
      </w:r>
    </w:p>
    <w:p w14:paraId="7DD8093B">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2"/>
        <w:rPr>
          <w:rFonts w:hint="eastAsia" w:ascii="宋体" w:hAnsi="宋体" w:cs="宋体"/>
          <w:b/>
          <w:bCs/>
          <w:sz w:val="24"/>
        </w:rPr>
      </w:pPr>
      <w:r>
        <w:rPr>
          <w:rFonts w:hint="eastAsia" w:ascii="宋体" w:hAnsi="宋体" w:cs="宋体"/>
          <w:b/>
          <w:bCs/>
          <w:spacing w:val="-3"/>
          <w:sz w:val="24"/>
        </w:rPr>
        <w:t>3.</w:t>
      </w:r>
      <w:r>
        <w:rPr>
          <w:rFonts w:hint="eastAsia" w:ascii="宋体" w:hAnsi="宋体" w:cs="宋体"/>
          <w:b/>
          <w:bCs/>
          <w:spacing w:val="3"/>
          <w:w w:val="101"/>
          <w:sz w:val="24"/>
        </w:rPr>
        <w:t xml:space="preserve"> </w:t>
      </w:r>
      <w:r>
        <w:rPr>
          <w:rFonts w:hint="eastAsia" w:ascii="宋体" w:hAnsi="宋体" w:cs="宋体"/>
          <w:b/>
          <w:bCs/>
          <w:spacing w:val="-3"/>
          <w:sz w:val="24"/>
        </w:rPr>
        <w:t>法律咨询服务</w:t>
      </w:r>
    </w:p>
    <w:p w14:paraId="73956E26">
      <w:pPr>
        <w:widowControl w:val="0"/>
        <w:kinsoku/>
        <w:wordWrap/>
        <w:overflowPunct/>
        <w:topLinePunct w:val="0"/>
        <w:bidi w:val="0"/>
        <w:adjustRightInd w:val="0"/>
        <w:snapToGrid w:val="0"/>
        <w:spacing w:beforeAutospacing="0" w:afterAutospacing="0" w:line="360" w:lineRule="auto"/>
        <w:ind w:left="0" w:leftChars="0" w:right="0" w:rightChars="0" w:firstLine="425"/>
        <w:textAlignment w:val="auto"/>
        <w:rPr>
          <w:rFonts w:hint="eastAsia" w:ascii="宋体" w:hAnsi="宋体" w:cs="宋体"/>
          <w:sz w:val="24"/>
        </w:rPr>
      </w:pPr>
      <w:r>
        <w:rPr>
          <w:rFonts w:hint="eastAsia" w:ascii="宋体" w:hAnsi="宋体" w:cs="宋体"/>
          <w:sz w:val="24"/>
        </w:rPr>
        <w:t>（1）为服务对象的各科室工作人员提供日常法律咨询服务，对服务对象的法律咨询及法律事务</w:t>
      </w:r>
      <w:r>
        <w:rPr>
          <w:rFonts w:hint="eastAsia" w:ascii="宋体" w:hAnsi="宋体" w:cs="宋体"/>
          <w:spacing w:val="-5"/>
          <w:sz w:val="24"/>
        </w:rPr>
        <w:t>应按服务对象要求作出及时解答，一般应在</w:t>
      </w:r>
      <w:r>
        <w:rPr>
          <w:rFonts w:hint="eastAsia" w:ascii="宋体" w:hAnsi="宋体" w:cs="宋体"/>
          <w:spacing w:val="-42"/>
          <w:sz w:val="24"/>
        </w:rPr>
        <w:t xml:space="preserve"> </w:t>
      </w:r>
      <w:r>
        <w:rPr>
          <w:rFonts w:hint="eastAsia" w:ascii="宋体" w:hAnsi="宋体" w:cs="宋体"/>
          <w:spacing w:val="-5"/>
          <w:sz w:val="24"/>
        </w:rPr>
        <w:t>24</w:t>
      </w:r>
      <w:r>
        <w:rPr>
          <w:rFonts w:hint="eastAsia" w:ascii="宋体" w:hAnsi="宋体" w:cs="宋体"/>
          <w:spacing w:val="10"/>
          <w:sz w:val="24"/>
        </w:rPr>
        <w:t xml:space="preserve"> </w:t>
      </w:r>
      <w:r>
        <w:rPr>
          <w:rFonts w:hint="eastAsia" w:ascii="宋体" w:hAnsi="宋体" w:cs="宋体"/>
          <w:spacing w:val="-5"/>
          <w:sz w:val="24"/>
        </w:rPr>
        <w:t>小时（紧急事务应在5小时）</w:t>
      </w:r>
      <w:r>
        <w:rPr>
          <w:rFonts w:hint="eastAsia" w:ascii="宋体" w:hAnsi="宋体" w:cs="宋体"/>
          <w:spacing w:val="22"/>
          <w:sz w:val="24"/>
        </w:rPr>
        <w:t xml:space="preserve"> </w:t>
      </w:r>
      <w:r>
        <w:rPr>
          <w:rFonts w:hint="eastAsia" w:ascii="宋体" w:hAnsi="宋体" w:cs="宋体"/>
          <w:spacing w:val="-5"/>
          <w:sz w:val="24"/>
        </w:rPr>
        <w:t>内作出回复，并对相关</w:t>
      </w:r>
      <w:r>
        <w:rPr>
          <w:rFonts w:hint="eastAsia" w:ascii="宋体" w:hAnsi="宋体" w:cs="宋体"/>
          <w:sz w:val="24"/>
        </w:rPr>
        <w:t xml:space="preserve"> </w:t>
      </w:r>
      <w:r>
        <w:rPr>
          <w:rFonts w:hint="eastAsia" w:ascii="宋体" w:hAnsi="宋体" w:cs="宋体"/>
          <w:spacing w:val="-1"/>
          <w:sz w:val="24"/>
        </w:rPr>
        <w:t>问题提出具体的可操作方案和解决途径；</w:t>
      </w:r>
    </w:p>
    <w:p w14:paraId="3884CA72">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（2）修改、审查服务对象需要的合同、协议以及其他有关法律事务文书和规章制度。</w:t>
      </w:r>
    </w:p>
    <w:p w14:paraId="13C5F4DD">
      <w:pPr>
        <w:widowControl w:val="0"/>
        <w:kinsoku/>
        <w:wordWrap/>
        <w:overflowPunct/>
        <w:topLinePunct w:val="0"/>
        <w:bidi w:val="0"/>
        <w:adjustRightInd w:val="0"/>
        <w:snapToGrid w:val="0"/>
        <w:spacing w:beforeAutospacing="0" w:afterAutospacing="0" w:line="360" w:lineRule="auto"/>
        <w:ind w:left="0" w:leftChars="0" w:right="0" w:rightChars="0" w:firstLine="425"/>
        <w:textAlignment w:val="auto"/>
        <w:rPr>
          <w:rFonts w:hint="eastAsia" w:ascii="宋体" w:hAnsi="宋体" w:cs="宋体"/>
          <w:sz w:val="24"/>
        </w:rPr>
      </w:pPr>
      <w:r>
        <w:rPr>
          <w:rFonts w:hint="eastAsia" w:ascii="宋体" w:hAnsi="宋体" w:cs="宋体"/>
          <w:sz w:val="24"/>
        </w:rPr>
        <w:t>（3）根据服务对象通知列席服务对象召开的会议，及时了解服务对象动态，为服务对象重大行</w:t>
      </w:r>
      <w:r>
        <w:rPr>
          <w:rFonts w:hint="eastAsia" w:ascii="宋体" w:hAnsi="宋体" w:cs="宋体"/>
          <w:spacing w:val="-2"/>
          <w:sz w:val="24"/>
        </w:rPr>
        <w:t>政决策提供法律意见及法律依据，或者应服务对象要求，对服务对象的决策进行法律论证和法律风险</w:t>
      </w:r>
      <w:r>
        <w:rPr>
          <w:rFonts w:hint="eastAsia" w:ascii="宋体" w:hAnsi="宋体" w:cs="宋体"/>
          <w:spacing w:val="-3"/>
          <w:sz w:val="24"/>
        </w:rPr>
        <w:t>的评价。</w:t>
      </w:r>
    </w:p>
    <w:p w14:paraId="11E3EF88">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（4）应服务对象要求审阅其对外公告，出具或签署与服务对象有关的法律文件。</w:t>
      </w:r>
    </w:p>
    <w:p w14:paraId="780979F4">
      <w:pPr>
        <w:widowControl w:val="0"/>
        <w:kinsoku/>
        <w:wordWrap/>
        <w:overflowPunct/>
        <w:topLinePunct w:val="0"/>
        <w:bidi w:val="0"/>
        <w:adjustRightInd w:val="0"/>
        <w:snapToGrid w:val="0"/>
        <w:spacing w:beforeAutospacing="0" w:afterAutospacing="0" w:line="360" w:lineRule="auto"/>
        <w:ind w:left="0" w:leftChars="0" w:right="0" w:rightChars="0" w:firstLine="425"/>
        <w:textAlignment w:val="auto"/>
        <w:rPr>
          <w:rFonts w:hint="eastAsia" w:ascii="宋体" w:hAnsi="宋体" w:cs="宋体"/>
          <w:sz w:val="24"/>
        </w:rPr>
      </w:pPr>
      <w:r>
        <w:rPr>
          <w:rFonts w:hint="eastAsia" w:ascii="宋体" w:hAnsi="宋体" w:cs="宋体"/>
          <w:sz w:val="24"/>
        </w:rPr>
        <w:t>（5）为服务对象涉及的各类纠纷、重大行政决策规范性文件、其他服务对象需要供应商提供法</w:t>
      </w:r>
      <w:r>
        <w:rPr>
          <w:rFonts w:hint="eastAsia" w:ascii="宋体" w:hAnsi="宋体" w:cs="宋体"/>
          <w:spacing w:val="24"/>
          <w:sz w:val="24"/>
        </w:rPr>
        <w:t xml:space="preserve"> </w:t>
      </w:r>
      <w:r>
        <w:rPr>
          <w:rFonts w:hint="eastAsia" w:ascii="宋体" w:hAnsi="宋体" w:cs="宋体"/>
          <w:spacing w:val="-1"/>
          <w:sz w:val="24"/>
        </w:rPr>
        <w:t>律支持或出具法律意见书</w:t>
      </w:r>
      <w:r>
        <w:rPr>
          <w:rFonts w:hint="eastAsia" w:ascii="宋体" w:hAnsi="宋体" w:cs="宋体"/>
          <w:spacing w:val="-65"/>
          <w:sz w:val="24"/>
        </w:rPr>
        <w:t>，</w:t>
      </w:r>
      <w:r>
        <w:rPr>
          <w:rFonts w:hint="eastAsia" w:ascii="宋体" w:hAnsi="宋体" w:cs="宋体"/>
          <w:spacing w:val="-1"/>
          <w:sz w:val="24"/>
        </w:rPr>
        <w:t>必要时向对方出具律师函。</w:t>
      </w:r>
    </w:p>
    <w:p w14:paraId="4BAD27DE">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ascii="宋体" w:hAnsi="宋体" w:cs="宋体"/>
          <w:sz w:val="24"/>
        </w:rPr>
      </w:pPr>
      <w:r>
        <w:rPr>
          <w:rFonts w:hint="eastAsia" w:ascii="宋体" w:hAnsi="宋体" w:cs="宋体"/>
          <w:spacing w:val="-1"/>
          <w:sz w:val="24"/>
        </w:rPr>
        <w:t>（6）代理服务对象参加行政诉讼或仲裁、行政复议、检察监督、民事等诉讼案件，维护服务对象的合法权益，并参照《人民法院诉讼文书立卷归档办法》文件标准，负责进行案件装订并移交至招标人。因投标人自身原因导致案卷未按期交付致使财政预算资金被上交无法支付的，由此产生的损失、后果由投标人自行承担。</w:t>
      </w:r>
    </w:p>
    <w:p w14:paraId="4483D47F">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z w:val="24"/>
        </w:rPr>
        <w:t>（7）案件举证答辩由投标人自行打印到甲方单位盖章并邮寄。</w:t>
      </w:r>
    </w:p>
    <w:p w14:paraId="1404A3CE">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pacing w:val="-1"/>
          <w:sz w:val="24"/>
        </w:rPr>
      </w:pPr>
      <w:r>
        <w:rPr>
          <w:rFonts w:hint="eastAsia" w:ascii="宋体" w:hAnsi="宋体" w:cs="宋体"/>
          <w:spacing w:val="-1"/>
          <w:sz w:val="24"/>
        </w:rPr>
        <w:t>（8）出具的所有法律意见书，投标人先指派律师先行签字，电子版提交，当月月底集中提供原件，招标人认为的需要加盖公章签字的，投标人需予以提供。</w:t>
      </w:r>
    </w:p>
    <w:p w14:paraId="3ED2C290">
      <w:pPr>
        <w:widowControl w:val="0"/>
        <w:kinsoku/>
        <w:wordWrap/>
        <w:overflowPunct/>
        <w:topLinePunct w:val="0"/>
        <w:bidi w:val="0"/>
        <w:adjustRightInd w:val="0"/>
        <w:snapToGrid w:val="0"/>
        <w:spacing w:beforeAutospacing="0" w:afterAutospacing="0" w:line="360" w:lineRule="auto"/>
        <w:ind w:left="0" w:leftChars="0" w:right="0" w:rightChars="0" w:firstLine="536"/>
        <w:textAlignment w:val="auto"/>
        <w:outlineLvl w:val="2"/>
        <w:rPr>
          <w:rFonts w:hint="eastAsia" w:ascii="宋体" w:hAnsi="宋体" w:cs="宋体"/>
          <w:sz w:val="24"/>
        </w:rPr>
      </w:pPr>
      <w:r>
        <w:rPr>
          <w:rFonts w:hint="eastAsia" w:ascii="宋体" w:hAnsi="宋体" w:cs="宋体"/>
          <w:b/>
          <w:bCs/>
          <w:spacing w:val="-2"/>
          <w:sz w:val="24"/>
        </w:rPr>
        <w:t>4.</w:t>
      </w:r>
      <w:r>
        <w:rPr>
          <w:rFonts w:hint="eastAsia" w:ascii="宋体" w:hAnsi="宋体" w:cs="宋体"/>
          <w:spacing w:val="-2"/>
          <w:sz w:val="24"/>
        </w:rPr>
        <w:t>风险排查及评估服务</w:t>
      </w:r>
    </w:p>
    <w:p w14:paraId="3C03E0EA">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（1）供应商应建立完善的项目合同审核管理制度，协助服务对象做好合同把关工作。</w:t>
      </w:r>
    </w:p>
    <w:p w14:paraId="6AA4BBA1">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（2）优化完善服务对象的合同范本。</w:t>
      </w:r>
    </w:p>
    <w:p w14:paraId="16248485">
      <w:pPr>
        <w:widowControl w:val="0"/>
        <w:kinsoku/>
        <w:wordWrap/>
        <w:overflowPunct/>
        <w:topLinePunct w:val="0"/>
        <w:bidi w:val="0"/>
        <w:adjustRightInd w:val="0"/>
        <w:snapToGrid w:val="0"/>
        <w:spacing w:beforeAutospacing="0" w:afterAutospacing="0" w:line="360" w:lineRule="auto"/>
        <w:ind w:left="0" w:leftChars="0" w:right="0" w:rightChars="0" w:firstLine="420"/>
        <w:textAlignment w:val="auto"/>
        <w:rPr>
          <w:rFonts w:hint="eastAsia" w:ascii="宋体" w:hAnsi="宋体" w:cs="宋体"/>
          <w:sz w:val="24"/>
        </w:rPr>
      </w:pPr>
      <w:r>
        <w:rPr>
          <w:rFonts w:hint="eastAsia" w:ascii="宋体" w:hAnsi="宋体" w:cs="宋体"/>
          <w:sz w:val="24"/>
        </w:rPr>
        <w:t>（3）直接参与服务对象重要的谈判并提供全程的法律服务，协助服务对象方起草或修改、审查</w:t>
      </w:r>
      <w:r>
        <w:rPr>
          <w:rFonts w:hint="eastAsia" w:ascii="宋体" w:hAnsi="宋体" w:cs="宋体"/>
          <w:spacing w:val="24"/>
          <w:sz w:val="24"/>
        </w:rPr>
        <w:t xml:space="preserve"> </w:t>
      </w:r>
      <w:r>
        <w:rPr>
          <w:rFonts w:hint="eastAsia" w:ascii="宋体" w:hAnsi="宋体" w:cs="宋体"/>
          <w:spacing w:val="-1"/>
          <w:sz w:val="24"/>
        </w:rPr>
        <w:t>商务谈判所需的法律文本，从法律上最大限度地预防及控制风险，尽最大努力保护服务对象的利益。</w:t>
      </w:r>
    </w:p>
    <w:p w14:paraId="32F3E056">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（4）为服务对象开展法律风险评估，给予服务对象合理性整改意见，控制法律风险。</w:t>
      </w:r>
    </w:p>
    <w:p w14:paraId="40342F7C">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（5）能根据服务对象要求或随时指示处理其他杂项法律事务。</w:t>
      </w:r>
    </w:p>
    <w:p w14:paraId="7387B375">
      <w:pPr>
        <w:widowControl w:val="0"/>
        <w:kinsoku/>
        <w:wordWrap/>
        <w:overflowPunct/>
        <w:topLinePunct w:val="0"/>
        <w:bidi w:val="0"/>
        <w:adjustRightInd w:val="0"/>
        <w:snapToGrid w:val="0"/>
        <w:spacing w:beforeAutospacing="0" w:afterAutospacing="0" w:line="360" w:lineRule="auto"/>
        <w:ind w:left="0" w:leftChars="0" w:right="0" w:rightChars="0" w:firstLine="541"/>
        <w:textAlignment w:val="auto"/>
        <w:outlineLvl w:val="2"/>
        <w:rPr>
          <w:rFonts w:hint="eastAsia" w:ascii="宋体" w:hAnsi="宋体" w:cs="宋体"/>
          <w:sz w:val="24"/>
        </w:rPr>
      </w:pPr>
      <w:r>
        <w:rPr>
          <w:rFonts w:hint="eastAsia" w:ascii="宋体" w:hAnsi="宋体" w:cs="宋体"/>
          <w:b/>
          <w:bCs/>
          <w:spacing w:val="-2"/>
          <w:sz w:val="24"/>
        </w:rPr>
        <w:t>5.</w:t>
      </w:r>
      <w:r>
        <w:rPr>
          <w:rFonts w:hint="eastAsia" w:ascii="宋体" w:hAnsi="宋体" w:cs="宋体"/>
          <w:spacing w:val="-2"/>
          <w:sz w:val="24"/>
        </w:rPr>
        <w:t>法律宣传及培训服务</w:t>
      </w:r>
    </w:p>
    <w:p w14:paraId="42127C0A">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（1）为服务对象依法行政、政府信息公开、房屋征收等方面法律知识和业务培训。</w:t>
      </w:r>
    </w:p>
    <w:p w14:paraId="1401B247">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（2）协助服务对象对员工进行技巧培训。</w:t>
      </w:r>
    </w:p>
    <w:p w14:paraId="5B4A7842">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rPr>
          <w:rFonts w:hint="eastAsia" w:ascii="宋体" w:hAnsi="宋体" w:cs="宋体"/>
          <w:sz w:val="24"/>
        </w:rPr>
      </w:pPr>
      <w:r>
        <w:rPr>
          <w:rFonts w:hint="eastAsia" w:ascii="宋体" w:hAnsi="宋体" w:cs="宋体"/>
          <w:spacing w:val="-1"/>
          <w:sz w:val="24"/>
        </w:rPr>
        <w:t>（3）对服务对象内部的法律工作人员的工作进行指导。</w:t>
      </w:r>
    </w:p>
    <w:p w14:paraId="3FAE6B08">
      <w:pPr>
        <w:widowControl w:val="0"/>
        <w:kinsoku/>
        <w:wordWrap/>
        <w:overflowPunct/>
        <w:topLinePunct w:val="0"/>
        <w:bidi w:val="0"/>
        <w:adjustRightInd w:val="0"/>
        <w:snapToGrid w:val="0"/>
        <w:spacing w:beforeAutospacing="0" w:afterAutospacing="0" w:line="360" w:lineRule="auto"/>
        <w:ind w:left="0" w:leftChars="0" w:right="0" w:rightChars="0" w:firstLine="541"/>
        <w:textAlignment w:val="auto"/>
        <w:outlineLvl w:val="2"/>
        <w:rPr>
          <w:rFonts w:hint="eastAsia" w:ascii="宋体" w:hAnsi="宋体" w:cs="宋体"/>
          <w:sz w:val="24"/>
        </w:rPr>
      </w:pPr>
      <w:r>
        <w:rPr>
          <w:rFonts w:hint="eastAsia" w:ascii="宋体" w:hAnsi="宋体" w:cs="宋体"/>
          <w:b/>
          <w:bCs/>
          <w:spacing w:val="-3"/>
          <w:sz w:val="24"/>
        </w:rPr>
        <w:t>6.</w:t>
      </w:r>
      <w:r>
        <w:rPr>
          <w:rFonts w:hint="eastAsia" w:ascii="宋体" w:hAnsi="宋体" w:cs="宋体"/>
          <w:spacing w:val="-3"/>
          <w:sz w:val="24"/>
        </w:rPr>
        <w:t>特别说明</w:t>
      </w:r>
    </w:p>
    <w:p w14:paraId="525E0B7C">
      <w:pPr>
        <w:widowControl w:val="0"/>
        <w:kinsoku/>
        <w:wordWrap/>
        <w:overflowPunct/>
        <w:topLinePunct w:val="0"/>
        <w:bidi w:val="0"/>
        <w:adjustRightInd w:val="0"/>
        <w:snapToGrid w:val="0"/>
        <w:spacing w:beforeAutospacing="0" w:afterAutospacing="0" w:line="360" w:lineRule="auto"/>
        <w:ind w:left="0" w:leftChars="0" w:right="0" w:rightChars="0" w:firstLine="563"/>
        <w:textAlignment w:val="auto"/>
        <w:rPr>
          <w:rFonts w:hint="eastAsia" w:ascii="宋体" w:hAnsi="宋体" w:cs="宋体"/>
          <w:sz w:val="24"/>
          <w:u w:val="single"/>
        </w:rPr>
      </w:pPr>
      <w:r>
        <w:rPr>
          <w:rFonts w:hint="eastAsia" w:ascii="宋体" w:hAnsi="宋体" w:cs="宋体"/>
          <w:sz w:val="24"/>
        </w:rPr>
        <w:t>1、</w:t>
      </w:r>
      <w:r>
        <w:rPr>
          <w:rFonts w:hint="eastAsia" w:ascii="宋体" w:hAnsi="宋体" w:cs="宋体"/>
          <w:sz w:val="24"/>
          <w:u w:val="single"/>
        </w:rPr>
        <w:t>在服务期内，服务对象若有民事案件，供应商也需要接受委托，收费标准按照浙江省物价局、浙江省司法厅《关于制定律师服务收费标准的通知》（浙价服〔2011〕212号） 规定计收（投标人另有优惠承诺服务除外）。</w:t>
      </w:r>
    </w:p>
    <w:p w14:paraId="5C81B227">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outlineLvl w:val="1"/>
        <w:rPr>
          <w:rFonts w:hint="eastAsia" w:ascii="宋体" w:hAnsi="宋体" w:cs="宋体"/>
          <w:sz w:val="24"/>
        </w:rPr>
      </w:pPr>
      <w:r>
        <w:rPr>
          <w:rFonts w:hint="eastAsia" w:ascii="宋体" w:hAnsi="宋体" w:cs="宋体"/>
          <w:spacing w:val="-16"/>
          <w:sz w:val="24"/>
        </w:rPr>
        <w:t>（三）</w:t>
      </w:r>
      <w:r>
        <w:rPr>
          <w:rFonts w:hint="eastAsia" w:ascii="宋体" w:hAnsi="宋体" w:cs="宋体"/>
          <w:spacing w:val="-3"/>
          <w:sz w:val="24"/>
        </w:rPr>
        <w:t xml:space="preserve"> </w:t>
      </w:r>
      <w:r>
        <w:rPr>
          <w:rFonts w:hint="eastAsia" w:ascii="宋体" w:hAnsi="宋体" w:cs="宋体"/>
          <w:spacing w:val="-16"/>
          <w:sz w:val="24"/>
        </w:rPr>
        <w:t>服务期限</w:t>
      </w:r>
    </w:p>
    <w:p w14:paraId="70295763">
      <w:pPr>
        <w:widowControl w:val="0"/>
        <w:kinsoku/>
        <w:wordWrap/>
        <w:overflowPunct/>
        <w:topLinePunct w:val="0"/>
        <w:bidi w:val="0"/>
        <w:adjustRightInd w:val="0"/>
        <w:snapToGrid w:val="0"/>
        <w:spacing w:beforeAutospacing="0" w:afterAutospacing="0" w:line="360" w:lineRule="auto"/>
        <w:ind w:left="0" w:leftChars="0" w:right="0" w:rightChars="0" w:firstLine="574"/>
        <w:jc w:val="left"/>
        <w:textAlignment w:val="auto"/>
        <w:rPr>
          <w:rFonts w:hint="eastAsia" w:ascii="宋体" w:hAnsi="宋体" w:cs="宋体"/>
          <w:sz w:val="24"/>
        </w:rPr>
      </w:pPr>
      <w:r>
        <w:rPr>
          <w:rFonts w:hint="eastAsia" w:ascii="宋体" w:hAnsi="宋体" w:cs="宋体"/>
          <w:spacing w:val="-7"/>
          <w:sz w:val="24"/>
        </w:rPr>
        <w:t>1.本项目合同履约期限：</w:t>
      </w:r>
      <w:r>
        <w:rPr>
          <w:rFonts w:hint="eastAsia" w:ascii="宋体" w:hAnsi="宋体" w:cs="宋体"/>
          <w:spacing w:val="-7"/>
          <w:sz w:val="24"/>
          <w:lang w:val="en-US" w:eastAsia="zh-CN"/>
        </w:rPr>
        <w:t>1</w:t>
      </w:r>
      <w:r>
        <w:rPr>
          <w:rFonts w:hint="eastAsia" w:ascii="宋体" w:hAnsi="宋体" w:cs="宋体"/>
          <w:spacing w:val="-7"/>
          <w:sz w:val="24"/>
        </w:rPr>
        <w:t xml:space="preserve">年（具体按合同签订时间为准）。 </w:t>
      </w:r>
    </w:p>
    <w:p w14:paraId="71F5F26F">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outlineLvl w:val="1"/>
        <w:rPr>
          <w:rFonts w:hint="eastAsia" w:ascii="宋体" w:hAnsi="宋体" w:cs="宋体"/>
          <w:sz w:val="24"/>
        </w:rPr>
      </w:pPr>
      <w:r>
        <w:rPr>
          <w:rFonts w:hint="eastAsia" w:ascii="宋体" w:hAnsi="宋体" w:cs="宋体"/>
          <w:spacing w:val="-10"/>
          <w:sz w:val="24"/>
        </w:rPr>
        <w:t>（四）</w:t>
      </w:r>
      <w:r>
        <w:rPr>
          <w:rFonts w:hint="eastAsia" w:ascii="宋体" w:hAnsi="宋体" w:cs="宋体"/>
          <w:sz w:val="24"/>
        </w:rPr>
        <w:t xml:space="preserve"> </w:t>
      </w:r>
      <w:r>
        <w:rPr>
          <w:rFonts w:hint="eastAsia" w:ascii="宋体" w:hAnsi="宋体" w:cs="宋体"/>
          <w:spacing w:val="-10"/>
          <w:sz w:val="24"/>
        </w:rPr>
        <w:t>法律服务费用标准</w:t>
      </w:r>
    </w:p>
    <w:tbl>
      <w:tblPr>
        <w:tblStyle w:val="63"/>
        <w:tblW w:w="92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9"/>
        <w:gridCol w:w="1610"/>
        <w:gridCol w:w="640"/>
        <w:gridCol w:w="670"/>
        <w:gridCol w:w="3579"/>
        <w:gridCol w:w="2160"/>
      </w:tblGrid>
      <w:tr w14:paraId="06643C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599" w:type="dxa"/>
            <w:noWrap w:val="0"/>
            <w:vAlign w:val="center"/>
          </w:tcPr>
          <w:p w14:paraId="6D17D6E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5"/>
                <w:sz w:val="24"/>
              </w:rPr>
              <w:t>序号</w:t>
            </w:r>
          </w:p>
        </w:tc>
        <w:tc>
          <w:tcPr>
            <w:tcW w:w="1610" w:type="dxa"/>
            <w:noWrap w:val="0"/>
            <w:vAlign w:val="center"/>
          </w:tcPr>
          <w:p w14:paraId="272A9F5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9"/>
                <w:sz w:val="24"/>
              </w:rPr>
              <w:t>内容名称</w:t>
            </w:r>
          </w:p>
        </w:tc>
        <w:tc>
          <w:tcPr>
            <w:tcW w:w="640" w:type="dxa"/>
            <w:noWrap w:val="0"/>
            <w:vAlign w:val="center"/>
          </w:tcPr>
          <w:p w14:paraId="7186B19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6"/>
                <w:sz w:val="24"/>
              </w:rPr>
              <w:t>数量</w:t>
            </w:r>
          </w:p>
        </w:tc>
        <w:tc>
          <w:tcPr>
            <w:tcW w:w="670" w:type="dxa"/>
            <w:noWrap w:val="0"/>
            <w:vAlign w:val="center"/>
          </w:tcPr>
          <w:p w14:paraId="2058BDD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6"/>
                <w:sz w:val="24"/>
              </w:rPr>
              <w:t>单位</w:t>
            </w:r>
          </w:p>
        </w:tc>
        <w:tc>
          <w:tcPr>
            <w:tcW w:w="3579" w:type="dxa"/>
            <w:noWrap w:val="0"/>
            <w:vAlign w:val="center"/>
          </w:tcPr>
          <w:p w14:paraId="5EBBF85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4"/>
                <w:sz w:val="24"/>
              </w:rPr>
              <w:t>▲最高限价</w:t>
            </w:r>
          </w:p>
        </w:tc>
        <w:tc>
          <w:tcPr>
            <w:tcW w:w="2160" w:type="dxa"/>
            <w:noWrap w:val="0"/>
            <w:vAlign w:val="center"/>
          </w:tcPr>
          <w:p w14:paraId="0399C75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4"/>
                <w:sz w:val="24"/>
              </w:rPr>
              <w:t>结算方式</w:t>
            </w:r>
          </w:p>
        </w:tc>
      </w:tr>
      <w:tr w14:paraId="4330B2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 w:hRule="atLeast"/>
        </w:trPr>
        <w:tc>
          <w:tcPr>
            <w:tcW w:w="599" w:type="dxa"/>
            <w:noWrap w:val="0"/>
            <w:vAlign w:val="center"/>
          </w:tcPr>
          <w:p w14:paraId="45F9B30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1</w:t>
            </w:r>
          </w:p>
        </w:tc>
        <w:tc>
          <w:tcPr>
            <w:tcW w:w="1610" w:type="dxa"/>
            <w:noWrap w:val="0"/>
            <w:vAlign w:val="center"/>
          </w:tcPr>
          <w:p w14:paraId="0B253402">
            <w:pPr>
              <w:widowControl w:val="0"/>
              <w:kinsoku/>
              <w:wordWrap/>
              <w:overflowPunct/>
              <w:topLinePunct w:val="0"/>
              <w:bidi w:val="0"/>
              <w:adjustRightInd w:val="0"/>
              <w:snapToGrid w:val="0"/>
              <w:spacing w:beforeAutospacing="0" w:afterAutospacing="0" w:line="360" w:lineRule="auto"/>
              <w:ind w:left="0" w:leftChars="0" w:right="0" w:rightChars="0" w:firstLine="113"/>
              <w:jc w:val="center"/>
              <w:textAlignment w:val="auto"/>
              <w:rPr>
                <w:rFonts w:hint="eastAsia" w:ascii="宋体" w:hAnsi="宋体" w:cs="宋体"/>
                <w:sz w:val="24"/>
              </w:rPr>
            </w:pPr>
            <w:r>
              <w:rPr>
                <w:rFonts w:hint="eastAsia" w:ascii="宋体" w:hAnsi="宋体" w:cs="宋体"/>
                <w:spacing w:val="-2"/>
                <w:sz w:val="24"/>
              </w:rPr>
              <w:t>常年法律顾问服务</w:t>
            </w:r>
          </w:p>
        </w:tc>
        <w:tc>
          <w:tcPr>
            <w:tcW w:w="640" w:type="dxa"/>
            <w:noWrap w:val="0"/>
            <w:vAlign w:val="center"/>
          </w:tcPr>
          <w:p w14:paraId="70F6D77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1</w:t>
            </w:r>
          </w:p>
        </w:tc>
        <w:tc>
          <w:tcPr>
            <w:tcW w:w="670" w:type="dxa"/>
            <w:noWrap w:val="0"/>
            <w:vAlign w:val="center"/>
          </w:tcPr>
          <w:p w14:paraId="46522AE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项</w:t>
            </w:r>
          </w:p>
        </w:tc>
        <w:tc>
          <w:tcPr>
            <w:tcW w:w="3579" w:type="dxa"/>
            <w:noWrap w:val="0"/>
            <w:vAlign w:val="center"/>
          </w:tcPr>
          <w:p w14:paraId="39A8E74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sz w:val="24"/>
              </w:rPr>
            </w:pPr>
            <w:r>
              <w:rPr>
                <w:rFonts w:hint="eastAsia" w:ascii="宋体" w:hAnsi="宋体" w:cs="宋体"/>
                <w:spacing w:val="-10"/>
                <w:sz w:val="24"/>
              </w:rPr>
              <w:t>10万元/年</w:t>
            </w:r>
          </w:p>
        </w:tc>
        <w:tc>
          <w:tcPr>
            <w:tcW w:w="2160" w:type="dxa"/>
            <w:noWrap w:val="0"/>
            <w:vAlign w:val="center"/>
          </w:tcPr>
          <w:p w14:paraId="73E38BA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sz w:val="24"/>
              </w:rPr>
            </w:pPr>
            <w:r>
              <w:rPr>
                <w:rFonts w:hint="eastAsia" w:ascii="宋体" w:hAnsi="宋体" w:cs="宋体"/>
                <w:spacing w:val="-5"/>
                <w:sz w:val="24"/>
              </w:rPr>
              <w:t>总价包干（按年度支付）</w:t>
            </w:r>
          </w:p>
        </w:tc>
      </w:tr>
      <w:tr w14:paraId="1CB722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599" w:type="dxa"/>
            <w:vMerge w:val="restart"/>
            <w:noWrap w:val="0"/>
            <w:vAlign w:val="center"/>
          </w:tcPr>
          <w:p w14:paraId="69BA803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2</w:t>
            </w:r>
          </w:p>
        </w:tc>
        <w:tc>
          <w:tcPr>
            <w:tcW w:w="1610" w:type="dxa"/>
            <w:vMerge w:val="restart"/>
            <w:noWrap w:val="0"/>
            <w:vAlign w:val="center"/>
          </w:tcPr>
          <w:p w14:paraId="384AA2F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3"/>
                <w:sz w:val="24"/>
              </w:rPr>
              <w:t>案件审理费</w:t>
            </w:r>
          </w:p>
        </w:tc>
        <w:tc>
          <w:tcPr>
            <w:tcW w:w="640" w:type="dxa"/>
            <w:noWrap w:val="0"/>
            <w:vAlign w:val="center"/>
          </w:tcPr>
          <w:p w14:paraId="721942F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1</w:t>
            </w:r>
          </w:p>
        </w:tc>
        <w:tc>
          <w:tcPr>
            <w:tcW w:w="670" w:type="dxa"/>
            <w:noWrap w:val="0"/>
            <w:vAlign w:val="center"/>
          </w:tcPr>
          <w:p w14:paraId="4BF0ADF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件</w:t>
            </w:r>
          </w:p>
        </w:tc>
        <w:tc>
          <w:tcPr>
            <w:tcW w:w="3579" w:type="dxa"/>
            <w:vMerge w:val="restart"/>
            <w:noWrap w:val="0"/>
            <w:vAlign w:val="center"/>
          </w:tcPr>
          <w:p w14:paraId="55B43869">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pacing w:val="-4"/>
                <w:sz w:val="24"/>
              </w:rPr>
            </w:pPr>
            <w:r>
              <w:rPr>
                <w:rFonts w:hint="eastAsia" w:ascii="宋体" w:hAnsi="宋体" w:cs="宋体"/>
                <w:spacing w:val="-9"/>
                <w:sz w:val="24"/>
              </w:rPr>
              <w:t>行政复议、[</w:t>
            </w:r>
            <w:r>
              <w:rPr>
                <w:rFonts w:hint="eastAsia" w:ascii="宋体" w:hAnsi="宋体" w:cs="宋体"/>
                <w:spacing w:val="-3"/>
                <w:sz w:val="24"/>
              </w:rPr>
              <w:t>行政诉讼（</w:t>
            </w:r>
            <w:r>
              <w:rPr>
                <w:rFonts w:hint="eastAsia" w:ascii="宋体" w:hAnsi="宋体" w:cs="宋体"/>
                <w:spacing w:val="-50"/>
                <w:sz w:val="24"/>
              </w:rPr>
              <w:t xml:space="preserve"> </w:t>
            </w:r>
            <w:r>
              <w:rPr>
                <w:rFonts w:hint="eastAsia" w:ascii="宋体" w:hAnsi="宋体" w:cs="宋体"/>
                <w:spacing w:val="-3"/>
                <w:sz w:val="24"/>
              </w:rPr>
              <w:t>一审、二</w:t>
            </w:r>
            <w:r>
              <w:rPr>
                <w:rFonts w:hint="eastAsia" w:ascii="宋体" w:hAnsi="宋体" w:cs="宋体"/>
                <w:spacing w:val="-2"/>
                <w:sz w:val="24"/>
              </w:rPr>
              <w:t>审、再审</w:t>
            </w:r>
            <w:r>
              <w:rPr>
                <w:rFonts w:hint="eastAsia" w:ascii="宋体" w:hAnsi="宋体" w:cs="宋体"/>
                <w:spacing w:val="-69"/>
                <w:sz w:val="24"/>
              </w:rPr>
              <w:t>）</w:t>
            </w:r>
            <w:r>
              <w:rPr>
                <w:rFonts w:hint="eastAsia" w:ascii="宋体" w:hAnsi="宋体" w:cs="宋体"/>
                <w:spacing w:val="-3"/>
                <w:sz w:val="24"/>
              </w:rPr>
              <w:t>每</w:t>
            </w:r>
            <w:r>
              <w:rPr>
                <w:rFonts w:hint="eastAsia" w:ascii="宋体" w:hAnsi="宋体" w:cs="宋体"/>
                <w:spacing w:val="-4"/>
                <w:sz w:val="24"/>
              </w:rPr>
              <w:t>一阶段）等</w:t>
            </w:r>
            <w:r>
              <w:rPr>
                <w:rFonts w:hint="eastAsia" w:ascii="宋体" w:hAnsi="宋体" w:cs="宋体"/>
                <w:spacing w:val="38"/>
                <w:sz w:val="24"/>
              </w:rPr>
              <w:t>]</w:t>
            </w:r>
            <w:r>
              <w:rPr>
                <w:rFonts w:hint="eastAsia" w:ascii="宋体" w:hAnsi="宋体" w:cs="宋体"/>
                <w:spacing w:val="-4"/>
                <w:sz w:val="24"/>
              </w:rPr>
              <w:t>为</w:t>
            </w:r>
            <w:r>
              <w:rPr>
                <w:rFonts w:hint="eastAsia" w:ascii="宋体" w:hAnsi="宋体" w:cs="宋体"/>
                <w:spacing w:val="-36"/>
                <w:sz w:val="24"/>
              </w:rPr>
              <w:t xml:space="preserve"> </w:t>
            </w:r>
            <w:r>
              <w:rPr>
                <w:rFonts w:hint="eastAsia" w:ascii="宋体" w:hAnsi="宋体" w:cs="宋体"/>
                <w:spacing w:val="-4"/>
                <w:sz w:val="24"/>
              </w:rPr>
              <w:t>6000</w:t>
            </w:r>
            <w:r>
              <w:rPr>
                <w:rFonts w:hint="eastAsia" w:ascii="宋体" w:hAnsi="宋体" w:cs="宋体"/>
                <w:spacing w:val="6"/>
                <w:sz w:val="24"/>
              </w:rPr>
              <w:t xml:space="preserve"> </w:t>
            </w:r>
            <w:r>
              <w:rPr>
                <w:rFonts w:hint="eastAsia" w:ascii="宋体" w:hAnsi="宋体" w:cs="宋体"/>
                <w:spacing w:val="-4"/>
                <w:sz w:val="24"/>
              </w:rPr>
              <w:t>元/</w:t>
            </w:r>
            <w:r>
              <w:rPr>
                <w:rFonts w:hint="eastAsia" w:ascii="宋体" w:hAnsi="宋体" w:cs="宋体"/>
                <w:sz w:val="24"/>
              </w:rPr>
              <w:t>件</w:t>
            </w:r>
          </w:p>
        </w:tc>
        <w:tc>
          <w:tcPr>
            <w:tcW w:w="2160" w:type="dxa"/>
            <w:vMerge w:val="restart"/>
            <w:noWrap w:val="0"/>
            <w:vAlign w:val="center"/>
          </w:tcPr>
          <w:p w14:paraId="3F20138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pacing w:val="-2"/>
                <w:sz w:val="24"/>
              </w:rPr>
            </w:pPr>
            <w:r>
              <w:rPr>
                <w:rFonts w:hint="eastAsia" w:ascii="宋体" w:hAnsi="宋体" w:cs="宋体"/>
                <w:spacing w:val="-2"/>
                <w:sz w:val="24"/>
              </w:rPr>
              <w:t>按实际发生案件审理</w:t>
            </w:r>
          </w:p>
          <w:p w14:paraId="6001417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2"/>
                <w:sz w:val="24"/>
              </w:rPr>
              <w:t>数量结算。</w:t>
            </w:r>
          </w:p>
        </w:tc>
      </w:tr>
      <w:tr w14:paraId="419CB4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99" w:type="dxa"/>
            <w:vMerge w:val="continue"/>
            <w:noWrap w:val="0"/>
            <w:vAlign w:val="center"/>
          </w:tcPr>
          <w:p w14:paraId="616CD17C">
            <w:pPr>
              <w:widowControl w:val="0"/>
              <w:kinsoku/>
              <w:wordWrap/>
              <w:overflowPunct/>
              <w:topLinePunct w:val="0"/>
              <w:bidi w:val="0"/>
              <w:adjustRightInd w:val="0"/>
              <w:snapToGrid w:val="0"/>
              <w:spacing w:beforeAutospacing="0" w:afterAutospacing="0" w:line="360" w:lineRule="auto"/>
              <w:ind w:left="0" w:leftChars="0" w:right="0" w:rightChars="0" w:firstLine="329"/>
              <w:jc w:val="center"/>
              <w:textAlignment w:val="auto"/>
              <w:rPr>
                <w:rFonts w:hint="eastAsia" w:ascii="宋体" w:hAnsi="宋体" w:cs="宋体"/>
                <w:sz w:val="24"/>
              </w:rPr>
            </w:pPr>
          </w:p>
        </w:tc>
        <w:tc>
          <w:tcPr>
            <w:tcW w:w="1610" w:type="dxa"/>
            <w:vMerge w:val="continue"/>
            <w:noWrap w:val="0"/>
            <w:vAlign w:val="center"/>
          </w:tcPr>
          <w:p w14:paraId="113BF3DC">
            <w:pPr>
              <w:widowControl w:val="0"/>
              <w:kinsoku/>
              <w:wordWrap/>
              <w:overflowPunct/>
              <w:topLinePunct w:val="0"/>
              <w:bidi w:val="0"/>
              <w:adjustRightInd w:val="0"/>
              <w:snapToGrid w:val="0"/>
              <w:spacing w:beforeAutospacing="0" w:afterAutospacing="0" w:line="360" w:lineRule="auto"/>
              <w:ind w:left="0" w:leftChars="0" w:right="0" w:rightChars="0" w:firstLine="114"/>
              <w:jc w:val="center"/>
              <w:textAlignment w:val="auto"/>
              <w:rPr>
                <w:rFonts w:hint="eastAsia" w:ascii="宋体" w:hAnsi="宋体" w:cs="宋体"/>
                <w:spacing w:val="-3"/>
                <w:sz w:val="24"/>
              </w:rPr>
            </w:pPr>
          </w:p>
        </w:tc>
        <w:tc>
          <w:tcPr>
            <w:tcW w:w="640" w:type="dxa"/>
            <w:noWrap w:val="0"/>
            <w:vAlign w:val="center"/>
          </w:tcPr>
          <w:p w14:paraId="467B699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1</w:t>
            </w:r>
          </w:p>
        </w:tc>
        <w:tc>
          <w:tcPr>
            <w:tcW w:w="670" w:type="dxa"/>
            <w:noWrap w:val="0"/>
            <w:vAlign w:val="center"/>
          </w:tcPr>
          <w:p w14:paraId="4C8CAFD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件</w:t>
            </w:r>
          </w:p>
        </w:tc>
        <w:tc>
          <w:tcPr>
            <w:tcW w:w="3579" w:type="dxa"/>
            <w:vMerge w:val="continue"/>
            <w:noWrap w:val="0"/>
            <w:vAlign w:val="center"/>
          </w:tcPr>
          <w:p w14:paraId="53C2ABB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pacing w:val="-4"/>
                <w:sz w:val="24"/>
              </w:rPr>
            </w:pPr>
          </w:p>
        </w:tc>
        <w:tc>
          <w:tcPr>
            <w:tcW w:w="2160" w:type="dxa"/>
            <w:vMerge w:val="continue"/>
            <w:noWrap w:val="0"/>
            <w:vAlign w:val="center"/>
          </w:tcPr>
          <w:p w14:paraId="70E47E30">
            <w:pPr>
              <w:widowControl w:val="0"/>
              <w:kinsoku/>
              <w:wordWrap/>
              <w:overflowPunct/>
              <w:topLinePunct w:val="0"/>
              <w:bidi w:val="0"/>
              <w:adjustRightInd w:val="0"/>
              <w:snapToGrid w:val="0"/>
              <w:spacing w:beforeAutospacing="0" w:afterAutospacing="0" w:line="360" w:lineRule="auto"/>
              <w:ind w:left="0" w:leftChars="0" w:right="0" w:rightChars="0" w:firstLine="116"/>
              <w:jc w:val="center"/>
              <w:textAlignment w:val="auto"/>
              <w:rPr>
                <w:rFonts w:hint="eastAsia" w:ascii="宋体" w:hAnsi="宋体" w:cs="宋体"/>
                <w:spacing w:val="-2"/>
                <w:sz w:val="24"/>
              </w:rPr>
            </w:pPr>
          </w:p>
        </w:tc>
      </w:tr>
      <w:tr w14:paraId="77FD2C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22" w:hRule="atLeast"/>
        </w:trPr>
        <w:tc>
          <w:tcPr>
            <w:tcW w:w="599" w:type="dxa"/>
            <w:noWrap w:val="0"/>
            <w:vAlign w:val="center"/>
          </w:tcPr>
          <w:p w14:paraId="0A10934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p>
          <w:p w14:paraId="65BC090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3</w:t>
            </w:r>
          </w:p>
        </w:tc>
        <w:tc>
          <w:tcPr>
            <w:tcW w:w="1610" w:type="dxa"/>
            <w:noWrap w:val="0"/>
            <w:vAlign w:val="center"/>
          </w:tcPr>
          <w:p w14:paraId="373EAEE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p>
          <w:p w14:paraId="5A0AFD1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pacing w:val="-3"/>
                <w:sz w:val="24"/>
              </w:rPr>
            </w:pPr>
            <w:r>
              <w:rPr>
                <w:rFonts w:hint="eastAsia" w:ascii="宋体" w:hAnsi="宋体" w:cs="宋体"/>
                <w:spacing w:val="-5"/>
                <w:sz w:val="24"/>
              </w:rPr>
              <w:t>民事案件审理</w:t>
            </w:r>
          </w:p>
        </w:tc>
        <w:tc>
          <w:tcPr>
            <w:tcW w:w="640" w:type="dxa"/>
            <w:noWrap w:val="0"/>
            <w:vAlign w:val="center"/>
          </w:tcPr>
          <w:p w14:paraId="5887AC09">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p>
          <w:p w14:paraId="3EE2410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1</w:t>
            </w:r>
          </w:p>
        </w:tc>
        <w:tc>
          <w:tcPr>
            <w:tcW w:w="670" w:type="dxa"/>
            <w:noWrap w:val="0"/>
            <w:vAlign w:val="center"/>
          </w:tcPr>
          <w:p w14:paraId="621D731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p>
          <w:p w14:paraId="3D31D1A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z w:val="24"/>
              </w:rPr>
              <w:t>件</w:t>
            </w:r>
          </w:p>
        </w:tc>
        <w:tc>
          <w:tcPr>
            <w:tcW w:w="3579" w:type="dxa"/>
            <w:noWrap w:val="0"/>
            <w:vAlign w:val="center"/>
          </w:tcPr>
          <w:p w14:paraId="3FEB19B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sz w:val="24"/>
              </w:rPr>
            </w:pPr>
            <w:r>
              <w:rPr>
                <w:rFonts w:hint="eastAsia" w:ascii="宋体" w:hAnsi="宋体" w:cs="宋体"/>
                <w:spacing w:val="-1"/>
                <w:sz w:val="24"/>
                <w:u w:val="single"/>
              </w:rPr>
              <w:t>按照浙江省物价局、浙江省司</w:t>
            </w:r>
            <w:r>
              <w:rPr>
                <w:rFonts w:hint="eastAsia" w:ascii="宋体" w:hAnsi="宋体" w:cs="宋体"/>
                <w:sz w:val="24"/>
                <w:u w:val="single"/>
              </w:rPr>
              <w:t>法厅《关于制定律师服务收费</w:t>
            </w:r>
            <w:r>
              <w:rPr>
                <w:rFonts w:hint="eastAsia" w:ascii="宋体" w:hAnsi="宋体" w:cs="宋体"/>
                <w:spacing w:val="-12"/>
                <w:sz w:val="24"/>
                <w:u w:val="single"/>
              </w:rPr>
              <w:t>标准的通知》（浙价服〔</w:t>
            </w:r>
            <w:r>
              <w:rPr>
                <w:rFonts w:hint="eastAsia" w:ascii="宋体" w:hAnsi="宋体" w:cs="宋体"/>
                <w:b/>
                <w:bCs/>
                <w:spacing w:val="-12"/>
                <w:sz w:val="24"/>
                <w:u w:val="single"/>
              </w:rPr>
              <w:t>2011</w:t>
            </w:r>
            <w:r>
              <w:rPr>
                <w:rFonts w:hint="eastAsia" w:ascii="宋体" w:hAnsi="宋体" w:cs="宋体"/>
                <w:spacing w:val="-12"/>
                <w:sz w:val="24"/>
                <w:u w:val="single"/>
              </w:rPr>
              <w:t>〕</w:t>
            </w:r>
            <w:r>
              <w:rPr>
                <w:rFonts w:hint="eastAsia" w:ascii="宋体" w:hAnsi="宋体" w:cs="宋体"/>
                <w:b/>
                <w:bCs/>
                <w:spacing w:val="-11"/>
                <w:w w:val="97"/>
                <w:sz w:val="24"/>
                <w:u w:val="single"/>
              </w:rPr>
              <w:t>212</w:t>
            </w:r>
            <w:r>
              <w:rPr>
                <w:rFonts w:hint="eastAsia" w:ascii="宋体" w:hAnsi="宋体" w:cs="宋体"/>
                <w:spacing w:val="22"/>
                <w:w w:val="101"/>
                <w:sz w:val="24"/>
                <w:u w:val="single"/>
              </w:rPr>
              <w:t xml:space="preserve"> </w:t>
            </w:r>
            <w:r>
              <w:rPr>
                <w:rFonts w:hint="eastAsia" w:ascii="宋体" w:hAnsi="宋体" w:cs="宋体"/>
                <w:spacing w:val="-2"/>
                <w:sz w:val="24"/>
              </w:rPr>
              <w:t>号）规定计收。</w:t>
            </w:r>
          </w:p>
        </w:tc>
        <w:tc>
          <w:tcPr>
            <w:tcW w:w="2160" w:type="dxa"/>
            <w:noWrap w:val="0"/>
            <w:vAlign w:val="center"/>
          </w:tcPr>
          <w:p w14:paraId="1F7A447E">
            <w:pPr>
              <w:widowControl w:val="0"/>
              <w:kinsoku/>
              <w:wordWrap/>
              <w:overflowPunct/>
              <w:topLinePunct w:val="0"/>
              <w:bidi w:val="0"/>
              <w:adjustRightInd w:val="0"/>
              <w:snapToGrid w:val="0"/>
              <w:spacing w:beforeAutospacing="0" w:afterAutospacing="0" w:line="360" w:lineRule="auto"/>
              <w:ind w:left="0" w:leftChars="0" w:right="0" w:rightChars="0" w:firstLine="4"/>
              <w:jc w:val="center"/>
              <w:textAlignment w:val="auto"/>
              <w:rPr>
                <w:rFonts w:hint="eastAsia" w:ascii="宋体" w:hAnsi="宋体" w:cs="宋体"/>
                <w:spacing w:val="-2"/>
                <w:sz w:val="24"/>
              </w:rPr>
            </w:pPr>
            <w:r>
              <w:rPr>
                <w:rFonts w:hint="eastAsia" w:ascii="宋体" w:hAnsi="宋体" w:cs="宋体"/>
                <w:spacing w:val="-2"/>
                <w:sz w:val="24"/>
              </w:rPr>
              <w:t>按实结算</w:t>
            </w:r>
          </w:p>
        </w:tc>
      </w:tr>
      <w:tr w14:paraId="229392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9258" w:type="dxa"/>
            <w:gridSpan w:val="6"/>
            <w:noWrap w:val="0"/>
            <w:vAlign w:val="center"/>
          </w:tcPr>
          <w:p w14:paraId="07C08FAA">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hint="eastAsia" w:ascii="宋体" w:hAnsi="宋体" w:cs="宋体"/>
                <w:spacing w:val="1"/>
                <w:sz w:val="24"/>
              </w:rPr>
            </w:pPr>
            <w:r>
              <w:rPr>
                <w:rFonts w:hint="eastAsia" w:ascii="宋体" w:hAnsi="宋体" w:cs="宋体"/>
                <w:spacing w:val="1"/>
                <w:sz w:val="24"/>
              </w:rPr>
              <w:t>注：</w:t>
            </w:r>
          </w:p>
          <w:p w14:paraId="59C63EBC">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hint="eastAsia" w:ascii="宋体" w:hAnsi="宋体" w:cs="宋体"/>
                <w:b/>
                <w:bCs/>
                <w:spacing w:val="1"/>
                <w:sz w:val="24"/>
                <w:u w:val="none"/>
              </w:rPr>
            </w:pPr>
            <w:r>
              <w:rPr>
                <w:rFonts w:hint="eastAsia" w:ascii="宋体" w:hAnsi="宋体" w:cs="宋体"/>
                <w:b/>
                <w:bCs/>
                <w:spacing w:val="1"/>
                <w:sz w:val="24"/>
                <w:lang w:eastAsia="zh-CN"/>
              </w:rPr>
              <w:t>（</w:t>
            </w:r>
            <w:r>
              <w:rPr>
                <w:rFonts w:hint="eastAsia" w:ascii="宋体" w:hAnsi="宋体" w:cs="宋体"/>
                <w:b/>
                <w:bCs/>
                <w:spacing w:val="1"/>
                <w:sz w:val="24"/>
                <w:lang w:val="en-US" w:eastAsia="zh-CN"/>
              </w:rPr>
              <w:t>1</w:t>
            </w:r>
            <w:r>
              <w:rPr>
                <w:rFonts w:hint="eastAsia" w:ascii="宋体" w:hAnsi="宋体" w:cs="宋体"/>
                <w:b/>
                <w:bCs/>
                <w:spacing w:val="1"/>
                <w:sz w:val="24"/>
                <w:lang w:eastAsia="zh-CN"/>
              </w:rPr>
              <w:t>）</w:t>
            </w:r>
            <w:r>
              <w:rPr>
                <w:rFonts w:hint="eastAsia" w:ascii="宋体" w:hAnsi="宋体" w:cs="宋体"/>
                <w:b/>
                <w:bCs/>
                <w:spacing w:val="1"/>
                <w:sz w:val="24"/>
                <w:u w:val="none"/>
              </w:rPr>
              <w:t>在服务期内，供应商应完成分派的所有服务内容及数量，</w:t>
            </w:r>
            <w:r>
              <w:rPr>
                <w:rFonts w:hint="eastAsia" w:ascii="宋体" w:hAnsi="宋体" w:cs="宋体"/>
                <w:b/>
                <w:bCs/>
                <w:sz w:val="24"/>
                <w:u w:val="none"/>
              </w:rPr>
              <w:t>如未超过本项目</w:t>
            </w:r>
            <w:r>
              <w:rPr>
                <w:rFonts w:hint="eastAsia" w:ascii="宋体" w:hAnsi="宋体" w:cs="宋体"/>
                <w:b/>
                <w:bCs/>
                <w:sz w:val="24"/>
                <w:u w:val="none"/>
                <w:lang w:val="en-US" w:eastAsia="zh-CN"/>
              </w:rPr>
              <w:t>合同金额</w:t>
            </w:r>
            <w:r>
              <w:rPr>
                <w:rFonts w:hint="eastAsia" w:ascii="宋体" w:hAnsi="宋体" w:cs="宋体"/>
                <w:b/>
                <w:bCs/>
                <w:sz w:val="24"/>
                <w:u w:val="none"/>
              </w:rPr>
              <w:t>，按实际审理案件数量结算后支付</w:t>
            </w:r>
            <w:r>
              <w:rPr>
                <w:rFonts w:hint="eastAsia" w:ascii="宋体" w:hAnsi="宋体" w:cs="宋体"/>
                <w:b/>
                <w:bCs/>
                <w:spacing w:val="1"/>
                <w:sz w:val="24"/>
                <w:u w:val="none"/>
              </w:rPr>
              <w:t>。</w:t>
            </w:r>
          </w:p>
          <w:p w14:paraId="67EFFB63">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hint="eastAsia" w:ascii="宋体" w:hAnsi="宋体" w:cs="宋体"/>
                <w:spacing w:val="-1"/>
                <w:sz w:val="24"/>
                <w:u w:val="single"/>
              </w:rPr>
            </w:pPr>
            <w:r>
              <w:rPr>
                <w:rFonts w:hint="eastAsia" w:ascii="宋体" w:hAnsi="宋体" w:cs="宋体"/>
                <w:b/>
                <w:bCs/>
                <w:spacing w:val="1"/>
                <w:sz w:val="24"/>
                <w:u w:val="none"/>
                <w:lang w:eastAsia="zh-CN"/>
              </w:rPr>
              <w:t>（</w:t>
            </w:r>
            <w:r>
              <w:rPr>
                <w:rFonts w:hint="eastAsia" w:ascii="宋体" w:hAnsi="宋体" w:cs="宋体"/>
                <w:b/>
                <w:bCs/>
                <w:spacing w:val="1"/>
                <w:sz w:val="24"/>
                <w:u w:val="none"/>
                <w:lang w:val="en-US" w:eastAsia="zh-CN"/>
              </w:rPr>
              <w:t>2</w:t>
            </w:r>
            <w:r>
              <w:rPr>
                <w:rFonts w:hint="eastAsia" w:ascii="宋体" w:hAnsi="宋体" w:cs="宋体"/>
                <w:b/>
                <w:bCs/>
                <w:spacing w:val="1"/>
                <w:sz w:val="24"/>
                <w:u w:val="none"/>
                <w:lang w:eastAsia="zh-CN"/>
              </w:rPr>
              <w:t>）</w:t>
            </w:r>
            <w:r>
              <w:rPr>
                <w:rFonts w:hint="eastAsia" w:ascii="宋体" w:hAnsi="宋体" w:cs="宋体"/>
                <w:b/>
                <w:bCs/>
                <w:spacing w:val="1"/>
                <w:sz w:val="24"/>
                <w:u w:val="none"/>
              </w:rPr>
              <w:t>如按实结算金额超出</w:t>
            </w:r>
            <w:r>
              <w:rPr>
                <w:rFonts w:hint="eastAsia" w:ascii="宋体" w:hAnsi="宋体" w:cs="宋体"/>
                <w:b/>
                <w:bCs/>
                <w:spacing w:val="1"/>
                <w:sz w:val="24"/>
                <w:u w:val="none"/>
                <w:lang w:val="en-US" w:eastAsia="zh-CN"/>
              </w:rPr>
              <w:t>合同</w:t>
            </w:r>
            <w:r>
              <w:rPr>
                <w:rFonts w:hint="eastAsia" w:ascii="宋体" w:hAnsi="宋体" w:cs="宋体"/>
                <w:b/>
                <w:bCs/>
                <w:spacing w:val="1"/>
                <w:sz w:val="24"/>
                <w:u w:val="none"/>
              </w:rPr>
              <w:t>金额时，采用总价包干，采</w:t>
            </w:r>
            <w:r>
              <w:rPr>
                <w:rFonts w:hint="eastAsia" w:ascii="宋体" w:hAnsi="宋体" w:cs="宋体"/>
                <w:b/>
                <w:bCs/>
                <w:sz w:val="24"/>
                <w:u w:val="none"/>
              </w:rPr>
              <w:t>购人实际最多按项目</w:t>
            </w:r>
            <w:r>
              <w:rPr>
                <w:rFonts w:hint="eastAsia" w:ascii="宋体" w:hAnsi="宋体" w:cs="宋体"/>
                <w:b/>
                <w:bCs/>
                <w:sz w:val="24"/>
                <w:u w:val="none"/>
                <w:lang w:val="en-US" w:eastAsia="zh-CN"/>
              </w:rPr>
              <w:t>合同金额</w:t>
            </w:r>
            <w:r>
              <w:rPr>
                <w:rFonts w:hint="eastAsia" w:ascii="宋体" w:hAnsi="宋体" w:cs="宋体"/>
                <w:b/>
                <w:bCs/>
                <w:sz w:val="24"/>
                <w:u w:val="none"/>
              </w:rPr>
              <w:t>支付。</w:t>
            </w:r>
          </w:p>
        </w:tc>
      </w:tr>
    </w:tbl>
    <w:p w14:paraId="15A93E4F">
      <w:pPr>
        <w:widowControl w:val="0"/>
        <w:kinsoku/>
        <w:wordWrap/>
        <w:overflowPunct/>
        <w:topLinePunct w:val="0"/>
        <w:bidi w:val="0"/>
        <w:adjustRightInd w:val="0"/>
        <w:snapToGrid w:val="0"/>
        <w:spacing w:beforeAutospacing="0" w:afterAutospacing="0" w:line="360" w:lineRule="auto"/>
        <w:ind w:left="0" w:leftChars="0" w:right="0" w:rightChars="0" w:firstLine="540"/>
        <w:textAlignment w:val="auto"/>
        <w:outlineLvl w:val="1"/>
        <w:rPr>
          <w:rFonts w:hint="eastAsia" w:ascii="宋体" w:hAnsi="宋体" w:cs="宋体"/>
          <w:sz w:val="24"/>
        </w:rPr>
      </w:pPr>
      <w:r>
        <w:rPr>
          <w:rFonts w:hint="eastAsia" w:ascii="宋体" w:hAnsi="宋体" w:cs="宋体"/>
          <w:spacing w:val="-1"/>
          <w:sz w:val="24"/>
        </w:rPr>
        <w:t>三、商务要求</w:t>
      </w:r>
    </w:p>
    <w:p w14:paraId="1F52BD2A">
      <w:pPr>
        <w:widowControl w:val="0"/>
        <w:kinsoku/>
        <w:wordWrap/>
        <w:overflowPunct/>
        <w:topLinePunct w:val="0"/>
        <w:bidi w:val="0"/>
        <w:adjustRightInd w:val="0"/>
        <w:snapToGrid w:val="0"/>
        <w:spacing w:beforeAutospacing="0" w:afterAutospacing="0" w:line="360" w:lineRule="auto"/>
        <w:ind w:left="0" w:leftChars="0" w:right="0" w:rightChars="0" w:firstLine="563"/>
        <w:textAlignment w:val="auto"/>
        <w:outlineLvl w:val="1"/>
        <w:rPr>
          <w:rFonts w:hint="eastAsia" w:ascii="宋体" w:hAnsi="宋体" w:cs="宋体"/>
          <w:spacing w:val="-14"/>
          <w:position w:val="1"/>
          <w:sz w:val="24"/>
        </w:rPr>
      </w:pPr>
      <w:r>
        <w:rPr>
          <w:rFonts w:hint="eastAsia" w:ascii="宋体" w:hAnsi="宋体" w:cs="宋体"/>
          <w:spacing w:val="-14"/>
          <w:position w:val="1"/>
          <w:sz w:val="24"/>
        </w:rPr>
        <w:t>（一）报价要求</w:t>
      </w:r>
    </w:p>
    <w:p w14:paraId="3D09B6A2">
      <w:pPr>
        <w:widowControl w:val="0"/>
        <w:kinsoku/>
        <w:wordWrap/>
        <w:overflowPunct/>
        <w:topLinePunct w:val="0"/>
        <w:bidi w:val="0"/>
        <w:adjustRightInd w:val="0"/>
        <w:snapToGrid w:val="0"/>
        <w:spacing w:beforeAutospacing="0" w:afterAutospacing="0" w:line="360" w:lineRule="auto"/>
        <w:ind w:left="0" w:leftChars="0" w:right="0" w:rightChars="0" w:firstLine="563"/>
        <w:textAlignment w:val="auto"/>
        <w:outlineLvl w:val="1"/>
        <w:rPr>
          <w:rFonts w:hint="eastAsia" w:ascii="宋体" w:hAnsi="宋体" w:cs="宋体"/>
          <w:spacing w:val="-14"/>
          <w:position w:val="1"/>
          <w:sz w:val="24"/>
        </w:rPr>
      </w:pPr>
      <w:r>
        <w:rPr>
          <w:rFonts w:hint="eastAsia" w:ascii="宋体" w:hAnsi="宋体" w:cs="宋体"/>
          <w:spacing w:val="-14"/>
          <w:position w:val="1"/>
          <w:sz w:val="24"/>
        </w:rPr>
        <w:t>本项目投标总报价含各项费用的总和，包括但不限于：报价应包括为完成本项目服务工作所需的人力物力成本、直接费用（包括但不限于杭州市区以外的交通、住宿、通讯、电信、文印等）、间接费用（包括但不限于委托审计、鉴定费、公证费、查档费，其他用于收集资料的费用）、管理费、其他费用、利润、税金等完成本项目的所有费用。</w:t>
      </w:r>
    </w:p>
    <w:p w14:paraId="495A1D50">
      <w:pPr>
        <w:widowControl w:val="0"/>
        <w:kinsoku/>
        <w:wordWrap/>
        <w:overflowPunct/>
        <w:topLinePunct w:val="0"/>
        <w:bidi w:val="0"/>
        <w:adjustRightInd w:val="0"/>
        <w:snapToGrid w:val="0"/>
        <w:spacing w:beforeAutospacing="0" w:afterAutospacing="0" w:line="360" w:lineRule="auto"/>
        <w:ind w:left="0" w:leftChars="0" w:right="0" w:rightChars="0" w:firstLine="563"/>
        <w:textAlignment w:val="auto"/>
        <w:outlineLvl w:val="1"/>
        <w:rPr>
          <w:rFonts w:hint="eastAsia" w:ascii="宋体" w:hAnsi="宋体" w:cs="宋体"/>
          <w:sz w:val="24"/>
        </w:rPr>
      </w:pPr>
      <w:r>
        <w:rPr>
          <w:rFonts w:hint="eastAsia" w:ascii="宋体" w:hAnsi="宋体" w:cs="宋体"/>
          <w:spacing w:val="-14"/>
          <w:position w:val="1"/>
          <w:sz w:val="24"/>
        </w:rPr>
        <w:t>（二）履约保证金交纳</w:t>
      </w:r>
    </w:p>
    <w:p w14:paraId="2683C8EE">
      <w:pPr>
        <w:widowControl w:val="0"/>
        <w:kinsoku/>
        <w:wordWrap/>
        <w:overflowPunct/>
        <w:topLinePunct w:val="0"/>
        <w:bidi w:val="0"/>
        <w:adjustRightInd w:val="0"/>
        <w:snapToGrid w:val="0"/>
        <w:spacing w:beforeAutospacing="0" w:afterAutospacing="0" w:line="360" w:lineRule="auto"/>
        <w:ind w:left="0" w:leftChars="0" w:right="0" w:rightChars="0" w:firstLine="543"/>
        <w:textAlignment w:val="auto"/>
        <w:rPr>
          <w:rFonts w:hint="eastAsia" w:ascii="宋体" w:hAnsi="宋体" w:cs="宋体"/>
          <w:sz w:val="24"/>
        </w:rPr>
      </w:pPr>
      <w:r>
        <w:rPr>
          <w:rFonts w:hint="eastAsia" w:ascii="宋体" w:hAnsi="宋体" w:cs="宋体"/>
          <w:spacing w:val="-2"/>
          <w:sz w:val="24"/>
        </w:rPr>
        <w:t>不需交纳履约保证金。</w:t>
      </w:r>
    </w:p>
    <w:p w14:paraId="7724AD5E">
      <w:pPr>
        <w:widowControl w:val="0"/>
        <w:kinsoku/>
        <w:wordWrap/>
        <w:overflowPunct/>
        <w:topLinePunct w:val="0"/>
        <w:bidi w:val="0"/>
        <w:adjustRightInd w:val="0"/>
        <w:snapToGrid w:val="0"/>
        <w:spacing w:beforeAutospacing="0" w:afterAutospacing="0" w:line="360" w:lineRule="auto"/>
        <w:ind w:left="0" w:leftChars="0" w:right="0" w:rightChars="0" w:firstLine="563"/>
        <w:textAlignment w:val="auto"/>
        <w:outlineLvl w:val="1"/>
        <w:rPr>
          <w:rFonts w:hint="eastAsia" w:ascii="宋体" w:hAnsi="宋体" w:cs="宋体"/>
          <w:sz w:val="24"/>
        </w:rPr>
      </w:pPr>
      <w:r>
        <w:rPr>
          <w:rFonts w:hint="eastAsia" w:ascii="宋体" w:hAnsi="宋体" w:cs="宋体"/>
          <w:spacing w:val="-15"/>
          <w:position w:val="1"/>
          <w:sz w:val="24"/>
        </w:rPr>
        <w:t>（三）合同款支付</w:t>
      </w:r>
    </w:p>
    <w:p w14:paraId="4AE2E61A">
      <w:pPr>
        <w:widowControl w:val="0"/>
        <w:kinsoku/>
        <w:wordWrap/>
        <w:overflowPunct/>
        <w:topLinePunct w:val="0"/>
        <w:bidi w:val="0"/>
        <w:adjustRightInd w:val="0"/>
        <w:snapToGrid w:val="0"/>
        <w:spacing w:beforeAutospacing="0" w:afterAutospacing="0" w:line="360" w:lineRule="auto"/>
        <w:ind w:left="0" w:leftChars="0" w:right="0" w:rightChars="0" w:firstLine="542"/>
        <w:textAlignment w:val="auto"/>
        <w:rPr>
          <w:rFonts w:hint="eastAsia" w:ascii="宋体" w:hAnsi="宋体" w:cs="宋体"/>
          <w:sz w:val="24"/>
        </w:rPr>
      </w:pPr>
      <w:r>
        <w:rPr>
          <w:rFonts w:hint="eastAsia" w:ascii="宋体" w:hAnsi="宋体" w:cs="宋体"/>
          <w:spacing w:val="-2"/>
          <w:sz w:val="24"/>
        </w:rPr>
        <w:t>按“第五部分</w:t>
      </w:r>
      <w:r>
        <w:rPr>
          <w:rFonts w:hint="eastAsia" w:ascii="宋体" w:hAnsi="宋体" w:cs="宋体"/>
          <w:spacing w:val="13"/>
          <w:sz w:val="24"/>
        </w:rPr>
        <w:t xml:space="preserve"> </w:t>
      </w:r>
      <w:r>
        <w:rPr>
          <w:rFonts w:hint="eastAsia" w:ascii="宋体" w:hAnsi="宋体" w:cs="宋体"/>
          <w:spacing w:val="-2"/>
          <w:sz w:val="24"/>
        </w:rPr>
        <w:t>合同条款”规定</w:t>
      </w:r>
    </w:p>
    <w:p w14:paraId="377DF3D9">
      <w:pPr>
        <w:widowControl w:val="0"/>
        <w:kinsoku/>
        <w:wordWrap/>
        <w:overflowPunct/>
        <w:topLinePunct w:val="0"/>
        <w:bidi w:val="0"/>
        <w:adjustRightInd w:val="0"/>
        <w:snapToGrid w:val="0"/>
        <w:spacing w:beforeAutospacing="0" w:afterAutospacing="0" w:line="360" w:lineRule="auto"/>
        <w:ind w:left="0" w:leftChars="0" w:right="0" w:rightChars="0" w:firstLine="545"/>
        <w:textAlignment w:val="auto"/>
        <w:outlineLvl w:val="1"/>
        <w:rPr>
          <w:rFonts w:hint="eastAsia" w:ascii="宋体" w:hAnsi="宋体" w:cs="宋体"/>
          <w:sz w:val="24"/>
        </w:rPr>
      </w:pPr>
      <w:r>
        <w:rPr>
          <w:rFonts w:hint="eastAsia" w:ascii="宋体" w:hAnsi="宋体" w:cs="宋体"/>
          <w:spacing w:val="-16"/>
          <w:sz w:val="24"/>
        </w:rPr>
        <w:t>（四）其他内容</w:t>
      </w:r>
    </w:p>
    <w:p w14:paraId="413F6212">
      <w:pPr>
        <w:widowControl w:val="0"/>
        <w:kinsoku/>
        <w:wordWrap/>
        <w:overflowPunct/>
        <w:topLinePunct w:val="0"/>
        <w:bidi w:val="0"/>
        <w:adjustRightInd w:val="0"/>
        <w:snapToGrid w:val="0"/>
        <w:spacing w:beforeAutospacing="0" w:afterAutospacing="0" w:line="360" w:lineRule="auto"/>
        <w:ind w:left="0" w:leftChars="0" w:right="0" w:rightChars="0" w:firstLine="405"/>
        <w:textAlignment w:val="auto"/>
        <w:rPr>
          <w:rFonts w:hint="eastAsia" w:ascii="宋体" w:hAnsi="宋体" w:cs="宋体"/>
          <w:spacing w:val="-3"/>
          <w:sz w:val="24"/>
        </w:rPr>
      </w:pPr>
      <w:r>
        <w:rPr>
          <w:rFonts w:hint="eastAsia" w:ascii="宋体" w:hAnsi="宋体" w:cs="宋体"/>
          <w:spacing w:val="-3"/>
          <w:sz w:val="24"/>
        </w:rPr>
        <w:t>详见采购文件的“第五部分</w:t>
      </w:r>
      <w:r>
        <w:rPr>
          <w:rFonts w:hint="eastAsia" w:ascii="宋体" w:hAnsi="宋体" w:cs="宋体"/>
          <w:spacing w:val="26"/>
          <w:sz w:val="24"/>
        </w:rPr>
        <w:t xml:space="preserve"> </w:t>
      </w:r>
      <w:r>
        <w:rPr>
          <w:rFonts w:hint="eastAsia" w:ascii="宋体" w:hAnsi="宋体" w:cs="宋体"/>
          <w:spacing w:val="-3"/>
          <w:sz w:val="24"/>
        </w:rPr>
        <w:t>合同条款”，供应商应对合同内容进行审核，如有偏离，请在投标文件</w:t>
      </w:r>
      <w:r>
        <w:rPr>
          <w:rFonts w:hint="eastAsia" w:ascii="宋体" w:hAnsi="宋体" w:cs="宋体"/>
          <w:sz w:val="24"/>
        </w:rPr>
        <w:t xml:space="preserve"> </w:t>
      </w:r>
      <w:r>
        <w:rPr>
          <w:rFonts w:hint="eastAsia" w:ascii="宋体" w:hAnsi="宋体" w:cs="宋体"/>
          <w:spacing w:val="-3"/>
          <w:sz w:val="24"/>
        </w:rPr>
        <w:t>的“偏离表”中反映。</w:t>
      </w:r>
    </w:p>
    <w:p w14:paraId="0500920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hint="eastAsia" w:ascii="宋体" w:hAnsi="宋体" w:cs="宋体"/>
          <w:b/>
          <w:color w:val="auto"/>
          <w:sz w:val="36"/>
          <w:szCs w:val="36"/>
          <w:highlight w:val="none"/>
        </w:rPr>
      </w:pPr>
    </w:p>
    <w:p w14:paraId="441AC4C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6"/>
          <w:szCs w:val="36"/>
          <w:highlight w:val="none"/>
        </w:rPr>
      </w:pPr>
      <w:bookmarkStart w:id="405" w:name="_GoBack"/>
      <w:bookmarkEnd w:id="405"/>
      <w:r>
        <w:rPr>
          <w:rFonts w:hint="eastAsia" w:ascii="宋体" w:hAnsi="宋体" w:cs="宋体"/>
          <w:b/>
          <w:color w:val="auto"/>
          <w:sz w:val="36"/>
          <w:szCs w:val="36"/>
          <w:highlight w:val="none"/>
        </w:rPr>
        <w:t xml:space="preserve">第四部分   </w:t>
      </w:r>
      <w:bookmarkStart w:id="28" w:name="_Toc184310329"/>
      <w:bookmarkEnd w:id="28"/>
      <w:bookmarkStart w:id="29" w:name="_Toc184310310"/>
      <w:bookmarkEnd w:id="29"/>
      <w:bookmarkStart w:id="30" w:name="_Toc184313265"/>
      <w:bookmarkEnd w:id="30"/>
      <w:bookmarkStart w:id="31" w:name="_Toc184312110"/>
      <w:bookmarkEnd w:id="31"/>
      <w:bookmarkStart w:id="32" w:name="_Toc184313256"/>
      <w:bookmarkEnd w:id="32"/>
      <w:bookmarkStart w:id="33" w:name="_Toc184314415"/>
      <w:bookmarkEnd w:id="33"/>
      <w:bookmarkStart w:id="34" w:name="_Toc184308068"/>
      <w:bookmarkEnd w:id="34"/>
      <w:bookmarkStart w:id="35" w:name="_Toc184308076"/>
      <w:bookmarkEnd w:id="35"/>
      <w:bookmarkStart w:id="36" w:name="_Toc184310320"/>
      <w:bookmarkEnd w:id="36"/>
      <w:bookmarkStart w:id="37" w:name="_Toc184308078"/>
      <w:bookmarkEnd w:id="37"/>
      <w:bookmarkStart w:id="38" w:name="_Toc184310281"/>
      <w:bookmarkEnd w:id="38"/>
      <w:bookmarkStart w:id="39" w:name="_Toc184310326"/>
      <w:bookmarkEnd w:id="39"/>
      <w:bookmarkStart w:id="40" w:name="_Toc184310282"/>
      <w:bookmarkEnd w:id="40"/>
      <w:bookmarkStart w:id="41" w:name="_Toc184314453"/>
      <w:bookmarkEnd w:id="41"/>
      <w:bookmarkStart w:id="42" w:name="_Toc184313269"/>
      <w:bookmarkEnd w:id="42"/>
      <w:bookmarkStart w:id="43" w:name="_Toc184312114"/>
      <w:bookmarkEnd w:id="43"/>
      <w:bookmarkStart w:id="44" w:name="_Toc184314471"/>
      <w:bookmarkEnd w:id="44"/>
      <w:bookmarkStart w:id="45" w:name="_Toc184310275"/>
      <w:bookmarkEnd w:id="45"/>
      <w:bookmarkStart w:id="46" w:name="_Toc184308104"/>
      <w:bookmarkEnd w:id="46"/>
      <w:bookmarkStart w:id="47" w:name="_Toc184310272"/>
      <w:bookmarkEnd w:id="47"/>
      <w:bookmarkStart w:id="48" w:name="_Toc184313293"/>
      <w:bookmarkEnd w:id="48"/>
      <w:bookmarkStart w:id="49" w:name="_Toc184310319"/>
      <w:bookmarkEnd w:id="49"/>
      <w:bookmarkStart w:id="50" w:name="_Toc184314428"/>
      <w:bookmarkEnd w:id="50"/>
      <w:bookmarkStart w:id="51" w:name="_Toc184313251"/>
      <w:bookmarkEnd w:id="51"/>
      <w:bookmarkStart w:id="52" w:name="_Toc184308046"/>
      <w:bookmarkEnd w:id="52"/>
      <w:bookmarkStart w:id="53" w:name="_Toc184308080"/>
      <w:bookmarkEnd w:id="53"/>
      <w:bookmarkStart w:id="54" w:name="_Toc184314474"/>
      <w:bookmarkEnd w:id="54"/>
      <w:bookmarkStart w:id="55" w:name="_Toc184312109"/>
      <w:bookmarkEnd w:id="55"/>
      <w:bookmarkStart w:id="56" w:name="_Toc184313245"/>
      <w:bookmarkEnd w:id="56"/>
      <w:bookmarkStart w:id="57" w:name="_Toc184312118"/>
      <w:bookmarkEnd w:id="57"/>
      <w:bookmarkStart w:id="58" w:name="_Toc184314427"/>
      <w:bookmarkEnd w:id="58"/>
      <w:bookmarkStart w:id="59" w:name="_Toc184310279"/>
      <w:bookmarkEnd w:id="59"/>
      <w:bookmarkStart w:id="60" w:name="_Toc184310290"/>
      <w:bookmarkEnd w:id="60"/>
      <w:bookmarkStart w:id="61" w:name="_Toc184314470"/>
      <w:bookmarkEnd w:id="61"/>
      <w:bookmarkStart w:id="62" w:name="_Toc184312106"/>
      <w:bookmarkEnd w:id="62"/>
      <w:bookmarkStart w:id="63" w:name="_Toc184308098"/>
      <w:bookmarkEnd w:id="63"/>
      <w:bookmarkStart w:id="64" w:name="_Toc184310341"/>
      <w:bookmarkEnd w:id="64"/>
      <w:bookmarkStart w:id="65" w:name="_Toc184310324"/>
      <w:bookmarkEnd w:id="65"/>
      <w:bookmarkStart w:id="66" w:name="_Toc184308044"/>
      <w:bookmarkEnd w:id="66"/>
      <w:bookmarkStart w:id="67" w:name="_Toc184314438"/>
      <w:bookmarkEnd w:id="67"/>
      <w:bookmarkStart w:id="68" w:name="_Toc184313273"/>
      <w:bookmarkEnd w:id="68"/>
      <w:bookmarkStart w:id="69" w:name="_Toc184312082"/>
      <w:bookmarkEnd w:id="69"/>
      <w:bookmarkStart w:id="70" w:name="_Toc184308106"/>
      <w:bookmarkEnd w:id="70"/>
      <w:bookmarkStart w:id="71" w:name="_Toc184313281"/>
      <w:bookmarkEnd w:id="71"/>
      <w:bookmarkStart w:id="72" w:name="_Toc184313280"/>
      <w:bookmarkEnd w:id="72"/>
      <w:bookmarkStart w:id="73" w:name="_Toc184310294"/>
      <w:bookmarkEnd w:id="73"/>
      <w:bookmarkStart w:id="74" w:name="_Toc184313289"/>
      <w:bookmarkEnd w:id="74"/>
      <w:bookmarkStart w:id="75" w:name="_Toc184308043"/>
      <w:bookmarkEnd w:id="75"/>
      <w:bookmarkStart w:id="76" w:name="_Toc184312126"/>
      <w:bookmarkEnd w:id="76"/>
      <w:bookmarkStart w:id="77" w:name="_Toc184313285"/>
      <w:bookmarkEnd w:id="77"/>
      <w:bookmarkStart w:id="78" w:name="_Toc184314434"/>
      <w:bookmarkEnd w:id="78"/>
      <w:bookmarkStart w:id="79" w:name="_Toc184308095"/>
      <w:bookmarkEnd w:id="79"/>
      <w:bookmarkStart w:id="80" w:name="_Toc184312090"/>
      <w:bookmarkEnd w:id="80"/>
      <w:bookmarkStart w:id="81" w:name="_Toc184312078"/>
      <w:bookmarkEnd w:id="81"/>
      <w:bookmarkStart w:id="82" w:name="_Toc184314437"/>
      <w:bookmarkEnd w:id="82"/>
      <w:bookmarkStart w:id="83" w:name="_Toc184310330"/>
      <w:bookmarkEnd w:id="83"/>
      <w:bookmarkStart w:id="84" w:name="_Toc184310307"/>
      <w:bookmarkEnd w:id="84"/>
      <w:bookmarkStart w:id="85" w:name="_Toc184308057"/>
      <w:bookmarkEnd w:id="85"/>
      <w:bookmarkStart w:id="86" w:name="_Toc184313270"/>
      <w:bookmarkEnd w:id="86"/>
      <w:bookmarkStart w:id="87" w:name="_Toc184314459"/>
      <w:bookmarkEnd w:id="87"/>
      <w:bookmarkStart w:id="88" w:name="_Toc184308069"/>
      <w:bookmarkEnd w:id="88"/>
      <w:bookmarkStart w:id="89" w:name="_Toc184308067"/>
      <w:bookmarkEnd w:id="89"/>
      <w:bookmarkStart w:id="90" w:name="_Toc184310306"/>
      <w:bookmarkEnd w:id="90"/>
      <w:bookmarkStart w:id="91" w:name="_Toc184313306"/>
      <w:bookmarkEnd w:id="91"/>
      <w:bookmarkStart w:id="92" w:name="_Toc184313292"/>
      <w:bookmarkEnd w:id="92"/>
      <w:bookmarkStart w:id="93" w:name="_Toc184308053"/>
      <w:bookmarkEnd w:id="93"/>
      <w:bookmarkStart w:id="94" w:name="_Toc184313259"/>
      <w:bookmarkEnd w:id="94"/>
      <w:bookmarkStart w:id="95" w:name="_Toc184312097"/>
      <w:bookmarkEnd w:id="95"/>
      <w:bookmarkStart w:id="96" w:name="_Toc184314447"/>
      <w:bookmarkEnd w:id="96"/>
      <w:bookmarkStart w:id="97" w:name="_Toc184312091"/>
      <w:bookmarkEnd w:id="97"/>
      <w:bookmarkStart w:id="98" w:name="_Toc184312081"/>
      <w:bookmarkEnd w:id="98"/>
      <w:bookmarkStart w:id="99" w:name="_Toc184308094"/>
      <w:bookmarkEnd w:id="99"/>
      <w:bookmarkStart w:id="100" w:name="_Toc184310296"/>
      <w:bookmarkEnd w:id="100"/>
      <w:bookmarkStart w:id="101" w:name="_Toc184310278"/>
      <w:bookmarkEnd w:id="101"/>
      <w:bookmarkStart w:id="102" w:name="_Toc184313249"/>
      <w:bookmarkEnd w:id="102"/>
      <w:bookmarkStart w:id="103" w:name="_Toc184314480"/>
      <w:bookmarkEnd w:id="103"/>
      <w:bookmarkStart w:id="104" w:name="_Toc184308039"/>
      <w:bookmarkEnd w:id="104"/>
      <w:bookmarkStart w:id="105" w:name="_Toc184313274"/>
      <w:bookmarkEnd w:id="105"/>
      <w:bookmarkStart w:id="106" w:name="_Toc184312115"/>
      <w:bookmarkEnd w:id="106"/>
      <w:bookmarkStart w:id="107" w:name="_Toc184313248"/>
      <w:bookmarkEnd w:id="107"/>
      <w:bookmarkStart w:id="108" w:name="_Toc184314481"/>
      <w:bookmarkEnd w:id="108"/>
      <w:bookmarkStart w:id="109" w:name="_Toc184313272"/>
      <w:bookmarkEnd w:id="109"/>
      <w:bookmarkStart w:id="110" w:name="_Toc184310276"/>
      <w:bookmarkEnd w:id="110"/>
      <w:bookmarkStart w:id="111" w:name="_Toc184313299"/>
      <w:bookmarkEnd w:id="111"/>
      <w:bookmarkStart w:id="112" w:name="_Toc184310308"/>
      <w:bookmarkEnd w:id="112"/>
      <w:bookmarkStart w:id="113" w:name="_Toc184314417"/>
      <w:bookmarkEnd w:id="113"/>
      <w:bookmarkStart w:id="114" w:name="_Toc184314446"/>
      <w:bookmarkEnd w:id="114"/>
      <w:bookmarkStart w:id="115" w:name="_Toc184313284"/>
      <w:bookmarkEnd w:id="115"/>
      <w:bookmarkStart w:id="116" w:name="_Toc184313250"/>
      <w:bookmarkEnd w:id="116"/>
      <w:bookmarkStart w:id="117" w:name="_Toc184308045"/>
      <w:bookmarkEnd w:id="117"/>
      <w:bookmarkStart w:id="118" w:name="_Toc184310287"/>
      <w:bookmarkEnd w:id="118"/>
      <w:bookmarkStart w:id="119" w:name="_Toc184314482"/>
      <w:bookmarkEnd w:id="119"/>
      <w:bookmarkStart w:id="120" w:name="_Toc184312121"/>
      <w:bookmarkEnd w:id="120"/>
      <w:bookmarkStart w:id="121" w:name="_Toc184308081"/>
      <w:bookmarkEnd w:id="121"/>
      <w:bookmarkStart w:id="122" w:name="_Toc184313310"/>
      <w:bookmarkEnd w:id="122"/>
      <w:bookmarkStart w:id="123" w:name="_Toc184312105"/>
      <w:bookmarkEnd w:id="123"/>
      <w:bookmarkStart w:id="124" w:name="_Toc184313309"/>
      <w:bookmarkEnd w:id="124"/>
      <w:bookmarkStart w:id="125" w:name="_Toc184312134"/>
      <w:bookmarkEnd w:id="125"/>
      <w:bookmarkStart w:id="126" w:name="_Toc184314467"/>
      <w:bookmarkEnd w:id="126"/>
      <w:bookmarkStart w:id="127" w:name="_Toc184314463"/>
      <w:bookmarkEnd w:id="127"/>
      <w:bookmarkStart w:id="128" w:name="_Toc184314469"/>
      <w:bookmarkEnd w:id="128"/>
      <w:bookmarkStart w:id="129" w:name="_Toc184313279"/>
      <w:bookmarkEnd w:id="129"/>
      <w:bookmarkStart w:id="130" w:name="_Toc184312075"/>
      <w:bookmarkEnd w:id="130"/>
      <w:bookmarkStart w:id="131" w:name="_Toc184310331"/>
      <w:bookmarkEnd w:id="131"/>
      <w:bookmarkStart w:id="132" w:name="_Toc184312137"/>
      <w:bookmarkEnd w:id="132"/>
      <w:bookmarkStart w:id="133" w:name="_Toc184314420"/>
      <w:bookmarkEnd w:id="133"/>
      <w:bookmarkStart w:id="134" w:name="_Toc184312125"/>
      <w:bookmarkEnd w:id="134"/>
      <w:bookmarkStart w:id="135" w:name="_Toc184313297"/>
      <w:bookmarkEnd w:id="135"/>
      <w:bookmarkStart w:id="136" w:name="_Toc184312096"/>
      <w:bookmarkEnd w:id="136"/>
      <w:bookmarkStart w:id="137" w:name="_Toc184313266"/>
      <w:bookmarkEnd w:id="137"/>
      <w:bookmarkStart w:id="138" w:name="_Toc184308041"/>
      <w:bookmarkEnd w:id="138"/>
      <w:bookmarkStart w:id="139" w:name="_Toc184310323"/>
      <w:bookmarkEnd w:id="139"/>
      <w:bookmarkStart w:id="140" w:name="_Toc184314440"/>
      <w:bookmarkEnd w:id="140"/>
      <w:bookmarkStart w:id="141" w:name="_Toc184314455"/>
      <w:bookmarkEnd w:id="141"/>
      <w:bookmarkStart w:id="142" w:name="_Toc184308075"/>
      <w:bookmarkEnd w:id="142"/>
      <w:bookmarkStart w:id="143" w:name="_Toc184308060"/>
      <w:bookmarkEnd w:id="143"/>
      <w:bookmarkStart w:id="144" w:name="_Toc184308077"/>
      <w:bookmarkEnd w:id="144"/>
      <w:bookmarkStart w:id="145" w:name="_Toc184313305"/>
      <w:bookmarkEnd w:id="145"/>
      <w:bookmarkStart w:id="146" w:name="_Toc184313264"/>
      <w:bookmarkEnd w:id="146"/>
      <w:bookmarkStart w:id="147" w:name="_Toc184310344"/>
      <w:bookmarkEnd w:id="147"/>
      <w:bookmarkStart w:id="148" w:name="_Toc184312093"/>
      <w:bookmarkEnd w:id="148"/>
      <w:bookmarkStart w:id="149" w:name="_Toc184312130"/>
      <w:bookmarkEnd w:id="149"/>
      <w:bookmarkStart w:id="150" w:name="_Toc184314456"/>
      <w:bookmarkEnd w:id="150"/>
      <w:bookmarkStart w:id="151" w:name="_Toc184308084"/>
      <w:bookmarkEnd w:id="151"/>
      <w:bookmarkStart w:id="152" w:name="_Toc184308074"/>
      <w:bookmarkEnd w:id="152"/>
      <w:bookmarkStart w:id="153" w:name="_Toc184312129"/>
      <w:bookmarkEnd w:id="153"/>
      <w:bookmarkStart w:id="154" w:name="_Toc184314422"/>
      <w:bookmarkEnd w:id="154"/>
      <w:bookmarkStart w:id="155" w:name="_Toc184313278"/>
      <w:bookmarkEnd w:id="155"/>
      <w:bookmarkStart w:id="156" w:name="_Toc184312095"/>
      <w:bookmarkEnd w:id="156"/>
      <w:bookmarkStart w:id="157" w:name="_Toc184308101"/>
      <w:bookmarkEnd w:id="157"/>
      <w:bookmarkStart w:id="158" w:name="_Toc184313295"/>
      <w:bookmarkEnd w:id="158"/>
      <w:bookmarkStart w:id="159" w:name="_Toc184313276"/>
      <w:bookmarkEnd w:id="159"/>
      <w:bookmarkStart w:id="160" w:name="_Toc184313294"/>
      <w:bookmarkEnd w:id="160"/>
      <w:bookmarkStart w:id="161" w:name="_Toc184314445"/>
      <w:bookmarkEnd w:id="161"/>
      <w:bookmarkStart w:id="162" w:name="_Toc184313303"/>
      <w:bookmarkEnd w:id="162"/>
      <w:bookmarkStart w:id="163" w:name="_Toc184312123"/>
      <w:bookmarkEnd w:id="163"/>
      <w:bookmarkStart w:id="164" w:name="_Toc184314424"/>
      <w:bookmarkEnd w:id="164"/>
      <w:bookmarkStart w:id="165" w:name="_Toc184308073"/>
      <w:bookmarkEnd w:id="165"/>
      <w:bookmarkStart w:id="166" w:name="_Toc184312113"/>
      <w:bookmarkEnd w:id="166"/>
      <w:bookmarkStart w:id="167" w:name="_Toc184310334"/>
      <w:bookmarkEnd w:id="167"/>
      <w:bookmarkStart w:id="168" w:name="_Toc184312094"/>
      <w:bookmarkEnd w:id="168"/>
      <w:bookmarkStart w:id="169" w:name="_Toc184312104"/>
      <w:bookmarkEnd w:id="169"/>
      <w:bookmarkStart w:id="170" w:name="_Toc184312136"/>
      <w:bookmarkEnd w:id="170"/>
      <w:bookmarkStart w:id="171" w:name="_Toc184314425"/>
      <w:bookmarkEnd w:id="171"/>
      <w:bookmarkStart w:id="172" w:name="_Toc184312076"/>
      <w:bookmarkEnd w:id="172"/>
      <w:bookmarkStart w:id="173" w:name="_Toc184313302"/>
      <w:bookmarkEnd w:id="173"/>
      <w:bookmarkStart w:id="174" w:name="_Toc184308072"/>
      <w:bookmarkEnd w:id="174"/>
      <w:bookmarkStart w:id="175" w:name="_Toc184310273"/>
      <w:bookmarkEnd w:id="175"/>
      <w:bookmarkStart w:id="176" w:name="_Toc184308096"/>
      <w:bookmarkEnd w:id="176"/>
      <w:bookmarkStart w:id="177" w:name="_Toc184313254"/>
      <w:bookmarkEnd w:id="177"/>
      <w:bookmarkStart w:id="178" w:name="_Toc184312084"/>
      <w:bookmarkEnd w:id="178"/>
      <w:bookmarkStart w:id="179" w:name="_Toc184310343"/>
      <w:bookmarkEnd w:id="179"/>
      <w:bookmarkStart w:id="180" w:name="_Toc184310297"/>
      <w:bookmarkEnd w:id="180"/>
      <w:bookmarkStart w:id="181" w:name="_Toc184314478"/>
      <w:bookmarkEnd w:id="181"/>
      <w:bookmarkStart w:id="182" w:name="_Toc184308061"/>
      <w:bookmarkEnd w:id="182"/>
      <w:bookmarkStart w:id="183" w:name="_Toc184310309"/>
      <w:bookmarkEnd w:id="183"/>
      <w:bookmarkStart w:id="184" w:name="_Toc184314452"/>
      <w:bookmarkEnd w:id="184"/>
      <w:bookmarkStart w:id="185" w:name="_Toc184312103"/>
      <w:bookmarkEnd w:id="185"/>
      <w:bookmarkStart w:id="186" w:name="_Toc184312083"/>
      <w:bookmarkEnd w:id="186"/>
      <w:bookmarkStart w:id="187" w:name="_Toc184314454"/>
      <w:bookmarkEnd w:id="187"/>
      <w:bookmarkStart w:id="188" w:name="_Toc184308079"/>
      <w:bookmarkEnd w:id="188"/>
      <w:bookmarkStart w:id="189" w:name="_Toc184313262"/>
      <w:bookmarkEnd w:id="189"/>
      <w:bookmarkStart w:id="190" w:name="_Toc184310274"/>
      <w:bookmarkEnd w:id="190"/>
      <w:bookmarkStart w:id="191" w:name="_Toc184312067"/>
      <w:bookmarkEnd w:id="191"/>
      <w:bookmarkStart w:id="192" w:name="_Toc184314462"/>
      <w:bookmarkEnd w:id="192"/>
      <w:bookmarkStart w:id="193" w:name="_Toc184313238"/>
      <w:bookmarkEnd w:id="193"/>
      <w:bookmarkStart w:id="194" w:name="_Toc184312072"/>
      <w:bookmarkEnd w:id="194"/>
      <w:bookmarkStart w:id="195" w:name="_Toc184308108"/>
      <w:bookmarkEnd w:id="195"/>
      <w:bookmarkStart w:id="196" w:name="_Toc184312069"/>
      <w:bookmarkEnd w:id="196"/>
      <w:bookmarkStart w:id="197" w:name="_Toc184312074"/>
      <w:bookmarkEnd w:id="197"/>
      <w:bookmarkStart w:id="198" w:name="_Toc184308040"/>
      <w:bookmarkEnd w:id="198"/>
      <w:bookmarkStart w:id="199" w:name="_Toc184312108"/>
      <w:bookmarkEnd w:id="199"/>
      <w:bookmarkStart w:id="200" w:name="_Toc184308087"/>
      <w:bookmarkEnd w:id="200"/>
      <w:bookmarkStart w:id="201" w:name="_Toc184313267"/>
      <w:bookmarkEnd w:id="201"/>
      <w:bookmarkStart w:id="202" w:name="_Toc184313290"/>
      <w:bookmarkEnd w:id="202"/>
      <w:bookmarkStart w:id="203" w:name="_Toc184314476"/>
      <w:bookmarkEnd w:id="203"/>
      <w:bookmarkStart w:id="204" w:name="_Toc184310286"/>
      <w:bookmarkEnd w:id="204"/>
      <w:bookmarkStart w:id="205" w:name="_Toc184310315"/>
      <w:bookmarkEnd w:id="205"/>
      <w:bookmarkStart w:id="206" w:name="_Toc184312089"/>
      <w:bookmarkEnd w:id="206"/>
      <w:bookmarkStart w:id="207" w:name="_Toc184312080"/>
      <w:bookmarkEnd w:id="207"/>
      <w:bookmarkStart w:id="208" w:name="_Toc184310328"/>
      <w:bookmarkEnd w:id="208"/>
      <w:bookmarkStart w:id="209" w:name="_Toc184310322"/>
      <w:bookmarkEnd w:id="209"/>
      <w:bookmarkStart w:id="210" w:name="_Toc184310340"/>
      <w:bookmarkEnd w:id="210"/>
      <w:bookmarkStart w:id="211" w:name="_Toc184308054"/>
      <w:bookmarkEnd w:id="211"/>
      <w:bookmarkStart w:id="212" w:name="_Toc184310299"/>
      <w:bookmarkEnd w:id="212"/>
      <w:bookmarkStart w:id="213" w:name="_Toc184313243"/>
      <w:bookmarkEnd w:id="213"/>
      <w:bookmarkStart w:id="214" w:name="_Toc184314472"/>
      <w:bookmarkEnd w:id="214"/>
      <w:bookmarkStart w:id="215" w:name="_Toc184312092"/>
      <w:bookmarkEnd w:id="215"/>
      <w:bookmarkStart w:id="216" w:name="_Toc184308038"/>
      <w:bookmarkEnd w:id="216"/>
      <w:bookmarkStart w:id="217" w:name="_Toc184313304"/>
      <w:bookmarkEnd w:id="217"/>
      <w:bookmarkStart w:id="218" w:name="_Toc184314435"/>
      <w:bookmarkEnd w:id="218"/>
      <w:bookmarkStart w:id="219" w:name="_Toc184308100"/>
      <w:bookmarkEnd w:id="219"/>
      <w:bookmarkStart w:id="220" w:name="_Toc184308056"/>
      <w:bookmarkEnd w:id="220"/>
      <w:bookmarkStart w:id="221" w:name="_Toc184312135"/>
      <w:bookmarkEnd w:id="221"/>
      <w:bookmarkStart w:id="222" w:name="_Toc184314416"/>
      <w:bookmarkEnd w:id="222"/>
      <w:bookmarkStart w:id="223" w:name="_Toc184308066"/>
      <w:bookmarkEnd w:id="223"/>
      <w:bookmarkStart w:id="224" w:name="_Toc184312117"/>
      <w:bookmarkEnd w:id="224"/>
      <w:bookmarkStart w:id="225" w:name="_Toc184310339"/>
      <w:bookmarkEnd w:id="225"/>
      <w:bookmarkStart w:id="226" w:name="_Toc184313241"/>
      <w:bookmarkEnd w:id="226"/>
      <w:bookmarkStart w:id="227" w:name="_Toc184314464"/>
      <w:bookmarkEnd w:id="227"/>
      <w:bookmarkStart w:id="228" w:name="_Toc184310317"/>
      <w:bookmarkEnd w:id="228"/>
      <w:bookmarkStart w:id="229" w:name="_Toc184308090"/>
      <w:bookmarkEnd w:id="229"/>
      <w:bookmarkStart w:id="230" w:name="_Toc184314465"/>
      <w:bookmarkEnd w:id="230"/>
      <w:bookmarkStart w:id="231" w:name="_Toc184314432"/>
      <w:bookmarkEnd w:id="231"/>
      <w:bookmarkStart w:id="232" w:name="_Toc184312116"/>
      <w:bookmarkEnd w:id="232"/>
      <w:bookmarkStart w:id="233" w:name="_Toc184312071"/>
      <w:bookmarkEnd w:id="233"/>
      <w:bookmarkStart w:id="234" w:name="_Toc184310305"/>
      <w:bookmarkEnd w:id="234"/>
      <w:bookmarkStart w:id="235" w:name="_Toc184310338"/>
      <w:bookmarkEnd w:id="235"/>
      <w:bookmarkStart w:id="236" w:name="_Toc184310316"/>
      <w:bookmarkEnd w:id="236"/>
      <w:bookmarkStart w:id="237" w:name="_Toc184310289"/>
      <w:bookmarkEnd w:id="237"/>
      <w:bookmarkStart w:id="238" w:name="_Toc184314413"/>
      <w:bookmarkEnd w:id="238"/>
      <w:bookmarkStart w:id="239" w:name="_Toc184310336"/>
      <w:bookmarkEnd w:id="239"/>
      <w:bookmarkStart w:id="240" w:name="_Toc184314466"/>
      <w:bookmarkEnd w:id="240"/>
      <w:bookmarkStart w:id="241" w:name="_Toc184308036"/>
      <w:bookmarkEnd w:id="241"/>
      <w:bookmarkStart w:id="242" w:name="_Toc184308050"/>
      <w:bookmarkEnd w:id="242"/>
      <w:bookmarkStart w:id="243" w:name="_Toc184312073"/>
      <w:bookmarkEnd w:id="243"/>
      <w:bookmarkStart w:id="244" w:name="_Toc184308063"/>
      <w:bookmarkEnd w:id="244"/>
      <w:bookmarkStart w:id="245" w:name="_Toc184310302"/>
      <w:bookmarkEnd w:id="245"/>
      <w:bookmarkStart w:id="246" w:name="_Toc184312133"/>
      <w:bookmarkEnd w:id="246"/>
      <w:bookmarkStart w:id="247" w:name="_Toc184313240"/>
      <w:bookmarkEnd w:id="247"/>
      <w:bookmarkStart w:id="248" w:name="_Toc184310325"/>
      <w:bookmarkEnd w:id="248"/>
      <w:bookmarkStart w:id="249" w:name="_Toc184308083"/>
      <w:bookmarkEnd w:id="249"/>
      <w:bookmarkStart w:id="250" w:name="_Toc184312132"/>
      <w:bookmarkEnd w:id="250"/>
      <w:bookmarkStart w:id="251" w:name="_Toc184313255"/>
      <w:bookmarkEnd w:id="251"/>
      <w:bookmarkStart w:id="252" w:name="_Toc184308037"/>
      <w:bookmarkEnd w:id="252"/>
      <w:bookmarkStart w:id="253" w:name="_Toc184308093"/>
      <w:bookmarkEnd w:id="253"/>
      <w:bookmarkStart w:id="254" w:name="_Toc184310327"/>
      <w:bookmarkEnd w:id="254"/>
      <w:bookmarkStart w:id="255" w:name="_Toc184310333"/>
      <w:bookmarkEnd w:id="255"/>
      <w:bookmarkStart w:id="256" w:name="_Toc184314468"/>
      <w:bookmarkEnd w:id="256"/>
      <w:bookmarkStart w:id="257" w:name="_Toc184313291"/>
      <w:bookmarkEnd w:id="257"/>
      <w:bookmarkStart w:id="258" w:name="_Toc184312127"/>
      <w:bookmarkEnd w:id="258"/>
      <w:bookmarkStart w:id="259" w:name="_Toc184308059"/>
      <w:bookmarkEnd w:id="259"/>
      <w:bookmarkStart w:id="260" w:name="_Toc184314414"/>
      <w:bookmarkEnd w:id="260"/>
      <w:bookmarkStart w:id="261" w:name="_Toc184312120"/>
      <w:bookmarkEnd w:id="261"/>
      <w:bookmarkStart w:id="262" w:name="_Toc184312099"/>
      <w:bookmarkEnd w:id="262"/>
      <w:bookmarkStart w:id="263" w:name="_Toc184312131"/>
      <w:bookmarkEnd w:id="263"/>
      <w:bookmarkStart w:id="264" w:name="_Toc184312112"/>
      <w:bookmarkEnd w:id="264"/>
      <w:bookmarkStart w:id="265" w:name="_Toc184314423"/>
      <w:bookmarkEnd w:id="265"/>
      <w:bookmarkStart w:id="266" w:name="_Toc184312119"/>
      <w:bookmarkEnd w:id="266"/>
      <w:bookmarkStart w:id="267" w:name="_Toc184310298"/>
      <w:bookmarkEnd w:id="267"/>
      <w:bookmarkStart w:id="268" w:name="_Toc184312098"/>
      <w:bookmarkEnd w:id="268"/>
      <w:bookmarkStart w:id="269" w:name="_Toc184314461"/>
      <w:bookmarkEnd w:id="269"/>
      <w:bookmarkStart w:id="270" w:name="_Toc184314443"/>
      <w:bookmarkEnd w:id="270"/>
      <w:bookmarkStart w:id="271" w:name="_Toc184314439"/>
      <w:bookmarkEnd w:id="271"/>
      <w:bookmarkStart w:id="272" w:name="_Toc184310321"/>
      <w:bookmarkEnd w:id="272"/>
      <w:bookmarkStart w:id="273" w:name="_Toc184314458"/>
      <w:bookmarkEnd w:id="273"/>
      <w:bookmarkStart w:id="274" w:name="_Toc184313260"/>
      <w:bookmarkEnd w:id="274"/>
      <w:bookmarkStart w:id="275" w:name="_Toc184310301"/>
      <w:bookmarkEnd w:id="275"/>
      <w:bookmarkStart w:id="276" w:name="_Toc184310277"/>
      <w:bookmarkEnd w:id="276"/>
      <w:bookmarkStart w:id="277" w:name="_Toc184314429"/>
      <w:bookmarkEnd w:id="277"/>
      <w:bookmarkStart w:id="278" w:name="_Toc184308092"/>
      <w:bookmarkEnd w:id="278"/>
      <w:bookmarkStart w:id="279" w:name="_Toc184314457"/>
      <w:bookmarkEnd w:id="279"/>
      <w:bookmarkStart w:id="280" w:name="_Toc184314430"/>
      <w:bookmarkEnd w:id="280"/>
      <w:bookmarkStart w:id="281" w:name="_Toc184308047"/>
      <w:bookmarkEnd w:id="281"/>
      <w:bookmarkStart w:id="282" w:name="_Toc184312085"/>
      <w:bookmarkEnd w:id="282"/>
      <w:bookmarkStart w:id="283" w:name="_Toc184310312"/>
      <w:bookmarkEnd w:id="283"/>
      <w:bookmarkStart w:id="284" w:name="_Toc184313288"/>
      <w:bookmarkEnd w:id="284"/>
      <w:bookmarkStart w:id="285" w:name="_Toc184314419"/>
      <w:bookmarkEnd w:id="285"/>
      <w:bookmarkStart w:id="286" w:name="_Toc184314411"/>
      <w:bookmarkEnd w:id="286"/>
      <w:bookmarkStart w:id="287" w:name="_Toc184310284"/>
      <w:bookmarkEnd w:id="287"/>
      <w:bookmarkStart w:id="288" w:name="_Toc184308071"/>
      <w:bookmarkEnd w:id="288"/>
      <w:bookmarkStart w:id="289" w:name="_Toc184310318"/>
      <w:bookmarkEnd w:id="289"/>
      <w:bookmarkStart w:id="290" w:name="_Toc184314479"/>
      <w:bookmarkEnd w:id="290"/>
      <w:bookmarkStart w:id="291" w:name="_Toc184312107"/>
      <w:bookmarkEnd w:id="291"/>
      <w:bookmarkStart w:id="292" w:name="_Toc184314442"/>
      <w:bookmarkEnd w:id="292"/>
      <w:bookmarkStart w:id="293" w:name="_Toc184313300"/>
      <w:bookmarkEnd w:id="293"/>
      <w:bookmarkStart w:id="294" w:name="_Toc184313258"/>
      <w:bookmarkEnd w:id="294"/>
      <w:bookmarkStart w:id="295" w:name="_Toc184313257"/>
      <w:bookmarkEnd w:id="295"/>
      <w:bookmarkStart w:id="296" w:name="_Toc184313242"/>
      <w:bookmarkEnd w:id="296"/>
      <w:bookmarkStart w:id="297" w:name="_Toc184313239"/>
      <w:bookmarkEnd w:id="297"/>
      <w:bookmarkStart w:id="298" w:name="_Toc184312102"/>
      <w:bookmarkEnd w:id="298"/>
      <w:bookmarkStart w:id="299" w:name="_Toc184308103"/>
      <w:bookmarkEnd w:id="299"/>
      <w:bookmarkStart w:id="300" w:name="_Toc184313261"/>
      <w:bookmarkEnd w:id="300"/>
      <w:bookmarkStart w:id="301" w:name="_Toc184313263"/>
      <w:bookmarkEnd w:id="301"/>
      <w:bookmarkStart w:id="302" w:name="_Toc184310300"/>
      <w:bookmarkEnd w:id="302"/>
      <w:bookmarkStart w:id="303" w:name="_Toc184314418"/>
      <w:bookmarkEnd w:id="303"/>
      <w:bookmarkStart w:id="304" w:name="_Toc184312124"/>
      <w:bookmarkEnd w:id="304"/>
      <w:bookmarkStart w:id="305" w:name="_Toc184312068"/>
      <w:bookmarkEnd w:id="305"/>
      <w:bookmarkStart w:id="306" w:name="_Toc184313244"/>
      <w:bookmarkEnd w:id="306"/>
      <w:bookmarkStart w:id="307" w:name="_Toc184308086"/>
      <w:bookmarkEnd w:id="307"/>
      <w:bookmarkStart w:id="308" w:name="_Toc184308091"/>
      <w:bookmarkEnd w:id="308"/>
      <w:bookmarkStart w:id="309" w:name="_Toc184312070"/>
      <w:bookmarkEnd w:id="309"/>
      <w:bookmarkStart w:id="310" w:name="_Toc184312086"/>
      <w:bookmarkEnd w:id="310"/>
      <w:bookmarkStart w:id="311" w:name="_Toc184312138"/>
      <w:bookmarkEnd w:id="311"/>
      <w:bookmarkStart w:id="312" w:name="_Toc184308085"/>
      <w:bookmarkEnd w:id="312"/>
      <w:bookmarkStart w:id="313" w:name="_Toc184308097"/>
      <w:bookmarkEnd w:id="313"/>
      <w:bookmarkStart w:id="314" w:name="_Toc184310295"/>
      <w:bookmarkEnd w:id="314"/>
      <w:bookmarkStart w:id="315" w:name="_Toc184310332"/>
      <w:bookmarkEnd w:id="315"/>
      <w:bookmarkStart w:id="316" w:name="_Toc184313301"/>
      <w:bookmarkEnd w:id="316"/>
      <w:bookmarkStart w:id="317" w:name="_Toc184310288"/>
      <w:bookmarkEnd w:id="317"/>
      <w:bookmarkStart w:id="318" w:name="_Toc184313275"/>
      <w:bookmarkEnd w:id="318"/>
      <w:bookmarkStart w:id="319" w:name="_Toc184314451"/>
      <w:bookmarkEnd w:id="319"/>
      <w:bookmarkStart w:id="320" w:name="_Toc184308082"/>
      <w:bookmarkEnd w:id="320"/>
      <w:bookmarkStart w:id="321" w:name="_Toc184313296"/>
      <w:bookmarkEnd w:id="321"/>
      <w:bookmarkStart w:id="322" w:name="_Toc184313268"/>
      <w:bookmarkEnd w:id="322"/>
      <w:bookmarkStart w:id="323" w:name="_Toc184308102"/>
      <w:bookmarkEnd w:id="323"/>
      <w:bookmarkStart w:id="324" w:name="_Toc184314450"/>
      <w:bookmarkEnd w:id="324"/>
      <w:bookmarkStart w:id="325" w:name="_Toc184310313"/>
      <w:bookmarkEnd w:id="325"/>
      <w:bookmarkStart w:id="326" w:name="_Toc184312077"/>
      <w:bookmarkEnd w:id="326"/>
      <w:bookmarkStart w:id="327" w:name="_Toc184308051"/>
      <w:bookmarkEnd w:id="327"/>
      <w:bookmarkStart w:id="328" w:name="_Toc184313298"/>
      <w:bookmarkEnd w:id="328"/>
      <w:bookmarkStart w:id="329" w:name="_Toc184310285"/>
      <w:bookmarkEnd w:id="329"/>
      <w:bookmarkStart w:id="330" w:name="_Toc184313271"/>
      <w:bookmarkEnd w:id="330"/>
      <w:bookmarkStart w:id="331" w:name="_Toc184308099"/>
      <w:bookmarkEnd w:id="331"/>
      <w:bookmarkStart w:id="332" w:name="_Toc184314473"/>
      <w:bookmarkEnd w:id="332"/>
      <w:bookmarkStart w:id="333" w:name="_Toc184312088"/>
      <w:bookmarkEnd w:id="333"/>
      <w:bookmarkStart w:id="334" w:name="_Toc184314436"/>
      <w:bookmarkEnd w:id="334"/>
      <w:bookmarkStart w:id="335" w:name="_Toc184308058"/>
      <w:bookmarkEnd w:id="335"/>
      <w:bookmarkStart w:id="336" w:name="_Toc184312079"/>
      <w:bookmarkEnd w:id="336"/>
      <w:bookmarkStart w:id="337" w:name="_Toc184314433"/>
      <w:bookmarkEnd w:id="337"/>
      <w:bookmarkStart w:id="338" w:name="_Toc184310337"/>
      <w:bookmarkEnd w:id="338"/>
      <w:bookmarkStart w:id="339" w:name="_Toc184310293"/>
      <w:bookmarkEnd w:id="339"/>
      <w:bookmarkStart w:id="340" w:name="_Toc184313282"/>
      <w:bookmarkEnd w:id="340"/>
      <w:bookmarkStart w:id="341" w:name="_Toc184308064"/>
      <w:bookmarkEnd w:id="341"/>
      <w:bookmarkStart w:id="342" w:name="_Toc184310311"/>
      <w:bookmarkEnd w:id="342"/>
      <w:bookmarkStart w:id="343" w:name="_Toc184308088"/>
      <w:bookmarkEnd w:id="343"/>
      <w:bookmarkStart w:id="344" w:name="_Toc184308042"/>
      <w:bookmarkEnd w:id="344"/>
      <w:bookmarkStart w:id="345" w:name="_Toc184310283"/>
      <w:bookmarkEnd w:id="345"/>
      <w:bookmarkStart w:id="346" w:name="_Toc184314410"/>
      <w:bookmarkEnd w:id="346"/>
      <w:bookmarkStart w:id="347" w:name="_Toc184308065"/>
      <w:bookmarkEnd w:id="347"/>
      <w:bookmarkStart w:id="348" w:name="_Toc184314426"/>
      <w:bookmarkEnd w:id="348"/>
      <w:bookmarkStart w:id="349" w:name="_Toc184308070"/>
      <w:bookmarkEnd w:id="349"/>
      <w:bookmarkStart w:id="350" w:name="_Toc184312111"/>
      <w:bookmarkEnd w:id="350"/>
      <w:bookmarkStart w:id="351" w:name="_Toc184310303"/>
      <w:bookmarkEnd w:id="351"/>
      <w:bookmarkStart w:id="352" w:name="_Toc184314444"/>
      <w:bookmarkEnd w:id="352"/>
      <w:bookmarkStart w:id="353" w:name="_Toc184312101"/>
      <w:bookmarkEnd w:id="353"/>
      <w:bookmarkStart w:id="354" w:name="_Toc184308049"/>
      <w:bookmarkEnd w:id="354"/>
      <w:bookmarkStart w:id="355" w:name="_Toc184313308"/>
      <w:bookmarkEnd w:id="355"/>
      <w:bookmarkStart w:id="356" w:name="_Toc184312087"/>
      <w:bookmarkEnd w:id="356"/>
      <w:bookmarkStart w:id="357" w:name="_Toc184308048"/>
      <w:bookmarkEnd w:id="357"/>
      <w:bookmarkStart w:id="358" w:name="_Toc184314475"/>
      <w:bookmarkEnd w:id="358"/>
      <w:bookmarkStart w:id="359" w:name="_Toc184310292"/>
      <w:bookmarkEnd w:id="359"/>
      <w:bookmarkStart w:id="360" w:name="_Toc184313246"/>
      <w:bookmarkEnd w:id="360"/>
      <w:bookmarkStart w:id="361" w:name="_Toc184308055"/>
      <w:bookmarkEnd w:id="361"/>
      <w:bookmarkStart w:id="362" w:name="_Toc184312139"/>
      <w:bookmarkEnd w:id="362"/>
      <w:bookmarkStart w:id="363" w:name="_Toc184314448"/>
      <w:bookmarkEnd w:id="363"/>
      <w:bookmarkStart w:id="364" w:name="_Toc184308107"/>
      <w:bookmarkEnd w:id="364"/>
      <w:bookmarkStart w:id="365" w:name="_Toc184313253"/>
      <w:bookmarkEnd w:id="365"/>
      <w:bookmarkStart w:id="366" w:name="_Toc184310314"/>
      <w:bookmarkEnd w:id="366"/>
      <w:bookmarkStart w:id="367" w:name="_Toc184313287"/>
      <w:bookmarkEnd w:id="367"/>
      <w:bookmarkStart w:id="368" w:name="_Toc184308089"/>
      <w:bookmarkEnd w:id="368"/>
      <w:bookmarkStart w:id="369" w:name="_Toc184314460"/>
      <w:bookmarkEnd w:id="369"/>
      <w:bookmarkStart w:id="370" w:name="_Toc184313307"/>
      <w:bookmarkEnd w:id="370"/>
      <w:bookmarkStart w:id="371" w:name="_Toc184314431"/>
      <w:bookmarkEnd w:id="371"/>
      <w:bookmarkStart w:id="372" w:name="_Toc184314412"/>
      <w:bookmarkEnd w:id="372"/>
      <w:bookmarkStart w:id="373" w:name="_Toc184314477"/>
      <w:bookmarkEnd w:id="373"/>
      <w:bookmarkStart w:id="374" w:name="_Toc184308052"/>
      <w:bookmarkEnd w:id="374"/>
      <w:bookmarkStart w:id="375" w:name="_Toc184313247"/>
      <w:bookmarkEnd w:id="375"/>
      <w:bookmarkStart w:id="376" w:name="_Toc184313277"/>
      <w:bookmarkEnd w:id="376"/>
      <w:bookmarkStart w:id="377" w:name="_Toc184310335"/>
      <w:bookmarkEnd w:id="377"/>
      <w:bookmarkStart w:id="378" w:name="_Toc184314421"/>
      <w:bookmarkEnd w:id="378"/>
      <w:bookmarkStart w:id="379" w:name="_Toc184312100"/>
      <w:bookmarkEnd w:id="379"/>
      <w:bookmarkStart w:id="380" w:name="_Toc184314441"/>
      <w:bookmarkEnd w:id="380"/>
      <w:bookmarkStart w:id="381" w:name="_Toc184308105"/>
      <w:bookmarkEnd w:id="381"/>
      <w:bookmarkStart w:id="382" w:name="_Toc184313286"/>
      <w:bookmarkEnd w:id="382"/>
      <w:bookmarkStart w:id="383" w:name="_Toc184308062"/>
      <w:bookmarkEnd w:id="383"/>
      <w:bookmarkStart w:id="384" w:name="_Toc184312128"/>
      <w:bookmarkEnd w:id="384"/>
      <w:bookmarkStart w:id="385" w:name="_Toc184314449"/>
      <w:bookmarkEnd w:id="385"/>
      <w:bookmarkStart w:id="386" w:name="_Toc184313252"/>
      <w:bookmarkEnd w:id="386"/>
      <w:bookmarkStart w:id="387" w:name="_Toc184310304"/>
      <w:bookmarkEnd w:id="387"/>
      <w:bookmarkStart w:id="388" w:name="_Toc184310342"/>
      <w:bookmarkEnd w:id="388"/>
      <w:bookmarkStart w:id="389" w:name="_Toc184310291"/>
      <w:bookmarkEnd w:id="389"/>
      <w:bookmarkStart w:id="390" w:name="_Toc184312122"/>
      <w:bookmarkEnd w:id="390"/>
      <w:bookmarkStart w:id="391" w:name="_Toc184310280"/>
      <w:bookmarkEnd w:id="391"/>
      <w:bookmarkStart w:id="392" w:name="_Toc184313283"/>
      <w:bookmarkEnd w:id="392"/>
      <w:r>
        <w:rPr>
          <w:rFonts w:hint="eastAsia" w:ascii="宋体" w:hAnsi="宋体" w:cs="宋体"/>
          <w:b/>
          <w:color w:val="auto"/>
          <w:sz w:val="36"/>
          <w:szCs w:val="36"/>
          <w:highlight w:val="none"/>
        </w:rPr>
        <w:t>评标办法</w:t>
      </w:r>
    </w:p>
    <w:p w14:paraId="550B283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4"/>
        <w:tblW w:w="9299" w:type="dxa"/>
        <w:tblInd w:w="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700"/>
        <w:gridCol w:w="5310"/>
        <w:gridCol w:w="580"/>
        <w:gridCol w:w="780"/>
        <w:gridCol w:w="1360"/>
      </w:tblGrid>
      <w:tr w14:paraId="5BDB2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23B0145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序号</w:t>
            </w:r>
          </w:p>
        </w:tc>
        <w:tc>
          <w:tcPr>
            <w:tcW w:w="6010" w:type="dxa"/>
            <w:gridSpan w:val="2"/>
            <w:vAlign w:val="center"/>
          </w:tcPr>
          <w:p w14:paraId="6740F48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评标标准</w:t>
            </w:r>
          </w:p>
        </w:tc>
        <w:tc>
          <w:tcPr>
            <w:tcW w:w="580" w:type="dxa"/>
            <w:vAlign w:val="center"/>
          </w:tcPr>
          <w:p w14:paraId="7E54E67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权重</w:t>
            </w:r>
          </w:p>
        </w:tc>
        <w:tc>
          <w:tcPr>
            <w:tcW w:w="780" w:type="dxa"/>
            <w:vAlign w:val="center"/>
          </w:tcPr>
          <w:p w14:paraId="5794FAF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主观分/客观分属性</w:t>
            </w:r>
          </w:p>
        </w:tc>
        <w:tc>
          <w:tcPr>
            <w:tcW w:w="1360" w:type="dxa"/>
          </w:tcPr>
          <w:p w14:paraId="435F023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投标文件中评标标准相应的商务技术资料目录*</w:t>
            </w:r>
          </w:p>
        </w:tc>
      </w:tr>
      <w:tr w14:paraId="41586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7C8B3C4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w:t>
            </w:r>
          </w:p>
        </w:tc>
        <w:tc>
          <w:tcPr>
            <w:tcW w:w="6010" w:type="dxa"/>
            <w:gridSpan w:val="2"/>
          </w:tcPr>
          <w:p w14:paraId="2FBE38C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b/>
                <w:bCs/>
                <w:color w:val="auto"/>
                <w:sz w:val="24"/>
                <w:highlight w:val="none"/>
                <w:lang w:val="en-US" w:eastAsia="zh-CN"/>
              </w:rPr>
              <w:t>业绩经验</w:t>
            </w:r>
            <w:r>
              <w:rPr>
                <w:rFonts w:hint="eastAsia" w:cs="仿宋_GB2312" w:asciiTheme="minorEastAsia" w:hAnsiTheme="minorEastAsia" w:eastAsiaTheme="minorEastAsia"/>
                <w:color w:val="auto"/>
                <w:sz w:val="24"/>
                <w:highlight w:val="none"/>
                <w:lang w:val="en-US" w:eastAsia="zh-CN"/>
              </w:rPr>
              <w:t>：</w:t>
            </w:r>
            <w:r>
              <w:rPr>
                <w:rFonts w:hint="eastAsia" w:ascii="宋体" w:hAnsi="宋体" w:cs="宋体"/>
                <w:b/>
                <w:bCs/>
                <w:kern w:val="0"/>
                <w:sz w:val="24"/>
                <w:lang w:val="zh-CN"/>
              </w:rPr>
              <w:t>拟派项目负责人</w:t>
            </w:r>
            <w:r>
              <w:rPr>
                <w:rFonts w:hint="eastAsia" w:cs="仿宋_GB2312" w:asciiTheme="minorEastAsia" w:hAnsiTheme="minorEastAsia" w:eastAsiaTheme="minorEastAsia"/>
                <w:color w:val="auto"/>
                <w:sz w:val="24"/>
                <w:highlight w:val="none"/>
                <w:lang w:val="zh-CN" w:eastAsia="zh-CN"/>
              </w:rPr>
              <w:t>20</w:t>
            </w:r>
            <w:r>
              <w:rPr>
                <w:rFonts w:hint="eastAsia" w:cs="仿宋_GB2312" w:asciiTheme="minorEastAsia" w:hAnsiTheme="minorEastAsia" w:eastAsiaTheme="minorEastAsia"/>
                <w:color w:val="auto"/>
                <w:sz w:val="24"/>
                <w:highlight w:val="none"/>
                <w:lang w:val="en-US" w:eastAsia="zh-CN"/>
              </w:rPr>
              <w:t>20</w:t>
            </w:r>
            <w:r>
              <w:rPr>
                <w:rFonts w:hint="eastAsia" w:cs="仿宋_GB2312" w:asciiTheme="minorEastAsia" w:hAnsiTheme="minorEastAsia" w:eastAsiaTheme="minorEastAsia"/>
                <w:color w:val="auto"/>
                <w:sz w:val="24"/>
                <w:highlight w:val="none"/>
                <w:lang w:val="zh-CN" w:eastAsia="zh-CN"/>
              </w:rPr>
              <w:t>年1月1日以来</w:t>
            </w:r>
            <w:r>
              <w:rPr>
                <w:rFonts w:hint="eastAsia" w:cs="仿宋_GB2312" w:asciiTheme="minorEastAsia" w:hAnsiTheme="minorEastAsia" w:eastAsiaTheme="minorEastAsia"/>
                <w:color w:val="auto"/>
                <w:sz w:val="24"/>
                <w:highlight w:val="none"/>
                <w:lang w:val="en-US" w:eastAsia="zh-CN"/>
              </w:rPr>
              <w:t>（以合同签订时间为准）具有行政事业单位</w:t>
            </w:r>
            <w:r>
              <w:rPr>
                <w:rFonts w:hint="eastAsia" w:cs="仿宋_GB2312" w:asciiTheme="minorEastAsia" w:hAnsiTheme="minorEastAsia" w:eastAsiaTheme="minorEastAsia"/>
                <w:color w:val="auto"/>
                <w:sz w:val="24"/>
                <w:highlight w:val="none"/>
                <w:lang w:val="zh-CN" w:eastAsia="zh-CN"/>
              </w:rPr>
              <w:t>法律顾问服务业绩，</w:t>
            </w:r>
            <w:r>
              <w:rPr>
                <w:rFonts w:hint="eastAsia" w:cs="仿宋_GB2312" w:asciiTheme="minorEastAsia" w:hAnsiTheme="minorEastAsia" w:eastAsiaTheme="minorEastAsia"/>
                <w:color w:val="auto"/>
                <w:sz w:val="24"/>
                <w:highlight w:val="none"/>
                <w:lang w:val="en-US" w:eastAsia="zh-CN"/>
              </w:rPr>
              <w:t>每个业绩得0.5</w:t>
            </w:r>
            <w:r>
              <w:rPr>
                <w:rFonts w:hint="eastAsia" w:cs="仿宋_GB2312" w:asciiTheme="minorEastAsia" w:hAnsiTheme="minorEastAsia" w:eastAsiaTheme="minorEastAsia"/>
                <w:color w:val="auto"/>
                <w:sz w:val="24"/>
                <w:highlight w:val="none"/>
                <w:lang w:val="zh-CN" w:eastAsia="zh-CN"/>
              </w:rPr>
              <w:t>分，最高得</w:t>
            </w:r>
            <w:r>
              <w:rPr>
                <w:rFonts w:hint="eastAsia" w:cs="仿宋_GB2312" w:asciiTheme="minorEastAsia" w:hAnsiTheme="minorEastAsia" w:eastAsiaTheme="minorEastAsia"/>
                <w:color w:val="auto"/>
                <w:sz w:val="24"/>
                <w:highlight w:val="none"/>
                <w:lang w:val="en-US" w:eastAsia="zh-CN"/>
              </w:rPr>
              <w:t>1</w:t>
            </w:r>
            <w:r>
              <w:rPr>
                <w:rFonts w:hint="eastAsia" w:cs="仿宋_GB2312" w:asciiTheme="minorEastAsia" w:hAnsiTheme="minorEastAsia" w:eastAsiaTheme="minorEastAsia"/>
                <w:color w:val="auto"/>
                <w:sz w:val="24"/>
                <w:highlight w:val="none"/>
                <w:lang w:val="zh-CN" w:eastAsia="zh-CN"/>
              </w:rPr>
              <w:t>分。提供合同</w:t>
            </w:r>
            <w:r>
              <w:rPr>
                <w:rFonts w:hint="eastAsia" w:cs="仿宋_GB2312" w:asciiTheme="minorEastAsia" w:hAnsiTheme="minorEastAsia" w:eastAsiaTheme="minorEastAsia"/>
                <w:color w:val="auto"/>
                <w:sz w:val="24"/>
                <w:highlight w:val="none"/>
                <w:lang w:val="en-US" w:eastAsia="zh-CN"/>
              </w:rPr>
              <w:t>及甲方的营业执照或法人登记证书</w:t>
            </w:r>
            <w:r>
              <w:rPr>
                <w:rFonts w:hint="eastAsia" w:cs="仿宋_GB2312" w:asciiTheme="minorEastAsia" w:hAnsiTheme="minorEastAsia" w:eastAsiaTheme="minorEastAsia"/>
                <w:color w:val="auto"/>
                <w:sz w:val="24"/>
                <w:highlight w:val="none"/>
                <w:lang w:val="zh-CN" w:eastAsia="zh-CN"/>
              </w:rPr>
              <w:t>扫描件，</w:t>
            </w:r>
            <w:r>
              <w:rPr>
                <w:rFonts w:hint="eastAsia" w:cs="仿宋_GB2312" w:asciiTheme="minorEastAsia" w:hAnsiTheme="minorEastAsia" w:eastAsiaTheme="minorEastAsia"/>
                <w:color w:val="auto"/>
                <w:sz w:val="24"/>
                <w:highlight w:val="none"/>
                <w:lang w:val="en-US" w:eastAsia="zh-CN"/>
              </w:rPr>
              <w:t>合同中须有明确的项目负责人信息，没有项目负责人信息的需要提供甲方证明</w:t>
            </w:r>
            <w:r>
              <w:rPr>
                <w:rFonts w:hint="default" w:cs="仿宋_GB2312" w:asciiTheme="minorEastAsia" w:hAnsiTheme="minorEastAsia" w:eastAsiaTheme="minorEastAsia"/>
                <w:color w:val="auto"/>
                <w:sz w:val="24"/>
                <w:highlight w:val="none"/>
                <w:lang w:eastAsia="zh-CN"/>
                <w:woUserID w:val="2"/>
              </w:rPr>
              <w:t>，</w:t>
            </w:r>
            <w:r>
              <w:rPr>
                <w:rFonts w:hint="default" w:cs="仿宋_GB2312" w:asciiTheme="minorEastAsia" w:hAnsiTheme="minorEastAsia" w:eastAsiaTheme="minorEastAsia"/>
                <w:color w:val="auto"/>
                <w:sz w:val="24"/>
                <w:highlight w:val="none"/>
                <w:lang w:val="en-US" w:eastAsia="zh-CN"/>
              </w:rPr>
              <w:t>并提供律师证。</w:t>
            </w:r>
            <w:r>
              <w:rPr>
                <w:rFonts w:hint="eastAsia" w:cs="仿宋_GB2312" w:asciiTheme="minorEastAsia" w:hAnsiTheme="minorEastAsia" w:eastAsiaTheme="minorEastAsia"/>
                <w:color w:val="auto"/>
                <w:sz w:val="24"/>
                <w:highlight w:val="none"/>
                <w:lang w:val="zh-CN" w:eastAsia="zh-CN"/>
              </w:rPr>
              <w:t>未</w:t>
            </w:r>
            <w:r>
              <w:rPr>
                <w:rFonts w:hint="eastAsia" w:cs="仿宋_GB2312" w:asciiTheme="minorEastAsia" w:hAnsiTheme="minorEastAsia" w:eastAsiaTheme="minorEastAsia"/>
                <w:color w:val="auto"/>
                <w:sz w:val="24"/>
                <w:highlight w:val="none"/>
                <w:lang w:val="en-US" w:eastAsia="zh-CN"/>
              </w:rPr>
              <w:t>按以上要求</w:t>
            </w:r>
            <w:r>
              <w:rPr>
                <w:rFonts w:hint="eastAsia" w:cs="仿宋_GB2312" w:asciiTheme="minorEastAsia" w:hAnsiTheme="minorEastAsia" w:eastAsiaTheme="minorEastAsia"/>
                <w:color w:val="auto"/>
                <w:sz w:val="24"/>
                <w:highlight w:val="none"/>
                <w:lang w:val="zh-CN" w:eastAsia="zh-CN"/>
              </w:rPr>
              <w:t>提供不得分。</w:t>
            </w:r>
          </w:p>
        </w:tc>
        <w:tc>
          <w:tcPr>
            <w:tcW w:w="580" w:type="dxa"/>
          </w:tcPr>
          <w:p w14:paraId="5737F4F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w:t>
            </w:r>
          </w:p>
        </w:tc>
        <w:tc>
          <w:tcPr>
            <w:tcW w:w="780" w:type="dxa"/>
            <w:vAlign w:val="center"/>
          </w:tcPr>
          <w:p w14:paraId="4674816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客观</w:t>
            </w:r>
          </w:p>
        </w:tc>
        <w:tc>
          <w:tcPr>
            <w:tcW w:w="1360" w:type="dxa"/>
          </w:tcPr>
          <w:p w14:paraId="1D10BAF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7D790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39D4CC1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w:t>
            </w:r>
          </w:p>
        </w:tc>
        <w:tc>
          <w:tcPr>
            <w:tcW w:w="6010" w:type="dxa"/>
            <w:gridSpan w:val="2"/>
          </w:tcPr>
          <w:p w14:paraId="6C56207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both"/>
              <w:textAlignment w:val="auto"/>
              <w:rPr>
                <w:rFonts w:hint="eastAsia" w:ascii="宋体" w:hAnsi="宋体" w:cs="宋体"/>
                <w:b/>
                <w:bCs/>
                <w:kern w:val="0"/>
                <w:sz w:val="24"/>
                <w:lang w:val="zh-CN"/>
              </w:rPr>
            </w:pPr>
            <w:r>
              <w:rPr>
                <w:rFonts w:hint="eastAsia" w:ascii="宋体" w:hAnsi="宋体" w:cs="宋体"/>
                <w:b/>
                <w:bCs/>
                <w:kern w:val="0"/>
                <w:sz w:val="24"/>
                <w:lang w:val="zh-CN"/>
              </w:rPr>
              <w:t>拟派项目负责人：</w:t>
            </w:r>
          </w:p>
          <w:p w14:paraId="6FB57BF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both"/>
              <w:textAlignment w:val="auto"/>
              <w:rPr>
                <w:rFonts w:hint="eastAsia" w:ascii="宋体" w:hAnsi="宋体" w:eastAsia="宋体" w:cs="宋体"/>
                <w:kern w:val="0"/>
                <w:sz w:val="24"/>
                <w:lang w:val="zh-CN"/>
              </w:rPr>
            </w:pPr>
            <w:r>
              <w:rPr>
                <w:rFonts w:hint="eastAsia" w:ascii="宋体" w:hAnsi="宋体" w:eastAsia="宋体" w:cs="宋体"/>
                <w:kern w:val="0"/>
                <w:sz w:val="24"/>
                <w:lang w:val="zh-CN"/>
              </w:rPr>
              <w:t>（</w:t>
            </w:r>
            <w:r>
              <w:rPr>
                <w:rFonts w:hint="eastAsia" w:ascii="宋体" w:hAnsi="宋体" w:eastAsia="宋体" w:cs="宋体"/>
                <w:kern w:val="0"/>
                <w:sz w:val="24"/>
                <w:lang w:val="en-US" w:eastAsia="zh-CN"/>
              </w:rPr>
              <w:t>1</w:t>
            </w:r>
            <w:r>
              <w:rPr>
                <w:rFonts w:hint="eastAsia" w:ascii="宋体" w:hAnsi="宋体" w:eastAsia="宋体" w:cs="宋体"/>
                <w:kern w:val="0"/>
                <w:sz w:val="24"/>
                <w:lang w:val="zh-CN"/>
              </w:rPr>
              <w:t>）</w:t>
            </w:r>
            <w:r>
              <w:rPr>
                <w:rFonts w:hint="eastAsia" w:ascii="宋体" w:hAnsi="宋体" w:eastAsia="宋体" w:cs="宋体"/>
                <w:kern w:val="0"/>
                <w:sz w:val="24"/>
                <w:lang w:val="en-US" w:eastAsia="zh-CN"/>
              </w:rPr>
              <w:t>为</w:t>
            </w:r>
            <w:r>
              <w:rPr>
                <w:rFonts w:hint="eastAsia" w:ascii="宋体" w:hAnsi="宋体" w:eastAsia="宋体" w:cs="宋体"/>
                <w:kern w:val="0"/>
                <w:sz w:val="24"/>
                <w:lang w:val="zh-CN"/>
              </w:rPr>
              <w:t>一级律师</w:t>
            </w:r>
            <w:r>
              <w:rPr>
                <w:rFonts w:hint="eastAsia" w:ascii="宋体" w:hAnsi="宋体" w:eastAsia="宋体" w:cs="宋体"/>
                <w:kern w:val="0"/>
                <w:sz w:val="24"/>
                <w:lang w:val="en-US" w:eastAsia="zh-CN"/>
              </w:rPr>
              <w:t>的得5分；为二</w:t>
            </w:r>
            <w:r>
              <w:rPr>
                <w:rFonts w:hint="eastAsia" w:ascii="宋体" w:hAnsi="宋体" w:eastAsia="宋体" w:cs="宋体"/>
                <w:kern w:val="0"/>
                <w:sz w:val="24"/>
                <w:lang w:val="zh-CN"/>
              </w:rPr>
              <w:t>级律师</w:t>
            </w:r>
            <w:r>
              <w:rPr>
                <w:rFonts w:hint="eastAsia" w:ascii="宋体" w:hAnsi="宋体" w:eastAsia="宋体" w:cs="宋体"/>
                <w:kern w:val="0"/>
                <w:sz w:val="24"/>
                <w:lang w:val="en-US" w:eastAsia="zh-CN"/>
              </w:rPr>
              <w:t>的得3分；为三</w:t>
            </w:r>
            <w:r>
              <w:rPr>
                <w:rFonts w:hint="eastAsia" w:ascii="宋体" w:hAnsi="宋体" w:eastAsia="宋体" w:cs="宋体"/>
                <w:kern w:val="0"/>
                <w:sz w:val="24"/>
                <w:lang w:val="zh-CN"/>
              </w:rPr>
              <w:t>级律师</w:t>
            </w:r>
            <w:r>
              <w:rPr>
                <w:rFonts w:hint="eastAsia" w:ascii="宋体" w:hAnsi="宋体" w:eastAsia="宋体" w:cs="宋体"/>
                <w:kern w:val="0"/>
                <w:sz w:val="24"/>
                <w:lang w:val="en-US" w:eastAsia="zh-CN"/>
              </w:rPr>
              <w:t>的得1分</w:t>
            </w:r>
            <w:r>
              <w:rPr>
                <w:rFonts w:hint="eastAsia" w:ascii="宋体" w:hAnsi="宋体" w:cs="宋体"/>
                <w:kern w:val="0"/>
                <w:sz w:val="24"/>
                <w:lang w:val="zh-CN"/>
              </w:rPr>
              <w:t>。</w:t>
            </w:r>
            <w:r>
              <w:rPr>
                <w:rFonts w:hint="eastAsia" w:ascii="宋体" w:hAnsi="宋体" w:cs="宋体"/>
                <w:kern w:val="0"/>
                <w:sz w:val="24"/>
                <w:lang w:val="en-US" w:eastAsia="zh-CN"/>
              </w:rPr>
              <w:t>其余不</w:t>
            </w:r>
            <w:r>
              <w:rPr>
                <w:rFonts w:hint="eastAsia" w:ascii="宋体" w:hAnsi="宋体" w:eastAsia="宋体" w:cs="宋体"/>
                <w:kern w:val="0"/>
                <w:sz w:val="24"/>
                <w:lang w:val="en-US" w:eastAsia="zh-CN"/>
              </w:rPr>
              <w:t>得分。</w:t>
            </w:r>
            <w:r>
              <w:rPr>
                <w:rFonts w:hint="eastAsia" w:ascii="宋体" w:hAnsi="宋体" w:eastAsia="宋体" w:cs="宋体"/>
                <w:kern w:val="0"/>
                <w:sz w:val="24"/>
                <w:lang w:val="zh-CN"/>
              </w:rPr>
              <w:t>提供律师证、专业技术职务任职资格证书</w:t>
            </w:r>
            <w:r>
              <w:rPr>
                <w:rFonts w:hint="eastAsia" w:ascii="宋体" w:hAnsi="宋体" w:eastAsia="宋体" w:cs="宋体"/>
                <w:kern w:val="0"/>
                <w:sz w:val="24"/>
                <w:lang w:val="en-US" w:eastAsia="zh-CN"/>
              </w:rPr>
              <w:t>扫描件。</w:t>
            </w:r>
          </w:p>
          <w:p w14:paraId="4CD4E5B4">
            <w:pPr>
              <w:pStyle w:val="2"/>
              <w:keepNext w:val="0"/>
              <w:keepLines w:val="0"/>
              <w:pageBreakBefore w:val="0"/>
              <w:widowControl w:val="0"/>
              <w:kinsoku/>
              <w:wordWrap/>
              <w:overflowPunct/>
              <w:topLinePunct w:val="0"/>
              <w:bidi w:val="0"/>
              <w:adjustRightInd w:val="0"/>
              <w:spacing w:line="240" w:lineRule="auto"/>
              <w:ind w:left="0" w:leftChars="0" w:firstLine="0" w:firstLineChars="0"/>
              <w:textAlignment w:val="auto"/>
              <w:rPr>
                <w:rFonts w:hint="default" w:eastAsia="宋体"/>
                <w:lang w:val="en-US" w:eastAsia="zh-CN"/>
              </w:rPr>
            </w:pPr>
            <w:r>
              <w:rPr>
                <w:rFonts w:hint="eastAsia"/>
                <w:lang w:eastAsia="zh-CN"/>
              </w:rPr>
              <w:t>（</w:t>
            </w:r>
            <w:r>
              <w:rPr>
                <w:rFonts w:hint="eastAsia"/>
                <w:lang w:val="en-US" w:eastAsia="zh-CN"/>
              </w:rPr>
              <w:t>2</w:t>
            </w:r>
            <w:r>
              <w:rPr>
                <w:rFonts w:hint="eastAsia"/>
                <w:lang w:eastAsia="zh-CN"/>
              </w:rPr>
              <w:t>）</w:t>
            </w:r>
            <w:r>
              <w:rPr>
                <w:rFonts w:hint="eastAsia" w:ascii="宋体" w:hAnsi="宋体" w:eastAsia="宋体" w:cs="宋体"/>
                <w:kern w:val="0"/>
                <w:sz w:val="24"/>
                <w:lang w:val="en-US" w:eastAsia="zh-CN"/>
              </w:rPr>
              <w:t>为</w:t>
            </w:r>
            <w:r>
              <w:rPr>
                <w:rFonts w:hint="eastAsia" w:ascii="宋体" w:hAnsi="宋体" w:cs="宋体"/>
                <w:kern w:val="0"/>
                <w:sz w:val="24"/>
                <w:lang w:val="zh-CN"/>
              </w:rPr>
              <w:t>高级合伙人</w:t>
            </w:r>
            <w:r>
              <w:rPr>
                <w:rFonts w:hint="eastAsia" w:hAnsi="宋体" w:cs="宋体"/>
                <w:kern w:val="0"/>
                <w:sz w:val="24"/>
                <w:lang w:val="en-US" w:eastAsia="zh-CN"/>
              </w:rPr>
              <w:t>的得3分；</w:t>
            </w:r>
            <w:r>
              <w:rPr>
                <w:rFonts w:hint="eastAsia" w:ascii="宋体" w:hAnsi="宋体" w:cs="宋体"/>
                <w:kern w:val="0"/>
                <w:sz w:val="24"/>
                <w:lang w:val="zh-CN"/>
              </w:rPr>
              <w:t>普通合伙人的</w:t>
            </w:r>
            <w:r>
              <w:rPr>
                <w:rFonts w:hint="eastAsia" w:hAnsi="宋体" w:cs="宋体"/>
                <w:kern w:val="0"/>
                <w:sz w:val="24"/>
                <w:lang w:val="en-US" w:eastAsia="zh-CN"/>
              </w:rPr>
              <w:t>得1分；其余不得分。</w:t>
            </w:r>
            <w:r>
              <w:rPr>
                <w:rFonts w:hint="eastAsia" w:ascii="宋体" w:hAnsi="宋体" w:cs="宋体"/>
                <w:kern w:val="0"/>
                <w:sz w:val="24"/>
                <w:lang w:val="zh-CN"/>
              </w:rPr>
              <w:t>提供律所加盖公章的证明</w:t>
            </w:r>
            <w:r>
              <w:rPr>
                <w:rFonts w:hint="eastAsia" w:hAnsi="宋体" w:cs="宋体"/>
                <w:kern w:val="0"/>
                <w:sz w:val="24"/>
                <w:lang w:val="zh-CN"/>
              </w:rPr>
              <w:t>。</w:t>
            </w:r>
          </w:p>
        </w:tc>
        <w:tc>
          <w:tcPr>
            <w:tcW w:w="580" w:type="dxa"/>
          </w:tcPr>
          <w:p w14:paraId="3EC6CE0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8</w:t>
            </w:r>
          </w:p>
        </w:tc>
        <w:tc>
          <w:tcPr>
            <w:tcW w:w="780" w:type="dxa"/>
            <w:vAlign w:val="center"/>
          </w:tcPr>
          <w:p w14:paraId="6464A1A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客观</w:t>
            </w:r>
          </w:p>
        </w:tc>
        <w:tc>
          <w:tcPr>
            <w:tcW w:w="1360" w:type="dxa"/>
          </w:tcPr>
          <w:p w14:paraId="3E9909E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6F9FC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5" w:hRule="atLeast"/>
        </w:trPr>
        <w:tc>
          <w:tcPr>
            <w:tcW w:w="569" w:type="dxa"/>
            <w:vAlign w:val="center"/>
          </w:tcPr>
          <w:p w14:paraId="141002C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w:t>
            </w:r>
          </w:p>
        </w:tc>
        <w:tc>
          <w:tcPr>
            <w:tcW w:w="6010" w:type="dxa"/>
            <w:gridSpan w:val="2"/>
          </w:tcPr>
          <w:p w14:paraId="4E9F605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both"/>
              <w:textAlignment w:val="auto"/>
              <w:rPr>
                <w:rFonts w:hint="eastAsia" w:ascii="宋体" w:hAnsi="宋体" w:eastAsia="宋体" w:cs="宋体"/>
                <w:b/>
                <w:bCs/>
                <w:kern w:val="0"/>
                <w:sz w:val="24"/>
                <w:lang w:val="en-US" w:eastAsia="zh-CN"/>
              </w:rPr>
            </w:pPr>
            <w:r>
              <w:rPr>
                <w:rFonts w:hint="eastAsia" w:ascii="宋体" w:hAnsi="宋体" w:eastAsia="宋体" w:cs="宋体"/>
                <w:b/>
                <w:bCs/>
                <w:kern w:val="0"/>
                <w:sz w:val="24"/>
                <w:lang w:val="en-US" w:eastAsia="zh-CN"/>
              </w:rPr>
              <w:t>项目组成员（除项目负责人）：</w:t>
            </w:r>
          </w:p>
          <w:p w14:paraId="3AE259B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both"/>
              <w:textAlignment w:val="auto"/>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（1）项目组成员中有从业5年及以上成员的得3分，有从业3年（含）-5年（不含）成员的得2分，3年以下得1分；以获得律师证年限为准，提供有效律师证；</w:t>
            </w:r>
          </w:p>
          <w:p w14:paraId="6D1A272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both"/>
              <w:textAlignment w:val="auto"/>
              <w:rPr>
                <w:rFonts w:hint="default" w:cs="仿宋_GB2312" w:asciiTheme="minorEastAsia" w:hAnsiTheme="minorEastAsia" w:eastAsiaTheme="minorEastAsia"/>
                <w:color w:val="auto"/>
                <w:sz w:val="24"/>
                <w:highlight w:val="none"/>
                <w:lang w:val="en-US" w:eastAsia="zh-CN"/>
              </w:rPr>
            </w:pPr>
            <w:r>
              <w:rPr>
                <w:rFonts w:hint="eastAsia" w:ascii="宋体" w:hAnsi="宋体" w:eastAsia="宋体" w:cs="宋体"/>
                <w:kern w:val="0"/>
                <w:sz w:val="24"/>
                <w:lang w:val="en-US" w:eastAsia="zh-CN"/>
              </w:rPr>
              <w:t>（2）项目组成员中有</w:t>
            </w:r>
            <w:r>
              <w:rPr>
                <w:rFonts w:hint="eastAsia" w:cs="仿宋_GB2312" w:asciiTheme="minorEastAsia" w:hAnsiTheme="minorEastAsia" w:eastAsiaTheme="minorEastAsia"/>
                <w:color w:val="auto"/>
                <w:sz w:val="24"/>
                <w:highlight w:val="none"/>
                <w:lang w:val="en-US" w:eastAsia="zh-CN"/>
              </w:rPr>
              <w:t>行政事业单位</w:t>
            </w:r>
            <w:r>
              <w:rPr>
                <w:rFonts w:hint="eastAsia" w:ascii="宋体" w:hAnsi="宋体" w:eastAsia="宋体" w:cs="宋体"/>
                <w:kern w:val="0"/>
                <w:sz w:val="24"/>
                <w:lang w:val="en-US" w:eastAsia="zh-CN"/>
              </w:rPr>
              <w:t>法律服务经验人员的得2分。提供服务合同或业主证明以及</w:t>
            </w:r>
            <w:r>
              <w:rPr>
                <w:rFonts w:hint="eastAsia" w:cs="仿宋_GB2312" w:asciiTheme="minorEastAsia" w:hAnsiTheme="minorEastAsia" w:eastAsiaTheme="minorEastAsia"/>
                <w:color w:val="auto"/>
                <w:sz w:val="24"/>
                <w:highlight w:val="none"/>
                <w:lang w:val="en-US" w:eastAsia="zh-CN"/>
              </w:rPr>
              <w:t>甲方的营业执照或法人登记证书</w:t>
            </w:r>
            <w:r>
              <w:rPr>
                <w:rFonts w:hint="eastAsia" w:cs="仿宋_GB2312" w:asciiTheme="minorEastAsia" w:hAnsiTheme="minorEastAsia" w:eastAsiaTheme="minorEastAsia"/>
                <w:color w:val="auto"/>
                <w:sz w:val="24"/>
                <w:highlight w:val="none"/>
                <w:lang w:val="zh-CN" w:eastAsia="zh-CN"/>
              </w:rPr>
              <w:t>扫描件，</w:t>
            </w:r>
            <w:r>
              <w:rPr>
                <w:rFonts w:hint="eastAsia" w:cs="仿宋_GB2312" w:asciiTheme="minorEastAsia" w:hAnsiTheme="minorEastAsia" w:eastAsiaTheme="minorEastAsia"/>
                <w:color w:val="auto"/>
                <w:sz w:val="24"/>
                <w:highlight w:val="none"/>
                <w:lang w:val="en-US" w:eastAsia="zh-CN"/>
              </w:rPr>
              <w:t>提供投标截止前三个月内任意一个月在本单位缴纳社保证明。</w:t>
            </w:r>
            <w:r>
              <w:rPr>
                <w:rFonts w:hint="eastAsia" w:cs="仿宋_GB2312" w:asciiTheme="minorEastAsia" w:hAnsiTheme="minorEastAsia" w:eastAsiaTheme="minorEastAsia"/>
                <w:color w:val="auto"/>
                <w:sz w:val="24"/>
                <w:highlight w:val="none"/>
                <w:lang w:val="zh-CN" w:eastAsia="zh-CN"/>
              </w:rPr>
              <w:t>未</w:t>
            </w:r>
            <w:r>
              <w:rPr>
                <w:rFonts w:hint="eastAsia" w:cs="仿宋_GB2312" w:asciiTheme="minorEastAsia" w:hAnsiTheme="minorEastAsia" w:eastAsiaTheme="minorEastAsia"/>
                <w:color w:val="auto"/>
                <w:sz w:val="24"/>
                <w:highlight w:val="none"/>
                <w:lang w:val="en-US" w:eastAsia="zh-CN"/>
              </w:rPr>
              <w:t>按以上要求</w:t>
            </w:r>
            <w:r>
              <w:rPr>
                <w:rFonts w:hint="eastAsia" w:cs="仿宋_GB2312" w:asciiTheme="minorEastAsia" w:hAnsiTheme="minorEastAsia" w:eastAsiaTheme="minorEastAsia"/>
                <w:color w:val="auto"/>
                <w:sz w:val="24"/>
                <w:highlight w:val="none"/>
                <w:lang w:val="zh-CN" w:eastAsia="zh-CN"/>
              </w:rPr>
              <w:t>提供不得分</w:t>
            </w:r>
            <w:r>
              <w:rPr>
                <w:rFonts w:hint="eastAsia" w:ascii="宋体" w:hAnsi="宋体" w:eastAsia="宋体" w:cs="宋体"/>
                <w:kern w:val="0"/>
                <w:sz w:val="24"/>
                <w:lang w:val="en-US" w:eastAsia="zh-CN"/>
              </w:rPr>
              <w:t>。</w:t>
            </w:r>
          </w:p>
        </w:tc>
        <w:tc>
          <w:tcPr>
            <w:tcW w:w="580" w:type="dxa"/>
          </w:tcPr>
          <w:p w14:paraId="70B4FA5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5</w:t>
            </w:r>
          </w:p>
        </w:tc>
        <w:tc>
          <w:tcPr>
            <w:tcW w:w="780" w:type="dxa"/>
            <w:vAlign w:val="center"/>
          </w:tcPr>
          <w:p w14:paraId="08488B7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客观</w:t>
            </w:r>
          </w:p>
        </w:tc>
        <w:tc>
          <w:tcPr>
            <w:tcW w:w="1360" w:type="dxa"/>
          </w:tcPr>
          <w:p w14:paraId="4BAD788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340AF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70AD028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w:t>
            </w:r>
          </w:p>
        </w:tc>
        <w:tc>
          <w:tcPr>
            <w:tcW w:w="6010" w:type="dxa"/>
            <w:gridSpan w:val="2"/>
          </w:tcPr>
          <w:p w14:paraId="5B62A54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default" w:ascii="宋体" w:hAnsi="宋体" w:cs="宋体"/>
                <w:kern w:val="0"/>
                <w:sz w:val="24"/>
                <w:lang w:val="en-US" w:eastAsia="zh-CN"/>
              </w:rPr>
            </w:pPr>
            <w:r>
              <w:rPr>
                <w:rFonts w:hint="eastAsia" w:ascii="宋体" w:hAnsi="宋体" w:cs="宋体"/>
                <w:kern w:val="0"/>
                <w:sz w:val="24"/>
                <w:lang w:val="en-US" w:eastAsia="zh-CN"/>
              </w:rPr>
              <w:t>对住建系统内存在的相关法律风险的论述及基本处理意见和建议：根据投标单位的论述基本处理意见和建议的完整性、可行性、合理性评审，分值区间（0/1/2/3/4）</w:t>
            </w:r>
          </w:p>
        </w:tc>
        <w:tc>
          <w:tcPr>
            <w:tcW w:w="580" w:type="dxa"/>
          </w:tcPr>
          <w:p w14:paraId="08B2379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4</w:t>
            </w:r>
          </w:p>
        </w:tc>
        <w:tc>
          <w:tcPr>
            <w:tcW w:w="780" w:type="dxa"/>
            <w:vAlign w:val="center"/>
          </w:tcPr>
          <w:p w14:paraId="3F99274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29B5DBF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28A3D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18D6B8F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5</w:t>
            </w:r>
          </w:p>
        </w:tc>
        <w:tc>
          <w:tcPr>
            <w:tcW w:w="6010" w:type="dxa"/>
            <w:gridSpan w:val="2"/>
          </w:tcPr>
          <w:p w14:paraId="429B2D5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eastAsia" w:ascii="宋体" w:hAnsi="宋体" w:cs="宋体"/>
                <w:kern w:val="0"/>
                <w:sz w:val="24"/>
                <w:lang w:val="en-US" w:eastAsia="zh-CN"/>
              </w:rPr>
            </w:pPr>
            <w:r>
              <w:rPr>
                <w:rFonts w:hint="eastAsia" w:ascii="宋体" w:hAnsi="宋体" w:cs="宋体"/>
                <w:kern w:val="0"/>
                <w:sz w:val="24"/>
                <w:lang w:val="en-US" w:eastAsia="zh-CN"/>
              </w:rPr>
              <w:t>对本项目需求的理解与解读：根据投标单位的论述基本处理意见和建议的完整性、可行性、合理性评审，分值区间（0/1/2/3/4/5）</w:t>
            </w:r>
          </w:p>
        </w:tc>
        <w:tc>
          <w:tcPr>
            <w:tcW w:w="580" w:type="dxa"/>
          </w:tcPr>
          <w:p w14:paraId="6240BC1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5</w:t>
            </w:r>
          </w:p>
        </w:tc>
        <w:tc>
          <w:tcPr>
            <w:tcW w:w="780" w:type="dxa"/>
            <w:vAlign w:val="center"/>
          </w:tcPr>
          <w:p w14:paraId="41E7BD1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175E90F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68A89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2E2C12A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6</w:t>
            </w:r>
          </w:p>
        </w:tc>
        <w:tc>
          <w:tcPr>
            <w:tcW w:w="6010" w:type="dxa"/>
            <w:gridSpan w:val="2"/>
          </w:tcPr>
          <w:p w14:paraId="10F5959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eastAsia" w:ascii="宋体" w:hAnsi="宋体" w:cs="宋体"/>
                <w:kern w:val="0"/>
                <w:sz w:val="24"/>
                <w:lang w:val="en-US" w:eastAsia="zh-CN"/>
              </w:rPr>
            </w:pPr>
            <w:r>
              <w:rPr>
                <w:rFonts w:hint="eastAsia" w:ascii="宋体" w:hAnsi="宋体" w:cs="宋体"/>
                <w:kern w:val="0"/>
                <w:sz w:val="24"/>
                <w:lang w:val="en-US" w:eastAsia="zh-CN"/>
              </w:rPr>
              <w:t>典型案例分析：根据投标单位曾经代理过的典型案例介绍、处理过程是否完整清晰、运用法律条款是否适当、处理结果是否达到委托人要求进行评审。分值区间（0/1/2/3/4/5/6/7/8）</w:t>
            </w:r>
          </w:p>
        </w:tc>
        <w:tc>
          <w:tcPr>
            <w:tcW w:w="580" w:type="dxa"/>
          </w:tcPr>
          <w:p w14:paraId="125B5F3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8</w:t>
            </w:r>
          </w:p>
        </w:tc>
        <w:tc>
          <w:tcPr>
            <w:tcW w:w="780" w:type="dxa"/>
            <w:vAlign w:val="center"/>
          </w:tcPr>
          <w:p w14:paraId="7F908DA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00D1225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78B93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6" w:hRule="atLeast"/>
        </w:trPr>
        <w:tc>
          <w:tcPr>
            <w:tcW w:w="569" w:type="dxa"/>
            <w:vMerge w:val="restart"/>
            <w:vAlign w:val="center"/>
          </w:tcPr>
          <w:p w14:paraId="2D682F6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7</w:t>
            </w:r>
          </w:p>
        </w:tc>
        <w:tc>
          <w:tcPr>
            <w:tcW w:w="700" w:type="dxa"/>
            <w:vMerge w:val="restart"/>
          </w:tcPr>
          <w:p w14:paraId="62F0023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宋体" w:hAnsi="宋体" w:cs="宋体"/>
                <w:kern w:val="0"/>
                <w:sz w:val="24"/>
              </w:rPr>
              <w:t>服务方案及工作计划</w:t>
            </w:r>
          </w:p>
        </w:tc>
        <w:tc>
          <w:tcPr>
            <w:tcW w:w="5310" w:type="dxa"/>
          </w:tcPr>
          <w:p w14:paraId="703B002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eastAsia" w:ascii="宋体" w:hAnsi="宋体" w:eastAsia="宋体" w:cs="宋体"/>
                <w:kern w:val="0"/>
                <w:sz w:val="24"/>
                <w:lang w:val="en-US" w:eastAsia="zh-CN"/>
              </w:rPr>
            </w:pPr>
            <w:r>
              <w:rPr>
                <w:rFonts w:hint="eastAsia" w:ascii="宋体" w:hAnsi="宋体" w:cs="宋体"/>
                <w:sz w:val="24"/>
                <w:lang w:val="zh-CN"/>
              </w:rPr>
              <w:t>法律咨询服务方案：根据</w:t>
            </w:r>
            <w:r>
              <w:rPr>
                <w:rFonts w:hint="eastAsia" w:ascii="宋体" w:hAnsi="宋体" w:cs="宋体"/>
                <w:sz w:val="24"/>
                <w:lang w:val="en-US" w:eastAsia="zh-CN"/>
              </w:rPr>
              <w:t>投标单位</w:t>
            </w:r>
            <w:r>
              <w:rPr>
                <w:rFonts w:hint="eastAsia" w:ascii="宋体" w:hAnsi="宋体" w:cs="宋体"/>
                <w:sz w:val="24"/>
                <w:lang w:val="zh-CN"/>
              </w:rPr>
              <w:t>提供的服务方案是否准确理解用户需求，服务的步骤、理念、质量保障措施等完整、科学、可行、合理程度</w:t>
            </w:r>
            <w:r>
              <w:rPr>
                <w:rFonts w:hint="eastAsia" w:ascii="宋体" w:hAnsi="宋体" w:cs="宋体"/>
                <w:sz w:val="24"/>
                <w:lang w:val="en-US" w:eastAsia="zh-CN"/>
              </w:rPr>
              <w:t>评价。</w:t>
            </w:r>
            <w:r>
              <w:rPr>
                <w:rFonts w:hint="eastAsia" w:ascii="宋体" w:hAnsi="宋体" w:cs="宋体"/>
                <w:kern w:val="0"/>
                <w:sz w:val="24"/>
                <w:lang w:val="en-US" w:eastAsia="zh-CN"/>
              </w:rPr>
              <w:t>分值区间（0/1/2/3/4）</w:t>
            </w:r>
          </w:p>
        </w:tc>
        <w:tc>
          <w:tcPr>
            <w:tcW w:w="580" w:type="dxa"/>
          </w:tcPr>
          <w:p w14:paraId="365894A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4</w:t>
            </w:r>
          </w:p>
        </w:tc>
        <w:tc>
          <w:tcPr>
            <w:tcW w:w="780" w:type="dxa"/>
            <w:vAlign w:val="top"/>
          </w:tcPr>
          <w:p w14:paraId="4AB9018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7FA673F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0C807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569" w:type="dxa"/>
            <w:vMerge w:val="continue"/>
            <w:vAlign w:val="center"/>
          </w:tcPr>
          <w:p w14:paraId="463197F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p>
        </w:tc>
        <w:tc>
          <w:tcPr>
            <w:tcW w:w="700" w:type="dxa"/>
            <w:vMerge w:val="continue"/>
          </w:tcPr>
          <w:p w14:paraId="597AAF5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ascii="宋体" w:hAnsi="宋体" w:cs="宋体"/>
                <w:kern w:val="0"/>
                <w:sz w:val="24"/>
              </w:rPr>
            </w:pPr>
          </w:p>
        </w:tc>
        <w:tc>
          <w:tcPr>
            <w:tcW w:w="5310" w:type="dxa"/>
          </w:tcPr>
          <w:p w14:paraId="115B590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eastAsia" w:ascii="宋体" w:hAnsi="宋体" w:cs="宋体"/>
                <w:kern w:val="0"/>
                <w:sz w:val="24"/>
              </w:rPr>
            </w:pPr>
            <w:r>
              <w:rPr>
                <w:rFonts w:hint="eastAsia" w:ascii="宋体" w:hAnsi="宋体" w:cs="宋体"/>
                <w:sz w:val="24"/>
                <w:lang w:val="zh-CN"/>
              </w:rPr>
              <w:t>风险排查及评估服务方案：根据</w:t>
            </w:r>
            <w:r>
              <w:rPr>
                <w:rFonts w:hint="eastAsia" w:ascii="宋体" w:hAnsi="宋体" w:cs="宋体"/>
                <w:sz w:val="24"/>
                <w:lang w:val="en-US" w:eastAsia="zh-CN"/>
              </w:rPr>
              <w:t>投标单位</w:t>
            </w:r>
            <w:r>
              <w:rPr>
                <w:rFonts w:hint="eastAsia" w:ascii="宋体" w:hAnsi="宋体" w:cs="宋体"/>
                <w:sz w:val="24"/>
                <w:lang w:val="zh-CN"/>
              </w:rPr>
              <w:t>提供的服务方案是否准确理解用户需求，服务的步骤、理念、质量保障措施等完整、科学、可行、合理程度。</w:t>
            </w:r>
            <w:r>
              <w:rPr>
                <w:rFonts w:hint="eastAsia" w:ascii="宋体" w:hAnsi="宋体" w:cs="宋体"/>
                <w:sz w:val="24"/>
                <w:lang w:val="en-US" w:eastAsia="zh-CN"/>
              </w:rPr>
              <w:t>分</w:t>
            </w:r>
            <w:r>
              <w:rPr>
                <w:rFonts w:hint="eastAsia" w:ascii="宋体" w:hAnsi="宋体" w:cs="宋体"/>
                <w:kern w:val="0"/>
                <w:sz w:val="24"/>
                <w:lang w:val="en-US" w:eastAsia="zh-CN"/>
              </w:rPr>
              <w:t>值区间（0/1/2/3/4）</w:t>
            </w:r>
          </w:p>
        </w:tc>
        <w:tc>
          <w:tcPr>
            <w:tcW w:w="580" w:type="dxa"/>
          </w:tcPr>
          <w:p w14:paraId="59D74E8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4</w:t>
            </w:r>
          </w:p>
        </w:tc>
        <w:tc>
          <w:tcPr>
            <w:tcW w:w="780" w:type="dxa"/>
            <w:vAlign w:val="top"/>
          </w:tcPr>
          <w:p w14:paraId="310C2B4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252A119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1F1B7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569" w:type="dxa"/>
            <w:vMerge w:val="continue"/>
            <w:vAlign w:val="center"/>
          </w:tcPr>
          <w:p w14:paraId="5C6F98B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p>
        </w:tc>
        <w:tc>
          <w:tcPr>
            <w:tcW w:w="700" w:type="dxa"/>
            <w:vMerge w:val="continue"/>
          </w:tcPr>
          <w:p w14:paraId="55B3E3B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ascii="宋体" w:hAnsi="宋体" w:cs="宋体"/>
                <w:kern w:val="0"/>
                <w:sz w:val="24"/>
              </w:rPr>
            </w:pPr>
          </w:p>
        </w:tc>
        <w:tc>
          <w:tcPr>
            <w:tcW w:w="5310" w:type="dxa"/>
          </w:tcPr>
          <w:p w14:paraId="40793C6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eastAsia" w:ascii="宋体" w:hAnsi="宋体" w:cs="宋体"/>
                <w:kern w:val="0"/>
                <w:sz w:val="24"/>
              </w:rPr>
            </w:pPr>
            <w:r>
              <w:rPr>
                <w:rFonts w:hint="eastAsia" w:ascii="宋体" w:hAnsi="宋体" w:cs="宋体"/>
                <w:sz w:val="24"/>
                <w:lang w:val="zh-CN"/>
              </w:rPr>
              <w:t>法律宣传及培训服务方案：根据</w:t>
            </w:r>
            <w:r>
              <w:rPr>
                <w:rFonts w:hint="eastAsia" w:ascii="宋体" w:hAnsi="宋体" w:cs="宋体"/>
                <w:sz w:val="24"/>
                <w:lang w:val="en-US" w:eastAsia="zh-CN"/>
              </w:rPr>
              <w:t>投标单位</w:t>
            </w:r>
            <w:r>
              <w:rPr>
                <w:rFonts w:hint="eastAsia" w:ascii="宋体" w:hAnsi="宋体" w:cs="宋体"/>
                <w:sz w:val="24"/>
                <w:lang w:val="zh-CN"/>
              </w:rPr>
              <w:t>提供的服务方案是否准确理解用户需求，服务的步骤、理念、质量保障措施等完整、科学、可行、合理程度。</w:t>
            </w:r>
            <w:r>
              <w:rPr>
                <w:rFonts w:hint="eastAsia" w:ascii="宋体" w:hAnsi="宋体" w:cs="宋体"/>
                <w:sz w:val="24"/>
                <w:lang w:val="en-US" w:eastAsia="zh-CN"/>
              </w:rPr>
              <w:t>分</w:t>
            </w:r>
            <w:r>
              <w:rPr>
                <w:rFonts w:hint="eastAsia" w:ascii="宋体" w:hAnsi="宋体" w:cs="宋体"/>
                <w:kern w:val="0"/>
                <w:sz w:val="24"/>
                <w:lang w:val="en-US" w:eastAsia="zh-CN"/>
              </w:rPr>
              <w:t>值区间（0/1/2/3/4）</w:t>
            </w:r>
          </w:p>
        </w:tc>
        <w:tc>
          <w:tcPr>
            <w:tcW w:w="580" w:type="dxa"/>
          </w:tcPr>
          <w:p w14:paraId="5D86DF4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4</w:t>
            </w:r>
          </w:p>
        </w:tc>
        <w:tc>
          <w:tcPr>
            <w:tcW w:w="780" w:type="dxa"/>
            <w:vAlign w:val="top"/>
          </w:tcPr>
          <w:p w14:paraId="618062A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2999179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444E7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569" w:type="dxa"/>
            <w:vMerge w:val="continue"/>
            <w:vAlign w:val="center"/>
          </w:tcPr>
          <w:p w14:paraId="61C9F8E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p>
        </w:tc>
        <w:tc>
          <w:tcPr>
            <w:tcW w:w="700" w:type="dxa"/>
            <w:vMerge w:val="continue"/>
          </w:tcPr>
          <w:p w14:paraId="62B0BCC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ascii="宋体" w:hAnsi="宋体" w:cs="宋体"/>
                <w:kern w:val="0"/>
                <w:sz w:val="24"/>
              </w:rPr>
            </w:pPr>
          </w:p>
        </w:tc>
        <w:tc>
          <w:tcPr>
            <w:tcW w:w="5310" w:type="dxa"/>
          </w:tcPr>
          <w:p w14:paraId="15D1AAD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hint="eastAsia" w:ascii="宋体" w:hAnsi="宋体" w:cs="宋体"/>
                <w:kern w:val="0"/>
                <w:sz w:val="24"/>
              </w:rPr>
            </w:pPr>
            <w:r>
              <w:rPr>
                <w:rFonts w:hint="eastAsia" w:ascii="宋体" w:hAnsi="宋体" w:cs="宋体"/>
                <w:sz w:val="24"/>
                <w:lang w:val="zh-CN"/>
              </w:rPr>
              <w:t>行政复议、行政诉讼服务方案：根据</w:t>
            </w:r>
            <w:r>
              <w:rPr>
                <w:rFonts w:hint="eastAsia" w:ascii="宋体" w:hAnsi="宋体" w:cs="宋体"/>
                <w:sz w:val="24"/>
                <w:lang w:val="en-US" w:eastAsia="zh-CN"/>
              </w:rPr>
              <w:t>投标单位</w:t>
            </w:r>
            <w:r>
              <w:rPr>
                <w:rFonts w:hint="eastAsia" w:ascii="宋体" w:hAnsi="宋体" w:cs="宋体"/>
                <w:sz w:val="24"/>
                <w:lang w:val="zh-CN"/>
              </w:rPr>
              <w:t>提供的服务方案是否准确理解用户需求，服务的步骤、理念、质量保障措施等完整、科学、可行、合理程度。</w:t>
            </w:r>
            <w:r>
              <w:rPr>
                <w:rFonts w:hint="eastAsia" w:ascii="宋体" w:hAnsi="宋体" w:cs="宋体"/>
                <w:sz w:val="24"/>
                <w:lang w:val="en-US" w:eastAsia="zh-CN"/>
              </w:rPr>
              <w:t>分</w:t>
            </w:r>
            <w:r>
              <w:rPr>
                <w:rFonts w:hint="eastAsia" w:ascii="宋体" w:hAnsi="宋体" w:cs="宋体"/>
                <w:kern w:val="0"/>
                <w:sz w:val="24"/>
                <w:lang w:val="en-US" w:eastAsia="zh-CN"/>
              </w:rPr>
              <w:t>值区间（0/1/2/3/4）</w:t>
            </w:r>
          </w:p>
        </w:tc>
        <w:tc>
          <w:tcPr>
            <w:tcW w:w="580" w:type="dxa"/>
          </w:tcPr>
          <w:p w14:paraId="11948A8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4</w:t>
            </w:r>
          </w:p>
        </w:tc>
        <w:tc>
          <w:tcPr>
            <w:tcW w:w="780" w:type="dxa"/>
            <w:vAlign w:val="top"/>
          </w:tcPr>
          <w:p w14:paraId="2B52AB7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539252D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765F2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5A44ABA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8</w:t>
            </w:r>
          </w:p>
        </w:tc>
        <w:tc>
          <w:tcPr>
            <w:tcW w:w="6010" w:type="dxa"/>
            <w:gridSpan w:val="2"/>
          </w:tcPr>
          <w:p w14:paraId="3D1CC4C2">
            <w:pPr>
              <w:keepNext w:val="0"/>
              <w:keepLines w:val="0"/>
              <w:pageBreakBefore w:val="0"/>
              <w:widowControl w:val="0"/>
              <w:kinsoku/>
              <w:wordWrap/>
              <w:overflowPunct/>
              <w:topLinePunct w:val="0"/>
              <w:bidi w:val="0"/>
              <w:adjustRightInd w:val="0"/>
              <w:spacing w:line="240" w:lineRule="auto"/>
              <w:jc w:val="left"/>
              <w:textAlignment w:val="auto"/>
              <w:rPr>
                <w:rFonts w:hint="eastAsia" w:ascii="宋体" w:hAnsi="宋体" w:cs="宋体"/>
                <w:sz w:val="24"/>
                <w:lang w:val="zh-CN"/>
              </w:rPr>
            </w:pPr>
            <w:r>
              <w:rPr>
                <w:rFonts w:hint="eastAsia" w:ascii="宋体" w:hAnsi="宋体" w:cs="宋体"/>
                <w:sz w:val="24"/>
                <w:lang w:val="zh-CN"/>
              </w:rPr>
              <w:t>管理制度：</w:t>
            </w:r>
            <w:r>
              <w:rPr>
                <w:rFonts w:hint="eastAsia" w:ascii="宋体" w:hAnsi="宋体" w:cs="宋体"/>
                <w:sz w:val="24"/>
                <w:lang w:val="en-US" w:eastAsia="zh-CN"/>
              </w:rPr>
              <w:t>包含</w:t>
            </w:r>
            <w:r>
              <w:rPr>
                <w:rFonts w:hint="eastAsia" w:ascii="宋体" w:hAnsi="宋体" w:cs="宋体"/>
                <w:sz w:val="24"/>
                <w:lang w:val="zh-CN"/>
              </w:rPr>
              <w:t>人员管理（考核制度）；分配机制和财务制度；案件讨论制度；服务质量制度；风险防控制度；客户回访联系制度；律师收费制度；律所利益冲突排除制度；律所决策制度；档案管理制度；投诉处理机制；收结案管理制度。</w:t>
            </w:r>
            <w:r>
              <w:rPr>
                <w:rFonts w:hint="eastAsia" w:ascii="宋体" w:hAnsi="宋体" w:cs="宋体"/>
                <w:sz w:val="24"/>
                <w:lang w:val="en-US" w:eastAsia="zh-CN"/>
              </w:rPr>
              <w:t>根据投标单位各项</w:t>
            </w:r>
            <w:r>
              <w:rPr>
                <w:rFonts w:hint="eastAsia" w:ascii="宋体" w:hAnsi="宋体" w:cs="宋体"/>
                <w:sz w:val="24"/>
                <w:lang w:val="zh-CN"/>
              </w:rPr>
              <w:t>管理制度健全</w:t>
            </w:r>
            <w:r>
              <w:rPr>
                <w:rFonts w:hint="eastAsia" w:ascii="宋体" w:hAnsi="宋体" w:cs="宋体"/>
                <w:sz w:val="24"/>
                <w:lang w:val="en-US" w:eastAsia="zh-CN"/>
              </w:rPr>
              <w:t>程度评审</w:t>
            </w:r>
            <w:r>
              <w:rPr>
                <w:rFonts w:hint="eastAsia" w:ascii="宋体" w:hAnsi="宋体" w:cs="宋体"/>
                <w:sz w:val="24"/>
                <w:lang w:val="zh-CN"/>
              </w:rPr>
              <w:t>。</w:t>
            </w:r>
            <w:r>
              <w:rPr>
                <w:rFonts w:hint="eastAsia" w:ascii="宋体" w:hAnsi="宋体" w:cs="宋体"/>
                <w:sz w:val="24"/>
                <w:lang w:val="en-US" w:eastAsia="zh-CN"/>
              </w:rPr>
              <w:t>每项制度</w:t>
            </w:r>
            <w:r>
              <w:rPr>
                <w:rFonts w:hint="eastAsia" w:ascii="宋体" w:hAnsi="宋体" w:cs="宋体"/>
                <w:kern w:val="0"/>
                <w:sz w:val="24"/>
                <w:lang w:val="en-US" w:eastAsia="zh-CN"/>
              </w:rPr>
              <w:t>分值区间（0/0.2/0.4/0.6/0.8/1）</w:t>
            </w:r>
            <w:r>
              <w:rPr>
                <w:rFonts w:hint="eastAsia" w:ascii="宋体" w:hAnsi="宋体" w:cs="宋体"/>
                <w:sz w:val="24"/>
                <w:lang w:val="zh-CN"/>
              </w:rPr>
              <w:t>。</w:t>
            </w:r>
          </w:p>
          <w:p w14:paraId="40FE71D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rPr>
                <w:rFonts w:cs="仿宋_GB2312" w:asciiTheme="minorEastAsia" w:hAnsiTheme="minorEastAsia" w:eastAsiaTheme="minorEastAsia"/>
                <w:color w:val="auto"/>
                <w:sz w:val="24"/>
                <w:highlight w:val="none"/>
              </w:rPr>
            </w:pPr>
            <w:r>
              <w:rPr>
                <w:rFonts w:hint="eastAsia" w:ascii="宋体" w:hAnsi="宋体" w:cs="宋体"/>
                <w:sz w:val="24"/>
                <w:lang w:val="zh-CN"/>
              </w:rPr>
              <w:t>（提供相关管理制度和有效执行情况复印件，不提供不得分）</w:t>
            </w:r>
          </w:p>
        </w:tc>
        <w:tc>
          <w:tcPr>
            <w:tcW w:w="580" w:type="dxa"/>
          </w:tcPr>
          <w:p w14:paraId="1D68D31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12</w:t>
            </w:r>
          </w:p>
        </w:tc>
        <w:tc>
          <w:tcPr>
            <w:tcW w:w="780" w:type="dxa"/>
            <w:vAlign w:val="center"/>
          </w:tcPr>
          <w:p w14:paraId="5A4A4D8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384914A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6B7E5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61F7709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9</w:t>
            </w:r>
          </w:p>
        </w:tc>
        <w:tc>
          <w:tcPr>
            <w:tcW w:w="6010" w:type="dxa"/>
            <w:gridSpan w:val="2"/>
          </w:tcPr>
          <w:p w14:paraId="4A3C4BF3">
            <w:pPr>
              <w:keepNext w:val="0"/>
              <w:keepLines w:val="0"/>
              <w:pageBreakBefore w:val="0"/>
              <w:widowControl w:val="0"/>
              <w:kinsoku/>
              <w:wordWrap/>
              <w:overflowPunct/>
              <w:topLinePunct w:val="0"/>
              <w:bidi w:val="0"/>
              <w:adjustRightInd w:val="0"/>
              <w:spacing w:line="240" w:lineRule="auto"/>
              <w:jc w:val="left"/>
              <w:textAlignment w:val="auto"/>
              <w:rPr>
                <w:rFonts w:hint="eastAsia" w:ascii="宋体" w:hAnsi="宋体" w:cs="宋体"/>
                <w:sz w:val="24"/>
                <w:lang w:val="zh-CN" w:eastAsia="zh-CN"/>
              </w:rPr>
            </w:pPr>
            <w:r>
              <w:rPr>
                <w:rFonts w:hint="eastAsia" w:ascii="宋体" w:hAnsi="宋体" w:cs="宋体"/>
                <w:sz w:val="24"/>
                <w:lang w:val="en-US" w:eastAsia="zh-CN"/>
              </w:rPr>
              <w:t>服务质量保证：根据投标单位服务质量保证措施的可行性、合理性评审。投标单位提供相应的内控制度等。分值区间（0/1/2/3/4）</w:t>
            </w:r>
          </w:p>
        </w:tc>
        <w:tc>
          <w:tcPr>
            <w:tcW w:w="580" w:type="dxa"/>
          </w:tcPr>
          <w:p w14:paraId="70A5F99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4</w:t>
            </w:r>
          </w:p>
        </w:tc>
        <w:tc>
          <w:tcPr>
            <w:tcW w:w="780" w:type="dxa"/>
            <w:vAlign w:val="center"/>
          </w:tcPr>
          <w:p w14:paraId="1E6832A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51045E8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5384E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616E913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10</w:t>
            </w:r>
          </w:p>
        </w:tc>
        <w:tc>
          <w:tcPr>
            <w:tcW w:w="6010" w:type="dxa"/>
            <w:gridSpan w:val="2"/>
          </w:tcPr>
          <w:p w14:paraId="0436DD33">
            <w:pPr>
              <w:keepNext w:val="0"/>
              <w:keepLines w:val="0"/>
              <w:pageBreakBefore w:val="0"/>
              <w:widowControl w:val="0"/>
              <w:kinsoku/>
              <w:wordWrap/>
              <w:overflowPunct/>
              <w:topLinePunct w:val="0"/>
              <w:bidi w:val="0"/>
              <w:adjustRightInd w:val="0"/>
              <w:spacing w:line="240" w:lineRule="auto"/>
              <w:jc w:val="left"/>
              <w:textAlignment w:val="auto"/>
              <w:rPr>
                <w:rFonts w:hint="eastAsia" w:ascii="宋体" w:hAnsi="宋体" w:cs="宋体"/>
                <w:sz w:val="24"/>
                <w:lang w:val="zh-CN"/>
              </w:rPr>
            </w:pPr>
            <w:r>
              <w:rPr>
                <w:rFonts w:hint="eastAsia" w:ascii="宋体" w:hAnsi="宋体" w:cs="宋体"/>
                <w:sz w:val="24"/>
                <w:lang w:val="en-US" w:eastAsia="zh-CN"/>
              </w:rPr>
              <w:t>服务</w:t>
            </w:r>
            <w:r>
              <w:rPr>
                <w:rFonts w:hint="eastAsia" w:ascii="宋体" w:hAnsi="宋体" w:cs="宋体"/>
                <w:sz w:val="24"/>
                <w:lang w:val="zh-CN"/>
              </w:rPr>
              <w:t>响应能力</w:t>
            </w:r>
            <w:r>
              <w:rPr>
                <w:rFonts w:hint="eastAsia" w:ascii="宋体" w:hAnsi="宋体" w:cs="宋体"/>
                <w:sz w:val="24"/>
                <w:lang w:val="zh-CN" w:eastAsia="zh-CN"/>
              </w:rPr>
              <w:t>：</w:t>
            </w:r>
            <w:r>
              <w:rPr>
                <w:rFonts w:hint="eastAsia" w:ascii="宋体" w:hAnsi="宋体" w:cs="宋体"/>
                <w:sz w:val="24"/>
                <w:lang w:val="zh-CN"/>
              </w:rPr>
              <w:t>供应商承诺接到采购人通知后1个小时内到达现场提供服务的得2分，4小时内到达现场的得1分，超过</w:t>
            </w:r>
            <w:r>
              <w:rPr>
                <w:rFonts w:hint="eastAsia" w:ascii="宋体" w:hAnsi="宋体" w:cs="宋体"/>
                <w:sz w:val="24"/>
                <w:lang w:val="en-US" w:eastAsia="zh-CN"/>
              </w:rPr>
              <w:t>4</w:t>
            </w:r>
            <w:r>
              <w:rPr>
                <w:rFonts w:hint="eastAsia" w:ascii="宋体" w:hAnsi="宋体" w:cs="宋体"/>
                <w:sz w:val="24"/>
                <w:lang w:val="zh-CN"/>
              </w:rPr>
              <w:t>小时不得分。</w:t>
            </w:r>
          </w:p>
          <w:p w14:paraId="41A2EFEC">
            <w:pPr>
              <w:keepNext w:val="0"/>
              <w:keepLines w:val="0"/>
              <w:pageBreakBefore w:val="0"/>
              <w:widowControl w:val="0"/>
              <w:kinsoku/>
              <w:wordWrap/>
              <w:overflowPunct/>
              <w:topLinePunct w:val="0"/>
              <w:bidi w:val="0"/>
              <w:adjustRightInd w:val="0"/>
              <w:spacing w:line="240" w:lineRule="auto"/>
              <w:jc w:val="left"/>
              <w:textAlignment w:val="auto"/>
              <w:rPr>
                <w:rFonts w:hint="eastAsia" w:ascii="宋体" w:hAnsi="宋体" w:cs="宋体"/>
                <w:sz w:val="24"/>
                <w:lang w:val="zh-CN" w:eastAsia="zh-CN"/>
              </w:rPr>
            </w:pPr>
            <w:r>
              <w:rPr>
                <w:rFonts w:hint="eastAsia" w:ascii="宋体" w:hAnsi="宋体" w:cs="宋体"/>
                <w:sz w:val="24"/>
                <w:lang w:val="zh-CN"/>
              </w:rPr>
              <w:t>供应商承诺保证指派的顾问律师每周至少2次有一人在采购人处为服务对象提供顾问服务</w:t>
            </w:r>
            <w:r>
              <w:rPr>
                <w:rFonts w:hint="eastAsia" w:ascii="宋体" w:hAnsi="宋体" w:cs="宋体"/>
                <w:sz w:val="24"/>
                <w:lang w:val="en-US" w:eastAsia="zh-CN"/>
              </w:rPr>
              <w:t>的得2分；</w:t>
            </w:r>
            <w:r>
              <w:rPr>
                <w:rFonts w:hint="eastAsia" w:ascii="宋体" w:hAnsi="宋体" w:cs="宋体"/>
                <w:sz w:val="24"/>
                <w:lang w:val="zh-CN"/>
              </w:rPr>
              <w:t>承诺保证指派的顾问律师每周至少2次有一人在采购人处为服务对象提供顾问服务</w:t>
            </w:r>
            <w:r>
              <w:rPr>
                <w:rFonts w:hint="eastAsia" w:ascii="宋体" w:hAnsi="宋体" w:cs="宋体"/>
                <w:sz w:val="24"/>
                <w:lang w:val="en-US" w:eastAsia="zh-CN"/>
              </w:rPr>
              <w:t>的得1分；提供承诺书盖单位公章。</w:t>
            </w:r>
            <w:r>
              <w:rPr>
                <w:rFonts w:hint="eastAsia" w:ascii="宋体" w:hAnsi="宋体" w:cs="宋体"/>
                <w:sz w:val="24"/>
                <w:lang w:val="zh-CN"/>
              </w:rPr>
              <w:t>。</w:t>
            </w:r>
          </w:p>
        </w:tc>
        <w:tc>
          <w:tcPr>
            <w:tcW w:w="580" w:type="dxa"/>
          </w:tcPr>
          <w:p w14:paraId="216F1FC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4</w:t>
            </w:r>
          </w:p>
        </w:tc>
        <w:tc>
          <w:tcPr>
            <w:tcW w:w="780" w:type="dxa"/>
            <w:vAlign w:val="center"/>
          </w:tcPr>
          <w:p w14:paraId="05B8E5F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客观</w:t>
            </w:r>
          </w:p>
        </w:tc>
        <w:tc>
          <w:tcPr>
            <w:tcW w:w="1360" w:type="dxa"/>
          </w:tcPr>
          <w:p w14:paraId="05F5C6F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2EB9D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6E1BADA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11</w:t>
            </w:r>
          </w:p>
        </w:tc>
        <w:tc>
          <w:tcPr>
            <w:tcW w:w="6010" w:type="dxa"/>
            <w:gridSpan w:val="2"/>
          </w:tcPr>
          <w:p w14:paraId="10E8DC9B">
            <w:pPr>
              <w:keepNext w:val="0"/>
              <w:keepLines w:val="0"/>
              <w:pageBreakBefore w:val="0"/>
              <w:widowControl w:val="0"/>
              <w:kinsoku/>
              <w:wordWrap/>
              <w:overflowPunct/>
              <w:topLinePunct w:val="0"/>
              <w:bidi w:val="0"/>
              <w:adjustRightInd w:val="0"/>
              <w:spacing w:line="240" w:lineRule="auto"/>
              <w:jc w:val="left"/>
              <w:textAlignment w:val="auto"/>
              <w:rPr>
                <w:rFonts w:hint="eastAsia" w:ascii="宋体" w:hAnsi="宋体" w:cs="宋体"/>
                <w:sz w:val="24"/>
                <w:lang w:val="zh-CN"/>
              </w:rPr>
            </w:pPr>
            <w:r>
              <w:rPr>
                <w:rFonts w:hint="eastAsia" w:ascii="宋体" w:hAnsi="宋体" w:cs="宋体"/>
                <w:sz w:val="24"/>
                <w:lang w:val="en-US" w:eastAsia="zh-CN"/>
              </w:rPr>
              <w:t>涉密保护措施：根据投标单位保密制度的完整性、合理性评审。分值区间（0/1/2/3/4/5）</w:t>
            </w:r>
          </w:p>
        </w:tc>
        <w:tc>
          <w:tcPr>
            <w:tcW w:w="580" w:type="dxa"/>
          </w:tcPr>
          <w:p w14:paraId="6A6BEE3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5</w:t>
            </w:r>
          </w:p>
        </w:tc>
        <w:tc>
          <w:tcPr>
            <w:tcW w:w="780" w:type="dxa"/>
            <w:vAlign w:val="center"/>
          </w:tcPr>
          <w:p w14:paraId="31AEC1F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01F24D0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24CBF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44C07D1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12</w:t>
            </w:r>
          </w:p>
        </w:tc>
        <w:tc>
          <w:tcPr>
            <w:tcW w:w="6010" w:type="dxa"/>
            <w:gridSpan w:val="2"/>
          </w:tcPr>
          <w:p w14:paraId="13EDA9E3">
            <w:pPr>
              <w:keepNext w:val="0"/>
              <w:keepLines w:val="0"/>
              <w:pageBreakBefore w:val="0"/>
              <w:widowControl w:val="0"/>
              <w:kinsoku/>
              <w:wordWrap/>
              <w:overflowPunct/>
              <w:topLinePunct w:val="0"/>
              <w:bidi w:val="0"/>
              <w:adjustRightInd w:val="0"/>
              <w:spacing w:line="240" w:lineRule="auto"/>
              <w:jc w:val="left"/>
              <w:textAlignment w:val="auto"/>
              <w:rPr>
                <w:rFonts w:hint="eastAsia" w:ascii="宋体" w:hAnsi="宋体" w:cs="宋体"/>
                <w:sz w:val="24"/>
                <w:lang w:val="zh-CN" w:eastAsia="zh-CN"/>
              </w:rPr>
            </w:pPr>
            <w:r>
              <w:rPr>
                <w:rFonts w:hint="eastAsia" w:ascii="宋体" w:hAnsi="宋体" w:cs="宋体"/>
                <w:sz w:val="24"/>
                <w:lang w:val="en-US" w:eastAsia="zh-CN"/>
              </w:rPr>
              <w:t>档案保管：根据投标单位档案保管是否符合相关规范要求进行评审（具体要求按照档案管理规范要求）。分值区间（0/1/2/3/4/5）提供公司档案管理制度、相应的档案管理规范要求、公司档案室照片、档案管理人员相关信息。</w:t>
            </w:r>
          </w:p>
        </w:tc>
        <w:tc>
          <w:tcPr>
            <w:tcW w:w="580" w:type="dxa"/>
          </w:tcPr>
          <w:p w14:paraId="1FC40CF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5</w:t>
            </w:r>
          </w:p>
        </w:tc>
        <w:tc>
          <w:tcPr>
            <w:tcW w:w="780" w:type="dxa"/>
            <w:vAlign w:val="center"/>
          </w:tcPr>
          <w:p w14:paraId="5BBFEAB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3FF3FA0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1805D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9" w:type="dxa"/>
            <w:vAlign w:val="center"/>
          </w:tcPr>
          <w:p w14:paraId="5EFEAA7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13</w:t>
            </w:r>
          </w:p>
        </w:tc>
        <w:tc>
          <w:tcPr>
            <w:tcW w:w="6010" w:type="dxa"/>
            <w:gridSpan w:val="2"/>
          </w:tcPr>
          <w:p w14:paraId="787B8568">
            <w:pPr>
              <w:keepNext w:val="0"/>
              <w:keepLines w:val="0"/>
              <w:pageBreakBefore w:val="0"/>
              <w:widowControl w:val="0"/>
              <w:kinsoku/>
              <w:wordWrap/>
              <w:overflowPunct/>
              <w:topLinePunct w:val="0"/>
              <w:bidi w:val="0"/>
              <w:adjustRightInd w:val="0"/>
              <w:spacing w:line="240" w:lineRule="auto"/>
              <w:jc w:val="left"/>
              <w:textAlignment w:val="auto"/>
              <w:rPr>
                <w:rFonts w:hint="eastAsia" w:ascii="宋体" w:hAnsi="宋体" w:cs="宋体"/>
                <w:sz w:val="24"/>
                <w:lang w:val="en-US" w:eastAsia="zh-CN"/>
              </w:rPr>
            </w:pPr>
            <w:r>
              <w:rPr>
                <w:rFonts w:hint="eastAsia" w:ascii="宋体" w:hAnsi="宋体" w:cs="宋体"/>
                <w:sz w:val="24"/>
                <w:lang w:val="en-US" w:eastAsia="zh-CN"/>
              </w:rPr>
              <w:t>其他增值服务及合理化建议：根据投标单位能够为采购人提供的增值服务有效性及合理化建议可行性进行评审。分值区间（0/1/2/3）</w:t>
            </w:r>
          </w:p>
        </w:tc>
        <w:tc>
          <w:tcPr>
            <w:tcW w:w="580" w:type="dxa"/>
          </w:tcPr>
          <w:p w14:paraId="142913A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3</w:t>
            </w:r>
          </w:p>
        </w:tc>
        <w:tc>
          <w:tcPr>
            <w:tcW w:w="780" w:type="dxa"/>
            <w:vAlign w:val="center"/>
          </w:tcPr>
          <w:p w14:paraId="6A8B308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w:t>
            </w:r>
          </w:p>
        </w:tc>
        <w:tc>
          <w:tcPr>
            <w:tcW w:w="1360" w:type="dxa"/>
          </w:tcPr>
          <w:p w14:paraId="2318612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cs="仿宋_GB2312" w:asciiTheme="minorEastAsia" w:hAnsiTheme="minorEastAsia" w:eastAsiaTheme="minorEastAsia"/>
                <w:color w:val="auto"/>
                <w:sz w:val="24"/>
                <w:highlight w:val="none"/>
              </w:rPr>
            </w:pPr>
          </w:p>
        </w:tc>
      </w:tr>
      <w:tr w14:paraId="1BEF2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569" w:type="dxa"/>
            <w:vMerge w:val="restart"/>
            <w:vAlign w:val="center"/>
          </w:tcPr>
          <w:p w14:paraId="605AF3F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14</w:t>
            </w:r>
          </w:p>
        </w:tc>
        <w:tc>
          <w:tcPr>
            <w:tcW w:w="6010" w:type="dxa"/>
            <w:gridSpan w:val="2"/>
          </w:tcPr>
          <w:p w14:paraId="3273E916">
            <w:pPr>
              <w:keepNext w:val="0"/>
              <w:keepLines w:val="0"/>
              <w:pageBreakBefore w:val="0"/>
              <w:widowControl w:val="0"/>
              <w:shd w:val="clear" w:color="auto" w:fill="FFFFFF"/>
              <w:kinsoku/>
              <w:wordWrap/>
              <w:overflowPunct/>
              <w:topLinePunct w:val="0"/>
              <w:bidi w:val="0"/>
              <w:adjustRightInd w:val="0"/>
              <w:snapToGrid w:val="0"/>
              <w:spacing w:beforeAutospacing="0" w:afterAutospacing="0" w:line="240" w:lineRule="auto"/>
              <w:ind w:right="0" w:rightChars="0"/>
              <w:jc w:val="left"/>
              <w:textAlignment w:val="auto"/>
              <w:rPr>
                <w:rFonts w:asciiTheme="minorEastAsia" w:hAnsiTheme="minorEastAsia" w:eastAsiaTheme="minorEastAsia"/>
                <w:color w:val="auto"/>
                <w:sz w:val="24"/>
                <w:highlight w:val="none"/>
              </w:rPr>
            </w:pPr>
            <w:r>
              <w:rPr>
                <w:rFonts w:hint="eastAsia" w:ascii="宋体" w:hAnsi="宋体" w:cs="宋体"/>
                <w:spacing w:val="-2"/>
                <w:sz w:val="24"/>
              </w:rPr>
              <w:t>常年法律顾问服务</w:t>
            </w:r>
          </w:p>
        </w:tc>
        <w:tc>
          <w:tcPr>
            <w:tcW w:w="580" w:type="dxa"/>
            <w:vAlign w:val="center"/>
          </w:tcPr>
          <w:p w14:paraId="473E782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outlineLvl w:val="0"/>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10</w:t>
            </w:r>
          </w:p>
        </w:tc>
        <w:tc>
          <w:tcPr>
            <w:tcW w:w="780" w:type="dxa"/>
            <w:vMerge w:val="restart"/>
            <w:vAlign w:val="center"/>
          </w:tcPr>
          <w:p w14:paraId="58E9D4C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outlineLvl w:val="0"/>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w:t>
            </w:r>
          </w:p>
        </w:tc>
        <w:tc>
          <w:tcPr>
            <w:tcW w:w="1360" w:type="dxa"/>
            <w:vMerge w:val="restart"/>
            <w:vAlign w:val="center"/>
          </w:tcPr>
          <w:p w14:paraId="5C0974E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outlineLvl w:val="0"/>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w:t>
            </w:r>
          </w:p>
        </w:tc>
      </w:tr>
      <w:tr w14:paraId="6BA6C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569" w:type="dxa"/>
            <w:vMerge w:val="continue"/>
            <w:vAlign w:val="center"/>
          </w:tcPr>
          <w:p w14:paraId="1BE203A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p>
        </w:tc>
        <w:tc>
          <w:tcPr>
            <w:tcW w:w="6010" w:type="dxa"/>
            <w:gridSpan w:val="2"/>
          </w:tcPr>
          <w:p w14:paraId="1C6B258C">
            <w:pPr>
              <w:keepNext w:val="0"/>
              <w:keepLines w:val="0"/>
              <w:pageBreakBefore w:val="0"/>
              <w:widowControl w:val="0"/>
              <w:shd w:val="clear" w:color="auto" w:fill="FFFFFF"/>
              <w:kinsoku/>
              <w:wordWrap/>
              <w:overflowPunct/>
              <w:topLinePunct w:val="0"/>
              <w:bidi w:val="0"/>
              <w:adjustRightInd w:val="0"/>
              <w:snapToGrid w:val="0"/>
              <w:spacing w:beforeAutospacing="0" w:afterAutospacing="0" w:line="240" w:lineRule="auto"/>
              <w:ind w:right="0" w:rightChars="0"/>
              <w:jc w:val="left"/>
              <w:textAlignment w:val="auto"/>
              <w:rPr>
                <w:rFonts w:asciiTheme="minorEastAsia" w:hAnsiTheme="minorEastAsia" w:eastAsiaTheme="minorEastAsia"/>
                <w:color w:val="auto"/>
                <w:sz w:val="24"/>
                <w:highlight w:val="none"/>
              </w:rPr>
            </w:pPr>
            <w:r>
              <w:rPr>
                <w:rFonts w:hint="eastAsia" w:ascii="宋体" w:hAnsi="宋体" w:cs="宋体"/>
                <w:spacing w:val="-2"/>
                <w:sz w:val="24"/>
              </w:rPr>
              <w:t>案件审理费</w:t>
            </w:r>
          </w:p>
        </w:tc>
        <w:tc>
          <w:tcPr>
            <w:tcW w:w="580" w:type="dxa"/>
            <w:vAlign w:val="center"/>
          </w:tcPr>
          <w:p w14:paraId="071604E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outlineLvl w:val="0"/>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10</w:t>
            </w:r>
          </w:p>
        </w:tc>
        <w:tc>
          <w:tcPr>
            <w:tcW w:w="780" w:type="dxa"/>
            <w:vMerge w:val="continue"/>
            <w:vAlign w:val="center"/>
          </w:tcPr>
          <w:p w14:paraId="0D902D2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outlineLvl w:val="0"/>
              <w:rPr>
                <w:rFonts w:cs="仿宋_GB2312" w:asciiTheme="minorEastAsia" w:hAnsiTheme="minorEastAsia" w:eastAsiaTheme="minorEastAsia"/>
                <w:color w:val="auto"/>
                <w:sz w:val="24"/>
                <w:highlight w:val="none"/>
              </w:rPr>
            </w:pPr>
          </w:p>
        </w:tc>
        <w:tc>
          <w:tcPr>
            <w:tcW w:w="1360" w:type="dxa"/>
            <w:vMerge w:val="continue"/>
            <w:vAlign w:val="center"/>
          </w:tcPr>
          <w:p w14:paraId="7763CC5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outlineLvl w:val="0"/>
              <w:rPr>
                <w:rFonts w:cs="仿宋_GB2312" w:asciiTheme="minorEastAsia" w:hAnsiTheme="minorEastAsia" w:eastAsiaTheme="minorEastAsia"/>
                <w:color w:val="auto"/>
                <w:sz w:val="24"/>
                <w:highlight w:val="none"/>
              </w:rPr>
            </w:pPr>
          </w:p>
        </w:tc>
      </w:tr>
      <w:tr w14:paraId="77E3A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 w:hRule="atLeast"/>
        </w:trPr>
        <w:tc>
          <w:tcPr>
            <w:tcW w:w="569" w:type="dxa"/>
            <w:vMerge w:val="continue"/>
            <w:vAlign w:val="center"/>
          </w:tcPr>
          <w:p w14:paraId="092D7D9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hint="eastAsia" w:cs="仿宋_GB2312" w:asciiTheme="minorEastAsia" w:hAnsiTheme="minorEastAsia" w:eastAsiaTheme="minorEastAsia"/>
                <w:color w:val="auto"/>
                <w:sz w:val="24"/>
                <w:highlight w:val="none"/>
                <w:lang w:val="en-US" w:eastAsia="zh-CN"/>
              </w:rPr>
            </w:pPr>
          </w:p>
        </w:tc>
        <w:tc>
          <w:tcPr>
            <w:tcW w:w="8730" w:type="dxa"/>
            <w:gridSpan w:val="5"/>
          </w:tcPr>
          <w:p w14:paraId="527194B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有效投标报价的最低价作为评标基准价，其最低报价为满分；按［投标报价得分</w:t>
            </w:r>
            <w:r>
              <w:rPr>
                <w:rFonts w:cs="仿宋_GB2312" w:asciiTheme="minorEastAsia" w:hAnsiTheme="minorEastAsia" w:eastAsiaTheme="minorEastAsia"/>
                <w:color w:val="auto"/>
                <w:sz w:val="24"/>
                <w:highlight w:val="none"/>
              </w:rPr>
              <w:t>=（评标基准价/投标报价）*</w:t>
            </w:r>
            <w:r>
              <w:rPr>
                <w:rFonts w:hint="eastAsia" w:cs="仿宋_GB2312" w:asciiTheme="minorEastAsia" w:hAnsiTheme="minorEastAsia" w:eastAsiaTheme="minorEastAsia"/>
                <w:color w:val="auto"/>
                <w:sz w:val="24"/>
                <w:highlight w:val="none"/>
              </w:rPr>
              <w:t>权重</w:t>
            </w:r>
            <w:r>
              <w:rPr>
                <w:rFonts w:cs="仿宋_GB2312" w:asciiTheme="minorEastAsia" w:hAnsiTheme="minorEastAsia" w:eastAsiaTheme="minorEastAsia"/>
                <w:color w:val="auto"/>
                <w:sz w:val="24"/>
                <w:highlight w:val="none"/>
              </w:rPr>
              <w:t>］的计算公式计算。</w:t>
            </w:r>
          </w:p>
          <w:p w14:paraId="1139AC60">
            <w:pPr>
              <w:keepNext w:val="0"/>
              <w:keepLines w:val="0"/>
              <w:pageBreakBefore w:val="0"/>
              <w:widowControl w:val="0"/>
              <w:shd w:val="clear" w:color="auto" w:fill="FFFFFF"/>
              <w:kinsoku/>
              <w:wordWrap/>
              <w:overflowPunct/>
              <w:topLinePunct w:val="0"/>
              <w:bidi w:val="0"/>
              <w:adjustRightInd w:val="0"/>
              <w:snapToGrid w:val="0"/>
              <w:spacing w:beforeAutospacing="0" w:afterAutospacing="0" w:line="240" w:lineRule="auto"/>
              <w:ind w:right="0" w:rightChars="0"/>
              <w:jc w:val="left"/>
              <w:textAlignment w:val="auto"/>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评标过程中，不得去掉报价中的最高报价和最低报价。</w:t>
            </w:r>
          </w:p>
          <w:p w14:paraId="2E25F37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left"/>
              <w:textAlignment w:val="auto"/>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对于</w:t>
            </w:r>
            <w:r>
              <w:rPr>
                <w:rFonts w:hint="eastAsia" w:ascii="宋体" w:hAnsi="宋体" w:cs="宋体"/>
                <w:sz w:val="24"/>
                <w:lang w:val="en-US" w:eastAsia="zh-CN"/>
              </w:rPr>
              <w:t>未预留份额专门面向中小企业的政府采购服务项目，以及预留份额政府采购服务项目中的非预留部分标项，对小型和微型企业的投标报价给予X%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X%的扣除，用扣除后的价格参加评审。</w:t>
            </w:r>
          </w:p>
        </w:tc>
      </w:tr>
    </w:tbl>
    <w:p w14:paraId="534BB0D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color w:val="auto"/>
          <w:highlight w:val="none"/>
        </w:rPr>
      </w:pPr>
    </w:p>
    <w:p w14:paraId="4A3CA89B">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7161E66E">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8B3B7ED">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2B69E828">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098219B6">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28438D83">
      <w:pPr>
        <w:widowControl w:val="0"/>
        <w:kinsoku/>
        <w:wordWrap/>
        <w:overflowPunct/>
        <w:topLinePunct w:val="0"/>
        <w:bidi w:val="0"/>
        <w:adjustRightInd w:val="0"/>
        <w:snapToGrid w:val="0"/>
        <w:spacing w:beforeAutospacing="0" w:afterAutospacing="0" w:line="360" w:lineRule="auto"/>
        <w:ind w:left="0" w:leftChars="0" w:right="0" w:rightChars="0"/>
        <w:textAlignment w:val="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06D76179">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71C9C49D">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5A24866B">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549F8F78">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6B2B8FEF">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508" w:firstLineChars="212"/>
        <w:textAlignment w:val="auto"/>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5347EC73">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2E67C8B4">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5A29C786">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921EEDE">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715691DA">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3696512A">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311DE77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634CEB39">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B85A27C">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38612F12">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3个</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604CC47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B16DC2A">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868889A">
      <w:pPr>
        <w:widowControl w:val="0"/>
        <w:shd w:val="clear" w:color="auto" w:fill="FFFFFF"/>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21A77317">
      <w:pPr>
        <w:pStyle w:val="132"/>
        <w:widowControl w:val="0"/>
        <w:kinsoku/>
        <w:wordWrap/>
        <w:overflowPunct/>
        <w:topLinePunct w:val="0"/>
        <w:bidi w:val="0"/>
        <w:adjustRightInd w:val="0"/>
        <w:snapToGrid w:val="0"/>
        <w:spacing w:before="0" w:beforeAutospacing="0" w:afterAutospacing="0" w:line="360" w:lineRule="auto"/>
        <w:ind w:left="0" w:leftChars="0" w:right="0" w:rightChars="0" w:firstLine="472" w:firstLineChars="196"/>
        <w:textAlignment w:val="auto"/>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328986D">
      <w:pPr>
        <w:pStyle w:val="27"/>
        <w:widowControl w:val="0"/>
        <w:kinsoku/>
        <w:wordWrap/>
        <w:overflowPunct/>
        <w:topLinePunct w:val="0"/>
        <w:bidi w:val="0"/>
        <w:adjustRightInd w:val="0"/>
        <w:snapToGrid w:val="0"/>
        <w:spacing w:beforeAutospacing="0" w:afterAutospacing="0" w:line="360" w:lineRule="auto"/>
        <w:ind w:left="0" w:leftChars="0" w:right="0" w:rightChars="0" w:hanging="479" w:firstLineChars="0"/>
        <w:textAlignment w:val="auto"/>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230C9CC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24036A04">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1A5AA9CB">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10F4F8D">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0DA5FA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7D3C9655">
      <w:pPr>
        <w:widowControl w:val="0"/>
        <w:kinsoku/>
        <w:wordWrap/>
        <w:overflowPunct/>
        <w:topLinePunct w:val="0"/>
        <w:bidi w:val="0"/>
        <w:adjustRightInd w:val="0"/>
        <w:snapToGrid w:val="0"/>
        <w:spacing w:beforeAutospacing="0" w:afterAutospacing="0" w:line="360" w:lineRule="auto"/>
        <w:ind w:left="0" w:leftChars="0" w:right="0" w:rightChars="0" w:firstLine="120" w:firstLineChars="5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1C726CFC">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4718494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78769523">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51AE7204">
      <w:pPr>
        <w:widowControl w:val="0"/>
        <w:kinsoku/>
        <w:wordWrap/>
        <w:overflowPunct/>
        <w:topLinePunct w:val="0"/>
        <w:bidi w:val="0"/>
        <w:adjustRightInd w:val="0"/>
        <w:snapToGrid w:val="0"/>
        <w:spacing w:beforeAutospacing="0" w:afterAutospacing="0" w:line="360" w:lineRule="auto"/>
        <w:ind w:left="0" w:leftChars="0" w:right="0" w:rightChars="0" w:firstLine="240" w:firstLineChars="10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BCBFDD0">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E7A44C4">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527907CB">
      <w:pPr>
        <w:pStyle w:val="6"/>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3A1B9105">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59AA58E2">
      <w:pPr>
        <w:pStyle w:val="27"/>
        <w:widowControl w:val="0"/>
        <w:kinsoku/>
        <w:wordWrap/>
        <w:overflowPunct/>
        <w:topLinePunct w:val="0"/>
        <w:bidi w:val="0"/>
        <w:adjustRightInd w:val="0"/>
        <w:snapToGrid w:val="0"/>
        <w:spacing w:beforeAutospacing="0" w:afterAutospacing="0" w:line="360" w:lineRule="auto"/>
        <w:ind w:left="0" w:leftChars="0" w:right="0" w:rightChars="0" w:firstLine="472" w:firstLineChars="196"/>
        <w:textAlignment w:val="auto"/>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6B7BD4D4">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5.1符合专业条件的供应商或者对招标文件作实质响应的供应商不足3家的；</w:t>
      </w:r>
    </w:p>
    <w:p w14:paraId="3C6D8530">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5.2出现影响采购公正的违法、违规行为的；</w:t>
      </w:r>
    </w:p>
    <w:p w14:paraId="3E6A71FF">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5.3投标人的报价均超过了采购预算，采购人不能支付的；</w:t>
      </w:r>
    </w:p>
    <w:p w14:paraId="1B29C66F">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5.4因重大变故，采购任务取消的。</w:t>
      </w:r>
    </w:p>
    <w:p w14:paraId="008F347B">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29AE060C">
      <w:pPr>
        <w:pStyle w:val="27"/>
        <w:widowControl w:val="0"/>
        <w:kinsoku/>
        <w:wordWrap/>
        <w:overflowPunct/>
        <w:topLinePunct w:val="0"/>
        <w:bidi w:val="0"/>
        <w:adjustRightInd w:val="0"/>
        <w:snapToGrid w:val="0"/>
        <w:spacing w:beforeAutospacing="0" w:afterAutospacing="0" w:line="360" w:lineRule="auto"/>
        <w:ind w:left="0" w:leftChars="0" w:right="0" w:rightChars="0" w:firstLine="590" w:firstLineChars="245"/>
        <w:textAlignment w:val="auto"/>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366BF1CC">
      <w:pPr>
        <w:pStyle w:val="27"/>
        <w:widowControl w:val="0"/>
        <w:kinsoku/>
        <w:wordWrap/>
        <w:overflowPunct/>
        <w:topLinePunct w:val="0"/>
        <w:bidi w:val="0"/>
        <w:adjustRightInd w:val="0"/>
        <w:snapToGrid w:val="0"/>
        <w:spacing w:beforeAutospacing="0" w:afterAutospacing="0" w:line="360" w:lineRule="auto"/>
        <w:ind w:left="0" w:leftChars="0" w:right="0" w:rightChars="0" w:firstLine="482"/>
        <w:textAlignment w:val="auto"/>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0A1C2C1B">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7.1未确定中标供应商的，终止本次政府采购活动，重新开展政府采购活动。</w:t>
      </w:r>
    </w:p>
    <w:p w14:paraId="6F916A1A">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5A1FD7B">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38065042">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7.4政府采购合同已经履行，给采购人、供应商造成损失的，由责任人承担赔偿责任。</w:t>
      </w:r>
    </w:p>
    <w:p w14:paraId="57103E91">
      <w:pPr>
        <w:pStyle w:val="27"/>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00FCA0BF">
      <w:pPr>
        <w:pStyle w:val="27"/>
        <w:widowControl w:val="0"/>
        <w:kinsoku/>
        <w:wordWrap/>
        <w:overflowPunct/>
        <w:topLinePunct w:val="0"/>
        <w:bidi w:val="0"/>
        <w:adjustRightInd w:val="0"/>
        <w:snapToGrid w:val="0"/>
        <w:spacing w:beforeAutospacing="0" w:afterAutospacing="0" w:line="360" w:lineRule="auto"/>
        <w:ind w:left="0" w:leftChars="0" w:right="0" w:rightChars="0" w:firstLine="0" w:firstLineChars="0"/>
        <w:textAlignment w:val="auto"/>
        <w:rPr>
          <w:rFonts w:cs="宋体"/>
          <w:color w:val="auto"/>
          <w:highlight w:val="none"/>
        </w:rPr>
      </w:pPr>
    </w:p>
    <w:bookmarkEnd w:id="27"/>
    <w:p w14:paraId="1ED7D9B9">
      <w:pPr>
        <w:widowControl w:val="0"/>
        <w:kinsoku/>
        <w:wordWrap/>
        <w:overflowPunct/>
        <w:topLinePunct w:val="0"/>
        <w:bidi w:val="0"/>
        <w:adjustRightInd w:val="0"/>
        <w:snapToGrid w:val="0"/>
        <w:spacing w:beforeAutospacing="0" w:afterAutospacing="0" w:line="360" w:lineRule="auto"/>
        <w:ind w:left="0" w:leftChars="0" w:right="0" w:rightChars="0" w:firstLine="1084" w:firstLineChars="300"/>
        <w:textAlignment w:val="auto"/>
        <w:outlineLvl w:val="0"/>
        <w:rPr>
          <w:rFonts w:ascii="宋体" w:hAnsi="宋体" w:cs="宋体"/>
          <w:b/>
          <w:color w:val="auto"/>
          <w:sz w:val="36"/>
          <w:szCs w:val="36"/>
          <w:highlight w:val="none"/>
        </w:rPr>
      </w:pPr>
      <w:bookmarkStart w:id="393" w:name="第五部分"/>
      <w:bookmarkStart w:id="394" w:name="_Toc86217003"/>
    </w:p>
    <w:p w14:paraId="468F7283">
      <w:pPr>
        <w:pStyle w:val="2"/>
      </w:pPr>
    </w:p>
    <w:p w14:paraId="1A883F3F">
      <w:pPr>
        <w:pStyle w:val="8"/>
        <w:rPr>
          <w:rFonts w:ascii="宋体" w:hAnsi="宋体" w:cs="宋体"/>
          <w:b/>
          <w:color w:val="auto"/>
          <w:sz w:val="36"/>
          <w:szCs w:val="36"/>
          <w:highlight w:val="none"/>
        </w:rPr>
      </w:pPr>
    </w:p>
    <w:p w14:paraId="6D7876BE">
      <w:pPr>
        <w:pStyle w:val="9"/>
        <w:rPr>
          <w:rFonts w:ascii="宋体" w:hAnsi="宋体" w:cs="宋体"/>
          <w:b/>
          <w:color w:val="auto"/>
          <w:sz w:val="36"/>
          <w:szCs w:val="36"/>
          <w:highlight w:val="none"/>
        </w:rPr>
      </w:pPr>
    </w:p>
    <w:p w14:paraId="3F4FA0C0">
      <w:pPr>
        <w:pStyle w:val="9"/>
        <w:rPr>
          <w:rFonts w:ascii="宋体" w:hAnsi="宋体" w:cs="宋体"/>
          <w:b/>
          <w:color w:val="auto"/>
          <w:sz w:val="36"/>
          <w:szCs w:val="36"/>
          <w:highlight w:val="none"/>
        </w:rPr>
      </w:pPr>
    </w:p>
    <w:p w14:paraId="7B21CDC4">
      <w:pPr>
        <w:widowControl w:val="0"/>
        <w:kinsoku/>
        <w:wordWrap/>
        <w:overflowPunct/>
        <w:topLinePunct w:val="0"/>
        <w:bidi w:val="0"/>
        <w:adjustRightInd w:val="0"/>
        <w:snapToGrid w:val="0"/>
        <w:spacing w:beforeAutospacing="0" w:afterAutospacing="0" w:line="360" w:lineRule="auto"/>
        <w:ind w:right="0" w:rightChars="0"/>
        <w:jc w:val="center"/>
        <w:textAlignment w:val="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52CBAF30">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62851C9E">
      <w:pPr>
        <w:jc w:val="center"/>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lang w:eastAsia="zh-CN"/>
        </w:rPr>
        <w:t>政府采购合同书</w:t>
      </w:r>
    </w:p>
    <w:p w14:paraId="5573EA67">
      <w:pPr>
        <w:pStyle w:val="4"/>
        <w:ind w:left="0" w:leftChars="0" w:firstLine="0" w:firstLineChars="0"/>
        <w:jc w:val="left"/>
        <w:rPr>
          <w:rFonts w:hint="eastAsia" w:ascii="仿宋_GB2312" w:hAnsi="仿宋_GB2312" w:eastAsia="仿宋_GB2312" w:cs="仿宋_GB2312"/>
          <w:b w:val="0"/>
          <w:bCs w:val="0"/>
          <w:spacing w:val="-3"/>
          <w:sz w:val="32"/>
          <w:szCs w:val="32"/>
          <w:u w:val="single"/>
          <w:lang w:eastAsia="zh-CN"/>
        </w:rPr>
      </w:pPr>
      <w:r>
        <w:rPr>
          <w:rFonts w:hint="eastAsia" w:ascii="仿宋_GB2312" w:hAnsi="仿宋_GB2312" w:eastAsia="仿宋_GB2312" w:cs="仿宋_GB2312"/>
          <w:b/>
          <w:bCs/>
          <w:spacing w:val="-3"/>
          <w:sz w:val="32"/>
          <w:szCs w:val="32"/>
          <w:lang w:eastAsia="zh-CN"/>
        </w:rPr>
        <w:t>项目名称：</w:t>
      </w:r>
    </w:p>
    <w:p w14:paraId="7F9BF18E">
      <w:pPr>
        <w:jc w:val="left"/>
        <w:rPr>
          <w:rFonts w:hint="eastAsia" w:ascii="仿宋_GB2312" w:hAnsi="仿宋_GB2312" w:eastAsia="仿宋_GB2312" w:cs="仿宋_GB2312"/>
          <w:b/>
          <w:bCs/>
          <w:spacing w:val="-3"/>
          <w:sz w:val="32"/>
          <w:szCs w:val="32"/>
          <w:lang w:eastAsia="zh-CN"/>
        </w:rPr>
      </w:pPr>
    </w:p>
    <w:p w14:paraId="4382208F">
      <w:pPr>
        <w:jc w:val="left"/>
        <w:rPr>
          <w:rFonts w:hint="default" w:ascii="仿宋_GB2312" w:hAnsi="仿宋_GB2312" w:eastAsia="仿宋_GB2312" w:cs="仿宋_GB2312"/>
          <w:b/>
          <w:bCs/>
          <w:spacing w:val="-3"/>
          <w:sz w:val="32"/>
          <w:szCs w:val="32"/>
          <w:lang w:val="en-US" w:eastAsia="zh-CN"/>
        </w:rPr>
      </w:pPr>
      <w:r>
        <w:rPr>
          <w:rFonts w:hint="eastAsia" w:ascii="仿宋_GB2312" w:hAnsi="仿宋_GB2312" w:eastAsia="仿宋_GB2312" w:cs="仿宋_GB2312"/>
          <w:b/>
          <w:bCs/>
          <w:spacing w:val="-3"/>
          <w:sz w:val="32"/>
          <w:szCs w:val="32"/>
          <w:lang w:eastAsia="zh-CN"/>
        </w:rPr>
        <w:t>项目编号：</w:t>
      </w:r>
    </w:p>
    <w:p w14:paraId="755B8789">
      <w:pPr>
        <w:pStyle w:val="4"/>
        <w:ind w:left="0" w:leftChars="0" w:firstLine="0" w:firstLineChars="0"/>
        <w:jc w:val="left"/>
        <w:rPr>
          <w:rFonts w:hint="eastAsia" w:ascii="仿宋_GB2312" w:hAnsi="仿宋_GB2312" w:eastAsia="仿宋_GB2312" w:cs="仿宋_GB2312"/>
          <w:b/>
          <w:bCs/>
          <w:spacing w:val="-3"/>
          <w:sz w:val="32"/>
          <w:szCs w:val="32"/>
          <w:lang w:eastAsia="zh-CN"/>
        </w:rPr>
      </w:pPr>
    </w:p>
    <w:p w14:paraId="2AAA21BD">
      <w:pPr>
        <w:pStyle w:val="4"/>
        <w:ind w:left="0" w:leftChars="0" w:firstLine="0" w:firstLineChars="0"/>
        <w:jc w:val="left"/>
        <w:rPr>
          <w:rFonts w:hint="eastAsia" w:ascii="仿宋_GB2312" w:hAnsi="仿宋_GB2312" w:eastAsia="仿宋_GB2312" w:cs="仿宋_GB2312"/>
          <w:b w:val="0"/>
          <w:bCs w:val="0"/>
          <w:spacing w:val="-3"/>
          <w:sz w:val="32"/>
          <w:szCs w:val="32"/>
          <w:u w:val="single"/>
          <w:lang w:eastAsia="zh-CN"/>
        </w:rPr>
      </w:pPr>
      <w:r>
        <w:rPr>
          <w:rFonts w:hint="eastAsia" w:ascii="仿宋_GB2312" w:hAnsi="仿宋_GB2312" w:eastAsia="仿宋_GB2312" w:cs="仿宋_GB2312"/>
          <w:b/>
          <w:bCs/>
          <w:spacing w:val="-3"/>
          <w:sz w:val="32"/>
          <w:szCs w:val="32"/>
          <w:lang w:eastAsia="zh-CN"/>
        </w:rPr>
        <w:t>甲</w:t>
      </w:r>
      <w:r>
        <w:rPr>
          <w:rFonts w:hint="eastAsia" w:ascii="仿宋_GB2312" w:hAnsi="仿宋_GB2312" w:eastAsia="仿宋_GB2312" w:cs="仿宋_GB2312"/>
          <w:b/>
          <w:bCs/>
          <w:spacing w:val="-3"/>
          <w:sz w:val="32"/>
          <w:szCs w:val="32"/>
          <w:lang w:val="en-US" w:eastAsia="zh-CN"/>
        </w:rPr>
        <w:t xml:space="preserve">    </w:t>
      </w:r>
      <w:r>
        <w:rPr>
          <w:rFonts w:hint="eastAsia" w:ascii="仿宋_GB2312" w:hAnsi="仿宋_GB2312" w:eastAsia="仿宋_GB2312" w:cs="仿宋_GB2312"/>
          <w:b/>
          <w:bCs/>
          <w:spacing w:val="-3"/>
          <w:sz w:val="32"/>
          <w:szCs w:val="32"/>
          <w:lang w:eastAsia="zh-CN"/>
        </w:rPr>
        <w:t>方：</w:t>
      </w:r>
      <w:r>
        <w:rPr>
          <w:rFonts w:hint="eastAsia" w:ascii="仿宋_GB2312" w:hAnsi="仿宋_GB2312" w:eastAsia="仿宋_GB2312" w:cs="仿宋_GB2312"/>
          <w:b w:val="0"/>
          <w:bCs w:val="0"/>
          <w:spacing w:val="-3"/>
          <w:sz w:val="32"/>
          <w:szCs w:val="32"/>
          <w:u w:val="single"/>
          <w:lang w:eastAsia="zh-CN"/>
        </w:rPr>
        <w:t>杭州市上城区住房和城市建设局</w:t>
      </w:r>
    </w:p>
    <w:p w14:paraId="3434EAEA">
      <w:pPr>
        <w:pStyle w:val="2"/>
        <w:ind w:left="0" w:leftChars="0" w:firstLine="0" w:firstLineChars="0"/>
        <w:jc w:val="left"/>
        <w:rPr>
          <w:rFonts w:hint="eastAsia" w:ascii="仿宋_GB2312" w:hAnsi="仿宋_GB2312" w:eastAsia="仿宋_GB2312" w:cs="仿宋_GB2312"/>
          <w:b/>
          <w:bCs/>
          <w:spacing w:val="-3"/>
          <w:sz w:val="32"/>
          <w:szCs w:val="32"/>
          <w:lang w:eastAsia="zh-CN"/>
        </w:rPr>
      </w:pPr>
    </w:p>
    <w:p w14:paraId="7158834B">
      <w:pPr>
        <w:pStyle w:val="2"/>
        <w:ind w:left="0" w:leftChars="0" w:firstLine="0" w:firstLineChars="0"/>
        <w:jc w:val="left"/>
        <w:rPr>
          <w:rFonts w:hint="eastAsia" w:ascii="仿宋_GB2312" w:hAnsi="仿宋_GB2312" w:eastAsia="仿宋_GB2312" w:cs="仿宋_GB2312"/>
          <w:b/>
          <w:bCs/>
          <w:spacing w:val="-3"/>
          <w:sz w:val="32"/>
          <w:szCs w:val="32"/>
          <w:lang w:eastAsia="zh-CN"/>
        </w:rPr>
      </w:pPr>
      <w:r>
        <w:rPr>
          <w:rFonts w:hint="eastAsia" w:ascii="仿宋_GB2312" w:hAnsi="仿宋_GB2312" w:eastAsia="仿宋_GB2312" w:cs="仿宋_GB2312"/>
          <w:b/>
          <w:bCs/>
          <w:spacing w:val="-3"/>
          <w:sz w:val="32"/>
          <w:szCs w:val="32"/>
          <w:lang w:eastAsia="zh-CN"/>
        </w:rPr>
        <w:t>乙</w:t>
      </w:r>
      <w:r>
        <w:rPr>
          <w:rFonts w:hint="eastAsia" w:ascii="仿宋_GB2312" w:hAnsi="仿宋_GB2312" w:eastAsia="仿宋_GB2312" w:cs="仿宋_GB2312"/>
          <w:b/>
          <w:bCs/>
          <w:spacing w:val="-3"/>
          <w:sz w:val="32"/>
          <w:szCs w:val="32"/>
          <w:lang w:val="en-US" w:eastAsia="zh-CN"/>
        </w:rPr>
        <w:t xml:space="preserve">    </w:t>
      </w:r>
      <w:r>
        <w:rPr>
          <w:rFonts w:hint="eastAsia" w:ascii="仿宋_GB2312" w:hAnsi="仿宋_GB2312" w:eastAsia="仿宋_GB2312" w:cs="仿宋_GB2312"/>
          <w:b/>
          <w:bCs/>
          <w:spacing w:val="-3"/>
          <w:sz w:val="32"/>
          <w:szCs w:val="32"/>
          <w:lang w:eastAsia="zh-CN"/>
        </w:rPr>
        <w:t>方：</w:t>
      </w:r>
    </w:p>
    <w:p w14:paraId="151E6BBC">
      <w:pPr>
        <w:jc w:val="left"/>
        <w:rPr>
          <w:rFonts w:hint="eastAsia" w:ascii="仿宋_GB2312" w:hAnsi="仿宋_GB2312" w:eastAsia="仿宋_GB2312" w:cs="仿宋_GB2312"/>
          <w:b/>
          <w:bCs/>
          <w:spacing w:val="-3"/>
          <w:sz w:val="32"/>
          <w:szCs w:val="32"/>
          <w:lang w:eastAsia="zh-CN"/>
        </w:rPr>
      </w:pPr>
    </w:p>
    <w:p w14:paraId="619EB903">
      <w:pPr>
        <w:pStyle w:val="2"/>
        <w:ind w:left="0" w:leftChars="0" w:firstLine="0" w:firstLineChars="0"/>
        <w:jc w:val="left"/>
        <w:rPr>
          <w:rFonts w:hint="eastAsia" w:ascii="仿宋_GB2312" w:hAnsi="仿宋_GB2312" w:eastAsia="仿宋_GB2312" w:cs="仿宋_GB2312"/>
          <w:b w:val="0"/>
          <w:bCs w:val="0"/>
          <w:spacing w:val="-3"/>
          <w:sz w:val="32"/>
          <w:szCs w:val="32"/>
          <w:u w:val="single"/>
          <w:lang w:eastAsia="zh-CN"/>
        </w:rPr>
      </w:pPr>
      <w:r>
        <w:rPr>
          <w:rFonts w:hint="eastAsia" w:ascii="仿宋_GB2312" w:hAnsi="仿宋_GB2312" w:eastAsia="仿宋_GB2312" w:cs="仿宋_GB2312"/>
          <w:b/>
          <w:bCs/>
          <w:spacing w:val="-3"/>
          <w:sz w:val="32"/>
          <w:szCs w:val="32"/>
          <w:lang w:eastAsia="zh-CN"/>
        </w:rPr>
        <w:t>签订地点：</w:t>
      </w:r>
      <w:r>
        <w:rPr>
          <w:rFonts w:hint="eastAsia" w:ascii="仿宋_GB2312" w:hAnsi="仿宋_GB2312" w:eastAsia="仿宋_GB2312" w:cs="仿宋_GB2312"/>
          <w:b w:val="0"/>
          <w:bCs w:val="0"/>
          <w:spacing w:val="-3"/>
          <w:sz w:val="32"/>
          <w:szCs w:val="32"/>
          <w:u w:val="single"/>
          <w:lang w:eastAsia="zh-CN"/>
        </w:rPr>
        <w:t>浙江</w:t>
      </w:r>
      <w:r>
        <w:rPr>
          <w:rFonts w:hint="eastAsia" w:ascii="仿宋_GB2312" w:hAnsi="仿宋_GB2312" w:eastAsia="仿宋_GB2312" w:cs="仿宋_GB2312"/>
          <w:b w:val="0"/>
          <w:bCs w:val="0"/>
          <w:spacing w:val="-3"/>
          <w:sz w:val="32"/>
          <w:szCs w:val="32"/>
          <w:u w:val="none"/>
          <w:lang w:eastAsia="zh-CN"/>
        </w:rPr>
        <w:t>省</w:t>
      </w:r>
      <w:r>
        <w:rPr>
          <w:rFonts w:hint="eastAsia" w:ascii="仿宋_GB2312" w:hAnsi="仿宋_GB2312" w:eastAsia="仿宋_GB2312" w:cs="仿宋_GB2312"/>
          <w:b w:val="0"/>
          <w:bCs w:val="0"/>
          <w:spacing w:val="-3"/>
          <w:sz w:val="32"/>
          <w:szCs w:val="32"/>
          <w:u w:val="single"/>
          <w:lang w:eastAsia="zh-CN"/>
        </w:rPr>
        <w:t>杭州</w:t>
      </w:r>
      <w:r>
        <w:rPr>
          <w:rFonts w:hint="eastAsia" w:ascii="仿宋_GB2312" w:hAnsi="仿宋_GB2312" w:eastAsia="仿宋_GB2312" w:cs="仿宋_GB2312"/>
          <w:b w:val="0"/>
          <w:bCs w:val="0"/>
          <w:spacing w:val="-3"/>
          <w:sz w:val="32"/>
          <w:szCs w:val="32"/>
          <w:u w:val="none"/>
          <w:lang w:eastAsia="zh-CN"/>
        </w:rPr>
        <w:t>市</w:t>
      </w:r>
    </w:p>
    <w:p w14:paraId="19E3BDF1">
      <w:pPr>
        <w:pStyle w:val="4"/>
        <w:jc w:val="left"/>
        <w:rPr>
          <w:rFonts w:hint="eastAsia" w:ascii="仿宋_GB2312" w:hAnsi="仿宋_GB2312" w:eastAsia="仿宋_GB2312" w:cs="仿宋_GB2312"/>
          <w:b/>
          <w:bCs/>
          <w:spacing w:val="-3"/>
          <w:sz w:val="32"/>
          <w:szCs w:val="32"/>
          <w:lang w:eastAsia="zh-CN"/>
        </w:rPr>
      </w:pPr>
    </w:p>
    <w:p w14:paraId="147A2DEB">
      <w:pPr>
        <w:jc w:val="left"/>
        <w:rPr>
          <w:rFonts w:hint="default" w:ascii="仿宋_GB2312" w:hAnsi="仿宋_GB2312" w:eastAsia="仿宋_GB2312" w:cs="仿宋_GB2312"/>
          <w:b w:val="0"/>
          <w:bCs w:val="0"/>
          <w:sz w:val="32"/>
          <w:szCs w:val="32"/>
          <w:u w:val="single"/>
          <w:lang w:val="en-US" w:eastAsia="zh-CN"/>
        </w:rPr>
        <w:sectPr>
          <w:footerReference r:id="rId8" w:type="default"/>
          <w:pgSz w:w="11906" w:h="16838"/>
          <w:pgMar w:top="1247" w:right="1247" w:bottom="1247" w:left="1361" w:header="851" w:footer="992" w:gutter="57"/>
          <w:cols w:space="425" w:num="1"/>
          <w:rtlGutter w:val="0"/>
          <w:docGrid w:type="lines" w:linePitch="312" w:charSpace="0"/>
        </w:sectPr>
      </w:pPr>
      <w:r>
        <w:rPr>
          <w:rFonts w:hint="eastAsia" w:ascii="仿宋_GB2312" w:hAnsi="仿宋_GB2312" w:eastAsia="仿宋_GB2312" w:cs="仿宋_GB2312"/>
          <w:b/>
          <w:bCs/>
          <w:spacing w:val="-3"/>
          <w:sz w:val="32"/>
          <w:szCs w:val="32"/>
          <w:lang w:eastAsia="zh-CN"/>
        </w:rPr>
        <w:t>签订日期：</w:t>
      </w:r>
      <w:r>
        <w:rPr>
          <w:rFonts w:hint="eastAsia" w:ascii="仿宋_GB2312" w:hAnsi="仿宋_GB2312" w:eastAsia="仿宋_GB2312" w:cs="仿宋_GB2312"/>
          <w:b w:val="0"/>
          <w:bCs w:val="0"/>
          <w:spacing w:val="-3"/>
          <w:sz w:val="32"/>
          <w:szCs w:val="32"/>
          <w:u w:val="single"/>
          <w:lang w:val="en-US" w:eastAsia="zh-CN"/>
        </w:rPr>
        <w:t>2025年</w:t>
      </w:r>
      <w:r>
        <w:rPr>
          <w:rFonts w:hint="default" w:ascii="仿宋_GB2312" w:hAnsi="仿宋_GB2312" w:eastAsia="仿宋_GB2312" w:cs="仿宋_GB2312"/>
          <w:b w:val="0"/>
          <w:bCs w:val="0"/>
          <w:spacing w:val="-3"/>
          <w:sz w:val="32"/>
          <w:szCs w:val="32"/>
          <w:u w:val="single"/>
          <w:lang w:eastAsia="zh-CN"/>
          <w:woUserID w:val="1"/>
        </w:rPr>
        <w:t xml:space="preserve">  </w:t>
      </w:r>
      <w:r>
        <w:rPr>
          <w:rFonts w:hint="eastAsia" w:ascii="仿宋_GB2312" w:hAnsi="仿宋_GB2312" w:eastAsia="仿宋_GB2312" w:cs="仿宋_GB2312"/>
          <w:b w:val="0"/>
          <w:bCs w:val="0"/>
          <w:spacing w:val="-3"/>
          <w:sz w:val="32"/>
          <w:szCs w:val="32"/>
          <w:u w:val="single"/>
          <w:lang w:val="en-US" w:eastAsia="zh-CN"/>
        </w:rPr>
        <w:t>月</w:t>
      </w:r>
      <w:r>
        <w:rPr>
          <w:rFonts w:hint="default" w:ascii="仿宋_GB2312" w:hAnsi="仿宋_GB2312" w:eastAsia="仿宋_GB2312" w:cs="仿宋_GB2312"/>
          <w:b w:val="0"/>
          <w:bCs w:val="0"/>
          <w:spacing w:val="-3"/>
          <w:sz w:val="32"/>
          <w:szCs w:val="32"/>
          <w:u w:val="single"/>
          <w:lang w:eastAsia="zh-CN"/>
          <w:woUserID w:val="1"/>
        </w:rPr>
        <w:t xml:space="preserve">  </w:t>
      </w:r>
      <w:r>
        <w:rPr>
          <w:rFonts w:hint="eastAsia" w:ascii="仿宋_GB2312" w:hAnsi="仿宋_GB2312" w:eastAsia="仿宋_GB2312" w:cs="仿宋_GB2312"/>
          <w:b w:val="0"/>
          <w:bCs w:val="0"/>
          <w:spacing w:val="-3"/>
          <w:sz w:val="32"/>
          <w:szCs w:val="32"/>
          <w:u w:val="single"/>
          <w:lang w:val="en-US" w:eastAsia="zh-CN"/>
        </w:rPr>
        <w:t>日</w:t>
      </w:r>
    </w:p>
    <w:p w14:paraId="7161D569">
      <w:pPr>
        <w:keepNext w:val="0"/>
        <w:keepLines w:val="0"/>
        <w:pageBreakBefore w:val="0"/>
        <w:widowControl w:val="0"/>
        <w:kinsoku/>
        <w:wordWrap/>
        <w:overflowPunct/>
        <w:topLinePunct w:val="0"/>
        <w:autoSpaceDE/>
        <w:autoSpaceDN/>
        <w:bidi w:val="0"/>
        <w:adjustRightInd w:val="0"/>
        <w:snapToGrid w:val="0"/>
        <w:spacing w:line="360" w:lineRule="auto"/>
        <w:ind w:left="0" w:right="0"/>
        <w:jc w:val="left"/>
        <w:textAlignment w:val="auto"/>
        <w:rPr>
          <w:rFonts w:hint="eastAsia" w:ascii="宋体" w:hAnsi="宋体" w:cs="宋体"/>
          <w:spacing w:val="-5"/>
          <w:sz w:val="24"/>
        </w:rPr>
      </w:pPr>
      <w:r>
        <w:rPr>
          <w:rFonts w:hint="eastAsia" w:ascii="宋体" w:hAnsi="宋体" w:cs="宋体"/>
          <w:spacing w:val="-5"/>
          <w:sz w:val="24"/>
        </w:rPr>
        <w:t>聘请人（甲方） ：杭州市上城区住房和城市建设局</w:t>
      </w:r>
    </w:p>
    <w:p w14:paraId="57154AEF">
      <w:pPr>
        <w:keepNext w:val="0"/>
        <w:keepLines w:val="0"/>
        <w:pageBreakBefore w:val="0"/>
        <w:widowControl w:val="0"/>
        <w:kinsoku/>
        <w:wordWrap/>
        <w:overflowPunct/>
        <w:topLinePunct w:val="0"/>
        <w:autoSpaceDE/>
        <w:autoSpaceDN/>
        <w:bidi w:val="0"/>
        <w:adjustRightInd w:val="0"/>
        <w:snapToGrid w:val="0"/>
        <w:spacing w:line="360" w:lineRule="auto"/>
        <w:ind w:left="0" w:right="0"/>
        <w:jc w:val="left"/>
        <w:textAlignment w:val="auto"/>
        <w:rPr>
          <w:rFonts w:hint="eastAsia" w:ascii="宋体" w:hAnsi="宋体" w:cs="宋体"/>
          <w:spacing w:val="-5"/>
          <w:sz w:val="24"/>
        </w:rPr>
      </w:pPr>
      <w:r>
        <w:rPr>
          <w:rFonts w:hint="eastAsia" w:ascii="宋体" w:hAnsi="宋体" w:cs="宋体"/>
          <w:spacing w:val="-5"/>
          <w:sz w:val="24"/>
        </w:rPr>
        <w:t xml:space="preserve">地址： </w:t>
      </w:r>
      <w:r>
        <w:rPr>
          <w:rFonts w:hint="eastAsia" w:ascii="宋体" w:hAnsi="宋体" w:cs="宋体"/>
          <w:spacing w:val="-5"/>
          <w:sz w:val="24"/>
          <w:lang w:eastAsia="zh-CN"/>
        </w:rPr>
        <w:t>上城区望潮路</w:t>
      </w:r>
      <w:r>
        <w:rPr>
          <w:rFonts w:hint="eastAsia" w:ascii="宋体" w:hAnsi="宋体" w:cs="宋体"/>
          <w:spacing w:val="-5"/>
          <w:sz w:val="24"/>
          <w:lang w:val="en-US" w:eastAsia="zh-CN"/>
        </w:rPr>
        <w:t>77号东楼</w:t>
      </w:r>
    </w:p>
    <w:p w14:paraId="1CE5C48B">
      <w:pPr>
        <w:keepNext w:val="0"/>
        <w:keepLines w:val="0"/>
        <w:pageBreakBefore w:val="0"/>
        <w:widowControl w:val="0"/>
        <w:kinsoku/>
        <w:wordWrap/>
        <w:overflowPunct/>
        <w:topLinePunct w:val="0"/>
        <w:autoSpaceDE/>
        <w:autoSpaceDN/>
        <w:bidi w:val="0"/>
        <w:adjustRightInd w:val="0"/>
        <w:snapToGrid w:val="0"/>
        <w:spacing w:line="360" w:lineRule="auto"/>
        <w:ind w:left="0" w:right="0"/>
        <w:jc w:val="left"/>
        <w:textAlignment w:val="auto"/>
        <w:rPr>
          <w:rFonts w:hint="eastAsia" w:ascii="宋体" w:hAnsi="宋体" w:cs="宋体"/>
          <w:spacing w:val="-5"/>
          <w:sz w:val="24"/>
        </w:rPr>
      </w:pPr>
      <w:r>
        <w:rPr>
          <w:rFonts w:hint="eastAsia" w:ascii="宋体" w:hAnsi="宋体" w:cs="宋体"/>
          <w:spacing w:val="-5"/>
          <w:sz w:val="24"/>
        </w:rPr>
        <w:t xml:space="preserve">受聘执业机构（乙方） ：  </w:t>
      </w:r>
    </w:p>
    <w:p w14:paraId="0036B051">
      <w:pPr>
        <w:keepNext w:val="0"/>
        <w:keepLines w:val="0"/>
        <w:pageBreakBefore w:val="0"/>
        <w:widowControl w:val="0"/>
        <w:kinsoku/>
        <w:wordWrap/>
        <w:overflowPunct/>
        <w:topLinePunct w:val="0"/>
        <w:autoSpaceDE/>
        <w:autoSpaceDN/>
        <w:bidi w:val="0"/>
        <w:adjustRightInd w:val="0"/>
        <w:snapToGrid w:val="0"/>
        <w:spacing w:line="360" w:lineRule="auto"/>
        <w:ind w:left="0" w:right="0"/>
        <w:jc w:val="left"/>
        <w:textAlignment w:val="auto"/>
        <w:rPr>
          <w:rFonts w:hint="default" w:ascii="宋体" w:hAnsi="宋体" w:cs="宋体"/>
          <w:spacing w:val="-5"/>
          <w:sz w:val="24"/>
          <w:lang w:val="en-US"/>
        </w:rPr>
      </w:pPr>
      <w:r>
        <w:rPr>
          <w:rFonts w:hint="eastAsia" w:ascii="宋体" w:hAnsi="宋体" w:cs="宋体"/>
          <w:spacing w:val="-5"/>
          <w:sz w:val="24"/>
        </w:rPr>
        <w:t xml:space="preserve">地址： </w:t>
      </w:r>
    </w:p>
    <w:p w14:paraId="488ECD75">
      <w:pPr>
        <w:keepNext w:val="0"/>
        <w:keepLines w:val="0"/>
        <w:pageBreakBefore w:val="0"/>
        <w:widowControl w:val="0"/>
        <w:kinsoku/>
        <w:wordWrap/>
        <w:overflowPunct/>
        <w:topLinePunct w:val="0"/>
        <w:autoSpaceDE/>
        <w:autoSpaceDN/>
        <w:bidi w:val="0"/>
        <w:adjustRightInd w:val="0"/>
        <w:snapToGrid w:val="0"/>
        <w:spacing w:line="360" w:lineRule="auto"/>
        <w:ind w:right="0" w:firstLine="460" w:firstLineChars="200"/>
        <w:jc w:val="left"/>
        <w:textAlignment w:val="auto"/>
        <w:rPr>
          <w:rFonts w:hint="eastAsia" w:ascii="宋体" w:hAnsi="宋体" w:cs="宋体"/>
          <w:sz w:val="24"/>
        </w:rPr>
      </w:pPr>
      <w:r>
        <w:rPr>
          <w:rFonts w:hint="eastAsia" w:ascii="宋体" w:hAnsi="宋体" w:cs="宋体"/>
          <w:spacing w:val="-5"/>
          <w:sz w:val="24"/>
        </w:rPr>
        <w:t>甲、乙双方依据《中华人民共和国律师法》</w:t>
      </w:r>
      <w:r>
        <w:rPr>
          <w:rFonts w:hint="eastAsia" w:ascii="宋体" w:hAnsi="宋体" w:cs="宋体"/>
          <w:spacing w:val="12"/>
          <w:sz w:val="24"/>
        </w:rPr>
        <w:t xml:space="preserve"> </w:t>
      </w:r>
      <w:r>
        <w:rPr>
          <w:rFonts w:hint="eastAsia" w:ascii="宋体" w:hAnsi="宋体" w:cs="宋体"/>
          <w:spacing w:val="-5"/>
          <w:sz w:val="24"/>
        </w:rPr>
        <w:t>和其它相关法律、法规，就聘请常年法律顾问提供法</w:t>
      </w:r>
      <w:r>
        <w:rPr>
          <w:rFonts w:hint="eastAsia" w:ascii="宋体" w:hAnsi="宋体" w:cs="宋体"/>
          <w:sz w:val="24"/>
        </w:rPr>
        <w:t xml:space="preserve"> </w:t>
      </w:r>
      <w:r>
        <w:rPr>
          <w:rFonts w:hint="eastAsia" w:ascii="宋体" w:hAnsi="宋体" w:cs="宋体"/>
          <w:spacing w:val="-1"/>
          <w:sz w:val="24"/>
        </w:rPr>
        <w:t>律服务事项达成一致，订立本合同。</w:t>
      </w:r>
    </w:p>
    <w:p w14:paraId="3AE57F8D">
      <w:pPr>
        <w:keepNext w:val="0"/>
        <w:keepLines w:val="0"/>
        <w:pageBreakBefore w:val="0"/>
        <w:widowControl w:val="0"/>
        <w:kinsoku/>
        <w:wordWrap/>
        <w:overflowPunct/>
        <w:topLinePunct w:val="0"/>
        <w:autoSpaceDE/>
        <w:autoSpaceDN/>
        <w:bidi w:val="0"/>
        <w:adjustRightInd w:val="0"/>
        <w:snapToGrid w:val="0"/>
        <w:spacing w:line="360" w:lineRule="auto"/>
        <w:ind w:right="0"/>
        <w:jc w:val="left"/>
        <w:textAlignment w:val="auto"/>
        <w:outlineLvl w:val="1"/>
        <w:rPr>
          <w:rFonts w:hint="eastAsia" w:ascii="宋体" w:hAnsi="宋体" w:cs="宋体"/>
          <w:b/>
          <w:bCs/>
          <w:spacing w:val="-2"/>
          <w:sz w:val="24"/>
        </w:rPr>
      </w:pPr>
      <w:r>
        <w:rPr>
          <w:rFonts w:hint="eastAsia" w:ascii="宋体" w:hAnsi="宋体" w:cs="宋体"/>
          <w:b/>
          <w:bCs/>
          <w:spacing w:val="-2"/>
          <w:sz w:val="24"/>
        </w:rPr>
        <w:t>一、服务内容</w:t>
      </w:r>
    </w:p>
    <w:p w14:paraId="3F2B4463">
      <w:pPr>
        <w:keepNext w:val="0"/>
        <w:keepLines w:val="0"/>
        <w:pageBreakBefore w:val="0"/>
        <w:widowControl w:val="0"/>
        <w:kinsoku/>
        <w:wordWrap/>
        <w:overflowPunct/>
        <w:topLinePunct w:val="0"/>
        <w:autoSpaceDE/>
        <w:autoSpaceDN/>
        <w:bidi w:val="0"/>
        <w:adjustRightInd w:val="0"/>
        <w:snapToGrid w:val="0"/>
        <w:spacing w:line="360" w:lineRule="auto"/>
        <w:ind w:left="0" w:right="0" w:firstLine="468" w:firstLineChars="200"/>
        <w:textAlignment w:val="auto"/>
        <w:rPr>
          <w:rFonts w:hint="eastAsia" w:ascii="宋体" w:hAnsi="宋体" w:cs="宋体"/>
          <w:color w:val="000000" w:themeColor="text1"/>
          <w:spacing w:val="-3"/>
          <w:position w:val="1"/>
          <w:sz w:val="24"/>
          <w:highlight w:val="none"/>
          <w:u w:val="none"/>
          <w14:textFill>
            <w14:solidFill>
              <w14:schemeClr w14:val="tx1"/>
            </w14:solidFill>
          </w14:textFill>
        </w:rPr>
      </w:pPr>
      <w:r>
        <w:rPr>
          <w:rFonts w:hint="eastAsia" w:ascii="宋体" w:hAnsi="宋体" w:cs="宋体"/>
          <w:color w:val="000000" w:themeColor="text1"/>
          <w:spacing w:val="-3"/>
          <w:position w:val="1"/>
          <w:sz w:val="24"/>
          <w:highlight w:val="none"/>
          <w:u w:val="none"/>
          <w14:textFill>
            <w14:solidFill>
              <w14:schemeClr w14:val="tx1"/>
            </w14:solidFill>
          </w14:textFill>
        </w:rPr>
        <w:t>为杭州市上城区住房和</w:t>
      </w:r>
      <w:r>
        <w:rPr>
          <w:rFonts w:hint="eastAsia" w:ascii="宋体" w:hAnsi="宋体" w:cs="宋体"/>
          <w:color w:val="000000" w:themeColor="text1"/>
          <w:spacing w:val="-3"/>
          <w:position w:val="1"/>
          <w:sz w:val="24"/>
          <w:highlight w:val="none"/>
          <w:u w:val="none"/>
          <w:lang w:val="en-US" w:eastAsia="zh-CN"/>
          <w14:textFill>
            <w14:solidFill>
              <w14:schemeClr w14:val="tx1"/>
            </w14:solidFill>
          </w14:textFill>
        </w:rPr>
        <w:t>城市建设局</w:t>
      </w:r>
      <w:r>
        <w:rPr>
          <w:rFonts w:hint="eastAsia" w:ascii="宋体" w:hAnsi="宋体" w:cs="宋体"/>
          <w:color w:val="000000" w:themeColor="text1"/>
          <w:spacing w:val="-3"/>
          <w:position w:val="1"/>
          <w:sz w:val="24"/>
          <w:highlight w:val="none"/>
          <w:u w:val="none"/>
          <w14:textFill>
            <w14:solidFill>
              <w14:schemeClr w14:val="tx1"/>
            </w14:solidFill>
          </w14:textFill>
        </w:rPr>
        <w:t>以及局机关下属单位提供</w:t>
      </w:r>
      <w:r>
        <w:rPr>
          <w:rFonts w:hint="eastAsia" w:ascii="宋体" w:hAnsi="宋体" w:cs="宋体"/>
          <w:color w:val="000000" w:themeColor="text1"/>
          <w:spacing w:val="-3"/>
          <w:position w:val="1"/>
          <w:sz w:val="24"/>
          <w:highlight w:val="none"/>
          <w:u w:val="none"/>
          <w:lang w:eastAsia="zh-CN"/>
          <w14:textFill>
            <w14:solidFill>
              <w14:schemeClr w14:val="tx1"/>
            </w14:solidFill>
          </w14:textFill>
        </w:rPr>
        <w:t>不仅限于</w:t>
      </w:r>
      <w:r>
        <w:rPr>
          <w:rFonts w:hint="eastAsia" w:ascii="宋体" w:hAnsi="宋体" w:cs="宋体"/>
          <w:spacing w:val="-3"/>
          <w:position w:val="1"/>
          <w:sz w:val="24"/>
        </w:rPr>
        <w:t>建设类、</w:t>
      </w:r>
      <w:r>
        <w:rPr>
          <w:rFonts w:hint="eastAsia" w:ascii="宋体" w:hAnsi="宋体" w:cs="宋体"/>
          <w:sz w:val="24"/>
        </w:rPr>
        <w:t>房产类、绿化</w:t>
      </w:r>
      <w:r>
        <w:rPr>
          <w:rFonts w:hint="eastAsia" w:ascii="宋体" w:hAnsi="宋体" w:cs="宋体"/>
          <w:spacing w:val="-3"/>
          <w:position w:val="1"/>
          <w:sz w:val="24"/>
        </w:rPr>
        <w:t>类法律服务</w:t>
      </w:r>
      <w:r>
        <w:rPr>
          <w:rFonts w:hint="eastAsia" w:ascii="宋体" w:hAnsi="宋体" w:cs="宋体"/>
          <w:color w:val="000000" w:themeColor="text1"/>
          <w:spacing w:val="-3"/>
          <w:position w:val="1"/>
          <w:sz w:val="24"/>
          <w:highlight w:val="none"/>
          <w:u w:val="none"/>
          <w14:textFill>
            <w14:solidFill>
              <w14:schemeClr w14:val="tx1"/>
            </w14:solidFill>
          </w14:textFill>
        </w:rPr>
        <w:t>及行政复议、行政诉讼、调解或仲裁案件、信访案件、法律文件等，以及上级部</w:t>
      </w:r>
      <w:r>
        <w:rPr>
          <w:rFonts w:hint="eastAsia" w:ascii="宋体" w:hAnsi="宋体" w:cs="宋体"/>
          <w:color w:val="000000" w:themeColor="text1"/>
          <w:spacing w:val="-3"/>
          <w:position w:val="1"/>
          <w:sz w:val="24"/>
          <w:highlight w:val="none"/>
          <w:u w:val="none"/>
          <w:lang w:val="en-US" w:eastAsia="zh-CN"/>
          <w14:textFill>
            <w14:solidFill>
              <w14:schemeClr w14:val="tx1"/>
            </w14:solidFill>
          </w14:textFill>
        </w:rPr>
        <w:t>门</w:t>
      </w:r>
      <w:r>
        <w:rPr>
          <w:rFonts w:hint="eastAsia" w:ascii="宋体" w:hAnsi="宋体" w:cs="宋体"/>
          <w:color w:val="000000" w:themeColor="text1"/>
          <w:spacing w:val="-3"/>
          <w:position w:val="1"/>
          <w:sz w:val="24"/>
          <w:highlight w:val="none"/>
          <w:u w:val="none"/>
          <w14:textFill>
            <w14:solidFill>
              <w14:schemeClr w14:val="tx1"/>
            </w14:solidFill>
          </w14:textFill>
        </w:rPr>
        <w:t>交办的案件和其他采购人移交的需要共同协助、配合一起完成的</w:t>
      </w:r>
      <w:r>
        <w:rPr>
          <w:rFonts w:hint="eastAsia" w:ascii="宋体" w:hAnsi="宋体" w:cs="宋体"/>
          <w:color w:val="000000" w:themeColor="text1"/>
          <w:spacing w:val="-3"/>
          <w:position w:val="1"/>
          <w:sz w:val="24"/>
          <w:highlight w:val="none"/>
          <w:u w:val="none"/>
          <w:lang w:eastAsia="zh-CN"/>
          <w14:textFill>
            <w14:solidFill>
              <w14:schemeClr w14:val="tx1"/>
            </w14:solidFill>
          </w14:textFill>
        </w:rPr>
        <w:t>不仅限于</w:t>
      </w:r>
      <w:r>
        <w:rPr>
          <w:rFonts w:hint="eastAsia" w:ascii="宋体" w:hAnsi="宋体" w:cs="宋体"/>
          <w:spacing w:val="-3"/>
          <w:position w:val="1"/>
          <w:sz w:val="24"/>
        </w:rPr>
        <w:t>建设类</w:t>
      </w:r>
      <w:r>
        <w:rPr>
          <w:rFonts w:hint="default" w:ascii="宋体" w:hAnsi="宋体" w:cs="宋体"/>
          <w:spacing w:val="-3"/>
          <w:position w:val="1"/>
          <w:sz w:val="24"/>
          <w:woUserID w:val="2"/>
        </w:rPr>
        <w:t>、</w:t>
      </w:r>
      <w:r>
        <w:rPr>
          <w:rFonts w:hint="eastAsia" w:ascii="宋体" w:hAnsi="宋体" w:cs="宋体"/>
          <w:sz w:val="24"/>
        </w:rPr>
        <w:t>房产类、绿化</w:t>
      </w:r>
      <w:r>
        <w:rPr>
          <w:rFonts w:hint="eastAsia" w:ascii="宋体" w:hAnsi="宋体" w:cs="宋体"/>
          <w:spacing w:val="-3"/>
          <w:position w:val="1"/>
          <w:sz w:val="24"/>
        </w:rPr>
        <w:t>类法律服务</w:t>
      </w:r>
      <w:r>
        <w:rPr>
          <w:rFonts w:hint="eastAsia" w:ascii="宋体" w:hAnsi="宋体" w:cs="宋体"/>
          <w:color w:val="000000" w:themeColor="text1"/>
          <w:spacing w:val="-3"/>
          <w:position w:val="1"/>
          <w:sz w:val="24"/>
          <w:highlight w:val="none"/>
          <w:u w:val="none"/>
          <w14:textFill>
            <w14:solidFill>
              <w14:schemeClr w14:val="tx1"/>
            </w14:solidFill>
          </w14:textFill>
        </w:rPr>
        <w:t>等法律服务。</w:t>
      </w:r>
    </w:p>
    <w:p w14:paraId="582B11CB">
      <w:pPr>
        <w:keepNext w:val="0"/>
        <w:keepLines w:val="0"/>
        <w:pageBreakBefore w:val="0"/>
        <w:widowControl w:val="0"/>
        <w:kinsoku/>
        <w:wordWrap/>
        <w:overflowPunct/>
        <w:topLinePunct w:val="0"/>
        <w:autoSpaceDE/>
        <w:autoSpaceDN/>
        <w:bidi w:val="0"/>
        <w:adjustRightInd w:val="0"/>
        <w:snapToGrid w:val="0"/>
        <w:spacing w:line="360" w:lineRule="auto"/>
        <w:ind w:right="0"/>
        <w:jc w:val="left"/>
        <w:textAlignment w:val="auto"/>
        <w:outlineLvl w:val="1"/>
        <w:rPr>
          <w:rFonts w:hint="eastAsia" w:ascii="宋体" w:hAnsi="宋体" w:cs="宋体"/>
          <w:b/>
          <w:bCs/>
          <w:sz w:val="24"/>
        </w:rPr>
      </w:pPr>
      <w:r>
        <w:rPr>
          <w:rFonts w:hint="eastAsia" w:ascii="宋体" w:hAnsi="宋体" w:cs="宋体"/>
          <w:b/>
          <w:bCs/>
          <w:spacing w:val="-2"/>
          <w:sz w:val="24"/>
        </w:rPr>
        <w:t>二、具体服务要求</w:t>
      </w:r>
    </w:p>
    <w:p w14:paraId="70750FA2">
      <w:pPr>
        <w:keepNext w:val="0"/>
        <w:keepLines w:val="0"/>
        <w:pageBreakBefore w:val="0"/>
        <w:widowControl w:val="0"/>
        <w:kinsoku/>
        <w:wordWrap/>
        <w:overflowPunct/>
        <w:topLinePunct w:val="0"/>
        <w:autoSpaceDE/>
        <w:autoSpaceDN/>
        <w:bidi w:val="0"/>
        <w:adjustRightInd w:val="0"/>
        <w:snapToGrid w:val="0"/>
        <w:spacing w:line="360" w:lineRule="auto"/>
        <w:ind w:right="0" w:firstLine="468" w:firstLineChars="200"/>
        <w:textAlignment w:val="auto"/>
        <w:outlineLvl w:val="1"/>
        <w:rPr>
          <w:rFonts w:hint="eastAsia" w:ascii="宋体" w:hAnsi="宋体" w:cs="宋体"/>
          <w:sz w:val="24"/>
        </w:rPr>
      </w:pPr>
      <w:r>
        <w:rPr>
          <w:rFonts w:hint="eastAsia" w:ascii="宋体" w:hAnsi="宋体" w:cs="宋体"/>
          <w:spacing w:val="-3"/>
          <w:position w:val="1"/>
          <w:sz w:val="24"/>
        </w:rPr>
        <w:t>（一）项目内容范围</w:t>
      </w:r>
    </w:p>
    <w:p w14:paraId="046F10A6">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（1）为甲方的重大行政决策提供法律咨询；并就决策的合法性提出意见或进行论证；</w:t>
      </w:r>
    </w:p>
    <w:p w14:paraId="3A7E88D6">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（2）对甲方制定的规范性文件提供法律咨询或提出修改意见；</w:t>
      </w:r>
    </w:p>
    <w:p w14:paraId="57BAD119">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（3）为甲方作出行政许可等具体行政行为提供法律咨询、意见，确保依法行政、合理行政、程序正当；</w:t>
      </w:r>
    </w:p>
    <w:p w14:paraId="1498209F">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（4）受甲方委托参与有关行政复议、行政诉讼、调解或仲裁案件；</w:t>
      </w:r>
    </w:p>
    <w:p w14:paraId="04DC22A5">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（5）起草、审核、修改协议、合同、章程等各类法律文件；</w:t>
      </w:r>
    </w:p>
    <w:p w14:paraId="3754F826">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（6）受委托对涉法事件进行法律风险评估，并协助处理涉法信访事件；</w:t>
      </w:r>
    </w:p>
    <w:p w14:paraId="1C437F10">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（7）承担相应的法律援助任务；</w:t>
      </w:r>
    </w:p>
    <w:p w14:paraId="4CB7A21E">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（8）不定期对甲方执法人员进行法制宣传教育；</w:t>
      </w:r>
    </w:p>
    <w:p w14:paraId="144D501F">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eastAsia" w:ascii="宋体" w:hAnsi="宋体" w:cs="宋体"/>
          <w:sz w:val="24"/>
        </w:rPr>
      </w:pPr>
      <w:r>
        <w:rPr>
          <w:rFonts w:hint="eastAsia" w:ascii="宋体" w:hAnsi="宋体" w:cs="宋体"/>
          <w:sz w:val="24"/>
        </w:rPr>
        <w:t>（9）协助甲方委托的其他涉法事务。</w:t>
      </w:r>
    </w:p>
    <w:p w14:paraId="5C2472A5">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left"/>
        <w:textAlignment w:val="auto"/>
        <w:rPr>
          <w:rFonts w:hint="default" w:eastAsia="宋体"/>
          <w:color w:val="000000" w:themeColor="text1"/>
          <w:u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（10）有关不仅限于消防、建筑市场管理、建设审批的政策制定、行政复议、行政诉讼、民事诉讼、调解或仲裁案件、法律文件等，</w:t>
      </w:r>
      <w:r>
        <w:rPr>
          <w:rFonts w:hint="eastAsia" w:ascii="宋体" w:hAnsi="宋体" w:cs="宋体"/>
          <w:color w:val="000000" w:themeColor="text1"/>
          <w:spacing w:val="-3"/>
          <w:position w:val="1"/>
          <w:sz w:val="24"/>
          <w:highlight w:val="none"/>
          <w14:textFill>
            <w14:solidFill>
              <w14:schemeClr w14:val="tx1"/>
            </w14:solidFill>
          </w14:textFill>
        </w:rPr>
        <w:t>以及上级部门交办的案件和</w:t>
      </w:r>
      <w:r>
        <w:rPr>
          <w:rFonts w:hint="eastAsia" w:ascii="宋体" w:hAnsi="宋体" w:cs="宋体"/>
          <w:color w:val="000000" w:themeColor="text1"/>
          <w:sz w:val="24"/>
          <w:highlight w:val="none"/>
          <w14:textFill>
            <w14:solidFill>
              <w14:schemeClr w14:val="tx1"/>
            </w14:solidFill>
          </w14:textFill>
        </w:rPr>
        <w:t>采购人交办的其他所有法律服务工作。</w:t>
      </w:r>
    </w:p>
    <w:p w14:paraId="38CD4DE8">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textAlignment w:val="auto"/>
        <w:rPr>
          <w:rFonts w:hint="eastAsia" w:ascii="宋体" w:hAnsi="宋体" w:cs="宋体"/>
          <w:sz w:val="24"/>
        </w:rPr>
      </w:pPr>
      <w:r>
        <w:rPr>
          <w:rFonts w:hint="eastAsia" w:ascii="宋体" w:hAnsi="宋体" w:cs="宋体"/>
          <w:sz w:val="24"/>
        </w:rPr>
        <w:t>（二）服务要求</w:t>
      </w:r>
    </w:p>
    <w:p w14:paraId="10996B09">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textAlignment w:val="auto"/>
        <w:rPr>
          <w:rFonts w:hint="eastAsia" w:ascii="宋体" w:hAnsi="宋体" w:cs="宋体"/>
          <w:b/>
          <w:bCs/>
          <w:sz w:val="24"/>
        </w:rPr>
      </w:pPr>
      <w:r>
        <w:rPr>
          <w:rFonts w:hint="eastAsia" w:ascii="宋体" w:hAnsi="宋体" w:cs="宋体"/>
          <w:b/>
          <w:bCs/>
          <w:sz w:val="24"/>
        </w:rPr>
        <w:t>1、服务对象</w:t>
      </w:r>
    </w:p>
    <w:p w14:paraId="20485242">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宋体"/>
          <w:sz w:val="24"/>
          <w:woUserID w:val="2"/>
        </w:rPr>
      </w:pPr>
      <w:r>
        <w:rPr>
          <w:rFonts w:hint="eastAsia" w:ascii="宋体" w:hAnsi="宋体" w:cs="宋体"/>
          <w:sz w:val="24"/>
          <w:woUserID w:val="2"/>
        </w:rPr>
        <w:t>局机关杭州市上城区住房和城市建设局，以及局机关下属单位杭州市上城区城市发展研究中心、杭州市上城区建设工程质量安全监督站、杭州市上城区房屋安全和租赁事务中心</w:t>
      </w:r>
      <w:r>
        <w:rPr>
          <w:rFonts w:hint="eastAsia" w:ascii="宋体" w:hAnsi="宋体" w:cs="宋体"/>
          <w:color w:val="417FF9"/>
          <w:sz w:val="24"/>
          <w:highlight w:val="none"/>
          <w:woUserID w:val="2"/>
        </w:rPr>
        <w:t>、</w:t>
      </w:r>
      <w:r>
        <w:rPr>
          <w:rFonts w:hint="eastAsia" w:ascii="宋体" w:hAnsi="宋体" w:cs="宋体"/>
          <w:sz w:val="24"/>
          <w:woUserID w:val="2"/>
        </w:rPr>
        <w:t>杭州市上城区国有土地房屋征收补偿事务中心、杭州市上城区建设公有资产管理中心、杭州市上城区历史文化街区和历史建筑保护服务中心、杭州市上城区园林绿化发展中心、杭州市上城区城市基础设施建设中心、杭州市上城区</w:t>
      </w:r>
      <w:r>
        <w:rPr>
          <w:rFonts w:hint="default" w:ascii="宋体" w:hAnsi="宋体" w:cs="宋体"/>
          <w:sz w:val="24"/>
          <w:woUserID w:val="2"/>
        </w:rPr>
        <w:t>直管公房</w:t>
      </w:r>
      <w:r>
        <w:rPr>
          <w:rFonts w:hint="eastAsia" w:ascii="宋体" w:hAnsi="宋体" w:cs="宋体"/>
          <w:sz w:val="24"/>
          <w:woUserID w:val="2"/>
        </w:rPr>
        <w:t>保障服务中心</w:t>
      </w:r>
      <w:r>
        <w:rPr>
          <w:rFonts w:hint="eastAsia" w:ascii="宋体" w:hAnsi="宋体" w:cs="宋体"/>
          <w:color w:val="417FF9"/>
          <w:sz w:val="24"/>
          <w:woUserID w:val="2"/>
        </w:rPr>
        <w:t>、</w:t>
      </w:r>
      <w:r>
        <w:rPr>
          <w:rFonts w:hint="eastAsia" w:ascii="宋体" w:hAnsi="宋体" w:cs="宋体"/>
          <w:sz w:val="24"/>
          <w:woUserID w:val="2"/>
        </w:rPr>
        <w:t>杭州市上城区农居建设管理中心等。</w:t>
      </w:r>
    </w:p>
    <w:p w14:paraId="744BCD83">
      <w:pPr>
        <w:keepNext w:val="0"/>
        <w:keepLines w:val="0"/>
        <w:pageBreakBefore w:val="0"/>
        <w:widowControl w:val="0"/>
        <w:kinsoku/>
        <w:wordWrap/>
        <w:overflowPunct/>
        <w:topLinePunct w:val="0"/>
        <w:autoSpaceDE/>
        <w:autoSpaceDN/>
        <w:bidi w:val="0"/>
        <w:adjustRightInd w:val="0"/>
        <w:snapToGrid w:val="0"/>
        <w:spacing w:line="360" w:lineRule="auto"/>
        <w:ind w:left="0" w:right="0" w:firstLine="470" w:firstLineChars="200"/>
        <w:textAlignment w:val="auto"/>
        <w:outlineLvl w:val="2"/>
        <w:rPr>
          <w:rFonts w:hint="eastAsia" w:ascii="宋体" w:hAnsi="宋体" w:cs="宋体"/>
          <w:b/>
          <w:bCs/>
          <w:sz w:val="24"/>
        </w:rPr>
      </w:pPr>
      <w:r>
        <w:rPr>
          <w:rFonts w:hint="eastAsia" w:ascii="宋体" w:hAnsi="宋体" w:cs="宋体"/>
          <w:b/>
          <w:bCs/>
          <w:spacing w:val="-3"/>
          <w:sz w:val="24"/>
        </w:rPr>
        <w:t>2、基本要求</w:t>
      </w:r>
    </w:p>
    <w:p w14:paraId="7BADFF2C">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3"/>
          <w:sz w:val="24"/>
        </w:rPr>
      </w:pPr>
      <w:r>
        <w:rPr>
          <w:rFonts w:hint="eastAsia" w:ascii="宋体" w:hAnsi="宋体" w:cs="宋体"/>
          <w:spacing w:val="-3"/>
          <w:sz w:val="24"/>
        </w:rPr>
        <w:t>（1）供应商必须认同并遵守服务对象的一切规章制度和管理要求，愿意接受采购人的考核管理。</w:t>
      </w:r>
    </w:p>
    <w:p w14:paraId="7BBEFEDB">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3"/>
          <w:sz w:val="24"/>
        </w:rPr>
      </w:pPr>
      <w:r>
        <w:rPr>
          <w:rFonts w:hint="eastAsia" w:ascii="宋体" w:hAnsi="宋体" w:cs="宋体"/>
          <w:spacing w:val="-3"/>
          <w:sz w:val="24"/>
        </w:rPr>
        <w:t>（2）供应商应指派三名以上从事政府法律顾问经验的本单位律师，并指派一名项目负责人，服务对象有以上服务范围内的需求时，可及时联络到顾问律师。</w:t>
      </w:r>
    </w:p>
    <w:p w14:paraId="7F6A9B35">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3"/>
          <w:sz w:val="24"/>
          <w:highlight w:val="none"/>
        </w:rPr>
      </w:pPr>
      <w:r>
        <w:rPr>
          <w:rFonts w:hint="eastAsia" w:ascii="宋体" w:hAnsi="宋体" w:cs="宋体"/>
          <w:spacing w:val="-3"/>
          <w:sz w:val="24"/>
          <w:highlight w:val="none"/>
        </w:rPr>
        <w:t>（3）供应商应保证指派的顾问律师每周至少2次有一人在采购人处为服务对象提供顾问服务，并及时响应服务对象的需求，确保24小时电话畅通，遇紧急突发情况要求积极配合确保3小时内到场处理。</w:t>
      </w:r>
    </w:p>
    <w:p w14:paraId="5A50B72B">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3"/>
          <w:sz w:val="24"/>
        </w:rPr>
      </w:pPr>
      <w:r>
        <w:rPr>
          <w:rFonts w:hint="eastAsia" w:ascii="宋体" w:hAnsi="宋体" w:cs="宋体"/>
          <w:spacing w:val="-3"/>
          <w:sz w:val="24"/>
        </w:rPr>
        <w:t>（4）供应商必须爱护采购人提供办公场地和各种设备设施，做好采购人提供的办公场所内办公桌椅等各类办公物品管理工作，对丢失（遗失）或人为损坏须按价赔偿。</w:t>
      </w:r>
    </w:p>
    <w:p w14:paraId="71BC42E3">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3"/>
          <w:sz w:val="24"/>
        </w:rPr>
      </w:pPr>
      <w:r>
        <w:rPr>
          <w:rFonts w:hint="eastAsia" w:ascii="宋体" w:hAnsi="宋体" w:cs="宋体"/>
          <w:spacing w:val="-3"/>
          <w:sz w:val="24"/>
        </w:rPr>
        <w:t>（5）供应商应根据服务对象要求做好各类相关法律服务工作，维护服务对象合法权益，严禁在办公场所开展其他与法律工作无关的活动。</w:t>
      </w:r>
    </w:p>
    <w:p w14:paraId="4146B4E9">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3"/>
          <w:sz w:val="24"/>
        </w:rPr>
      </w:pPr>
      <w:r>
        <w:rPr>
          <w:rFonts w:hint="eastAsia" w:ascii="宋体" w:hAnsi="宋体" w:cs="宋体"/>
          <w:spacing w:val="-3"/>
          <w:sz w:val="24"/>
        </w:rPr>
        <w:t>（6）供应商不得从事有损于服务对象利益的其他活动，要求对日常接触了解到的不宜公开或保密的情况负有保密责任。在服务对象的诉讼、调解或仲裁活动中，供应商不得担任对方当事人代理人。</w:t>
      </w:r>
    </w:p>
    <w:p w14:paraId="5B6CD94F">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color w:val="000000" w:themeColor="text1"/>
          <w:spacing w:val="-3"/>
          <w:sz w:val="24"/>
          <w:highlight w:val="none"/>
          <w14:textFill>
            <w14:solidFill>
              <w14:schemeClr w14:val="tx1"/>
            </w14:solidFill>
          </w14:textFill>
        </w:rPr>
      </w:pPr>
      <w:r>
        <w:rPr>
          <w:rFonts w:hint="eastAsia" w:ascii="宋体" w:hAnsi="宋体" w:cs="宋体"/>
          <w:color w:val="000000" w:themeColor="text1"/>
          <w:spacing w:val="-3"/>
          <w:sz w:val="24"/>
          <w:highlight w:val="none"/>
          <w14:textFill>
            <w14:solidFill>
              <w14:schemeClr w14:val="tx1"/>
            </w14:solidFill>
          </w14:textFill>
        </w:rPr>
        <w:t>（7）案件办理费用支付要求：案件装订标准和资料归档，须在案件办理之后，将装订归档的案卷移交招标人。装订标准满足招标人</w:t>
      </w:r>
      <w:r>
        <w:rPr>
          <w:rFonts w:hint="eastAsia" w:ascii="宋体" w:hAnsi="宋体" w:cs="宋体"/>
          <w:color w:val="000000" w:themeColor="text1"/>
          <w:spacing w:val="-1"/>
          <w:sz w:val="24"/>
          <w:highlight w:val="none"/>
          <w14:textFill>
            <w14:solidFill>
              <w14:schemeClr w14:val="tx1"/>
            </w14:solidFill>
          </w14:textFill>
        </w:rPr>
        <w:t>《人民法院诉讼文书立卷归档办法》文件标准</w:t>
      </w:r>
      <w:r>
        <w:rPr>
          <w:rFonts w:hint="eastAsia" w:ascii="宋体" w:hAnsi="宋体" w:cs="宋体"/>
          <w:color w:val="000000" w:themeColor="text1"/>
          <w:spacing w:val="-3"/>
          <w:sz w:val="24"/>
          <w:highlight w:val="none"/>
          <w14:textFill>
            <w14:solidFill>
              <w14:schemeClr w14:val="tx1"/>
            </w14:solidFill>
          </w14:textFill>
        </w:rPr>
        <w:t xml:space="preserve">。 </w:t>
      </w:r>
    </w:p>
    <w:p w14:paraId="41D30D4F">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b/>
          <w:bCs/>
          <w:sz w:val="24"/>
        </w:rPr>
      </w:pPr>
      <w:r>
        <w:rPr>
          <w:rFonts w:hint="eastAsia" w:ascii="宋体" w:hAnsi="宋体" w:cs="宋体"/>
          <w:b/>
          <w:bCs/>
          <w:spacing w:val="-3"/>
          <w:sz w:val="24"/>
        </w:rPr>
        <w:t>3.</w:t>
      </w:r>
      <w:r>
        <w:rPr>
          <w:rFonts w:hint="eastAsia" w:ascii="宋体" w:hAnsi="宋体" w:cs="宋体"/>
          <w:b/>
          <w:bCs/>
          <w:spacing w:val="3"/>
          <w:w w:val="101"/>
          <w:sz w:val="24"/>
        </w:rPr>
        <w:t xml:space="preserve"> </w:t>
      </w:r>
      <w:r>
        <w:rPr>
          <w:rFonts w:hint="eastAsia" w:ascii="宋体" w:hAnsi="宋体" w:cs="宋体"/>
          <w:b/>
          <w:bCs/>
          <w:spacing w:val="-3"/>
          <w:sz w:val="24"/>
        </w:rPr>
        <w:t>法律咨询服务</w:t>
      </w:r>
    </w:p>
    <w:p w14:paraId="52A39ADD">
      <w:pPr>
        <w:keepNext w:val="0"/>
        <w:keepLines w:val="0"/>
        <w:pageBreakBefore w:val="0"/>
        <w:widowControl w:val="0"/>
        <w:kinsoku/>
        <w:wordWrap/>
        <w:overflowPunct/>
        <w:topLinePunct w:val="0"/>
        <w:autoSpaceDE/>
        <w:autoSpaceDN/>
        <w:bidi w:val="0"/>
        <w:adjustRightInd w:val="0"/>
        <w:snapToGrid w:val="0"/>
        <w:spacing w:line="360" w:lineRule="auto"/>
        <w:ind w:left="0" w:right="0" w:firstLine="425"/>
        <w:textAlignment w:val="auto"/>
        <w:rPr>
          <w:rFonts w:hint="eastAsia" w:ascii="宋体" w:hAnsi="宋体" w:cs="宋体"/>
          <w:sz w:val="24"/>
        </w:rPr>
      </w:pPr>
      <w:r>
        <w:rPr>
          <w:rFonts w:hint="eastAsia" w:ascii="宋体" w:hAnsi="宋体" w:cs="宋体"/>
          <w:sz w:val="24"/>
        </w:rPr>
        <w:t>（1）为服务对象的各科室工作人员提供日常法律咨询服务，对服务对象的法律咨询及法律事务</w:t>
      </w:r>
      <w:r>
        <w:rPr>
          <w:rFonts w:hint="eastAsia" w:ascii="宋体" w:hAnsi="宋体" w:cs="宋体"/>
          <w:spacing w:val="-5"/>
          <w:sz w:val="24"/>
        </w:rPr>
        <w:t>应按服务对象要求作出及时解答，一般应在</w:t>
      </w:r>
      <w:r>
        <w:rPr>
          <w:rFonts w:hint="eastAsia" w:ascii="宋体" w:hAnsi="宋体" w:cs="宋体"/>
          <w:spacing w:val="-42"/>
          <w:sz w:val="24"/>
        </w:rPr>
        <w:t xml:space="preserve"> </w:t>
      </w:r>
      <w:r>
        <w:rPr>
          <w:rFonts w:hint="eastAsia" w:ascii="宋体" w:hAnsi="宋体" w:cs="宋体"/>
          <w:spacing w:val="-5"/>
          <w:sz w:val="24"/>
        </w:rPr>
        <w:t>24</w:t>
      </w:r>
      <w:r>
        <w:rPr>
          <w:rFonts w:hint="eastAsia" w:ascii="宋体" w:hAnsi="宋体" w:cs="宋体"/>
          <w:spacing w:val="10"/>
          <w:sz w:val="24"/>
        </w:rPr>
        <w:t xml:space="preserve"> </w:t>
      </w:r>
      <w:r>
        <w:rPr>
          <w:rFonts w:hint="eastAsia" w:ascii="宋体" w:hAnsi="宋体" w:cs="宋体"/>
          <w:spacing w:val="-5"/>
          <w:sz w:val="24"/>
        </w:rPr>
        <w:t>小时（紧急事务应在5小时）</w:t>
      </w:r>
      <w:r>
        <w:rPr>
          <w:rFonts w:hint="eastAsia" w:ascii="宋体" w:hAnsi="宋体" w:cs="宋体"/>
          <w:spacing w:val="22"/>
          <w:sz w:val="24"/>
        </w:rPr>
        <w:t xml:space="preserve"> </w:t>
      </w:r>
      <w:r>
        <w:rPr>
          <w:rFonts w:hint="eastAsia" w:ascii="宋体" w:hAnsi="宋体" w:cs="宋体"/>
          <w:spacing w:val="-5"/>
          <w:sz w:val="24"/>
        </w:rPr>
        <w:t>内作出回复，并对相关</w:t>
      </w:r>
      <w:r>
        <w:rPr>
          <w:rFonts w:hint="eastAsia" w:ascii="宋体" w:hAnsi="宋体" w:cs="宋体"/>
          <w:sz w:val="24"/>
        </w:rPr>
        <w:t xml:space="preserve"> </w:t>
      </w:r>
      <w:r>
        <w:rPr>
          <w:rFonts w:hint="eastAsia" w:ascii="宋体" w:hAnsi="宋体" w:cs="宋体"/>
          <w:spacing w:val="-1"/>
          <w:sz w:val="24"/>
        </w:rPr>
        <w:t>问题提出具体的可操作方案和解决途径；</w:t>
      </w:r>
    </w:p>
    <w:p w14:paraId="3218AA8C">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（2）修改、审查服务对象需要的合同、协议以及其他有关法律事务文书和规章制度。</w:t>
      </w:r>
    </w:p>
    <w:p w14:paraId="5643EA4C">
      <w:pPr>
        <w:keepNext w:val="0"/>
        <w:keepLines w:val="0"/>
        <w:pageBreakBefore w:val="0"/>
        <w:widowControl w:val="0"/>
        <w:kinsoku/>
        <w:wordWrap/>
        <w:overflowPunct/>
        <w:topLinePunct w:val="0"/>
        <w:autoSpaceDE/>
        <w:autoSpaceDN/>
        <w:bidi w:val="0"/>
        <w:adjustRightInd w:val="0"/>
        <w:snapToGrid w:val="0"/>
        <w:spacing w:line="360" w:lineRule="auto"/>
        <w:ind w:left="0" w:right="0" w:firstLine="425"/>
        <w:textAlignment w:val="auto"/>
        <w:rPr>
          <w:rFonts w:hint="eastAsia" w:ascii="宋体" w:hAnsi="宋体" w:cs="宋体"/>
          <w:sz w:val="24"/>
        </w:rPr>
      </w:pPr>
      <w:r>
        <w:rPr>
          <w:rFonts w:hint="eastAsia" w:ascii="宋体" w:hAnsi="宋体" w:cs="宋体"/>
          <w:sz w:val="24"/>
        </w:rPr>
        <w:t>（3）根据服务对象通知列席服务对象召开的会议，及时了解服务对象动态，为服务对象重大行</w:t>
      </w:r>
      <w:r>
        <w:rPr>
          <w:rFonts w:hint="eastAsia" w:ascii="宋体" w:hAnsi="宋体" w:cs="宋体"/>
          <w:spacing w:val="-2"/>
          <w:sz w:val="24"/>
        </w:rPr>
        <w:t>政决策提供法律意见及法律依据，或者应服务对象要求，对服务对象的决策进行法律论证和法律风险</w:t>
      </w:r>
      <w:r>
        <w:rPr>
          <w:rFonts w:hint="eastAsia" w:ascii="宋体" w:hAnsi="宋体" w:cs="宋体"/>
          <w:spacing w:val="-3"/>
          <w:sz w:val="24"/>
        </w:rPr>
        <w:t>的评价。</w:t>
      </w:r>
    </w:p>
    <w:p w14:paraId="1C93C7C6">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（4）应服务对象要求审阅其对外公告，出具或签署与服务对象有关的法律文件。</w:t>
      </w:r>
    </w:p>
    <w:p w14:paraId="08C6B2F1">
      <w:pPr>
        <w:keepNext w:val="0"/>
        <w:keepLines w:val="0"/>
        <w:pageBreakBefore w:val="0"/>
        <w:widowControl w:val="0"/>
        <w:kinsoku/>
        <w:wordWrap/>
        <w:overflowPunct/>
        <w:topLinePunct w:val="0"/>
        <w:autoSpaceDE/>
        <w:autoSpaceDN/>
        <w:bidi w:val="0"/>
        <w:adjustRightInd w:val="0"/>
        <w:snapToGrid w:val="0"/>
        <w:spacing w:line="360" w:lineRule="auto"/>
        <w:ind w:left="0" w:right="0" w:firstLine="425"/>
        <w:textAlignment w:val="auto"/>
        <w:rPr>
          <w:rFonts w:hint="eastAsia" w:ascii="宋体" w:hAnsi="宋体" w:cs="宋体"/>
          <w:sz w:val="24"/>
        </w:rPr>
      </w:pPr>
      <w:r>
        <w:rPr>
          <w:rFonts w:hint="eastAsia" w:ascii="宋体" w:hAnsi="宋体" w:cs="宋体"/>
          <w:sz w:val="24"/>
        </w:rPr>
        <w:t>（5）为服务对象涉及的各类纠纷、重大行政决策规范性文件、其他服务对象需要供应商提供法</w:t>
      </w:r>
      <w:r>
        <w:rPr>
          <w:rFonts w:hint="eastAsia" w:ascii="宋体" w:hAnsi="宋体" w:cs="宋体"/>
          <w:spacing w:val="24"/>
          <w:sz w:val="24"/>
        </w:rPr>
        <w:t xml:space="preserve"> </w:t>
      </w:r>
      <w:r>
        <w:rPr>
          <w:rFonts w:hint="eastAsia" w:ascii="宋体" w:hAnsi="宋体" w:cs="宋体"/>
          <w:spacing w:val="-1"/>
          <w:sz w:val="24"/>
        </w:rPr>
        <w:t>律支持或出具法律意见书</w:t>
      </w:r>
      <w:r>
        <w:rPr>
          <w:rFonts w:hint="eastAsia" w:ascii="宋体" w:hAnsi="宋体" w:cs="宋体"/>
          <w:spacing w:val="-65"/>
          <w:sz w:val="24"/>
        </w:rPr>
        <w:t>，</w:t>
      </w:r>
      <w:r>
        <w:rPr>
          <w:rFonts w:hint="eastAsia" w:ascii="宋体" w:hAnsi="宋体" w:cs="宋体"/>
          <w:spacing w:val="-1"/>
          <w:sz w:val="24"/>
        </w:rPr>
        <w:t>必要时向对方出具律师函。</w:t>
      </w:r>
    </w:p>
    <w:p w14:paraId="7A9354F5">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ascii="宋体" w:hAnsi="宋体" w:cs="宋体"/>
          <w:sz w:val="24"/>
          <w:highlight w:val="none"/>
        </w:rPr>
      </w:pPr>
      <w:r>
        <w:rPr>
          <w:rFonts w:hint="eastAsia" w:ascii="宋体" w:hAnsi="宋体" w:cs="宋体"/>
          <w:spacing w:val="-1"/>
          <w:sz w:val="24"/>
        </w:rPr>
        <w:t>（6）代理服务对象参加行政诉讼或仲裁、行政复议、检察监督、民事等诉讼案件，维护服务对象的合法权益</w:t>
      </w:r>
      <w:r>
        <w:rPr>
          <w:rFonts w:hint="eastAsia" w:ascii="宋体" w:hAnsi="宋体" w:cs="宋体"/>
          <w:spacing w:val="-1"/>
          <w:sz w:val="24"/>
          <w:highlight w:val="none"/>
        </w:rPr>
        <w:t>，并参照《人民法院诉讼文书立卷归档办法》文件标准，负责进行案件装订并移交至招标人。因投标人自身原因导致案卷未按期交付致使财政预算资金被上交无法支付的，由此产生的损失、后果由投标人自行承担。</w:t>
      </w:r>
    </w:p>
    <w:p w14:paraId="47DF1AEC">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highlight w:val="none"/>
        </w:rPr>
      </w:pPr>
      <w:r>
        <w:rPr>
          <w:rFonts w:hint="eastAsia" w:ascii="宋体" w:hAnsi="宋体" w:cs="宋体"/>
          <w:sz w:val="24"/>
          <w:highlight w:val="none"/>
        </w:rPr>
        <w:t>（7）案件举证答辩由投标人自行打印到甲方单位盖章并邮寄。</w:t>
      </w:r>
    </w:p>
    <w:p w14:paraId="4FF1878F">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pacing w:val="-1"/>
          <w:sz w:val="24"/>
          <w:highlight w:val="none"/>
        </w:rPr>
      </w:pPr>
      <w:r>
        <w:rPr>
          <w:rFonts w:hint="eastAsia" w:ascii="宋体" w:hAnsi="宋体" w:cs="宋体"/>
          <w:spacing w:val="-1"/>
          <w:sz w:val="24"/>
          <w:highlight w:val="none"/>
        </w:rPr>
        <w:t>（8）出具的所有法律意见书，投标人先指派律师先行签字，电子版提交，当月月底集中提供原件，招标人认为的需要加盖公章签字的，投标人需予以提供。</w:t>
      </w:r>
    </w:p>
    <w:p w14:paraId="45EAF386">
      <w:pPr>
        <w:keepNext w:val="0"/>
        <w:keepLines w:val="0"/>
        <w:pageBreakBefore w:val="0"/>
        <w:widowControl w:val="0"/>
        <w:kinsoku/>
        <w:wordWrap/>
        <w:overflowPunct/>
        <w:topLinePunct w:val="0"/>
        <w:autoSpaceDE/>
        <w:autoSpaceDN/>
        <w:bidi w:val="0"/>
        <w:adjustRightInd w:val="0"/>
        <w:snapToGrid w:val="0"/>
        <w:spacing w:line="360" w:lineRule="auto"/>
        <w:ind w:left="0" w:right="0" w:firstLine="536"/>
        <w:textAlignment w:val="auto"/>
        <w:outlineLvl w:val="2"/>
        <w:rPr>
          <w:rFonts w:hint="eastAsia" w:ascii="宋体" w:hAnsi="宋体" w:cs="宋体"/>
          <w:sz w:val="24"/>
        </w:rPr>
      </w:pPr>
      <w:r>
        <w:rPr>
          <w:rFonts w:hint="eastAsia" w:ascii="宋体" w:hAnsi="宋体" w:cs="宋体"/>
          <w:b/>
          <w:bCs/>
          <w:spacing w:val="-2"/>
          <w:sz w:val="24"/>
        </w:rPr>
        <w:t>4.</w:t>
      </w:r>
      <w:r>
        <w:rPr>
          <w:rFonts w:hint="eastAsia" w:ascii="宋体" w:hAnsi="宋体" w:cs="宋体"/>
          <w:spacing w:val="-2"/>
          <w:sz w:val="24"/>
        </w:rPr>
        <w:t>风险排查及评估服务</w:t>
      </w:r>
    </w:p>
    <w:p w14:paraId="0202B726">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（1）供应商应建立完善的项目合同审核管理制度，协助服务对象做好合同把关工作。</w:t>
      </w:r>
    </w:p>
    <w:p w14:paraId="2E5E5313">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（2）优化完善服务对象的合同范本。</w:t>
      </w:r>
    </w:p>
    <w:p w14:paraId="25278FA7">
      <w:pPr>
        <w:keepNext w:val="0"/>
        <w:keepLines w:val="0"/>
        <w:pageBreakBefore w:val="0"/>
        <w:widowControl w:val="0"/>
        <w:kinsoku/>
        <w:wordWrap/>
        <w:overflowPunct/>
        <w:topLinePunct w:val="0"/>
        <w:autoSpaceDE/>
        <w:autoSpaceDN/>
        <w:bidi w:val="0"/>
        <w:adjustRightInd w:val="0"/>
        <w:snapToGrid w:val="0"/>
        <w:spacing w:line="360" w:lineRule="auto"/>
        <w:ind w:left="0" w:right="0" w:firstLine="420"/>
        <w:textAlignment w:val="auto"/>
        <w:rPr>
          <w:rFonts w:hint="eastAsia" w:ascii="宋体" w:hAnsi="宋体" w:cs="宋体"/>
          <w:sz w:val="24"/>
        </w:rPr>
      </w:pPr>
      <w:r>
        <w:rPr>
          <w:rFonts w:hint="eastAsia" w:ascii="宋体" w:hAnsi="宋体" w:cs="宋体"/>
          <w:sz w:val="24"/>
        </w:rPr>
        <w:t>（3）直接参与服务对象重要的谈判并提供全程的法律服务，协助服务对象方起草或修改、审查</w:t>
      </w:r>
      <w:r>
        <w:rPr>
          <w:rFonts w:hint="eastAsia" w:ascii="宋体" w:hAnsi="宋体" w:cs="宋体"/>
          <w:spacing w:val="24"/>
          <w:sz w:val="24"/>
        </w:rPr>
        <w:t xml:space="preserve"> </w:t>
      </w:r>
      <w:r>
        <w:rPr>
          <w:rFonts w:hint="eastAsia" w:ascii="宋体" w:hAnsi="宋体" w:cs="宋体"/>
          <w:spacing w:val="-1"/>
          <w:sz w:val="24"/>
        </w:rPr>
        <w:t>商务谈判所需的法律文本，从法律上最大限度地预防及控制风险，尽最大努力保护服务对象的利益。</w:t>
      </w:r>
    </w:p>
    <w:p w14:paraId="32DBD059">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（4）为服务对象开展法律风险评估，给予服务对象合理性整改意见，控制法律风险。</w:t>
      </w:r>
    </w:p>
    <w:p w14:paraId="269CF62B">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（5）能根据服务对象要求或随时指示处理其他杂项法律事务。</w:t>
      </w:r>
    </w:p>
    <w:p w14:paraId="661868CB">
      <w:pPr>
        <w:keepNext w:val="0"/>
        <w:keepLines w:val="0"/>
        <w:pageBreakBefore w:val="0"/>
        <w:widowControl w:val="0"/>
        <w:kinsoku/>
        <w:wordWrap/>
        <w:overflowPunct/>
        <w:topLinePunct w:val="0"/>
        <w:autoSpaceDE/>
        <w:autoSpaceDN/>
        <w:bidi w:val="0"/>
        <w:adjustRightInd w:val="0"/>
        <w:snapToGrid w:val="0"/>
        <w:spacing w:line="360" w:lineRule="auto"/>
        <w:ind w:left="0" w:right="0" w:firstLine="541"/>
        <w:textAlignment w:val="auto"/>
        <w:outlineLvl w:val="2"/>
        <w:rPr>
          <w:rFonts w:hint="eastAsia" w:ascii="宋体" w:hAnsi="宋体" w:cs="宋体"/>
          <w:sz w:val="24"/>
        </w:rPr>
      </w:pPr>
      <w:r>
        <w:rPr>
          <w:rFonts w:hint="eastAsia" w:ascii="宋体" w:hAnsi="宋体" w:cs="宋体"/>
          <w:b/>
          <w:bCs/>
          <w:spacing w:val="-2"/>
          <w:sz w:val="24"/>
        </w:rPr>
        <w:t>5.</w:t>
      </w:r>
      <w:r>
        <w:rPr>
          <w:rFonts w:hint="eastAsia" w:ascii="宋体" w:hAnsi="宋体" w:cs="宋体"/>
          <w:spacing w:val="-2"/>
          <w:sz w:val="24"/>
        </w:rPr>
        <w:t>法律宣传及培训服务</w:t>
      </w:r>
    </w:p>
    <w:p w14:paraId="2A8ED9D0">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（1）为服务对象依法行政、政府信息公开、房屋征收等方面法律知识和业务培训。</w:t>
      </w:r>
    </w:p>
    <w:p w14:paraId="3F7EA084">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（2）协助服务对象对员工进行技巧培训。</w:t>
      </w:r>
    </w:p>
    <w:p w14:paraId="15FACC31">
      <w:pPr>
        <w:keepNext w:val="0"/>
        <w:keepLines w:val="0"/>
        <w:pageBreakBefore w:val="0"/>
        <w:widowControl w:val="0"/>
        <w:kinsoku/>
        <w:wordWrap/>
        <w:overflowPunct/>
        <w:topLinePunct w:val="0"/>
        <w:autoSpaceDE/>
        <w:autoSpaceDN/>
        <w:bidi w:val="0"/>
        <w:adjustRightInd w:val="0"/>
        <w:snapToGrid w:val="0"/>
        <w:spacing w:line="360" w:lineRule="auto"/>
        <w:ind w:left="0" w:right="0" w:firstLine="545"/>
        <w:textAlignment w:val="auto"/>
        <w:rPr>
          <w:rFonts w:hint="eastAsia" w:ascii="宋体" w:hAnsi="宋体" w:cs="宋体"/>
          <w:sz w:val="24"/>
        </w:rPr>
      </w:pPr>
      <w:r>
        <w:rPr>
          <w:rFonts w:hint="eastAsia" w:ascii="宋体" w:hAnsi="宋体" w:cs="宋体"/>
          <w:spacing w:val="-1"/>
          <w:sz w:val="24"/>
        </w:rPr>
        <w:t>（3）对服务对象内部的法律工作人员的工作进行指导。</w:t>
      </w:r>
    </w:p>
    <w:p w14:paraId="63FC5A6E">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b/>
          <w:bCs/>
          <w:sz w:val="24"/>
        </w:rPr>
      </w:pPr>
      <w:r>
        <w:rPr>
          <w:rFonts w:hint="eastAsia" w:ascii="宋体" w:hAnsi="宋体" w:cs="宋体"/>
          <w:b/>
          <w:bCs/>
          <w:spacing w:val="-4"/>
          <w:sz w:val="24"/>
        </w:rPr>
        <w:t>三、承办律师及助理</w:t>
      </w:r>
    </w:p>
    <w:p w14:paraId="107137ED">
      <w:pPr>
        <w:keepNext w:val="0"/>
        <w:keepLines w:val="0"/>
        <w:pageBreakBefore w:val="0"/>
        <w:widowControl w:val="0"/>
        <w:kinsoku/>
        <w:wordWrap/>
        <w:overflowPunct/>
        <w:topLinePunct w:val="0"/>
        <w:autoSpaceDE/>
        <w:autoSpaceDN/>
        <w:bidi w:val="0"/>
        <w:adjustRightInd w:val="0"/>
        <w:snapToGrid w:val="0"/>
        <w:spacing w:line="360" w:lineRule="auto"/>
        <w:ind w:left="0" w:right="0" w:firstLine="433"/>
        <w:textAlignment w:val="auto"/>
        <w:rPr>
          <w:rFonts w:hint="eastAsia" w:ascii="宋体" w:hAnsi="宋体" w:cs="宋体"/>
          <w:sz w:val="24"/>
        </w:rPr>
      </w:pPr>
      <w:r>
        <w:rPr>
          <w:rFonts w:hint="eastAsia" w:ascii="宋体" w:hAnsi="宋体" w:cs="宋体"/>
          <w:spacing w:val="-1"/>
          <w:sz w:val="24"/>
        </w:rPr>
        <w:t>1、乙方接受甲方的聘请要求，指派</w:t>
      </w:r>
      <w:r>
        <w:rPr>
          <w:rFonts w:hint="eastAsia" w:ascii="宋体" w:hAnsi="宋体" w:cs="宋体"/>
          <w:spacing w:val="1"/>
          <w:sz w:val="24"/>
          <w:u w:val="single"/>
        </w:rPr>
        <w:t xml:space="preserve">   </w:t>
      </w:r>
      <w:r>
        <w:rPr>
          <w:rFonts w:hint="eastAsia" w:ascii="宋体" w:hAnsi="宋体" w:cs="宋体"/>
          <w:spacing w:val="1"/>
          <w:sz w:val="24"/>
          <w:u w:val="single"/>
          <w:lang w:val="en-US" w:eastAsia="zh-CN"/>
        </w:rPr>
        <w:t xml:space="preserve">                        </w:t>
      </w:r>
      <w:r>
        <w:rPr>
          <w:rFonts w:hint="eastAsia" w:ascii="宋体" w:hAnsi="宋体" w:cs="宋体"/>
          <w:spacing w:val="1"/>
          <w:sz w:val="24"/>
          <w:u w:val="single"/>
        </w:rPr>
        <w:t xml:space="preserve">     </w:t>
      </w:r>
      <w:r>
        <w:rPr>
          <w:rFonts w:hint="eastAsia" w:ascii="宋体" w:hAnsi="宋体" w:cs="宋体"/>
          <w:spacing w:val="-1"/>
          <w:sz w:val="24"/>
        </w:rPr>
        <w:t>担任甲方的常年法律顾问（以下简称“律师”</w:t>
      </w:r>
      <w:r>
        <w:rPr>
          <w:rFonts w:hint="eastAsia" w:ascii="宋体" w:hAnsi="宋体" w:cs="宋体"/>
          <w:spacing w:val="7"/>
          <w:sz w:val="24"/>
        </w:rPr>
        <w:t>）；</w:t>
      </w:r>
    </w:p>
    <w:p w14:paraId="08A3CEFB">
      <w:pPr>
        <w:keepNext w:val="0"/>
        <w:keepLines w:val="0"/>
        <w:pageBreakBefore w:val="0"/>
        <w:widowControl w:val="0"/>
        <w:kinsoku/>
        <w:wordWrap/>
        <w:overflowPunct/>
        <w:topLinePunct w:val="0"/>
        <w:autoSpaceDE/>
        <w:autoSpaceDN/>
        <w:bidi w:val="0"/>
        <w:adjustRightInd w:val="0"/>
        <w:snapToGrid w:val="0"/>
        <w:spacing w:line="360" w:lineRule="auto"/>
        <w:ind w:left="0" w:right="0" w:firstLine="425"/>
        <w:textAlignment w:val="auto"/>
        <w:rPr>
          <w:rFonts w:hint="eastAsia" w:ascii="宋体" w:hAnsi="宋体" w:cs="宋体"/>
          <w:sz w:val="24"/>
        </w:rPr>
      </w:pPr>
      <w:r>
        <w:rPr>
          <w:rFonts w:hint="eastAsia" w:ascii="宋体" w:hAnsi="宋体" w:cs="宋体"/>
          <w:sz w:val="24"/>
        </w:rPr>
        <w:t>2、甲方同意乙方及其所指派的律师在认为必要时可将部分法律服务工作交由乙方的其他律师</w:t>
      </w:r>
      <w:r>
        <w:rPr>
          <w:rFonts w:hint="eastAsia" w:ascii="宋体" w:hAnsi="宋体" w:cs="宋体"/>
          <w:spacing w:val="-1"/>
          <w:sz w:val="24"/>
        </w:rPr>
        <w:t>及助理人员协助完成；</w:t>
      </w:r>
    </w:p>
    <w:p w14:paraId="5A9CF10E">
      <w:pPr>
        <w:keepNext w:val="0"/>
        <w:keepLines w:val="0"/>
        <w:pageBreakBefore w:val="0"/>
        <w:widowControl w:val="0"/>
        <w:kinsoku/>
        <w:wordWrap/>
        <w:overflowPunct/>
        <w:topLinePunct w:val="0"/>
        <w:autoSpaceDE/>
        <w:autoSpaceDN/>
        <w:bidi w:val="0"/>
        <w:adjustRightInd w:val="0"/>
        <w:snapToGrid w:val="0"/>
        <w:spacing w:line="360" w:lineRule="auto"/>
        <w:ind w:left="0" w:right="0" w:firstLine="424"/>
        <w:textAlignment w:val="auto"/>
        <w:rPr>
          <w:rFonts w:hint="eastAsia" w:ascii="宋体" w:hAnsi="宋体" w:cs="宋体"/>
          <w:sz w:val="24"/>
        </w:rPr>
      </w:pPr>
      <w:r>
        <w:rPr>
          <w:rFonts w:hint="eastAsia" w:ascii="宋体" w:hAnsi="宋体" w:cs="宋体"/>
          <w:spacing w:val="-3"/>
          <w:sz w:val="24"/>
        </w:rPr>
        <w:t>3、本合同履行过程中，若律师因合理原因（包括但不限于正常调动、离职、时间冲突、回避、</w:t>
      </w:r>
      <w:r>
        <w:rPr>
          <w:rFonts w:hint="eastAsia" w:ascii="宋体" w:hAnsi="宋体" w:cs="宋体"/>
          <w:spacing w:val="-4"/>
          <w:sz w:val="24"/>
        </w:rPr>
        <w:t>身体状况等）无法继续或暂时不能提供服务时，律师应及时告知甲方并由合同双方协商另行指派其他</w:t>
      </w:r>
      <w:r>
        <w:rPr>
          <w:rFonts w:hint="eastAsia" w:ascii="宋体" w:hAnsi="宋体" w:cs="宋体"/>
          <w:spacing w:val="-6"/>
          <w:sz w:val="24"/>
        </w:rPr>
        <w:t>合适的律师接替；甲方不同意其他律师接替的，视为甲方解除合同，本合同终止履行。</w:t>
      </w:r>
    </w:p>
    <w:p w14:paraId="4C8D1E5C">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6"/>
          <w:sz w:val="24"/>
        </w:rPr>
        <w:t>四、</w:t>
      </w:r>
      <w:r>
        <w:rPr>
          <w:rFonts w:hint="eastAsia" w:ascii="宋体" w:hAnsi="宋体" w:cs="宋体"/>
          <w:spacing w:val="-6"/>
          <w:sz w:val="24"/>
        </w:rPr>
        <w:t>聘请年限</w:t>
      </w:r>
    </w:p>
    <w:p w14:paraId="10CC4059">
      <w:pPr>
        <w:keepNext w:val="0"/>
        <w:keepLines w:val="0"/>
        <w:pageBreakBefore w:val="0"/>
        <w:widowControl w:val="0"/>
        <w:kinsoku/>
        <w:wordWrap/>
        <w:overflowPunct/>
        <w:topLinePunct w:val="0"/>
        <w:autoSpaceDE/>
        <w:autoSpaceDN/>
        <w:bidi w:val="0"/>
        <w:adjustRightInd w:val="0"/>
        <w:snapToGrid w:val="0"/>
        <w:spacing w:line="360" w:lineRule="auto"/>
        <w:ind w:left="0" w:right="0" w:firstLine="389"/>
        <w:textAlignment w:val="auto"/>
        <w:rPr>
          <w:rFonts w:hint="eastAsia" w:ascii="宋体" w:hAnsi="宋体" w:cs="宋体"/>
          <w:sz w:val="24"/>
        </w:rPr>
      </w:pPr>
      <w:r>
        <w:rPr>
          <w:rFonts w:hint="eastAsia" w:ascii="宋体" w:hAnsi="宋体" w:cs="宋体"/>
          <w:spacing w:val="-9"/>
          <w:sz w:val="24"/>
        </w:rPr>
        <w:t>（1）双方商定乙方为甲方提供常年法律顾问服务的期限为</w:t>
      </w:r>
      <w:r>
        <w:rPr>
          <w:rFonts w:hint="eastAsia" w:ascii="宋体" w:hAnsi="宋体" w:cs="宋体"/>
          <w:spacing w:val="42"/>
          <w:sz w:val="24"/>
          <w:u w:val="single"/>
          <w:lang w:val="en-US" w:eastAsia="zh-CN"/>
        </w:rPr>
        <w:t>壹</w:t>
      </w:r>
      <w:r>
        <w:rPr>
          <w:rFonts w:hint="eastAsia" w:ascii="宋体" w:hAnsi="宋体" w:cs="宋体"/>
          <w:spacing w:val="-9"/>
          <w:sz w:val="24"/>
        </w:rPr>
        <w:t>年，自</w:t>
      </w:r>
      <w:r>
        <w:rPr>
          <w:rFonts w:hint="eastAsia" w:ascii="宋体" w:hAnsi="宋体" w:cs="宋体"/>
          <w:spacing w:val="5"/>
          <w:sz w:val="24"/>
          <w:u w:val="single"/>
          <w:lang w:val="en-US" w:eastAsia="zh-CN"/>
        </w:rPr>
        <w:t>2025</w:t>
      </w:r>
      <w:r>
        <w:rPr>
          <w:rFonts w:hint="eastAsia" w:ascii="宋体" w:hAnsi="宋体" w:cs="宋体"/>
          <w:spacing w:val="-9"/>
          <w:sz w:val="24"/>
        </w:rPr>
        <w:t>年</w:t>
      </w:r>
      <w:r>
        <w:rPr>
          <w:rFonts w:hint="eastAsia" w:ascii="宋体" w:hAnsi="宋体" w:cs="宋体"/>
          <w:spacing w:val="14"/>
          <w:sz w:val="24"/>
          <w:u w:val="single"/>
        </w:rPr>
        <w:t xml:space="preserve"> </w:t>
      </w:r>
      <w:r>
        <w:rPr>
          <w:rFonts w:hint="eastAsia" w:ascii="宋体" w:hAnsi="宋体" w:cs="宋体"/>
          <w:spacing w:val="-9"/>
          <w:sz w:val="24"/>
        </w:rPr>
        <w:t>月</w:t>
      </w:r>
      <w:r>
        <w:rPr>
          <w:rFonts w:hint="eastAsia" w:ascii="宋体" w:hAnsi="宋体" w:cs="宋体"/>
          <w:spacing w:val="44"/>
          <w:sz w:val="24"/>
          <w:u w:val="single"/>
        </w:rPr>
        <w:t xml:space="preserve"> </w:t>
      </w:r>
      <w:r>
        <w:rPr>
          <w:rFonts w:hint="eastAsia" w:ascii="宋体" w:hAnsi="宋体" w:cs="宋体"/>
          <w:spacing w:val="-9"/>
          <w:sz w:val="24"/>
        </w:rPr>
        <w:t>日起至</w:t>
      </w:r>
      <w:r>
        <w:rPr>
          <w:rFonts w:hint="eastAsia" w:ascii="宋体" w:hAnsi="宋体" w:cs="宋体"/>
          <w:spacing w:val="3"/>
          <w:sz w:val="24"/>
          <w:u w:val="single"/>
          <w:lang w:val="en-US" w:eastAsia="zh-CN"/>
        </w:rPr>
        <w:t>2025</w:t>
      </w:r>
      <w:r>
        <w:rPr>
          <w:rFonts w:hint="eastAsia" w:ascii="宋体" w:hAnsi="宋体" w:cs="宋体"/>
          <w:spacing w:val="-9"/>
          <w:sz w:val="24"/>
        </w:rPr>
        <w:t>年</w:t>
      </w:r>
      <w:r>
        <w:rPr>
          <w:rFonts w:hint="eastAsia" w:ascii="宋体" w:hAnsi="宋体" w:cs="宋体"/>
          <w:spacing w:val="5"/>
          <w:sz w:val="24"/>
          <w:u w:val="single"/>
        </w:rPr>
        <w:t xml:space="preserve">  </w:t>
      </w:r>
      <w:r>
        <w:rPr>
          <w:rFonts w:hint="eastAsia" w:ascii="宋体" w:hAnsi="宋体" w:cs="宋体"/>
          <w:spacing w:val="-9"/>
          <w:sz w:val="24"/>
        </w:rPr>
        <w:t>月</w:t>
      </w:r>
      <w:r>
        <w:rPr>
          <w:rFonts w:hint="eastAsia" w:ascii="宋体" w:hAnsi="宋体" w:cs="宋体"/>
          <w:spacing w:val="1"/>
          <w:sz w:val="24"/>
          <w:u w:val="single"/>
        </w:rPr>
        <w:t xml:space="preserve"> </w:t>
      </w:r>
      <w:r>
        <w:rPr>
          <w:rFonts w:hint="eastAsia" w:ascii="宋体" w:hAnsi="宋体" w:cs="宋体"/>
          <w:spacing w:val="1"/>
          <w:sz w:val="24"/>
          <w:u w:val="single"/>
          <w:lang w:val="en-US" w:eastAsia="zh-CN"/>
        </w:rPr>
        <w:t xml:space="preserve"> </w:t>
      </w:r>
      <w:r>
        <w:rPr>
          <w:rFonts w:hint="eastAsia" w:ascii="宋体" w:hAnsi="宋体" w:cs="宋体"/>
          <w:spacing w:val="1"/>
          <w:sz w:val="24"/>
          <w:u w:val="single"/>
        </w:rPr>
        <w:t xml:space="preserve"> </w:t>
      </w:r>
      <w:r>
        <w:rPr>
          <w:rFonts w:hint="eastAsia" w:ascii="宋体" w:hAnsi="宋体" w:cs="宋体"/>
          <w:spacing w:val="-16"/>
          <w:sz w:val="24"/>
        </w:rPr>
        <w:t>日止；</w:t>
      </w:r>
    </w:p>
    <w:p w14:paraId="2A618CAF">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5"/>
          <w:sz w:val="24"/>
        </w:rPr>
        <w:t>五、</w:t>
      </w:r>
      <w:r>
        <w:rPr>
          <w:rFonts w:hint="eastAsia" w:ascii="宋体" w:hAnsi="宋体" w:cs="宋体"/>
          <w:spacing w:val="-5"/>
          <w:sz w:val="24"/>
        </w:rPr>
        <w:t>法律服务费、支付</w:t>
      </w:r>
    </w:p>
    <w:p w14:paraId="5C8D0743">
      <w:pPr>
        <w:keepNext w:val="0"/>
        <w:keepLines w:val="0"/>
        <w:pageBreakBefore w:val="0"/>
        <w:widowControl w:val="0"/>
        <w:kinsoku/>
        <w:wordWrap/>
        <w:overflowPunct/>
        <w:topLinePunct w:val="0"/>
        <w:autoSpaceDE/>
        <w:autoSpaceDN/>
        <w:bidi w:val="0"/>
        <w:adjustRightInd w:val="0"/>
        <w:snapToGrid w:val="0"/>
        <w:spacing w:line="360" w:lineRule="auto"/>
        <w:ind w:left="0" w:right="0" w:firstLine="433"/>
        <w:textAlignment w:val="auto"/>
        <w:rPr>
          <w:rFonts w:hint="eastAsia" w:ascii="宋体" w:hAnsi="宋体" w:cs="宋体"/>
          <w:sz w:val="24"/>
        </w:rPr>
      </w:pPr>
      <w:r>
        <w:rPr>
          <w:rFonts w:hint="eastAsia" w:ascii="宋体" w:hAnsi="宋体" w:cs="宋体"/>
          <w:spacing w:val="-2"/>
          <w:sz w:val="24"/>
        </w:rPr>
        <w:t>（1）本合同项下的法律服务费：</w:t>
      </w:r>
    </w:p>
    <w:p w14:paraId="74D7F344">
      <w:pPr>
        <w:keepNext w:val="0"/>
        <w:keepLines w:val="0"/>
        <w:pageBreakBefore w:val="0"/>
        <w:widowControl w:val="0"/>
        <w:kinsoku/>
        <w:wordWrap/>
        <w:overflowPunct/>
        <w:topLinePunct w:val="0"/>
        <w:autoSpaceDE/>
        <w:autoSpaceDN/>
        <w:bidi w:val="0"/>
        <w:adjustRightInd w:val="0"/>
        <w:snapToGrid w:val="0"/>
        <w:spacing w:line="360" w:lineRule="auto"/>
        <w:ind w:left="0" w:right="0" w:firstLine="427"/>
        <w:textAlignment w:val="auto"/>
        <w:rPr>
          <w:rFonts w:hint="eastAsia" w:ascii="宋体" w:hAnsi="宋体" w:cs="宋体"/>
          <w:spacing w:val="-11"/>
          <w:sz w:val="24"/>
        </w:rPr>
      </w:pPr>
      <w:r>
        <w:rPr>
          <w:rFonts w:hint="eastAsia" w:ascii="宋体" w:hAnsi="宋体" w:cs="宋体"/>
          <w:spacing w:val="-11"/>
          <w:sz w:val="24"/>
        </w:rPr>
        <w:t>①律师服务（常年法律顾问费）金额为（大写）：</w:t>
      </w:r>
      <w:r>
        <w:rPr>
          <w:rFonts w:hint="eastAsia" w:ascii="宋体" w:hAnsi="宋体" w:cs="宋体"/>
          <w:spacing w:val="-11"/>
          <w:sz w:val="24"/>
          <w:u w:val="single"/>
        </w:rPr>
        <w:t>人民币</w:t>
      </w:r>
      <w:r>
        <w:rPr>
          <w:rFonts w:hint="eastAsia" w:ascii="宋体" w:hAnsi="宋体" w:cs="宋体"/>
          <w:spacing w:val="-11"/>
          <w:sz w:val="24"/>
          <w:u w:val="single"/>
          <w:lang w:val="en-US" w:eastAsia="zh-CN"/>
        </w:rPr>
        <w:t xml:space="preserve">      万元</w:t>
      </w:r>
      <w:r>
        <w:rPr>
          <w:rFonts w:hint="eastAsia" w:ascii="宋体" w:hAnsi="宋体" w:cs="宋体"/>
          <w:spacing w:val="-11"/>
          <w:sz w:val="24"/>
          <w:u w:val="single"/>
        </w:rPr>
        <w:t xml:space="preserve"> </w:t>
      </w:r>
      <w:r>
        <w:rPr>
          <w:rFonts w:hint="eastAsia" w:ascii="宋体" w:hAnsi="宋体" w:cs="宋体"/>
          <w:spacing w:val="-11"/>
          <w:sz w:val="24"/>
          <w:u w:val="single"/>
          <w:lang w:eastAsia="zh-CN"/>
        </w:rPr>
        <w:t>整</w:t>
      </w:r>
      <w:r>
        <w:rPr>
          <w:rFonts w:hint="eastAsia" w:ascii="宋体" w:hAnsi="宋体" w:cs="宋体"/>
          <w:spacing w:val="-11"/>
          <w:sz w:val="24"/>
          <w:u w:val="single"/>
        </w:rPr>
        <w:t xml:space="preserve"> 总价包干</w:t>
      </w:r>
      <w:r>
        <w:rPr>
          <w:rFonts w:hint="eastAsia" w:ascii="宋体" w:hAnsi="宋体" w:cs="宋体"/>
          <w:spacing w:val="-11"/>
          <w:sz w:val="24"/>
        </w:rPr>
        <w:t>。</w:t>
      </w:r>
    </w:p>
    <w:p w14:paraId="58873770">
      <w:pPr>
        <w:keepNext w:val="0"/>
        <w:keepLines w:val="0"/>
        <w:pageBreakBefore w:val="0"/>
        <w:widowControl w:val="0"/>
        <w:kinsoku/>
        <w:wordWrap/>
        <w:overflowPunct/>
        <w:topLinePunct w:val="0"/>
        <w:autoSpaceDE/>
        <w:autoSpaceDN/>
        <w:bidi w:val="0"/>
        <w:adjustRightInd w:val="0"/>
        <w:snapToGrid w:val="0"/>
        <w:spacing w:line="360" w:lineRule="auto"/>
        <w:ind w:left="0" w:right="0" w:firstLine="436" w:firstLineChars="200"/>
        <w:jc w:val="left"/>
        <w:textAlignment w:val="auto"/>
        <w:rPr>
          <w:rFonts w:hint="eastAsia" w:ascii="宋体" w:hAnsi="宋体" w:cs="宋体"/>
          <w:spacing w:val="-11"/>
          <w:sz w:val="24"/>
        </w:rPr>
      </w:pPr>
      <w:r>
        <w:rPr>
          <w:rFonts w:hint="eastAsia" w:ascii="宋体" w:hAnsi="宋体" w:cs="宋体"/>
          <w:spacing w:val="-11"/>
          <w:sz w:val="24"/>
        </w:rPr>
        <w:t>②</w:t>
      </w:r>
      <w:r>
        <w:rPr>
          <w:rFonts w:hint="eastAsia" w:ascii="宋体" w:hAnsi="宋体" w:cs="宋体"/>
          <w:spacing w:val="-3"/>
          <w:sz w:val="24"/>
        </w:rPr>
        <w:t>案件审理费（</w:t>
      </w:r>
      <w:r>
        <w:rPr>
          <w:rFonts w:hint="eastAsia" w:ascii="宋体" w:hAnsi="宋体" w:cs="宋体"/>
          <w:spacing w:val="-9"/>
          <w:sz w:val="24"/>
        </w:rPr>
        <w:t>行政复议、[</w:t>
      </w:r>
      <w:r>
        <w:rPr>
          <w:rFonts w:hint="eastAsia" w:ascii="宋体" w:hAnsi="宋体" w:cs="宋体"/>
          <w:spacing w:val="-3"/>
          <w:sz w:val="24"/>
        </w:rPr>
        <w:t>行政诉讼（</w:t>
      </w:r>
      <w:r>
        <w:rPr>
          <w:rFonts w:hint="eastAsia" w:ascii="宋体" w:hAnsi="宋体" w:cs="宋体"/>
          <w:spacing w:val="-50"/>
          <w:sz w:val="24"/>
        </w:rPr>
        <w:t xml:space="preserve"> </w:t>
      </w:r>
      <w:r>
        <w:rPr>
          <w:rFonts w:hint="eastAsia" w:ascii="宋体" w:hAnsi="宋体" w:cs="宋体"/>
          <w:spacing w:val="-3"/>
          <w:sz w:val="24"/>
        </w:rPr>
        <w:t>一审、二</w:t>
      </w:r>
      <w:r>
        <w:rPr>
          <w:rFonts w:hint="eastAsia" w:ascii="宋体" w:hAnsi="宋体" w:cs="宋体"/>
          <w:spacing w:val="-2"/>
          <w:sz w:val="24"/>
        </w:rPr>
        <w:t>审、再审</w:t>
      </w:r>
      <w:r>
        <w:rPr>
          <w:rFonts w:hint="eastAsia" w:ascii="宋体" w:hAnsi="宋体" w:cs="宋体"/>
          <w:spacing w:val="-69"/>
          <w:sz w:val="24"/>
        </w:rPr>
        <w:t>）</w:t>
      </w:r>
      <w:r>
        <w:rPr>
          <w:rFonts w:hint="eastAsia" w:ascii="宋体" w:hAnsi="宋体" w:cs="宋体"/>
          <w:spacing w:val="-3"/>
          <w:sz w:val="24"/>
        </w:rPr>
        <w:t>每</w:t>
      </w:r>
      <w:r>
        <w:rPr>
          <w:rFonts w:hint="eastAsia" w:ascii="宋体" w:hAnsi="宋体" w:cs="宋体"/>
          <w:spacing w:val="-4"/>
          <w:sz w:val="24"/>
        </w:rPr>
        <w:t>一阶段）</w:t>
      </w:r>
      <w:r>
        <w:rPr>
          <w:rFonts w:hint="eastAsia" w:ascii="宋体" w:hAnsi="宋体" w:cs="宋体"/>
          <w:spacing w:val="38"/>
          <w:sz w:val="24"/>
        </w:rPr>
        <w:t>]</w:t>
      </w:r>
      <w:r>
        <w:rPr>
          <w:rFonts w:hint="eastAsia" w:ascii="宋体" w:hAnsi="宋体" w:cs="宋体"/>
          <w:spacing w:val="-3"/>
          <w:sz w:val="24"/>
        </w:rPr>
        <w:t>）</w:t>
      </w:r>
      <w:r>
        <w:rPr>
          <w:rFonts w:hint="eastAsia" w:ascii="宋体" w:hAnsi="宋体" w:cs="宋体"/>
          <w:spacing w:val="-11"/>
          <w:sz w:val="24"/>
        </w:rPr>
        <w:t>的收费标准为（大写）：</w:t>
      </w:r>
      <w:r>
        <w:rPr>
          <w:rFonts w:hint="eastAsia" w:ascii="宋体" w:hAnsi="宋体" w:cs="宋体"/>
          <w:spacing w:val="-11"/>
          <w:sz w:val="24"/>
          <w:u w:val="single"/>
        </w:rPr>
        <w:t>人民币</w:t>
      </w:r>
      <w:r>
        <w:rPr>
          <w:rFonts w:hint="eastAsia" w:ascii="宋体" w:hAnsi="宋体" w:cs="宋体"/>
          <w:spacing w:val="-11"/>
          <w:sz w:val="24"/>
          <w:u w:val="single"/>
          <w:lang w:val="en-US" w:eastAsia="zh-CN"/>
        </w:rPr>
        <w:t xml:space="preserve">   </w:t>
      </w:r>
      <w:r>
        <w:rPr>
          <w:rFonts w:hint="eastAsia" w:ascii="宋体" w:hAnsi="宋体" w:cs="宋体"/>
          <w:spacing w:val="-11"/>
          <w:sz w:val="24"/>
          <w:u w:val="single"/>
        </w:rPr>
        <w:t xml:space="preserve">   元/件（￥   元/件）</w:t>
      </w:r>
      <w:r>
        <w:rPr>
          <w:rFonts w:hint="eastAsia" w:ascii="宋体" w:hAnsi="宋体" w:cs="宋体"/>
          <w:spacing w:val="-11"/>
          <w:sz w:val="24"/>
        </w:rPr>
        <w:t>，</w:t>
      </w:r>
      <w:r>
        <w:rPr>
          <w:rFonts w:hint="eastAsia" w:ascii="宋体" w:hAnsi="宋体" w:cs="宋体"/>
          <w:spacing w:val="-11"/>
          <w:sz w:val="24"/>
          <w:u w:val="single"/>
        </w:rPr>
        <w:t>按实际发生案件审理数量结算。</w:t>
      </w:r>
    </w:p>
    <w:p w14:paraId="1807B861">
      <w:pPr>
        <w:keepNext w:val="0"/>
        <w:keepLines w:val="0"/>
        <w:pageBreakBefore w:val="0"/>
        <w:widowControl w:val="0"/>
        <w:kinsoku/>
        <w:wordWrap/>
        <w:overflowPunct/>
        <w:topLinePunct w:val="0"/>
        <w:autoSpaceDE/>
        <w:autoSpaceDN/>
        <w:bidi w:val="0"/>
        <w:adjustRightInd w:val="0"/>
        <w:snapToGrid w:val="0"/>
        <w:spacing w:line="360" w:lineRule="auto"/>
        <w:ind w:left="0" w:right="0" w:firstLine="418"/>
        <w:textAlignment w:val="auto"/>
        <w:rPr>
          <w:rFonts w:hint="eastAsia" w:ascii="宋体" w:hAnsi="宋体" w:cs="宋体"/>
          <w:sz w:val="24"/>
        </w:rPr>
      </w:pPr>
      <w:r>
        <w:rPr>
          <w:rFonts w:hint="eastAsia" w:ascii="宋体" w:hAnsi="宋体" w:cs="宋体"/>
          <w:spacing w:val="-2"/>
          <w:sz w:val="24"/>
        </w:rPr>
        <w:t>③民事诉讼律师费的收费标准根据浙江省物价局、浙江省司法厅《关于制定律师服务收费标准的</w:t>
      </w:r>
      <w:r>
        <w:rPr>
          <w:rFonts w:hint="eastAsia" w:ascii="宋体" w:hAnsi="宋体" w:cs="宋体"/>
          <w:spacing w:val="-9"/>
          <w:sz w:val="24"/>
        </w:rPr>
        <w:t>通知》（浙价服〔2011〕212</w:t>
      </w:r>
      <w:r>
        <w:rPr>
          <w:rFonts w:hint="eastAsia" w:ascii="宋体" w:hAnsi="宋体" w:cs="宋体"/>
          <w:spacing w:val="9"/>
          <w:w w:val="101"/>
          <w:sz w:val="24"/>
        </w:rPr>
        <w:t xml:space="preserve"> </w:t>
      </w:r>
      <w:r>
        <w:rPr>
          <w:rFonts w:hint="eastAsia" w:ascii="宋体" w:hAnsi="宋体" w:cs="宋体"/>
          <w:spacing w:val="-9"/>
          <w:sz w:val="24"/>
        </w:rPr>
        <w:t>号）规定</w:t>
      </w:r>
      <w:r>
        <w:rPr>
          <w:rFonts w:hint="eastAsia" w:ascii="宋体" w:hAnsi="宋体" w:cs="宋体"/>
          <w:spacing w:val="-9"/>
          <w:sz w:val="24"/>
          <w:u w:val="single"/>
        </w:rPr>
        <w:t xml:space="preserve">   </w:t>
      </w:r>
      <w:r>
        <w:rPr>
          <w:rFonts w:hint="eastAsia" w:ascii="宋体" w:hAnsi="宋体" w:cs="宋体"/>
          <w:spacing w:val="-9"/>
          <w:sz w:val="24"/>
          <w:highlight w:val="none"/>
          <w:u w:val="single"/>
        </w:rPr>
        <w:t xml:space="preserve"> %计取</w:t>
      </w:r>
      <w:r>
        <w:rPr>
          <w:rFonts w:hint="eastAsia" w:ascii="宋体" w:hAnsi="宋体" w:cs="宋体"/>
          <w:spacing w:val="-9"/>
          <w:sz w:val="24"/>
        </w:rPr>
        <w:t>，按照实际情况结算。</w:t>
      </w:r>
    </w:p>
    <w:p w14:paraId="7AEA230A">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ind w:left="0" w:right="0" w:firstLine="417"/>
        <w:textAlignment w:val="auto"/>
        <w:rPr>
          <w:rFonts w:hint="eastAsia" w:ascii="宋体" w:hAnsi="宋体" w:cs="宋体"/>
          <w:b w:val="0"/>
          <w:bCs w:val="0"/>
          <w:color w:val="000000" w:themeColor="text1"/>
          <w:sz w:val="24"/>
          <w:highlight w:val="none"/>
          <w:u w:val="none"/>
          <w14:textFill>
            <w14:solidFill>
              <w14:schemeClr w14:val="tx1"/>
            </w14:solidFill>
          </w14:textFill>
        </w:rPr>
      </w:pPr>
      <w:r>
        <w:rPr>
          <w:rFonts w:hint="eastAsia" w:ascii="宋体" w:hAnsi="宋体" w:cs="宋体"/>
          <w:b w:val="0"/>
          <w:bCs w:val="0"/>
          <w:spacing w:val="1"/>
          <w:sz w:val="24"/>
          <w:u w:val="none"/>
        </w:rPr>
        <w:t>在服务期内，供应商应完成分派的所有服务内容及数量，</w:t>
      </w:r>
      <w:r>
        <w:rPr>
          <w:rFonts w:hint="eastAsia" w:ascii="宋体" w:hAnsi="宋体" w:cs="宋体"/>
          <w:b w:val="0"/>
          <w:bCs w:val="0"/>
          <w:sz w:val="24"/>
          <w:u w:val="none"/>
        </w:rPr>
        <w:t>如未超过本项目</w:t>
      </w:r>
      <w:r>
        <w:rPr>
          <w:rFonts w:hint="eastAsia" w:ascii="宋体" w:hAnsi="宋体" w:cs="宋体"/>
          <w:b w:val="0"/>
          <w:bCs w:val="0"/>
          <w:sz w:val="24"/>
          <w:u w:val="none"/>
          <w:lang w:val="en-US" w:eastAsia="zh-CN"/>
        </w:rPr>
        <w:t>合同金额</w:t>
      </w:r>
      <w:r>
        <w:rPr>
          <w:rFonts w:hint="eastAsia" w:ascii="宋体" w:hAnsi="宋体" w:cs="宋体"/>
          <w:b w:val="0"/>
          <w:bCs w:val="0"/>
          <w:sz w:val="24"/>
          <w:u w:val="none"/>
        </w:rPr>
        <w:t>，按实际审理案件数量结算后支付</w:t>
      </w:r>
      <w:r>
        <w:rPr>
          <w:rFonts w:hint="eastAsia" w:ascii="宋体" w:hAnsi="宋体" w:cs="宋体"/>
          <w:b w:val="0"/>
          <w:bCs w:val="0"/>
          <w:spacing w:val="1"/>
          <w:sz w:val="24"/>
          <w:u w:val="none"/>
        </w:rPr>
        <w:t>。如按实结算金额超出</w:t>
      </w:r>
      <w:r>
        <w:rPr>
          <w:rFonts w:hint="eastAsia" w:ascii="宋体" w:hAnsi="宋体" w:cs="宋体"/>
          <w:b w:val="0"/>
          <w:bCs w:val="0"/>
          <w:spacing w:val="1"/>
          <w:sz w:val="24"/>
          <w:u w:val="none"/>
          <w:lang w:val="en-US" w:eastAsia="zh-CN"/>
        </w:rPr>
        <w:t>合同</w:t>
      </w:r>
      <w:r>
        <w:rPr>
          <w:rFonts w:hint="eastAsia" w:ascii="宋体" w:hAnsi="宋体" w:cs="宋体"/>
          <w:b w:val="0"/>
          <w:bCs w:val="0"/>
          <w:spacing w:val="1"/>
          <w:sz w:val="24"/>
          <w:u w:val="none"/>
        </w:rPr>
        <w:t>金额时，采用总价包干，采</w:t>
      </w:r>
      <w:r>
        <w:rPr>
          <w:rFonts w:hint="eastAsia" w:ascii="宋体" w:hAnsi="宋体" w:cs="宋体"/>
          <w:b w:val="0"/>
          <w:bCs w:val="0"/>
          <w:sz w:val="24"/>
          <w:u w:val="none"/>
        </w:rPr>
        <w:t>购人实际最多按项目</w:t>
      </w:r>
      <w:r>
        <w:rPr>
          <w:rFonts w:hint="eastAsia" w:ascii="宋体" w:hAnsi="宋体" w:cs="宋体"/>
          <w:b w:val="0"/>
          <w:bCs w:val="0"/>
          <w:sz w:val="24"/>
          <w:u w:val="none"/>
          <w:lang w:val="en-US" w:eastAsia="zh-CN"/>
        </w:rPr>
        <w:t>合同金额</w:t>
      </w:r>
      <w:r>
        <w:rPr>
          <w:rFonts w:hint="eastAsia" w:ascii="宋体" w:hAnsi="宋体" w:cs="宋体"/>
          <w:b w:val="0"/>
          <w:bCs w:val="0"/>
          <w:sz w:val="24"/>
          <w:u w:val="none"/>
        </w:rPr>
        <w:t>支付</w:t>
      </w:r>
      <w:r>
        <w:rPr>
          <w:rFonts w:hint="eastAsia" w:ascii="宋体" w:hAnsi="宋体" w:cs="宋体"/>
          <w:b w:val="0"/>
          <w:bCs w:val="0"/>
          <w:color w:val="000000" w:themeColor="text1"/>
          <w:sz w:val="24"/>
          <w:highlight w:val="none"/>
          <w:u w:val="none"/>
          <w:lang w:eastAsia="zh-CN"/>
          <w14:textFill>
            <w14:solidFill>
              <w14:schemeClr w14:val="tx1"/>
            </w14:solidFill>
          </w14:textFill>
        </w:rPr>
        <w:t>。</w:t>
      </w:r>
    </w:p>
    <w:p w14:paraId="6212F06F">
      <w:pPr>
        <w:keepNext w:val="0"/>
        <w:keepLines w:val="0"/>
        <w:pageBreakBefore w:val="0"/>
        <w:widowControl w:val="0"/>
        <w:kinsoku/>
        <w:wordWrap/>
        <w:overflowPunct/>
        <w:topLinePunct w:val="0"/>
        <w:autoSpaceDE/>
        <w:autoSpaceDN/>
        <w:bidi w:val="0"/>
        <w:adjustRightInd w:val="0"/>
        <w:snapToGrid w:val="0"/>
        <w:spacing w:line="360" w:lineRule="auto"/>
        <w:ind w:left="0" w:right="0" w:firstLine="472" w:firstLineChars="200"/>
        <w:jc w:val="left"/>
        <w:textAlignment w:val="auto"/>
        <w:rPr>
          <w:rFonts w:hint="eastAsia" w:ascii="宋体" w:hAnsi="宋体" w:cs="宋体"/>
          <w:spacing w:val="-2"/>
          <w:sz w:val="24"/>
          <w:u w:val="none"/>
        </w:rPr>
      </w:pPr>
      <w:r>
        <w:rPr>
          <w:rFonts w:hint="eastAsia" w:ascii="宋体" w:hAnsi="宋体" w:cs="宋体"/>
          <w:spacing w:val="-2"/>
          <w:sz w:val="24"/>
          <w:u w:val="none"/>
        </w:rPr>
        <w:t>（3）法律服务费的支付时间：</w:t>
      </w:r>
    </w:p>
    <w:p w14:paraId="4CC26FBB">
      <w:pPr>
        <w:keepNext w:val="0"/>
        <w:keepLines w:val="0"/>
        <w:pageBreakBefore w:val="0"/>
        <w:widowControl w:val="0"/>
        <w:kinsoku/>
        <w:wordWrap/>
        <w:overflowPunct/>
        <w:topLinePunct w:val="0"/>
        <w:autoSpaceDE/>
        <w:autoSpaceDN/>
        <w:bidi w:val="0"/>
        <w:adjustRightInd w:val="0"/>
        <w:snapToGrid w:val="0"/>
        <w:spacing w:line="360" w:lineRule="auto"/>
        <w:ind w:left="0" w:right="0" w:firstLine="472" w:firstLineChars="200"/>
        <w:jc w:val="left"/>
        <w:textAlignment w:val="auto"/>
        <w:rPr>
          <w:rFonts w:hint="default" w:ascii="宋体" w:hAnsi="宋体" w:eastAsia="宋体" w:cs="宋体"/>
          <w:color w:val="0000FF"/>
          <w:spacing w:val="-6"/>
          <w:sz w:val="24"/>
          <w:u w:val="none"/>
          <w:lang w:val="en-US" w:eastAsia="zh-CN"/>
        </w:rPr>
      </w:pPr>
      <w:r>
        <w:rPr>
          <w:rFonts w:hint="eastAsia" w:ascii="宋体" w:hAnsi="宋体" w:cs="宋体"/>
          <w:spacing w:val="-2"/>
          <w:sz w:val="24"/>
          <w:u w:val="none"/>
          <w:lang w:eastAsia="zh-CN"/>
        </w:rPr>
        <w:t>（</w:t>
      </w:r>
      <w:r>
        <w:rPr>
          <w:rFonts w:hint="eastAsia" w:ascii="宋体" w:hAnsi="宋体" w:cs="宋体"/>
          <w:spacing w:val="-2"/>
          <w:sz w:val="24"/>
          <w:u w:val="none"/>
        </w:rPr>
        <w:t>1)</w:t>
      </w:r>
      <w:r>
        <w:rPr>
          <w:rFonts w:hint="eastAsia" w:ascii="宋体" w:hAnsi="宋体" w:cs="宋体"/>
          <w:spacing w:val="-11"/>
          <w:sz w:val="24"/>
          <w:u w:val="none"/>
        </w:rPr>
        <w:t>律师服务（常年法律顾问费）的支付:</w:t>
      </w:r>
      <w:r>
        <w:rPr>
          <w:rFonts w:hint="eastAsia" w:ascii="宋体" w:hAnsi="宋体" w:cs="宋体"/>
          <w:color w:val="000000" w:themeColor="text1"/>
          <w:spacing w:val="-6"/>
          <w:sz w:val="24"/>
          <w:highlight w:val="none"/>
          <w:u w:val="none"/>
          <w14:textFill>
            <w14:solidFill>
              <w14:schemeClr w14:val="tx1"/>
            </w14:solidFill>
          </w14:textFill>
        </w:rPr>
        <w:t xml:space="preserve"> </w:t>
      </w:r>
      <w:r>
        <w:rPr>
          <w:rFonts w:hint="eastAsia" w:ascii="宋体" w:hAnsi="宋体" w:cs="宋体"/>
          <w:color w:val="000000" w:themeColor="text1"/>
          <w:spacing w:val="-2"/>
          <w:sz w:val="24"/>
          <w:highlight w:val="none"/>
          <w:u w:val="none"/>
          <w14:textFill>
            <w14:solidFill>
              <w14:schemeClr w14:val="tx1"/>
            </w14:solidFill>
          </w14:textFill>
        </w:rPr>
        <w:t>法律顾问服务费按照年度支付，合同签订之日起30天内甲方支付给乙方</w:t>
      </w:r>
      <w:r>
        <w:rPr>
          <w:rFonts w:hint="eastAsia" w:ascii="宋体" w:hAnsi="宋体" w:cs="宋体"/>
          <w:color w:val="000000" w:themeColor="text1"/>
          <w:spacing w:val="-6"/>
          <w:sz w:val="24"/>
          <w:highlight w:val="none"/>
          <w:u w:val="none"/>
          <w14:textFill>
            <w14:solidFill>
              <w14:schemeClr w14:val="tx1"/>
            </w14:solidFill>
          </w14:textFill>
        </w:rPr>
        <w:t>律师服务费（常年法律顾问费）</w:t>
      </w:r>
      <w:r>
        <w:rPr>
          <w:rFonts w:hint="eastAsia" w:ascii="宋体" w:hAnsi="宋体" w:cs="宋体"/>
          <w:color w:val="000000" w:themeColor="text1"/>
          <w:spacing w:val="-2"/>
          <w:sz w:val="24"/>
          <w:highlight w:val="none"/>
          <w:u w:val="none"/>
          <w:lang w:val="en-US" w:eastAsia="zh-CN"/>
          <w14:textFill>
            <w14:solidFill>
              <w14:schemeClr w14:val="tx1"/>
            </w14:solidFill>
          </w14:textFill>
        </w:rPr>
        <w:t>。</w:t>
      </w:r>
    </w:p>
    <w:p w14:paraId="2F48A09E">
      <w:pPr>
        <w:keepNext w:val="0"/>
        <w:keepLines w:val="0"/>
        <w:pageBreakBefore w:val="0"/>
        <w:widowControl w:val="0"/>
        <w:kinsoku/>
        <w:wordWrap/>
        <w:overflowPunct/>
        <w:topLinePunct w:val="0"/>
        <w:autoSpaceDE/>
        <w:autoSpaceDN/>
        <w:bidi w:val="0"/>
        <w:adjustRightInd w:val="0"/>
        <w:snapToGrid w:val="0"/>
        <w:spacing w:line="360" w:lineRule="auto"/>
        <w:ind w:left="0" w:right="0" w:firstLine="456" w:firstLineChars="200"/>
        <w:jc w:val="left"/>
        <w:textAlignment w:val="auto"/>
        <w:rPr>
          <w:rFonts w:hint="eastAsia" w:ascii="宋体" w:hAnsi="宋体" w:cs="宋体"/>
          <w:color w:val="000000" w:themeColor="text1"/>
          <w:spacing w:val="-9"/>
          <w:sz w:val="24"/>
          <w:highlight w:val="none"/>
          <w14:textFill>
            <w14:solidFill>
              <w14:schemeClr w14:val="tx1"/>
            </w14:solidFill>
          </w14:textFill>
        </w:rPr>
      </w:pPr>
      <w:r>
        <w:rPr>
          <w:rFonts w:hint="eastAsia" w:ascii="宋体" w:hAnsi="宋体" w:cs="宋体"/>
          <w:color w:val="000000" w:themeColor="text1"/>
          <w:spacing w:val="-6"/>
          <w:sz w:val="24"/>
          <w:highlight w:val="none"/>
          <w:u w:val="none"/>
          <w:lang w:eastAsia="zh-CN"/>
          <w14:textFill>
            <w14:solidFill>
              <w14:schemeClr w14:val="tx1"/>
            </w14:solidFill>
          </w14:textFill>
        </w:rPr>
        <w:t>（</w:t>
      </w:r>
      <w:r>
        <w:rPr>
          <w:rFonts w:hint="eastAsia" w:ascii="宋体" w:hAnsi="宋体" w:cs="宋体"/>
          <w:color w:val="000000" w:themeColor="text1"/>
          <w:spacing w:val="-6"/>
          <w:sz w:val="24"/>
          <w:highlight w:val="none"/>
          <w:u w:val="none"/>
          <w14:textFill>
            <w14:solidFill>
              <w14:schemeClr w14:val="tx1"/>
            </w14:solidFill>
          </w14:textFill>
        </w:rPr>
        <w:t>2）</w:t>
      </w:r>
      <w:r>
        <w:rPr>
          <w:rFonts w:hint="eastAsia" w:ascii="宋体" w:hAnsi="宋体" w:cs="宋体"/>
          <w:color w:val="000000" w:themeColor="text1"/>
          <w:spacing w:val="-3"/>
          <w:sz w:val="24"/>
          <w:highlight w:val="none"/>
          <w:u w:val="none"/>
          <w14:textFill>
            <w14:solidFill>
              <w14:schemeClr w14:val="tx1"/>
            </w14:solidFill>
          </w14:textFill>
        </w:rPr>
        <w:t>案件审理费（</w:t>
      </w:r>
      <w:r>
        <w:rPr>
          <w:rFonts w:hint="eastAsia" w:ascii="宋体" w:hAnsi="宋体" w:cs="宋体"/>
          <w:color w:val="000000" w:themeColor="text1"/>
          <w:spacing w:val="-9"/>
          <w:sz w:val="24"/>
          <w:highlight w:val="none"/>
          <w:u w:val="none"/>
          <w14:textFill>
            <w14:solidFill>
              <w14:schemeClr w14:val="tx1"/>
            </w14:solidFill>
          </w14:textFill>
        </w:rPr>
        <w:t>行政复议、[</w:t>
      </w:r>
      <w:r>
        <w:rPr>
          <w:rFonts w:hint="eastAsia" w:ascii="宋体" w:hAnsi="宋体" w:cs="宋体"/>
          <w:color w:val="000000" w:themeColor="text1"/>
          <w:spacing w:val="-3"/>
          <w:sz w:val="24"/>
          <w:highlight w:val="none"/>
          <w:u w:val="none"/>
          <w14:textFill>
            <w14:solidFill>
              <w14:schemeClr w14:val="tx1"/>
            </w14:solidFill>
          </w14:textFill>
        </w:rPr>
        <w:t>行政诉讼（</w:t>
      </w:r>
      <w:r>
        <w:rPr>
          <w:rFonts w:hint="eastAsia" w:ascii="宋体" w:hAnsi="宋体" w:cs="宋体"/>
          <w:color w:val="000000" w:themeColor="text1"/>
          <w:spacing w:val="-50"/>
          <w:sz w:val="24"/>
          <w:highlight w:val="none"/>
          <w:u w:val="none"/>
          <w14:textFill>
            <w14:solidFill>
              <w14:schemeClr w14:val="tx1"/>
            </w14:solidFill>
          </w14:textFill>
        </w:rPr>
        <w:t xml:space="preserve"> </w:t>
      </w:r>
      <w:r>
        <w:rPr>
          <w:rFonts w:hint="eastAsia" w:ascii="宋体" w:hAnsi="宋体" w:cs="宋体"/>
          <w:color w:val="000000" w:themeColor="text1"/>
          <w:spacing w:val="-3"/>
          <w:sz w:val="24"/>
          <w:highlight w:val="none"/>
          <w:u w:val="none"/>
          <w14:textFill>
            <w14:solidFill>
              <w14:schemeClr w14:val="tx1"/>
            </w14:solidFill>
          </w14:textFill>
        </w:rPr>
        <w:t>一审、二</w:t>
      </w:r>
      <w:r>
        <w:rPr>
          <w:rFonts w:hint="eastAsia" w:ascii="宋体" w:hAnsi="宋体" w:cs="宋体"/>
          <w:color w:val="000000" w:themeColor="text1"/>
          <w:spacing w:val="-2"/>
          <w:sz w:val="24"/>
          <w:highlight w:val="none"/>
          <w:u w:val="none"/>
          <w14:textFill>
            <w14:solidFill>
              <w14:schemeClr w14:val="tx1"/>
            </w14:solidFill>
          </w14:textFill>
        </w:rPr>
        <w:t>审、再审</w:t>
      </w:r>
      <w:r>
        <w:rPr>
          <w:rFonts w:hint="eastAsia" w:ascii="宋体" w:hAnsi="宋体" w:cs="宋体"/>
          <w:color w:val="000000" w:themeColor="text1"/>
          <w:spacing w:val="-69"/>
          <w:sz w:val="24"/>
          <w:highlight w:val="none"/>
          <w:u w:val="none"/>
          <w14:textFill>
            <w14:solidFill>
              <w14:schemeClr w14:val="tx1"/>
            </w14:solidFill>
          </w14:textFill>
        </w:rPr>
        <w:t>）</w:t>
      </w:r>
      <w:r>
        <w:rPr>
          <w:rFonts w:hint="eastAsia" w:ascii="宋体" w:hAnsi="宋体" w:cs="宋体"/>
          <w:color w:val="000000" w:themeColor="text1"/>
          <w:spacing w:val="-3"/>
          <w:sz w:val="24"/>
          <w:highlight w:val="none"/>
          <w:u w:val="none"/>
          <w14:textFill>
            <w14:solidFill>
              <w14:schemeClr w14:val="tx1"/>
            </w14:solidFill>
          </w14:textFill>
        </w:rPr>
        <w:t>每</w:t>
      </w:r>
      <w:r>
        <w:rPr>
          <w:rFonts w:hint="eastAsia" w:ascii="宋体" w:hAnsi="宋体" w:cs="宋体"/>
          <w:color w:val="000000" w:themeColor="text1"/>
          <w:spacing w:val="-4"/>
          <w:sz w:val="24"/>
          <w:highlight w:val="none"/>
          <w:u w:val="none"/>
          <w14:textFill>
            <w14:solidFill>
              <w14:schemeClr w14:val="tx1"/>
            </w14:solidFill>
          </w14:textFill>
        </w:rPr>
        <w:t>一阶段）</w:t>
      </w:r>
      <w:r>
        <w:rPr>
          <w:rFonts w:hint="eastAsia" w:ascii="宋体" w:hAnsi="宋体" w:cs="宋体"/>
          <w:color w:val="000000" w:themeColor="text1"/>
          <w:spacing w:val="38"/>
          <w:sz w:val="24"/>
          <w:highlight w:val="none"/>
          <w:u w:val="none"/>
          <w14:textFill>
            <w14:solidFill>
              <w14:schemeClr w14:val="tx1"/>
            </w14:solidFill>
          </w14:textFill>
        </w:rPr>
        <w:t>]</w:t>
      </w:r>
      <w:r>
        <w:rPr>
          <w:rFonts w:hint="eastAsia" w:ascii="宋体" w:hAnsi="宋体" w:cs="宋体"/>
          <w:color w:val="000000" w:themeColor="text1"/>
          <w:spacing w:val="-3"/>
          <w:sz w:val="24"/>
          <w:highlight w:val="none"/>
          <w:u w:val="none"/>
          <w14:textFill>
            <w14:solidFill>
              <w14:schemeClr w14:val="tx1"/>
            </w14:solidFill>
          </w14:textFill>
        </w:rPr>
        <w:t>）以及民事案件的支付：</w:t>
      </w:r>
      <w:r>
        <w:rPr>
          <w:rFonts w:hint="eastAsia" w:ascii="宋体" w:hAnsi="宋体" w:cs="宋体"/>
          <w:color w:val="000000" w:themeColor="text1"/>
          <w:spacing w:val="-6"/>
          <w:sz w:val="24"/>
          <w:highlight w:val="none"/>
          <w:u w:val="none"/>
          <w14:textFill>
            <w14:solidFill>
              <w14:schemeClr w14:val="tx1"/>
            </w14:solidFill>
          </w14:textFill>
        </w:rPr>
        <w:t>按每半年（6个月）</w:t>
      </w:r>
      <w:r>
        <w:rPr>
          <w:rFonts w:hint="eastAsia" w:ascii="宋体" w:hAnsi="宋体" w:cs="宋体"/>
          <w:color w:val="000000" w:themeColor="text1"/>
          <w:spacing w:val="17"/>
          <w:sz w:val="24"/>
          <w:highlight w:val="none"/>
          <w:u w:val="none"/>
          <w14:textFill>
            <w14:solidFill>
              <w14:schemeClr w14:val="tx1"/>
            </w14:solidFill>
          </w14:textFill>
        </w:rPr>
        <w:t xml:space="preserve"> </w:t>
      </w:r>
      <w:r>
        <w:rPr>
          <w:rFonts w:hint="eastAsia" w:ascii="宋体" w:hAnsi="宋体" w:cs="宋体"/>
          <w:color w:val="000000" w:themeColor="text1"/>
          <w:spacing w:val="-6"/>
          <w:sz w:val="24"/>
          <w:highlight w:val="none"/>
          <w:u w:val="none"/>
          <w14:textFill>
            <w14:solidFill>
              <w14:schemeClr w14:val="tx1"/>
            </w14:solidFill>
          </w14:textFill>
        </w:rPr>
        <w:t>结算一次，具体办理案件费则按件计算（案件审理数量*中标综合单价/件），该条付款特别约定：</w:t>
      </w:r>
      <w:r>
        <w:rPr>
          <w:rFonts w:hint="eastAsia" w:ascii="宋体" w:hAnsi="宋体" w:cs="宋体"/>
          <w:color w:val="000000" w:themeColor="text1"/>
          <w:spacing w:val="-3"/>
          <w:sz w:val="24"/>
          <w:highlight w:val="none"/>
          <w:u w:val="none"/>
          <w14:textFill>
            <w14:solidFill>
              <w14:schemeClr w14:val="tx1"/>
            </w14:solidFill>
          </w14:textFill>
        </w:rPr>
        <w:t>按合同约定将装订归档的</w:t>
      </w:r>
      <w:r>
        <w:rPr>
          <w:rFonts w:hint="eastAsia" w:ascii="宋体" w:hAnsi="宋体" w:cs="宋体"/>
          <w:color w:val="000000" w:themeColor="text1"/>
          <w:spacing w:val="-3"/>
          <w:sz w:val="24"/>
          <w:highlight w:val="none"/>
          <w14:textFill>
            <w14:solidFill>
              <w14:schemeClr w14:val="tx1"/>
            </w14:solidFill>
          </w14:textFill>
        </w:rPr>
        <w:t>案卷移交招标人（装订标准</w:t>
      </w:r>
      <w:r>
        <w:rPr>
          <w:rFonts w:hint="eastAsia" w:ascii="宋体" w:hAnsi="宋体" w:cs="宋体"/>
          <w:color w:val="000000" w:themeColor="text1"/>
          <w:spacing w:val="-1"/>
          <w:sz w:val="24"/>
          <w:highlight w:val="none"/>
          <w14:textFill>
            <w14:solidFill>
              <w14:schemeClr w14:val="tx1"/>
            </w14:solidFill>
          </w14:textFill>
        </w:rPr>
        <w:t>参照《人民法院诉讼文书立卷归档办法》</w:t>
      </w:r>
      <w:r>
        <w:rPr>
          <w:rFonts w:hint="eastAsia" w:ascii="宋体" w:hAnsi="宋体" w:cs="宋体"/>
          <w:color w:val="000000" w:themeColor="text1"/>
          <w:spacing w:val="-3"/>
          <w:sz w:val="24"/>
          <w:highlight w:val="none"/>
          <w14:textFill>
            <w14:solidFill>
              <w14:schemeClr w14:val="tx1"/>
            </w14:solidFill>
          </w14:textFill>
        </w:rPr>
        <w:t>）</w:t>
      </w:r>
      <w:r>
        <w:rPr>
          <w:rFonts w:hint="eastAsia" w:ascii="宋体" w:hAnsi="宋体" w:cs="宋体"/>
          <w:color w:val="000000" w:themeColor="text1"/>
          <w:spacing w:val="-9"/>
          <w:sz w:val="24"/>
          <w:highlight w:val="none"/>
          <w14:textFill>
            <w14:solidFill>
              <w14:schemeClr w14:val="tx1"/>
            </w14:solidFill>
          </w14:textFill>
        </w:rPr>
        <w:t>。</w:t>
      </w:r>
    </w:p>
    <w:p w14:paraId="282D0A0A">
      <w:pPr>
        <w:pStyle w:val="2"/>
        <w:keepNext w:val="0"/>
        <w:keepLines w:val="0"/>
        <w:pageBreakBefore w:val="0"/>
        <w:widowControl w:val="0"/>
        <w:kinsoku/>
        <w:wordWrap/>
        <w:overflowPunct/>
        <w:topLinePunct w:val="0"/>
        <w:autoSpaceDE/>
        <w:autoSpaceDN/>
        <w:bidi w:val="0"/>
        <w:adjustRightInd w:val="0"/>
        <w:snapToGrid w:val="0"/>
        <w:spacing w:after="0" w:line="360" w:lineRule="auto"/>
        <w:ind w:right="0"/>
        <w:textAlignment w:val="auto"/>
        <w:rPr>
          <w:rFonts w:hint="eastAsia" w:ascii="宋体" w:hAnsi="宋体" w:cs="宋体"/>
          <w:spacing w:val="-1"/>
          <w:sz w:val="24"/>
        </w:rPr>
      </w:pPr>
      <w:r>
        <w:rPr>
          <w:rFonts w:hint="eastAsia" w:ascii="宋体" w:hAnsi="宋体" w:cs="宋体"/>
          <w:b/>
          <w:bCs/>
          <w:spacing w:val="-6"/>
          <w:sz w:val="24"/>
        </w:rPr>
        <w:t>六、</w:t>
      </w:r>
      <w:r>
        <w:rPr>
          <w:rFonts w:hint="eastAsia" w:ascii="宋体" w:hAnsi="宋体" w:cs="宋体"/>
          <w:spacing w:val="-1"/>
          <w:sz w:val="24"/>
        </w:rPr>
        <w:t>双方商定下列与常年法律顾问服务有关的费用开支由</w:t>
      </w:r>
      <w:r>
        <w:rPr>
          <w:rFonts w:hint="eastAsia" w:ascii="宋体" w:hAnsi="宋体" w:cs="宋体"/>
          <w:color w:val="000000" w:themeColor="text1"/>
          <w:spacing w:val="-1"/>
          <w:sz w:val="24"/>
          <w14:textFill>
            <w14:solidFill>
              <w14:schemeClr w14:val="tx1"/>
            </w14:solidFill>
          </w14:textFill>
        </w:rPr>
        <w:t>乙</w:t>
      </w:r>
      <w:r>
        <w:rPr>
          <w:rFonts w:hint="eastAsia" w:ascii="宋体" w:hAnsi="宋体" w:cs="宋体"/>
          <w:spacing w:val="-1"/>
          <w:sz w:val="24"/>
        </w:rPr>
        <w:t>方负担：</w:t>
      </w:r>
    </w:p>
    <w:p w14:paraId="38E1C278">
      <w:pPr>
        <w:keepNext w:val="0"/>
        <w:keepLines w:val="0"/>
        <w:pageBreakBefore w:val="0"/>
        <w:widowControl w:val="0"/>
        <w:kinsoku/>
        <w:wordWrap/>
        <w:overflowPunct/>
        <w:topLinePunct w:val="0"/>
        <w:autoSpaceDE/>
        <w:autoSpaceDN/>
        <w:bidi w:val="0"/>
        <w:adjustRightInd w:val="0"/>
        <w:snapToGrid w:val="0"/>
        <w:spacing w:line="360" w:lineRule="auto"/>
        <w:ind w:left="0" w:right="0" w:firstLine="456" w:firstLineChars="200"/>
        <w:jc w:val="left"/>
        <w:textAlignment w:val="auto"/>
        <w:rPr>
          <w:rFonts w:hint="eastAsia" w:ascii="宋体" w:hAnsi="宋体" w:cs="宋体"/>
          <w:sz w:val="24"/>
        </w:rPr>
      </w:pPr>
      <w:r>
        <w:rPr>
          <w:rFonts w:hint="eastAsia" w:ascii="宋体" w:hAnsi="宋体" w:cs="宋体"/>
          <w:spacing w:val="-6"/>
          <w:sz w:val="24"/>
        </w:rPr>
        <w:t>包括</w:t>
      </w:r>
      <w:r>
        <w:rPr>
          <w:rFonts w:hint="eastAsia" w:ascii="宋体" w:hAnsi="宋体" w:cs="宋体"/>
          <w:spacing w:val="-14"/>
          <w:position w:val="1"/>
          <w:sz w:val="24"/>
        </w:rPr>
        <w:t>但不限于：应包括完成本项目服务工作所需的人力物力成本、直接费用（包括但不限于杭州市区以外的交通、住宿、通讯、电信、文印等）、间接费用（包括但不限于委托审计、鉴定费、公证费、查档费，其他用于收集资料的费用）、管理费、其他费用、利润、税金等完成本项目的所有费用。</w:t>
      </w:r>
    </w:p>
    <w:p w14:paraId="748C45EC">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9"/>
          <w:sz w:val="24"/>
        </w:rPr>
        <w:t>七、</w:t>
      </w:r>
      <w:r>
        <w:rPr>
          <w:rFonts w:hint="eastAsia" w:ascii="宋体" w:hAnsi="宋体" w:cs="宋体"/>
          <w:spacing w:val="-9"/>
          <w:sz w:val="24"/>
        </w:rPr>
        <w:t>发票</w:t>
      </w:r>
    </w:p>
    <w:p w14:paraId="604056D2">
      <w:pPr>
        <w:keepNext w:val="0"/>
        <w:keepLines w:val="0"/>
        <w:pageBreakBefore w:val="0"/>
        <w:widowControl w:val="0"/>
        <w:kinsoku/>
        <w:wordWrap/>
        <w:overflowPunct/>
        <w:topLinePunct w:val="0"/>
        <w:autoSpaceDE/>
        <w:autoSpaceDN/>
        <w:bidi w:val="0"/>
        <w:adjustRightInd w:val="0"/>
        <w:snapToGrid w:val="0"/>
        <w:spacing w:line="360" w:lineRule="auto"/>
        <w:ind w:left="0" w:right="0" w:firstLine="444"/>
        <w:textAlignment w:val="auto"/>
        <w:rPr>
          <w:rFonts w:hint="eastAsia" w:ascii="宋体" w:hAnsi="宋体" w:cs="宋体"/>
          <w:sz w:val="24"/>
        </w:rPr>
      </w:pPr>
      <w:r>
        <w:rPr>
          <w:rFonts w:hint="eastAsia" w:ascii="宋体" w:hAnsi="宋体" w:cs="宋体"/>
          <w:spacing w:val="-1"/>
          <w:sz w:val="24"/>
        </w:rPr>
        <w:t>乙方收到甲方支付的律师代理费后，应当向甲方出具正式税务发票。</w:t>
      </w:r>
    </w:p>
    <w:p w14:paraId="1C549434">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4"/>
          <w:sz w:val="24"/>
        </w:rPr>
        <w:t>八、</w:t>
      </w:r>
      <w:r>
        <w:rPr>
          <w:rFonts w:hint="eastAsia" w:ascii="宋体" w:hAnsi="宋体" w:cs="宋体"/>
          <w:spacing w:val="-4"/>
          <w:sz w:val="24"/>
        </w:rPr>
        <w:t>乙方</w:t>
      </w:r>
      <w:r>
        <w:rPr>
          <w:rFonts w:hint="eastAsia" w:ascii="宋体" w:hAnsi="宋体" w:cs="宋体"/>
          <w:spacing w:val="-4"/>
          <w:sz w:val="24"/>
          <w:lang w:val="en-US" w:eastAsia="zh-CN"/>
        </w:rPr>
        <w:t>的</w:t>
      </w:r>
      <w:r>
        <w:rPr>
          <w:rFonts w:hint="eastAsia" w:ascii="宋体" w:hAnsi="宋体" w:cs="宋体"/>
          <w:spacing w:val="-4"/>
          <w:sz w:val="24"/>
        </w:rPr>
        <w:t>义务</w:t>
      </w:r>
    </w:p>
    <w:p w14:paraId="248F9393">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（1）律师必须遵守职业道德和执业纪律；</w:t>
      </w:r>
    </w:p>
    <w:p w14:paraId="3D65FEE6">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（2）律师应当勤勉尽职，依法在本合同约定范围内维护甲方的最大利益；</w:t>
      </w:r>
    </w:p>
    <w:p w14:paraId="51530C13">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（3）律师应当及时向甲方发表顾问意见；</w:t>
      </w:r>
    </w:p>
    <w:p w14:paraId="3756912E">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（4）律师无权超越甲方授权行事。如果确有需要，应当由甲方另行给予明确的授权；</w:t>
      </w:r>
    </w:p>
    <w:p w14:paraId="6388029B">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（5）乙方或律师变更联系信息的，应当及时通知甲方；</w:t>
      </w:r>
    </w:p>
    <w:p w14:paraId="1501E099">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（6）乙方和律师对甲方负有保密义务。</w:t>
      </w:r>
    </w:p>
    <w:p w14:paraId="3272B47A">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5"/>
          <w:sz w:val="24"/>
        </w:rPr>
        <w:t>九、</w:t>
      </w:r>
      <w:r>
        <w:rPr>
          <w:rFonts w:hint="eastAsia" w:ascii="宋体" w:hAnsi="宋体" w:cs="宋体"/>
          <w:spacing w:val="-5"/>
          <w:sz w:val="24"/>
        </w:rPr>
        <w:t>甲方的义务</w:t>
      </w:r>
    </w:p>
    <w:p w14:paraId="2F0F5743">
      <w:pPr>
        <w:keepNext w:val="0"/>
        <w:keepLines w:val="0"/>
        <w:pageBreakBefore w:val="0"/>
        <w:widowControl w:val="0"/>
        <w:kinsoku/>
        <w:wordWrap/>
        <w:overflowPunct/>
        <w:topLinePunct w:val="0"/>
        <w:autoSpaceDE/>
        <w:autoSpaceDN/>
        <w:bidi w:val="0"/>
        <w:adjustRightInd w:val="0"/>
        <w:snapToGrid w:val="0"/>
        <w:spacing w:line="360" w:lineRule="auto"/>
        <w:ind w:left="0" w:right="0" w:firstLine="424"/>
        <w:textAlignment w:val="auto"/>
        <w:rPr>
          <w:rFonts w:hint="eastAsia" w:ascii="宋体" w:hAnsi="宋体" w:cs="宋体"/>
          <w:sz w:val="24"/>
        </w:rPr>
      </w:pPr>
      <w:r>
        <w:rPr>
          <w:rFonts w:hint="eastAsia" w:ascii="宋体" w:hAnsi="宋体" w:cs="宋体"/>
          <w:sz w:val="24"/>
        </w:rPr>
        <w:t>（1）与乙方和律师诚信合作，为乙方律师开展工作提供方便，向乙方和律师如实提供与需进行</w:t>
      </w:r>
      <w:r>
        <w:rPr>
          <w:rFonts w:hint="eastAsia" w:ascii="宋体" w:hAnsi="宋体" w:cs="宋体"/>
          <w:spacing w:val="-1"/>
          <w:sz w:val="24"/>
        </w:rPr>
        <w:t>法律顾问服务的事务有关的情况和资料；</w:t>
      </w:r>
    </w:p>
    <w:p w14:paraId="1EFA9806">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（2）如有关的情况和事实发生变化，应及时告知乙方或律师；</w:t>
      </w:r>
    </w:p>
    <w:p w14:paraId="54B03D16">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（3）如变更联系信息，应当及时通知乙方和律师；</w:t>
      </w:r>
    </w:p>
    <w:p w14:paraId="0AF518F8">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z w:val="24"/>
        </w:rPr>
      </w:pPr>
      <w:r>
        <w:rPr>
          <w:rFonts w:hint="eastAsia" w:ascii="宋体" w:hAnsi="宋体" w:cs="宋体"/>
          <w:spacing w:val="-1"/>
          <w:sz w:val="24"/>
        </w:rPr>
        <w:t>（4）按照约定支付常年法律顾问费和其它费用；</w:t>
      </w:r>
    </w:p>
    <w:p w14:paraId="1A1AEADA">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pacing w:val="-1"/>
          <w:sz w:val="24"/>
        </w:rPr>
      </w:pPr>
      <w:r>
        <w:rPr>
          <w:rFonts w:hint="eastAsia" w:ascii="宋体" w:hAnsi="宋体" w:cs="宋体"/>
          <w:spacing w:val="-1"/>
          <w:sz w:val="24"/>
        </w:rPr>
        <w:t>（5）向乙方和律师提出的要求不应与法律以及律师职业道德和执业纪律的规定相冲突。</w:t>
      </w:r>
    </w:p>
    <w:p w14:paraId="4FE88639">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pacing w:val="-1"/>
          <w:sz w:val="24"/>
        </w:rPr>
      </w:pPr>
      <w:r>
        <w:rPr>
          <w:rFonts w:hint="eastAsia" w:ascii="宋体" w:hAnsi="宋体" w:cs="宋体"/>
          <w:b/>
          <w:bCs/>
          <w:spacing w:val="-1"/>
          <w:sz w:val="24"/>
        </w:rPr>
        <w:t>十、保密</w:t>
      </w:r>
    </w:p>
    <w:p w14:paraId="1C305D24">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pacing w:val="-1"/>
          <w:sz w:val="24"/>
        </w:rPr>
      </w:pPr>
      <w:r>
        <w:rPr>
          <w:rFonts w:hint="eastAsia" w:ascii="宋体" w:hAnsi="宋体" w:cs="宋体"/>
          <w:spacing w:val="-1"/>
          <w:sz w:val="24"/>
        </w:rPr>
        <w:t>（1）乙方和律师对于甲方的商业秘密或个人隐私，应当保守秘密，在未征得甲方同意的情况下，不得向第三方泄露；</w:t>
      </w:r>
    </w:p>
    <w:p w14:paraId="7C21CBDD">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pacing w:val="-1"/>
          <w:sz w:val="24"/>
        </w:rPr>
      </w:pPr>
      <w:r>
        <w:rPr>
          <w:rFonts w:hint="eastAsia" w:ascii="宋体" w:hAnsi="宋体" w:cs="宋体"/>
          <w:spacing w:val="-1"/>
          <w:sz w:val="24"/>
        </w:rPr>
        <w:t>（2）客户有特殊保密要求的，应当另行签订保密协议，以保密协议的约定为准。</w:t>
      </w:r>
    </w:p>
    <w:p w14:paraId="10E8FBAA">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7"/>
          <w:sz w:val="24"/>
        </w:rPr>
        <w:t>十一、</w:t>
      </w:r>
      <w:r>
        <w:rPr>
          <w:rFonts w:hint="eastAsia" w:ascii="宋体" w:hAnsi="宋体" w:cs="宋体"/>
          <w:spacing w:val="-7"/>
          <w:sz w:val="24"/>
        </w:rPr>
        <w:t>利益冲突</w:t>
      </w:r>
    </w:p>
    <w:p w14:paraId="1CA8FB0B">
      <w:pPr>
        <w:keepNext w:val="0"/>
        <w:keepLines w:val="0"/>
        <w:pageBreakBefore w:val="0"/>
        <w:widowControl w:val="0"/>
        <w:kinsoku/>
        <w:wordWrap/>
        <w:overflowPunct/>
        <w:topLinePunct w:val="0"/>
        <w:autoSpaceDE/>
        <w:autoSpaceDN/>
        <w:bidi w:val="0"/>
        <w:adjustRightInd w:val="0"/>
        <w:snapToGrid w:val="0"/>
        <w:spacing w:line="360" w:lineRule="auto"/>
        <w:ind w:left="0" w:right="0" w:firstLine="437"/>
        <w:textAlignment w:val="auto"/>
        <w:rPr>
          <w:rFonts w:hint="eastAsia" w:ascii="宋体" w:hAnsi="宋体" w:cs="宋体"/>
          <w:sz w:val="24"/>
        </w:rPr>
      </w:pPr>
      <w:r>
        <w:rPr>
          <w:rFonts w:hint="eastAsia" w:ascii="宋体" w:hAnsi="宋体" w:cs="宋体"/>
          <w:spacing w:val="3"/>
          <w:sz w:val="24"/>
        </w:rPr>
        <w:t>乙方和律师应将已经或正在或可能存在的为与甲方有利益冲突的当事人提供法律服务的情况如</w:t>
      </w:r>
      <w:r>
        <w:rPr>
          <w:rFonts w:hint="eastAsia" w:ascii="宋体" w:hAnsi="宋体" w:cs="宋体"/>
          <w:spacing w:val="2"/>
          <w:sz w:val="24"/>
        </w:rPr>
        <w:t>实告知甲方。在发生利益冲突的情况下，甲方有权且应当选择继续签订/履行合同或改变委托权限或</w:t>
      </w:r>
      <w:r>
        <w:rPr>
          <w:rFonts w:hint="eastAsia" w:ascii="宋体" w:hAnsi="宋体" w:cs="宋体"/>
          <w:spacing w:val="1"/>
          <w:sz w:val="24"/>
        </w:rPr>
        <w:t xml:space="preserve"> </w:t>
      </w:r>
      <w:r>
        <w:rPr>
          <w:rFonts w:hint="eastAsia" w:ascii="宋体" w:hAnsi="宋体" w:cs="宋体"/>
          <w:spacing w:val="-11"/>
          <w:sz w:val="24"/>
        </w:rPr>
        <w:t>解除合同；乙方有权作出回避的安排。</w:t>
      </w:r>
    </w:p>
    <w:p w14:paraId="27F5E3B5">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6"/>
          <w:sz w:val="24"/>
        </w:rPr>
        <w:t>十二、</w:t>
      </w:r>
      <w:r>
        <w:rPr>
          <w:rFonts w:hint="eastAsia" w:ascii="宋体" w:hAnsi="宋体" w:cs="宋体"/>
          <w:spacing w:val="-6"/>
          <w:sz w:val="24"/>
        </w:rPr>
        <w:t>其他法律事务</w:t>
      </w:r>
    </w:p>
    <w:p w14:paraId="7759F945">
      <w:pPr>
        <w:keepNext w:val="0"/>
        <w:keepLines w:val="0"/>
        <w:pageBreakBefore w:val="0"/>
        <w:widowControl w:val="0"/>
        <w:kinsoku/>
        <w:wordWrap/>
        <w:overflowPunct/>
        <w:topLinePunct w:val="0"/>
        <w:autoSpaceDE/>
        <w:autoSpaceDN/>
        <w:bidi w:val="0"/>
        <w:adjustRightInd w:val="0"/>
        <w:snapToGrid w:val="0"/>
        <w:spacing w:line="360" w:lineRule="auto"/>
        <w:ind w:left="0" w:right="0" w:firstLine="437"/>
        <w:textAlignment w:val="auto"/>
        <w:rPr>
          <w:rFonts w:hint="eastAsia" w:ascii="宋体" w:hAnsi="宋体" w:cs="宋体"/>
          <w:sz w:val="24"/>
        </w:rPr>
      </w:pPr>
      <w:r>
        <w:rPr>
          <w:rFonts w:hint="eastAsia" w:ascii="宋体" w:hAnsi="宋体" w:cs="宋体"/>
          <w:spacing w:val="3"/>
          <w:sz w:val="24"/>
        </w:rPr>
        <w:t>乙方和律师均无权利和义务代理甲方处理本合同约定的常年法律顾问服务范围以外的其它法律</w:t>
      </w:r>
      <w:r>
        <w:rPr>
          <w:rFonts w:hint="eastAsia" w:ascii="宋体" w:hAnsi="宋体" w:cs="宋体"/>
          <w:spacing w:val="6"/>
          <w:sz w:val="24"/>
        </w:rPr>
        <w:t xml:space="preserve"> </w:t>
      </w:r>
      <w:r>
        <w:rPr>
          <w:rFonts w:hint="eastAsia" w:ascii="宋体" w:hAnsi="宋体" w:cs="宋体"/>
          <w:spacing w:val="-2"/>
          <w:sz w:val="24"/>
        </w:rPr>
        <w:t>事务。甲方如确需乙方和律师提供有关其他法律事务的服务的，应当与乙方另行签订法律服务委托合</w:t>
      </w:r>
      <w:r>
        <w:rPr>
          <w:rFonts w:hint="eastAsia" w:ascii="宋体" w:hAnsi="宋体" w:cs="宋体"/>
          <w:spacing w:val="24"/>
          <w:sz w:val="24"/>
        </w:rPr>
        <w:t xml:space="preserve"> </w:t>
      </w:r>
      <w:r>
        <w:rPr>
          <w:rFonts w:hint="eastAsia" w:ascii="宋体" w:hAnsi="宋体" w:cs="宋体"/>
          <w:spacing w:val="-5"/>
          <w:sz w:val="24"/>
        </w:rPr>
        <w:t>同。</w:t>
      </w:r>
    </w:p>
    <w:p w14:paraId="5B3C7826">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default" w:ascii="宋体" w:hAnsi="宋体" w:eastAsia="宋体" w:cs="宋体"/>
          <w:sz w:val="24"/>
          <w:highlight w:val="yellow"/>
          <w:lang w:val="en-US" w:eastAsia="zh-CN"/>
        </w:rPr>
      </w:pPr>
      <w:r>
        <w:rPr>
          <w:rFonts w:hint="eastAsia" w:ascii="宋体" w:hAnsi="宋体" w:cs="宋体"/>
          <w:b/>
          <w:bCs/>
          <w:spacing w:val="-4"/>
          <w:sz w:val="24"/>
        </w:rPr>
        <w:t>十三、</w:t>
      </w:r>
      <w:r>
        <w:rPr>
          <w:rFonts w:hint="eastAsia" w:ascii="宋体" w:hAnsi="宋体" w:cs="宋体"/>
          <w:spacing w:val="-4"/>
          <w:sz w:val="24"/>
        </w:rPr>
        <w:t>合同的解除、终</w:t>
      </w:r>
      <w:r>
        <w:rPr>
          <w:rFonts w:hint="eastAsia" w:ascii="宋体" w:hAnsi="宋体" w:cs="宋体"/>
          <w:spacing w:val="-4"/>
          <w:sz w:val="24"/>
          <w:highlight w:val="none"/>
        </w:rPr>
        <w:t>止履行</w:t>
      </w:r>
      <w:r>
        <w:rPr>
          <w:rFonts w:hint="eastAsia" w:ascii="宋体" w:hAnsi="宋体" w:cs="宋体"/>
          <w:spacing w:val="-4"/>
          <w:sz w:val="24"/>
          <w:highlight w:val="none"/>
          <w:lang w:eastAsia="zh-CN"/>
        </w:rPr>
        <w:t>、</w:t>
      </w:r>
      <w:r>
        <w:rPr>
          <w:rFonts w:hint="eastAsia" w:ascii="宋体" w:hAnsi="宋体" w:cs="宋体"/>
          <w:spacing w:val="-4"/>
          <w:sz w:val="24"/>
          <w:highlight w:val="none"/>
          <w:lang w:val="en-US" w:eastAsia="zh-CN"/>
        </w:rPr>
        <w:t>违约等事项</w:t>
      </w:r>
    </w:p>
    <w:p w14:paraId="778DAE5C">
      <w:pPr>
        <w:keepNext w:val="0"/>
        <w:keepLines w:val="0"/>
        <w:pageBreakBefore w:val="0"/>
        <w:widowControl w:val="0"/>
        <w:kinsoku/>
        <w:wordWrap/>
        <w:overflowPunct/>
        <w:topLinePunct w:val="0"/>
        <w:autoSpaceDE/>
        <w:autoSpaceDN/>
        <w:bidi w:val="0"/>
        <w:adjustRightInd w:val="0"/>
        <w:snapToGrid w:val="0"/>
        <w:spacing w:line="360" w:lineRule="auto"/>
        <w:ind w:left="0" w:right="0" w:firstLine="420"/>
        <w:textAlignment w:val="auto"/>
        <w:rPr>
          <w:rFonts w:hint="eastAsia" w:ascii="宋体" w:hAnsi="宋体" w:cs="宋体"/>
          <w:sz w:val="24"/>
        </w:rPr>
      </w:pPr>
      <w:r>
        <w:rPr>
          <w:rFonts w:hint="eastAsia" w:ascii="宋体" w:hAnsi="宋体" w:cs="宋体"/>
          <w:sz w:val="24"/>
        </w:rPr>
        <w:t>（1）经书面通知，甲方有权随时以任何理由解除本合同，该解除通知在乙方收到之日生效。一</w:t>
      </w:r>
      <w:r>
        <w:rPr>
          <w:rFonts w:hint="eastAsia" w:ascii="宋体" w:hAnsi="宋体" w:cs="宋体"/>
          <w:spacing w:val="-1"/>
          <w:sz w:val="24"/>
        </w:rPr>
        <w:t>旦收到解除通知，乙方和律师立即停止提供常年法律顾问服务；</w:t>
      </w:r>
    </w:p>
    <w:p w14:paraId="0D3207A8">
      <w:pPr>
        <w:keepNext w:val="0"/>
        <w:keepLines w:val="0"/>
        <w:pageBreakBefore w:val="0"/>
        <w:widowControl w:val="0"/>
        <w:kinsoku/>
        <w:wordWrap/>
        <w:overflowPunct/>
        <w:topLinePunct w:val="0"/>
        <w:autoSpaceDE/>
        <w:autoSpaceDN/>
        <w:bidi w:val="0"/>
        <w:adjustRightInd w:val="0"/>
        <w:snapToGrid w:val="0"/>
        <w:spacing w:line="360" w:lineRule="auto"/>
        <w:ind w:left="0" w:right="0" w:firstLine="425"/>
        <w:textAlignment w:val="auto"/>
        <w:rPr>
          <w:rFonts w:hint="eastAsia" w:ascii="宋体" w:hAnsi="宋体" w:cs="宋体"/>
          <w:sz w:val="24"/>
        </w:rPr>
      </w:pPr>
      <w:r>
        <w:rPr>
          <w:rFonts w:hint="eastAsia" w:ascii="宋体" w:hAnsi="宋体" w:cs="宋体"/>
          <w:sz w:val="24"/>
        </w:rPr>
        <w:t>（2）如果甲方未按照本协议约定支付常年法律顾问费和其它费用且延期超过三十日的，乙方有</w:t>
      </w:r>
      <w:r>
        <w:rPr>
          <w:rFonts w:hint="eastAsia" w:ascii="宋体" w:hAnsi="宋体" w:cs="宋体"/>
          <w:spacing w:val="-1"/>
          <w:sz w:val="24"/>
        </w:rPr>
        <w:t>权解除本合同，但应书面通知甲方；</w:t>
      </w:r>
    </w:p>
    <w:p w14:paraId="45ABC4BE">
      <w:pPr>
        <w:keepNext w:val="0"/>
        <w:keepLines w:val="0"/>
        <w:pageBreakBefore w:val="0"/>
        <w:widowControl w:val="0"/>
        <w:kinsoku/>
        <w:wordWrap/>
        <w:overflowPunct/>
        <w:topLinePunct w:val="0"/>
        <w:autoSpaceDE/>
        <w:autoSpaceDN/>
        <w:bidi w:val="0"/>
        <w:adjustRightInd w:val="0"/>
        <w:snapToGrid w:val="0"/>
        <w:spacing w:line="360" w:lineRule="auto"/>
        <w:ind w:left="0" w:right="0" w:firstLine="424"/>
        <w:textAlignment w:val="auto"/>
        <w:rPr>
          <w:rFonts w:hint="eastAsia" w:ascii="宋体" w:hAnsi="宋体" w:cs="宋体"/>
          <w:sz w:val="24"/>
        </w:rPr>
      </w:pPr>
      <w:r>
        <w:rPr>
          <w:rFonts w:hint="eastAsia" w:ascii="宋体" w:hAnsi="宋体" w:cs="宋体"/>
          <w:sz w:val="24"/>
        </w:rPr>
        <w:t>（3）若甲方要求达到的目标有违律师职业道德和执业纪律的规定，则乙方有权随时终止向甲方</w:t>
      </w:r>
      <w:r>
        <w:rPr>
          <w:rFonts w:hint="eastAsia" w:ascii="宋体" w:hAnsi="宋体" w:cs="宋体"/>
          <w:spacing w:val="-1"/>
          <w:sz w:val="24"/>
        </w:rPr>
        <w:t>提供法律服务，但应书面通知甲方；</w:t>
      </w:r>
    </w:p>
    <w:p w14:paraId="22A34433">
      <w:pPr>
        <w:keepNext w:val="0"/>
        <w:keepLines w:val="0"/>
        <w:pageBreakBefore w:val="0"/>
        <w:widowControl w:val="0"/>
        <w:kinsoku/>
        <w:wordWrap/>
        <w:overflowPunct/>
        <w:topLinePunct w:val="0"/>
        <w:autoSpaceDE/>
        <w:autoSpaceDN/>
        <w:bidi w:val="0"/>
        <w:adjustRightInd w:val="0"/>
        <w:snapToGrid w:val="0"/>
        <w:spacing w:line="360" w:lineRule="auto"/>
        <w:ind w:left="0" w:right="0" w:firstLine="408"/>
        <w:textAlignment w:val="auto"/>
        <w:rPr>
          <w:rFonts w:hint="eastAsia" w:ascii="宋体" w:hAnsi="宋体" w:cs="宋体"/>
          <w:spacing w:val="-2"/>
          <w:sz w:val="24"/>
          <w:highlight w:val="none"/>
        </w:rPr>
      </w:pPr>
      <w:r>
        <w:rPr>
          <w:rFonts w:hint="eastAsia" w:ascii="宋体" w:hAnsi="宋体" w:cs="宋体"/>
          <w:spacing w:val="-1"/>
          <w:sz w:val="24"/>
        </w:rPr>
        <w:t>（4）本合同因上列第（1）、（2）项情形而解除时，乙方已收取的常年法律顾问费不予退还，</w:t>
      </w:r>
      <w:r>
        <w:rPr>
          <w:rFonts w:hint="eastAsia" w:ascii="宋体" w:hAnsi="宋体" w:cs="宋体"/>
          <w:spacing w:val="-4"/>
          <w:sz w:val="24"/>
        </w:rPr>
        <w:t>甲方欠付的应予以补足约定数额；因上列第（3）项情形而解除时</w:t>
      </w:r>
      <w:r>
        <w:rPr>
          <w:rFonts w:hint="eastAsia" w:ascii="宋体" w:hAnsi="宋体" w:cs="宋体"/>
          <w:spacing w:val="-4"/>
          <w:sz w:val="24"/>
          <w:highlight w:val="none"/>
        </w:rPr>
        <w:t>，乙方按实际尚未服务的时间所占</w:t>
      </w:r>
      <w:r>
        <w:rPr>
          <w:rFonts w:hint="eastAsia" w:ascii="宋体" w:hAnsi="宋体" w:cs="宋体"/>
          <w:spacing w:val="-2"/>
          <w:sz w:val="24"/>
          <w:highlight w:val="none"/>
        </w:rPr>
        <w:t>的比例退还部分常年法律顾问费。</w:t>
      </w:r>
    </w:p>
    <w:p w14:paraId="1BD5C2D6">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1"/>
          <w:sz w:val="24"/>
          <w:highlight w:val="none"/>
        </w:rPr>
      </w:pPr>
      <w:r>
        <w:rPr>
          <w:rFonts w:hint="eastAsia" w:ascii="宋体" w:hAnsi="宋体" w:cs="宋体"/>
          <w:spacing w:val="-1"/>
          <w:sz w:val="24"/>
          <w:highlight w:val="none"/>
        </w:rPr>
        <w:t>（</w:t>
      </w:r>
      <w:r>
        <w:rPr>
          <w:rFonts w:hint="eastAsia" w:ascii="宋体" w:hAnsi="宋体" w:cs="宋体"/>
          <w:spacing w:val="-1"/>
          <w:sz w:val="24"/>
          <w:highlight w:val="none"/>
          <w:lang w:val="en-US" w:eastAsia="zh-CN"/>
        </w:rPr>
        <w:t>5</w:t>
      </w:r>
      <w:r>
        <w:rPr>
          <w:rFonts w:hint="eastAsia" w:ascii="宋体" w:hAnsi="宋体" w:cs="宋体"/>
          <w:spacing w:val="-1"/>
          <w:sz w:val="24"/>
          <w:highlight w:val="none"/>
        </w:rPr>
        <w:t>）如果乙方逾期</w:t>
      </w:r>
      <w:r>
        <w:rPr>
          <w:rFonts w:hint="eastAsia" w:ascii="宋体" w:hAnsi="宋体" w:cs="宋体"/>
          <w:spacing w:val="-1"/>
          <w:sz w:val="24"/>
          <w:highlight w:val="none"/>
          <w:lang w:val="en-US" w:eastAsia="zh-CN"/>
        </w:rPr>
        <w:t>15</w:t>
      </w:r>
      <w:r>
        <w:rPr>
          <w:rFonts w:hint="eastAsia" w:ascii="宋体" w:hAnsi="宋体" w:cs="宋体"/>
          <w:spacing w:val="-1"/>
          <w:sz w:val="24"/>
          <w:highlight w:val="none"/>
        </w:rPr>
        <w:t>日未</w:t>
      </w:r>
      <w:r>
        <w:rPr>
          <w:rFonts w:hint="eastAsia" w:ascii="宋体" w:hAnsi="宋体" w:cs="宋体"/>
          <w:spacing w:val="-3"/>
          <w:sz w:val="24"/>
          <w:highlight w:val="none"/>
        </w:rPr>
        <w:t>移交装订归档的案卷的</w:t>
      </w:r>
      <w:r>
        <w:rPr>
          <w:rFonts w:hint="eastAsia" w:ascii="宋体" w:hAnsi="宋体" w:eastAsia="宋体" w:cs="宋体"/>
          <w:spacing w:val="-3"/>
          <w:sz w:val="24"/>
          <w:highlight w:val="none"/>
        </w:rPr>
        <w:t>，</w:t>
      </w:r>
      <w:r>
        <w:rPr>
          <w:rFonts w:hint="eastAsia" w:ascii="宋体" w:hAnsi="宋体" w:cs="宋体"/>
          <w:spacing w:val="-1"/>
          <w:sz w:val="24"/>
          <w:highlight w:val="none"/>
        </w:rPr>
        <w:t>甲方有权终止或单方解除本合同</w:t>
      </w:r>
      <w:r>
        <w:rPr>
          <w:rFonts w:hint="eastAsia" w:ascii="宋体" w:hAnsi="宋体" w:cs="宋体"/>
          <w:spacing w:val="-1"/>
          <w:sz w:val="24"/>
          <w:highlight w:val="none"/>
          <w:lang w:val="en-US" w:eastAsia="zh-CN"/>
        </w:rPr>
        <w:t>并不承担违约责任</w:t>
      </w:r>
      <w:r>
        <w:rPr>
          <w:rFonts w:hint="eastAsia" w:ascii="宋体" w:hAnsi="宋体" w:cs="宋体"/>
          <w:spacing w:val="-1"/>
          <w:sz w:val="24"/>
          <w:highlight w:val="none"/>
        </w:rPr>
        <w:t>，乙方应</w:t>
      </w:r>
      <w:r>
        <w:rPr>
          <w:rFonts w:hint="eastAsia" w:ascii="宋体" w:hAnsi="宋体" w:cs="宋体"/>
          <w:spacing w:val="-1"/>
          <w:sz w:val="24"/>
          <w:highlight w:val="none"/>
          <w:lang w:val="en-US" w:eastAsia="zh-CN"/>
        </w:rPr>
        <w:t>承担</w:t>
      </w:r>
      <w:r>
        <w:rPr>
          <w:rFonts w:hint="eastAsia" w:ascii="宋体" w:hAnsi="宋体" w:cs="宋体"/>
          <w:spacing w:val="-1"/>
          <w:sz w:val="24"/>
          <w:highlight w:val="none"/>
        </w:rPr>
        <w:t>由此给甲方造成的损失和合同价10%违约金。</w:t>
      </w:r>
    </w:p>
    <w:p w14:paraId="43752E50">
      <w:pPr>
        <w:keepNext w:val="0"/>
        <w:keepLines w:val="0"/>
        <w:pageBreakBefore w:val="0"/>
        <w:widowControl w:val="0"/>
        <w:kinsoku/>
        <w:wordWrap/>
        <w:overflowPunct/>
        <w:topLinePunct w:val="0"/>
        <w:autoSpaceDE/>
        <w:autoSpaceDN/>
        <w:bidi w:val="0"/>
        <w:adjustRightInd w:val="0"/>
        <w:snapToGrid w:val="0"/>
        <w:spacing w:line="360" w:lineRule="auto"/>
        <w:ind w:left="0" w:right="0" w:firstLine="540"/>
        <w:textAlignment w:val="auto"/>
        <w:outlineLvl w:val="2"/>
        <w:rPr>
          <w:rFonts w:hint="eastAsia" w:ascii="宋体" w:hAnsi="宋体" w:cs="宋体"/>
          <w:spacing w:val="-1"/>
          <w:sz w:val="24"/>
          <w:highlight w:val="none"/>
        </w:rPr>
      </w:pPr>
      <w:r>
        <w:rPr>
          <w:rFonts w:hint="eastAsia" w:ascii="宋体" w:hAnsi="宋体" w:cs="宋体"/>
          <w:spacing w:val="-1"/>
          <w:sz w:val="24"/>
          <w:highlight w:val="none"/>
        </w:rPr>
        <w:t>（</w:t>
      </w:r>
      <w:r>
        <w:rPr>
          <w:rFonts w:hint="eastAsia" w:ascii="宋体" w:hAnsi="宋体" w:cs="宋体"/>
          <w:spacing w:val="-1"/>
          <w:sz w:val="24"/>
          <w:highlight w:val="none"/>
          <w:lang w:val="en-US" w:eastAsia="zh-CN"/>
        </w:rPr>
        <w:t>6</w:t>
      </w:r>
      <w:r>
        <w:rPr>
          <w:rFonts w:hint="eastAsia" w:ascii="宋体" w:hAnsi="宋体" w:cs="宋体"/>
          <w:spacing w:val="-1"/>
          <w:sz w:val="24"/>
          <w:highlight w:val="none"/>
        </w:rPr>
        <w:t>）</w:t>
      </w:r>
      <w:r>
        <w:rPr>
          <w:rFonts w:hint="eastAsia" w:ascii="宋体" w:hAnsi="宋体" w:cs="宋体"/>
          <w:spacing w:val="-1"/>
          <w:sz w:val="24"/>
          <w:highlight w:val="none"/>
          <w:lang w:val="en-US" w:eastAsia="zh-CN"/>
        </w:rPr>
        <w:t>乙方</w:t>
      </w:r>
      <w:r>
        <w:rPr>
          <w:rFonts w:hint="eastAsia" w:ascii="宋体" w:hAnsi="宋体" w:cs="宋体"/>
          <w:spacing w:val="-3"/>
          <w:sz w:val="24"/>
          <w:highlight w:val="none"/>
        </w:rPr>
        <w:t>未本按合同条款（二）服务要求</w:t>
      </w:r>
      <w:r>
        <w:rPr>
          <w:rFonts w:hint="eastAsia" w:ascii="宋体" w:hAnsi="宋体" w:cs="宋体"/>
          <w:spacing w:val="-3"/>
          <w:sz w:val="24"/>
          <w:highlight w:val="none"/>
          <w:lang w:val="en-US" w:eastAsia="zh-CN"/>
        </w:rPr>
        <w:t>中“</w:t>
      </w:r>
      <w:r>
        <w:rPr>
          <w:rFonts w:hint="eastAsia" w:ascii="宋体" w:hAnsi="宋体" w:cs="宋体"/>
          <w:spacing w:val="-3"/>
          <w:sz w:val="24"/>
          <w:highlight w:val="none"/>
        </w:rPr>
        <w:t>2、基本要求</w:t>
      </w:r>
      <w:r>
        <w:rPr>
          <w:rFonts w:hint="eastAsia" w:ascii="宋体" w:hAnsi="宋体" w:cs="宋体"/>
          <w:spacing w:val="-3"/>
          <w:sz w:val="24"/>
          <w:highlight w:val="none"/>
          <w:lang w:eastAsia="zh-CN"/>
        </w:rPr>
        <w:t>”</w:t>
      </w:r>
      <w:r>
        <w:rPr>
          <w:rFonts w:hint="eastAsia" w:ascii="宋体" w:hAnsi="宋体" w:cs="宋体"/>
          <w:spacing w:val="-3"/>
          <w:sz w:val="24"/>
          <w:highlight w:val="none"/>
        </w:rPr>
        <w:t>和</w:t>
      </w:r>
      <w:r>
        <w:rPr>
          <w:rFonts w:hint="eastAsia" w:ascii="宋体" w:hAnsi="宋体" w:cs="宋体"/>
          <w:spacing w:val="-3"/>
          <w:sz w:val="24"/>
          <w:highlight w:val="none"/>
          <w:lang w:eastAsia="zh-CN"/>
        </w:rPr>
        <w:t>“</w:t>
      </w:r>
      <w:r>
        <w:rPr>
          <w:rFonts w:hint="eastAsia" w:ascii="宋体" w:hAnsi="宋体" w:cs="宋体"/>
          <w:spacing w:val="-3"/>
          <w:sz w:val="24"/>
          <w:highlight w:val="none"/>
        </w:rPr>
        <w:t>3、法律咨询服务</w:t>
      </w:r>
      <w:r>
        <w:rPr>
          <w:rFonts w:hint="eastAsia" w:ascii="宋体" w:hAnsi="宋体" w:cs="宋体"/>
          <w:spacing w:val="-3"/>
          <w:sz w:val="24"/>
          <w:highlight w:val="none"/>
          <w:lang w:eastAsia="zh-CN"/>
        </w:rPr>
        <w:t>”</w:t>
      </w:r>
      <w:r>
        <w:rPr>
          <w:rFonts w:hint="eastAsia" w:ascii="宋体" w:hAnsi="宋体" w:cs="宋体"/>
          <w:spacing w:val="-3"/>
          <w:sz w:val="24"/>
          <w:highlight w:val="none"/>
        </w:rPr>
        <w:t>内容</w:t>
      </w:r>
      <w:r>
        <w:rPr>
          <w:rFonts w:hint="eastAsia" w:ascii="宋体" w:hAnsi="宋体" w:cs="宋体"/>
          <w:spacing w:val="-3"/>
          <w:sz w:val="24"/>
          <w:highlight w:val="none"/>
          <w:lang w:val="en-US" w:eastAsia="zh-CN"/>
        </w:rPr>
        <w:t>出现以下情形之一：未</w:t>
      </w:r>
      <w:r>
        <w:rPr>
          <w:rFonts w:hint="eastAsia" w:ascii="宋体" w:hAnsi="宋体" w:cs="宋体"/>
          <w:spacing w:val="-3"/>
          <w:sz w:val="24"/>
          <w:highlight w:val="none"/>
        </w:rPr>
        <w:t>履约达到三次以上的</w:t>
      </w:r>
      <w:r>
        <w:rPr>
          <w:rFonts w:hint="eastAsia" w:ascii="宋体" w:hAnsi="宋体" w:cs="宋体"/>
          <w:spacing w:val="-3"/>
          <w:sz w:val="24"/>
          <w:highlight w:val="none"/>
          <w:lang w:eastAsia="zh-CN"/>
        </w:rPr>
        <w:t>；</w:t>
      </w:r>
      <w:r>
        <w:rPr>
          <w:rFonts w:hint="eastAsia" w:ascii="宋体" w:hAnsi="宋体" w:eastAsia="宋体" w:cs="宋体"/>
          <w:spacing w:val="-3"/>
          <w:sz w:val="24"/>
          <w:highlight w:val="none"/>
        </w:rPr>
        <w:t>服务不能及时响应</w:t>
      </w:r>
      <w:r>
        <w:rPr>
          <w:rFonts w:hint="eastAsia" w:ascii="宋体" w:hAnsi="宋体" w:eastAsia="宋体" w:cs="宋体"/>
          <w:spacing w:val="-3"/>
          <w:sz w:val="24"/>
          <w:highlight w:val="none"/>
          <w:lang w:val="en-US" w:eastAsia="zh-CN"/>
        </w:rPr>
        <w:t>的；</w:t>
      </w:r>
      <w:r>
        <w:rPr>
          <w:rFonts w:hint="eastAsia" w:ascii="宋体" w:hAnsi="宋体" w:eastAsia="宋体" w:cs="宋体"/>
          <w:spacing w:val="-3"/>
          <w:sz w:val="24"/>
          <w:highlight w:val="none"/>
        </w:rPr>
        <w:t>工作需求不能满足</w:t>
      </w:r>
      <w:r>
        <w:rPr>
          <w:rFonts w:hint="eastAsia" w:ascii="宋体" w:hAnsi="宋体" w:eastAsia="宋体" w:cs="宋体"/>
          <w:spacing w:val="-3"/>
          <w:sz w:val="24"/>
          <w:highlight w:val="none"/>
          <w:lang w:val="en-US" w:eastAsia="zh-CN"/>
        </w:rPr>
        <w:t>甲方</w:t>
      </w:r>
      <w:r>
        <w:rPr>
          <w:rFonts w:hint="eastAsia" w:ascii="宋体" w:hAnsi="宋体" w:eastAsia="宋体" w:cs="宋体"/>
          <w:spacing w:val="-3"/>
          <w:sz w:val="24"/>
          <w:highlight w:val="none"/>
        </w:rPr>
        <w:t>要求的，</w:t>
      </w:r>
      <w:r>
        <w:rPr>
          <w:rFonts w:hint="eastAsia" w:ascii="宋体" w:hAnsi="宋体" w:cs="宋体"/>
          <w:spacing w:val="-1"/>
          <w:sz w:val="24"/>
          <w:highlight w:val="none"/>
        </w:rPr>
        <w:t>甲方有权终止或单方解除本合同</w:t>
      </w:r>
      <w:r>
        <w:rPr>
          <w:rFonts w:hint="eastAsia" w:ascii="宋体" w:hAnsi="宋体" w:cs="宋体"/>
          <w:spacing w:val="-1"/>
          <w:sz w:val="24"/>
          <w:highlight w:val="none"/>
          <w:lang w:val="en-US" w:eastAsia="zh-CN"/>
        </w:rPr>
        <w:t>并不承担违约责任</w:t>
      </w:r>
      <w:r>
        <w:rPr>
          <w:rFonts w:hint="eastAsia" w:ascii="宋体" w:hAnsi="宋体" w:cs="宋体"/>
          <w:spacing w:val="-1"/>
          <w:sz w:val="24"/>
          <w:highlight w:val="none"/>
        </w:rPr>
        <w:t>，乙方应</w:t>
      </w:r>
      <w:r>
        <w:rPr>
          <w:rFonts w:hint="eastAsia" w:ascii="宋体" w:hAnsi="宋体" w:cs="宋体"/>
          <w:spacing w:val="-1"/>
          <w:sz w:val="24"/>
          <w:highlight w:val="none"/>
          <w:lang w:val="en-US" w:eastAsia="zh-CN"/>
        </w:rPr>
        <w:t>承担</w:t>
      </w:r>
      <w:r>
        <w:rPr>
          <w:rFonts w:hint="eastAsia" w:ascii="宋体" w:hAnsi="宋体" w:cs="宋体"/>
          <w:spacing w:val="-1"/>
          <w:sz w:val="24"/>
          <w:highlight w:val="none"/>
        </w:rPr>
        <w:t>由此给甲方造成的损失和合同价10%违约金。</w:t>
      </w:r>
    </w:p>
    <w:p w14:paraId="117FCCB3">
      <w:pPr>
        <w:keepNext w:val="0"/>
        <w:keepLines w:val="0"/>
        <w:pageBreakBefore w:val="0"/>
        <w:widowControl w:val="0"/>
        <w:kinsoku/>
        <w:wordWrap/>
        <w:overflowPunct/>
        <w:topLinePunct w:val="0"/>
        <w:autoSpaceDE/>
        <w:autoSpaceDN/>
        <w:bidi w:val="0"/>
        <w:adjustRightInd w:val="0"/>
        <w:snapToGrid w:val="0"/>
        <w:spacing w:line="360" w:lineRule="auto"/>
        <w:ind w:left="0" w:right="0" w:firstLine="432"/>
        <w:textAlignment w:val="auto"/>
        <w:rPr>
          <w:rFonts w:hint="eastAsia" w:ascii="宋体" w:hAnsi="宋体" w:cs="宋体"/>
          <w:spacing w:val="-1"/>
          <w:sz w:val="24"/>
          <w:highlight w:val="none"/>
        </w:rPr>
      </w:pPr>
      <w:r>
        <w:rPr>
          <w:rFonts w:hint="eastAsia" w:ascii="宋体" w:hAnsi="宋体" w:cs="宋体"/>
          <w:spacing w:val="-1"/>
          <w:sz w:val="24"/>
          <w:highlight w:val="none"/>
        </w:rPr>
        <w:t>（</w:t>
      </w:r>
      <w:r>
        <w:rPr>
          <w:rFonts w:hint="eastAsia" w:ascii="宋体" w:hAnsi="宋体" w:cs="宋体"/>
          <w:spacing w:val="-1"/>
          <w:sz w:val="24"/>
          <w:highlight w:val="none"/>
          <w:lang w:val="en-US" w:eastAsia="zh-CN"/>
        </w:rPr>
        <w:t>7</w:t>
      </w:r>
      <w:r>
        <w:rPr>
          <w:rFonts w:hint="eastAsia" w:ascii="宋体" w:hAnsi="宋体" w:cs="宋体"/>
          <w:spacing w:val="-1"/>
          <w:sz w:val="24"/>
          <w:highlight w:val="none"/>
        </w:rPr>
        <w:t>）如乙方无故终止履行本协议，乙方应当退还甲方服务期间内已支付费用。如乙方无故终止履行本协议对乙方正在为甲方提供服务的事项造成损失的，乙方应赔偿由此给甲方造成的损失。</w:t>
      </w:r>
    </w:p>
    <w:p w14:paraId="16CFF9AD">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10"/>
          <w:sz w:val="24"/>
        </w:rPr>
        <w:t>十四、</w:t>
      </w:r>
      <w:r>
        <w:rPr>
          <w:rFonts w:hint="eastAsia" w:ascii="宋体" w:hAnsi="宋体" w:cs="宋体"/>
          <w:spacing w:val="-10"/>
          <w:sz w:val="24"/>
        </w:rPr>
        <w:t>免责</w:t>
      </w:r>
    </w:p>
    <w:p w14:paraId="6F11FAE3">
      <w:pPr>
        <w:keepNext w:val="0"/>
        <w:keepLines w:val="0"/>
        <w:pageBreakBefore w:val="0"/>
        <w:widowControl w:val="0"/>
        <w:kinsoku/>
        <w:wordWrap/>
        <w:overflowPunct/>
        <w:topLinePunct w:val="0"/>
        <w:autoSpaceDE/>
        <w:autoSpaceDN/>
        <w:bidi w:val="0"/>
        <w:adjustRightInd w:val="0"/>
        <w:snapToGrid w:val="0"/>
        <w:spacing w:line="360" w:lineRule="auto"/>
        <w:ind w:left="0" w:right="0" w:firstLine="428"/>
        <w:textAlignment w:val="auto"/>
        <w:rPr>
          <w:rFonts w:hint="eastAsia" w:ascii="宋体" w:hAnsi="宋体" w:cs="宋体"/>
          <w:sz w:val="24"/>
        </w:rPr>
      </w:pPr>
      <w:r>
        <w:rPr>
          <w:rFonts w:hint="eastAsia" w:ascii="宋体" w:hAnsi="宋体" w:cs="宋体"/>
          <w:spacing w:val="-2"/>
          <w:sz w:val="24"/>
        </w:rPr>
        <w:t>本合同履行期间，如遇不可抗力，致使本合同无法实际/继续履行，双方应按有关法律规定处理。</w:t>
      </w:r>
    </w:p>
    <w:p w14:paraId="24A1D681">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5"/>
          <w:sz w:val="24"/>
        </w:rPr>
        <w:t>十五、</w:t>
      </w:r>
      <w:r>
        <w:rPr>
          <w:rFonts w:hint="eastAsia" w:ascii="宋体" w:hAnsi="宋体" w:cs="宋体"/>
          <w:spacing w:val="-5"/>
          <w:sz w:val="24"/>
        </w:rPr>
        <w:t>合同的可分性</w:t>
      </w:r>
    </w:p>
    <w:p w14:paraId="2561F822">
      <w:pPr>
        <w:keepNext w:val="0"/>
        <w:keepLines w:val="0"/>
        <w:pageBreakBefore w:val="0"/>
        <w:widowControl w:val="0"/>
        <w:kinsoku/>
        <w:wordWrap/>
        <w:overflowPunct/>
        <w:topLinePunct w:val="0"/>
        <w:autoSpaceDE/>
        <w:autoSpaceDN/>
        <w:bidi w:val="0"/>
        <w:adjustRightInd w:val="0"/>
        <w:snapToGrid w:val="0"/>
        <w:spacing w:line="360" w:lineRule="auto"/>
        <w:ind w:left="0" w:right="0" w:firstLine="397"/>
        <w:textAlignment w:val="auto"/>
        <w:rPr>
          <w:rFonts w:hint="eastAsia" w:ascii="宋体" w:hAnsi="宋体" w:cs="宋体"/>
          <w:sz w:val="24"/>
        </w:rPr>
      </w:pPr>
      <w:r>
        <w:rPr>
          <w:rFonts w:hint="eastAsia" w:ascii="宋体" w:hAnsi="宋体" w:cs="宋体"/>
          <w:spacing w:val="-2"/>
          <w:sz w:val="24"/>
        </w:rPr>
        <w:t>本合同中的任何条款如因任何原因导致部分无效，本合同的其他条款仍保持原有的效力，应当予</w:t>
      </w:r>
      <w:r>
        <w:rPr>
          <w:rFonts w:hint="eastAsia" w:ascii="宋体" w:hAnsi="宋体" w:cs="宋体"/>
          <w:spacing w:val="-9"/>
          <w:sz w:val="24"/>
        </w:rPr>
        <w:t>以履行。</w:t>
      </w:r>
    </w:p>
    <w:p w14:paraId="0A34D66E">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10"/>
          <w:sz w:val="24"/>
        </w:rPr>
        <w:t>十六、</w:t>
      </w:r>
      <w:r>
        <w:rPr>
          <w:rFonts w:hint="eastAsia" w:ascii="宋体" w:hAnsi="宋体" w:cs="宋体"/>
          <w:spacing w:val="-10"/>
          <w:sz w:val="24"/>
        </w:rPr>
        <w:t>通知</w:t>
      </w:r>
    </w:p>
    <w:p w14:paraId="545ED2E7">
      <w:pPr>
        <w:keepNext w:val="0"/>
        <w:keepLines w:val="0"/>
        <w:pageBreakBefore w:val="0"/>
        <w:widowControl w:val="0"/>
        <w:kinsoku/>
        <w:wordWrap/>
        <w:overflowPunct/>
        <w:topLinePunct w:val="0"/>
        <w:autoSpaceDE/>
        <w:autoSpaceDN/>
        <w:bidi w:val="0"/>
        <w:adjustRightInd w:val="0"/>
        <w:snapToGrid w:val="0"/>
        <w:spacing w:line="360" w:lineRule="auto"/>
        <w:ind w:left="0" w:right="0" w:firstLine="425"/>
        <w:textAlignment w:val="auto"/>
        <w:rPr>
          <w:rFonts w:hint="eastAsia" w:ascii="宋体" w:hAnsi="宋体" w:cs="宋体"/>
          <w:sz w:val="24"/>
        </w:rPr>
      </w:pPr>
      <w:r>
        <w:rPr>
          <w:rFonts w:hint="eastAsia" w:ascii="宋体" w:hAnsi="宋体" w:cs="宋体"/>
          <w:spacing w:val="-1"/>
          <w:sz w:val="24"/>
        </w:rPr>
        <w:t>与本合同履行有关的通知应当以书面方式提交对方，送达方式可为邮寄、挂号邮寄、专人送达、传真、电子邮件等。各方均可分别视需要选择合适的送达方式。</w:t>
      </w:r>
    </w:p>
    <w:p w14:paraId="13508FEE">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6"/>
          <w:sz w:val="24"/>
        </w:rPr>
        <w:t>十七、</w:t>
      </w:r>
      <w:r>
        <w:rPr>
          <w:rFonts w:hint="eastAsia" w:ascii="宋体" w:hAnsi="宋体" w:cs="宋体"/>
          <w:spacing w:val="-6"/>
          <w:sz w:val="24"/>
        </w:rPr>
        <w:t>争议的解决</w:t>
      </w:r>
    </w:p>
    <w:p w14:paraId="16B5EF9C">
      <w:pPr>
        <w:keepNext w:val="0"/>
        <w:keepLines w:val="0"/>
        <w:pageBreakBefore w:val="0"/>
        <w:widowControl w:val="0"/>
        <w:kinsoku/>
        <w:wordWrap/>
        <w:overflowPunct/>
        <w:topLinePunct w:val="0"/>
        <w:autoSpaceDE/>
        <w:autoSpaceDN/>
        <w:bidi w:val="0"/>
        <w:adjustRightInd w:val="0"/>
        <w:snapToGrid w:val="0"/>
        <w:spacing w:line="360" w:lineRule="auto"/>
        <w:ind w:left="0" w:right="0" w:firstLine="422"/>
        <w:textAlignment w:val="auto"/>
        <w:rPr>
          <w:rFonts w:hint="eastAsia" w:ascii="宋体" w:hAnsi="宋体" w:cs="宋体"/>
          <w:sz w:val="24"/>
        </w:rPr>
      </w:pPr>
      <w:r>
        <w:rPr>
          <w:rFonts w:hint="eastAsia" w:ascii="宋体" w:hAnsi="宋体" w:cs="宋体"/>
          <w:sz w:val="24"/>
        </w:rPr>
        <w:t>（1）双方之间发生争议的，应当进行协商，如果协商不成，甲方应先向乙方主管司法行政部门</w:t>
      </w:r>
      <w:r>
        <w:rPr>
          <w:rFonts w:hint="eastAsia" w:ascii="宋体" w:hAnsi="宋体" w:cs="宋体"/>
          <w:spacing w:val="-1"/>
          <w:sz w:val="24"/>
        </w:rPr>
        <w:t>投诉，由主管司法行政部门进行调解；</w:t>
      </w:r>
    </w:p>
    <w:p w14:paraId="41ED53C7">
      <w:pPr>
        <w:keepNext w:val="0"/>
        <w:keepLines w:val="0"/>
        <w:pageBreakBefore w:val="0"/>
        <w:widowControl w:val="0"/>
        <w:kinsoku/>
        <w:wordWrap/>
        <w:overflowPunct/>
        <w:topLinePunct w:val="0"/>
        <w:autoSpaceDE/>
        <w:autoSpaceDN/>
        <w:bidi w:val="0"/>
        <w:adjustRightInd w:val="0"/>
        <w:snapToGrid w:val="0"/>
        <w:spacing w:line="360" w:lineRule="auto"/>
        <w:ind w:left="0" w:right="0" w:firstLine="423"/>
        <w:textAlignment w:val="auto"/>
        <w:rPr>
          <w:rFonts w:hint="eastAsia" w:ascii="宋体" w:hAnsi="宋体" w:cs="宋体"/>
          <w:sz w:val="24"/>
        </w:rPr>
      </w:pPr>
      <w:r>
        <w:rPr>
          <w:rFonts w:hint="eastAsia" w:ascii="宋体" w:hAnsi="宋体" w:cs="宋体"/>
          <w:sz w:val="24"/>
        </w:rPr>
        <w:t>（2）双方同意，就本合同签订、履行而发生的任何争议，在无法通过协商和调解方式解决的情</w:t>
      </w:r>
      <w:r>
        <w:rPr>
          <w:rFonts w:hint="eastAsia" w:ascii="宋体" w:hAnsi="宋体" w:cs="宋体"/>
          <w:spacing w:val="24"/>
          <w:sz w:val="24"/>
        </w:rPr>
        <w:t xml:space="preserve"> </w:t>
      </w:r>
      <w:r>
        <w:rPr>
          <w:rFonts w:hint="eastAsia" w:ascii="宋体" w:hAnsi="宋体" w:cs="宋体"/>
          <w:spacing w:val="-1"/>
          <w:sz w:val="24"/>
        </w:rPr>
        <w:t>况下，任何一方均可向原告所在地人民法院提起诉讼。</w:t>
      </w:r>
    </w:p>
    <w:p w14:paraId="34361905">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7"/>
          <w:sz w:val="24"/>
        </w:rPr>
        <w:t>十八、</w:t>
      </w:r>
      <w:r>
        <w:rPr>
          <w:rFonts w:hint="eastAsia" w:ascii="宋体" w:hAnsi="宋体" w:cs="宋体"/>
          <w:spacing w:val="-7"/>
          <w:sz w:val="24"/>
        </w:rPr>
        <w:t>其他约定</w:t>
      </w:r>
    </w:p>
    <w:p w14:paraId="37D99E5D">
      <w:pPr>
        <w:keepNext w:val="0"/>
        <w:keepLines w:val="0"/>
        <w:pageBreakBefore w:val="0"/>
        <w:widowControl w:val="0"/>
        <w:kinsoku/>
        <w:wordWrap/>
        <w:overflowPunct/>
        <w:topLinePunct w:val="0"/>
        <w:autoSpaceDE/>
        <w:autoSpaceDN/>
        <w:bidi w:val="0"/>
        <w:adjustRightInd w:val="0"/>
        <w:snapToGrid w:val="0"/>
        <w:spacing w:line="360" w:lineRule="auto"/>
        <w:ind w:left="0" w:right="0" w:firstLine="440"/>
        <w:textAlignment w:val="auto"/>
        <w:rPr>
          <w:rFonts w:hint="eastAsia" w:ascii="宋体" w:hAnsi="宋体" w:cs="宋体"/>
          <w:sz w:val="24"/>
        </w:rPr>
      </w:pPr>
      <w:r>
        <w:rPr>
          <w:rFonts w:hint="eastAsia" w:ascii="宋体" w:hAnsi="宋体" w:cs="宋体"/>
          <w:spacing w:val="-8"/>
          <w:sz w:val="24"/>
        </w:rPr>
        <w:t>除上述条款约定外，乙方和甲方就如下内容达成一致的约定：</w:t>
      </w:r>
      <w:r>
        <w:rPr>
          <w:rFonts w:hint="eastAsia" w:ascii="宋体" w:hAnsi="宋体" w:cs="宋体"/>
          <w:spacing w:val="-8"/>
          <w:sz w:val="24"/>
          <w:u w:val="single"/>
        </w:rPr>
        <w:t>【</w:t>
      </w:r>
      <w:r>
        <w:rPr>
          <w:rFonts w:hint="eastAsia" w:ascii="宋体" w:hAnsi="宋体" w:cs="宋体"/>
          <w:spacing w:val="3"/>
          <w:sz w:val="24"/>
          <w:u w:val="single"/>
        </w:rPr>
        <w:t xml:space="preserve">   </w:t>
      </w:r>
      <w:r>
        <w:rPr>
          <w:rFonts w:hint="eastAsia" w:ascii="宋体" w:hAnsi="宋体" w:cs="宋体"/>
          <w:spacing w:val="3"/>
          <w:sz w:val="24"/>
          <w:u w:val="single"/>
          <w:lang w:eastAsia="zh-CN"/>
        </w:rPr>
        <w:t>无</w:t>
      </w:r>
      <w:r>
        <w:rPr>
          <w:rFonts w:hint="eastAsia" w:ascii="宋体" w:hAnsi="宋体" w:cs="宋体"/>
          <w:spacing w:val="3"/>
          <w:sz w:val="24"/>
          <w:u w:val="single"/>
        </w:rPr>
        <w:t xml:space="preserve">    </w:t>
      </w:r>
      <w:r>
        <w:rPr>
          <w:rFonts w:hint="eastAsia" w:ascii="宋体" w:hAnsi="宋体" w:cs="宋体"/>
          <w:spacing w:val="-8"/>
          <w:sz w:val="24"/>
          <w:u w:val="single"/>
        </w:rPr>
        <w:t>】</w:t>
      </w:r>
      <w:r>
        <w:rPr>
          <w:rFonts w:hint="eastAsia" w:ascii="宋体" w:hAnsi="宋体" w:cs="宋体"/>
          <w:spacing w:val="-8"/>
          <w:sz w:val="24"/>
        </w:rPr>
        <w:t>。</w:t>
      </w:r>
    </w:p>
    <w:p w14:paraId="55A959EC">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7"/>
          <w:sz w:val="24"/>
        </w:rPr>
        <w:t>十九、</w:t>
      </w:r>
      <w:r>
        <w:rPr>
          <w:rFonts w:hint="eastAsia" w:ascii="宋体" w:hAnsi="宋体" w:cs="宋体"/>
          <w:spacing w:val="-7"/>
          <w:sz w:val="24"/>
        </w:rPr>
        <w:t>生效条件</w:t>
      </w:r>
    </w:p>
    <w:p w14:paraId="0ECAA477">
      <w:pPr>
        <w:keepNext w:val="0"/>
        <w:keepLines w:val="0"/>
        <w:pageBreakBefore w:val="0"/>
        <w:widowControl w:val="0"/>
        <w:kinsoku/>
        <w:wordWrap/>
        <w:overflowPunct/>
        <w:topLinePunct w:val="0"/>
        <w:autoSpaceDE/>
        <w:autoSpaceDN/>
        <w:bidi w:val="0"/>
        <w:adjustRightInd w:val="0"/>
        <w:snapToGrid w:val="0"/>
        <w:spacing w:line="360" w:lineRule="auto"/>
        <w:ind w:left="0" w:right="0" w:firstLine="398"/>
        <w:textAlignment w:val="auto"/>
        <w:rPr>
          <w:rFonts w:hint="eastAsia" w:ascii="宋体" w:hAnsi="宋体" w:cs="宋体"/>
          <w:sz w:val="24"/>
        </w:rPr>
      </w:pPr>
      <w:r>
        <w:rPr>
          <w:rFonts w:hint="eastAsia" w:ascii="宋体" w:hAnsi="宋体" w:cs="宋体"/>
          <w:spacing w:val="-2"/>
          <w:sz w:val="24"/>
        </w:rPr>
        <w:t>本合同在双方</w:t>
      </w:r>
      <w:r>
        <w:rPr>
          <w:rFonts w:hint="eastAsia" w:ascii="宋体" w:hAnsi="宋体" w:cs="宋体"/>
          <w:spacing w:val="-2"/>
          <w:sz w:val="24"/>
          <w:lang w:val="en-US" w:eastAsia="zh-CN"/>
        </w:rPr>
        <w:t>盖章</w:t>
      </w:r>
      <w:r>
        <w:rPr>
          <w:rFonts w:hint="eastAsia" w:ascii="宋体" w:hAnsi="宋体" w:cs="宋体"/>
          <w:spacing w:val="-2"/>
          <w:sz w:val="24"/>
        </w:rPr>
        <w:t>后生效，在此之前，乙方没有义务向甲方提供法律服务，但律师在签订合同前已提供的预备性法律服务包括在本合同内。</w:t>
      </w:r>
    </w:p>
    <w:p w14:paraId="19F6706F">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2"/>
          <w:sz w:val="24"/>
        </w:rPr>
        <w:t>二十、</w:t>
      </w:r>
      <w:r>
        <w:rPr>
          <w:rFonts w:hint="eastAsia" w:ascii="宋体" w:hAnsi="宋体" w:cs="宋体"/>
          <w:spacing w:val="-2"/>
          <w:sz w:val="24"/>
        </w:rPr>
        <w:t>本合同空格部分填写的文字与印刷文字具有同等效力。</w:t>
      </w:r>
    </w:p>
    <w:p w14:paraId="04944037">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z w:val="24"/>
        </w:rPr>
      </w:pPr>
      <w:r>
        <w:rPr>
          <w:rFonts w:hint="eastAsia" w:ascii="宋体" w:hAnsi="宋体" w:cs="宋体"/>
          <w:b/>
          <w:bCs/>
          <w:spacing w:val="-1"/>
          <w:sz w:val="24"/>
        </w:rPr>
        <w:t>二十一、</w:t>
      </w:r>
      <w:r>
        <w:rPr>
          <w:rFonts w:hint="eastAsia" w:ascii="宋体" w:hAnsi="宋体" w:cs="宋体"/>
          <w:spacing w:val="-1"/>
          <w:sz w:val="24"/>
        </w:rPr>
        <w:t>本合同一式五份，具同等法律效力。甲方、乙方双方各执二份，采购代理机构一份。</w:t>
      </w:r>
    </w:p>
    <w:p w14:paraId="53473B62">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宋体" w:hAnsi="宋体" w:cs="宋体"/>
          <w:spacing w:val="-2"/>
          <w:sz w:val="24"/>
        </w:rPr>
      </w:pPr>
      <w:r>
        <w:rPr>
          <w:rFonts w:hint="eastAsia" w:ascii="宋体" w:hAnsi="宋体" w:cs="宋体"/>
          <w:b/>
          <w:bCs/>
          <w:spacing w:val="-1"/>
          <w:sz w:val="24"/>
        </w:rPr>
        <w:t>二十二、</w:t>
      </w:r>
      <w:r>
        <w:rPr>
          <w:rFonts w:hint="eastAsia" w:ascii="宋体" w:hAnsi="宋体" w:cs="宋体"/>
          <w:spacing w:val="-2"/>
          <w:sz w:val="24"/>
        </w:rPr>
        <w:t>采购文件、投标文件为合同的组成部分。</w:t>
      </w:r>
    </w:p>
    <w:p w14:paraId="1B093BA6">
      <w:pPr>
        <w:keepNext w:val="0"/>
        <w:keepLines w:val="0"/>
        <w:pageBreakBefore w:val="0"/>
        <w:widowControl w:val="0"/>
        <w:kinsoku/>
        <w:wordWrap/>
        <w:overflowPunct/>
        <w:topLinePunct w:val="0"/>
        <w:autoSpaceDE/>
        <w:autoSpaceDN/>
        <w:bidi w:val="0"/>
        <w:adjustRightInd w:val="0"/>
        <w:snapToGrid w:val="0"/>
        <w:spacing w:line="360" w:lineRule="auto"/>
        <w:ind w:left="0" w:right="0" w:firstLine="417"/>
        <w:textAlignment w:val="auto"/>
        <w:rPr>
          <w:rFonts w:hint="eastAsia" w:ascii="宋体" w:hAnsi="宋体" w:cs="宋体"/>
          <w:spacing w:val="-1"/>
          <w:position w:val="11"/>
          <w:sz w:val="24"/>
        </w:rPr>
      </w:pPr>
      <w:r>
        <w:rPr>
          <w:rFonts w:hint="eastAsia" w:ascii="宋体" w:hAnsi="宋体" w:cs="宋体"/>
          <w:spacing w:val="-1"/>
          <w:position w:val="11"/>
          <w:sz w:val="24"/>
        </w:rPr>
        <w:t>【本行以下无正文】</w:t>
      </w:r>
    </w:p>
    <w:p w14:paraId="2C2A1229">
      <w:pPr>
        <w:pStyle w:val="4"/>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rPr>
          <w:rFonts w:hint="eastAsia"/>
        </w:rPr>
      </w:pPr>
    </w:p>
    <w:p w14:paraId="6B3109FD">
      <w:pPr>
        <w:keepNext w:val="0"/>
        <w:keepLines w:val="0"/>
        <w:pageBreakBefore w:val="0"/>
        <w:widowControl w:val="0"/>
        <w:tabs>
          <w:tab w:val="left" w:pos="1890"/>
          <w:tab w:val="left" w:pos="2100"/>
          <w:tab w:val="left" w:pos="4620"/>
        </w:tabs>
        <w:kinsoku/>
        <w:wordWrap/>
        <w:overflowPunct/>
        <w:topLinePunct w:val="0"/>
        <w:autoSpaceDE/>
        <w:autoSpaceDN/>
        <w:bidi w:val="0"/>
        <w:adjustRightInd w:val="0"/>
        <w:snapToGrid w:val="0"/>
        <w:spacing w:line="360" w:lineRule="auto"/>
        <w:ind w:left="0" w:right="0" w:firstLine="708" w:firstLineChars="300"/>
        <w:textAlignment w:val="auto"/>
        <w:rPr>
          <w:rFonts w:hint="eastAsia" w:ascii="宋体" w:hAnsi="宋体" w:cs="宋体"/>
          <w:spacing w:val="-2"/>
          <w:sz w:val="24"/>
        </w:rPr>
      </w:pPr>
      <w:r>
        <w:rPr>
          <w:rFonts w:hint="eastAsia" w:ascii="宋体" w:hAnsi="宋体" w:cs="宋体"/>
          <w:spacing w:val="-2"/>
          <w:sz w:val="24"/>
        </w:rPr>
        <w:t>甲方（单位章</w:t>
      </w:r>
      <w:r>
        <w:rPr>
          <w:rFonts w:hint="eastAsia" w:ascii="宋体" w:hAnsi="宋体" w:cs="宋体"/>
          <w:spacing w:val="-57"/>
          <w:sz w:val="24"/>
        </w:rPr>
        <w:t>）</w:t>
      </w:r>
      <w:r>
        <w:rPr>
          <w:rFonts w:hint="eastAsia" w:ascii="宋体" w:hAnsi="宋体" w:cs="宋体"/>
          <w:spacing w:val="-16"/>
          <w:sz w:val="24"/>
        </w:rPr>
        <w:t xml:space="preserve"> </w:t>
      </w:r>
      <w:r>
        <w:rPr>
          <w:rFonts w:hint="eastAsia" w:ascii="宋体" w:hAnsi="宋体" w:cs="宋体"/>
          <w:spacing w:val="-57"/>
          <w:sz w:val="24"/>
        </w:rPr>
        <w:t xml:space="preserve">：                                                                                                                                                                                                                                                                                                                                                                                                               </w:t>
      </w:r>
      <w:r>
        <w:rPr>
          <w:rFonts w:hint="eastAsia" w:ascii="宋体" w:hAnsi="宋体" w:cs="宋体"/>
          <w:spacing w:val="-57"/>
          <w:sz w:val="24"/>
        </w:rPr>
        <w:tab/>
      </w:r>
      <w:r>
        <w:rPr>
          <w:rFonts w:hint="eastAsia" w:ascii="宋体" w:hAnsi="宋体" w:cs="宋体"/>
          <w:spacing w:val="-57"/>
          <w:sz w:val="24"/>
        </w:rPr>
        <w:t xml:space="preserve">      </w:t>
      </w:r>
      <w:r>
        <w:rPr>
          <w:rFonts w:hint="eastAsia" w:ascii="宋体" w:hAnsi="宋体" w:cs="宋体"/>
          <w:spacing w:val="-2"/>
          <w:sz w:val="24"/>
        </w:rPr>
        <w:t>乙方（单位章） ：</w:t>
      </w:r>
    </w:p>
    <w:p w14:paraId="0CE757D6">
      <w:pPr>
        <w:keepNext w:val="0"/>
        <w:keepLines w:val="0"/>
        <w:pageBreakBefore w:val="0"/>
        <w:widowControl w:val="0"/>
        <w:tabs>
          <w:tab w:val="left" w:pos="1890"/>
          <w:tab w:val="left" w:pos="2100"/>
          <w:tab w:val="left" w:pos="4620"/>
        </w:tabs>
        <w:kinsoku/>
        <w:wordWrap/>
        <w:overflowPunct/>
        <w:topLinePunct w:val="0"/>
        <w:autoSpaceDE/>
        <w:autoSpaceDN/>
        <w:bidi w:val="0"/>
        <w:adjustRightInd w:val="0"/>
        <w:snapToGrid w:val="0"/>
        <w:spacing w:line="360" w:lineRule="auto"/>
        <w:ind w:left="0" w:right="0" w:firstLine="678" w:firstLineChars="300"/>
        <w:textAlignment w:val="auto"/>
        <w:rPr>
          <w:rFonts w:hint="eastAsia" w:ascii="宋体" w:hAnsi="宋体" w:cs="宋体"/>
          <w:sz w:val="24"/>
        </w:rPr>
      </w:pPr>
      <w:r>
        <w:rPr>
          <w:rFonts w:hint="eastAsia" w:ascii="宋体" w:hAnsi="宋体" w:cs="宋体"/>
          <w:spacing w:val="-7"/>
          <w:position w:val="14"/>
          <w:sz w:val="24"/>
        </w:rPr>
        <w:t>地</w:t>
      </w:r>
      <w:r>
        <w:rPr>
          <w:rFonts w:hint="eastAsia" w:ascii="宋体" w:hAnsi="宋体" w:cs="宋体"/>
          <w:spacing w:val="2"/>
          <w:position w:val="14"/>
          <w:sz w:val="24"/>
        </w:rPr>
        <w:t xml:space="preserve">    </w:t>
      </w:r>
      <w:r>
        <w:rPr>
          <w:rFonts w:hint="eastAsia" w:ascii="宋体" w:hAnsi="宋体" w:cs="宋体"/>
          <w:spacing w:val="-7"/>
          <w:position w:val="14"/>
          <w:sz w:val="24"/>
        </w:rPr>
        <w:t>址：</w:t>
      </w:r>
      <w:r>
        <w:rPr>
          <w:rFonts w:hint="eastAsia" w:ascii="宋体" w:hAnsi="宋体" w:cs="宋体"/>
          <w:spacing w:val="-7"/>
          <w:position w:val="14"/>
          <w:sz w:val="24"/>
        </w:rPr>
        <w:tab/>
      </w:r>
      <w:r>
        <w:rPr>
          <w:rFonts w:hint="eastAsia" w:ascii="宋体" w:hAnsi="宋体" w:cs="宋体"/>
          <w:spacing w:val="-7"/>
          <w:position w:val="14"/>
          <w:sz w:val="24"/>
        </w:rPr>
        <w:tab/>
      </w:r>
      <w:r>
        <w:rPr>
          <w:rFonts w:hint="eastAsia" w:ascii="宋体" w:hAnsi="宋体" w:cs="宋体"/>
          <w:spacing w:val="-7"/>
          <w:position w:val="14"/>
          <w:sz w:val="24"/>
        </w:rPr>
        <w:tab/>
      </w:r>
      <w:r>
        <w:rPr>
          <w:rFonts w:hint="eastAsia" w:ascii="宋体" w:hAnsi="宋体" w:cs="宋体"/>
          <w:spacing w:val="-7"/>
          <w:position w:val="14"/>
          <w:sz w:val="24"/>
          <w:lang w:val="en-US" w:eastAsia="zh-CN"/>
        </w:rPr>
        <w:t xml:space="preserve">    </w:t>
      </w:r>
      <w:r>
        <w:rPr>
          <w:rFonts w:hint="eastAsia" w:ascii="宋体" w:hAnsi="宋体" w:cs="宋体"/>
          <w:spacing w:val="-7"/>
          <w:position w:val="14"/>
          <w:sz w:val="24"/>
        </w:rPr>
        <w:t>地</w:t>
      </w:r>
      <w:r>
        <w:rPr>
          <w:rFonts w:hint="eastAsia" w:ascii="宋体" w:hAnsi="宋体" w:cs="宋体"/>
          <w:spacing w:val="2"/>
          <w:position w:val="14"/>
          <w:sz w:val="24"/>
        </w:rPr>
        <w:t xml:space="preserve">    </w:t>
      </w:r>
      <w:r>
        <w:rPr>
          <w:rFonts w:hint="eastAsia" w:ascii="宋体" w:hAnsi="宋体" w:cs="宋体"/>
          <w:spacing w:val="-7"/>
          <w:position w:val="14"/>
          <w:sz w:val="24"/>
        </w:rPr>
        <w:t>址：</w:t>
      </w:r>
    </w:p>
    <w:p w14:paraId="1BA5F485">
      <w:pPr>
        <w:keepNext w:val="0"/>
        <w:keepLines w:val="0"/>
        <w:pageBreakBefore w:val="0"/>
        <w:widowControl w:val="0"/>
        <w:kinsoku/>
        <w:wordWrap/>
        <w:overflowPunct/>
        <w:topLinePunct w:val="0"/>
        <w:autoSpaceDE/>
        <w:autoSpaceDN/>
        <w:bidi w:val="0"/>
        <w:adjustRightInd w:val="0"/>
        <w:snapToGrid w:val="0"/>
        <w:spacing w:line="360" w:lineRule="auto"/>
        <w:ind w:left="0" w:right="0" w:firstLine="720" w:firstLineChars="300"/>
        <w:jc w:val="left"/>
        <w:textAlignment w:val="auto"/>
        <w:rPr>
          <w:rFonts w:hint="eastAsia" w:eastAsia="宋体"/>
          <w:sz w:val="24"/>
          <w:lang w:val="en-US" w:eastAsia="zh-CN"/>
        </w:rPr>
      </w:pPr>
      <w:r>
        <w:rPr>
          <w:rFonts w:hint="eastAsia"/>
          <w:sz w:val="24"/>
          <w:lang w:val="en-US" w:eastAsia="zh-CN"/>
        </w:rPr>
        <w:t>年  月  日                           年  月  日</w:t>
      </w:r>
    </w:p>
    <w:p w14:paraId="27F9F9E2">
      <w:pPr>
        <w:keepNext w:val="0"/>
        <w:keepLines w:val="0"/>
        <w:pageBreakBefore w:val="0"/>
        <w:widowControl w:val="0"/>
        <w:kinsoku/>
        <w:wordWrap/>
        <w:overflowPunct/>
        <w:topLinePunct w:val="0"/>
        <w:autoSpaceDE/>
        <w:autoSpaceDN/>
        <w:bidi w:val="0"/>
        <w:adjustRightInd w:val="0"/>
        <w:snapToGrid w:val="0"/>
        <w:spacing w:line="360" w:lineRule="auto"/>
        <w:ind w:left="0" w:right="0"/>
        <w:textAlignment w:val="auto"/>
      </w:pPr>
    </w:p>
    <w:p w14:paraId="64D08494">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00C2B36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5C79CAC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36"/>
          <w:szCs w:val="36"/>
          <w:highlight w:val="none"/>
        </w:rPr>
      </w:pPr>
    </w:p>
    <w:p w14:paraId="3CD8E84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6F29CCF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04005D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36"/>
          <w:szCs w:val="36"/>
          <w:highlight w:val="none"/>
        </w:rPr>
      </w:pPr>
    </w:p>
    <w:p w14:paraId="5F155B72">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3AD8C2E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（2）联合协议（如果有)</w:t>
      </w:r>
      <w:r>
        <w:rPr>
          <w:rFonts w:hint="eastAsia" w:ascii="宋体" w:hAnsi="宋体" w:cs="宋体"/>
          <w:color w:val="auto"/>
          <w:sz w:val="24"/>
          <w:highlight w:val="none"/>
        </w:rPr>
        <w:t>………………………………………………………（页码）</w:t>
      </w:r>
    </w:p>
    <w:p w14:paraId="2DFA1686">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color w:val="auto"/>
          <w:sz w:val="24"/>
          <w:highlight w:val="none"/>
          <w:lang w:eastAsia="zh-CN"/>
        </w:rPr>
        <w:t>（</w:t>
      </w:r>
      <w:r>
        <w:rPr>
          <w:rFonts w:hint="eastAsia" w:ascii="宋体" w:hAnsi="宋体" w:cs="宋体"/>
          <w:snapToGrid w:val="0"/>
          <w:color w:val="000000"/>
          <w:kern w:val="28"/>
          <w:sz w:val="24"/>
          <w:szCs w:val="20"/>
          <w:highlight w:val="none"/>
          <w:lang w:val="en-US" w:eastAsia="zh-CN"/>
        </w:rPr>
        <w:t>中小企业声明函</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6C0EC4A4">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color w:val="auto"/>
          <w:sz w:val="24"/>
          <w:highlight w:val="none"/>
          <w:lang w:eastAsia="zh-CN"/>
        </w:rPr>
        <w:t>（</w:t>
      </w:r>
      <w:r>
        <w:rPr>
          <w:rFonts w:hint="eastAsia" w:ascii="宋体" w:hAnsi="宋体" w:cs="宋体"/>
          <w:snapToGrid w:val="0"/>
          <w:color w:val="000000"/>
          <w:kern w:val="28"/>
          <w:sz w:val="24"/>
          <w:szCs w:val="20"/>
          <w:highlight w:val="none"/>
          <w:lang w:val="en-US" w:eastAsia="zh-CN"/>
        </w:rPr>
        <w:t>营业执</w:t>
      </w:r>
      <w:r>
        <w:rPr>
          <w:rFonts w:hint="eastAsia" w:ascii="宋体" w:hAnsi="宋体" w:eastAsia="宋体" w:cs="宋体"/>
          <w:color w:val="000000"/>
          <w:sz w:val="24"/>
          <w:highlight w:val="none"/>
          <w:lang w:val="en-US" w:eastAsia="zh-CN"/>
        </w:rPr>
        <w:t>照、</w:t>
      </w:r>
      <w:r>
        <w:rPr>
          <w:rFonts w:hint="eastAsia" w:ascii="宋体" w:hAnsi="宋体" w:eastAsia="宋体" w:cs="宋体"/>
          <w:color w:val="000000"/>
          <w:sz w:val="24"/>
          <w:highlight w:val="none"/>
        </w:rPr>
        <w:t>《律师事务所执业许可证》</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01D43CD4">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p>
    <w:p w14:paraId="5F3DE65A">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p>
    <w:p w14:paraId="2CB0C02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606C3F3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（采购人）、（采购代理机构）：</w:t>
      </w:r>
    </w:p>
    <w:p w14:paraId="6769EC8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196698DB">
      <w:pPr>
        <w:widowControl w:val="0"/>
        <w:kinsoku/>
        <w:wordWrap/>
        <w:overflowPunct/>
        <w:topLinePunct w:val="0"/>
        <w:bidi w:val="0"/>
        <w:adjustRightInd w:val="0"/>
        <w:snapToGrid w:val="0"/>
        <w:spacing w:beforeAutospacing="0" w:afterAutospacing="0" w:line="360" w:lineRule="auto"/>
        <w:ind w:left="0" w:leftChars="0" w:right="0" w:rightChars="0" w:firstLine="360" w:firstLineChars="150"/>
        <w:textAlignment w:val="auto"/>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7A3F8AB7">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2999D6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76D6170D">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1FB149B4">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0BFD68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0F0C6ABB">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583CCFA8">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13AD522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（三）不存在以下情况：</w:t>
      </w:r>
    </w:p>
    <w:p w14:paraId="756F9760">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4CB9606C">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59943C22">
      <w:pPr>
        <w:widowControl w:val="0"/>
        <w:kinsoku/>
        <w:wordWrap/>
        <w:overflowPunct/>
        <w:topLinePunct w:val="0"/>
        <w:bidi w:val="0"/>
        <w:adjustRightInd w:val="0"/>
        <w:snapToGrid w:val="0"/>
        <w:spacing w:beforeAutospacing="0" w:afterAutospacing="0" w:line="360" w:lineRule="auto"/>
        <w:ind w:left="0" w:leftChars="0" w:right="0" w:rightChars="0" w:firstLine="5520" w:firstLineChars="2300"/>
        <w:textAlignment w:val="auto"/>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62E1FCB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0C5BE5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354313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38C39B6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55EF875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p>
    <w:p w14:paraId="3659271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22C98F96">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5934D62C">
      <w:pPr>
        <w:widowControl w:val="0"/>
        <w:kinsoku/>
        <w:wordWrap/>
        <w:overflowPunct/>
        <w:topLinePunct w:val="0"/>
        <w:bidi w:val="0"/>
        <w:adjustRightInd w:val="0"/>
        <w:snapToGrid w:val="0"/>
        <w:spacing w:beforeAutospacing="0" w:afterAutospacing="0" w:line="360" w:lineRule="auto"/>
        <w:ind w:left="0" w:leftChars="0" w:right="0" w:rightChars="0" w:firstLine="643" w:firstLineChars="200"/>
        <w:jc w:val="center"/>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0D9BFDC6">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jc w:val="left"/>
        <w:textAlignment w:val="auto"/>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721ECB8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A7F05E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5C918B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43B054D9">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9AD92D1">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jc w:val="left"/>
        <w:textAlignment w:val="auto"/>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73BFDCC5">
      <w:pPr>
        <w:widowControl w:val="0"/>
        <w:kinsoku/>
        <w:wordWrap/>
        <w:overflowPunct/>
        <w:topLinePunct w:val="0"/>
        <w:bidi w:val="0"/>
        <w:adjustRightInd w:val="0"/>
        <w:snapToGrid w:val="0"/>
        <w:spacing w:beforeAutospacing="0" w:afterAutospacing="0" w:line="360" w:lineRule="auto"/>
        <w:ind w:left="0" w:leftChars="0" w:right="0" w:rightChars="0" w:firstLine="480"/>
        <w:jc w:val="left"/>
        <w:textAlignment w:val="auto"/>
        <w:rPr>
          <w:rFonts w:ascii="宋体" w:hAnsi="宋体" w:cs="宋体"/>
          <w:color w:val="auto"/>
          <w:sz w:val="24"/>
          <w:highlight w:val="none"/>
        </w:rPr>
      </w:pPr>
    </w:p>
    <w:p w14:paraId="392F3865">
      <w:pPr>
        <w:widowControl w:val="0"/>
        <w:kinsoku/>
        <w:wordWrap/>
        <w:overflowPunct/>
        <w:topLinePunct w:val="0"/>
        <w:bidi w:val="0"/>
        <w:adjustRightInd w:val="0"/>
        <w:snapToGrid w:val="0"/>
        <w:spacing w:beforeAutospacing="0" w:afterAutospacing="0" w:line="360" w:lineRule="auto"/>
        <w:ind w:left="0" w:leftChars="0" w:right="0" w:rightChars="0" w:firstLine="472" w:firstLineChars="196"/>
        <w:jc w:val="left"/>
        <w:textAlignment w:val="auto"/>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6462AB4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b/>
          <w:color w:val="auto"/>
          <w:sz w:val="24"/>
          <w:highlight w:val="none"/>
        </w:rPr>
        <w:t xml:space="preserve">    </w:t>
      </w:r>
    </w:p>
    <w:p w14:paraId="7BCB2CA3">
      <w:pPr>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1A4C9F2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13F14B7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0E29426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6FA855C4">
      <w:pPr>
        <w:pStyle w:val="8"/>
      </w:pPr>
      <w:r>
        <w:rPr>
          <w:rFonts w:hint="eastAsia" w:hAnsi="宋体" w:cs="宋体"/>
          <w:snapToGrid w:val="0"/>
          <w:color w:val="000000"/>
          <w:kern w:val="28"/>
          <w:sz w:val="24"/>
          <w:szCs w:val="20"/>
          <w:highlight w:val="none"/>
          <w:lang w:val="en-US" w:eastAsia="zh-CN"/>
        </w:rPr>
        <w:t>提供</w:t>
      </w:r>
      <w:r>
        <w:rPr>
          <w:rFonts w:hint="eastAsia" w:ascii="宋体" w:hAnsi="宋体" w:cs="宋体"/>
          <w:snapToGrid w:val="0"/>
          <w:color w:val="000000"/>
          <w:kern w:val="28"/>
          <w:sz w:val="24"/>
          <w:szCs w:val="20"/>
          <w:highlight w:val="none"/>
          <w:lang w:val="en-US" w:eastAsia="zh-CN"/>
        </w:rPr>
        <w:t>营业执</w:t>
      </w:r>
      <w:r>
        <w:rPr>
          <w:rFonts w:hint="eastAsia" w:ascii="宋体" w:hAnsi="宋体" w:eastAsia="宋体" w:cs="宋体"/>
          <w:color w:val="000000"/>
          <w:sz w:val="24"/>
          <w:highlight w:val="none"/>
          <w:lang w:val="en-US" w:eastAsia="zh-CN"/>
        </w:rPr>
        <w:t>照、</w:t>
      </w:r>
      <w:r>
        <w:rPr>
          <w:rFonts w:hint="eastAsia" w:ascii="宋体" w:hAnsi="宋体" w:eastAsia="宋体" w:cs="宋体"/>
          <w:color w:val="000000"/>
          <w:sz w:val="24"/>
          <w:highlight w:val="none"/>
        </w:rPr>
        <w:t>《律师事务所执业许可证》</w:t>
      </w:r>
    </w:p>
    <w:p w14:paraId="46CB0406">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p>
    <w:p w14:paraId="28B42AA8">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41E15BE1">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238EBEB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24"/>
          <w:highlight w:val="none"/>
        </w:rPr>
      </w:pPr>
    </w:p>
    <w:p w14:paraId="43DD0A6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2E78BAB1">
      <w:pPr>
        <w:widowControl w:val="0"/>
        <w:numPr>
          <w:ilvl w:val="0"/>
          <w:numId w:val="4"/>
        </w:numPr>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color w:val="auto"/>
          <w:highlight w:val="none"/>
        </w:rPr>
      </w:pPr>
      <w:r>
        <w:rPr>
          <w:rFonts w:hint="eastAsia" w:ascii="宋体" w:hAnsi="宋体" w:cs="宋体"/>
          <w:color w:val="auto"/>
          <w:sz w:val="24"/>
          <w:highlight w:val="none"/>
        </w:rPr>
        <w:t>投标函</w:t>
      </w:r>
      <w:r>
        <w:rPr>
          <w:rFonts w:hint="eastAsia" w:ascii="宋体" w:hAnsi="宋体" w:cs="宋体"/>
          <w:color w:val="auto"/>
          <w:highlight w:val="none"/>
        </w:rPr>
        <w:t>…………………………………………………………………………………（页码）</w:t>
      </w:r>
    </w:p>
    <w:p w14:paraId="197D6D46">
      <w:pPr>
        <w:widowControl w:val="0"/>
        <w:numPr>
          <w:ilvl w:val="0"/>
          <w:numId w:val="0"/>
        </w:numPr>
        <w:kinsoku/>
        <w:wordWrap/>
        <w:overflowPunct/>
        <w:topLinePunct w:val="0"/>
        <w:bidi w:val="0"/>
        <w:adjustRightInd w:val="0"/>
        <w:snapToGrid w:val="0"/>
        <w:spacing w:beforeAutospacing="0" w:afterAutospacing="0" w:line="360" w:lineRule="auto"/>
        <w:ind w:right="0" w:rightChars="0"/>
        <w:textAlignment w:val="auto"/>
        <w:rPr>
          <w:rFonts w:ascii="宋体" w:hAnsi="宋体" w:cs="宋体"/>
          <w:color w:val="auto"/>
          <w:highlight w:val="none"/>
        </w:rPr>
      </w:pP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4D1A07D1">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highlight w:val="none"/>
        </w:rPr>
        <w:t>……………………………………………………………（页码）</w:t>
      </w:r>
    </w:p>
    <w:p w14:paraId="49C8D771">
      <w:pPr>
        <w:widowControl w:val="0"/>
        <w:kinsoku/>
        <w:wordWrap/>
        <w:overflowPunct/>
        <w:topLinePunct w:val="0"/>
        <w:bidi w:val="0"/>
        <w:adjustRightInd w:val="0"/>
        <w:snapToGrid w:val="0"/>
        <w:spacing w:beforeAutospacing="0" w:afterAutospacing="0" w:line="360" w:lineRule="auto"/>
        <w:ind w:right="0" w:rightChars="0"/>
        <w:textAlignment w:val="auto"/>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2B3DE9A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p>
    <w:p w14:paraId="21227F99">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p>
    <w:p w14:paraId="17D8B80E">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1675767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4485169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29CDADE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0957FA6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4ED39709">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31D2AA2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19ABCA1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1000E7F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25CE391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7A39485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3E94941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1B16430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61C6D14C">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1C2D5EB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2AAB7F6C">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（采购人）、（采购代理机构）：</w:t>
      </w:r>
    </w:p>
    <w:p w14:paraId="15891F83">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4EEB88DC">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598FDC4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172AA6D7">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2.1资格文件：</w:t>
      </w:r>
    </w:p>
    <w:p w14:paraId="3931223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2.1.1承诺函；</w:t>
      </w:r>
    </w:p>
    <w:p w14:paraId="7D2CECC2">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395" w:name="_Hlk101257010"/>
      <w:r>
        <w:rPr>
          <w:rFonts w:hint="eastAsia" w:ascii="宋体" w:hAnsi="宋体" w:cs="宋体"/>
          <w:color w:val="auto"/>
          <w:sz w:val="24"/>
          <w:highlight w:val="none"/>
        </w:rPr>
        <w:t>（如果有)</w:t>
      </w:r>
      <w:bookmarkEnd w:id="395"/>
      <w:r>
        <w:rPr>
          <w:rFonts w:hint="eastAsia" w:ascii="宋体" w:hAnsi="宋体" w:cs="宋体"/>
          <w:snapToGrid w:val="0"/>
          <w:color w:val="auto"/>
          <w:kern w:val="28"/>
          <w:sz w:val="24"/>
          <w:szCs w:val="20"/>
          <w:highlight w:val="none"/>
        </w:rPr>
        <w:t>；</w:t>
      </w:r>
    </w:p>
    <w:p w14:paraId="6E9E485B">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44C0454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C82953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41DFD45">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630B955">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4EE33DB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B1C4CB3">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45D0386B">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1DC1434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7FCCCCD4">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2F3199C3">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1ECEE884">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357FB3CA">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6CF8CD81">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089351ED">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F434E6B">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4、如我方中标，我方承诺：</w:t>
      </w:r>
    </w:p>
    <w:p w14:paraId="3024AEF5">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65D538A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63872ED5">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3CFBDCAE">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3FED854B">
      <w:pPr>
        <w:widowControl w:val="0"/>
        <w:numPr>
          <w:ilvl w:val="0"/>
          <w:numId w:val="0"/>
        </w:numPr>
        <w:kinsoku/>
        <w:wordWrap/>
        <w:overflowPunct/>
        <w:topLinePunct w:val="0"/>
        <w:bidi w:val="0"/>
        <w:adjustRightInd w:val="0"/>
        <w:snapToGrid w:val="0"/>
        <w:spacing w:beforeAutospacing="0" w:afterAutospacing="0" w:line="360" w:lineRule="auto"/>
        <w:ind w:left="0" w:leftChars="0" w:right="0" w:rightChars="0" w:firstLine="480" w:firstLineChars="200"/>
        <w:jc w:val="both"/>
        <w:textAlignment w:val="auto"/>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1D2918C8">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50577A7">
      <w:pPr>
        <w:widowControl w:val="0"/>
        <w:kinsoku/>
        <w:wordWrap/>
        <w:overflowPunct/>
        <w:topLinePunct w:val="0"/>
        <w:bidi w:val="0"/>
        <w:adjustRightInd w:val="0"/>
        <w:snapToGrid w:val="0"/>
        <w:spacing w:beforeAutospacing="0" w:afterAutospacing="0" w:line="360" w:lineRule="auto"/>
        <w:ind w:left="0" w:leftChars="0" w:right="0" w:rightChars="0" w:firstLine="3600" w:firstLineChars="1500"/>
        <w:textAlignment w:val="auto"/>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15FB739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2A2487F7">
      <w:pPr>
        <w:widowControl w:val="0"/>
        <w:kinsoku/>
        <w:wordWrap/>
        <w:overflowPunct/>
        <w:topLinePunct w:val="0"/>
        <w:bidi w:val="0"/>
        <w:adjustRightInd w:val="0"/>
        <w:snapToGrid w:val="0"/>
        <w:spacing w:beforeAutospacing="0" w:afterAutospacing="0" w:line="360" w:lineRule="auto"/>
        <w:ind w:left="0" w:leftChars="0" w:right="0" w:rightChars="0" w:firstLine="4200" w:firstLineChars="1750"/>
        <w:textAlignment w:val="auto"/>
        <w:rPr>
          <w:rFonts w:ascii="宋体" w:hAnsi="宋体" w:cs="宋体"/>
          <w:color w:val="auto"/>
          <w:kern w:val="0"/>
          <w:sz w:val="24"/>
          <w:highlight w:val="none"/>
          <w:u w:val="single"/>
        </w:rPr>
      </w:pPr>
    </w:p>
    <w:p w14:paraId="0185D18C">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注：按本格式和要求提供。</w:t>
      </w:r>
    </w:p>
    <w:p w14:paraId="1960405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4D9BA8A4">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p>
    <w:p w14:paraId="4E8B4BA4">
      <w:pPr>
        <w:widowControl w:val="0"/>
        <w:kinsoku/>
        <w:wordWrap/>
        <w:overflowPunct/>
        <w:topLinePunct w:val="0"/>
        <w:bidi w:val="0"/>
        <w:adjustRightInd w:val="0"/>
        <w:snapToGrid w:val="0"/>
        <w:spacing w:beforeAutospacing="0" w:afterAutospacing="0" w:line="360" w:lineRule="auto"/>
        <w:ind w:left="0" w:leftChars="0" w:right="0" w:rightChars="0"/>
        <w:jc w:val="both"/>
        <w:textAlignment w:val="auto"/>
        <w:rPr>
          <w:rFonts w:ascii="宋体" w:hAnsi="宋体" w:cs="宋体"/>
          <w:b/>
          <w:color w:val="auto"/>
          <w:kern w:val="0"/>
          <w:sz w:val="32"/>
          <w:szCs w:val="32"/>
          <w:highlight w:val="none"/>
        </w:rPr>
      </w:pPr>
    </w:p>
    <w:p w14:paraId="29AEBBF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8D94E3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E922509">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7B8D0B6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4E68808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25731B7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42FD898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7585003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3ED8906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2BEC1E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435E4B0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26E53F0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7E7F27CD">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                                </w:t>
      </w:r>
    </w:p>
    <w:p w14:paraId="794AC875">
      <w:pPr>
        <w:widowControl w:val="0"/>
        <w:kinsoku/>
        <w:wordWrap/>
        <w:overflowPunct/>
        <w:topLinePunct w:val="0"/>
        <w:bidi w:val="0"/>
        <w:adjustRightInd w:val="0"/>
        <w:snapToGrid w:val="0"/>
        <w:spacing w:beforeAutospacing="0" w:afterAutospacing="0" w:line="360" w:lineRule="auto"/>
        <w:ind w:left="0" w:leftChars="0" w:right="0" w:rightChars="0" w:firstLine="2872" w:firstLineChars="894"/>
        <w:textAlignment w:val="auto"/>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3962FF60">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57F39D6C">
      <w:pPr>
        <w:widowControl w:val="0"/>
        <w:kinsoku/>
        <w:wordWrap/>
        <w:overflowPunct/>
        <w:topLinePunct w:val="0"/>
        <w:bidi w:val="0"/>
        <w:adjustRightInd w:val="0"/>
        <w:snapToGrid w:val="0"/>
        <w:spacing w:beforeAutospacing="0" w:afterAutospacing="0" w:line="360" w:lineRule="auto"/>
        <w:ind w:left="0" w:leftChars="0" w:right="0" w:rightChars="0" w:firstLine="576"/>
        <w:textAlignment w:val="auto"/>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6F982F04">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38A2BC14">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81C90DB">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17B99A90">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6D3CFC4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p>
    <w:p w14:paraId="56E71A3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F47338B">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0E67990">
      <w:pPr>
        <w:widowControl w:val="0"/>
        <w:kinsoku/>
        <w:wordWrap/>
        <w:overflowPunct/>
        <w:topLinePunct w:val="0"/>
        <w:bidi w:val="0"/>
        <w:adjustRightInd w:val="0"/>
        <w:snapToGrid w:val="0"/>
        <w:spacing w:beforeAutospacing="0" w:afterAutospacing="0" w:line="360" w:lineRule="auto"/>
        <w:ind w:left="0" w:leftChars="0" w:right="0" w:rightChars="0" w:firstLine="576"/>
        <w:textAlignment w:val="auto"/>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696B0CA0">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066E0779">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132D835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2BE0B4A6">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p>
    <w:p w14:paraId="4281A337">
      <w:pPr>
        <w:widowControl w:val="0"/>
        <w:kinsoku/>
        <w:wordWrap/>
        <w:overflowPunct/>
        <w:topLinePunct w:val="0"/>
        <w:bidi w:val="0"/>
        <w:adjustRightInd w:val="0"/>
        <w:snapToGrid w:val="0"/>
        <w:spacing w:beforeAutospacing="0" w:afterAutospacing="0" w:line="360" w:lineRule="auto"/>
        <w:ind w:left="0" w:leftChars="0" w:right="0" w:rightChars="0" w:firstLine="5040" w:firstLineChars="21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0807DD0">
      <w:pPr>
        <w:widowControl w:val="0"/>
        <w:kinsoku/>
        <w:wordWrap/>
        <w:overflowPunct/>
        <w:topLinePunct w:val="0"/>
        <w:bidi w:val="0"/>
        <w:adjustRightInd w:val="0"/>
        <w:snapToGrid w:val="0"/>
        <w:spacing w:beforeAutospacing="0" w:afterAutospacing="0" w:line="360" w:lineRule="auto"/>
        <w:ind w:left="0" w:leftChars="0" w:right="0" w:rightChars="0" w:firstLine="5040" w:firstLineChars="21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5544502">
      <w:pPr>
        <w:widowControl w:val="0"/>
        <w:kinsoku/>
        <w:wordWrap/>
        <w:overflowPunct/>
        <w:topLinePunct w:val="0"/>
        <w:bidi w:val="0"/>
        <w:adjustRightInd w:val="0"/>
        <w:snapToGrid w:val="0"/>
        <w:spacing w:beforeAutospacing="0" w:afterAutospacing="0" w:line="360" w:lineRule="auto"/>
        <w:ind w:left="0" w:leftChars="0" w:right="0" w:rightChars="0" w:firstLine="5760" w:firstLineChars="2400"/>
        <w:textAlignment w:val="auto"/>
        <w:rPr>
          <w:rFonts w:ascii="宋体" w:hAnsi="宋体" w:cs="宋体"/>
          <w:color w:val="auto"/>
          <w:highlight w:val="none"/>
        </w:rPr>
      </w:pPr>
      <w:r>
        <w:rPr>
          <w:rFonts w:hint="eastAsia" w:ascii="宋体" w:hAnsi="宋体" w:cs="宋体"/>
          <w:color w:val="auto"/>
          <w:kern w:val="0"/>
          <w:sz w:val="24"/>
          <w:highlight w:val="none"/>
          <w:lang w:val="zh-CN"/>
        </w:rPr>
        <w:t>……</w:t>
      </w:r>
    </w:p>
    <w:p w14:paraId="2034F99E">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BD61236">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lang w:val="zh-CN"/>
        </w:rPr>
      </w:pPr>
    </w:p>
    <w:p w14:paraId="0CE7EC95">
      <w:pPr>
        <w:pStyle w:val="8"/>
        <w:rPr>
          <w:lang w:val="zh-CN"/>
        </w:rPr>
      </w:pPr>
    </w:p>
    <w:p w14:paraId="5C6724B1">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217827A8">
      <w:pPr>
        <w:pStyle w:val="15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Cs/>
          <w:color w:val="auto"/>
          <w:sz w:val="24"/>
          <w:highlight w:val="none"/>
        </w:rPr>
      </w:pPr>
      <w:r>
        <w:rPr>
          <w:rFonts w:hint="eastAsia" w:hAnsi="宋体" w:cs="宋体"/>
          <w:bCs/>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3E2E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9CA3650">
            <w:pPr>
              <w:pStyle w:val="15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Cs/>
                <w:color w:val="auto"/>
                <w:sz w:val="24"/>
                <w:highlight w:val="none"/>
              </w:rPr>
            </w:pPr>
            <w:r>
              <w:rPr>
                <w:rFonts w:hint="eastAsia" w:hAnsi="宋体" w:cs="宋体"/>
                <w:bCs/>
                <w:color w:val="auto"/>
                <w:sz w:val="24"/>
                <w:highlight w:val="none"/>
              </w:rPr>
              <w:t>正面：                                 反面：</w:t>
            </w:r>
          </w:p>
          <w:p w14:paraId="370846D8">
            <w:pPr>
              <w:pStyle w:val="150"/>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Ansi="宋体" w:cs="宋体"/>
                <w:bCs/>
                <w:color w:val="auto"/>
                <w:sz w:val="24"/>
                <w:highlight w:val="none"/>
              </w:rPr>
            </w:pPr>
          </w:p>
        </w:tc>
      </w:tr>
    </w:tbl>
    <w:p w14:paraId="37297D0E">
      <w:pPr>
        <w:widowControl w:val="0"/>
        <w:kinsoku/>
        <w:wordWrap/>
        <w:overflowPunct/>
        <w:topLinePunct w:val="0"/>
        <w:bidi w:val="0"/>
        <w:adjustRightInd w:val="0"/>
        <w:snapToGrid w:val="0"/>
        <w:spacing w:beforeAutospacing="0" w:afterAutospacing="0" w:line="360" w:lineRule="auto"/>
        <w:ind w:left="0" w:leftChars="0" w:right="0" w:rightChars="0" w:firstLine="576"/>
        <w:jc w:val="center"/>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1ECC126A">
      <w:pPr>
        <w:widowControl w:val="0"/>
        <w:kinsoku/>
        <w:wordWrap/>
        <w:overflowPunct/>
        <w:topLinePunct w:val="0"/>
        <w:bidi w:val="0"/>
        <w:adjustRightInd w:val="0"/>
        <w:snapToGrid w:val="0"/>
        <w:spacing w:beforeAutospacing="0" w:afterAutospacing="0" w:line="360" w:lineRule="auto"/>
        <w:ind w:left="0" w:leftChars="0" w:right="0" w:rightChars="0" w:firstLine="576"/>
        <w:jc w:val="center"/>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10C8387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52C87F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2956F8B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726EF0F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3242594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1719C7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4F15313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52A0DFE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548071D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5618DC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77BFC70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6116203">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kern w:val="0"/>
          <w:sz w:val="32"/>
          <w:szCs w:val="32"/>
          <w:highlight w:val="none"/>
        </w:rPr>
        <w:sectPr>
          <w:headerReference r:id="rId10" w:type="first"/>
          <w:footerReference r:id="rId12" w:type="first"/>
          <w:headerReference r:id="rId9" w:type="default"/>
          <w:footerReference r:id="rId11" w:type="default"/>
          <w:pgSz w:w="11906" w:h="16838"/>
          <w:pgMar w:top="1247" w:right="1247" w:bottom="1247" w:left="1361" w:header="851" w:footer="992" w:gutter="57"/>
          <w:cols w:space="0" w:num="1"/>
          <w:titlePg/>
          <w:rtlGutter w:val="0"/>
          <w:docGrid w:linePitch="312" w:charSpace="0"/>
        </w:sectPr>
      </w:pPr>
    </w:p>
    <w:p w14:paraId="3B047F52">
      <w:pPr>
        <w:widowControl w:val="0"/>
        <w:kinsoku/>
        <w:wordWrap/>
        <w:overflowPunct/>
        <w:topLinePunct w:val="0"/>
        <w:bidi w:val="0"/>
        <w:adjustRightInd w:val="0"/>
        <w:snapToGrid w:val="0"/>
        <w:spacing w:beforeAutospacing="0" w:afterAutospacing="0" w:line="360" w:lineRule="auto"/>
        <w:ind w:left="0" w:leftChars="0" w:right="0" w:rightChars="0" w:firstLine="3534" w:firstLineChars="1100"/>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387F6971">
      <w:pPr>
        <w:widowControl w:val="0"/>
        <w:kinsoku/>
        <w:wordWrap/>
        <w:overflowPunct/>
        <w:topLinePunct w:val="0"/>
        <w:bidi w:val="0"/>
        <w:adjustRightInd w:val="0"/>
        <w:snapToGrid w:val="0"/>
        <w:spacing w:beforeAutospacing="0" w:afterAutospacing="0" w:line="360" w:lineRule="auto"/>
        <w:ind w:left="0" w:leftChars="0" w:right="0" w:rightChars="0" w:firstLine="120" w:firstLineChars="50"/>
        <w:jc w:val="left"/>
        <w:textAlignment w:val="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50B06A01">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p>
    <w:p w14:paraId="0CFC985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763BDBF9">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BFD7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D4B5DD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5E4284A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6018A2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5A94D96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投标文件中的</w:t>
            </w:r>
          </w:p>
          <w:p w14:paraId="27E0295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页码位置</w:t>
            </w:r>
          </w:p>
        </w:tc>
      </w:tr>
      <w:tr w14:paraId="7084D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D3EEA8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4B80AF81">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74EE36E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02B5A05B">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p>
          <w:p w14:paraId="418D0E3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见投标文件</w:t>
            </w:r>
          </w:p>
          <w:p w14:paraId="70766B0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BFE8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6500E1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41EE5BD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3CDC5703">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0F2ACE8B">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8299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161EF4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2144CF1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2D12713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64E37CFE">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4A468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ABC6C0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39F1026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330A581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b w:val="0"/>
                <w:bCs w:val="0"/>
                <w:color w:val="auto"/>
                <w:sz w:val="24"/>
                <w:highlight w:val="none"/>
                <w:lang w:val="en-US" w:eastAsia="zh-CN"/>
              </w:rPr>
            </w:pPr>
          </w:p>
        </w:tc>
        <w:tc>
          <w:tcPr>
            <w:tcW w:w="1418" w:type="dxa"/>
            <w:vAlign w:val="top"/>
          </w:tcPr>
          <w:p w14:paraId="2FBA32D3">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15979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3BDC4E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00DA9574">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66382270">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b w:val="0"/>
                <w:bCs w:val="0"/>
                <w:color w:val="auto"/>
                <w:sz w:val="24"/>
                <w:highlight w:val="none"/>
                <w:lang w:val="en-US" w:eastAsia="zh-CN"/>
              </w:rPr>
            </w:pPr>
          </w:p>
        </w:tc>
        <w:tc>
          <w:tcPr>
            <w:tcW w:w="1418" w:type="dxa"/>
            <w:vAlign w:val="top"/>
          </w:tcPr>
          <w:p w14:paraId="7C61E5B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65BF6F5A">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7CF66031">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1FCF853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3B67E17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64DB177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267FF4E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389072C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A33833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28103D53">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1DC03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5BA5733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3B3C4F1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1E8E1DA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3AEC2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648CF5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5B269EE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6398E2B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0D338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6160D4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8882B8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1E58D3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5AF6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A22081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1DD6F11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val="0"/>
                <w:bCs/>
                <w:color w:val="auto"/>
                <w:sz w:val="24"/>
                <w:highlight w:val="none"/>
                <w:vertAlign w:val="baseline"/>
              </w:rPr>
            </w:pPr>
          </w:p>
        </w:tc>
        <w:tc>
          <w:tcPr>
            <w:tcW w:w="3046" w:type="dxa"/>
          </w:tcPr>
          <w:p w14:paraId="3956023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E4F482E">
      <w:pPr>
        <w:pStyle w:val="80"/>
        <w:widowControl w:val="0"/>
        <w:kinsoku/>
        <w:wordWrap/>
        <w:overflowPunct/>
        <w:topLinePunct w:val="0"/>
        <w:bidi w:val="0"/>
        <w:adjustRightInd w:val="0"/>
        <w:snapToGrid w:val="0"/>
        <w:spacing w:beforeAutospacing="0" w:afterAutospacing="0" w:line="360" w:lineRule="auto"/>
        <w:ind w:left="0" w:leftChars="0" w:right="0" w:rightChars="0"/>
        <w:textAlignment w:val="auto"/>
        <w:rPr>
          <w:color w:val="auto"/>
          <w:highlight w:val="none"/>
        </w:rPr>
      </w:pPr>
    </w:p>
    <w:p w14:paraId="416C718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95F0A7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3E74A56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B0AE748">
      <w:pPr>
        <w:widowControl w:val="0"/>
        <w:kinsoku/>
        <w:wordWrap/>
        <w:overflowPunct/>
        <w:topLinePunct w:val="0"/>
        <w:bidi w:val="0"/>
        <w:adjustRightInd w:val="0"/>
        <w:snapToGrid w:val="0"/>
        <w:spacing w:beforeAutospacing="0" w:afterAutospacing="0" w:line="360" w:lineRule="auto"/>
        <w:ind w:left="0" w:leftChars="0" w:right="0" w:rightChars="0" w:firstLine="2891" w:firstLineChars="900"/>
        <w:textAlignment w:val="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3"/>
        <w:tblW w:w="90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806"/>
      </w:tblGrid>
      <w:tr w14:paraId="6ADFC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FFD473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7A0A655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75D49F9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p>
          <w:p w14:paraId="42EE439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65FF373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2DCF8D1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数量</w:t>
            </w:r>
          </w:p>
        </w:tc>
        <w:tc>
          <w:tcPr>
            <w:tcW w:w="1806" w:type="dxa"/>
            <w:tcBorders>
              <w:top w:val="single" w:color="auto" w:sz="4" w:space="0"/>
              <w:left w:val="single" w:color="auto" w:sz="4" w:space="0"/>
              <w:bottom w:val="single" w:color="auto" w:sz="4" w:space="0"/>
              <w:right w:val="single" w:color="auto" w:sz="4" w:space="0"/>
            </w:tcBorders>
            <w:vAlign w:val="center"/>
          </w:tcPr>
          <w:p w14:paraId="4836FF8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备注</w:t>
            </w:r>
          </w:p>
        </w:tc>
      </w:tr>
      <w:tr w14:paraId="2D30C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3F6664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0B9C1F9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4F17F58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290480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0EB349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1806" w:type="dxa"/>
            <w:tcBorders>
              <w:top w:val="single" w:color="auto" w:sz="4" w:space="0"/>
              <w:left w:val="single" w:color="auto" w:sz="4" w:space="0"/>
              <w:bottom w:val="single" w:color="auto" w:sz="4" w:space="0"/>
              <w:right w:val="single" w:color="auto" w:sz="4" w:space="0"/>
            </w:tcBorders>
            <w:vAlign w:val="center"/>
          </w:tcPr>
          <w:p w14:paraId="46B06E1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r>
      <w:tr w14:paraId="56EED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9AD0C6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5972DBD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3DD4F0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448833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4370BA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1806" w:type="dxa"/>
            <w:tcBorders>
              <w:top w:val="single" w:color="auto" w:sz="4" w:space="0"/>
              <w:left w:val="single" w:color="auto" w:sz="4" w:space="0"/>
              <w:bottom w:val="single" w:color="auto" w:sz="4" w:space="0"/>
              <w:right w:val="single" w:color="auto" w:sz="4" w:space="0"/>
            </w:tcBorders>
            <w:vAlign w:val="center"/>
          </w:tcPr>
          <w:p w14:paraId="6EE2E84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r>
      <w:tr w14:paraId="0A689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9DA46D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5DB2275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47758BB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D21CBF3">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216EF5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1806" w:type="dxa"/>
            <w:tcBorders>
              <w:top w:val="single" w:color="auto" w:sz="4" w:space="0"/>
              <w:left w:val="single" w:color="auto" w:sz="4" w:space="0"/>
              <w:bottom w:val="single" w:color="auto" w:sz="4" w:space="0"/>
              <w:right w:val="single" w:color="auto" w:sz="4" w:space="0"/>
            </w:tcBorders>
            <w:vAlign w:val="center"/>
          </w:tcPr>
          <w:p w14:paraId="09E5B03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r>
    </w:tbl>
    <w:p w14:paraId="5B28A88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注：按本格式和要求提供。</w:t>
      </w:r>
    </w:p>
    <w:p w14:paraId="10E31DF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4"/>
        <w:tblW w:w="92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2198"/>
      </w:tblGrid>
      <w:tr w14:paraId="67522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D4FA4D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06EE843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BBD2AC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2198" w:type="dxa"/>
          </w:tcPr>
          <w:p w14:paraId="4EF86A99">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13BFA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EEE406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5C706E4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c>
          <w:tcPr>
            <w:tcW w:w="3062" w:type="dxa"/>
          </w:tcPr>
          <w:p w14:paraId="59E8A2A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c>
          <w:tcPr>
            <w:tcW w:w="2198" w:type="dxa"/>
          </w:tcPr>
          <w:p w14:paraId="635C160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r>
      <w:tr w14:paraId="1BE5E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E080B7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73866A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c>
          <w:tcPr>
            <w:tcW w:w="3062" w:type="dxa"/>
          </w:tcPr>
          <w:p w14:paraId="4998FE2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c>
          <w:tcPr>
            <w:tcW w:w="2198" w:type="dxa"/>
          </w:tcPr>
          <w:p w14:paraId="0295248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r>
      <w:tr w14:paraId="5BF57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B351F0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292940E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c>
          <w:tcPr>
            <w:tcW w:w="3062" w:type="dxa"/>
          </w:tcPr>
          <w:p w14:paraId="248E8362">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c>
          <w:tcPr>
            <w:tcW w:w="2198" w:type="dxa"/>
          </w:tcPr>
          <w:p w14:paraId="7B20640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tc>
      </w:tr>
    </w:tbl>
    <w:p w14:paraId="7E6AB08B">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0F266E8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58A201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0AB5AB46">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67D1BC1E">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126A7F98">
      <w:pPr>
        <w:widowControl w:val="0"/>
        <w:kinsoku/>
        <w:wordWrap/>
        <w:overflowPunct/>
        <w:topLinePunct w:val="0"/>
        <w:bidi w:val="0"/>
        <w:adjustRightInd w:val="0"/>
        <w:snapToGrid w:val="0"/>
        <w:spacing w:beforeAutospacing="0" w:afterAutospacing="0" w:line="360" w:lineRule="auto"/>
        <w:ind w:left="0" w:leftChars="0" w:right="0" w:rightChars="0" w:firstLine="1911" w:firstLineChars="595"/>
        <w:textAlignment w:val="auto"/>
        <w:rPr>
          <w:rFonts w:ascii="宋体" w:hAnsi="宋体" w:cs="宋体"/>
          <w:b/>
          <w:bCs/>
          <w:color w:val="auto"/>
          <w:sz w:val="32"/>
          <w:szCs w:val="32"/>
          <w:highlight w:val="none"/>
        </w:rPr>
      </w:pPr>
    </w:p>
    <w:p w14:paraId="32DDCACB">
      <w:pPr>
        <w:widowControl w:val="0"/>
        <w:kinsoku/>
        <w:wordWrap/>
        <w:overflowPunct/>
        <w:topLinePunct w:val="0"/>
        <w:bidi w:val="0"/>
        <w:adjustRightInd w:val="0"/>
        <w:snapToGrid w:val="0"/>
        <w:spacing w:beforeAutospacing="0" w:afterAutospacing="0" w:line="360" w:lineRule="auto"/>
        <w:ind w:left="0" w:leftChars="0" w:right="0" w:rightChars="0" w:firstLine="1911" w:firstLineChars="595"/>
        <w:textAlignment w:val="auto"/>
        <w:rPr>
          <w:rFonts w:ascii="宋体" w:hAnsi="宋体" w:cs="宋体"/>
          <w:b/>
          <w:bCs/>
          <w:color w:val="auto"/>
          <w:sz w:val="32"/>
          <w:szCs w:val="32"/>
          <w:highlight w:val="none"/>
        </w:rPr>
      </w:pPr>
    </w:p>
    <w:p w14:paraId="335D21EC">
      <w:pPr>
        <w:widowControl w:val="0"/>
        <w:kinsoku/>
        <w:wordWrap/>
        <w:overflowPunct/>
        <w:topLinePunct w:val="0"/>
        <w:bidi w:val="0"/>
        <w:adjustRightInd w:val="0"/>
        <w:snapToGrid w:val="0"/>
        <w:spacing w:beforeAutospacing="0" w:afterAutospacing="0" w:line="360" w:lineRule="auto"/>
        <w:ind w:left="0" w:leftChars="0" w:right="0" w:rightChars="0" w:firstLine="1911" w:firstLineChars="595"/>
        <w:textAlignment w:val="auto"/>
        <w:rPr>
          <w:rFonts w:ascii="宋体" w:hAnsi="宋体" w:cs="宋体"/>
          <w:b/>
          <w:bCs/>
          <w:color w:val="auto"/>
          <w:sz w:val="32"/>
          <w:szCs w:val="32"/>
          <w:highlight w:val="none"/>
        </w:rPr>
      </w:pPr>
    </w:p>
    <w:p w14:paraId="0F81266E">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1FA42BA9">
      <w:pPr>
        <w:widowControl w:val="0"/>
        <w:kinsoku/>
        <w:wordWrap/>
        <w:overflowPunct/>
        <w:topLinePunct w:val="0"/>
        <w:bidi w:val="0"/>
        <w:adjustRightInd w:val="0"/>
        <w:snapToGrid w:val="0"/>
        <w:spacing w:beforeAutospacing="0" w:afterAutospacing="0" w:line="360" w:lineRule="auto"/>
        <w:ind w:left="0" w:leftChars="0" w:right="0" w:rightChars="0" w:firstLine="1911" w:firstLineChars="595"/>
        <w:textAlignment w:val="auto"/>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4B52E6DD">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p>
    <w:p w14:paraId="3658703C">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3C3D342E">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45B9C129">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CFBBC95">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4F2C6D84">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2179EB77">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52D64794">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D027457">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4F889073">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255C5DB1">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768044D9">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636B3CFB">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lang w:val="zh-CN"/>
        </w:rPr>
      </w:pPr>
    </w:p>
    <w:p w14:paraId="62E56926">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lang w:val="zh-CN"/>
        </w:rPr>
      </w:pPr>
    </w:p>
    <w:p w14:paraId="2AFEC0C0">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left"/>
        <w:textAlignment w:val="auto"/>
        <w:rPr>
          <w:rFonts w:ascii="宋体" w:hAnsi="宋体" w:cs="宋体"/>
          <w:color w:val="auto"/>
          <w:kern w:val="0"/>
          <w:sz w:val="24"/>
          <w:highlight w:val="none"/>
          <w:lang w:val="zh-CN"/>
        </w:rPr>
      </w:pPr>
    </w:p>
    <w:p w14:paraId="5A2FDA14">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firstLine="4560" w:firstLineChars="1900"/>
        <w:jc w:val="lef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48778BA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337E162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bCs/>
          <w:color w:val="auto"/>
          <w:sz w:val="24"/>
          <w:highlight w:val="none"/>
        </w:rPr>
      </w:pPr>
    </w:p>
    <w:p w14:paraId="588F2EFE">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注：按本格式和要求提供。</w:t>
      </w:r>
    </w:p>
    <w:p w14:paraId="379F84D4">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bCs/>
          <w:color w:val="auto"/>
          <w:sz w:val="24"/>
          <w:highlight w:val="none"/>
        </w:rPr>
        <w:sectPr>
          <w:headerReference r:id="rId14" w:type="first"/>
          <w:footerReference r:id="rId16" w:type="first"/>
          <w:headerReference r:id="rId13" w:type="default"/>
          <w:footerReference r:id="rId15" w:type="default"/>
          <w:pgSz w:w="11906" w:h="16838"/>
          <w:pgMar w:top="1247" w:right="1247" w:bottom="1247" w:left="1361" w:header="851" w:footer="992" w:gutter="57"/>
          <w:cols w:space="0" w:num="1"/>
          <w:titlePg/>
          <w:rtlGutter w:val="0"/>
          <w:docGrid w:linePitch="312" w:charSpace="0"/>
        </w:sectPr>
      </w:pPr>
    </w:p>
    <w:p w14:paraId="79C1700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098A6CB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F84ADE9">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outlineLvl w:val="0"/>
        <w:rPr>
          <w:rFonts w:ascii="宋体" w:hAnsi="宋体" w:cs="宋体"/>
          <w:b/>
          <w:color w:val="auto"/>
          <w:kern w:val="0"/>
          <w:sz w:val="36"/>
          <w:szCs w:val="36"/>
          <w:highlight w:val="none"/>
        </w:rPr>
      </w:pPr>
    </w:p>
    <w:p w14:paraId="2DE532A5">
      <w:pPr>
        <w:widowControl w:val="0"/>
        <w:numPr>
          <w:ilvl w:val="0"/>
          <w:numId w:val="5"/>
        </w:numPr>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5E455DBA">
      <w:pPr>
        <w:widowControl w:val="0"/>
        <w:numPr>
          <w:ilvl w:val="0"/>
          <w:numId w:val="5"/>
        </w:numPr>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成本分析</w:t>
      </w:r>
      <w:r>
        <w:rPr>
          <w:rFonts w:hint="eastAsia" w:ascii="宋体" w:hAnsi="宋体" w:cs="宋体"/>
          <w:color w:val="auto"/>
          <w:sz w:val="24"/>
          <w:highlight w:val="none"/>
        </w:rPr>
        <w:t>……………………………………………………………………（页码）</w:t>
      </w:r>
    </w:p>
    <w:p w14:paraId="78CCD8D3">
      <w:pPr>
        <w:widowControl w:val="0"/>
        <w:numPr>
          <w:ilvl w:val="0"/>
          <w:numId w:val="0"/>
        </w:numPr>
        <w:kinsoku/>
        <w:wordWrap/>
        <w:overflowPunct/>
        <w:topLinePunct w:val="0"/>
        <w:bidi w:val="0"/>
        <w:adjustRightInd w:val="0"/>
        <w:snapToGrid w:val="0"/>
        <w:spacing w:beforeAutospacing="0" w:afterAutospacing="0" w:line="360" w:lineRule="auto"/>
        <w:ind w:right="0" w:rightChars="0"/>
        <w:textAlignment w:val="auto"/>
        <w:rPr>
          <w:rFonts w:hint="eastAsia" w:ascii="宋体" w:hAnsi="宋体" w:cs="宋体"/>
          <w:color w:val="auto"/>
          <w:sz w:val="24"/>
          <w:highlight w:val="none"/>
        </w:rPr>
      </w:pPr>
    </w:p>
    <w:p w14:paraId="2F781808">
      <w:pPr>
        <w:pStyle w:val="81"/>
        <w:widowControl w:val="0"/>
        <w:kinsoku/>
        <w:wordWrap/>
        <w:overflowPunct/>
        <w:topLinePunct w:val="0"/>
        <w:bidi w:val="0"/>
        <w:adjustRightInd w:val="0"/>
        <w:snapToGrid w:val="0"/>
        <w:spacing w:beforeAutospacing="0" w:afterAutospacing="0" w:line="360" w:lineRule="auto"/>
        <w:ind w:left="0" w:leftChars="0" w:right="0" w:rightChars="0"/>
        <w:textAlignment w:val="auto"/>
        <w:rPr>
          <w:color w:val="auto"/>
          <w:highlight w:val="none"/>
        </w:rPr>
      </w:pPr>
    </w:p>
    <w:p w14:paraId="0C95E27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7FB616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4925B40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3D6F7E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641E3B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638259E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73E1AF0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5AC248B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1D8AF10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15E31B9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2483C81">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25B3597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0715FD6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3573148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1EC067C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32"/>
          <w:szCs w:val="32"/>
          <w:highlight w:val="none"/>
        </w:rPr>
      </w:pPr>
    </w:p>
    <w:p w14:paraId="43852A71">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ascii="宋体" w:hAnsi="宋体" w:eastAsia="宋体" w:cs="宋体"/>
          <w:color w:val="auto"/>
          <w:kern w:val="2"/>
          <w:sz w:val="32"/>
          <w:szCs w:val="32"/>
          <w:highlight w:val="none"/>
        </w:rPr>
        <w:sectPr>
          <w:headerReference r:id="rId18" w:type="first"/>
          <w:footerReference r:id="rId20" w:type="first"/>
          <w:headerReference r:id="rId17" w:type="default"/>
          <w:footerReference r:id="rId19" w:type="default"/>
          <w:pgSz w:w="11906" w:h="16838"/>
          <w:pgMar w:top="1247" w:right="1247" w:bottom="1247" w:left="1361" w:header="851" w:footer="992" w:gutter="57"/>
          <w:cols w:space="0" w:num="1"/>
          <w:titlePg/>
          <w:rtlGutter w:val="0"/>
          <w:docGrid w:linePitch="312" w:charSpace="0"/>
        </w:sectPr>
      </w:pPr>
    </w:p>
    <w:p w14:paraId="5B11BD4F">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7D8084B">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257A2A02">
      <w:pPr>
        <w:widowControl w:val="0"/>
        <w:kinsoku/>
        <w:wordWrap/>
        <w:overflowPunct/>
        <w:topLinePunct w:val="0"/>
        <w:bidi w:val="0"/>
        <w:adjustRightInd w:val="0"/>
        <w:snapToGrid w:val="0"/>
        <w:spacing w:beforeAutospacing="0" w:afterAutospacing="0" w:line="360" w:lineRule="auto"/>
        <w:ind w:left="0" w:leftChars="0" w:right="0" w:rightChars="0" w:firstLine="482"/>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57092A7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3"/>
        <w:tblW w:w="142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184"/>
        <w:gridCol w:w="1450"/>
        <w:gridCol w:w="4750"/>
        <w:gridCol w:w="1670"/>
        <w:gridCol w:w="3390"/>
      </w:tblGrid>
      <w:tr w14:paraId="3C9AE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17" w:type="dxa"/>
            <w:vAlign w:val="center"/>
          </w:tcPr>
          <w:p w14:paraId="683F822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序号</w:t>
            </w:r>
          </w:p>
        </w:tc>
        <w:tc>
          <w:tcPr>
            <w:tcW w:w="2184" w:type="dxa"/>
            <w:vAlign w:val="center"/>
          </w:tcPr>
          <w:p w14:paraId="25452EC1">
            <w:pPr>
              <w:widowControl w:val="0"/>
              <w:kinsoku/>
              <w:wordWrap/>
              <w:overflowPunct/>
              <w:topLinePunct w:val="0"/>
              <w:bidi w:val="0"/>
              <w:adjustRightInd w:val="0"/>
              <w:snapToGrid w:val="0"/>
              <w:spacing w:beforeAutospacing="0" w:afterAutospacing="0" w:line="360" w:lineRule="auto"/>
              <w:ind w:left="0" w:leftChars="0" w:right="0" w:rightChars="0"/>
              <w:jc w:val="both"/>
              <w:textAlignment w:val="auto"/>
              <w:rPr>
                <w:rFonts w:ascii="宋体" w:hAnsi="宋体" w:cs="宋体"/>
                <w:b/>
                <w:color w:val="auto"/>
                <w:sz w:val="24"/>
                <w:highlight w:val="none"/>
              </w:rPr>
            </w:pPr>
            <w:r>
              <w:rPr>
                <w:rFonts w:hint="eastAsia" w:ascii="宋体" w:hAnsi="宋体" w:cs="宋体"/>
                <w:b/>
                <w:color w:val="auto"/>
                <w:sz w:val="24"/>
                <w:highlight w:val="none"/>
                <w:lang w:val="en-US" w:eastAsia="zh-CN"/>
              </w:rPr>
              <w:t>项目</w:t>
            </w:r>
            <w:r>
              <w:rPr>
                <w:rFonts w:hint="eastAsia" w:ascii="宋体" w:hAnsi="宋体" w:cs="宋体"/>
                <w:b/>
                <w:color w:val="auto"/>
                <w:sz w:val="24"/>
                <w:highlight w:val="none"/>
              </w:rPr>
              <w:t>名称</w:t>
            </w:r>
          </w:p>
        </w:tc>
        <w:tc>
          <w:tcPr>
            <w:tcW w:w="1450" w:type="dxa"/>
          </w:tcPr>
          <w:p w14:paraId="1568A99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服务</w:t>
            </w:r>
            <w:r>
              <w:rPr>
                <w:rFonts w:hint="eastAsia" w:ascii="宋体" w:hAnsi="宋体" w:cs="宋体"/>
                <w:b/>
                <w:color w:val="auto"/>
                <w:sz w:val="24"/>
                <w:highlight w:val="none"/>
                <w:lang w:val="en-US" w:eastAsia="zh-CN"/>
              </w:rPr>
              <w:t>期限</w:t>
            </w:r>
          </w:p>
        </w:tc>
        <w:tc>
          <w:tcPr>
            <w:tcW w:w="4750" w:type="dxa"/>
            <w:vAlign w:val="center"/>
          </w:tcPr>
          <w:p w14:paraId="35394A0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含税报价</w:t>
            </w:r>
          </w:p>
        </w:tc>
        <w:tc>
          <w:tcPr>
            <w:tcW w:w="1670" w:type="dxa"/>
            <w:vAlign w:val="center"/>
          </w:tcPr>
          <w:p w14:paraId="56E3FD4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项目负责人</w:t>
            </w:r>
          </w:p>
        </w:tc>
        <w:tc>
          <w:tcPr>
            <w:tcW w:w="3390" w:type="dxa"/>
            <w:vAlign w:val="center"/>
          </w:tcPr>
          <w:p w14:paraId="1DDF494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r>
              <w:rPr>
                <w:rFonts w:hint="eastAsia" w:ascii="宋体" w:hAnsi="宋体" w:cs="宋体"/>
                <w:b/>
                <w:color w:val="auto"/>
                <w:sz w:val="24"/>
                <w:highlight w:val="none"/>
              </w:rPr>
              <w:t>备注（如果有）</w:t>
            </w:r>
          </w:p>
        </w:tc>
      </w:tr>
      <w:tr w14:paraId="46945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1AB4B40">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1</w:t>
            </w:r>
          </w:p>
        </w:tc>
        <w:tc>
          <w:tcPr>
            <w:tcW w:w="2184" w:type="dxa"/>
            <w:vAlign w:val="center"/>
          </w:tcPr>
          <w:p w14:paraId="3D37976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spacing w:val="-2"/>
                <w:sz w:val="24"/>
              </w:rPr>
              <w:t>常年法律顾问服务</w:t>
            </w:r>
          </w:p>
        </w:tc>
        <w:tc>
          <w:tcPr>
            <w:tcW w:w="1450" w:type="dxa"/>
            <w:vAlign w:val="center"/>
          </w:tcPr>
          <w:p w14:paraId="2620878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1年</w:t>
            </w:r>
          </w:p>
        </w:tc>
        <w:tc>
          <w:tcPr>
            <w:tcW w:w="4750" w:type="dxa"/>
            <w:vAlign w:val="center"/>
          </w:tcPr>
          <w:p w14:paraId="0BC2CE8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lang w:val="en-US" w:eastAsia="zh-CN"/>
              </w:rPr>
              <w:t>元/年</w:t>
            </w:r>
          </w:p>
        </w:tc>
        <w:tc>
          <w:tcPr>
            <w:tcW w:w="1670" w:type="dxa"/>
            <w:vAlign w:val="center"/>
          </w:tcPr>
          <w:p w14:paraId="7A729FB5">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3390" w:type="dxa"/>
            <w:vAlign w:val="center"/>
          </w:tcPr>
          <w:p w14:paraId="5D1BD99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去年费用总价包干</w:t>
            </w:r>
          </w:p>
        </w:tc>
      </w:tr>
      <w:tr w14:paraId="5E49A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496552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rPr>
              <w:t>2</w:t>
            </w:r>
          </w:p>
        </w:tc>
        <w:tc>
          <w:tcPr>
            <w:tcW w:w="2184" w:type="dxa"/>
            <w:vAlign w:val="center"/>
          </w:tcPr>
          <w:p w14:paraId="75FD721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spacing w:val="-9"/>
                <w:sz w:val="24"/>
              </w:rPr>
              <w:t>案件审理费</w:t>
            </w:r>
          </w:p>
        </w:tc>
        <w:tc>
          <w:tcPr>
            <w:tcW w:w="1450" w:type="dxa"/>
            <w:vAlign w:val="center"/>
          </w:tcPr>
          <w:p w14:paraId="041BD448">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color w:val="auto"/>
                <w:sz w:val="24"/>
                <w:highlight w:val="none"/>
                <w:lang w:val="en-US" w:eastAsia="zh-CN"/>
              </w:rPr>
              <w:t>1年</w:t>
            </w:r>
          </w:p>
        </w:tc>
        <w:tc>
          <w:tcPr>
            <w:tcW w:w="4750" w:type="dxa"/>
            <w:vAlign w:val="center"/>
          </w:tcPr>
          <w:p w14:paraId="05FDA847">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cs="宋体"/>
                <w:color w:val="auto"/>
                <w:sz w:val="24"/>
                <w:highlight w:val="none"/>
                <w:lang w:val="en-US"/>
              </w:rPr>
            </w:pP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lang w:val="en-US" w:eastAsia="zh-CN"/>
              </w:rPr>
              <w:t>元/件</w:t>
            </w:r>
          </w:p>
        </w:tc>
        <w:tc>
          <w:tcPr>
            <w:tcW w:w="1670" w:type="dxa"/>
            <w:vAlign w:val="center"/>
          </w:tcPr>
          <w:p w14:paraId="0C81A05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3390" w:type="dxa"/>
            <w:vAlign w:val="center"/>
          </w:tcPr>
          <w:p w14:paraId="7B8EB29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spacing w:val="-2"/>
                <w:sz w:val="24"/>
              </w:rPr>
              <w:t>按实际发生案件审理数量结算</w:t>
            </w:r>
          </w:p>
        </w:tc>
      </w:tr>
      <w:tr w14:paraId="7E96C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trPr>
        <w:tc>
          <w:tcPr>
            <w:tcW w:w="817" w:type="dxa"/>
            <w:vAlign w:val="center"/>
          </w:tcPr>
          <w:p w14:paraId="5FD8B50C">
            <w:pPr>
              <w:widowControl w:val="0"/>
              <w:kinsoku/>
              <w:wordWrap/>
              <w:overflowPunct/>
              <w:topLinePunct w:val="0"/>
              <w:bidi w:val="0"/>
              <w:adjustRightInd w:val="0"/>
              <w:snapToGrid w:val="0"/>
              <w:spacing w:beforeAutospacing="0" w:afterAutospacing="0" w:line="360" w:lineRule="auto"/>
              <w:ind w:left="0" w:leftChars="0" w:right="0" w:rightChars="0"/>
              <w:jc w:val="both"/>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2184" w:type="dxa"/>
            <w:vAlign w:val="center"/>
          </w:tcPr>
          <w:p w14:paraId="43EA483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spacing w:val="-4"/>
                <w:sz w:val="24"/>
              </w:rPr>
              <w:t>民事案件审理</w:t>
            </w:r>
          </w:p>
        </w:tc>
        <w:tc>
          <w:tcPr>
            <w:tcW w:w="1450" w:type="dxa"/>
            <w:vAlign w:val="center"/>
          </w:tcPr>
          <w:p w14:paraId="16E4439B">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1年</w:t>
            </w:r>
          </w:p>
        </w:tc>
        <w:tc>
          <w:tcPr>
            <w:tcW w:w="4750" w:type="dxa"/>
            <w:vAlign w:val="center"/>
          </w:tcPr>
          <w:p w14:paraId="75D24FB6">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r>
              <w:rPr>
                <w:rFonts w:hint="eastAsia" w:ascii="宋体" w:hAnsi="宋体" w:cs="宋体"/>
                <w:spacing w:val="1"/>
                <w:sz w:val="24"/>
                <w:u w:val="single"/>
              </w:rPr>
              <w:t>按照浙江省物价局、浙江省司法厅《关于制定律师服务</w:t>
            </w:r>
            <w:r>
              <w:rPr>
                <w:rFonts w:hint="eastAsia" w:ascii="宋体" w:hAnsi="宋体" w:cs="宋体"/>
                <w:spacing w:val="-12"/>
                <w:sz w:val="24"/>
                <w:u w:val="single"/>
              </w:rPr>
              <w:t>收费标准的通知》</w:t>
            </w:r>
            <w:r>
              <w:rPr>
                <w:rFonts w:hint="eastAsia" w:ascii="宋体" w:hAnsi="宋体" w:cs="宋体"/>
                <w:spacing w:val="-22"/>
                <w:sz w:val="24"/>
                <w:u w:val="single"/>
              </w:rPr>
              <w:t xml:space="preserve"> </w:t>
            </w:r>
            <w:r>
              <w:rPr>
                <w:rFonts w:hint="eastAsia" w:ascii="宋体" w:hAnsi="宋体" w:cs="宋体"/>
                <w:spacing w:val="-12"/>
                <w:sz w:val="24"/>
                <w:u w:val="single"/>
              </w:rPr>
              <w:t>（浙价服〔</w:t>
            </w:r>
            <w:r>
              <w:rPr>
                <w:rFonts w:hint="eastAsia" w:ascii="宋体" w:hAnsi="宋体" w:cs="宋体"/>
                <w:b/>
                <w:bCs/>
                <w:spacing w:val="-12"/>
                <w:sz w:val="24"/>
                <w:u w:val="single"/>
              </w:rPr>
              <w:t>2011</w:t>
            </w:r>
            <w:r>
              <w:rPr>
                <w:rFonts w:hint="eastAsia" w:ascii="宋体" w:hAnsi="宋体" w:cs="宋体"/>
                <w:spacing w:val="-12"/>
                <w:sz w:val="24"/>
                <w:u w:val="single"/>
              </w:rPr>
              <w:t>〕</w:t>
            </w:r>
            <w:r>
              <w:rPr>
                <w:rFonts w:hint="eastAsia" w:ascii="宋体" w:hAnsi="宋体" w:cs="宋体"/>
                <w:b/>
                <w:bCs/>
                <w:spacing w:val="-12"/>
                <w:sz w:val="24"/>
                <w:u w:val="single"/>
              </w:rPr>
              <w:t>212</w:t>
            </w:r>
            <w:r>
              <w:rPr>
                <w:rFonts w:hint="eastAsia" w:ascii="宋体" w:hAnsi="宋体" w:cs="宋体"/>
                <w:spacing w:val="7"/>
                <w:sz w:val="24"/>
                <w:u w:val="single"/>
              </w:rPr>
              <w:t xml:space="preserve"> </w:t>
            </w:r>
            <w:r>
              <w:rPr>
                <w:rFonts w:hint="eastAsia" w:ascii="宋体" w:hAnsi="宋体" w:cs="宋体"/>
                <w:spacing w:val="-12"/>
                <w:sz w:val="24"/>
                <w:u w:val="single"/>
              </w:rPr>
              <w:t>号）</w:t>
            </w:r>
            <w:r>
              <w:rPr>
                <w:rFonts w:hint="eastAsia" w:ascii="宋体" w:hAnsi="宋体" w:cs="宋体"/>
                <w:spacing w:val="-8"/>
                <w:sz w:val="24"/>
                <w:u w:val="single"/>
              </w:rPr>
              <w:t xml:space="preserve"> </w:t>
            </w:r>
            <w:r>
              <w:rPr>
                <w:rFonts w:hint="eastAsia" w:ascii="宋体" w:hAnsi="宋体" w:cs="宋体"/>
                <w:spacing w:val="-12"/>
                <w:sz w:val="24"/>
                <w:u w:val="single"/>
              </w:rPr>
              <w:t>规定     %计收。</w:t>
            </w:r>
          </w:p>
        </w:tc>
        <w:tc>
          <w:tcPr>
            <w:tcW w:w="1670" w:type="dxa"/>
            <w:vAlign w:val="center"/>
          </w:tcPr>
          <w:p w14:paraId="4740F58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c>
          <w:tcPr>
            <w:tcW w:w="3390" w:type="dxa"/>
            <w:vAlign w:val="center"/>
          </w:tcPr>
          <w:p w14:paraId="50A6D8AC">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rPr>
            </w:pPr>
          </w:p>
        </w:tc>
      </w:tr>
    </w:tbl>
    <w:p w14:paraId="5B3AF4EE">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550486D">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119E803D">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3D2ACF8B">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79E812D8">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ascii="宋体" w:hAnsi="宋体" w:eastAsia="宋体" w:cs="宋体"/>
          <w:color w:val="auto"/>
          <w:kern w:val="2"/>
          <w:sz w:val="32"/>
          <w:szCs w:val="32"/>
          <w:highlight w:val="none"/>
        </w:rPr>
      </w:pPr>
    </w:p>
    <w:p w14:paraId="5F60F077">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ascii="宋体" w:hAnsi="宋体" w:eastAsia="宋体" w:cs="宋体"/>
          <w:color w:val="auto"/>
          <w:kern w:val="2"/>
          <w:sz w:val="32"/>
          <w:szCs w:val="32"/>
          <w:highlight w:val="none"/>
        </w:rPr>
        <w:sectPr>
          <w:pgSz w:w="16838" w:h="11906" w:orient="landscape"/>
          <w:pgMar w:top="1247" w:right="1247" w:bottom="1247" w:left="1361" w:header="851" w:footer="992" w:gutter="57"/>
          <w:cols w:space="0" w:num="1"/>
          <w:titlePg/>
          <w:rtlGutter w:val="0"/>
          <w:docGrid w:linePitch="312" w:charSpace="0"/>
        </w:sectPr>
      </w:pPr>
    </w:p>
    <w:p w14:paraId="75E0137E">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附表：成本分析</w:t>
      </w:r>
    </w:p>
    <w:p w14:paraId="5DFC360D">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right="0" w:rightChars="0" w:firstLine="480" w:firstLineChars="200"/>
        <w:jc w:val="both"/>
        <w:textAlignment w:val="auto"/>
        <w:outlineLvl w:val="9"/>
        <w:rPr>
          <w:rFonts w:hint="eastAsia" w:ascii="宋体" w:hAnsi="宋体" w:eastAsia="宋体" w:cs="宋体"/>
          <w:b w:val="0"/>
          <w:color w:val="auto"/>
          <w:kern w:val="0"/>
          <w:sz w:val="24"/>
          <w:szCs w:val="24"/>
          <w:highlight w:val="none"/>
          <w:lang w:val="en-US" w:eastAsia="zh-CN" w:bidi="ar-SA"/>
        </w:rPr>
      </w:pPr>
      <w:r>
        <w:rPr>
          <w:rFonts w:hint="eastAsia" w:ascii="宋体" w:hAnsi="宋体" w:eastAsia="宋体" w:cs="宋体"/>
          <w:b w:val="0"/>
          <w:color w:val="auto"/>
          <w:kern w:val="0"/>
          <w:sz w:val="24"/>
          <w:szCs w:val="24"/>
          <w:highlight w:val="none"/>
          <w:lang w:val="en-US" w:eastAsia="zh-CN" w:bidi="ar-SA"/>
        </w:rPr>
        <w:t>投标单位对本单位报价的常年法律顾问服务、案件审理费两部分报价进行必要的成本分析，保证不低于成本价。评标委员会报价评审时根据投标单位报价及成本分析进行判定报价是否低于成本价，被认定为低于成本价的投标报价无效。</w:t>
      </w:r>
    </w:p>
    <w:p w14:paraId="3E7AE1F7">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right="0" w:rightChars="0" w:firstLine="480" w:firstLineChars="200"/>
        <w:jc w:val="both"/>
        <w:textAlignment w:val="auto"/>
        <w:outlineLvl w:val="9"/>
        <w:rPr>
          <w:rFonts w:hint="default" w:ascii="宋体" w:hAnsi="宋体" w:eastAsia="宋体" w:cs="宋体"/>
          <w:b w:val="0"/>
          <w:color w:val="auto"/>
          <w:kern w:val="0"/>
          <w:sz w:val="24"/>
          <w:szCs w:val="24"/>
          <w:highlight w:val="none"/>
          <w:lang w:val="en-US" w:eastAsia="zh-CN" w:bidi="ar-SA"/>
        </w:rPr>
      </w:pPr>
      <w:r>
        <w:rPr>
          <w:rFonts w:hint="eastAsia" w:ascii="宋体" w:hAnsi="宋体" w:eastAsia="宋体" w:cs="宋体"/>
          <w:b w:val="0"/>
          <w:color w:val="auto"/>
          <w:kern w:val="0"/>
          <w:sz w:val="24"/>
          <w:szCs w:val="24"/>
          <w:highlight w:val="none"/>
          <w:lang w:val="en-US" w:eastAsia="zh-CN" w:bidi="ar-SA"/>
        </w:rPr>
        <w:t>成本分析格式自拟。</w:t>
      </w:r>
    </w:p>
    <w:p w14:paraId="654A5320">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hint="eastAsia" w:ascii="宋体" w:hAnsi="宋体" w:eastAsia="宋体" w:cs="宋体"/>
          <w:color w:val="auto"/>
          <w:sz w:val="32"/>
          <w:szCs w:val="32"/>
          <w:highlight w:val="none"/>
          <w:lang w:val="en-US" w:eastAsia="zh-CN"/>
        </w:rPr>
      </w:pPr>
    </w:p>
    <w:p w14:paraId="36C75474">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hint="eastAsia" w:ascii="宋体" w:hAnsi="宋体" w:eastAsia="宋体" w:cs="宋体"/>
          <w:color w:val="auto"/>
          <w:sz w:val="32"/>
          <w:szCs w:val="32"/>
          <w:highlight w:val="none"/>
          <w:lang w:val="en-US" w:eastAsia="zh-CN"/>
        </w:rPr>
      </w:pPr>
    </w:p>
    <w:p w14:paraId="78644C90">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hint="eastAsia" w:ascii="宋体" w:hAnsi="宋体" w:eastAsia="宋体" w:cs="宋体"/>
          <w:color w:val="auto"/>
          <w:sz w:val="32"/>
          <w:szCs w:val="32"/>
          <w:highlight w:val="none"/>
          <w:lang w:val="en-US" w:eastAsia="zh-CN"/>
        </w:rPr>
      </w:pPr>
    </w:p>
    <w:p w14:paraId="5A7C14EA">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hint="eastAsia" w:ascii="宋体" w:hAnsi="宋体" w:eastAsia="宋体" w:cs="宋体"/>
          <w:color w:val="auto"/>
          <w:sz w:val="32"/>
          <w:szCs w:val="32"/>
          <w:highlight w:val="none"/>
          <w:lang w:val="en-US" w:eastAsia="zh-CN"/>
        </w:rPr>
      </w:pPr>
    </w:p>
    <w:p w14:paraId="63FD4640">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hint="eastAsia" w:ascii="宋体" w:hAnsi="宋体" w:eastAsia="宋体" w:cs="宋体"/>
          <w:color w:val="auto"/>
          <w:sz w:val="32"/>
          <w:szCs w:val="32"/>
          <w:highlight w:val="none"/>
          <w:lang w:val="en-US" w:eastAsia="zh-CN"/>
        </w:rPr>
      </w:pPr>
    </w:p>
    <w:p w14:paraId="26379A56">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3408AAE8">
      <w:pPr>
        <w:widowControl w:val="0"/>
        <w:kinsoku/>
        <w:wordWrap/>
        <w:overflowPunct/>
        <w:topLinePunct w:val="0"/>
        <w:bidi w:val="0"/>
        <w:adjustRightInd w:val="0"/>
        <w:snapToGrid w:val="0"/>
        <w:spacing w:beforeAutospacing="0" w:afterAutospacing="0" w:line="360" w:lineRule="auto"/>
        <w:ind w:left="0" w:leftChars="0" w:right="0" w:rightChars="0" w:firstLine="120" w:firstLineChars="50"/>
        <w:jc w:val="left"/>
        <w:textAlignment w:val="auto"/>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7BDBBB76">
      <w:pPr>
        <w:pStyle w:val="81"/>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b/>
          <w:color w:val="auto"/>
          <w:sz w:val="24"/>
          <w:highlight w:val="none"/>
        </w:rPr>
      </w:pPr>
    </w:p>
    <w:p w14:paraId="20F43E4B">
      <w:pPr>
        <w:pStyle w:val="81"/>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hint="eastAsia" w:ascii="宋体" w:hAnsi="宋体" w:cs="宋体"/>
          <w:b/>
          <w:color w:val="auto"/>
          <w:sz w:val="24"/>
          <w:highlight w:val="none"/>
        </w:rPr>
      </w:pPr>
    </w:p>
    <w:p w14:paraId="6D25EF86">
      <w:pPr>
        <w:pStyle w:val="693"/>
        <w:keepNext w:val="0"/>
        <w:pageBreakBefore w:val="0"/>
        <w:widowControl w:val="0"/>
        <w:tabs>
          <w:tab w:val="clear" w:pos="720"/>
        </w:tabs>
        <w:kinsoku/>
        <w:wordWrap/>
        <w:overflowPunct/>
        <w:topLinePunct w:val="0"/>
        <w:bidi w:val="0"/>
        <w:adjustRightInd w:val="0"/>
        <w:snapToGrid w:val="0"/>
        <w:spacing w:beforeAutospacing="0" w:afterAutospacing="0" w:line="360" w:lineRule="auto"/>
        <w:ind w:left="0" w:leftChars="0" w:right="0" w:rightChars="0" w:firstLine="643"/>
        <w:textAlignment w:val="auto"/>
        <w:outlineLvl w:val="9"/>
        <w:rPr>
          <w:rFonts w:ascii="宋体" w:hAnsi="宋体" w:eastAsia="宋体" w:cs="宋体"/>
          <w:b w:val="0"/>
          <w:color w:val="auto"/>
          <w:sz w:val="32"/>
          <w:szCs w:val="32"/>
          <w:highlight w:val="none"/>
        </w:rPr>
      </w:pPr>
    </w:p>
    <w:p w14:paraId="64D979C8">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p>
    <w:p w14:paraId="1C4E2252">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p>
    <w:p w14:paraId="00AB07B3">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p>
    <w:p w14:paraId="34C0D6DE">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p>
    <w:p w14:paraId="2585ECE7">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p>
    <w:p w14:paraId="00F0C1E1">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p>
    <w:p w14:paraId="40A9CE14">
      <w:pPr>
        <w:widowControl w:val="0"/>
        <w:kinsoku/>
        <w:wordWrap/>
        <w:overflowPunct/>
        <w:topLinePunct w:val="0"/>
        <w:bidi w:val="0"/>
        <w:adjustRightInd w:val="0"/>
        <w:snapToGrid w:val="0"/>
        <w:spacing w:beforeAutospacing="0" w:afterAutospacing="0" w:line="360" w:lineRule="auto"/>
        <w:ind w:left="0" w:leftChars="0" w:right="0" w:rightChars="0" w:firstLine="3614" w:firstLineChars="1000"/>
        <w:textAlignment w:val="auto"/>
        <w:rPr>
          <w:rFonts w:ascii="宋体" w:hAnsi="宋体" w:cs="宋体"/>
          <w:b/>
          <w:color w:val="auto"/>
          <w:kern w:val="0"/>
          <w:sz w:val="36"/>
          <w:szCs w:val="36"/>
          <w:highlight w:val="none"/>
        </w:rPr>
      </w:pPr>
    </w:p>
    <w:p w14:paraId="0EB00A10">
      <w:pPr>
        <w:pStyle w:val="5"/>
        <w:keepNext w:val="0"/>
        <w:keepLines w:val="0"/>
        <w:pageBreakBefore/>
        <w:widowControl w:val="0"/>
        <w:kinsoku/>
        <w:wordWrap/>
        <w:overflowPunct/>
        <w:topLinePunct w:val="0"/>
        <w:bidi w:val="0"/>
        <w:adjustRightInd w:val="0"/>
        <w:snapToGrid w:val="0"/>
        <w:spacing w:before="0" w:beforeAutospacing="0" w:after="0" w:afterAutospacing="0" w:line="360" w:lineRule="auto"/>
        <w:ind w:right="0" w:rightChars="0"/>
        <w:jc w:val="center"/>
        <w:textAlignment w:val="auto"/>
        <w:rPr>
          <w:rFonts w:ascii="宋体" w:hAnsi="宋体" w:cs="宋体"/>
          <w:color w:val="auto"/>
          <w:highlight w:val="none"/>
        </w:rPr>
      </w:pPr>
      <w:r>
        <w:rPr>
          <w:rFonts w:hint="eastAsia" w:ascii="宋体" w:hAnsi="宋体" w:cs="宋体"/>
          <w:color w:val="auto"/>
          <w:highlight w:val="none"/>
        </w:rPr>
        <w:t>附件</w:t>
      </w:r>
    </w:p>
    <w:p w14:paraId="3F1427DD">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5D8925CD">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bookmarkStart w:id="396" w:name="OLE_LINK14"/>
      <w:bookmarkStart w:id="397" w:name="OLE_LINK13"/>
      <w:r>
        <w:rPr>
          <w:rFonts w:hint="eastAsia" w:ascii="宋体" w:hAnsi="宋体" w:cs="宋体"/>
          <w:b/>
          <w:color w:val="auto"/>
          <w:spacing w:val="6"/>
          <w:sz w:val="32"/>
          <w:szCs w:val="32"/>
          <w:highlight w:val="none"/>
        </w:rPr>
        <w:t>残疾人福利性单位声明函</w:t>
      </w:r>
    </w:p>
    <w:bookmarkEnd w:id="396"/>
    <w:bookmarkEnd w:id="397"/>
    <w:p w14:paraId="5ACD102E">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pacing w:val="6"/>
          <w:sz w:val="30"/>
          <w:szCs w:val="30"/>
          <w:highlight w:val="none"/>
        </w:rPr>
      </w:pPr>
    </w:p>
    <w:p w14:paraId="3C921859">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7E0B23BD">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3F48554F">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p>
    <w:p w14:paraId="5A2AD3D0">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p>
    <w:p w14:paraId="21E711DE">
      <w:pPr>
        <w:widowControl w:val="0"/>
        <w:tabs>
          <w:tab w:val="left" w:pos="4860"/>
        </w:tabs>
        <w:kinsoku/>
        <w:wordWrap/>
        <w:overflowPunct/>
        <w:topLinePunct w:val="0"/>
        <w:bidi w:val="0"/>
        <w:adjustRightInd w:val="0"/>
        <w:snapToGrid w:val="0"/>
        <w:spacing w:beforeAutospacing="0" w:afterAutospacing="0" w:line="360" w:lineRule="auto"/>
        <w:ind w:left="0" w:leftChars="0" w:right="0" w:rightChars="0" w:firstLine="480" w:firstLineChars="200"/>
        <w:jc w:val="center"/>
        <w:textAlignment w:val="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5F8EBBC6">
      <w:pPr>
        <w:widowControl w:val="0"/>
        <w:tabs>
          <w:tab w:val="left" w:pos="4860"/>
        </w:tabs>
        <w:kinsoku/>
        <w:wordWrap/>
        <w:overflowPunct/>
        <w:topLinePunct w:val="0"/>
        <w:bidi w:val="0"/>
        <w:adjustRightInd w:val="0"/>
        <w:snapToGrid w:val="0"/>
        <w:spacing w:beforeAutospacing="0" w:afterAutospacing="0" w:line="360" w:lineRule="auto"/>
        <w:ind w:left="0" w:leftChars="0" w:right="0" w:rightChars="0" w:firstLine="480" w:firstLineChars="200"/>
        <w:jc w:val="center"/>
        <w:textAlignment w:val="auto"/>
        <w:rPr>
          <w:rFonts w:ascii="宋体" w:hAnsi="宋体" w:cs="宋体"/>
          <w:color w:val="auto"/>
          <w:sz w:val="24"/>
          <w:highlight w:val="none"/>
        </w:rPr>
      </w:pPr>
      <w:r>
        <w:rPr>
          <w:rFonts w:hint="eastAsia" w:ascii="宋体" w:hAnsi="宋体" w:cs="宋体"/>
          <w:color w:val="auto"/>
          <w:sz w:val="24"/>
          <w:highlight w:val="none"/>
        </w:rPr>
        <w:t xml:space="preserve">       日  期：</w:t>
      </w:r>
    </w:p>
    <w:p w14:paraId="12ED81F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p>
    <w:p w14:paraId="01A5AA2A">
      <w:pPr>
        <w:widowControl w:val="0"/>
        <w:kinsoku/>
        <w:wordWrap/>
        <w:overflowPunct/>
        <w:topLinePunct w:val="0"/>
        <w:bidi w:val="0"/>
        <w:adjustRightInd w:val="0"/>
        <w:snapToGrid w:val="0"/>
        <w:spacing w:beforeAutospacing="0" w:afterAutospacing="0" w:line="360" w:lineRule="auto"/>
        <w:ind w:left="0" w:leftChars="0" w:right="0" w:rightChars="0" w:firstLine="420" w:firstLineChars="200"/>
        <w:textAlignment w:val="auto"/>
        <w:rPr>
          <w:rFonts w:ascii="宋体" w:hAnsi="宋体" w:cs="宋体"/>
          <w:color w:val="auto"/>
          <w:highlight w:val="none"/>
        </w:rPr>
      </w:pPr>
    </w:p>
    <w:p w14:paraId="689E28E3">
      <w:pPr>
        <w:widowControl w:val="0"/>
        <w:kinsoku/>
        <w:wordWrap/>
        <w:overflowPunct/>
        <w:topLinePunct w:val="0"/>
        <w:bidi w:val="0"/>
        <w:adjustRightInd w:val="0"/>
        <w:snapToGrid w:val="0"/>
        <w:spacing w:beforeAutospacing="0" w:afterAutospacing="0" w:line="360" w:lineRule="auto"/>
        <w:ind w:left="0" w:leftChars="0" w:right="0" w:rightChars="0" w:firstLine="420" w:firstLineChars="200"/>
        <w:textAlignment w:val="auto"/>
        <w:rPr>
          <w:rFonts w:ascii="宋体" w:hAnsi="宋体" w:cs="宋体"/>
          <w:color w:val="auto"/>
          <w:highlight w:val="none"/>
        </w:rPr>
      </w:pPr>
    </w:p>
    <w:p w14:paraId="3FE05AF2">
      <w:pPr>
        <w:widowControl w:val="0"/>
        <w:kinsoku/>
        <w:wordWrap/>
        <w:overflowPunct/>
        <w:topLinePunct w:val="0"/>
        <w:bidi w:val="0"/>
        <w:adjustRightInd w:val="0"/>
        <w:snapToGrid w:val="0"/>
        <w:spacing w:beforeAutospacing="0" w:afterAutospacing="0" w:line="360" w:lineRule="auto"/>
        <w:ind w:left="0" w:leftChars="0" w:right="0" w:rightChars="0" w:firstLine="420" w:firstLineChars="200"/>
        <w:textAlignment w:val="auto"/>
        <w:rPr>
          <w:rFonts w:ascii="宋体" w:hAnsi="宋体" w:cs="宋体"/>
          <w:color w:val="auto"/>
          <w:highlight w:val="none"/>
        </w:rPr>
      </w:pPr>
    </w:p>
    <w:p w14:paraId="5460D024">
      <w:pPr>
        <w:widowControl w:val="0"/>
        <w:kinsoku/>
        <w:wordWrap/>
        <w:overflowPunct/>
        <w:topLinePunct w:val="0"/>
        <w:bidi w:val="0"/>
        <w:adjustRightInd w:val="0"/>
        <w:snapToGrid w:val="0"/>
        <w:spacing w:beforeAutospacing="0" w:afterAutospacing="0" w:line="360" w:lineRule="auto"/>
        <w:ind w:left="0" w:leftChars="0" w:right="0" w:rightChars="0" w:firstLine="420" w:firstLineChars="200"/>
        <w:textAlignment w:val="auto"/>
        <w:rPr>
          <w:rFonts w:ascii="宋体" w:hAnsi="宋体" w:cs="宋体"/>
          <w:color w:val="auto"/>
          <w:highlight w:val="none"/>
        </w:rPr>
      </w:pPr>
    </w:p>
    <w:p w14:paraId="27D8820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p>
    <w:p w14:paraId="2349B925">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p>
    <w:p w14:paraId="6BEBE28C">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p>
    <w:p w14:paraId="57FF5362">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p>
    <w:p w14:paraId="2FCD0516">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p>
    <w:p w14:paraId="685FA29C">
      <w:pPr>
        <w:pStyle w:val="8"/>
        <w:rPr>
          <w:rFonts w:ascii="宋体" w:hAnsi="宋体" w:cs="宋体"/>
          <w:b/>
          <w:color w:val="auto"/>
          <w:sz w:val="24"/>
          <w:highlight w:val="none"/>
        </w:rPr>
      </w:pPr>
    </w:p>
    <w:p w14:paraId="49D01697">
      <w:pPr>
        <w:pStyle w:val="9"/>
        <w:rPr>
          <w:rFonts w:ascii="宋体" w:hAnsi="宋体" w:cs="宋体"/>
          <w:b/>
          <w:color w:val="auto"/>
          <w:sz w:val="24"/>
          <w:highlight w:val="none"/>
        </w:rPr>
      </w:pPr>
    </w:p>
    <w:p w14:paraId="0B69CBA0">
      <w:pPr>
        <w:pStyle w:val="9"/>
        <w:rPr>
          <w:rFonts w:ascii="宋体" w:hAnsi="宋体" w:cs="宋体"/>
          <w:b/>
          <w:color w:val="auto"/>
          <w:sz w:val="24"/>
          <w:highlight w:val="none"/>
        </w:rPr>
      </w:pPr>
    </w:p>
    <w:p w14:paraId="1CD8B0CB">
      <w:pPr>
        <w:pStyle w:val="9"/>
        <w:rPr>
          <w:rFonts w:ascii="宋体" w:hAnsi="宋体" w:cs="宋体"/>
          <w:b/>
          <w:color w:val="auto"/>
          <w:sz w:val="24"/>
          <w:highlight w:val="none"/>
        </w:rPr>
      </w:pPr>
    </w:p>
    <w:p w14:paraId="4281A3D2">
      <w:pPr>
        <w:pStyle w:val="9"/>
        <w:rPr>
          <w:rFonts w:ascii="宋体" w:hAnsi="宋体" w:cs="宋体"/>
          <w:b/>
          <w:color w:val="auto"/>
          <w:sz w:val="24"/>
          <w:highlight w:val="none"/>
        </w:rPr>
      </w:pPr>
    </w:p>
    <w:p w14:paraId="1063E11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
          <w:color w:val="auto"/>
          <w:sz w:val="24"/>
          <w:highlight w:val="none"/>
        </w:rPr>
      </w:pPr>
    </w:p>
    <w:p w14:paraId="6D06CD42">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5CD4A0E4">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1F6D6885">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1B83BDF8">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315F12CA">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04459B3D">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DFFE75D">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73F334A">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A3AAC4E">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0B49481A">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2372C59E">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6A7D3F9A">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4212B467">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686B603B">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64E22882">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2A3DB0B5">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12CBF143">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6D10C504">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751BDFC6">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18BAD97">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6AA42D61">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质疑事项2</w:t>
      </w:r>
    </w:p>
    <w:p w14:paraId="2088B094">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w:t>
      </w:r>
    </w:p>
    <w:p w14:paraId="0ACDF2F7">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34B530A">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690C917">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50301ED">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日期：    </w:t>
      </w:r>
    </w:p>
    <w:p w14:paraId="43557F24">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D727550">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0A22A66B">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316F9A2C">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6A1659E1">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02A78719">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64771F52">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5C2DD9B3">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firstLine="600" w:firstLineChars="200"/>
        <w:jc w:val="left"/>
        <w:textAlignment w:val="auto"/>
        <w:rPr>
          <w:rFonts w:ascii="宋体" w:hAnsi="宋体" w:cs="宋体"/>
          <w:color w:val="auto"/>
          <w:sz w:val="30"/>
          <w:szCs w:val="30"/>
          <w:highlight w:val="none"/>
        </w:rPr>
      </w:pPr>
    </w:p>
    <w:p w14:paraId="79CEE506">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419408C0">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520BD9DA">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7F01DE85">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56488837">
      <w:pPr>
        <w:keepNext w:val="0"/>
        <w:keepLines w:val="0"/>
        <w:pageBreakBefore w:val="0"/>
        <w:widowControl w:val="0"/>
        <w:kinsoku/>
        <w:wordWrap/>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55CF6CC8">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520552CA">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24"/>
          <w:highlight w:val="none"/>
        </w:rPr>
      </w:pPr>
    </w:p>
    <w:p w14:paraId="2CCD4C6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707C50F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652B293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45C039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EF46F4F">
      <w:pPr>
        <w:keepNext w:val="0"/>
        <w:keepLines w:val="0"/>
        <w:pageBreakBefore w:val="0"/>
        <w:widowControl w:val="0"/>
        <w:tabs>
          <w:tab w:val="left" w:pos="6510"/>
        </w:tabs>
        <w:kinsoku/>
        <w:wordWrap/>
        <w:overflowPunct/>
        <w:topLinePunct w:val="0"/>
        <w:bidi w:val="0"/>
        <w:adjustRightInd w:val="0"/>
        <w:snapToGrid w:val="0"/>
        <w:spacing w:beforeAutospacing="0" w:afterAutospacing="0" w:line="240" w:lineRule="auto"/>
        <w:ind w:left="0" w:leftChars="0" w:right="0" w:rightChars="0"/>
        <w:jc w:val="left"/>
        <w:textAlignment w:val="auto"/>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8A78240">
      <w:pPr>
        <w:keepNext w:val="0"/>
        <w:keepLines w:val="0"/>
        <w:pageBreakBefore w:val="0"/>
        <w:widowControl w:val="0"/>
        <w:tabs>
          <w:tab w:val="left" w:pos="6510"/>
        </w:tabs>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7D76CA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6502BF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66D9656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C43AA9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742E41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85C60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被投诉人2</w:t>
      </w:r>
    </w:p>
    <w:p w14:paraId="2E25B23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w:t>
      </w:r>
    </w:p>
    <w:p w14:paraId="250805C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41EC1E0">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A2E7A4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079D23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二、投诉项目基本情况</w:t>
      </w:r>
    </w:p>
    <w:p w14:paraId="02C7420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F99710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5F57B3C8">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9F15FF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1FD7747D">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186B080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E9ED6D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三、质疑基本情况</w:t>
      </w:r>
    </w:p>
    <w:p w14:paraId="085C3BE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textAlignment w:val="auto"/>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3FC3917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EAE18C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360" w:firstLineChars="150"/>
        <w:textAlignment w:val="auto"/>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69867A2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四、投诉事项具体内容</w:t>
      </w:r>
    </w:p>
    <w:p w14:paraId="3E4D8A3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02DFD37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A18A56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0DA0A9F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213AEF5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4F8DF5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投诉事项2</w:t>
      </w:r>
    </w:p>
    <w:p w14:paraId="716664D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dotted"/>
        </w:rPr>
      </w:pPr>
      <w:r>
        <w:rPr>
          <w:rFonts w:hint="eastAsia" w:ascii="宋体" w:hAnsi="宋体" w:cs="宋体"/>
          <w:color w:val="auto"/>
          <w:sz w:val="24"/>
          <w:highlight w:val="none"/>
        </w:rPr>
        <w:t>……</w:t>
      </w:r>
    </w:p>
    <w:p w14:paraId="5404468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B6B92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AF8937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42B0076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 xml:space="preserve">日期：    </w:t>
      </w:r>
    </w:p>
    <w:p w14:paraId="422285B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b/>
          <w:color w:val="auto"/>
          <w:sz w:val="24"/>
          <w:highlight w:val="none"/>
        </w:rPr>
      </w:pPr>
      <w:r>
        <w:rPr>
          <w:rFonts w:hint="eastAsia" w:ascii="宋体" w:hAnsi="宋体" w:cs="宋体"/>
          <w:b/>
          <w:color w:val="auto"/>
          <w:sz w:val="24"/>
          <w:highlight w:val="none"/>
        </w:rPr>
        <w:t>投诉书制作说明：</w:t>
      </w:r>
    </w:p>
    <w:p w14:paraId="3187FCB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textAlignment w:val="auto"/>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56C8EFE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7682D5DF">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6E479D2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2824671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0CAE373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6AA5F0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jc w:val="left"/>
        <w:textAlignment w:val="auto"/>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204FFECA">
      <w:pPr>
        <w:keepNext w:val="0"/>
        <w:keepLines w:val="0"/>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57B64293">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2885D28E">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12D2E522">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3EFB0A22">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56632831">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6F30F578">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6EE98780">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6D720FDC">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33B837C5">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4F06810B">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31CBD2D7">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0DD8086D">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126E7EE4">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4030333F">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69401508">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3DE344AC">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3F57E1EE">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hint="eastAsia" w:ascii="宋体" w:hAnsi="宋体" w:cs="宋体"/>
          <w:b/>
          <w:color w:val="auto"/>
          <w:spacing w:val="6"/>
          <w:sz w:val="32"/>
          <w:szCs w:val="32"/>
          <w:highlight w:val="none"/>
        </w:rPr>
      </w:pPr>
    </w:p>
    <w:p w14:paraId="75357795">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2B7B17BF">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u w:val="single"/>
        </w:rPr>
      </w:pPr>
    </w:p>
    <w:p w14:paraId="3E2B9616">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1284962D">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1048D1BC">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特此说明。</w:t>
      </w:r>
    </w:p>
    <w:p w14:paraId="44133B91">
      <w:pPr>
        <w:widowControl w:val="0"/>
        <w:kinsoku/>
        <w:wordWrap/>
        <w:overflowPunct/>
        <w:topLinePunct w:val="0"/>
        <w:bidi w:val="0"/>
        <w:adjustRightInd w:val="0"/>
        <w:snapToGrid w:val="0"/>
        <w:spacing w:beforeAutospacing="0" w:afterAutospacing="0" w:line="360" w:lineRule="auto"/>
        <w:ind w:left="0" w:leftChars="0" w:right="0" w:rightChars="0" w:firstLine="494"/>
        <w:textAlignment w:val="auto"/>
        <w:rPr>
          <w:rFonts w:ascii="宋体" w:hAnsi="宋体" w:cs="宋体"/>
          <w:color w:val="auto"/>
          <w:sz w:val="24"/>
          <w:highlight w:val="none"/>
        </w:rPr>
      </w:pPr>
    </w:p>
    <w:p w14:paraId="66B5EC32">
      <w:pPr>
        <w:widowControl w:val="0"/>
        <w:kinsoku/>
        <w:wordWrap/>
        <w:overflowPunct/>
        <w:topLinePunct w:val="0"/>
        <w:bidi w:val="0"/>
        <w:adjustRightInd w:val="0"/>
        <w:snapToGrid w:val="0"/>
        <w:spacing w:beforeAutospacing="0" w:afterAutospacing="0" w:line="360" w:lineRule="auto"/>
        <w:ind w:left="0" w:leftChars="0" w:right="0" w:rightChars="0" w:firstLine="494"/>
        <w:textAlignment w:val="auto"/>
        <w:rPr>
          <w:rFonts w:ascii="宋体" w:hAnsi="宋体" w:cs="宋体"/>
          <w:color w:val="auto"/>
          <w:sz w:val="24"/>
          <w:highlight w:val="none"/>
        </w:rPr>
      </w:pPr>
    </w:p>
    <w:p w14:paraId="400F9CEE">
      <w:pPr>
        <w:widowControl w:val="0"/>
        <w:kinsoku/>
        <w:wordWrap/>
        <w:overflowPunct/>
        <w:topLinePunct w:val="0"/>
        <w:bidi w:val="0"/>
        <w:adjustRightInd w:val="0"/>
        <w:snapToGrid w:val="0"/>
        <w:spacing w:beforeAutospacing="0" w:afterAutospacing="0" w:line="360" w:lineRule="auto"/>
        <w:ind w:left="0" w:leftChars="0" w:right="0" w:rightChars="0" w:firstLine="494"/>
        <w:textAlignment w:val="auto"/>
        <w:rPr>
          <w:rFonts w:ascii="宋体" w:hAnsi="宋体" w:cs="宋体"/>
          <w:color w:val="auto"/>
          <w:sz w:val="24"/>
          <w:highlight w:val="none"/>
        </w:rPr>
      </w:pPr>
    </w:p>
    <w:p w14:paraId="1D76D8B8">
      <w:pPr>
        <w:widowControl w:val="0"/>
        <w:kinsoku/>
        <w:wordWrap/>
        <w:overflowPunct/>
        <w:topLinePunct w:val="0"/>
        <w:bidi w:val="0"/>
        <w:adjustRightInd w:val="0"/>
        <w:snapToGrid w:val="0"/>
        <w:spacing w:beforeAutospacing="0" w:afterAutospacing="0" w:line="360" w:lineRule="auto"/>
        <w:ind w:left="0" w:leftChars="0" w:right="0" w:rightChars="0" w:firstLine="494"/>
        <w:textAlignment w:val="auto"/>
        <w:rPr>
          <w:rFonts w:ascii="宋体" w:hAnsi="宋体" w:cs="宋体"/>
          <w:color w:val="auto"/>
          <w:sz w:val="24"/>
          <w:highlight w:val="none"/>
        </w:rPr>
      </w:pPr>
    </w:p>
    <w:p w14:paraId="79567C11">
      <w:pPr>
        <w:widowControl w:val="0"/>
        <w:kinsoku/>
        <w:wordWrap/>
        <w:overflowPunct/>
        <w:topLinePunct w:val="0"/>
        <w:bidi w:val="0"/>
        <w:adjustRightInd w:val="0"/>
        <w:snapToGrid w:val="0"/>
        <w:spacing w:beforeAutospacing="0" w:afterAutospacing="0" w:line="360" w:lineRule="auto"/>
        <w:ind w:left="0" w:leftChars="0" w:right="0" w:rightChars="0" w:firstLine="4080" w:firstLineChars="1700"/>
        <w:textAlignment w:val="auto"/>
        <w:rPr>
          <w:rFonts w:ascii="宋体" w:hAnsi="宋体" w:cs="宋体"/>
          <w:color w:val="auto"/>
          <w:sz w:val="24"/>
          <w:highlight w:val="none"/>
        </w:rPr>
      </w:pPr>
      <w:r>
        <w:rPr>
          <w:rFonts w:hint="eastAsia" w:ascii="宋体" w:hAnsi="宋体" w:cs="宋体"/>
          <w:color w:val="auto"/>
          <w:sz w:val="24"/>
          <w:highlight w:val="none"/>
        </w:rPr>
        <w:t>投标单位（法定名称章）：</w:t>
      </w:r>
    </w:p>
    <w:p w14:paraId="63BB75ED">
      <w:pPr>
        <w:widowControl w:val="0"/>
        <w:kinsoku/>
        <w:wordWrap/>
        <w:overflowPunct/>
        <w:topLinePunct w:val="0"/>
        <w:bidi w:val="0"/>
        <w:adjustRightInd w:val="0"/>
        <w:snapToGrid w:val="0"/>
        <w:spacing w:beforeAutospacing="0" w:afterAutospacing="0" w:line="360" w:lineRule="auto"/>
        <w:ind w:left="0" w:leftChars="0" w:right="0" w:rightChars="0" w:firstLine="494"/>
        <w:jc w:val="center"/>
        <w:textAlignment w:val="auto"/>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11C33947">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color w:val="auto"/>
          <w:sz w:val="24"/>
          <w:highlight w:val="none"/>
        </w:rPr>
      </w:pPr>
      <w:r>
        <w:rPr>
          <w:rFonts w:hint="eastAsia" w:ascii="宋体" w:hAnsi="宋体" w:cs="宋体"/>
          <w:b/>
          <w:bCs/>
          <w:color w:val="auto"/>
          <w:sz w:val="24"/>
          <w:highlight w:val="none"/>
        </w:rPr>
        <w:t>附：</w:t>
      </w:r>
    </w:p>
    <w:p w14:paraId="21AB8E92">
      <w:pPr>
        <w:widowControl w:val="0"/>
        <w:kinsoku/>
        <w:wordWrap/>
        <w:overflowPunct/>
        <w:topLinePunct w:val="0"/>
        <w:bidi w:val="0"/>
        <w:adjustRightInd w:val="0"/>
        <w:snapToGrid w:val="0"/>
        <w:spacing w:beforeAutospacing="0" w:afterAutospacing="0" w:line="360" w:lineRule="auto"/>
        <w:ind w:left="0" w:leftChars="0" w:right="0" w:rightChars="0"/>
        <w:textAlignment w:val="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1989D985">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3B912BF7">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7541D546">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02326F54">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0FE95E6D">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459A400C">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7362CCB8">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729B2A82">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2F95DC59">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0A512F3D">
      <w:pPr>
        <w:pStyle w:val="8"/>
      </w:pPr>
    </w:p>
    <w:p w14:paraId="2FB6C24F">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7312F00D">
      <w:pPr>
        <w:keepNext w:val="0"/>
        <w:keepLines w:val="0"/>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3E96ACFB">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2" w:firstLineChars="200"/>
        <w:jc w:val="left"/>
        <w:textAlignment w:val="auto"/>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3005D09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16521F9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410274F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3562086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5057246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61342FE">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3E75B9D7">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49AD95C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6676541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398"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398"/>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399"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399"/>
      <w:r>
        <w:rPr>
          <w:rFonts w:hint="eastAsia" w:ascii="宋体" w:hAnsi="宋体" w:cs="宋体"/>
          <w:b/>
          <w:color w:val="auto"/>
          <w:kern w:val="0"/>
          <w:sz w:val="24"/>
          <w:highlight w:val="none"/>
          <w:lang w:val="zh-CN"/>
        </w:rPr>
        <w:t>）</w:t>
      </w:r>
    </w:p>
    <w:p w14:paraId="5AA4469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textAlignment w:val="auto"/>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00"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00"/>
    </w:p>
    <w:p w14:paraId="2C576973">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52999032">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7CB85089">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398BE00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0FEF459C">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427AEC26">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040" w:firstLineChars="21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23F07D34">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firstLine="5040" w:firstLineChars="21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83E2645">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center"/>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70478B41">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jc w:val="righ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34E2783A">
      <w:pPr>
        <w:keepNext w:val="0"/>
        <w:keepLines w:val="0"/>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注：按本格式和要求提供。</w:t>
      </w:r>
    </w:p>
    <w:p w14:paraId="01422A67">
      <w:pPr>
        <w:keepNext w:val="0"/>
        <w:keepLines w:val="0"/>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504B6EBA">
      <w:pPr>
        <w:keepNext w:val="0"/>
        <w:keepLines w:val="0"/>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2CCEA262">
      <w:pPr>
        <w:keepNext w:val="0"/>
        <w:keepLines w:val="0"/>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3C3B4B36">
      <w:pPr>
        <w:keepNext w:val="0"/>
        <w:keepLines w:val="0"/>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088CFCAC">
      <w:pPr>
        <w:keepNext w:val="0"/>
        <w:keepLines w:val="0"/>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47E5769B">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1C152ABC">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3666" w:firstLineChars="1100"/>
        <w:textAlignment w:val="auto"/>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1EC82D97">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120" w:firstLineChars="50"/>
        <w:jc w:val="left"/>
        <w:textAlignment w:val="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279E3091">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09E76B4">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42C30076">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204017C5">
      <w:pPr>
        <w:pStyle w:val="6"/>
        <w:pageBreakBefore w:val="0"/>
        <w:widowControl w:val="0"/>
        <w:kinsoku/>
        <w:wordWrap/>
        <w:overflowPunct/>
        <w:topLinePunct w:val="0"/>
        <w:bidi w:val="0"/>
        <w:adjustRightInd w:val="0"/>
        <w:snapToGrid w:val="0"/>
        <w:spacing w:beforeAutospacing="0" w:afterAutospacing="0" w:line="240" w:lineRule="auto"/>
        <w:ind w:left="0" w:leftChars="0" w:right="0" w:rightChars="0" w:firstLine="229" w:firstLineChars="95"/>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3AB4DEBC">
      <w:pPr>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color w:val="auto"/>
          <w:highlight w:val="none"/>
        </w:rPr>
      </w:pPr>
      <w:r>
        <w:rPr>
          <w:rFonts w:hint="eastAsia"/>
          <w:color w:val="auto"/>
          <w:highlight w:val="none"/>
          <w:lang w:val="zh-CN"/>
        </w:rPr>
        <w:t xml:space="preserve"> </w:t>
      </w:r>
    </w:p>
    <w:p w14:paraId="31A2CCF7">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4351C19E">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0DACA99C">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480" w:firstLineChars="200"/>
        <w:textAlignment w:val="auto"/>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5F0E1567">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543AFB17">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highlight w:val="none"/>
          <w:u w:val="single"/>
        </w:rPr>
      </w:pPr>
      <w:r>
        <w:rPr>
          <w:rFonts w:hint="eastAsia" w:ascii="宋体" w:hAnsi="宋体" w:cs="宋体"/>
          <w:color w:val="auto"/>
          <w:highlight w:val="none"/>
          <w:u w:val="single"/>
        </w:rPr>
        <w:t xml:space="preserve">                                                                                  </w:t>
      </w:r>
    </w:p>
    <w:p w14:paraId="2589350F">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3D000349">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E8A6B8B">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15FB8E69">
      <w:pPr>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30C1EC3">
      <w:pPr>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43BE4896">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25241CB">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7757FA3A">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CFAB404">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08EFA879">
      <w:pPr>
        <w:pageBreakBefore w:val="0"/>
        <w:widowControl w:val="0"/>
        <w:kinsoku/>
        <w:wordWrap/>
        <w:overflowPunct/>
        <w:topLinePunct w:val="0"/>
        <w:bidi w:val="0"/>
        <w:adjustRightInd w:val="0"/>
        <w:snapToGrid w:val="0"/>
        <w:spacing w:beforeAutospacing="0" w:afterAutospacing="0" w:line="240" w:lineRule="auto"/>
        <w:ind w:left="5040" w:leftChars="0" w:right="0" w:rightChars="0" w:hanging="5040" w:hangingChars="2100"/>
        <w:textAlignment w:val="auto"/>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1E8CFB35">
      <w:pPr>
        <w:pageBreakBefore w:val="0"/>
        <w:widowControl w:val="0"/>
        <w:kinsoku/>
        <w:wordWrap/>
        <w:overflowPunct/>
        <w:topLinePunct w:val="0"/>
        <w:bidi w:val="0"/>
        <w:adjustRightInd w:val="0"/>
        <w:snapToGrid w:val="0"/>
        <w:spacing w:beforeAutospacing="0" w:afterAutospacing="0" w:line="240" w:lineRule="auto"/>
        <w:ind w:left="0" w:leftChars="0" w:right="0" w:rightChars="0"/>
        <w:jc w:val="right"/>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652938FD">
      <w:pPr>
        <w:pageBreakBefore w:val="0"/>
        <w:widowControl w:val="0"/>
        <w:kinsoku/>
        <w:wordWrap/>
        <w:overflowPunct/>
        <w:topLinePunct w:val="0"/>
        <w:bidi w:val="0"/>
        <w:adjustRightInd w:val="0"/>
        <w:snapToGrid w:val="0"/>
        <w:spacing w:beforeAutospacing="0" w:afterAutospacing="0" w:line="240" w:lineRule="auto"/>
        <w:ind w:left="0" w:leftChars="0" w:right="0" w:rightChars="0" w:firstLine="5760" w:firstLineChars="2400"/>
        <w:textAlignment w:val="auto"/>
        <w:rPr>
          <w:rFonts w:ascii="宋体" w:hAnsi="宋体" w:cs="宋体"/>
          <w:color w:val="auto"/>
          <w:highlight w:val="none"/>
        </w:rPr>
      </w:pPr>
      <w:r>
        <w:rPr>
          <w:rFonts w:hint="eastAsia" w:ascii="宋体" w:hAnsi="宋体" w:cs="宋体"/>
          <w:color w:val="auto"/>
          <w:kern w:val="0"/>
          <w:sz w:val="24"/>
          <w:highlight w:val="none"/>
          <w:lang w:val="zh-CN"/>
        </w:rPr>
        <w:t>……</w:t>
      </w:r>
    </w:p>
    <w:p w14:paraId="5D895614">
      <w:pPr>
        <w:pageBreakBefore w:val="0"/>
        <w:widowControl w:val="0"/>
        <w:kinsoku/>
        <w:wordWrap/>
        <w:overflowPunct/>
        <w:topLinePunct w:val="0"/>
        <w:bidi w:val="0"/>
        <w:adjustRightInd w:val="0"/>
        <w:snapToGrid w:val="0"/>
        <w:spacing w:beforeAutospacing="0" w:afterAutospacing="0" w:line="240" w:lineRule="auto"/>
        <w:ind w:left="5040" w:leftChars="0" w:right="0" w:rightChars="0" w:hanging="5040" w:hangingChars="2100"/>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3091F1C9">
      <w:pPr>
        <w:pageBreakBefore w:val="0"/>
        <w:widowControl w:val="0"/>
        <w:kinsoku/>
        <w:wordWrap/>
        <w:overflowPunct/>
        <w:topLinePunct w:val="0"/>
        <w:bidi w:val="0"/>
        <w:adjustRightInd w:val="0"/>
        <w:snapToGrid w:val="0"/>
        <w:spacing w:beforeAutospacing="0" w:afterAutospacing="0" w:line="240" w:lineRule="auto"/>
        <w:ind w:left="0" w:leftChars="0" w:right="0" w:rightChars="0"/>
        <w:textAlignment w:val="auto"/>
        <w:rPr>
          <w:rFonts w:ascii="宋体" w:hAnsi="宋体" w:cs="宋体"/>
          <w:color w:val="auto"/>
          <w:sz w:val="24"/>
          <w:highlight w:val="none"/>
        </w:rPr>
      </w:pPr>
      <w:r>
        <w:rPr>
          <w:rFonts w:hint="eastAsia" w:ascii="宋体" w:hAnsi="宋体" w:cs="宋体"/>
          <w:color w:val="auto"/>
          <w:sz w:val="24"/>
          <w:highlight w:val="none"/>
        </w:rPr>
        <w:t>注：按本格式和要求提供。</w:t>
      </w:r>
    </w:p>
    <w:p w14:paraId="1836A4F0">
      <w:pPr>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3173D058">
      <w:pPr>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5A8C8D7C">
      <w:pPr>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37384990">
      <w:pPr>
        <w:pageBreakBefore w:val="0"/>
        <w:widowControl w:val="0"/>
        <w:kinsoku/>
        <w:wordWrap/>
        <w:overflowPunct/>
        <w:topLinePunct w:val="0"/>
        <w:autoSpaceDE w:val="0"/>
        <w:autoSpaceDN w:val="0"/>
        <w:bidi w:val="0"/>
        <w:adjustRightInd w:val="0"/>
        <w:snapToGrid w:val="0"/>
        <w:spacing w:beforeAutospacing="0" w:afterAutospacing="0" w:line="240" w:lineRule="auto"/>
        <w:ind w:left="0" w:leftChars="0" w:right="0" w:rightChars="0"/>
        <w:jc w:val="center"/>
        <w:textAlignment w:val="auto"/>
        <w:rPr>
          <w:rFonts w:ascii="宋体" w:hAnsi="宋体" w:cs="宋体"/>
          <w:b/>
          <w:color w:val="auto"/>
          <w:spacing w:val="6"/>
          <w:sz w:val="32"/>
          <w:szCs w:val="32"/>
          <w:highlight w:val="none"/>
        </w:rPr>
      </w:pPr>
    </w:p>
    <w:p w14:paraId="18243E2E">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1AE3C158">
      <w:pPr>
        <w:widowControl w:val="0"/>
        <w:kinsoku/>
        <w:wordWrap/>
        <w:overflowPunct/>
        <w:topLinePunct w:val="0"/>
        <w:autoSpaceDE w:val="0"/>
        <w:autoSpaceDN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pacing w:val="6"/>
          <w:sz w:val="32"/>
          <w:szCs w:val="32"/>
          <w:highlight w:val="none"/>
        </w:rPr>
      </w:pPr>
    </w:p>
    <w:p w14:paraId="0BCD06AD">
      <w:pPr>
        <w:widowControl w:val="0"/>
        <w:kinsoku/>
        <w:wordWrap/>
        <w:overflowPunct/>
        <w:topLinePunct w:val="0"/>
        <w:bidi w:val="0"/>
        <w:adjustRightInd w:val="0"/>
        <w:snapToGrid w:val="0"/>
        <w:spacing w:beforeAutospacing="0" w:afterAutospacing="0" w:line="360" w:lineRule="auto"/>
        <w:ind w:left="0" w:leftChars="0" w:right="0" w:rightChars="0"/>
        <w:jc w:val="left"/>
        <w:textAlignment w:val="auto"/>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7FEE901F">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color w:val="auto"/>
          <w:sz w:val="24"/>
          <w:highlight w:val="none"/>
          <w:u w:val="single"/>
        </w:rPr>
      </w:pPr>
    </w:p>
    <w:p w14:paraId="0598A92E">
      <w:pPr>
        <w:widowControl w:val="0"/>
        <w:kinsoku/>
        <w:wordWrap/>
        <w:overflowPunct/>
        <w:topLinePunct w:val="0"/>
        <w:bidi w:val="0"/>
        <w:adjustRightInd w:val="0"/>
        <w:snapToGrid w:val="0"/>
        <w:spacing w:beforeAutospacing="0" w:afterAutospacing="0" w:line="360" w:lineRule="auto"/>
        <w:ind w:left="0" w:leftChars="0" w:right="0" w:rightChars="0"/>
        <w:jc w:val="center"/>
        <w:textAlignment w:val="auto"/>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1E2C94E1">
      <w:pPr>
        <w:widowControl w:val="0"/>
        <w:kinsoku/>
        <w:wordWrap/>
        <w:overflowPunct/>
        <w:topLinePunct w:val="0"/>
        <w:bidi w:val="0"/>
        <w:adjustRightInd w:val="0"/>
        <w:snapToGrid w:val="0"/>
        <w:spacing w:beforeAutospacing="0" w:afterAutospacing="0" w:line="360" w:lineRule="auto"/>
        <w:ind w:left="0" w:leftChars="0" w:right="0" w:rightChars="0" w:firstLine="360" w:firstLineChars="150"/>
        <w:jc w:val="left"/>
        <w:textAlignment w:val="auto"/>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47641F0">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7A6DC356">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3B1EC81C">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w:t>
      </w:r>
    </w:p>
    <w:p w14:paraId="7FC9C3F0">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52818DF0">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0F61A6EE">
      <w:pPr>
        <w:widowControl w:val="0"/>
        <w:kinsoku/>
        <w:wordWrap/>
        <w:overflowPunct/>
        <w:topLinePunct w:val="0"/>
        <w:bidi w:val="0"/>
        <w:adjustRightInd w:val="0"/>
        <w:snapToGrid w:val="0"/>
        <w:spacing w:beforeAutospacing="0" w:afterAutospacing="0" w:line="360" w:lineRule="auto"/>
        <w:ind w:left="0" w:leftChars="0" w:right="0" w:rightChars="0"/>
        <w:jc w:val="right"/>
        <w:textAlignment w:val="auto"/>
        <w:rPr>
          <w:rFonts w:ascii="宋体" w:hAnsi="宋体" w:cs="宋体"/>
          <w:color w:val="auto"/>
          <w:sz w:val="24"/>
          <w:highlight w:val="none"/>
        </w:rPr>
      </w:pPr>
      <w:r>
        <w:rPr>
          <w:rFonts w:hint="eastAsia" w:ascii="宋体" w:hAnsi="宋体" w:cs="宋体"/>
          <w:color w:val="auto"/>
          <w:sz w:val="24"/>
          <w:highlight w:val="none"/>
        </w:rPr>
        <w:t>投标人名称（电子签名）：</w:t>
      </w:r>
    </w:p>
    <w:p w14:paraId="66A4042E">
      <w:pPr>
        <w:widowControl w:val="0"/>
        <w:kinsoku/>
        <w:wordWrap/>
        <w:overflowPunct/>
        <w:topLinePunct w:val="0"/>
        <w:bidi w:val="0"/>
        <w:adjustRightInd w:val="0"/>
        <w:snapToGrid w:val="0"/>
        <w:spacing w:beforeAutospacing="0" w:afterAutospacing="0" w:line="360" w:lineRule="auto"/>
        <w:ind w:left="0" w:leftChars="0" w:right="0" w:rightChars="0" w:firstLine="4680" w:firstLineChars="1950"/>
        <w:textAlignment w:val="auto"/>
        <w:rPr>
          <w:rFonts w:ascii="宋体" w:hAnsi="宋体" w:cs="宋体"/>
          <w:color w:val="auto"/>
          <w:sz w:val="24"/>
          <w:highlight w:val="none"/>
        </w:rPr>
      </w:pPr>
      <w:r>
        <w:rPr>
          <w:rFonts w:hint="eastAsia" w:ascii="宋体" w:hAnsi="宋体" w:cs="宋体"/>
          <w:color w:val="auto"/>
          <w:sz w:val="24"/>
          <w:highlight w:val="none"/>
        </w:rPr>
        <w:t>日 期：</w:t>
      </w:r>
    </w:p>
    <w:p w14:paraId="58628AAD">
      <w:pPr>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2" w:type="first"/>
      <w:footerReference r:id="rId25" w:type="first"/>
      <w:headerReference r:id="rId21" w:type="default"/>
      <w:footerReference r:id="rId23" w:type="default"/>
      <w:footerReference r:id="rId24" w:type="even"/>
      <w:pgSz w:w="11906" w:h="16838"/>
      <w:pgMar w:top="1247" w:right="1247" w:bottom="1247" w:left="1361" w:header="851" w:footer="992" w:gutter="57"/>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Arial"/>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Noto Sans SC"/>
    <w:panose1 w:val="00000000000000000000"/>
    <w:charset w:val="00"/>
    <w:family w:val="roman"/>
    <w:pitch w:val="default"/>
    <w:sig w:usb0="00000000" w:usb1="00000000" w:usb2="00000000" w:usb3="00000000" w:csb0="00040001" w:csb1="00000000"/>
  </w:font>
  <w:font w:name="Noto Sans SC">
    <w:panose1 w:val="020B0500000000000000"/>
    <w:charset w:val="86"/>
    <w:family w:val="auto"/>
    <w:pitch w:val="default"/>
    <w:sig w:usb0="20000083" w:usb1="2ADF3C10" w:usb2="00000016" w:usb3="00000000" w:csb0="60060107"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Noto Sans SC"/>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Arial"/>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Noto Sans SC"/>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swiss"/>
    <w:pitch w:val="default"/>
    <w:sig w:usb0="800001E3" w:usb1="1200FFEF" w:usb2="00040000" w:usb3="04000000" w:csb0="00000001" w:csb1="40000000"/>
  </w:font>
  <w:font w:name="MS Mincho">
    <w:panose1 w:val="02020609040205080304"/>
    <w:charset w:val="80"/>
    <w:family w:val="roman"/>
    <w:pitch w:val="default"/>
    <w:sig w:usb0="A00002BF" w:usb1="68C7FCFB" w:usb2="00000010" w:usb3="00000000" w:csb0="4002009F" w:csb1="DFD70000"/>
  </w:font>
  <w:font w:name="方正小标宋简体">
    <w:altName w:val="Arial Unicode MS"/>
    <w:panose1 w:val="02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BD5B91">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F2CF39">
    <w:pPr>
      <w:pStyle w:val="42"/>
      <w:framePr w:wrap="around" w:vAnchor="text" w:hAnchor="margin" w:xAlign="right" w:y="1"/>
      <w:rPr>
        <w:rStyle w:val="73"/>
      </w:rPr>
    </w:pPr>
    <w:r>
      <w:fldChar w:fldCharType="begin"/>
    </w:r>
    <w:r>
      <w:rPr>
        <w:rStyle w:val="73"/>
      </w:rPr>
      <w:instrText xml:space="preserve">PAGE  </w:instrText>
    </w:r>
    <w:r>
      <w:fldChar w:fldCharType="end"/>
    </w:r>
  </w:p>
  <w:p w14:paraId="0F449DCF">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A89ABA">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75AA80">
    <w:pPr>
      <w:pStyle w:val="4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09A736">
                          <w:pPr>
                            <w:pStyle w:val="4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D09A736">
                    <w:pPr>
                      <w:pStyle w:val="4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7CC65A">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1A6C69E">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78D19A">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C96CCA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9DC4B8">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E1368F1">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A28FE6">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CD809D4">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FCABE1">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B4A6E93">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E9DA1B">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A735565">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3A097">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E4BE3C">
    <w:pPr>
      <w:pStyle w:val="42"/>
      <w:framePr w:wrap="around" w:vAnchor="text" w:hAnchor="margin" w:xAlign="right" w:y="1"/>
      <w:rPr>
        <w:rStyle w:val="73"/>
      </w:rPr>
    </w:pPr>
    <w:r>
      <w:fldChar w:fldCharType="begin"/>
    </w:r>
    <w:r>
      <w:rPr>
        <w:rStyle w:val="73"/>
      </w:rPr>
      <w:instrText xml:space="preserve">PAGE  </w:instrText>
    </w:r>
    <w:r>
      <w:fldChar w:fldCharType="end"/>
    </w:r>
  </w:p>
  <w:p w14:paraId="297EB032">
    <w:pPr>
      <w:pStyle w:val="42"/>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855A03">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01" w:name="_Toc36110187"/>
    <w:bookmarkStart w:id="402" w:name="_Toc91899912"/>
    <w:bookmarkStart w:id="403" w:name="_Toc164085800"/>
    <w:bookmarkStart w:id="404" w:name="_Toc131845147"/>
    <w:r>
      <w:rPr>
        <w:rFonts w:hint="eastAsia" w:ascii="仿宋_GB2312" w:eastAsia="仿宋_GB2312"/>
        <w:kern w:val="0"/>
        <w:szCs w:val="21"/>
      </w:rPr>
      <w:t xml:space="preserve"> 页</w:t>
    </w:r>
    <w:bookmarkEnd w:id="401"/>
    <w:bookmarkEnd w:id="402"/>
    <w:bookmarkEnd w:id="403"/>
    <w:bookmarkEnd w:id="40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6C4C87">
    <w:pPr>
      <w:pStyle w:val="43"/>
      <w:pBdr>
        <w:bottom w:val="single" w:color="auto" w:sz="6" w:space="4"/>
      </w:pBdr>
      <w:jc w:val="right"/>
    </w:pPr>
    <w:r>
      <w:t></w:t>
    </w:r>
    <w:r>
      <w:rPr>
        <w:rFonts w:hint="eastAsia"/>
      </w:rPr>
      <w:t xml:space="preserve">             </w:t>
    </w:r>
    <w:r>
      <w:t>杭州市政府采购公开招标文件</w:t>
    </w:r>
  </w:p>
  <w:p w14:paraId="5ECEBEB8">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C9BF89">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9162D">
    <w:pPr>
      <w:pStyle w:val="43"/>
      <w:rPr>
        <w:rFonts w:ascii="仿宋_GB2312" w:eastAsia="仿宋_GB2312"/>
        <w:b/>
        <w:i/>
        <w:u w:val="single"/>
      </w:rPr>
    </w:pPr>
    <w:r>
      <w:t></w:t>
    </w:r>
    <w:r>
      <w:rPr>
        <w:rFonts w:hint="eastAsia"/>
      </w:rPr>
      <w:t xml:space="preserve">                                                  </w:t>
    </w:r>
    <w:r>
      <w:t xml:space="preserve">             杭州市政府采购公开招标文件</w:t>
    </w:r>
  </w:p>
  <w:p w14:paraId="2CE8D671">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05F57E">
    <w:pPr>
      <w:pStyle w:val="43"/>
    </w:pPr>
    <w:r>
      <w:t></w:t>
    </w:r>
    <w:r>
      <w:rPr>
        <w:rFonts w:hint="eastAsia"/>
      </w:rPr>
      <w:t xml:space="preserve">         </w:t>
    </w:r>
  </w:p>
  <w:p w14:paraId="4CAA02D8">
    <w:pPr>
      <w:pStyle w:val="43"/>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6F231D">
    <w:pPr>
      <w:pStyle w:val="43"/>
      <w:rPr>
        <w:rFonts w:ascii="仿宋_GB2312" w:eastAsia="仿宋_GB2312"/>
        <w:b/>
        <w:i/>
        <w:u w:val="single"/>
      </w:rPr>
    </w:pPr>
    <w:r>
      <w:t></w:t>
    </w:r>
    <w:r>
      <w:rPr>
        <w:rFonts w:hint="eastAsia"/>
      </w:rPr>
      <w:t xml:space="preserve">                                                  </w:t>
    </w:r>
    <w:r>
      <w:t>杭州市政府采购公开招标文件</w:t>
    </w:r>
  </w:p>
  <w:p w14:paraId="45DD69FB">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596F6B">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68924B">
    <w:pPr>
      <w:pStyle w:val="43"/>
      <w:jc w:val="right"/>
      <w:rPr>
        <w:rFonts w:ascii="仿宋_GB2312" w:eastAsia="仿宋_GB2312"/>
        <w:b/>
        <w:i/>
        <w:u w:val="single"/>
      </w:rPr>
    </w:pPr>
    <w:r>
      <w:rPr>
        <w:rFonts w:hint="eastAsia"/>
      </w:rPr>
      <w:t xml:space="preserve">                                  </w:t>
    </w:r>
    <w:r>
      <w:t>杭州市政府采购公开招标文件</w:t>
    </w:r>
  </w:p>
  <w:p w14:paraId="07A5403A">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9B3FD5">
    <w:pPr>
      <w:pStyle w:val="43"/>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F7A38E">
    <w:pPr>
      <w:pStyle w:val="43"/>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91ACE6">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06D63F"/>
    <w:multiLevelType w:val="singleLevel"/>
    <w:tmpl w:val="9906D63F"/>
    <w:lvl w:ilvl="0" w:tentative="0">
      <w:start w:val="27"/>
      <w:numFmt w:val="decimal"/>
      <w:suff w:val="space"/>
      <w:lvlText w:val="%1."/>
      <w:lvlJc w:val="left"/>
    </w:lvl>
  </w:abstractNum>
  <w:abstractNum w:abstractNumId="1">
    <w:nsid w:val="01B10BB0"/>
    <w:multiLevelType w:val="singleLevel"/>
    <w:tmpl w:val="01B10BB0"/>
    <w:lvl w:ilvl="0" w:tentative="0">
      <w:start w:val="1"/>
      <w:numFmt w:val="decimal"/>
      <w:suff w:val="nothing"/>
      <w:lvlText w:val="（%1）"/>
      <w:lvlJc w:val="left"/>
    </w:lvl>
  </w:abstractNum>
  <w:abstractNum w:abstractNumId="2">
    <w:nsid w:val="0C4148B3"/>
    <w:multiLevelType w:val="singleLevel"/>
    <w:tmpl w:val="0C4148B3"/>
    <w:lvl w:ilvl="0" w:tentative="0">
      <w:start w:val="2"/>
      <w:numFmt w:val="decimal"/>
      <w:suff w:val="nothing"/>
      <w:lvlText w:val="（%1）"/>
      <w:lvlJc w:val="left"/>
    </w:lvl>
  </w:abstractNum>
  <w:abstractNum w:abstractNumId="3">
    <w:nsid w:val="41892D21"/>
    <w:multiLevelType w:val="singleLevel"/>
    <w:tmpl w:val="41892D21"/>
    <w:lvl w:ilvl="0" w:tentative="0">
      <w:start w:val="1"/>
      <w:numFmt w:val="decimal"/>
      <w:suff w:val="nothing"/>
      <w:lvlText w:val="（%1）"/>
      <w:lvlJc w:val="left"/>
    </w:lvl>
  </w:abstractNum>
  <w:abstractNum w:abstractNumId="4">
    <w:nsid w:val="7AD0AFCA"/>
    <w:multiLevelType w:val="singleLevel"/>
    <w:tmpl w:val="7AD0AFCA"/>
    <w:lvl w:ilvl="0" w:tentative="0">
      <w:start w:val="3"/>
      <w:numFmt w:val="chineseCounting"/>
      <w:suff w:val="space"/>
      <w:lvlText w:val="第%1部分"/>
      <w:lvlJc w:val="left"/>
      <w:rPr>
        <w:rFonts w:hint="eastAsia"/>
      </w:rPr>
    </w:lvl>
  </w:abstractNum>
  <w:num w:numId="1">
    <w:abstractNumId w:val="0"/>
  </w:num>
  <w:num w:numId="2">
    <w:abstractNumId w:val="4"/>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6AEF"/>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1F"/>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16D"/>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94C"/>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16"/>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470B"/>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1ED"/>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05A"/>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EF7950"/>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CDF"/>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65E"/>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B6997"/>
    <w:rsid w:val="011F6449"/>
    <w:rsid w:val="01213882"/>
    <w:rsid w:val="01236AFB"/>
    <w:rsid w:val="015B3238"/>
    <w:rsid w:val="015E6884"/>
    <w:rsid w:val="016A347B"/>
    <w:rsid w:val="01710365"/>
    <w:rsid w:val="0176597C"/>
    <w:rsid w:val="019F7441"/>
    <w:rsid w:val="01A93FA3"/>
    <w:rsid w:val="01B37585"/>
    <w:rsid w:val="01D55165"/>
    <w:rsid w:val="01DF6BF8"/>
    <w:rsid w:val="01EA636A"/>
    <w:rsid w:val="01EC2C57"/>
    <w:rsid w:val="025F0711"/>
    <w:rsid w:val="026B2E25"/>
    <w:rsid w:val="02824D4D"/>
    <w:rsid w:val="028279CD"/>
    <w:rsid w:val="02DC4B10"/>
    <w:rsid w:val="02DD76CE"/>
    <w:rsid w:val="02EF1E8A"/>
    <w:rsid w:val="02F36323"/>
    <w:rsid w:val="02F5619C"/>
    <w:rsid w:val="0326446A"/>
    <w:rsid w:val="032D5555"/>
    <w:rsid w:val="03522419"/>
    <w:rsid w:val="036634D2"/>
    <w:rsid w:val="037B196F"/>
    <w:rsid w:val="039B5B6E"/>
    <w:rsid w:val="03A34A22"/>
    <w:rsid w:val="03AA7B5F"/>
    <w:rsid w:val="03C07382"/>
    <w:rsid w:val="03D41080"/>
    <w:rsid w:val="03DD35E4"/>
    <w:rsid w:val="03E72B61"/>
    <w:rsid w:val="03EC0177"/>
    <w:rsid w:val="04043713"/>
    <w:rsid w:val="04076900"/>
    <w:rsid w:val="041A5A3B"/>
    <w:rsid w:val="042311BA"/>
    <w:rsid w:val="04267B2D"/>
    <w:rsid w:val="042B157A"/>
    <w:rsid w:val="043A35D9"/>
    <w:rsid w:val="0458580D"/>
    <w:rsid w:val="045F303F"/>
    <w:rsid w:val="048F763B"/>
    <w:rsid w:val="049525BD"/>
    <w:rsid w:val="049F330E"/>
    <w:rsid w:val="04A942BA"/>
    <w:rsid w:val="04AA775C"/>
    <w:rsid w:val="04AF1889"/>
    <w:rsid w:val="04C335CE"/>
    <w:rsid w:val="04F66F48"/>
    <w:rsid w:val="04F76DD4"/>
    <w:rsid w:val="05104339"/>
    <w:rsid w:val="05251E14"/>
    <w:rsid w:val="052676B9"/>
    <w:rsid w:val="05351CA6"/>
    <w:rsid w:val="053B6C38"/>
    <w:rsid w:val="05404C1F"/>
    <w:rsid w:val="05681A7F"/>
    <w:rsid w:val="05917228"/>
    <w:rsid w:val="059D3E1F"/>
    <w:rsid w:val="05A16594"/>
    <w:rsid w:val="05A7762D"/>
    <w:rsid w:val="05AF5900"/>
    <w:rsid w:val="05DC421B"/>
    <w:rsid w:val="05EF03F3"/>
    <w:rsid w:val="05F94DCD"/>
    <w:rsid w:val="060E5941"/>
    <w:rsid w:val="06110FAF"/>
    <w:rsid w:val="062E0F1B"/>
    <w:rsid w:val="06493CA7"/>
    <w:rsid w:val="065A6178"/>
    <w:rsid w:val="066F1CF3"/>
    <w:rsid w:val="067B57E2"/>
    <w:rsid w:val="06856661"/>
    <w:rsid w:val="06930BB8"/>
    <w:rsid w:val="06B238FA"/>
    <w:rsid w:val="06BA6159"/>
    <w:rsid w:val="06C83F36"/>
    <w:rsid w:val="06CE0008"/>
    <w:rsid w:val="06EB2968"/>
    <w:rsid w:val="06F832D7"/>
    <w:rsid w:val="07053AED"/>
    <w:rsid w:val="07245D42"/>
    <w:rsid w:val="07264C62"/>
    <w:rsid w:val="07660BE9"/>
    <w:rsid w:val="076A17A5"/>
    <w:rsid w:val="076D5A73"/>
    <w:rsid w:val="0779354C"/>
    <w:rsid w:val="07984613"/>
    <w:rsid w:val="07C02047"/>
    <w:rsid w:val="08061376"/>
    <w:rsid w:val="08071A24"/>
    <w:rsid w:val="08122176"/>
    <w:rsid w:val="08183C31"/>
    <w:rsid w:val="08452D77"/>
    <w:rsid w:val="08602EE2"/>
    <w:rsid w:val="086401F8"/>
    <w:rsid w:val="08730E67"/>
    <w:rsid w:val="08751CAA"/>
    <w:rsid w:val="0878647D"/>
    <w:rsid w:val="087E4C40"/>
    <w:rsid w:val="089D4136"/>
    <w:rsid w:val="08A871D0"/>
    <w:rsid w:val="08D66AD6"/>
    <w:rsid w:val="08DA33A3"/>
    <w:rsid w:val="08E80F13"/>
    <w:rsid w:val="091B505B"/>
    <w:rsid w:val="092E3A4F"/>
    <w:rsid w:val="09335624"/>
    <w:rsid w:val="0944690F"/>
    <w:rsid w:val="094D16B8"/>
    <w:rsid w:val="09535675"/>
    <w:rsid w:val="095F057D"/>
    <w:rsid w:val="09642282"/>
    <w:rsid w:val="09733572"/>
    <w:rsid w:val="09772C16"/>
    <w:rsid w:val="098353B5"/>
    <w:rsid w:val="09A92330"/>
    <w:rsid w:val="09B06B87"/>
    <w:rsid w:val="09C13146"/>
    <w:rsid w:val="09CF4F0F"/>
    <w:rsid w:val="09CF6571"/>
    <w:rsid w:val="09D75426"/>
    <w:rsid w:val="09E04166"/>
    <w:rsid w:val="09E3201C"/>
    <w:rsid w:val="09E55D95"/>
    <w:rsid w:val="09EB0ED1"/>
    <w:rsid w:val="0A1B2824"/>
    <w:rsid w:val="0A1C0718"/>
    <w:rsid w:val="0A2C751F"/>
    <w:rsid w:val="0A2F0DBE"/>
    <w:rsid w:val="0A3E7710"/>
    <w:rsid w:val="0A4E70E3"/>
    <w:rsid w:val="0A5B7E63"/>
    <w:rsid w:val="0A650C83"/>
    <w:rsid w:val="0A7F7F97"/>
    <w:rsid w:val="0A83110A"/>
    <w:rsid w:val="0A8A2498"/>
    <w:rsid w:val="0A92134D"/>
    <w:rsid w:val="0A9B46A5"/>
    <w:rsid w:val="0AA374A5"/>
    <w:rsid w:val="0AA479FE"/>
    <w:rsid w:val="0AAB7649"/>
    <w:rsid w:val="0ABC5606"/>
    <w:rsid w:val="0AC534D0"/>
    <w:rsid w:val="0B1E65D4"/>
    <w:rsid w:val="0B30404E"/>
    <w:rsid w:val="0B316DB7"/>
    <w:rsid w:val="0B3568A8"/>
    <w:rsid w:val="0B4C6C14"/>
    <w:rsid w:val="0B534F80"/>
    <w:rsid w:val="0B547599"/>
    <w:rsid w:val="0B631A88"/>
    <w:rsid w:val="0B683D45"/>
    <w:rsid w:val="0B6D5629"/>
    <w:rsid w:val="0B7F3F11"/>
    <w:rsid w:val="0B884417"/>
    <w:rsid w:val="0BF6188C"/>
    <w:rsid w:val="0BF73C91"/>
    <w:rsid w:val="0C170175"/>
    <w:rsid w:val="0C4548C9"/>
    <w:rsid w:val="0C571A41"/>
    <w:rsid w:val="0C5C1171"/>
    <w:rsid w:val="0C5E1CBC"/>
    <w:rsid w:val="0C615B50"/>
    <w:rsid w:val="0C646AFE"/>
    <w:rsid w:val="0C803B53"/>
    <w:rsid w:val="0C8445DA"/>
    <w:rsid w:val="0C87121B"/>
    <w:rsid w:val="0C9615C8"/>
    <w:rsid w:val="0CC007F7"/>
    <w:rsid w:val="0CC617AC"/>
    <w:rsid w:val="0CD45C4C"/>
    <w:rsid w:val="0CE02843"/>
    <w:rsid w:val="0CE265BB"/>
    <w:rsid w:val="0CE618DF"/>
    <w:rsid w:val="0CFB142B"/>
    <w:rsid w:val="0CFE707A"/>
    <w:rsid w:val="0D063BDA"/>
    <w:rsid w:val="0D08375F"/>
    <w:rsid w:val="0D0F0D92"/>
    <w:rsid w:val="0D132C19"/>
    <w:rsid w:val="0D184CFB"/>
    <w:rsid w:val="0D1F15BD"/>
    <w:rsid w:val="0D3F756A"/>
    <w:rsid w:val="0D4A7419"/>
    <w:rsid w:val="0D532C44"/>
    <w:rsid w:val="0D5374B9"/>
    <w:rsid w:val="0D827401"/>
    <w:rsid w:val="0D84094E"/>
    <w:rsid w:val="0D8A00E9"/>
    <w:rsid w:val="0D8D589E"/>
    <w:rsid w:val="0DA01C73"/>
    <w:rsid w:val="0DD201F4"/>
    <w:rsid w:val="0DD63300"/>
    <w:rsid w:val="0DD71E98"/>
    <w:rsid w:val="0DF50604"/>
    <w:rsid w:val="0DF702FE"/>
    <w:rsid w:val="0DFE7425"/>
    <w:rsid w:val="0E060E51"/>
    <w:rsid w:val="0E1B7FD7"/>
    <w:rsid w:val="0E3015A8"/>
    <w:rsid w:val="0E4768C0"/>
    <w:rsid w:val="0E5604B2"/>
    <w:rsid w:val="0E6D5D79"/>
    <w:rsid w:val="0E772D33"/>
    <w:rsid w:val="0E7B0A75"/>
    <w:rsid w:val="0E990EFC"/>
    <w:rsid w:val="0E9D0089"/>
    <w:rsid w:val="0E9F2877"/>
    <w:rsid w:val="0EA37FCC"/>
    <w:rsid w:val="0EB803EE"/>
    <w:rsid w:val="0EBE0962"/>
    <w:rsid w:val="0ED308B1"/>
    <w:rsid w:val="0EF808FE"/>
    <w:rsid w:val="0EF94D4B"/>
    <w:rsid w:val="0EFD592E"/>
    <w:rsid w:val="0F052A35"/>
    <w:rsid w:val="0F07055B"/>
    <w:rsid w:val="0F0E18EA"/>
    <w:rsid w:val="0F4958DC"/>
    <w:rsid w:val="0F515DF7"/>
    <w:rsid w:val="0F596BA8"/>
    <w:rsid w:val="0F6248D2"/>
    <w:rsid w:val="0F693536"/>
    <w:rsid w:val="0F7B0511"/>
    <w:rsid w:val="0F7B76D9"/>
    <w:rsid w:val="0F816ACD"/>
    <w:rsid w:val="0F8B1A2C"/>
    <w:rsid w:val="0F9832DB"/>
    <w:rsid w:val="0FA062BA"/>
    <w:rsid w:val="0FBF3FD2"/>
    <w:rsid w:val="0FBF4992"/>
    <w:rsid w:val="0FBF7FF3"/>
    <w:rsid w:val="10044A9B"/>
    <w:rsid w:val="1008458B"/>
    <w:rsid w:val="101D790A"/>
    <w:rsid w:val="10284C2D"/>
    <w:rsid w:val="10646583"/>
    <w:rsid w:val="10795489"/>
    <w:rsid w:val="107D4B15"/>
    <w:rsid w:val="108654B0"/>
    <w:rsid w:val="108A3C80"/>
    <w:rsid w:val="10A17382"/>
    <w:rsid w:val="10A4638E"/>
    <w:rsid w:val="10BE4C49"/>
    <w:rsid w:val="10C26171"/>
    <w:rsid w:val="10E70644"/>
    <w:rsid w:val="10F33360"/>
    <w:rsid w:val="10FB5E9E"/>
    <w:rsid w:val="10FC16EA"/>
    <w:rsid w:val="110F1D40"/>
    <w:rsid w:val="11266F33"/>
    <w:rsid w:val="116A4DD1"/>
    <w:rsid w:val="118963A1"/>
    <w:rsid w:val="11951E4E"/>
    <w:rsid w:val="11A622AD"/>
    <w:rsid w:val="11C42733"/>
    <w:rsid w:val="11C6522A"/>
    <w:rsid w:val="11C95F9C"/>
    <w:rsid w:val="11D0732A"/>
    <w:rsid w:val="11DB33B7"/>
    <w:rsid w:val="11E104CC"/>
    <w:rsid w:val="11E20309"/>
    <w:rsid w:val="11EE155E"/>
    <w:rsid w:val="120945EA"/>
    <w:rsid w:val="12215701"/>
    <w:rsid w:val="12255233"/>
    <w:rsid w:val="12285EDF"/>
    <w:rsid w:val="12372F05"/>
    <w:rsid w:val="123E24E6"/>
    <w:rsid w:val="12530213"/>
    <w:rsid w:val="12555A81"/>
    <w:rsid w:val="127723A9"/>
    <w:rsid w:val="12862074"/>
    <w:rsid w:val="128679E9"/>
    <w:rsid w:val="12883966"/>
    <w:rsid w:val="129E45B4"/>
    <w:rsid w:val="12D81596"/>
    <w:rsid w:val="12F8205D"/>
    <w:rsid w:val="12FD628C"/>
    <w:rsid w:val="13072A44"/>
    <w:rsid w:val="13113756"/>
    <w:rsid w:val="135F4BE2"/>
    <w:rsid w:val="136E0BA9"/>
    <w:rsid w:val="13702B73"/>
    <w:rsid w:val="137141F5"/>
    <w:rsid w:val="139B1A0A"/>
    <w:rsid w:val="139D25C7"/>
    <w:rsid w:val="13AE71F7"/>
    <w:rsid w:val="13BF3CE4"/>
    <w:rsid w:val="13BF7656"/>
    <w:rsid w:val="13CE750E"/>
    <w:rsid w:val="13DA623E"/>
    <w:rsid w:val="13E42C19"/>
    <w:rsid w:val="13F76DF0"/>
    <w:rsid w:val="14027543"/>
    <w:rsid w:val="141008D8"/>
    <w:rsid w:val="14125FE6"/>
    <w:rsid w:val="14223741"/>
    <w:rsid w:val="145E2AD3"/>
    <w:rsid w:val="14691370"/>
    <w:rsid w:val="146D271E"/>
    <w:rsid w:val="14982588"/>
    <w:rsid w:val="149A5AD9"/>
    <w:rsid w:val="149E54BE"/>
    <w:rsid w:val="14A7619D"/>
    <w:rsid w:val="14B20F69"/>
    <w:rsid w:val="14BC3B96"/>
    <w:rsid w:val="14DB226E"/>
    <w:rsid w:val="14DE3B0C"/>
    <w:rsid w:val="150536C3"/>
    <w:rsid w:val="150C1963"/>
    <w:rsid w:val="151447A0"/>
    <w:rsid w:val="1517701E"/>
    <w:rsid w:val="151E65FF"/>
    <w:rsid w:val="15273705"/>
    <w:rsid w:val="153C6A85"/>
    <w:rsid w:val="154A6454"/>
    <w:rsid w:val="154F67B8"/>
    <w:rsid w:val="1568787A"/>
    <w:rsid w:val="15762120"/>
    <w:rsid w:val="157B75AD"/>
    <w:rsid w:val="15997A33"/>
    <w:rsid w:val="159E329B"/>
    <w:rsid w:val="15AB60E4"/>
    <w:rsid w:val="15C70A44"/>
    <w:rsid w:val="15F1161D"/>
    <w:rsid w:val="16113A6D"/>
    <w:rsid w:val="16797F90"/>
    <w:rsid w:val="16A8729C"/>
    <w:rsid w:val="16B0772A"/>
    <w:rsid w:val="16B33777"/>
    <w:rsid w:val="16BC70A7"/>
    <w:rsid w:val="16C6339E"/>
    <w:rsid w:val="16DF591A"/>
    <w:rsid w:val="16ED6288"/>
    <w:rsid w:val="16F6268C"/>
    <w:rsid w:val="17127177"/>
    <w:rsid w:val="17173305"/>
    <w:rsid w:val="172F2D79"/>
    <w:rsid w:val="173B5475"/>
    <w:rsid w:val="17557BEF"/>
    <w:rsid w:val="17A32DEB"/>
    <w:rsid w:val="17D349C1"/>
    <w:rsid w:val="18131D1F"/>
    <w:rsid w:val="182932F0"/>
    <w:rsid w:val="1830729E"/>
    <w:rsid w:val="1870062C"/>
    <w:rsid w:val="18817102"/>
    <w:rsid w:val="18830A15"/>
    <w:rsid w:val="18852B28"/>
    <w:rsid w:val="188B5321"/>
    <w:rsid w:val="18934C0E"/>
    <w:rsid w:val="18B43502"/>
    <w:rsid w:val="18F338FE"/>
    <w:rsid w:val="190F698A"/>
    <w:rsid w:val="19263CD4"/>
    <w:rsid w:val="194F4FD8"/>
    <w:rsid w:val="19575C3B"/>
    <w:rsid w:val="195F2D42"/>
    <w:rsid w:val="19614D0C"/>
    <w:rsid w:val="196640D0"/>
    <w:rsid w:val="19923117"/>
    <w:rsid w:val="19932372"/>
    <w:rsid w:val="19A20DD5"/>
    <w:rsid w:val="19AE03F1"/>
    <w:rsid w:val="19C71013"/>
    <w:rsid w:val="19CA0B03"/>
    <w:rsid w:val="19E35721"/>
    <w:rsid w:val="1A071A03"/>
    <w:rsid w:val="1A0F29BA"/>
    <w:rsid w:val="1A1F16AE"/>
    <w:rsid w:val="1A3B5C77"/>
    <w:rsid w:val="1A607EA5"/>
    <w:rsid w:val="1A984BAD"/>
    <w:rsid w:val="1AB8220E"/>
    <w:rsid w:val="1AD5150D"/>
    <w:rsid w:val="1AE4166C"/>
    <w:rsid w:val="1AF06CFB"/>
    <w:rsid w:val="1AF11B8D"/>
    <w:rsid w:val="1B11359C"/>
    <w:rsid w:val="1B122762"/>
    <w:rsid w:val="1B140288"/>
    <w:rsid w:val="1B261D69"/>
    <w:rsid w:val="1B2A271F"/>
    <w:rsid w:val="1B3A75C2"/>
    <w:rsid w:val="1B530544"/>
    <w:rsid w:val="1B634D6B"/>
    <w:rsid w:val="1B713184"/>
    <w:rsid w:val="1B8A054A"/>
    <w:rsid w:val="1BA209CF"/>
    <w:rsid w:val="1BA57132"/>
    <w:rsid w:val="1BB4777D"/>
    <w:rsid w:val="1BD75AB8"/>
    <w:rsid w:val="1C0459C2"/>
    <w:rsid w:val="1C0E117B"/>
    <w:rsid w:val="1C1918CE"/>
    <w:rsid w:val="1C1B3B4A"/>
    <w:rsid w:val="1C2838BF"/>
    <w:rsid w:val="1C33473D"/>
    <w:rsid w:val="1C4050AC"/>
    <w:rsid w:val="1C8431EB"/>
    <w:rsid w:val="1C88086E"/>
    <w:rsid w:val="1C890801"/>
    <w:rsid w:val="1CD777BF"/>
    <w:rsid w:val="1D0B1216"/>
    <w:rsid w:val="1D0E51AB"/>
    <w:rsid w:val="1D266CE1"/>
    <w:rsid w:val="1D2E13A9"/>
    <w:rsid w:val="1D3963AF"/>
    <w:rsid w:val="1D6A673C"/>
    <w:rsid w:val="1D9247AE"/>
    <w:rsid w:val="1DA33B45"/>
    <w:rsid w:val="1DB567EC"/>
    <w:rsid w:val="1DC6338F"/>
    <w:rsid w:val="1DC67833"/>
    <w:rsid w:val="1DD5022C"/>
    <w:rsid w:val="1DDC7057"/>
    <w:rsid w:val="1DF3687A"/>
    <w:rsid w:val="1DF51A98"/>
    <w:rsid w:val="1E2C09AB"/>
    <w:rsid w:val="1E302622"/>
    <w:rsid w:val="1E3C0752"/>
    <w:rsid w:val="1E3D060F"/>
    <w:rsid w:val="1E3F7D2E"/>
    <w:rsid w:val="1E4134E4"/>
    <w:rsid w:val="1E5062B3"/>
    <w:rsid w:val="1E523514"/>
    <w:rsid w:val="1E714A66"/>
    <w:rsid w:val="1E7828DC"/>
    <w:rsid w:val="1E802593"/>
    <w:rsid w:val="1E8B6156"/>
    <w:rsid w:val="1EA703CC"/>
    <w:rsid w:val="1EB7330C"/>
    <w:rsid w:val="1EC45B21"/>
    <w:rsid w:val="1EDD4E34"/>
    <w:rsid w:val="1F0A0FF3"/>
    <w:rsid w:val="1F2D7B6A"/>
    <w:rsid w:val="1F422EEA"/>
    <w:rsid w:val="1F4924CA"/>
    <w:rsid w:val="1F52137F"/>
    <w:rsid w:val="1F536EA5"/>
    <w:rsid w:val="1F5771FF"/>
    <w:rsid w:val="1FB65DB1"/>
    <w:rsid w:val="1FD52DD5"/>
    <w:rsid w:val="1FDA1374"/>
    <w:rsid w:val="1FE868A9"/>
    <w:rsid w:val="20034907"/>
    <w:rsid w:val="20173E4B"/>
    <w:rsid w:val="204E48BC"/>
    <w:rsid w:val="208921B3"/>
    <w:rsid w:val="20973DEB"/>
    <w:rsid w:val="20B26522"/>
    <w:rsid w:val="20B44310"/>
    <w:rsid w:val="210E39CB"/>
    <w:rsid w:val="211116EB"/>
    <w:rsid w:val="211865F8"/>
    <w:rsid w:val="215C4736"/>
    <w:rsid w:val="216133FC"/>
    <w:rsid w:val="21B26104"/>
    <w:rsid w:val="21BF4CC5"/>
    <w:rsid w:val="21D3411B"/>
    <w:rsid w:val="21D56769"/>
    <w:rsid w:val="21E52EF3"/>
    <w:rsid w:val="21FB5D7B"/>
    <w:rsid w:val="22015E94"/>
    <w:rsid w:val="220B1C3D"/>
    <w:rsid w:val="221D1D20"/>
    <w:rsid w:val="22334A87"/>
    <w:rsid w:val="22456F79"/>
    <w:rsid w:val="22484CBB"/>
    <w:rsid w:val="224C47AB"/>
    <w:rsid w:val="22682C67"/>
    <w:rsid w:val="226D06CE"/>
    <w:rsid w:val="226E2973"/>
    <w:rsid w:val="226F3FF6"/>
    <w:rsid w:val="22B97967"/>
    <w:rsid w:val="22BE6801"/>
    <w:rsid w:val="23166B67"/>
    <w:rsid w:val="231D6147"/>
    <w:rsid w:val="232B1946"/>
    <w:rsid w:val="233500BF"/>
    <w:rsid w:val="23377FF7"/>
    <w:rsid w:val="234C4337"/>
    <w:rsid w:val="236B425F"/>
    <w:rsid w:val="237815D0"/>
    <w:rsid w:val="23810484"/>
    <w:rsid w:val="23836192"/>
    <w:rsid w:val="23901F29"/>
    <w:rsid w:val="239A7798"/>
    <w:rsid w:val="239C0061"/>
    <w:rsid w:val="23B56380"/>
    <w:rsid w:val="23B908A4"/>
    <w:rsid w:val="23C640E9"/>
    <w:rsid w:val="23E95BEF"/>
    <w:rsid w:val="23FD0064"/>
    <w:rsid w:val="241237D2"/>
    <w:rsid w:val="2426102C"/>
    <w:rsid w:val="245375B0"/>
    <w:rsid w:val="24642C0A"/>
    <w:rsid w:val="246D6C5B"/>
    <w:rsid w:val="24857B00"/>
    <w:rsid w:val="24912949"/>
    <w:rsid w:val="24B22173"/>
    <w:rsid w:val="24B95AD9"/>
    <w:rsid w:val="24BE24DA"/>
    <w:rsid w:val="24C7636B"/>
    <w:rsid w:val="24C820E3"/>
    <w:rsid w:val="24CF5825"/>
    <w:rsid w:val="24CF6FCD"/>
    <w:rsid w:val="24D663E6"/>
    <w:rsid w:val="24D77F2B"/>
    <w:rsid w:val="24EC7B7F"/>
    <w:rsid w:val="250D05B7"/>
    <w:rsid w:val="253B0B07"/>
    <w:rsid w:val="2547125A"/>
    <w:rsid w:val="256736AA"/>
    <w:rsid w:val="258778A8"/>
    <w:rsid w:val="258B00E2"/>
    <w:rsid w:val="259124D5"/>
    <w:rsid w:val="25A917A6"/>
    <w:rsid w:val="25BE27CC"/>
    <w:rsid w:val="25BE7A27"/>
    <w:rsid w:val="25C97EC1"/>
    <w:rsid w:val="25E46AA9"/>
    <w:rsid w:val="25F25669"/>
    <w:rsid w:val="25F74A5C"/>
    <w:rsid w:val="260F6C7E"/>
    <w:rsid w:val="26117D22"/>
    <w:rsid w:val="26233A75"/>
    <w:rsid w:val="2628662C"/>
    <w:rsid w:val="262D45DE"/>
    <w:rsid w:val="26655E3B"/>
    <w:rsid w:val="26753BA5"/>
    <w:rsid w:val="26760048"/>
    <w:rsid w:val="26871DC8"/>
    <w:rsid w:val="26A53EF9"/>
    <w:rsid w:val="26A94201"/>
    <w:rsid w:val="26AC274F"/>
    <w:rsid w:val="26B50445"/>
    <w:rsid w:val="26F947D6"/>
    <w:rsid w:val="27007912"/>
    <w:rsid w:val="27044A29"/>
    <w:rsid w:val="27165388"/>
    <w:rsid w:val="271D34C8"/>
    <w:rsid w:val="272F6449"/>
    <w:rsid w:val="276142BF"/>
    <w:rsid w:val="27783712"/>
    <w:rsid w:val="27826579"/>
    <w:rsid w:val="27907362"/>
    <w:rsid w:val="27914A0E"/>
    <w:rsid w:val="27A72484"/>
    <w:rsid w:val="27D25752"/>
    <w:rsid w:val="27F37477"/>
    <w:rsid w:val="28137B19"/>
    <w:rsid w:val="28333E1D"/>
    <w:rsid w:val="28454BD6"/>
    <w:rsid w:val="28455253"/>
    <w:rsid w:val="284952E9"/>
    <w:rsid w:val="28551971"/>
    <w:rsid w:val="285B1C53"/>
    <w:rsid w:val="286D7229"/>
    <w:rsid w:val="28942A08"/>
    <w:rsid w:val="289F7086"/>
    <w:rsid w:val="28AD1D1C"/>
    <w:rsid w:val="28C32028"/>
    <w:rsid w:val="28C50E13"/>
    <w:rsid w:val="28CC490F"/>
    <w:rsid w:val="28DE40AA"/>
    <w:rsid w:val="28E76FDC"/>
    <w:rsid w:val="29345E77"/>
    <w:rsid w:val="294C65AD"/>
    <w:rsid w:val="29606D8E"/>
    <w:rsid w:val="29806583"/>
    <w:rsid w:val="298B3C4C"/>
    <w:rsid w:val="29954C89"/>
    <w:rsid w:val="29A46C7B"/>
    <w:rsid w:val="29E9432E"/>
    <w:rsid w:val="29F26D24"/>
    <w:rsid w:val="29F319B0"/>
    <w:rsid w:val="2A15033F"/>
    <w:rsid w:val="2A1662C1"/>
    <w:rsid w:val="2A1C7367"/>
    <w:rsid w:val="2A2815FA"/>
    <w:rsid w:val="2A6D6092"/>
    <w:rsid w:val="2A7D76B4"/>
    <w:rsid w:val="2A8A2314"/>
    <w:rsid w:val="2A900FAD"/>
    <w:rsid w:val="2A924D25"/>
    <w:rsid w:val="2AA1140C"/>
    <w:rsid w:val="2AB96756"/>
    <w:rsid w:val="2ABA427C"/>
    <w:rsid w:val="2ACD0453"/>
    <w:rsid w:val="2AEF3F25"/>
    <w:rsid w:val="2AFE685E"/>
    <w:rsid w:val="2B0B2D29"/>
    <w:rsid w:val="2B0D0850"/>
    <w:rsid w:val="2B3202B6"/>
    <w:rsid w:val="2B437463"/>
    <w:rsid w:val="2B4A5600"/>
    <w:rsid w:val="2B7807EE"/>
    <w:rsid w:val="2B916B5A"/>
    <w:rsid w:val="2BA50BF7"/>
    <w:rsid w:val="2BBF00EC"/>
    <w:rsid w:val="2BC37CFD"/>
    <w:rsid w:val="2BC5112A"/>
    <w:rsid w:val="2BD5237F"/>
    <w:rsid w:val="2BE536CE"/>
    <w:rsid w:val="2BE758D9"/>
    <w:rsid w:val="2C09049E"/>
    <w:rsid w:val="2C0A653C"/>
    <w:rsid w:val="2C0C4FAB"/>
    <w:rsid w:val="2C191F85"/>
    <w:rsid w:val="2C33078A"/>
    <w:rsid w:val="2C365B84"/>
    <w:rsid w:val="2C5F332D"/>
    <w:rsid w:val="2C6941AB"/>
    <w:rsid w:val="2C827C90"/>
    <w:rsid w:val="2C864D5D"/>
    <w:rsid w:val="2CD258AD"/>
    <w:rsid w:val="2CE82D6F"/>
    <w:rsid w:val="2CFC0B7C"/>
    <w:rsid w:val="2D087520"/>
    <w:rsid w:val="2D12039F"/>
    <w:rsid w:val="2D343236"/>
    <w:rsid w:val="2D4303A7"/>
    <w:rsid w:val="2D8A43D9"/>
    <w:rsid w:val="2DAA05D8"/>
    <w:rsid w:val="2DD15014"/>
    <w:rsid w:val="2DDD09AD"/>
    <w:rsid w:val="2DE735DA"/>
    <w:rsid w:val="2DE955A4"/>
    <w:rsid w:val="2DF67CC1"/>
    <w:rsid w:val="2DF72DE4"/>
    <w:rsid w:val="2E0220AF"/>
    <w:rsid w:val="2E0E6DB8"/>
    <w:rsid w:val="2E156399"/>
    <w:rsid w:val="2E4B082A"/>
    <w:rsid w:val="2E530C6F"/>
    <w:rsid w:val="2E5D4E86"/>
    <w:rsid w:val="2E5D790B"/>
    <w:rsid w:val="2E644C2A"/>
    <w:rsid w:val="2E6E34C0"/>
    <w:rsid w:val="2E6E74F1"/>
    <w:rsid w:val="2E9A3C18"/>
    <w:rsid w:val="2EA72D69"/>
    <w:rsid w:val="2EB55486"/>
    <w:rsid w:val="2EBB0FEE"/>
    <w:rsid w:val="2EC63002"/>
    <w:rsid w:val="2ED022C0"/>
    <w:rsid w:val="2EDD7714"/>
    <w:rsid w:val="2F0A6B38"/>
    <w:rsid w:val="2F740E9D"/>
    <w:rsid w:val="2F946CCB"/>
    <w:rsid w:val="2FC736C3"/>
    <w:rsid w:val="2FD25781"/>
    <w:rsid w:val="2FDC745C"/>
    <w:rsid w:val="2FFD7934"/>
    <w:rsid w:val="301601A6"/>
    <w:rsid w:val="3049232A"/>
    <w:rsid w:val="30590093"/>
    <w:rsid w:val="306727B0"/>
    <w:rsid w:val="30733ACD"/>
    <w:rsid w:val="307373A7"/>
    <w:rsid w:val="3078676B"/>
    <w:rsid w:val="308C3862"/>
    <w:rsid w:val="309061AB"/>
    <w:rsid w:val="309379D8"/>
    <w:rsid w:val="30986D57"/>
    <w:rsid w:val="30A05458"/>
    <w:rsid w:val="30A270F7"/>
    <w:rsid w:val="30B33C47"/>
    <w:rsid w:val="30CB0F91"/>
    <w:rsid w:val="30CB71E3"/>
    <w:rsid w:val="30D836AE"/>
    <w:rsid w:val="30DD2A72"/>
    <w:rsid w:val="30DF1478"/>
    <w:rsid w:val="30EC586F"/>
    <w:rsid w:val="310402C4"/>
    <w:rsid w:val="3138414C"/>
    <w:rsid w:val="314550B7"/>
    <w:rsid w:val="3152520E"/>
    <w:rsid w:val="31927D00"/>
    <w:rsid w:val="319C6071"/>
    <w:rsid w:val="31A67308"/>
    <w:rsid w:val="31AC537E"/>
    <w:rsid w:val="31B031DE"/>
    <w:rsid w:val="31E3679B"/>
    <w:rsid w:val="31E732FD"/>
    <w:rsid w:val="322C4124"/>
    <w:rsid w:val="32333292"/>
    <w:rsid w:val="32495C16"/>
    <w:rsid w:val="32517576"/>
    <w:rsid w:val="3276317E"/>
    <w:rsid w:val="32764F2C"/>
    <w:rsid w:val="3287538B"/>
    <w:rsid w:val="32935ADE"/>
    <w:rsid w:val="32A970B0"/>
    <w:rsid w:val="32B141B6"/>
    <w:rsid w:val="32BE5C2C"/>
    <w:rsid w:val="32E2209E"/>
    <w:rsid w:val="32F347CF"/>
    <w:rsid w:val="32F742BF"/>
    <w:rsid w:val="32F83B93"/>
    <w:rsid w:val="32FA3DAF"/>
    <w:rsid w:val="32FB6478"/>
    <w:rsid w:val="32FF13C6"/>
    <w:rsid w:val="33263B3F"/>
    <w:rsid w:val="332826CA"/>
    <w:rsid w:val="33490893"/>
    <w:rsid w:val="336963EB"/>
    <w:rsid w:val="33816EEB"/>
    <w:rsid w:val="339E473B"/>
    <w:rsid w:val="33E505BB"/>
    <w:rsid w:val="33EB55CD"/>
    <w:rsid w:val="33EC4C02"/>
    <w:rsid w:val="33ED7470"/>
    <w:rsid w:val="340D2360"/>
    <w:rsid w:val="3410665D"/>
    <w:rsid w:val="34117602"/>
    <w:rsid w:val="34211214"/>
    <w:rsid w:val="34266DEB"/>
    <w:rsid w:val="342E63AB"/>
    <w:rsid w:val="347D6A46"/>
    <w:rsid w:val="34950E68"/>
    <w:rsid w:val="34986E94"/>
    <w:rsid w:val="349B511E"/>
    <w:rsid w:val="34A246FE"/>
    <w:rsid w:val="34A42225"/>
    <w:rsid w:val="34A9783B"/>
    <w:rsid w:val="34AF62C9"/>
    <w:rsid w:val="34C401D1"/>
    <w:rsid w:val="34CB4388"/>
    <w:rsid w:val="34D80120"/>
    <w:rsid w:val="34FA6E12"/>
    <w:rsid w:val="352769B2"/>
    <w:rsid w:val="353D7F83"/>
    <w:rsid w:val="354D7158"/>
    <w:rsid w:val="35521C81"/>
    <w:rsid w:val="358D5588"/>
    <w:rsid w:val="35ED7BFB"/>
    <w:rsid w:val="360A03EE"/>
    <w:rsid w:val="363A3B40"/>
    <w:rsid w:val="365302AE"/>
    <w:rsid w:val="36607A0A"/>
    <w:rsid w:val="366E227C"/>
    <w:rsid w:val="366F2E0D"/>
    <w:rsid w:val="36716136"/>
    <w:rsid w:val="367B6A5C"/>
    <w:rsid w:val="36985DB9"/>
    <w:rsid w:val="36A302BA"/>
    <w:rsid w:val="36A74ADA"/>
    <w:rsid w:val="36AD60D5"/>
    <w:rsid w:val="36AE1139"/>
    <w:rsid w:val="36B224F9"/>
    <w:rsid w:val="36DB3EF8"/>
    <w:rsid w:val="36E7464B"/>
    <w:rsid w:val="36EC0CC9"/>
    <w:rsid w:val="36FD7818"/>
    <w:rsid w:val="37335AE2"/>
    <w:rsid w:val="373F410B"/>
    <w:rsid w:val="376B702A"/>
    <w:rsid w:val="37BE35FD"/>
    <w:rsid w:val="37C8622A"/>
    <w:rsid w:val="37E64902"/>
    <w:rsid w:val="37EE7094"/>
    <w:rsid w:val="382673F4"/>
    <w:rsid w:val="38296C89"/>
    <w:rsid w:val="382F6259"/>
    <w:rsid w:val="383002EB"/>
    <w:rsid w:val="384004B6"/>
    <w:rsid w:val="38482EC7"/>
    <w:rsid w:val="38586797"/>
    <w:rsid w:val="38961E84"/>
    <w:rsid w:val="38BC0149"/>
    <w:rsid w:val="38C42E95"/>
    <w:rsid w:val="38C509BB"/>
    <w:rsid w:val="38CF183A"/>
    <w:rsid w:val="38D87D1C"/>
    <w:rsid w:val="38F26EA2"/>
    <w:rsid w:val="38F512A1"/>
    <w:rsid w:val="38FE7A29"/>
    <w:rsid w:val="393022D9"/>
    <w:rsid w:val="39367916"/>
    <w:rsid w:val="393A4F06"/>
    <w:rsid w:val="39504729"/>
    <w:rsid w:val="39636459"/>
    <w:rsid w:val="39673821"/>
    <w:rsid w:val="396B7F6C"/>
    <w:rsid w:val="39731517"/>
    <w:rsid w:val="39930ABA"/>
    <w:rsid w:val="39A64349"/>
    <w:rsid w:val="39B417A9"/>
    <w:rsid w:val="39DF3CFF"/>
    <w:rsid w:val="39FA4695"/>
    <w:rsid w:val="39FC5695"/>
    <w:rsid w:val="3A006D8E"/>
    <w:rsid w:val="3A0624C4"/>
    <w:rsid w:val="3A30455A"/>
    <w:rsid w:val="3A3651E5"/>
    <w:rsid w:val="3A5E2E76"/>
    <w:rsid w:val="3A744481"/>
    <w:rsid w:val="3A751F6D"/>
    <w:rsid w:val="3A7B3A28"/>
    <w:rsid w:val="3A7B57D6"/>
    <w:rsid w:val="3A8C7BEF"/>
    <w:rsid w:val="3A906246"/>
    <w:rsid w:val="3A922B1F"/>
    <w:rsid w:val="3AD82C28"/>
    <w:rsid w:val="3B0E664A"/>
    <w:rsid w:val="3B1672AC"/>
    <w:rsid w:val="3B2349B7"/>
    <w:rsid w:val="3B3360B0"/>
    <w:rsid w:val="3B36794F"/>
    <w:rsid w:val="3B3A743F"/>
    <w:rsid w:val="3B554279"/>
    <w:rsid w:val="3B556027"/>
    <w:rsid w:val="3B616CFF"/>
    <w:rsid w:val="3B6259F6"/>
    <w:rsid w:val="3B6C3370"/>
    <w:rsid w:val="3B7A783B"/>
    <w:rsid w:val="3B7B1805"/>
    <w:rsid w:val="3B976654"/>
    <w:rsid w:val="3B9F3746"/>
    <w:rsid w:val="3BA743A8"/>
    <w:rsid w:val="3BA96372"/>
    <w:rsid w:val="3BC01EFC"/>
    <w:rsid w:val="3BCA786A"/>
    <w:rsid w:val="3BD31E2F"/>
    <w:rsid w:val="3BDF08D7"/>
    <w:rsid w:val="3BF15831"/>
    <w:rsid w:val="3C0506E8"/>
    <w:rsid w:val="3C0B2B89"/>
    <w:rsid w:val="3C105946"/>
    <w:rsid w:val="3C471448"/>
    <w:rsid w:val="3C574020"/>
    <w:rsid w:val="3C5F759A"/>
    <w:rsid w:val="3C667DC0"/>
    <w:rsid w:val="3C6C525A"/>
    <w:rsid w:val="3C756255"/>
    <w:rsid w:val="3CB13731"/>
    <w:rsid w:val="3CCE23CB"/>
    <w:rsid w:val="3CD17D17"/>
    <w:rsid w:val="3CD25455"/>
    <w:rsid w:val="3CD94A35"/>
    <w:rsid w:val="3CF7310E"/>
    <w:rsid w:val="3D0C4E0B"/>
    <w:rsid w:val="3D0D46DF"/>
    <w:rsid w:val="3D3C7F39"/>
    <w:rsid w:val="3D440F09"/>
    <w:rsid w:val="3D4504A0"/>
    <w:rsid w:val="3D632551"/>
    <w:rsid w:val="3D8734BB"/>
    <w:rsid w:val="3D9A11D4"/>
    <w:rsid w:val="3DA16D89"/>
    <w:rsid w:val="3DA364BE"/>
    <w:rsid w:val="3DDA6CB7"/>
    <w:rsid w:val="3DE041CB"/>
    <w:rsid w:val="3DED69EA"/>
    <w:rsid w:val="3E047890"/>
    <w:rsid w:val="3E0D48F6"/>
    <w:rsid w:val="3E1868B4"/>
    <w:rsid w:val="3E216694"/>
    <w:rsid w:val="3E377251"/>
    <w:rsid w:val="3E42664B"/>
    <w:rsid w:val="3E506F79"/>
    <w:rsid w:val="3E5A7334"/>
    <w:rsid w:val="3E772758"/>
    <w:rsid w:val="3E7B5D6B"/>
    <w:rsid w:val="3E810EE1"/>
    <w:rsid w:val="3E843E66"/>
    <w:rsid w:val="3E8F51FE"/>
    <w:rsid w:val="3E926F87"/>
    <w:rsid w:val="3E9A59DE"/>
    <w:rsid w:val="3EA5765F"/>
    <w:rsid w:val="3EAF4836"/>
    <w:rsid w:val="3EC33DFA"/>
    <w:rsid w:val="3ED41958"/>
    <w:rsid w:val="3EDC25BB"/>
    <w:rsid w:val="3EE6168C"/>
    <w:rsid w:val="3EFD0EAF"/>
    <w:rsid w:val="3F060E16"/>
    <w:rsid w:val="3F1D1096"/>
    <w:rsid w:val="3F2F0234"/>
    <w:rsid w:val="3F3B19D7"/>
    <w:rsid w:val="3F434236"/>
    <w:rsid w:val="3F4F7231"/>
    <w:rsid w:val="3F6031EC"/>
    <w:rsid w:val="3F620473"/>
    <w:rsid w:val="3F632CDC"/>
    <w:rsid w:val="3F6363FE"/>
    <w:rsid w:val="3F6902F3"/>
    <w:rsid w:val="3F756B8F"/>
    <w:rsid w:val="3F8844F1"/>
    <w:rsid w:val="3F93711E"/>
    <w:rsid w:val="3F95482B"/>
    <w:rsid w:val="3FB05F21"/>
    <w:rsid w:val="3FDF2363"/>
    <w:rsid w:val="3FE61943"/>
    <w:rsid w:val="40153FD6"/>
    <w:rsid w:val="4019356B"/>
    <w:rsid w:val="402828F4"/>
    <w:rsid w:val="40493C80"/>
    <w:rsid w:val="404B0C1B"/>
    <w:rsid w:val="40592157"/>
    <w:rsid w:val="406E1CAE"/>
    <w:rsid w:val="40A0133A"/>
    <w:rsid w:val="40A84E4B"/>
    <w:rsid w:val="40BC6B48"/>
    <w:rsid w:val="40C31A53"/>
    <w:rsid w:val="40D043A1"/>
    <w:rsid w:val="40FF545D"/>
    <w:rsid w:val="410067C8"/>
    <w:rsid w:val="41083B3B"/>
    <w:rsid w:val="41285F8B"/>
    <w:rsid w:val="416D399E"/>
    <w:rsid w:val="41872CB2"/>
    <w:rsid w:val="41894C7C"/>
    <w:rsid w:val="418F0D2A"/>
    <w:rsid w:val="41D01505"/>
    <w:rsid w:val="422624CB"/>
    <w:rsid w:val="422E5823"/>
    <w:rsid w:val="423746D8"/>
    <w:rsid w:val="42474939"/>
    <w:rsid w:val="424C3C57"/>
    <w:rsid w:val="42613FF3"/>
    <w:rsid w:val="42642FF3"/>
    <w:rsid w:val="42660D96"/>
    <w:rsid w:val="42725710"/>
    <w:rsid w:val="427E2307"/>
    <w:rsid w:val="428667D2"/>
    <w:rsid w:val="42BC698B"/>
    <w:rsid w:val="42BE6BA7"/>
    <w:rsid w:val="42C910A8"/>
    <w:rsid w:val="42CD1CE0"/>
    <w:rsid w:val="42CD6DEA"/>
    <w:rsid w:val="42DA32B5"/>
    <w:rsid w:val="42DC0DDB"/>
    <w:rsid w:val="42E1381E"/>
    <w:rsid w:val="42ED6459"/>
    <w:rsid w:val="42F04887"/>
    <w:rsid w:val="42FE58DD"/>
    <w:rsid w:val="430B346F"/>
    <w:rsid w:val="43174B3D"/>
    <w:rsid w:val="434B790E"/>
    <w:rsid w:val="43574906"/>
    <w:rsid w:val="4360274F"/>
    <w:rsid w:val="43977AB6"/>
    <w:rsid w:val="43A3342B"/>
    <w:rsid w:val="43C77C27"/>
    <w:rsid w:val="43C875B2"/>
    <w:rsid w:val="43C95804"/>
    <w:rsid w:val="43DE09EE"/>
    <w:rsid w:val="43ED0DC6"/>
    <w:rsid w:val="43FD36FF"/>
    <w:rsid w:val="44002FAD"/>
    <w:rsid w:val="44114AB5"/>
    <w:rsid w:val="443864E5"/>
    <w:rsid w:val="44782D86"/>
    <w:rsid w:val="4484797D"/>
    <w:rsid w:val="449101DD"/>
    <w:rsid w:val="44D501D8"/>
    <w:rsid w:val="44DE1391"/>
    <w:rsid w:val="44EB3558"/>
    <w:rsid w:val="44F248E6"/>
    <w:rsid w:val="44F52628"/>
    <w:rsid w:val="451B225C"/>
    <w:rsid w:val="452410C9"/>
    <w:rsid w:val="45317DFB"/>
    <w:rsid w:val="454113CA"/>
    <w:rsid w:val="456D3CE4"/>
    <w:rsid w:val="45703A5D"/>
    <w:rsid w:val="4579042C"/>
    <w:rsid w:val="457F0571"/>
    <w:rsid w:val="45851176"/>
    <w:rsid w:val="45AD6A5F"/>
    <w:rsid w:val="45BB73CE"/>
    <w:rsid w:val="45C63B94"/>
    <w:rsid w:val="460E7DA5"/>
    <w:rsid w:val="46202FB7"/>
    <w:rsid w:val="46422483"/>
    <w:rsid w:val="46462D05"/>
    <w:rsid w:val="4659254A"/>
    <w:rsid w:val="465B0637"/>
    <w:rsid w:val="465D2233"/>
    <w:rsid w:val="465E3F0D"/>
    <w:rsid w:val="466A16E6"/>
    <w:rsid w:val="46893F2B"/>
    <w:rsid w:val="46A64DA2"/>
    <w:rsid w:val="46C4686E"/>
    <w:rsid w:val="46CF0B0E"/>
    <w:rsid w:val="46E110B6"/>
    <w:rsid w:val="470152B5"/>
    <w:rsid w:val="47655843"/>
    <w:rsid w:val="47775577"/>
    <w:rsid w:val="477B778F"/>
    <w:rsid w:val="478203EC"/>
    <w:rsid w:val="4783216D"/>
    <w:rsid w:val="47A0687C"/>
    <w:rsid w:val="47B025FA"/>
    <w:rsid w:val="47BC742D"/>
    <w:rsid w:val="47BE31A6"/>
    <w:rsid w:val="47E837E0"/>
    <w:rsid w:val="47EC7D13"/>
    <w:rsid w:val="48027536"/>
    <w:rsid w:val="4809698F"/>
    <w:rsid w:val="480D1A37"/>
    <w:rsid w:val="4811697D"/>
    <w:rsid w:val="48441E9E"/>
    <w:rsid w:val="487A3E25"/>
    <w:rsid w:val="488B5503"/>
    <w:rsid w:val="48937E21"/>
    <w:rsid w:val="489A0361"/>
    <w:rsid w:val="48B94FF3"/>
    <w:rsid w:val="48E37AAB"/>
    <w:rsid w:val="48FD4B4C"/>
    <w:rsid w:val="490A68E0"/>
    <w:rsid w:val="491055FE"/>
    <w:rsid w:val="491C0184"/>
    <w:rsid w:val="495F5B3E"/>
    <w:rsid w:val="496F77D7"/>
    <w:rsid w:val="497654FD"/>
    <w:rsid w:val="498B355B"/>
    <w:rsid w:val="49AD34D2"/>
    <w:rsid w:val="49B64211"/>
    <w:rsid w:val="49E56AF9"/>
    <w:rsid w:val="49F11BF3"/>
    <w:rsid w:val="49F6167F"/>
    <w:rsid w:val="4A064FA0"/>
    <w:rsid w:val="4A16615C"/>
    <w:rsid w:val="4A435BE4"/>
    <w:rsid w:val="4A4424D7"/>
    <w:rsid w:val="4A454C9E"/>
    <w:rsid w:val="4A4C4A99"/>
    <w:rsid w:val="4A590F64"/>
    <w:rsid w:val="4A5971B6"/>
    <w:rsid w:val="4A897A9B"/>
    <w:rsid w:val="4A963F66"/>
    <w:rsid w:val="4AA30431"/>
    <w:rsid w:val="4AB82D0F"/>
    <w:rsid w:val="4AC42881"/>
    <w:rsid w:val="4AEB2504"/>
    <w:rsid w:val="4AEB7664"/>
    <w:rsid w:val="4AFD7C19"/>
    <w:rsid w:val="4B0567D1"/>
    <w:rsid w:val="4B105AC6"/>
    <w:rsid w:val="4B236AAE"/>
    <w:rsid w:val="4B2C48CA"/>
    <w:rsid w:val="4B63653E"/>
    <w:rsid w:val="4B65492A"/>
    <w:rsid w:val="4B707271"/>
    <w:rsid w:val="4B810772"/>
    <w:rsid w:val="4B95246F"/>
    <w:rsid w:val="4B9739F7"/>
    <w:rsid w:val="4BB24DCF"/>
    <w:rsid w:val="4BBC17AA"/>
    <w:rsid w:val="4BEE2503"/>
    <w:rsid w:val="4C245A30"/>
    <w:rsid w:val="4C2C4B82"/>
    <w:rsid w:val="4C2D08FA"/>
    <w:rsid w:val="4C46376A"/>
    <w:rsid w:val="4C4D68A6"/>
    <w:rsid w:val="4C6A56AA"/>
    <w:rsid w:val="4CB16E35"/>
    <w:rsid w:val="4CB6685F"/>
    <w:rsid w:val="4CB701C3"/>
    <w:rsid w:val="4CC367FE"/>
    <w:rsid w:val="4CF65190"/>
    <w:rsid w:val="4D077F3C"/>
    <w:rsid w:val="4D0F7FFF"/>
    <w:rsid w:val="4D123355"/>
    <w:rsid w:val="4D1B4BF6"/>
    <w:rsid w:val="4D2A3B31"/>
    <w:rsid w:val="4D2F41FE"/>
    <w:rsid w:val="4D312C52"/>
    <w:rsid w:val="4D341814"/>
    <w:rsid w:val="4D422183"/>
    <w:rsid w:val="4D700A9E"/>
    <w:rsid w:val="4D896004"/>
    <w:rsid w:val="4D905305"/>
    <w:rsid w:val="4D964A72"/>
    <w:rsid w:val="4D9A0D1F"/>
    <w:rsid w:val="4D9C1254"/>
    <w:rsid w:val="4D9D385D"/>
    <w:rsid w:val="4DDF5C24"/>
    <w:rsid w:val="4DE66FB2"/>
    <w:rsid w:val="4DF80A94"/>
    <w:rsid w:val="4E6A0A71"/>
    <w:rsid w:val="4E793892"/>
    <w:rsid w:val="4E7B594C"/>
    <w:rsid w:val="4E800872"/>
    <w:rsid w:val="4E872543"/>
    <w:rsid w:val="4E9E163B"/>
    <w:rsid w:val="4EC569ED"/>
    <w:rsid w:val="4ED50EA1"/>
    <w:rsid w:val="4ED81994"/>
    <w:rsid w:val="4EEC050C"/>
    <w:rsid w:val="4F0911AA"/>
    <w:rsid w:val="4F104EC3"/>
    <w:rsid w:val="4F135B85"/>
    <w:rsid w:val="4F2627F5"/>
    <w:rsid w:val="4F443F90"/>
    <w:rsid w:val="4F47354A"/>
    <w:rsid w:val="4F473A81"/>
    <w:rsid w:val="4F5A37B4"/>
    <w:rsid w:val="4F5B1A36"/>
    <w:rsid w:val="4F5F701C"/>
    <w:rsid w:val="4F6D4A83"/>
    <w:rsid w:val="4F894099"/>
    <w:rsid w:val="4F911C54"/>
    <w:rsid w:val="4FD712A8"/>
    <w:rsid w:val="4FD74E04"/>
    <w:rsid w:val="4FE625E0"/>
    <w:rsid w:val="4FF33972"/>
    <w:rsid w:val="4FF5172F"/>
    <w:rsid w:val="4FFA6D45"/>
    <w:rsid w:val="500A342C"/>
    <w:rsid w:val="5021480F"/>
    <w:rsid w:val="502D711A"/>
    <w:rsid w:val="5039786D"/>
    <w:rsid w:val="50632B3C"/>
    <w:rsid w:val="50962ECB"/>
    <w:rsid w:val="50A42E38"/>
    <w:rsid w:val="50A4577F"/>
    <w:rsid w:val="50AF7B2F"/>
    <w:rsid w:val="50B37E52"/>
    <w:rsid w:val="50B73D1F"/>
    <w:rsid w:val="50BB4726"/>
    <w:rsid w:val="50BD5BC9"/>
    <w:rsid w:val="50C11EEE"/>
    <w:rsid w:val="50C35389"/>
    <w:rsid w:val="50CC06E1"/>
    <w:rsid w:val="50E97CFC"/>
    <w:rsid w:val="50FA4028"/>
    <w:rsid w:val="510D65B7"/>
    <w:rsid w:val="511157AB"/>
    <w:rsid w:val="51145BE4"/>
    <w:rsid w:val="512F0C70"/>
    <w:rsid w:val="5142540C"/>
    <w:rsid w:val="51703763"/>
    <w:rsid w:val="518832C8"/>
    <w:rsid w:val="519D3C50"/>
    <w:rsid w:val="51A0432A"/>
    <w:rsid w:val="51A611D5"/>
    <w:rsid w:val="51A86090"/>
    <w:rsid w:val="51B7396D"/>
    <w:rsid w:val="51DF14E9"/>
    <w:rsid w:val="51E23F34"/>
    <w:rsid w:val="51EC090F"/>
    <w:rsid w:val="51EE28D9"/>
    <w:rsid w:val="51EE6435"/>
    <w:rsid w:val="52093835"/>
    <w:rsid w:val="522E4CC3"/>
    <w:rsid w:val="5244713B"/>
    <w:rsid w:val="52615633"/>
    <w:rsid w:val="526A6404"/>
    <w:rsid w:val="526F4DE4"/>
    <w:rsid w:val="527A5F1B"/>
    <w:rsid w:val="527E5A0B"/>
    <w:rsid w:val="527F1783"/>
    <w:rsid w:val="52977FD4"/>
    <w:rsid w:val="52A01E26"/>
    <w:rsid w:val="52A25790"/>
    <w:rsid w:val="52A96B6F"/>
    <w:rsid w:val="52B45975"/>
    <w:rsid w:val="52B633F7"/>
    <w:rsid w:val="52CD6993"/>
    <w:rsid w:val="52D94AA4"/>
    <w:rsid w:val="52DC0984"/>
    <w:rsid w:val="52DD4E28"/>
    <w:rsid w:val="52EA3A62"/>
    <w:rsid w:val="52F50BB8"/>
    <w:rsid w:val="53097272"/>
    <w:rsid w:val="53420951"/>
    <w:rsid w:val="53544462"/>
    <w:rsid w:val="53591FD4"/>
    <w:rsid w:val="535B5D4C"/>
    <w:rsid w:val="536C61AC"/>
    <w:rsid w:val="536C7F5A"/>
    <w:rsid w:val="53784B50"/>
    <w:rsid w:val="5397158E"/>
    <w:rsid w:val="54013861"/>
    <w:rsid w:val="540463E4"/>
    <w:rsid w:val="54487265"/>
    <w:rsid w:val="544D6070"/>
    <w:rsid w:val="54605E1E"/>
    <w:rsid w:val="54703A7A"/>
    <w:rsid w:val="54752E3E"/>
    <w:rsid w:val="54790B80"/>
    <w:rsid w:val="548F2152"/>
    <w:rsid w:val="54992DA8"/>
    <w:rsid w:val="54A13C33"/>
    <w:rsid w:val="54A159E1"/>
    <w:rsid w:val="54B3506A"/>
    <w:rsid w:val="54CA0D16"/>
    <w:rsid w:val="54D264E2"/>
    <w:rsid w:val="54DD4057"/>
    <w:rsid w:val="54E7490F"/>
    <w:rsid w:val="550764A4"/>
    <w:rsid w:val="550B2BF6"/>
    <w:rsid w:val="55214EB5"/>
    <w:rsid w:val="55256612"/>
    <w:rsid w:val="55364EFD"/>
    <w:rsid w:val="55366A71"/>
    <w:rsid w:val="554967A4"/>
    <w:rsid w:val="555D4828"/>
    <w:rsid w:val="5572737D"/>
    <w:rsid w:val="557A4C8B"/>
    <w:rsid w:val="558931E1"/>
    <w:rsid w:val="55923347"/>
    <w:rsid w:val="55925180"/>
    <w:rsid w:val="55983B1B"/>
    <w:rsid w:val="55A27C63"/>
    <w:rsid w:val="55A75279"/>
    <w:rsid w:val="55A8376B"/>
    <w:rsid w:val="55CB540B"/>
    <w:rsid w:val="55D02A22"/>
    <w:rsid w:val="55DC29B6"/>
    <w:rsid w:val="55DD4241"/>
    <w:rsid w:val="55E464CD"/>
    <w:rsid w:val="5627460C"/>
    <w:rsid w:val="562846B0"/>
    <w:rsid w:val="566B6D1E"/>
    <w:rsid w:val="56755377"/>
    <w:rsid w:val="569577C7"/>
    <w:rsid w:val="56F40992"/>
    <w:rsid w:val="56F97D56"/>
    <w:rsid w:val="57032A2C"/>
    <w:rsid w:val="570D735E"/>
    <w:rsid w:val="570F5219"/>
    <w:rsid w:val="572D5C52"/>
    <w:rsid w:val="575D12B5"/>
    <w:rsid w:val="57610A87"/>
    <w:rsid w:val="577B1140"/>
    <w:rsid w:val="577B7F21"/>
    <w:rsid w:val="577F181B"/>
    <w:rsid w:val="578735B4"/>
    <w:rsid w:val="57921984"/>
    <w:rsid w:val="579737F0"/>
    <w:rsid w:val="579932E7"/>
    <w:rsid w:val="57AB7B30"/>
    <w:rsid w:val="57AF5251"/>
    <w:rsid w:val="57B26373"/>
    <w:rsid w:val="57B63F04"/>
    <w:rsid w:val="57BC2B32"/>
    <w:rsid w:val="57CD20C2"/>
    <w:rsid w:val="57D675AB"/>
    <w:rsid w:val="57D95FDD"/>
    <w:rsid w:val="57E44562"/>
    <w:rsid w:val="57F624E8"/>
    <w:rsid w:val="57F66044"/>
    <w:rsid w:val="585A4825"/>
    <w:rsid w:val="58782BD5"/>
    <w:rsid w:val="58917D2F"/>
    <w:rsid w:val="5894085C"/>
    <w:rsid w:val="58AE4F0C"/>
    <w:rsid w:val="58B85899"/>
    <w:rsid w:val="58C148A4"/>
    <w:rsid w:val="58DA3BB7"/>
    <w:rsid w:val="58E3481A"/>
    <w:rsid w:val="58E363A9"/>
    <w:rsid w:val="58F033DB"/>
    <w:rsid w:val="590824D3"/>
    <w:rsid w:val="594352B9"/>
    <w:rsid w:val="594F1EAF"/>
    <w:rsid w:val="595E1678"/>
    <w:rsid w:val="596D5BD4"/>
    <w:rsid w:val="597E3DD8"/>
    <w:rsid w:val="59AC5554"/>
    <w:rsid w:val="59BE38A4"/>
    <w:rsid w:val="59F80043"/>
    <w:rsid w:val="59FB5B93"/>
    <w:rsid w:val="5A09252F"/>
    <w:rsid w:val="5A0A4028"/>
    <w:rsid w:val="5A0B2778"/>
    <w:rsid w:val="5A184997"/>
    <w:rsid w:val="5A2A7C7B"/>
    <w:rsid w:val="5A364E1D"/>
    <w:rsid w:val="5A3E2560"/>
    <w:rsid w:val="5A4E03B9"/>
    <w:rsid w:val="5A5D3B6E"/>
    <w:rsid w:val="5A637A76"/>
    <w:rsid w:val="5A6C6A91"/>
    <w:rsid w:val="5A6D33BA"/>
    <w:rsid w:val="5A706581"/>
    <w:rsid w:val="5A785436"/>
    <w:rsid w:val="5A792B1F"/>
    <w:rsid w:val="5A843DDB"/>
    <w:rsid w:val="5A874767"/>
    <w:rsid w:val="5AA85BE2"/>
    <w:rsid w:val="5AAD6F28"/>
    <w:rsid w:val="5AC93EE4"/>
    <w:rsid w:val="5AD63A24"/>
    <w:rsid w:val="5AFD593B"/>
    <w:rsid w:val="5B022F52"/>
    <w:rsid w:val="5B06463E"/>
    <w:rsid w:val="5B2E1A1D"/>
    <w:rsid w:val="5B394BC5"/>
    <w:rsid w:val="5B510A5B"/>
    <w:rsid w:val="5B843A1C"/>
    <w:rsid w:val="5B873E3F"/>
    <w:rsid w:val="5B914A01"/>
    <w:rsid w:val="5BD112A2"/>
    <w:rsid w:val="5BEC1C38"/>
    <w:rsid w:val="5BED3C02"/>
    <w:rsid w:val="5BFD3E45"/>
    <w:rsid w:val="5C02690E"/>
    <w:rsid w:val="5C0C504E"/>
    <w:rsid w:val="5C196DA7"/>
    <w:rsid w:val="5C1D6295"/>
    <w:rsid w:val="5C2A048C"/>
    <w:rsid w:val="5C3D06E5"/>
    <w:rsid w:val="5C433822"/>
    <w:rsid w:val="5C5B500F"/>
    <w:rsid w:val="5C606182"/>
    <w:rsid w:val="5C80234E"/>
    <w:rsid w:val="5C8A680C"/>
    <w:rsid w:val="5CA40764"/>
    <w:rsid w:val="5CC606DB"/>
    <w:rsid w:val="5CDA4186"/>
    <w:rsid w:val="5CDE0776"/>
    <w:rsid w:val="5CF35D1E"/>
    <w:rsid w:val="5D08326C"/>
    <w:rsid w:val="5D0C4701"/>
    <w:rsid w:val="5D0F0395"/>
    <w:rsid w:val="5D142A29"/>
    <w:rsid w:val="5D221076"/>
    <w:rsid w:val="5D2D075A"/>
    <w:rsid w:val="5D301FF8"/>
    <w:rsid w:val="5D397964"/>
    <w:rsid w:val="5D5A391C"/>
    <w:rsid w:val="5D5F10C0"/>
    <w:rsid w:val="5D6121B1"/>
    <w:rsid w:val="5D6B74D4"/>
    <w:rsid w:val="5D7E0FB5"/>
    <w:rsid w:val="5D804D2D"/>
    <w:rsid w:val="5D891B7B"/>
    <w:rsid w:val="5D92680F"/>
    <w:rsid w:val="5DAD38EE"/>
    <w:rsid w:val="5DAD53F7"/>
    <w:rsid w:val="5DD72473"/>
    <w:rsid w:val="5DFA3716"/>
    <w:rsid w:val="5E006862"/>
    <w:rsid w:val="5E0207B9"/>
    <w:rsid w:val="5E0F1C0D"/>
    <w:rsid w:val="5E167440"/>
    <w:rsid w:val="5E1834A1"/>
    <w:rsid w:val="5E1B2CA8"/>
    <w:rsid w:val="5E261785"/>
    <w:rsid w:val="5E3D2C1E"/>
    <w:rsid w:val="5E4A533B"/>
    <w:rsid w:val="5E4A7017"/>
    <w:rsid w:val="5E552BBA"/>
    <w:rsid w:val="5E611C10"/>
    <w:rsid w:val="5E783C56"/>
    <w:rsid w:val="5E7A0F3F"/>
    <w:rsid w:val="5EDD1D0C"/>
    <w:rsid w:val="5EE410BC"/>
    <w:rsid w:val="5EFC7377"/>
    <w:rsid w:val="5F025C16"/>
    <w:rsid w:val="5F06174D"/>
    <w:rsid w:val="5F090D52"/>
    <w:rsid w:val="5F3A3602"/>
    <w:rsid w:val="5F45733B"/>
    <w:rsid w:val="5F6277C6"/>
    <w:rsid w:val="5F6D0B1D"/>
    <w:rsid w:val="5F7F2DC3"/>
    <w:rsid w:val="5F8D0B82"/>
    <w:rsid w:val="5F922AF6"/>
    <w:rsid w:val="5FA8056B"/>
    <w:rsid w:val="5FCC5339"/>
    <w:rsid w:val="5FDB26EF"/>
    <w:rsid w:val="5FE34A5B"/>
    <w:rsid w:val="5FED5F7E"/>
    <w:rsid w:val="5FF94771"/>
    <w:rsid w:val="5FFE1E36"/>
    <w:rsid w:val="60232584"/>
    <w:rsid w:val="60327E35"/>
    <w:rsid w:val="607330CE"/>
    <w:rsid w:val="60825176"/>
    <w:rsid w:val="609F2AC4"/>
    <w:rsid w:val="60A54AAB"/>
    <w:rsid w:val="60F55411"/>
    <w:rsid w:val="60FA2EE8"/>
    <w:rsid w:val="60FC0DF8"/>
    <w:rsid w:val="61054A27"/>
    <w:rsid w:val="610A52BC"/>
    <w:rsid w:val="611759A9"/>
    <w:rsid w:val="611D2366"/>
    <w:rsid w:val="61421856"/>
    <w:rsid w:val="615227C4"/>
    <w:rsid w:val="61587D6F"/>
    <w:rsid w:val="61654E3F"/>
    <w:rsid w:val="616D55C9"/>
    <w:rsid w:val="6182292A"/>
    <w:rsid w:val="61970898"/>
    <w:rsid w:val="619F7F92"/>
    <w:rsid w:val="61F23D20"/>
    <w:rsid w:val="61F94C26"/>
    <w:rsid w:val="62000E56"/>
    <w:rsid w:val="621974FF"/>
    <w:rsid w:val="623E51B7"/>
    <w:rsid w:val="624F3E49"/>
    <w:rsid w:val="62632286"/>
    <w:rsid w:val="6267026A"/>
    <w:rsid w:val="626970D8"/>
    <w:rsid w:val="626A1B08"/>
    <w:rsid w:val="628030DA"/>
    <w:rsid w:val="62874BFA"/>
    <w:rsid w:val="62885958"/>
    <w:rsid w:val="628C5F22"/>
    <w:rsid w:val="62970423"/>
    <w:rsid w:val="62B17737"/>
    <w:rsid w:val="62B31701"/>
    <w:rsid w:val="62E93375"/>
    <w:rsid w:val="62F40B65"/>
    <w:rsid w:val="62FC2CFE"/>
    <w:rsid w:val="63024505"/>
    <w:rsid w:val="63163A3E"/>
    <w:rsid w:val="63352116"/>
    <w:rsid w:val="634560D1"/>
    <w:rsid w:val="634E2D11"/>
    <w:rsid w:val="6353259C"/>
    <w:rsid w:val="635600A5"/>
    <w:rsid w:val="635B1DB5"/>
    <w:rsid w:val="63711FED"/>
    <w:rsid w:val="63880DDC"/>
    <w:rsid w:val="638D750D"/>
    <w:rsid w:val="639C3F43"/>
    <w:rsid w:val="63AC6CC0"/>
    <w:rsid w:val="63C24F56"/>
    <w:rsid w:val="63C27722"/>
    <w:rsid w:val="63E92F01"/>
    <w:rsid w:val="64055776"/>
    <w:rsid w:val="64240056"/>
    <w:rsid w:val="643E143A"/>
    <w:rsid w:val="64491666"/>
    <w:rsid w:val="64542A70"/>
    <w:rsid w:val="64607667"/>
    <w:rsid w:val="648B6EEF"/>
    <w:rsid w:val="64A01811"/>
    <w:rsid w:val="64C00105"/>
    <w:rsid w:val="64C158BF"/>
    <w:rsid w:val="64CE2EAA"/>
    <w:rsid w:val="64D140C0"/>
    <w:rsid w:val="64D67929"/>
    <w:rsid w:val="64E07E49"/>
    <w:rsid w:val="651D10B4"/>
    <w:rsid w:val="652C7549"/>
    <w:rsid w:val="653C3090"/>
    <w:rsid w:val="65406257"/>
    <w:rsid w:val="65854376"/>
    <w:rsid w:val="658767BE"/>
    <w:rsid w:val="65892531"/>
    <w:rsid w:val="65A05841"/>
    <w:rsid w:val="65BD4645"/>
    <w:rsid w:val="65DD6A95"/>
    <w:rsid w:val="65F20792"/>
    <w:rsid w:val="65FF4C5D"/>
    <w:rsid w:val="66195831"/>
    <w:rsid w:val="66216982"/>
    <w:rsid w:val="662E75B1"/>
    <w:rsid w:val="66342C2E"/>
    <w:rsid w:val="663568D1"/>
    <w:rsid w:val="663E784C"/>
    <w:rsid w:val="668B6A45"/>
    <w:rsid w:val="669435F8"/>
    <w:rsid w:val="66AA6977"/>
    <w:rsid w:val="66AC6B93"/>
    <w:rsid w:val="66D734E4"/>
    <w:rsid w:val="66DE2AC5"/>
    <w:rsid w:val="67011F07"/>
    <w:rsid w:val="672E75A8"/>
    <w:rsid w:val="672F3F24"/>
    <w:rsid w:val="67304223"/>
    <w:rsid w:val="673426E5"/>
    <w:rsid w:val="67380427"/>
    <w:rsid w:val="673E055F"/>
    <w:rsid w:val="67513297"/>
    <w:rsid w:val="67551CE3"/>
    <w:rsid w:val="67696832"/>
    <w:rsid w:val="67A22552"/>
    <w:rsid w:val="67A930D3"/>
    <w:rsid w:val="67B22DCC"/>
    <w:rsid w:val="67BE71AA"/>
    <w:rsid w:val="67D90273"/>
    <w:rsid w:val="67DA14DE"/>
    <w:rsid w:val="67DE5875"/>
    <w:rsid w:val="67E4410B"/>
    <w:rsid w:val="67E55852"/>
    <w:rsid w:val="67EB1AB4"/>
    <w:rsid w:val="67F65BEC"/>
    <w:rsid w:val="67FA1285"/>
    <w:rsid w:val="68260326"/>
    <w:rsid w:val="68400EBA"/>
    <w:rsid w:val="684352D5"/>
    <w:rsid w:val="68551F4F"/>
    <w:rsid w:val="68572B2F"/>
    <w:rsid w:val="6873723D"/>
    <w:rsid w:val="68757459"/>
    <w:rsid w:val="687C10C9"/>
    <w:rsid w:val="68840C16"/>
    <w:rsid w:val="68872541"/>
    <w:rsid w:val="68876EFB"/>
    <w:rsid w:val="68884654"/>
    <w:rsid w:val="6897117D"/>
    <w:rsid w:val="689F444F"/>
    <w:rsid w:val="68B96DBB"/>
    <w:rsid w:val="68CA2805"/>
    <w:rsid w:val="68DC1286"/>
    <w:rsid w:val="68E72104"/>
    <w:rsid w:val="68E937A3"/>
    <w:rsid w:val="691664E5"/>
    <w:rsid w:val="69362744"/>
    <w:rsid w:val="693E15D3"/>
    <w:rsid w:val="69627681"/>
    <w:rsid w:val="6977531D"/>
    <w:rsid w:val="69790883"/>
    <w:rsid w:val="69B144C0"/>
    <w:rsid w:val="69BD4A0C"/>
    <w:rsid w:val="69CC2BFF"/>
    <w:rsid w:val="69FD55B8"/>
    <w:rsid w:val="6A0B1C62"/>
    <w:rsid w:val="6A164324"/>
    <w:rsid w:val="6A1C5DDE"/>
    <w:rsid w:val="6A2406C8"/>
    <w:rsid w:val="6A260A0B"/>
    <w:rsid w:val="6A8F4802"/>
    <w:rsid w:val="6AAD6A36"/>
    <w:rsid w:val="6ADE0BD1"/>
    <w:rsid w:val="6AE96859"/>
    <w:rsid w:val="6AEB3A02"/>
    <w:rsid w:val="6B0D5727"/>
    <w:rsid w:val="6B147746"/>
    <w:rsid w:val="6B1B7E43"/>
    <w:rsid w:val="6B24787C"/>
    <w:rsid w:val="6B5415A7"/>
    <w:rsid w:val="6B573233"/>
    <w:rsid w:val="6B574BF4"/>
    <w:rsid w:val="6B5B6274"/>
    <w:rsid w:val="6B8A6D77"/>
    <w:rsid w:val="6B935D53"/>
    <w:rsid w:val="6B99345E"/>
    <w:rsid w:val="6BB81B36"/>
    <w:rsid w:val="6BC8789F"/>
    <w:rsid w:val="6BDF3567"/>
    <w:rsid w:val="6BE32FA2"/>
    <w:rsid w:val="6BE4292B"/>
    <w:rsid w:val="6BF1329A"/>
    <w:rsid w:val="6C196F71"/>
    <w:rsid w:val="6C226FCB"/>
    <w:rsid w:val="6C31226F"/>
    <w:rsid w:val="6C552F0B"/>
    <w:rsid w:val="6C8C67B7"/>
    <w:rsid w:val="6C9A56E0"/>
    <w:rsid w:val="6C9D744C"/>
    <w:rsid w:val="6CB93DB8"/>
    <w:rsid w:val="6CBF6EF4"/>
    <w:rsid w:val="6CC10EBE"/>
    <w:rsid w:val="6CC938CF"/>
    <w:rsid w:val="6D1159A2"/>
    <w:rsid w:val="6D167928"/>
    <w:rsid w:val="6D1C7EA3"/>
    <w:rsid w:val="6D21370B"/>
    <w:rsid w:val="6D2154B9"/>
    <w:rsid w:val="6D26299B"/>
    <w:rsid w:val="6D4713C4"/>
    <w:rsid w:val="6D4772EC"/>
    <w:rsid w:val="6D5E495F"/>
    <w:rsid w:val="6D9078AF"/>
    <w:rsid w:val="6DAA3FEF"/>
    <w:rsid w:val="6DB91B96"/>
    <w:rsid w:val="6DBB3B60"/>
    <w:rsid w:val="6DC0172B"/>
    <w:rsid w:val="6DCB690C"/>
    <w:rsid w:val="6DD41A5B"/>
    <w:rsid w:val="6DF43C2E"/>
    <w:rsid w:val="6DF51CA3"/>
    <w:rsid w:val="6E1A6722"/>
    <w:rsid w:val="6E8335BD"/>
    <w:rsid w:val="6E895767"/>
    <w:rsid w:val="6E8E12EF"/>
    <w:rsid w:val="6E972936"/>
    <w:rsid w:val="6E9C573F"/>
    <w:rsid w:val="6EA75E92"/>
    <w:rsid w:val="6ED36C87"/>
    <w:rsid w:val="6ED446C5"/>
    <w:rsid w:val="6F176B74"/>
    <w:rsid w:val="6F1C418A"/>
    <w:rsid w:val="6F2A7D94"/>
    <w:rsid w:val="6F4162E7"/>
    <w:rsid w:val="6F481423"/>
    <w:rsid w:val="6F8331F1"/>
    <w:rsid w:val="6F9957DB"/>
    <w:rsid w:val="6F997ED1"/>
    <w:rsid w:val="6FAE1A09"/>
    <w:rsid w:val="6FD75BF8"/>
    <w:rsid w:val="6FE078AE"/>
    <w:rsid w:val="6FEA24DA"/>
    <w:rsid w:val="6FFB6495"/>
    <w:rsid w:val="6FFD220E"/>
    <w:rsid w:val="70082960"/>
    <w:rsid w:val="701D28B0"/>
    <w:rsid w:val="70251764"/>
    <w:rsid w:val="703134FA"/>
    <w:rsid w:val="704B4683"/>
    <w:rsid w:val="706C1141"/>
    <w:rsid w:val="707723D0"/>
    <w:rsid w:val="708244C1"/>
    <w:rsid w:val="708446DD"/>
    <w:rsid w:val="70E138DD"/>
    <w:rsid w:val="70F5661B"/>
    <w:rsid w:val="712832BA"/>
    <w:rsid w:val="71360107"/>
    <w:rsid w:val="713B688E"/>
    <w:rsid w:val="71467BE4"/>
    <w:rsid w:val="715220E5"/>
    <w:rsid w:val="715A71EC"/>
    <w:rsid w:val="71663DE2"/>
    <w:rsid w:val="71722787"/>
    <w:rsid w:val="71B305AA"/>
    <w:rsid w:val="71D43752"/>
    <w:rsid w:val="71F1796A"/>
    <w:rsid w:val="71FE226D"/>
    <w:rsid w:val="720F6228"/>
    <w:rsid w:val="72154626"/>
    <w:rsid w:val="72262B5D"/>
    <w:rsid w:val="72283FF7"/>
    <w:rsid w:val="722A4E10"/>
    <w:rsid w:val="722E7212"/>
    <w:rsid w:val="723A0474"/>
    <w:rsid w:val="723E08BB"/>
    <w:rsid w:val="724539F8"/>
    <w:rsid w:val="72534367"/>
    <w:rsid w:val="72563E57"/>
    <w:rsid w:val="725923E4"/>
    <w:rsid w:val="725D42D9"/>
    <w:rsid w:val="72600832"/>
    <w:rsid w:val="726A16B0"/>
    <w:rsid w:val="726E73F3"/>
    <w:rsid w:val="7275252F"/>
    <w:rsid w:val="727D7636"/>
    <w:rsid w:val="7285473C"/>
    <w:rsid w:val="72864BF7"/>
    <w:rsid w:val="729023FC"/>
    <w:rsid w:val="72E17BC5"/>
    <w:rsid w:val="73131D48"/>
    <w:rsid w:val="73375A36"/>
    <w:rsid w:val="7338355D"/>
    <w:rsid w:val="734B14E2"/>
    <w:rsid w:val="73770529"/>
    <w:rsid w:val="737C09CA"/>
    <w:rsid w:val="73B76B77"/>
    <w:rsid w:val="73C0646E"/>
    <w:rsid w:val="73D70FC8"/>
    <w:rsid w:val="73E7CF11"/>
    <w:rsid w:val="74026044"/>
    <w:rsid w:val="742222F5"/>
    <w:rsid w:val="74476126"/>
    <w:rsid w:val="744C72C0"/>
    <w:rsid w:val="74706664"/>
    <w:rsid w:val="747F3682"/>
    <w:rsid w:val="749C4185"/>
    <w:rsid w:val="74C01A5C"/>
    <w:rsid w:val="74E27C24"/>
    <w:rsid w:val="74E474F8"/>
    <w:rsid w:val="75067759"/>
    <w:rsid w:val="752E6DCD"/>
    <w:rsid w:val="75481873"/>
    <w:rsid w:val="7551380D"/>
    <w:rsid w:val="75600BE5"/>
    <w:rsid w:val="7564475C"/>
    <w:rsid w:val="75664928"/>
    <w:rsid w:val="75834F63"/>
    <w:rsid w:val="7583797F"/>
    <w:rsid w:val="759E16C4"/>
    <w:rsid w:val="75B4336E"/>
    <w:rsid w:val="75BC66C7"/>
    <w:rsid w:val="75D20F1D"/>
    <w:rsid w:val="75D22519"/>
    <w:rsid w:val="75D94B83"/>
    <w:rsid w:val="75DA2C18"/>
    <w:rsid w:val="75F54412"/>
    <w:rsid w:val="761D08E0"/>
    <w:rsid w:val="762878B8"/>
    <w:rsid w:val="763E70DC"/>
    <w:rsid w:val="765D347C"/>
    <w:rsid w:val="76826699"/>
    <w:rsid w:val="76911902"/>
    <w:rsid w:val="769136B0"/>
    <w:rsid w:val="76A35191"/>
    <w:rsid w:val="76C87133"/>
    <w:rsid w:val="76CD08D5"/>
    <w:rsid w:val="76DB4B92"/>
    <w:rsid w:val="76F65C09"/>
    <w:rsid w:val="76FB4FCD"/>
    <w:rsid w:val="76FD013A"/>
    <w:rsid w:val="76FF2D0F"/>
    <w:rsid w:val="770025E3"/>
    <w:rsid w:val="77052AA4"/>
    <w:rsid w:val="77136511"/>
    <w:rsid w:val="77275DC2"/>
    <w:rsid w:val="77304C77"/>
    <w:rsid w:val="77336515"/>
    <w:rsid w:val="77340A39"/>
    <w:rsid w:val="77351FD0"/>
    <w:rsid w:val="77472422"/>
    <w:rsid w:val="777F31F2"/>
    <w:rsid w:val="77A80CB1"/>
    <w:rsid w:val="77D1700D"/>
    <w:rsid w:val="77E51F05"/>
    <w:rsid w:val="77EC04CC"/>
    <w:rsid w:val="782E3942"/>
    <w:rsid w:val="786077DD"/>
    <w:rsid w:val="78775729"/>
    <w:rsid w:val="78830507"/>
    <w:rsid w:val="7899684C"/>
    <w:rsid w:val="78A42DB0"/>
    <w:rsid w:val="78A656AB"/>
    <w:rsid w:val="78B2245C"/>
    <w:rsid w:val="78C338C8"/>
    <w:rsid w:val="78E172CC"/>
    <w:rsid w:val="78EA1D1F"/>
    <w:rsid w:val="7904172F"/>
    <w:rsid w:val="790617D3"/>
    <w:rsid w:val="790F7E27"/>
    <w:rsid w:val="79116D2A"/>
    <w:rsid w:val="792A231A"/>
    <w:rsid w:val="792E3438"/>
    <w:rsid w:val="79316829"/>
    <w:rsid w:val="796B468C"/>
    <w:rsid w:val="79751067"/>
    <w:rsid w:val="797E66A9"/>
    <w:rsid w:val="798518A4"/>
    <w:rsid w:val="79863274"/>
    <w:rsid w:val="79A97383"/>
    <w:rsid w:val="79E27E8B"/>
    <w:rsid w:val="79F04B91"/>
    <w:rsid w:val="79F850CE"/>
    <w:rsid w:val="79FD443C"/>
    <w:rsid w:val="79FF4DD4"/>
    <w:rsid w:val="7A0B19CB"/>
    <w:rsid w:val="7A1D1975"/>
    <w:rsid w:val="7A212F9C"/>
    <w:rsid w:val="7A3E5150"/>
    <w:rsid w:val="7A4670D6"/>
    <w:rsid w:val="7A534B63"/>
    <w:rsid w:val="7A615382"/>
    <w:rsid w:val="7A67303B"/>
    <w:rsid w:val="7A8D418E"/>
    <w:rsid w:val="7AA240DD"/>
    <w:rsid w:val="7AAB1D04"/>
    <w:rsid w:val="7AAC4F5C"/>
    <w:rsid w:val="7ABA4368"/>
    <w:rsid w:val="7ACA3634"/>
    <w:rsid w:val="7AD05746"/>
    <w:rsid w:val="7AD9F3C3"/>
    <w:rsid w:val="7AFE32DE"/>
    <w:rsid w:val="7B072192"/>
    <w:rsid w:val="7B257FFD"/>
    <w:rsid w:val="7B273D20"/>
    <w:rsid w:val="7B340AAD"/>
    <w:rsid w:val="7B343476"/>
    <w:rsid w:val="7B537186"/>
    <w:rsid w:val="7B5A2978"/>
    <w:rsid w:val="7B5A7E4C"/>
    <w:rsid w:val="7B667AF9"/>
    <w:rsid w:val="7B7468F8"/>
    <w:rsid w:val="7B9652C4"/>
    <w:rsid w:val="7B9D6653"/>
    <w:rsid w:val="7BA23C69"/>
    <w:rsid w:val="7BA9702E"/>
    <w:rsid w:val="7BC41E31"/>
    <w:rsid w:val="7BE44282"/>
    <w:rsid w:val="7BEE0103"/>
    <w:rsid w:val="7BF070CA"/>
    <w:rsid w:val="7C0A0FE4"/>
    <w:rsid w:val="7C1A7CA3"/>
    <w:rsid w:val="7C254906"/>
    <w:rsid w:val="7C296138"/>
    <w:rsid w:val="7C3A6597"/>
    <w:rsid w:val="7C4F2043"/>
    <w:rsid w:val="7C590818"/>
    <w:rsid w:val="7C7C10F6"/>
    <w:rsid w:val="7C853BEA"/>
    <w:rsid w:val="7C881368"/>
    <w:rsid w:val="7CE0713F"/>
    <w:rsid w:val="7CE27788"/>
    <w:rsid w:val="7D060228"/>
    <w:rsid w:val="7D0C28C8"/>
    <w:rsid w:val="7D0C32F1"/>
    <w:rsid w:val="7D0F408D"/>
    <w:rsid w:val="7D491C6C"/>
    <w:rsid w:val="7D5429C0"/>
    <w:rsid w:val="7D6E6D43"/>
    <w:rsid w:val="7D733B0F"/>
    <w:rsid w:val="7D951CD7"/>
    <w:rsid w:val="7D9D293A"/>
    <w:rsid w:val="7DB57A34"/>
    <w:rsid w:val="7DC3502D"/>
    <w:rsid w:val="7DE60973"/>
    <w:rsid w:val="7DEF0916"/>
    <w:rsid w:val="7E094473"/>
    <w:rsid w:val="7E1A042F"/>
    <w:rsid w:val="7E1E5218"/>
    <w:rsid w:val="7E290672"/>
    <w:rsid w:val="7E431733"/>
    <w:rsid w:val="7E7318ED"/>
    <w:rsid w:val="7E8F4979"/>
    <w:rsid w:val="7E9A4E1F"/>
    <w:rsid w:val="7EA7723A"/>
    <w:rsid w:val="7EB20667"/>
    <w:rsid w:val="7EF56FBB"/>
    <w:rsid w:val="7F0768EB"/>
    <w:rsid w:val="7F143BEC"/>
    <w:rsid w:val="7F286B7B"/>
    <w:rsid w:val="7F6B4C36"/>
    <w:rsid w:val="7F715AF2"/>
    <w:rsid w:val="7F7D2A23"/>
    <w:rsid w:val="7F886E69"/>
    <w:rsid w:val="7F8E0A36"/>
    <w:rsid w:val="7FAC50B6"/>
    <w:rsid w:val="7FC543CA"/>
    <w:rsid w:val="7FDC1E3F"/>
    <w:rsid w:val="7FF703A1"/>
    <w:rsid w:val="7FF94730"/>
    <w:rsid w:val="BB7FA927"/>
    <w:rsid w:val="F5FFD31F"/>
    <w:rsid w:val="F6FF6924"/>
    <w:rsid w:val="F7FADA1A"/>
    <w:rsid w:val="FB4BFE3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8"/>
    <w:qFormat/>
    <w:uiPriority w:val="0"/>
    <w:pPr>
      <w:keepNext/>
      <w:keepLines/>
      <w:tabs>
        <w:tab w:val="left" w:pos="900"/>
      </w:tabs>
      <w:spacing w:before="260" w:after="260" w:line="416" w:lineRule="auto"/>
      <w:ind w:left="900" w:hanging="720"/>
      <w:outlineLvl w:val="2"/>
    </w:pPr>
    <w:rPr>
      <w:b/>
      <w:bCs/>
      <w:sz w:val="32"/>
      <w:szCs w:val="32"/>
    </w:rPr>
  </w:style>
  <w:style w:type="paragraph" w:styleId="10">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1">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12">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3">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4">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5">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link w:val="321"/>
    <w:qFormat/>
    <w:uiPriority w:val="0"/>
    <w:pPr>
      <w:ind w:firstLine="420"/>
    </w:pPr>
    <w:rPr>
      <w:rFonts w:hAnsi="Calibri" w:cs="Times New Roman"/>
      <w:snapToGrid/>
      <w:szCs w:val="20"/>
    </w:rPr>
  </w:style>
  <w:style w:type="paragraph" w:styleId="3">
    <w:name w:val="Body Text"/>
    <w:basedOn w:val="1"/>
    <w:next w:val="2"/>
    <w:link w:val="430"/>
    <w:qFormat/>
    <w:uiPriority w:val="0"/>
    <w:pPr>
      <w:autoSpaceDE w:val="0"/>
      <w:autoSpaceDN w:val="0"/>
      <w:spacing w:line="360" w:lineRule="auto"/>
    </w:pPr>
    <w:rPr>
      <w:rFonts w:ascii="宋体" w:hAnsi="Arial" w:cs="Arial"/>
      <w:snapToGrid w:val="0"/>
      <w:sz w:val="24"/>
      <w:szCs w:val="21"/>
      <w:lang w:val="zh-CN"/>
    </w:rPr>
  </w:style>
  <w:style w:type="paragraph" w:styleId="4">
    <w:name w:val="toc 6"/>
    <w:basedOn w:val="1"/>
    <w:next w:val="1"/>
    <w:qFormat/>
    <w:uiPriority w:val="0"/>
    <w:pPr>
      <w:ind w:left="2100" w:leftChars="1000"/>
    </w:pPr>
  </w:style>
  <w:style w:type="paragraph" w:styleId="8">
    <w:name w:val="Normal Indent"/>
    <w:basedOn w:val="1"/>
    <w:next w:val="9"/>
    <w:link w:val="194"/>
    <w:qFormat/>
    <w:uiPriority w:val="0"/>
    <w:pPr>
      <w:widowControl/>
      <w:snapToGrid w:val="0"/>
      <w:spacing w:line="480" w:lineRule="exact"/>
      <w:ind w:firstLine="567"/>
    </w:pPr>
    <w:rPr>
      <w:rFonts w:ascii="宋体"/>
      <w:snapToGrid w:val="0"/>
      <w:color w:val="000000"/>
      <w:kern w:val="28"/>
      <w:sz w:val="28"/>
      <w:szCs w:val="20"/>
    </w:rPr>
  </w:style>
  <w:style w:type="paragraph" w:customStyle="1" w:styleId="9">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styleId="16">
    <w:name w:val="toc 7"/>
    <w:basedOn w:val="1"/>
    <w:next w:val="1"/>
    <w:qFormat/>
    <w:uiPriority w:val="0"/>
    <w:pPr>
      <w:ind w:left="2520" w:leftChars="1200"/>
    </w:pPr>
  </w:style>
  <w:style w:type="paragraph" w:styleId="17">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8">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9">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0">
    <w:name w:val="caption"/>
    <w:basedOn w:val="1"/>
    <w:next w:val="1"/>
    <w:link w:val="230"/>
    <w:qFormat/>
    <w:uiPriority w:val="0"/>
    <w:rPr>
      <w:b/>
      <w:sz w:val="28"/>
      <w:szCs w:val="20"/>
    </w:rPr>
  </w:style>
  <w:style w:type="paragraph" w:styleId="21">
    <w:name w:val="index 5"/>
    <w:basedOn w:val="1"/>
    <w:next w:val="1"/>
    <w:qFormat/>
    <w:uiPriority w:val="0"/>
    <w:pPr>
      <w:adjustRightInd/>
      <w:ind w:left="800" w:leftChars="800" w:firstLine="200" w:firstLineChars="200"/>
    </w:pPr>
  </w:style>
  <w:style w:type="paragraph" w:styleId="22">
    <w:name w:val="Document Map"/>
    <w:basedOn w:val="1"/>
    <w:link w:val="203"/>
    <w:qFormat/>
    <w:uiPriority w:val="0"/>
    <w:pPr>
      <w:shd w:val="clear" w:color="auto" w:fill="000080"/>
    </w:pPr>
  </w:style>
  <w:style w:type="paragraph" w:styleId="23">
    <w:name w:val="annotation text"/>
    <w:basedOn w:val="1"/>
    <w:link w:val="344"/>
    <w:qFormat/>
    <w:uiPriority w:val="99"/>
    <w:pPr>
      <w:jc w:val="left"/>
    </w:pPr>
  </w:style>
  <w:style w:type="paragraph" w:styleId="24">
    <w:name w:val="Salutation"/>
    <w:basedOn w:val="1"/>
    <w:next w:val="1"/>
    <w:link w:val="298"/>
    <w:qFormat/>
    <w:uiPriority w:val="0"/>
    <w:rPr>
      <w:rFonts w:ascii="仿宋_GB2312" w:eastAsia="仿宋_GB2312"/>
      <w:sz w:val="28"/>
      <w:szCs w:val="20"/>
    </w:rPr>
  </w:style>
  <w:style w:type="paragraph" w:styleId="25">
    <w:name w:val="Body Text 3"/>
    <w:basedOn w:val="1"/>
    <w:link w:val="330"/>
    <w:qFormat/>
    <w:uiPriority w:val="0"/>
    <w:pPr>
      <w:jc w:val="center"/>
    </w:pPr>
    <w:rPr>
      <w:szCs w:val="20"/>
    </w:rPr>
  </w:style>
  <w:style w:type="paragraph" w:styleId="26">
    <w:name w:val="List Bullet 3"/>
    <w:basedOn w:val="1"/>
    <w:unhideWhenUsed/>
    <w:qFormat/>
    <w:uiPriority w:val="0"/>
    <w:pPr>
      <w:snapToGrid w:val="0"/>
      <w:spacing w:line="360" w:lineRule="auto"/>
      <w:ind w:left="360" w:right="238" w:hanging="360"/>
      <w:contextualSpacing/>
    </w:pPr>
    <w:rPr>
      <w:sz w:val="24"/>
    </w:rPr>
  </w:style>
  <w:style w:type="paragraph" w:styleId="27">
    <w:name w:val="Body Text Indent"/>
    <w:basedOn w:val="1"/>
    <w:link w:val="265"/>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6"/>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2"/>
    <w:qFormat/>
    <w:uiPriority w:val="0"/>
    <w:pPr>
      <w:ind w:left="100" w:leftChars="2500"/>
    </w:pPr>
    <w:rPr>
      <w:rFonts w:ascii="宋体"/>
      <w:sz w:val="24"/>
      <w:szCs w:val="21"/>
      <w:lang w:val="zh-CN"/>
    </w:rPr>
  </w:style>
  <w:style w:type="paragraph" w:styleId="39">
    <w:name w:val="Body Text Indent 2"/>
    <w:basedOn w:val="1"/>
    <w:link w:val="308"/>
    <w:qFormat/>
    <w:uiPriority w:val="0"/>
    <w:pPr>
      <w:spacing w:line="360" w:lineRule="auto"/>
      <w:ind w:firstLine="601"/>
      <w:textAlignment w:val="baseline"/>
    </w:pPr>
    <w:rPr>
      <w:rFonts w:ascii="宋体"/>
      <w:kern w:val="0"/>
      <w:sz w:val="28"/>
      <w:szCs w:val="20"/>
    </w:rPr>
  </w:style>
  <w:style w:type="paragraph" w:styleId="40">
    <w:name w:val="endnote text"/>
    <w:basedOn w:val="1"/>
    <w:link w:val="932"/>
    <w:qFormat/>
    <w:uiPriority w:val="0"/>
    <w:rPr>
      <w:lang w:val="zh-CN"/>
    </w:rPr>
  </w:style>
  <w:style w:type="paragraph" w:styleId="41">
    <w:name w:val="Balloon Text"/>
    <w:basedOn w:val="1"/>
    <w:link w:val="189"/>
    <w:qFormat/>
    <w:uiPriority w:val="0"/>
    <w:rPr>
      <w:sz w:val="18"/>
      <w:szCs w:val="18"/>
    </w:rPr>
  </w:style>
  <w:style w:type="paragraph" w:styleId="42">
    <w:name w:val="footer"/>
    <w:basedOn w:val="1"/>
    <w:link w:val="383"/>
    <w:qFormat/>
    <w:uiPriority w:val="99"/>
    <w:pPr>
      <w:tabs>
        <w:tab w:val="center" w:pos="4153"/>
        <w:tab w:val="right" w:pos="8306"/>
      </w:tabs>
      <w:snapToGrid w:val="0"/>
      <w:jc w:val="left"/>
    </w:pPr>
    <w:rPr>
      <w:sz w:val="18"/>
      <w:szCs w:val="18"/>
    </w:rPr>
  </w:style>
  <w:style w:type="paragraph" w:styleId="43">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8"/>
    <w:link w:val="310"/>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5"/>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2"/>
    <w:qFormat/>
    <w:uiPriority w:val="0"/>
    <w:pPr>
      <w:spacing w:after="120" w:line="480" w:lineRule="auto"/>
    </w:pPr>
  </w:style>
  <w:style w:type="paragraph" w:styleId="58">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3"/>
    <w:next w:val="23"/>
    <w:link w:val="97"/>
    <w:qFormat/>
    <w:uiPriority w:val="0"/>
    <w:rPr>
      <w:b/>
      <w:bCs/>
    </w:rPr>
  </w:style>
  <w:style w:type="paragraph" w:styleId="62">
    <w:name w:val="Body Text First Indent 2"/>
    <w:basedOn w:val="27"/>
    <w:link w:val="122"/>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1"/>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0"/>
    <w:qFormat/>
    <w:uiPriority w:val="0"/>
    <w:rPr>
      <w:rFonts w:ascii="Arial" w:hAnsi="Arial" w:eastAsia="黑体" w:cs="Arial"/>
      <w:snapToGrid w:val="0"/>
      <w:kern w:val="0"/>
      <w:szCs w:val="21"/>
    </w:rPr>
  </w:style>
  <w:style w:type="character" w:customStyle="1" w:styleId="126">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9"/>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12"/>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6"/>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8"/>
    <w:qFormat/>
    <w:uiPriority w:val="0"/>
    <w:rPr>
      <w:rFonts w:ascii="宋体"/>
      <w:kern w:val="2"/>
      <w:sz w:val="24"/>
      <w:szCs w:val="21"/>
      <w:lang w:val="zh-CN"/>
    </w:rPr>
  </w:style>
  <w:style w:type="character" w:customStyle="1" w:styleId="183">
    <w:name w:val="标题 9 Char"/>
    <w:link w:val="15"/>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Char"/>
    <w:link w:val="41"/>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8"/>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22"/>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0"/>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2"/>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10"/>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20"/>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9"/>
    <w:qFormat/>
    <w:uiPriority w:val="0"/>
    <w:rPr>
      <w:rFonts w:ascii="仿宋_GB2312"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7"/>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5"/>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60"/>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11"/>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4"/>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8"/>
    <w:qFormat/>
    <w:uiPriority w:val="0"/>
    <w:rPr>
      <w:rFonts w:ascii="黑体" w:hAnsi="Courier New" w:eastAsia="黑体"/>
    </w:rPr>
  </w:style>
  <w:style w:type="character" w:customStyle="1" w:styleId="302">
    <w:name w:val="正文文本 2 Char1"/>
    <w:link w:val="57"/>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10"/>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3"/>
    <w:qFormat/>
    <w:uiPriority w:val="0"/>
    <w:rPr>
      <w:b/>
      <w:bCs/>
      <w:kern w:val="2"/>
      <w:sz w:val="24"/>
      <w:szCs w:val="24"/>
    </w:rPr>
  </w:style>
  <w:style w:type="character" w:customStyle="1" w:styleId="308">
    <w:name w:val="正文文本缩进 2 Char"/>
    <w:link w:val="39"/>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2"/>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10"/>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5"/>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3"/>
    <w:qFormat/>
    <w:uiPriority w:val="99"/>
    <w:rPr>
      <w:kern w:val="2"/>
      <w:sz w:val="21"/>
      <w:szCs w:val="24"/>
    </w:rPr>
  </w:style>
  <w:style w:type="character" w:customStyle="1" w:styleId="345">
    <w:name w:val="签名 Char"/>
    <w:link w:val="44"/>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4"/>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4"/>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2"/>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3"/>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70"/>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8"/>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431">
    <w:name w:val="gray6"/>
    <w:basedOn w:val="70"/>
    <w:qFormat/>
    <w:uiPriority w:val="0"/>
    <w:rPr>
      <w:rFonts w:ascii="Arial" w:hAnsi="Arial" w:eastAsia="黑体" w:cs="Arial"/>
      <w:snapToGrid w:val="0"/>
      <w:kern w:val="0"/>
      <w:szCs w:val="21"/>
    </w:rPr>
  </w:style>
  <w:style w:type="character" w:customStyle="1" w:styleId="432">
    <w:name w:val="hui"/>
    <w:basedOn w:val="70"/>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10"/>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6"/>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12"/>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6"/>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7"/>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11"/>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7"/>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8"/>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10"/>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6"/>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9"/>
    <w:next w:val="9"/>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9"/>
    <w:next w:val="9"/>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7"/>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6"/>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7"/>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5"/>
    <w:qFormat/>
    <w:uiPriority w:val="0"/>
    <w:pPr>
      <w:tabs>
        <w:tab w:val="left" w:pos="840"/>
      </w:tabs>
      <w:adjustRightInd/>
      <w:ind w:left="840" w:hanging="420"/>
    </w:pPr>
  </w:style>
  <w:style w:type="paragraph" w:customStyle="1" w:styleId="626">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10"/>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6"/>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6"/>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10"/>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9"/>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7"/>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20"/>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8"/>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7"/>
    <w:next w:val="54"/>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10"/>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7"/>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9"/>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2"/>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11"/>
    <w:next w:val="1"/>
    <w:qFormat/>
    <w:uiPriority w:val="0"/>
    <w:pPr>
      <w:tabs>
        <w:tab w:val="left" w:pos="1080"/>
      </w:tabs>
      <w:ind w:left="1080" w:hanging="1080"/>
    </w:pPr>
  </w:style>
  <w:style w:type="paragraph" w:customStyle="1" w:styleId="897">
    <w:name w:val="数字标题1"/>
    <w:basedOn w:val="5"/>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40"/>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0"/>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63</Pages>
  <Words>9571</Words>
  <Characters>10371</Characters>
  <Lines>281</Lines>
  <Paragraphs>79</Paragraphs>
  <TotalTime>0</TotalTime>
  <ScaleCrop>false</ScaleCrop>
  <LinksUpToDate>false</LinksUpToDate>
  <CharactersWithSpaces>10757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2021-07-31T08:22:00Z</dcterms:created>
  <dc:creator>玥</dc:creator>
  <cp:lastModifiedBy>代理公司夏超</cp:lastModifiedBy>
  <cp:lastPrinted>2025-03-25T15:48:00Z</cp:lastPrinted>
  <dcterms:modified xsi:type="dcterms:W3CDTF">2025-04-05T14:24:46Z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y fmtid="{D5CDD505-2E9C-101B-9397-08002B2CF9AE}" pid="5" name="KSOTemplateDocerSaveRecord">
    <vt:lpwstr>eyJoZGlkIjoiN2YzNjBkOTgyNWQ1YTMxYzM3MzMwNWFiODNmOWIzYWMiLCJ1c2VySWQiOiIxMDEzMjc2NTgzIn0=</vt:lpwstr>
  </property>
</Properties>
</file>