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AA44">
      <w:pPr>
        <w:spacing w:line="360" w:lineRule="auto"/>
        <w:jc w:val="center"/>
        <w:rPr>
          <w:rFonts w:ascii="仿宋" w:hAnsi="仿宋"/>
          <w:color w:val="auto"/>
          <w:sz w:val="52"/>
          <w:szCs w:val="27"/>
          <w:highlight w:val="none"/>
        </w:rPr>
      </w:pPr>
      <w:r>
        <w:rPr>
          <w:rFonts w:hint="eastAsia" w:ascii="仿宋" w:hAnsi="仿宋"/>
          <w:color w:val="auto"/>
          <w:sz w:val="52"/>
          <w:szCs w:val="27"/>
          <w:highlight w:val="none"/>
        </w:rPr>
        <w:t>2025-2026年度产品质量监督抽查项目</w:t>
      </w:r>
    </w:p>
    <w:p w14:paraId="4DFEF073">
      <w:pPr>
        <w:spacing w:line="360" w:lineRule="auto"/>
        <w:jc w:val="center"/>
        <w:rPr>
          <w:bCs/>
          <w:color w:val="auto"/>
          <w:sz w:val="40"/>
          <w:szCs w:val="28"/>
          <w:highlight w:val="none"/>
        </w:rPr>
      </w:pPr>
      <w:r>
        <w:rPr>
          <w:rFonts w:hint="eastAsia"/>
          <w:bCs/>
          <w:color w:val="auto"/>
          <w:sz w:val="36"/>
          <w:szCs w:val="24"/>
          <w:highlight w:val="none"/>
        </w:rPr>
        <w:t>（项目编号：</w:t>
      </w:r>
      <w:r>
        <w:rPr>
          <w:rFonts w:hint="eastAsia"/>
          <w:bCs/>
          <w:color w:val="auto"/>
          <w:sz w:val="36"/>
          <w:szCs w:val="24"/>
          <w:highlight w:val="none"/>
          <w:lang w:eastAsia="zh-CN"/>
        </w:rPr>
        <w:t>DFJWSZ-20250109YM</w:t>
      </w:r>
      <w:r>
        <w:rPr>
          <w:rFonts w:hint="eastAsia"/>
          <w:bCs/>
          <w:color w:val="auto"/>
          <w:sz w:val="36"/>
          <w:szCs w:val="24"/>
          <w:highlight w:val="none"/>
        </w:rPr>
        <w:t>）</w:t>
      </w:r>
    </w:p>
    <w:p w14:paraId="43F081D7">
      <w:pPr>
        <w:spacing w:line="360" w:lineRule="auto"/>
        <w:jc w:val="center"/>
        <w:rPr>
          <w:rFonts w:ascii="宋体" w:hAnsi="宋体"/>
          <w:b/>
          <w:color w:val="auto"/>
          <w:w w:val="150"/>
          <w:sz w:val="44"/>
          <w:highlight w:val="none"/>
        </w:rPr>
      </w:pPr>
    </w:p>
    <w:p w14:paraId="07252517">
      <w:pPr>
        <w:snapToGrid w:val="0"/>
        <w:spacing w:line="360" w:lineRule="auto"/>
        <w:rPr>
          <w:rFonts w:ascii="宋体" w:hAnsi="宋体"/>
          <w:b/>
          <w:color w:val="auto"/>
          <w:sz w:val="52"/>
          <w:szCs w:val="52"/>
          <w:highlight w:val="none"/>
        </w:rPr>
      </w:pPr>
    </w:p>
    <w:p w14:paraId="3A2E78D7">
      <w:pPr>
        <w:snapToGrid w:val="0"/>
        <w:spacing w:line="360" w:lineRule="auto"/>
        <w:jc w:val="center"/>
        <w:rPr>
          <w:rFonts w:ascii="宋体" w:hAnsi="宋体"/>
          <w:b/>
          <w:color w:val="auto"/>
          <w:sz w:val="52"/>
          <w:szCs w:val="52"/>
          <w:highlight w:val="none"/>
        </w:rPr>
      </w:pPr>
    </w:p>
    <w:p w14:paraId="378CCAC5">
      <w:pPr>
        <w:pStyle w:val="6"/>
        <w:spacing w:line="360" w:lineRule="auto"/>
        <w:rPr>
          <w:rFonts w:hAnsi="宋体"/>
          <w:b/>
          <w:color w:val="auto"/>
          <w:sz w:val="52"/>
          <w:szCs w:val="52"/>
          <w:highlight w:val="none"/>
        </w:rPr>
      </w:pPr>
    </w:p>
    <w:p w14:paraId="1CC5A2B6">
      <w:pPr>
        <w:pStyle w:val="5"/>
        <w:spacing w:line="360" w:lineRule="auto"/>
        <w:rPr>
          <w:color w:val="auto"/>
          <w:highlight w:val="none"/>
        </w:rPr>
      </w:pPr>
    </w:p>
    <w:p w14:paraId="6656193B">
      <w:pPr>
        <w:snapToGrid w:val="0"/>
        <w:spacing w:line="360" w:lineRule="auto"/>
        <w:jc w:val="center"/>
        <w:rPr>
          <w:rFonts w:ascii="宋体" w:hAnsi="宋体"/>
          <w:color w:val="auto"/>
          <w:sz w:val="52"/>
          <w:szCs w:val="52"/>
          <w:highlight w:val="none"/>
        </w:rPr>
      </w:pPr>
      <w:r>
        <w:rPr>
          <w:rFonts w:hint="eastAsia" w:ascii="宋体" w:hAnsi="宋体"/>
          <w:color w:val="auto"/>
          <w:sz w:val="52"/>
          <w:szCs w:val="52"/>
          <w:highlight w:val="none"/>
        </w:rPr>
        <w:t>公开招标采购文件</w:t>
      </w:r>
    </w:p>
    <w:p w14:paraId="45945937">
      <w:pPr>
        <w:snapToGrid w:val="0"/>
        <w:spacing w:line="360" w:lineRule="auto"/>
        <w:jc w:val="center"/>
        <w:rPr>
          <w:rFonts w:ascii="宋体" w:hAnsi="宋体"/>
          <w:color w:val="auto"/>
          <w:sz w:val="40"/>
          <w:szCs w:val="72"/>
          <w:highlight w:val="none"/>
        </w:rPr>
      </w:pPr>
      <w:r>
        <w:rPr>
          <w:rFonts w:hint="eastAsia" w:ascii="宋体" w:hAnsi="宋体"/>
          <w:color w:val="auto"/>
          <w:sz w:val="40"/>
          <w:szCs w:val="72"/>
          <w:highlight w:val="none"/>
        </w:rPr>
        <w:t>（线上电子招投标）</w:t>
      </w:r>
    </w:p>
    <w:p w14:paraId="0E442269">
      <w:pPr>
        <w:spacing w:line="360" w:lineRule="auto"/>
        <w:jc w:val="center"/>
        <w:rPr>
          <w:rFonts w:ascii="宋体" w:hAnsi="宋体"/>
          <w:b/>
          <w:color w:val="auto"/>
          <w:w w:val="150"/>
          <w:sz w:val="44"/>
          <w:highlight w:val="none"/>
        </w:rPr>
      </w:pPr>
    </w:p>
    <w:p w14:paraId="7836378F">
      <w:pPr>
        <w:spacing w:line="360" w:lineRule="auto"/>
        <w:rPr>
          <w:rFonts w:ascii="宋体" w:hAnsi="宋体"/>
          <w:color w:val="auto"/>
          <w:sz w:val="44"/>
          <w:highlight w:val="none"/>
        </w:rPr>
      </w:pPr>
    </w:p>
    <w:p w14:paraId="20435D15">
      <w:pPr>
        <w:spacing w:line="360" w:lineRule="auto"/>
        <w:rPr>
          <w:rFonts w:ascii="宋体" w:hAnsi="宋体"/>
          <w:bCs/>
          <w:color w:val="auto"/>
          <w:sz w:val="36"/>
          <w:highlight w:val="none"/>
        </w:rPr>
      </w:pPr>
    </w:p>
    <w:p w14:paraId="171D7643">
      <w:pPr>
        <w:spacing w:line="360" w:lineRule="auto"/>
        <w:jc w:val="center"/>
        <w:rPr>
          <w:rFonts w:ascii="宋体" w:hAnsi="宋体"/>
          <w:bCs/>
          <w:color w:val="auto"/>
          <w:sz w:val="36"/>
          <w:highlight w:val="none"/>
        </w:rPr>
      </w:pPr>
      <w:r>
        <w:rPr>
          <w:rFonts w:hint="eastAsia" w:ascii="宋体" w:hAnsi="宋体"/>
          <w:bCs/>
          <w:color w:val="auto"/>
          <w:sz w:val="36"/>
          <w:highlight w:val="none"/>
        </w:rPr>
        <w:t>采购单位：嵊州市市场监督管理局</w:t>
      </w:r>
    </w:p>
    <w:p w14:paraId="684DC314">
      <w:pPr>
        <w:spacing w:line="360" w:lineRule="auto"/>
        <w:jc w:val="center"/>
        <w:rPr>
          <w:rFonts w:ascii="宋体" w:hAnsi="宋体"/>
          <w:bCs/>
          <w:color w:val="auto"/>
          <w:sz w:val="36"/>
          <w:highlight w:val="none"/>
        </w:rPr>
      </w:pPr>
      <w:r>
        <w:rPr>
          <w:rFonts w:hint="eastAsia" w:ascii="宋体" w:hAnsi="宋体"/>
          <w:bCs/>
          <w:color w:val="auto"/>
          <w:sz w:val="36"/>
          <w:highlight w:val="none"/>
        </w:rPr>
        <w:t>采购代理机构：东方经纬项目管理有限公司</w:t>
      </w:r>
    </w:p>
    <w:p w14:paraId="27EF69E8">
      <w:pPr>
        <w:pStyle w:val="47"/>
        <w:widowControl w:val="0"/>
        <w:spacing w:line="360" w:lineRule="auto"/>
        <w:jc w:val="center"/>
        <w:rPr>
          <w:rFonts w:ascii="宋体" w:hAnsi="宋体" w:eastAsia="宋体" w:cs="宋体"/>
          <w:color w:val="auto"/>
          <w:highlight w:val="none"/>
        </w:rPr>
      </w:pPr>
      <w:bookmarkStart w:id="0" w:name="用户单位名称"/>
      <w:bookmarkEnd w:id="0"/>
      <w:bookmarkStart w:id="1" w:name="_Toc105829294"/>
      <w:bookmarkStart w:id="2" w:name="_Toc180555915"/>
      <w:r>
        <w:rPr>
          <w:rFonts w:hint="eastAsia" w:ascii="宋体" w:hAnsi="宋体" w:eastAsia="宋体" w:cs="宋体"/>
          <w:bCs/>
          <w:color w:val="auto"/>
          <w:szCs w:val="32"/>
          <w:highlight w:val="none"/>
        </w:rPr>
        <w:t>日期：202</w:t>
      </w:r>
      <w:r>
        <w:rPr>
          <w:rFonts w:hint="eastAsia" w:ascii="宋体" w:hAnsi="宋体" w:eastAsia="宋体" w:cs="宋体"/>
          <w:bCs/>
          <w:color w:val="auto"/>
          <w:szCs w:val="32"/>
          <w:highlight w:val="none"/>
          <w:lang w:val="en-US" w:eastAsia="zh-CN"/>
        </w:rPr>
        <w:t>5</w:t>
      </w:r>
      <w:r>
        <w:rPr>
          <w:rFonts w:hint="eastAsia" w:ascii="宋体" w:hAnsi="宋体" w:eastAsia="宋体" w:cs="宋体"/>
          <w:bCs/>
          <w:color w:val="auto"/>
          <w:szCs w:val="32"/>
          <w:highlight w:val="none"/>
        </w:rPr>
        <w:t>年</w:t>
      </w:r>
      <w:r>
        <w:rPr>
          <w:rFonts w:hint="eastAsia" w:ascii="宋体" w:hAnsi="宋体" w:eastAsia="宋体"/>
          <w:bCs/>
          <w:color w:val="auto"/>
          <w:szCs w:val="32"/>
          <w:highlight w:val="none"/>
          <w:lang w:val="en-US" w:eastAsia="zh-CN"/>
        </w:rPr>
        <w:t>1</w:t>
      </w:r>
      <w:r>
        <w:rPr>
          <w:rFonts w:hint="eastAsia" w:ascii="宋体" w:hAnsi="宋体" w:eastAsia="宋体" w:cs="宋体"/>
          <w:bCs/>
          <w:color w:val="auto"/>
          <w:szCs w:val="32"/>
          <w:highlight w:val="none"/>
        </w:rPr>
        <w:t>月</w:t>
      </w:r>
      <w:bookmarkStart w:id="3" w:name="_Toc304551308"/>
      <w:bookmarkStart w:id="4" w:name="_Toc248065034"/>
      <w:bookmarkStart w:id="5" w:name="_Toc226337756"/>
      <w:bookmarkStart w:id="6" w:name="_Toc340322162"/>
      <w:bookmarkStart w:id="7" w:name="_Toc10071"/>
      <w:bookmarkStart w:id="8" w:name="_Toc339302123"/>
      <w:bookmarkStart w:id="9" w:name="_Toc340321907"/>
    </w:p>
    <w:p w14:paraId="0336E87F">
      <w:pPr>
        <w:pStyle w:val="47"/>
        <w:widowControl w:val="0"/>
        <w:spacing w:line="360" w:lineRule="auto"/>
        <w:rPr>
          <w:rFonts w:ascii="宋体" w:hAnsi="宋体" w:eastAsia="宋体" w:cs="宋体"/>
          <w:b/>
          <w:bCs/>
          <w:color w:val="auto"/>
          <w:sz w:val="44"/>
          <w:szCs w:val="44"/>
          <w:highlight w:val="none"/>
        </w:rPr>
      </w:pPr>
    </w:p>
    <w:p w14:paraId="79A37175">
      <w:pPr>
        <w:rPr>
          <w:color w:val="auto"/>
          <w:highlight w:val="none"/>
        </w:rPr>
      </w:pPr>
    </w:p>
    <w:p w14:paraId="5443ACE6">
      <w:pPr>
        <w:pStyle w:val="433"/>
        <w:spacing w:line="360" w:lineRule="auto"/>
        <w:jc w:val="center"/>
        <w:rPr>
          <w:color w:val="auto"/>
          <w:highlight w:val="none"/>
        </w:rPr>
      </w:pPr>
      <w:r>
        <w:rPr>
          <w:color w:val="auto"/>
          <w:highlight w:val="none"/>
          <w:lang w:val="zh-CN"/>
        </w:rPr>
        <w:t>目</w:t>
      </w:r>
      <w:r>
        <w:rPr>
          <w:rFonts w:hint="eastAsia"/>
          <w:color w:val="auto"/>
          <w:highlight w:val="none"/>
          <w:lang w:val="zh-CN"/>
        </w:rPr>
        <w:t xml:space="preserve">    </w:t>
      </w:r>
      <w:r>
        <w:rPr>
          <w:color w:val="auto"/>
          <w:highlight w:val="none"/>
          <w:lang w:val="zh-CN"/>
        </w:rPr>
        <w:t>录</w:t>
      </w:r>
    </w:p>
    <w:p w14:paraId="4FB457CA">
      <w:pPr>
        <w:pStyle w:val="55"/>
        <w:tabs>
          <w:tab w:val="right" w:leader="dot" w:pos="9016"/>
        </w:tabs>
        <w:rPr>
          <w:rFonts w:asciiTheme="minorHAnsi" w:hAnsiTheme="minorHAnsi" w:eastAsiaTheme="minorEastAsia" w:cstheme="minorBidi"/>
          <w:b w:val="0"/>
          <w:caps w:val="0"/>
          <w:color w:val="auto"/>
          <w:sz w:val="32"/>
          <w:szCs w:val="36"/>
          <w:highlight w:val="none"/>
        </w:rPr>
      </w:pPr>
      <w:r>
        <w:rPr>
          <w:rFonts w:ascii="宋体" w:hAnsi="宋体"/>
          <w:caps w:val="0"/>
          <w:color w:val="auto"/>
          <w:szCs w:val="24"/>
          <w:highlight w:val="none"/>
        </w:rPr>
        <w:fldChar w:fldCharType="begin"/>
      </w:r>
      <w:r>
        <w:rPr>
          <w:rFonts w:ascii="宋体" w:hAnsi="宋体"/>
          <w:caps w:val="0"/>
          <w:color w:val="auto"/>
          <w:szCs w:val="24"/>
          <w:highlight w:val="none"/>
        </w:rPr>
        <w:instrText xml:space="preserve"> TOC \o "1-1" \h \z \u </w:instrText>
      </w:r>
      <w:r>
        <w:rPr>
          <w:rFonts w:ascii="宋体" w:hAnsi="宋体"/>
          <w:caps w:val="0"/>
          <w:color w:val="auto"/>
          <w:szCs w:val="24"/>
          <w:highlight w:val="none"/>
        </w:rPr>
        <w:fldChar w:fldCharType="separate"/>
      </w:r>
      <w:r>
        <w:rPr>
          <w:color w:val="auto"/>
          <w:highlight w:val="none"/>
        </w:rPr>
        <w:fldChar w:fldCharType="begin"/>
      </w:r>
      <w:r>
        <w:rPr>
          <w:color w:val="auto"/>
          <w:highlight w:val="none"/>
        </w:rPr>
        <w:instrText xml:space="preserve"> HYPERLINK \l "_Toc118715097" </w:instrText>
      </w:r>
      <w:r>
        <w:rPr>
          <w:color w:val="auto"/>
          <w:highlight w:val="none"/>
        </w:rPr>
        <w:fldChar w:fldCharType="separate"/>
      </w:r>
      <w:r>
        <w:rPr>
          <w:rStyle w:val="87"/>
          <w:rFonts w:hint="eastAsia" w:hAnsi="宋体" w:cs="宋体"/>
          <w:color w:val="auto"/>
          <w:sz w:val="28"/>
          <w:szCs w:val="28"/>
          <w:highlight w:val="none"/>
        </w:rPr>
        <w:t>第一章</w:t>
      </w:r>
      <w:r>
        <w:rPr>
          <w:rStyle w:val="87"/>
          <w:rFonts w:hAnsi="宋体" w:cs="宋体"/>
          <w:color w:val="auto"/>
          <w:sz w:val="28"/>
          <w:szCs w:val="28"/>
          <w:highlight w:val="none"/>
        </w:rPr>
        <w:t xml:space="preserve">  </w:t>
      </w:r>
      <w:r>
        <w:rPr>
          <w:rStyle w:val="87"/>
          <w:rFonts w:hint="eastAsia" w:hAnsi="宋体" w:cs="宋体"/>
          <w:color w:val="auto"/>
          <w:sz w:val="28"/>
          <w:szCs w:val="28"/>
          <w:highlight w:val="none"/>
        </w:rPr>
        <w:t>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_Toc118715097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36165CE7">
      <w:pPr>
        <w:pStyle w:val="55"/>
        <w:tabs>
          <w:tab w:val="right" w:leader="dot" w:pos="9016"/>
        </w:tabs>
        <w:rPr>
          <w:rFonts w:asciiTheme="minorHAnsi" w:hAnsiTheme="minorHAnsi" w:eastAsiaTheme="minorEastAsia" w:cstheme="minorBidi"/>
          <w:b w:val="0"/>
          <w:caps w:val="0"/>
          <w:color w:val="auto"/>
          <w:sz w:val="32"/>
          <w:szCs w:val="36"/>
          <w:highlight w:val="none"/>
        </w:rPr>
      </w:pPr>
      <w:r>
        <w:rPr>
          <w:color w:val="auto"/>
          <w:highlight w:val="none"/>
        </w:rPr>
        <w:fldChar w:fldCharType="begin"/>
      </w:r>
      <w:r>
        <w:rPr>
          <w:color w:val="auto"/>
          <w:highlight w:val="none"/>
        </w:rPr>
        <w:instrText xml:space="preserve"> HYPERLINK \l "_Toc118715098" </w:instrText>
      </w:r>
      <w:r>
        <w:rPr>
          <w:color w:val="auto"/>
          <w:highlight w:val="none"/>
        </w:rPr>
        <w:fldChar w:fldCharType="separate"/>
      </w:r>
      <w:r>
        <w:rPr>
          <w:rStyle w:val="87"/>
          <w:rFonts w:hint="eastAsia" w:hAnsi="宋体" w:cs="宋体"/>
          <w:color w:val="auto"/>
          <w:sz w:val="28"/>
          <w:szCs w:val="28"/>
          <w:highlight w:val="none"/>
        </w:rPr>
        <w:t>第二章</w:t>
      </w:r>
      <w:r>
        <w:rPr>
          <w:rStyle w:val="87"/>
          <w:rFonts w:hAnsi="宋体" w:cs="宋体"/>
          <w:color w:val="auto"/>
          <w:sz w:val="28"/>
          <w:szCs w:val="28"/>
          <w:highlight w:val="none"/>
        </w:rPr>
        <w:t xml:space="preserve">  </w:t>
      </w:r>
      <w:r>
        <w:rPr>
          <w:rStyle w:val="87"/>
          <w:rFonts w:hint="eastAsia" w:hAnsi="宋体" w:cs="宋体"/>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_Toc118715098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376C5E05">
      <w:pPr>
        <w:pStyle w:val="55"/>
        <w:tabs>
          <w:tab w:val="right" w:leader="dot" w:pos="9016"/>
        </w:tabs>
        <w:rPr>
          <w:rFonts w:asciiTheme="minorHAnsi" w:hAnsiTheme="minorHAnsi" w:eastAsiaTheme="minorEastAsia" w:cstheme="minorBidi"/>
          <w:b w:val="0"/>
          <w:caps w:val="0"/>
          <w:color w:val="auto"/>
          <w:sz w:val="32"/>
          <w:szCs w:val="36"/>
          <w:highlight w:val="none"/>
        </w:rPr>
      </w:pPr>
      <w:r>
        <w:rPr>
          <w:color w:val="auto"/>
          <w:highlight w:val="none"/>
        </w:rPr>
        <w:fldChar w:fldCharType="begin"/>
      </w:r>
      <w:r>
        <w:rPr>
          <w:color w:val="auto"/>
          <w:highlight w:val="none"/>
        </w:rPr>
        <w:instrText xml:space="preserve"> HYPERLINK \l "_Toc118715099" </w:instrText>
      </w:r>
      <w:r>
        <w:rPr>
          <w:color w:val="auto"/>
          <w:highlight w:val="none"/>
        </w:rPr>
        <w:fldChar w:fldCharType="separate"/>
      </w:r>
      <w:r>
        <w:rPr>
          <w:rStyle w:val="87"/>
          <w:rFonts w:hint="eastAsia" w:hAnsi="宋体" w:cs="宋体"/>
          <w:color w:val="auto"/>
          <w:sz w:val="28"/>
          <w:szCs w:val="28"/>
          <w:highlight w:val="none"/>
        </w:rPr>
        <w:t>第三章</w:t>
      </w:r>
      <w:r>
        <w:rPr>
          <w:rStyle w:val="87"/>
          <w:rFonts w:hAnsi="宋体" w:cs="宋体"/>
          <w:color w:val="auto"/>
          <w:sz w:val="28"/>
          <w:szCs w:val="28"/>
          <w:highlight w:val="none"/>
        </w:rPr>
        <w:t xml:space="preserve"> </w:t>
      </w:r>
      <w:r>
        <w:rPr>
          <w:rStyle w:val="87"/>
          <w:rFonts w:hint="eastAsia" w:hAnsi="宋体" w:cs="宋体"/>
          <w:color w:val="auto"/>
          <w:sz w:val="28"/>
          <w:szCs w:val="28"/>
          <w:highlight w:val="none"/>
          <w:lang w:val="en-US" w:eastAsia="zh-CN"/>
        </w:rPr>
        <w:t xml:space="preserve"> </w:t>
      </w:r>
      <w:r>
        <w:rPr>
          <w:rStyle w:val="87"/>
          <w:rFonts w:hint="eastAsia" w:hAnsi="宋体" w:cs="宋体"/>
          <w:color w:val="auto"/>
          <w:sz w:val="28"/>
          <w:szCs w:val="28"/>
          <w:highlight w:val="none"/>
        </w:rPr>
        <w:t>项目招标范围及服务要求</w:t>
      </w:r>
      <w:r>
        <w:rPr>
          <w:color w:val="auto"/>
          <w:sz w:val="28"/>
          <w:szCs w:val="28"/>
          <w:highlight w:val="none"/>
        </w:rPr>
        <w:tab/>
      </w:r>
      <w:r>
        <w:rPr>
          <w:rFonts w:hint="eastAsia"/>
          <w:color w:val="auto"/>
          <w:sz w:val="28"/>
          <w:szCs w:val="28"/>
          <w:highlight w:val="none"/>
          <w:lang w:val="en-US" w:eastAsia="zh-CN"/>
        </w:rPr>
        <w:t>...........</w:t>
      </w:r>
      <w:r>
        <w:rPr>
          <w:color w:val="auto"/>
          <w:sz w:val="28"/>
          <w:szCs w:val="28"/>
          <w:highlight w:val="none"/>
        </w:rPr>
        <w:fldChar w:fldCharType="begin"/>
      </w:r>
      <w:r>
        <w:rPr>
          <w:color w:val="auto"/>
          <w:sz w:val="28"/>
          <w:szCs w:val="28"/>
          <w:highlight w:val="none"/>
        </w:rPr>
        <w:instrText xml:space="preserve"> PAGEREF _Toc118715099 \h </w:instrText>
      </w:r>
      <w:r>
        <w:rPr>
          <w:color w:val="auto"/>
          <w:sz w:val="28"/>
          <w:szCs w:val="28"/>
          <w:highlight w:val="none"/>
        </w:rPr>
        <w:fldChar w:fldCharType="separate"/>
      </w:r>
      <w:r>
        <w:rPr>
          <w:rFonts w:hint="eastAsia"/>
          <w:color w:val="auto"/>
          <w:sz w:val="28"/>
          <w:szCs w:val="28"/>
          <w:highlight w:val="none"/>
          <w:lang w:val="en-US" w:eastAsia="zh-CN"/>
        </w:rPr>
        <w:t>23</w:t>
      </w:r>
      <w:r>
        <w:rPr>
          <w:color w:val="auto"/>
          <w:sz w:val="28"/>
          <w:szCs w:val="28"/>
          <w:highlight w:val="none"/>
        </w:rPr>
        <w:fldChar w:fldCharType="end"/>
      </w:r>
      <w:r>
        <w:rPr>
          <w:color w:val="auto"/>
          <w:sz w:val="28"/>
          <w:szCs w:val="28"/>
          <w:highlight w:val="none"/>
        </w:rPr>
        <w:fldChar w:fldCharType="end"/>
      </w:r>
    </w:p>
    <w:p w14:paraId="7CA38639">
      <w:pPr>
        <w:pStyle w:val="55"/>
        <w:tabs>
          <w:tab w:val="right" w:leader="dot" w:pos="9016"/>
        </w:tabs>
        <w:rPr>
          <w:rFonts w:asciiTheme="minorHAnsi" w:hAnsiTheme="minorHAnsi" w:eastAsiaTheme="minorEastAsia" w:cstheme="minorBidi"/>
          <w:b w:val="0"/>
          <w:caps w:val="0"/>
          <w:color w:val="auto"/>
          <w:sz w:val="32"/>
          <w:szCs w:val="36"/>
          <w:highlight w:val="none"/>
        </w:rPr>
      </w:pPr>
      <w:r>
        <w:rPr>
          <w:color w:val="auto"/>
          <w:highlight w:val="none"/>
        </w:rPr>
        <w:fldChar w:fldCharType="begin"/>
      </w:r>
      <w:r>
        <w:rPr>
          <w:color w:val="auto"/>
          <w:highlight w:val="none"/>
        </w:rPr>
        <w:instrText xml:space="preserve"> HYPERLINK \l "_Toc118715100" </w:instrText>
      </w:r>
      <w:r>
        <w:rPr>
          <w:color w:val="auto"/>
          <w:highlight w:val="none"/>
        </w:rPr>
        <w:fldChar w:fldCharType="separate"/>
      </w:r>
      <w:r>
        <w:rPr>
          <w:rStyle w:val="87"/>
          <w:rFonts w:hint="eastAsia" w:hAnsi="宋体" w:cs="宋体"/>
          <w:color w:val="auto"/>
          <w:sz w:val="28"/>
          <w:szCs w:val="28"/>
          <w:highlight w:val="none"/>
        </w:rPr>
        <w:t>第四章</w:t>
      </w:r>
      <w:r>
        <w:rPr>
          <w:rStyle w:val="87"/>
          <w:rFonts w:hAnsi="宋体" w:cs="宋体"/>
          <w:color w:val="auto"/>
          <w:sz w:val="28"/>
          <w:szCs w:val="28"/>
          <w:highlight w:val="none"/>
        </w:rPr>
        <w:t xml:space="preserve">  </w:t>
      </w:r>
      <w:r>
        <w:rPr>
          <w:rStyle w:val="87"/>
          <w:rFonts w:hint="eastAsia" w:hAnsi="宋体" w:cs="宋体"/>
          <w:color w:val="auto"/>
          <w:sz w:val="28"/>
          <w:szCs w:val="28"/>
          <w:highlight w:val="none"/>
        </w:rPr>
        <w:t>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_Toc118715100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14:paraId="45AC6516">
      <w:pPr>
        <w:pStyle w:val="55"/>
        <w:tabs>
          <w:tab w:val="right" w:leader="dot" w:pos="9016"/>
        </w:tabs>
        <w:rPr>
          <w:rFonts w:asciiTheme="minorHAnsi" w:hAnsiTheme="minorHAnsi" w:eastAsiaTheme="minorEastAsia" w:cstheme="minorBidi"/>
          <w:b w:val="0"/>
          <w:caps w:val="0"/>
          <w:color w:val="auto"/>
          <w:sz w:val="32"/>
          <w:szCs w:val="36"/>
          <w:highlight w:val="none"/>
        </w:rPr>
      </w:pPr>
      <w:r>
        <w:rPr>
          <w:color w:val="auto"/>
          <w:highlight w:val="none"/>
        </w:rPr>
        <w:fldChar w:fldCharType="begin"/>
      </w:r>
      <w:r>
        <w:rPr>
          <w:color w:val="auto"/>
          <w:highlight w:val="none"/>
        </w:rPr>
        <w:instrText xml:space="preserve"> HYPERLINK \l "_Toc118715101" </w:instrText>
      </w:r>
      <w:r>
        <w:rPr>
          <w:color w:val="auto"/>
          <w:highlight w:val="none"/>
        </w:rPr>
        <w:fldChar w:fldCharType="separate"/>
      </w:r>
      <w:r>
        <w:rPr>
          <w:rStyle w:val="87"/>
          <w:rFonts w:hint="eastAsia" w:hAnsi="宋体"/>
          <w:color w:val="auto"/>
          <w:sz w:val="28"/>
          <w:szCs w:val="28"/>
          <w:highlight w:val="none"/>
        </w:rPr>
        <w:t>第五</w:t>
      </w:r>
      <w:r>
        <w:rPr>
          <w:rStyle w:val="87"/>
          <w:rFonts w:hint="eastAsia" w:hAnsi="宋体"/>
          <w:color w:val="auto"/>
          <w:sz w:val="28"/>
          <w:szCs w:val="28"/>
          <w:highlight w:val="none"/>
          <w:lang w:val="en-US" w:eastAsia="zh-CN"/>
        </w:rPr>
        <w:t xml:space="preserve">章  </w:t>
      </w:r>
      <w:r>
        <w:rPr>
          <w:rStyle w:val="87"/>
          <w:rFonts w:hint="eastAsia" w:hAnsi="宋体"/>
          <w:color w:val="auto"/>
          <w:sz w:val="28"/>
          <w:szCs w:val="28"/>
          <w:highlight w:val="none"/>
        </w:rPr>
        <w:t>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_Toc118715101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14:paraId="6B9F7F0B">
      <w:pPr>
        <w:pStyle w:val="55"/>
        <w:tabs>
          <w:tab w:val="right" w:leader="dot" w:pos="9016"/>
        </w:tabs>
        <w:rPr>
          <w:rFonts w:asciiTheme="minorHAnsi" w:hAnsiTheme="minorHAnsi" w:eastAsiaTheme="minorEastAsia" w:cstheme="minorBidi"/>
          <w:b w:val="0"/>
          <w:caps w:val="0"/>
          <w:color w:val="auto"/>
          <w:sz w:val="21"/>
          <w:szCs w:val="22"/>
          <w:highlight w:val="none"/>
        </w:rPr>
      </w:pPr>
      <w:r>
        <w:rPr>
          <w:color w:val="auto"/>
          <w:highlight w:val="none"/>
        </w:rPr>
        <w:fldChar w:fldCharType="begin"/>
      </w:r>
      <w:r>
        <w:rPr>
          <w:color w:val="auto"/>
          <w:highlight w:val="none"/>
        </w:rPr>
        <w:instrText xml:space="preserve"> HYPERLINK \l "_Toc118715102" </w:instrText>
      </w:r>
      <w:r>
        <w:rPr>
          <w:color w:val="auto"/>
          <w:highlight w:val="none"/>
        </w:rPr>
        <w:fldChar w:fldCharType="separate"/>
      </w:r>
      <w:r>
        <w:rPr>
          <w:rStyle w:val="87"/>
          <w:rFonts w:hint="eastAsia" w:hAnsi="宋体" w:cs="宋体"/>
          <w:bCs/>
          <w:color w:val="auto"/>
          <w:sz w:val="28"/>
          <w:szCs w:val="28"/>
          <w:highlight w:val="none"/>
        </w:rPr>
        <w:t>第六章</w:t>
      </w:r>
      <w:r>
        <w:rPr>
          <w:rStyle w:val="87"/>
          <w:rFonts w:hAnsi="宋体" w:cs="宋体"/>
          <w:bCs/>
          <w:color w:val="auto"/>
          <w:sz w:val="28"/>
          <w:szCs w:val="28"/>
          <w:highlight w:val="none"/>
        </w:rPr>
        <w:t xml:space="preserve">  </w:t>
      </w:r>
      <w:r>
        <w:rPr>
          <w:rStyle w:val="87"/>
          <w:rFonts w:hint="eastAsia" w:hAnsi="宋体" w:cs="宋体"/>
          <w:bCs/>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_Toc118715102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0A51F818">
      <w:pPr>
        <w:spacing w:line="360" w:lineRule="auto"/>
        <w:rPr>
          <w:color w:val="auto"/>
          <w:highlight w:val="none"/>
        </w:rPr>
      </w:pPr>
      <w:r>
        <w:rPr>
          <w:rFonts w:ascii="宋体" w:hAnsi="宋体"/>
          <w:caps/>
          <w:color w:val="auto"/>
          <w:szCs w:val="24"/>
          <w:highlight w:val="none"/>
        </w:rPr>
        <w:fldChar w:fldCharType="end"/>
      </w:r>
    </w:p>
    <w:p w14:paraId="67C358CE">
      <w:pPr>
        <w:spacing w:line="360" w:lineRule="auto"/>
        <w:rPr>
          <w:rFonts w:ascii="宋体" w:hAnsi="宋体"/>
          <w:color w:val="auto"/>
          <w:highlight w:val="none"/>
        </w:rPr>
      </w:pPr>
    </w:p>
    <w:p w14:paraId="7DB15217">
      <w:pPr>
        <w:spacing w:line="360" w:lineRule="auto"/>
        <w:rPr>
          <w:rFonts w:ascii="宋体" w:hAnsi="宋体"/>
          <w:color w:val="auto"/>
          <w:highlight w:val="none"/>
        </w:rPr>
      </w:pPr>
    </w:p>
    <w:p w14:paraId="16D8D2D0">
      <w:pPr>
        <w:pStyle w:val="55"/>
        <w:tabs>
          <w:tab w:val="right" w:leader="dot" w:pos="9282"/>
        </w:tabs>
        <w:spacing w:line="360" w:lineRule="auto"/>
        <w:rPr>
          <w:rFonts w:ascii="宋体" w:hAnsi="宋体"/>
          <w:b w:val="0"/>
          <w:caps w:val="0"/>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"1-2" \h \z \u </w:instrText>
      </w:r>
      <w:r>
        <w:rPr>
          <w:rFonts w:hint="eastAsia" w:ascii="宋体" w:hAnsi="宋体"/>
          <w:color w:val="auto"/>
          <w:sz w:val="28"/>
          <w:szCs w:val="28"/>
          <w:highlight w:val="none"/>
        </w:rPr>
        <w:fldChar w:fldCharType="separate"/>
      </w:r>
    </w:p>
    <w:p w14:paraId="326A2CC4">
      <w:pPr>
        <w:pStyle w:val="55"/>
        <w:tabs>
          <w:tab w:val="right" w:leader="dot" w:pos="9282"/>
        </w:tabs>
        <w:spacing w:line="360" w:lineRule="auto"/>
        <w:rPr>
          <w:rFonts w:ascii="宋体" w:hAnsi="宋体"/>
          <w:b w:val="0"/>
          <w:caps w:val="0"/>
          <w:color w:val="auto"/>
          <w:sz w:val="28"/>
          <w:szCs w:val="28"/>
          <w:highlight w:val="none"/>
        </w:rPr>
      </w:pPr>
    </w:p>
    <w:p w14:paraId="2EFD9288">
      <w:pPr>
        <w:pStyle w:val="2"/>
        <w:spacing w:line="360" w:lineRule="auto"/>
        <w:rPr>
          <w:rFonts w:hAnsi="宋体" w:cs="宋体"/>
          <w:color w:val="auto"/>
          <w:highlight w:val="none"/>
        </w:rPr>
      </w:pPr>
      <w:r>
        <w:rPr>
          <w:rFonts w:hint="eastAsia" w:hAnsi="宋体" w:cs="宋体"/>
          <w:color w:val="auto"/>
          <w:sz w:val="28"/>
          <w:szCs w:val="28"/>
          <w:highlight w:val="none"/>
        </w:rPr>
        <w:fldChar w:fldCharType="end"/>
      </w:r>
      <w:bookmarkStart w:id="10" w:name="_Toc107927531"/>
      <w:bookmarkStart w:id="11" w:name="_Toc107927455"/>
      <w:bookmarkStart w:id="12" w:name="_Toc118715097"/>
      <w:r>
        <w:rPr>
          <w:rFonts w:hint="eastAsia" w:hAnsi="宋体" w:cs="宋体"/>
          <w:color w:val="auto"/>
          <w:highlight w:val="none"/>
        </w:rPr>
        <w:t>第一</w:t>
      </w:r>
      <w:bookmarkEnd w:id="1"/>
      <w:bookmarkEnd w:id="2"/>
      <w:bookmarkEnd w:id="3"/>
      <w:bookmarkEnd w:id="4"/>
      <w:bookmarkEnd w:id="5"/>
      <w:r>
        <w:rPr>
          <w:rFonts w:hint="eastAsia" w:hAnsi="宋体" w:cs="宋体"/>
          <w:color w:val="auto"/>
          <w:highlight w:val="none"/>
        </w:rPr>
        <w:t xml:space="preserve">章  </w:t>
      </w:r>
      <w:bookmarkEnd w:id="6"/>
      <w:bookmarkEnd w:id="7"/>
      <w:bookmarkEnd w:id="8"/>
      <w:bookmarkEnd w:id="9"/>
      <w:r>
        <w:rPr>
          <w:rFonts w:hint="eastAsia" w:hAnsi="宋体" w:cs="宋体"/>
          <w:color w:val="auto"/>
          <w:highlight w:val="none"/>
        </w:rPr>
        <w:t>采购公告</w:t>
      </w:r>
      <w:bookmarkEnd w:id="10"/>
      <w:bookmarkEnd w:id="11"/>
      <w:bookmarkEnd w:id="12"/>
    </w:p>
    <w:p w14:paraId="00AA5995">
      <w:pPr>
        <w:pBdr>
          <w:top w:val="single" w:color="auto" w:sz="4" w:space="1"/>
          <w:left w:val="single" w:color="auto" w:sz="4" w:space="0"/>
          <w:bottom w:val="single" w:color="auto" w:sz="4" w:space="2"/>
          <w:right w:val="single" w:color="auto" w:sz="4" w:space="4"/>
        </w:pBdr>
        <w:spacing w:line="360" w:lineRule="auto"/>
        <w:ind w:firstLine="420" w:firstLineChars="200"/>
        <w:rPr>
          <w:rFonts w:ascii="宋体" w:hAnsi="宋体"/>
          <w:color w:val="auto"/>
          <w:szCs w:val="21"/>
          <w:highlight w:val="none"/>
        </w:rPr>
      </w:pPr>
      <w:bookmarkStart w:id="13" w:name="_Toc340322163"/>
      <w:bookmarkStart w:id="14" w:name="_Toc304551309"/>
      <w:bookmarkStart w:id="15" w:name="_Toc180555916"/>
      <w:bookmarkStart w:id="16" w:name="_Toc340321908"/>
      <w:bookmarkStart w:id="17" w:name="_Toc5837"/>
      <w:bookmarkStart w:id="18" w:name="_Toc248065035"/>
      <w:bookmarkStart w:id="19" w:name="_Toc226337757"/>
      <w:bookmarkStart w:id="20" w:name="_Toc339302124"/>
      <w:r>
        <w:rPr>
          <w:rFonts w:hint="eastAsia" w:ascii="宋体" w:hAnsi="宋体"/>
          <w:color w:val="auto"/>
          <w:szCs w:val="21"/>
          <w:highlight w:val="none"/>
        </w:rPr>
        <w:t>项目概况</w:t>
      </w:r>
    </w:p>
    <w:p w14:paraId="351FCB2F">
      <w:pPr>
        <w:pBdr>
          <w:top w:val="single" w:color="auto" w:sz="4" w:space="1"/>
          <w:left w:val="single" w:color="auto" w:sz="4" w:space="0"/>
          <w:bottom w:val="single" w:color="auto" w:sz="4" w:space="2"/>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2025-2026年度产品质量监督抽查项目的潜在供应商应在政采云平台</w:t>
      </w:r>
      <w:r>
        <w:rPr>
          <w:color w:val="auto"/>
          <w:highlight w:val="none"/>
        </w:rPr>
        <w:fldChar w:fldCharType="begin"/>
      </w:r>
      <w:r>
        <w:rPr>
          <w:color w:val="auto"/>
          <w:highlight w:val="none"/>
        </w:rPr>
        <w:instrText xml:space="preserve"> HYPERLINK "http://www.zcygov.cn/获取采购文件，并于2023年2月" </w:instrText>
      </w:r>
      <w:r>
        <w:rPr>
          <w:color w:val="auto"/>
          <w:highlight w:val="none"/>
        </w:rPr>
        <w:fldChar w:fldCharType="separate"/>
      </w:r>
      <w:r>
        <w:rPr>
          <w:rStyle w:val="87"/>
          <w:rFonts w:hint="eastAsia" w:ascii="宋体" w:hAnsi="宋体"/>
          <w:color w:val="auto"/>
          <w:szCs w:val="21"/>
          <w:highlight w:val="none"/>
        </w:rPr>
        <w:t>http://www.zcygov.cn/获取采购文件，并于2025年</w:t>
      </w:r>
      <w:r>
        <w:rPr>
          <w:rStyle w:val="87"/>
          <w:rFonts w:hint="eastAsia" w:ascii="宋体" w:hAnsi="宋体"/>
          <w:color w:val="auto"/>
          <w:szCs w:val="21"/>
          <w:highlight w:val="none"/>
          <w:lang w:val="en-US" w:eastAsia="zh-CN"/>
        </w:rPr>
        <w:t>2</w:t>
      </w:r>
      <w:r>
        <w:rPr>
          <w:rStyle w:val="87"/>
          <w:rFonts w:hint="eastAsia" w:ascii="宋体" w:hAnsi="宋体"/>
          <w:color w:val="auto"/>
          <w:szCs w:val="21"/>
          <w:highlight w:val="none"/>
        </w:rPr>
        <w:t>月</w:t>
      </w:r>
      <w:r>
        <w:rPr>
          <w:rStyle w:val="87"/>
          <w:rFonts w:hint="eastAsia" w:ascii="宋体" w:hAnsi="宋体"/>
          <w:color w:val="auto"/>
          <w:szCs w:val="21"/>
          <w:highlight w:val="none"/>
        </w:rPr>
        <w:fldChar w:fldCharType="end"/>
      </w:r>
      <w:r>
        <w:rPr>
          <w:rStyle w:val="87"/>
          <w:rFonts w:hint="eastAsia" w:ascii="宋体" w:hAnsi="宋体"/>
          <w:color w:val="auto"/>
          <w:szCs w:val="21"/>
          <w:highlight w:val="none"/>
          <w:lang w:val="en-US" w:eastAsia="zh-CN"/>
        </w:rPr>
        <w:t>11</w:t>
      </w:r>
      <w:r>
        <w:rPr>
          <w:rFonts w:hint="eastAsia" w:ascii="宋体" w:hAnsi="宋体"/>
          <w:color w:val="auto"/>
          <w:szCs w:val="21"/>
          <w:highlight w:val="none"/>
          <w:u w:val="single"/>
        </w:rPr>
        <w:t>日9点00分（北京时间）前提交响应文件。</w:t>
      </w:r>
    </w:p>
    <w:p w14:paraId="47A3F451">
      <w:pPr>
        <w:spacing w:line="360" w:lineRule="auto"/>
        <w:rPr>
          <w:rFonts w:ascii="宋体" w:hAnsi="宋体"/>
          <w:b/>
          <w:bCs/>
          <w:color w:val="auto"/>
          <w:spacing w:val="6"/>
          <w:szCs w:val="21"/>
          <w:highlight w:val="none"/>
        </w:rPr>
      </w:pPr>
      <w:bookmarkStart w:id="21" w:name="_Toc35393621"/>
      <w:bookmarkStart w:id="22" w:name="_Toc35393790"/>
      <w:bookmarkStart w:id="23" w:name="_Toc28359002"/>
      <w:bookmarkStart w:id="24" w:name="_Toc28359079"/>
      <w:bookmarkStart w:id="25" w:name="_Hlk24379207"/>
      <w:r>
        <w:rPr>
          <w:rFonts w:hint="eastAsia" w:ascii="宋体" w:hAnsi="宋体"/>
          <w:b/>
          <w:bCs/>
          <w:color w:val="auto"/>
          <w:spacing w:val="6"/>
          <w:szCs w:val="21"/>
          <w:highlight w:val="none"/>
        </w:rPr>
        <w:t>一、项目基本情况</w:t>
      </w:r>
      <w:bookmarkEnd w:id="21"/>
      <w:bookmarkEnd w:id="22"/>
      <w:bookmarkEnd w:id="23"/>
      <w:bookmarkEnd w:id="24"/>
    </w:p>
    <w:p w14:paraId="04E1BF37">
      <w:pPr>
        <w:spacing w:line="360" w:lineRule="auto"/>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1.项目编号：</w:t>
      </w:r>
      <w:r>
        <w:rPr>
          <w:rFonts w:hint="eastAsia" w:ascii="宋体" w:hAnsi="宋体"/>
          <w:color w:val="auto"/>
          <w:szCs w:val="21"/>
          <w:highlight w:val="none"/>
          <w:lang w:eastAsia="zh-CN"/>
        </w:rPr>
        <w:t>DFJWSZ-20250109YM</w:t>
      </w:r>
    </w:p>
    <w:p w14:paraId="50DD6B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2.项目名称：</w:t>
      </w:r>
      <w:bookmarkEnd w:id="25"/>
      <w:r>
        <w:rPr>
          <w:rFonts w:hint="eastAsia" w:ascii="宋体" w:hAnsi="宋体"/>
          <w:color w:val="auto"/>
          <w:szCs w:val="21"/>
          <w:highlight w:val="none"/>
        </w:rPr>
        <w:t>2025-2026年度产品质量监督抽查项目</w:t>
      </w:r>
    </w:p>
    <w:p w14:paraId="074DC8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3.预算金额：1300000元</w:t>
      </w:r>
    </w:p>
    <w:p w14:paraId="6865D6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4.采购需求：</w:t>
      </w:r>
    </w:p>
    <w:tbl>
      <w:tblPr>
        <w:tblStyle w:val="79"/>
        <w:tblW w:w="4894" w:type="pct"/>
        <w:tblCellSpacing w:w="1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60"/>
        <w:gridCol w:w="2107"/>
        <w:gridCol w:w="738"/>
        <w:gridCol w:w="865"/>
        <w:gridCol w:w="1289"/>
        <w:gridCol w:w="1875"/>
        <w:gridCol w:w="1473"/>
      </w:tblGrid>
      <w:tr w14:paraId="47F0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9" w:hRule="atLeast"/>
          <w:tblCellSpacing w:w="15" w:type="dxa"/>
        </w:trPr>
        <w:tc>
          <w:tcPr>
            <w:tcW w:w="443" w:type="pct"/>
            <w:tcMar>
              <w:top w:w="75" w:type="dxa"/>
              <w:left w:w="150" w:type="dxa"/>
              <w:bottom w:w="75" w:type="dxa"/>
              <w:right w:w="150" w:type="dxa"/>
            </w:tcMar>
            <w:vAlign w:val="center"/>
          </w:tcPr>
          <w:p w14:paraId="7567A404">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标项序号</w:t>
            </w:r>
          </w:p>
        </w:tc>
        <w:tc>
          <w:tcPr>
            <w:tcW w:w="1127" w:type="pct"/>
            <w:tcMar>
              <w:top w:w="75" w:type="dxa"/>
              <w:left w:w="150" w:type="dxa"/>
              <w:bottom w:w="75" w:type="dxa"/>
              <w:right w:w="150" w:type="dxa"/>
            </w:tcMar>
            <w:vAlign w:val="center"/>
          </w:tcPr>
          <w:p w14:paraId="3989A478">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标项名称</w:t>
            </w:r>
          </w:p>
        </w:tc>
        <w:tc>
          <w:tcPr>
            <w:tcW w:w="384" w:type="pct"/>
            <w:tcMar>
              <w:top w:w="75" w:type="dxa"/>
              <w:left w:w="150" w:type="dxa"/>
              <w:bottom w:w="75" w:type="dxa"/>
              <w:right w:w="150" w:type="dxa"/>
            </w:tcMar>
            <w:vAlign w:val="center"/>
          </w:tcPr>
          <w:p w14:paraId="1C2EA22F">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453" w:type="pct"/>
            <w:tcMar>
              <w:top w:w="75" w:type="dxa"/>
              <w:left w:w="150" w:type="dxa"/>
              <w:bottom w:w="75" w:type="dxa"/>
              <w:right w:w="150" w:type="dxa"/>
            </w:tcMar>
            <w:vAlign w:val="center"/>
          </w:tcPr>
          <w:p w14:paraId="1EE21033">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683" w:type="pct"/>
            <w:tcMar>
              <w:top w:w="75" w:type="dxa"/>
              <w:left w:w="150" w:type="dxa"/>
              <w:bottom w:w="75" w:type="dxa"/>
              <w:right w:w="150" w:type="dxa"/>
            </w:tcMar>
            <w:vAlign w:val="center"/>
          </w:tcPr>
          <w:p w14:paraId="67E92E8C">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预算金额(元)</w:t>
            </w:r>
          </w:p>
        </w:tc>
        <w:tc>
          <w:tcPr>
            <w:tcW w:w="1001" w:type="pct"/>
            <w:tcMar>
              <w:top w:w="75" w:type="dxa"/>
              <w:left w:w="150" w:type="dxa"/>
              <w:bottom w:w="75" w:type="dxa"/>
              <w:right w:w="150" w:type="dxa"/>
            </w:tcMar>
            <w:vAlign w:val="center"/>
          </w:tcPr>
          <w:p w14:paraId="51ABC786">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简要规格描述</w:t>
            </w:r>
          </w:p>
        </w:tc>
        <w:tc>
          <w:tcPr>
            <w:tcW w:w="775" w:type="pct"/>
            <w:tcMar>
              <w:top w:w="75" w:type="dxa"/>
              <w:left w:w="150" w:type="dxa"/>
              <w:bottom w:w="75" w:type="dxa"/>
              <w:right w:w="150" w:type="dxa"/>
            </w:tcMar>
            <w:vAlign w:val="center"/>
          </w:tcPr>
          <w:p w14:paraId="40E68B64">
            <w:pPr>
              <w:widowControl/>
              <w:wordWrap w:val="0"/>
              <w:spacing w:line="40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备注</w:t>
            </w:r>
          </w:p>
        </w:tc>
      </w:tr>
      <w:tr w14:paraId="61C0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CellSpacing w:w="15" w:type="dxa"/>
        </w:trPr>
        <w:tc>
          <w:tcPr>
            <w:tcW w:w="443" w:type="pct"/>
            <w:tcMar>
              <w:top w:w="75" w:type="dxa"/>
              <w:left w:w="150" w:type="dxa"/>
              <w:bottom w:w="75" w:type="dxa"/>
              <w:right w:w="150" w:type="dxa"/>
            </w:tcMar>
            <w:vAlign w:val="center"/>
          </w:tcPr>
          <w:p w14:paraId="40B35E41">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一</w:t>
            </w:r>
          </w:p>
        </w:tc>
        <w:tc>
          <w:tcPr>
            <w:tcW w:w="1127" w:type="pct"/>
            <w:tcMar>
              <w:top w:w="75" w:type="dxa"/>
              <w:left w:w="150" w:type="dxa"/>
              <w:bottom w:w="75" w:type="dxa"/>
              <w:right w:w="150" w:type="dxa"/>
            </w:tcMar>
            <w:vAlign w:val="center"/>
          </w:tcPr>
          <w:p w14:paraId="33479E8A">
            <w:pPr>
              <w:jc w:val="center"/>
              <w:rPr>
                <w:rFonts w:ascii="Calibri" w:hAnsi="Calibri"/>
                <w:color w:val="auto"/>
                <w:szCs w:val="24"/>
                <w:highlight w:val="none"/>
              </w:rPr>
            </w:pPr>
            <w:r>
              <w:rPr>
                <w:rFonts w:hint="eastAsia"/>
                <w:color w:val="auto"/>
                <w:highlight w:val="none"/>
              </w:rPr>
              <w:t>机电类产品</w:t>
            </w:r>
          </w:p>
        </w:tc>
        <w:tc>
          <w:tcPr>
            <w:tcW w:w="384" w:type="pct"/>
            <w:tcMar>
              <w:top w:w="75" w:type="dxa"/>
              <w:left w:w="150" w:type="dxa"/>
              <w:bottom w:w="75" w:type="dxa"/>
              <w:right w:w="150" w:type="dxa"/>
            </w:tcMar>
            <w:vAlign w:val="center"/>
          </w:tcPr>
          <w:p w14:paraId="157B56DB">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53" w:type="pct"/>
            <w:tcMar>
              <w:top w:w="75" w:type="dxa"/>
              <w:left w:w="150" w:type="dxa"/>
              <w:bottom w:w="75" w:type="dxa"/>
              <w:right w:w="150" w:type="dxa"/>
            </w:tcMar>
            <w:vAlign w:val="center"/>
          </w:tcPr>
          <w:p w14:paraId="461BA850">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w:t>
            </w:r>
          </w:p>
        </w:tc>
        <w:tc>
          <w:tcPr>
            <w:tcW w:w="683" w:type="pct"/>
            <w:tcMar>
              <w:top w:w="75" w:type="dxa"/>
              <w:left w:w="150" w:type="dxa"/>
              <w:bottom w:w="75" w:type="dxa"/>
              <w:right w:w="150" w:type="dxa"/>
            </w:tcMar>
            <w:vAlign w:val="center"/>
          </w:tcPr>
          <w:p w14:paraId="0B6DE48C">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410000</w:t>
            </w:r>
          </w:p>
        </w:tc>
        <w:tc>
          <w:tcPr>
            <w:tcW w:w="1001" w:type="pct"/>
            <w:tcMar>
              <w:top w:w="75" w:type="dxa"/>
              <w:left w:w="150" w:type="dxa"/>
              <w:bottom w:w="75" w:type="dxa"/>
              <w:right w:w="150" w:type="dxa"/>
            </w:tcMar>
            <w:vAlign w:val="center"/>
          </w:tcPr>
          <w:p w14:paraId="6DC31192">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详见招标文件</w:t>
            </w:r>
          </w:p>
        </w:tc>
        <w:tc>
          <w:tcPr>
            <w:tcW w:w="775" w:type="pct"/>
            <w:vMerge w:val="restart"/>
            <w:tcMar>
              <w:top w:w="75" w:type="dxa"/>
              <w:left w:w="150" w:type="dxa"/>
              <w:bottom w:w="75" w:type="dxa"/>
              <w:right w:w="150" w:type="dxa"/>
            </w:tcMar>
            <w:vAlign w:val="center"/>
          </w:tcPr>
          <w:p w14:paraId="0F628DC3">
            <w:pPr>
              <w:widowControl/>
              <w:wordWrap w:val="0"/>
              <w:spacing w:line="40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按统一折扣率报价</w:t>
            </w:r>
          </w:p>
        </w:tc>
      </w:tr>
      <w:tr w14:paraId="4359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blCellSpacing w:w="15" w:type="dxa"/>
        </w:trPr>
        <w:tc>
          <w:tcPr>
            <w:tcW w:w="443" w:type="pct"/>
            <w:tcMar>
              <w:top w:w="75" w:type="dxa"/>
              <w:left w:w="150" w:type="dxa"/>
              <w:bottom w:w="75" w:type="dxa"/>
              <w:right w:w="150" w:type="dxa"/>
            </w:tcMar>
            <w:vAlign w:val="center"/>
          </w:tcPr>
          <w:p w14:paraId="670E57EC">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二</w:t>
            </w:r>
          </w:p>
        </w:tc>
        <w:tc>
          <w:tcPr>
            <w:tcW w:w="1127" w:type="pct"/>
            <w:tcMar>
              <w:top w:w="75" w:type="dxa"/>
              <w:left w:w="150" w:type="dxa"/>
              <w:bottom w:w="75" w:type="dxa"/>
              <w:right w:w="150" w:type="dxa"/>
            </w:tcMar>
            <w:vAlign w:val="center"/>
          </w:tcPr>
          <w:p w14:paraId="25403165">
            <w:pPr>
              <w:jc w:val="center"/>
              <w:rPr>
                <w:rFonts w:ascii="Calibri" w:hAnsi="Calibri"/>
                <w:color w:val="auto"/>
                <w:szCs w:val="24"/>
                <w:highlight w:val="none"/>
              </w:rPr>
            </w:pPr>
            <w:r>
              <w:rPr>
                <w:rFonts w:hint="eastAsia"/>
                <w:color w:val="auto"/>
                <w:highlight w:val="none"/>
              </w:rPr>
              <w:t>成品油及汽车用产品</w:t>
            </w:r>
          </w:p>
        </w:tc>
        <w:tc>
          <w:tcPr>
            <w:tcW w:w="384" w:type="pct"/>
            <w:tcMar>
              <w:top w:w="75" w:type="dxa"/>
              <w:left w:w="150" w:type="dxa"/>
              <w:bottom w:w="75" w:type="dxa"/>
              <w:right w:w="150" w:type="dxa"/>
            </w:tcMar>
            <w:vAlign w:val="center"/>
          </w:tcPr>
          <w:p w14:paraId="09C9314D">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53" w:type="pct"/>
            <w:tcMar>
              <w:top w:w="75" w:type="dxa"/>
              <w:left w:w="150" w:type="dxa"/>
              <w:bottom w:w="75" w:type="dxa"/>
              <w:right w:w="150" w:type="dxa"/>
            </w:tcMar>
            <w:vAlign w:val="center"/>
          </w:tcPr>
          <w:p w14:paraId="26FBEE22">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w:t>
            </w:r>
          </w:p>
        </w:tc>
        <w:tc>
          <w:tcPr>
            <w:tcW w:w="683" w:type="pct"/>
            <w:tcMar>
              <w:top w:w="75" w:type="dxa"/>
              <w:left w:w="150" w:type="dxa"/>
              <w:bottom w:w="75" w:type="dxa"/>
              <w:right w:w="150" w:type="dxa"/>
            </w:tcMar>
            <w:vAlign w:val="center"/>
          </w:tcPr>
          <w:p w14:paraId="431C002E">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240000</w:t>
            </w:r>
          </w:p>
        </w:tc>
        <w:tc>
          <w:tcPr>
            <w:tcW w:w="1001" w:type="pct"/>
            <w:tcMar>
              <w:top w:w="75" w:type="dxa"/>
              <w:left w:w="150" w:type="dxa"/>
              <w:bottom w:w="75" w:type="dxa"/>
              <w:right w:w="150" w:type="dxa"/>
            </w:tcMar>
            <w:vAlign w:val="center"/>
          </w:tcPr>
          <w:p w14:paraId="28C6EEA7">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详见招标文件</w:t>
            </w:r>
          </w:p>
        </w:tc>
        <w:tc>
          <w:tcPr>
            <w:tcW w:w="775" w:type="pct"/>
            <w:vMerge w:val="continue"/>
            <w:tcMar>
              <w:top w:w="75" w:type="dxa"/>
              <w:left w:w="150" w:type="dxa"/>
              <w:bottom w:w="75" w:type="dxa"/>
              <w:right w:w="150" w:type="dxa"/>
            </w:tcMar>
            <w:vAlign w:val="center"/>
          </w:tcPr>
          <w:p w14:paraId="5C082BE0">
            <w:pPr>
              <w:widowControl/>
              <w:wordWrap w:val="0"/>
              <w:spacing w:line="400" w:lineRule="exact"/>
              <w:jc w:val="center"/>
              <w:rPr>
                <w:rFonts w:hint="eastAsia" w:ascii="仿宋" w:hAnsi="仿宋" w:eastAsia="仿宋" w:cs="仿宋"/>
                <w:bCs/>
                <w:color w:val="auto"/>
                <w:sz w:val="24"/>
                <w:highlight w:val="none"/>
              </w:rPr>
            </w:pPr>
          </w:p>
        </w:tc>
      </w:tr>
      <w:tr w14:paraId="584E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443" w:type="pct"/>
            <w:tcMar>
              <w:top w:w="75" w:type="dxa"/>
              <w:left w:w="150" w:type="dxa"/>
              <w:bottom w:w="75" w:type="dxa"/>
              <w:right w:w="150" w:type="dxa"/>
            </w:tcMar>
            <w:vAlign w:val="center"/>
          </w:tcPr>
          <w:p w14:paraId="67529229">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三</w:t>
            </w:r>
          </w:p>
        </w:tc>
        <w:tc>
          <w:tcPr>
            <w:tcW w:w="1127" w:type="pct"/>
            <w:tcMar>
              <w:top w:w="75" w:type="dxa"/>
              <w:left w:w="150" w:type="dxa"/>
              <w:bottom w:w="75" w:type="dxa"/>
              <w:right w:w="150" w:type="dxa"/>
            </w:tcMar>
            <w:vAlign w:val="center"/>
          </w:tcPr>
          <w:p w14:paraId="4C08E44D">
            <w:pPr>
              <w:jc w:val="center"/>
              <w:rPr>
                <w:rFonts w:ascii="Calibri" w:hAnsi="Calibri"/>
                <w:color w:val="auto"/>
                <w:szCs w:val="24"/>
                <w:highlight w:val="none"/>
              </w:rPr>
            </w:pPr>
            <w:r>
              <w:rPr>
                <w:rFonts w:hint="eastAsia"/>
                <w:color w:val="auto"/>
                <w:highlight w:val="none"/>
              </w:rPr>
              <w:t>安全、建材、日用消费品类</w:t>
            </w:r>
          </w:p>
        </w:tc>
        <w:tc>
          <w:tcPr>
            <w:tcW w:w="384" w:type="pct"/>
            <w:tcMar>
              <w:top w:w="75" w:type="dxa"/>
              <w:left w:w="150" w:type="dxa"/>
              <w:bottom w:w="75" w:type="dxa"/>
              <w:right w:w="150" w:type="dxa"/>
            </w:tcMar>
            <w:vAlign w:val="center"/>
          </w:tcPr>
          <w:p w14:paraId="0644C413">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53" w:type="pct"/>
            <w:tcMar>
              <w:top w:w="75" w:type="dxa"/>
              <w:left w:w="150" w:type="dxa"/>
              <w:bottom w:w="75" w:type="dxa"/>
              <w:right w:w="150" w:type="dxa"/>
            </w:tcMar>
            <w:vAlign w:val="center"/>
          </w:tcPr>
          <w:p w14:paraId="54D95C94">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w:t>
            </w:r>
          </w:p>
        </w:tc>
        <w:tc>
          <w:tcPr>
            <w:tcW w:w="683" w:type="pct"/>
            <w:tcMar>
              <w:top w:w="75" w:type="dxa"/>
              <w:left w:w="150" w:type="dxa"/>
              <w:bottom w:w="75" w:type="dxa"/>
              <w:right w:w="150" w:type="dxa"/>
            </w:tcMar>
            <w:vAlign w:val="center"/>
          </w:tcPr>
          <w:p w14:paraId="713BEC7C">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650000</w:t>
            </w:r>
          </w:p>
        </w:tc>
        <w:tc>
          <w:tcPr>
            <w:tcW w:w="1001" w:type="pct"/>
            <w:tcMar>
              <w:top w:w="75" w:type="dxa"/>
              <w:left w:w="150" w:type="dxa"/>
              <w:bottom w:w="75" w:type="dxa"/>
              <w:right w:w="150" w:type="dxa"/>
            </w:tcMar>
            <w:vAlign w:val="center"/>
          </w:tcPr>
          <w:p w14:paraId="0FEDE5B0">
            <w:pPr>
              <w:widowControl/>
              <w:wordWrap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详见招标文件</w:t>
            </w:r>
          </w:p>
        </w:tc>
        <w:tc>
          <w:tcPr>
            <w:tcW w:w="775" w:type="pct"/>
            <w:vMerge w:val="continue"/>
            <w:tcMar>
              <w:top w:w="75" w:type="dxa"/>
              <w:left w:w="150" w:type="dxa"/>
              <w:bottom w:w="75" w:type="dxa"/>
              <w:right w:w="150" w:type="dxa"/>
            </w:tcMar>
            <w:vAlign w:val="center"/>
          </w:tcPr>
          <w:p w14:paraId="165B5D8B">
            <w:pPr>
              <w:widowControl/>
              <w:wordWrap w:val="0"/>
              <w:spacing w:line="400" w:lineRule="exact"/>
              <w:jc w:val="center"/>
              <w:rPr>
                <w:rFonts w:hint="eastAsia" w:ascii="仿宋" w:hAnsi="仿宋" w:eastAsia="仿宋" w:cs="仿宋"/>
                <w:bCs/>
                <w:color w:val="auto"/>
                <w:sz w:val="24"/>
                <w:highlight w:val="none"/>
              </w:rPr>
            </w:pPr>
          </w:p>
        </w:tc>
      </w:tr>
    </w:tbl>
    <w:p w14:paraId="20B33493">
      <w:pPr>
        <w:spacing w:line="360" w:lineRule="auto"/>
        <w:ind w:firstLine="420" w:firstLineChars="200"/>
        <w:rPr>
          <w:color w:val="auto"/>
          <w:highlight w:val="none"/>
        </w:rPr>
      </w:pPr>
    </w:p>
    <w:p w14:paraId="47F99510">
      <w:pPr>
        <w:spacing w:line="360" w:lineRule="auto"/>
        <w:rPr>
          <w:rFonts w:ascii="宋体" w:hAnsi="宋体"/>
          <w:b/>
          <w:bCs/>
          <w:color w:val="auto"/>
          <w:spacing w:val="6"/>
          <w:szCs w:val="21"/>
          <w:highlight w:val="none"/>
        </w:rPr>
      </w:pPr>
      <w:bookmarkStart w:id="26" w:name="_Toc35393622"/>
      <w:bookmarkStart w:id="27" w:name="_Toc35393791"/>
      <w:bookmarkStart w:id="28" w:name="_Toc28359080"/>
      <w:bookmarkStart w:id="29" w:name="_Toc28359003"/>
      <w:r>
        <w:rPr>
          <w:rFonts w:hint="eastAsia" w:ascii="宋体" w:hAnsi="宋体"/>
          <w:b/>
          <w:bCs/>
          <w:color w:val="auto"/>
          <w:spacing w:val="6"/>
          <w:szCs w:val="21"/>
          <w:highlight w:val="none"/>
        </w:rPr>
        <w:t>二、申请人的资格要求：</w:t>
      </w:r>
      <w:bookmarkEnd w:id="26"/>
      <w:bookmarkEnd w:id="27"/>
      <w:bookmarkEnd w:id="28"/>
      <w:bookmarkEnd w:id="29"/>
    </w:p>
    <w:p w14:paraId="6624250C">
      <w:pPr>
        <w:spacing w:line="360" w:lineRule="auto"/>
        <w:ind w:firstLine="444" w:firstLineChars="200"/>
        <w:rPr>
          <w:rFonts w:ascii="宋体" w:hAnsi="宋体"/>
          <w:color w:val="auto"/>
          <w:spacing w:val="6"/>
          <w:szCs w:val="21"/>
          <w:highlight w:val="none"/>
        </w:rPr>
      </w:pPr>
      <w:bookmarkStart w:id="30" w:name="_Toc35393623"/>
      <w:bookmarkStart w:id="31" w:name="_Toc28359081"/>
      <w:bookmarkStart w:id="32" w:name="_Toc28359004"/>
      <w:bookmarkStart w:id="33" w:name="_Toc35393792"/>
      <w:r>
        <w:rPr>
          <w:rFonts w:hint="eastAsia" w:ascii="宋体" w:hAnsi="宋体"/>
          <w:color w:val="auto"/>
          <w:spacing w:val="6"/>
          <w:szCs w:val="21"/>
          <w:highlight w:val="none"/>
        </w:rPr>
        <w:t>1.满足《中华人民共和国政府采购法》第二十二条规定；</w:t>
      </w:r>
    </w:p>
    <w:p w14:paraId="4F0C02E3">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2.投标供应商未被列入失信被执行人名单、重大税收违法案件当事人名单、政府采购严重违法失信行为记录名单，信息以信用中国网站（www.creditchina.gov.cn）、中国政府采购网（www.ccgp.gov.cn）公布和查询为准。</w:t>
      </w:r>
    </w:p>
    <w:p w14:paraId="74A137F1">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3.落实政府采购政策需满足的资格要求：无</w:t>
      </w:r>
    </w:p>
    <w:p w14:paraId="169C35C9">
      <w:pPr>
        <w:spacing w:line="360" w:lineRule="auto"/>
        <w:ind w:firstLine="444" w:firstLineChars="200"/>
        <w:jc w:val="left"/>
        <w:rPr>
          <w:rFonts w:ascii="宋体" w:hAnsi="宋体"/>
          <w:color w:val="auto"/>
          <w:spacing w:val="6"/>
          <w:szCs w:val="21"/>
          <w:highlight w:val="none"/>
        </w:rPr>
      </w:pPr>
      <w:r>
        <w:rPr>
          <w:rFonts w:hint="eastAsia" w:ascii="宋体" w:hAnsi="宋体"/>
          <w:color w:val="auto"/>
          <w:spacing w:val="6"/>
          <w:szCs w:val="21"/>
          <w:highlight w:val="none"/>
        </w:rPr>
        <w:t>4.本项目的特定资格要求：投标人具有《检验机构资质认定》（CMA证书）且证书在有效期内。</w:t>
      </w:r>
    </w:p>
    <w:p w14:paraId="772B196D">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5.本项目（否）接受联合体。</w:t>
      </w:r>
    </w:p>
    <w:p w14:paraId="47361781">
      <w:pPr>
        <w:spacing w:line="360" w:lineRule="auto"/>
        <w:rPr>
          <w:rFonts w:ascii="宋体" w:hAnsi="宋体"/>
          <w:b/>
          <w:bCs/>
          <w:color w:val="auto"/>
          <w:spacing w:val="6"/>
          <w:szCs w:val="21"/>
          <w:highlight w:val="none"/>
        </w:rPr>
      </w:pPr>
      <w:r>
        <w:rPr>
          <w:rFonts w:hint="eastAsia" w:ascii="宋体" w:hAnsi="宋体"/>
          <w:b/>
          <w:bCs/>
          <w:color w:val="auto"/>
          <w:spacing w:val="6"/>
          <w:szCs w:val="21"/>
          <w:highlight w:val="none"/>
        </w:rPr>
        <w:t>三、获取</w:t>
      </w:r>
      <w:bookmarkEnd w:id="30"/>
      <w:bookmarkEnd w:id="31"/>
      <w:bookmarkEnd w:id="32"/>
      <w:bookmarkEnd w:id="33"/>
      <w:r>
        <w:rPr>
          <w:rFonts w:hint="eastAsia" w:ascii="宋体" w:hAnsi="宋体"/>
          <w:b/>
          <w:bCs/>
          <w:color w:val="auto"/>
          <w:spacing w:val="6"/>
          <w:szCs w:val="21"/>
          <w:highlight w:val="none"/>
        </w:rPr>
        <w:t>采购文件</w:t>
      </w:r>
      <w:bookmarkStart w:id="34" w:name="_Toc28359005"/>
      <w:bookmarkStart w:id="35" w:name="_Toc28359082"/>
      <w:bookmarkStart w:id="36" w:name="_Toc35393793"/>
      <w:bookmarkStart w:id="37" w:name="_Toc35393624"/>
    </w:p>
    <w:p w14:paraId="391107D3">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1.采购文件获取时间：/至2025年</w:t>
      </w:r>
      <w:r>
        <w:rPr>
          <w:rFonts w:hint="eastAsia" w:ascii="宋体" w:hAnsi="宋体"/>
          <w:color w:val="auto"/>
          <w:spacing w:val="6"/>
          <w:szCs w:val="21"/>
          <w:highlight w:val="none"/>
          <w:lang w:val="en-US" w:eastAsia="zh-CN"/>
        </w:rPr>
        <w:t>2</w:t>
      </w:r>
      <w:r>
        <w:rPr>
          <w:rFonts w:hint="eastAsia" w:ascii="宋体" w:hAnsi="宋体"/>
          <w:color w:val="auto"/>
          <w:spacing w:val="6"/>
          <w:szCs w:val="21"/>
          <w:highlight w:val="none"/>
        </w:rPr>
        <w:t>月</w:t>
      </w:r>
      <w:r>
        <w:rPr>
          <w:rFonts w:hint="eastAsia" w:ascii="宋体" w:hAnsi="宋体"/>
          <w:color w:val="auto"/>
          <w:spacing w:val="6"/>
          <w:szCs w:val="21"/>
          <w:highlight w:val="none"/>
          <w:lang w:val="en-US" w:eastAsia="zh-CN"/>
        </w:rPr>
        <w:t>11</w:t>
      </w:r>
      <w:r>
        <w:rPr>
          <w:rFonts w:hint="eastAsia" w:ascii="宋体" w:hAnsi="宋体"/>
          <w:color w:val="auto"/>
          <w:spacing w:val="6"/>
          <w:szCs w:val="21"/>
          <w:highlight w:val="none"/>
        </w:rPr>
        <w:t>日，每天上午00:00至12:00，下午12:00至23:59（北京时间，线上获取法定节假日均可，线下获取文件法定节假日除外）</w:t>
      </w:r>
    </w:p>
    <w:p w14:paraId="248F3EAF">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2.地点（网址）：政采云平台http://www.zcygov.cn/ </w:t>
      </w:r>
    </w:p>
    <w:p w14:paraId="3FDCE9AD">
      <w:pPr>
        <w:spacing w:line="360" w:lineRule="auto"/>
        <w:ind w:firstLine="444" w:firstLineChars="200"/>
        <w:rPr>
          <w:rFonts w:hAnsi="宋体"/>
          <w:color w:val="auto"/>
          <w:spacing w:val="6"/>
          <w:szCs w:val="21"/>
          <w:highlight w:val="none"/>
        </w:rPr>
      </w:pPr>
      <w:r>
        <w:rPr>
          <w:rFonts w:hint="eastAsia" w:ascii="宋体" w:hAnsi="宋体"/>
          <w:color w:val="auto"/>
          <w:spacing w:val="6"/>
          <w:szCs w:val="21"/>
          <w:highlight w:val="none"/>
        </w:rPr>
        <w:t>3.获取方式：供应商登录政采云平台http://www.zcygov.cn/，在</w:t>
      </w:r>
      <w:r>
        <w:rPr>
          <w:rFonts w:hint="eastAsia" w:hAnsi="宋体"/>
          <w:color w:val="auto"/>
          <w:spacing w:val="6"/>
          <w:szCs w:val="21"/>
          <w:highlight w:val="none"/>
        </w:rPr>
        <w:t>线申请获取采购文件（进入“项目采购”应用，在获取采购文件菜单中选择项目，申请获取采购文件,仅需浏览采购文件的供应商可点击“游客，浏览采购文件”直接下载采购文件浏览）。</w:t>
      </w:r>
    </w:p>
    <w:p w14:paraId="45E999D8">
      <w:pPr>
        <w:spacing w:line="360" w:lineRule="auto"/>
        <w:rPr>
          <w:rFonts w:ascii="宋体" w:hAnsi="宋体"/>
          <w:b/>
          <w:bCs/>
          <w:color w:val="auto"/>
          <w:spacing w:val="6"/>
          <w:szCs w:val="21"/>
          <w:highlight w:val="none"/>
        </w:rPr>
      </w:pPr>
      <w:r>
        <w:rPr>
          <w:rFonts w:hint="eastAsia" w:ascii="宋体" w:hAnsi="宋体"/>
          <w:b/>
          <w:bCs/>
          <w:color w:val="auto"/>
          <w:spacing w:val="6"/>
          <w:szCs w:val="21"/>
          <w:highlight w:val="none"/>
        </w:rPr>
        <w:t>四、提交投标文件</w:t>
      </w:r>
      <w:bookmarkEnd w:id="34"/>
      <w:bookmarkEnd w:id="35"/>
      <w:r>
        <w:rPr>
          <w:rFonts w:hint="eastAsia" w:ascii="宋体" w:hAnsi="宋体"/>
          <w:b/>
          <w:bCs/>
          <w:color w:val="auto"/>
          <w:spacing w:val="6"/>
          <w:szCs w:val="21"/>
          <w:highlight w:val="none"/>
        </w:rPr>
        <w:t>截止时间、开标时间和地点</w:t>
      </w:r>
      <w:bookmarkEnd w:id="36"/>
      <w:bookmarkEnd w:id="37"/>
    </w:p>
    <w:p w14:paraId="5523691F">
      <w:pPr>
        <w:spacing w:line="360" w:lineRule="auto"/>
        <w:ind w:firstLine="444" w:firstLineChars="200"/>
        <w:rPr>
          <w:rFonts w:ascii="宋体" w:hAnsi="宋体"/>
          <w:color w:val="auto"/>
          <w:spacing w:val="6"/>
          <w:szCs w:val="21"/>
          <w:highlight w:val="none"/>
        </w:rPr>
      </w:pPr>
      <w:bookmarkStart w:id="38" w:name="_Toc28359084"/>
      <w:bookmarkStart w:id="39" w:name="_Toc28359007"/>
      <w:bookmarkStart w:id="40" w:name="_Toc35393794"/>
      <w:bookmarkStart w:id="41" w:name="_Toc35393625"/>
      <w:r>
        <w:rPr>
          <w:rFonts w:hint="eastAsia" w:ascii="宋体" w:hAnsi="宋体"/>
          <w:color w:val="auto"/>
          <w:spacing w:val="6"/>
          <w:szCs w:val="21"/>
          <w:highlight w:val="none"/>
        </w:rPr>
        <w:t>1.提交投标文件截止时间：2025年</w:t>
      </w:r>
      <w:r>
        <w:rPr>
          <w:rFonts w:hint="eastAsia" w:ascii="宋体" w:hAnsi="宋体"/>
          <w:color w:val="auto"/>
          <w:spacing w:val="6"/>
          <w:szCs w:val="21"/>
          <w:highlight w:val="none"/>
          <w:lang w:val="en-US" w:eastAsia="zh-CN"/>
        </w:rPr>
        <w:t>2</w:t>
      </w:r>
      <w:r>
        <w:rPr>
          <w:rFonts w:hint="eastAsia" w:ascii="宋体" w:hAnsi="宋体"/>
          <w:color w:val="auto"/>
          <w:spacing w:val="6"/>
          <w:szCs w:val="21"/>
          <w:highlight w:val="none"/>
        </w:rPr>
        <w:t>月</w:t>
      </w:r>
      <w:r>
        <w:rPr>
          <w:rFonts w:hint="eastAsia" w:ascii="宋体" w:hAnsi="宋体"/>
          <w:color w:val="auto"/>
          <w:spacing w:val="6"/>
          <w:szCs w:val="21"/>
          <w:highlight w:val="none"/>
          <w:lang w:val="en-US" w:eastAsia="zh-CN"/>
        </w:rPr>
        <w:t>11</w:t>
      </w:r>
      <w:r>
        <w:rPr>
          <w:rFonts w:hint="eastAsia" w:ascii="宋体" w:hAnsi="宋体"/>
          <w:color w:val="auto"/>
          <w:spacing w:val="6"/>
          <w:szCs w:val="21"/>
          <w:highlight w:val="none"/>
        </w:rPr>
        <w:t>日9:00（北京时间）。</w:t>
      </w:r>
    </w:p>
    <w:p w14:paraId="116B7A5A">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2.投标地点（网址）：政采云平台http://www.zcygov.cn/。</w:t>
      </w:r>
    </w:p>
    <w:p w14:paraId="5138E621">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hint="eastAsia" w:ascii="宋体" w:hAnsi="宋体"/>
          <w:color w:val="auto"/>
          <w:spacing w:val="6"/>
          <w:szCs w:val="21"/>
          <w:highlight w:val="none"/>
          <w:lang w:val="en-US" w:eastAsia="zh-CN"/>
        </w:rPr>
        <w:t>开标时间：</w:t>
      </w:r>
      <w:r>
        <w:rPr>
          <w:rFonts w:hint="eastAsia" w:ascii="宋体" w:hAnsi="宋体"/>
          <w:color w:val="auto"/>
          <w:spacing w:val="6"/>
          <w:szCs w:val="21"/>
          <w:highlight w:val="none"/>
        </w:rPr>
        <w:t>2025年</w:t>
      </w:r>
      <w:r>
        <w:rPr>
          <w:rFonts w:hint="eastAsia" w:ascii="宋体" w:hAnsi="宋体"/>
          <w:color w:val="auto"/>
          <w:spacing w:val="6"/>
          <w:szCs w:val="21"/>
          <w:highlight w:val="none"/>
          <w:lang w:val="en-US" w:eastAsia="zh-CN"/>
        </w:rPr>
        <w:t>2</w:t>
      </w:r>
      <w:r>
        <w:rPr>
          <w:rFonts w:hint="eastAsia" w:ascii="宋体" w:hAnsi="宋体"/>
          <w:color w:val="auto"/>
          <w:spacing w:val="6"/>
          <w:szCs w:val="21"/>
          <w:highlight w:val="none"/>
        </w:rPr>
        <w:t>月</w:t>
      </w:r>
      <w:r>
        <w:rPr>
          <w:rFonts w:hint="eastAsia" w:ascii="宋体" w:hAnsi="宋体"/>
          <w:color w:val="auto"/>
          <w:spacing w:val="6"/>
          <w:szCs w:val="21"/>
          <w:highlight w:val="none"/>
          <w:lang w:val="en-US" w:eastAsia="zh-CN"/>
        </w:rPr>
        <w:t>11</w:t>
      </w:r>
      <w:r>
        <w:rPr>
          <w:rFonts w:hint="eastAsia" w:ascii="宋体" w:hAnsi="宋体"/>
          <w:color w:val="auto"/>
          <w:spacing w:val="6"/>
          <w:szCs w:val="21"/>
          <w:highlight w:val="none"/>
        </w:rPr>
        <w:t>日09点00分整。</w:t>
      </w:r>
    </w:p>
    <w:p w14:paraId="6DD25394">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4.开标地点（网址）</w:t>
      </w:r>
      <w:r>
        <w:rPr>
          <w:rFonts w:hint="eastAsia" w:ascii="宋体" w:hAnsi="宋体"/>
          <w:color w:val="auto"/>
          <w:spacing w:val="6"/>
          <w:szCs w:val="21"/>
          <w:highlight w:val="none"/>
          <w:lang w:eastAsia="zh-CN"/>
        </w:rPr>
        <w:t>：</w:t>
      </w:r>
      <w:r>
        <w:rPr>
          <w:rFonts w:hint="eastAsia" w:ascii="宋体" w:hAnsi="宋体"/>
          <w:color w:val="auto"/>
          <w:spacing w:val="6"/>
          <w:szCs w:val="21"/>
          <w:highlight w:val="none"/>
        </w:rPr>
        <w:t>政采云平台http://www.zcygov.cn/。</w:t>
      </w:r>
    </w:p>
    <w:p w14:paraId="1218A2CD">
      <w:pPr>
        <w:spacing w:line="360" w:lineRule="auto"/>
        <w:rPr>
          <w:rFonts w:ascii="宋体" w:hAnsi="宋体"/>
          <w:b/>
          <w:bCs/>
          <w:color w:val="auto"/>
          <w:spacing w:val="6"/>
          <w:szCs w:val="21"/>
          <w:highlight w:val="none"/>
        </w:rPr>
      </w:pPr>
      <w:r>
        <w:rPr>
          <w:rFonts w:hint="eastAsia" w:ascii="宋体" w:hAnsi="宋体"/>
          <w:b/>
          <w:bCs/>
          <w:color w:val="auto"/>
          <w:spacing w:val="6"/>
          <w:szCs w:val="21"/>
          <w:highlight w:val="none"/>
        </w:rPr>
        <w:t>五、公告期限</w:t>
      </w:r>
      <w:bookmarkEnd w:id="38"/>
      <w:bookmarkEnd w:id="39"/>
      <w:bookmarkEnd w:id="40"/>
      <w:bookmarkEnd w:id="41"/>
    </w:p>
    <w:p w14:paraId="046FACE1">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自本公告发布之日起5个工作日。</w:t>
      </w:r>
    </w:p>
    <w:p w14:paraId="71CD2ADB">
      <w:pPr>
        <w:spacing w:line="360" w:lineRule="auto"/>
        <w:rPr>
          <w:rFonts w:ascii="宋体" w:hAnsi="宋体"/>
          <w:b/>
          <w:bCs/>
          <w:color w:val="auto"/>
          <w:spacing w:val="6"/>
          <w:szCs w:val="21"/>
          <w:highlight w:val="none"/>
        </w:rPr>
      </w:pPr>
      <w:bookmarkStart w:id="42" w:name="_Toc35393626"/>
      <w:bookmarkStart w:id="43" w:name="_Toc35393795"/>
      <w:r>
        <w:rPr>
          <w:rFonts w:hint="eastAsia" w:ascii="宋体" w:hAnsi="宋体"/>
          <w:b/>
          <w:bCs/>
          <w:color w:val="auto"/>
          <w:spacing w:val="6"/>
          <w:szCs w:val="21"/>
          <w:highlight w:val="none"/>
        </w:rPr>
        <w:t>六、在线投标响应（电子投标）说明</w:t>
      </w:r>
    </w:p>
    <w:bookmarkEnd w:id="42"/>
    <w:bookmarkEnd w:id="43"/>
    <w:p w14:paraId="107E0EAB">
      <w:pPr>
        <w:pStyle w:val="42"/>
        <w:adjustRightInd w:val="0"/>
        <w:snapToGrid w:val="0"/>
        <w:spacing w:line="360" w:lineRule="auto"/>
        <w:ind w:firstLine="446" w:firstLineChars="201"/>
        <w:rPr>
          <w:rFonts w:hAnsi="宋体" w:cs="宋体"/>
          <w:color w:val="auto"/>
          <w:spacing w:val="6"/>
          <w:szCs w:val="21"/>
          <w:highlight w:val="none"/>
        </w:rPr>
      </w:pPr>
      <w:bookmarkStart w:id="44" w:name="_Toc35393627"/>
      <w:bookmarkStart w:id="45" w:name="_Toc35393796"/>
      <w:bookmarkStart w:id="46" w:name="_Toc28359008"/>
      <w:bookmarkStart w:id="47" w:name="_Toc28359085"/>
      <w:r>
        <w:rPr>
          <w:rFonts w:hint="eastAsia" w:hAnsi="宋体" w:cs="宋体"/>
          <w:color w:val="auto"/>
          <w:spacing w:val="6"/>
          <w:szCs w:val="21"/>
          <w:highlight w:val="none"/>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3DE13CBF">
      <w:pPr>
        <w:pStyle w:val="42"/>
        <w:adjustRightInd w:val="0"/>
        <w:snapToGrid w:val="0"/>
        <w:spacing w:line="360" w:lineRule="auto"/>
        <w:ind w:firstLine="446" w:firstLineChars="201"/>
        <w:rPr>
          <w:rFonts w:hAnsi="宋体" w:cs="宋体"/>
          <w:color w:val="auto"/>
          <w:spacing w:val="6"/>
          <w:szCs w:val="21"/>
          <w:highlight w:val="none"/>
        </w:rPr>
      </w:pPr>
      <w:r>
        <w:rPr>
          <w:rFonts w:hint="eastAsia" w:hAnsi="宋体" w:cs="宋体"/>
          <w:color w:val="auto"/>
          <w:spacing w:val="6"/>
          <w:szCs w:val="21"/>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73163704">
      <w:pPr>
        <w:pStyle w:val="42"/>
        <w:adjustRightInd w:val="0"/>
        <w:snapToGrid w:val="0"/>
        <w:spacing w:line="360" w:lineRule="auto"/>
        <w:ind w:firstLine="446" w:firstLineChars="201"/>
        <w:rPr>
          <w:rFonts w:hAnsi="宋体" w:cs="宋体"/>
          <w:color w:val="auto"/>
          <w:spacing w:val="6"/>
          <w:szCs w:val="21"/>
          <w:highlight w:val="none"/>
        </w:rPr>
      </w:pPr>
      <w:r>
        <w:rPr>
          <w:rFonts w:hint="eastAsia" w:hAnsi="宋体" w:cs="宋体"/>
          <w:color w:val="auto"/>
          <w:spacing w:val="6"/>
          <w:szCs w:val="21"/>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14:paraId="763A1E73">
      <w:pPr>
        <w:pStyle w:val="42"/>
        <w:adjustRightInd w:val="0"/>
        <w:snapToGrid w:val="0"/>
        <w:spacing w:line="360" w:lineRule="auto"/>
        <w:ind w:firstLine="446" w:firstLineChars="201"/>
        <w:rPr>
          <w:rFonts w:hAnsi="宋体" w:cs="宋体"/>
          <w:color w:val="auto"/>
          <w:spacing w:val="6"/>
          <w:szCs w:val="21"/>
          <w:highlight w:val="none"/>
        </w:rPr>
      </w:pPr>
      <w:r>
        <w:rPr>
          <w:rFonts w:hint="eastAsia" w:hAnsi="宋体" w:cs="宋体"/>
          <w:color w:val="auto"/>
          <w:spacing w:val="6"/>
          <w:szCs w:val="21"/>
          <w:highlight w:val="none"/>
        </w:rPr>
        <w:t>3.投标供应商应当在投标截止时间前，将生成的“电子加密投标文件”上传至“政府采购云平台”。投标截止时间以后上传递交的投标文件将被“政府采购云平台”拒收。</w:t>
      </w:r>
    </w:p>
    <w:p w14:paraId="068E2509">
      <w:pPr>
        <w:pStyle w:val="42"/>
        <w:adjustRightInd w:val="0"/>
        <w:snapToGrid w:val="0"/>
        <w:spacing w:line="360" w:lineRule="auto"/>
        <w:ind w:firstLine="446" w:firstLineChars="201"/>
        <w:rPr>
          <w:rFonts w:hAnsi="宋体" w:cs="宋体"/>
          <w:color w:val="auto"/>
          <w:spacing w:val="6"/>
          <w:szCs w:val="21"/>
          <w:highlight w:val="none"/>
        </w:rPr>
      </w:pPr>
      <w:r>
        <w:rPr>
          <w:rFonts w:hint="eastAsia" w:hAnsi="宋体" w:cs="宋体"/>
          <w:color w:val="auto"/>
          <w:spacing w:val="6"/>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7E91BBBC">
      <w:pPr>
        <w:pStyle w:val="42"/>
        <w:adjustRightInd w:val="0"/>
        <w:snapToGrid w:val="0"/>
        <w:spacing w:line="360" w:lineRule="auto"/>
        <w:ind w:firstLine="446" w:firstLineChars="201"/>
        <w:rPr>
          <w:rFonts w:hAnsi="宋体" w:cs="宋体"/>
          <w:color w:val="auto"/>
          <w:spacing w:val="6"/>
          <w:szCs w:val="21"/>
          <w:highlight w:val="none"/>
        </w:rPr>
      </w:pPr>
      <w:r>
        <w:rPr>
          <w:rFonts w:hint="eastAsia" w:hAnsi="宋体" w:cs="宋体"/>
          <w:color w:val="auto"/>
          <w:spacing w:val="6"/>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493BD50">
      <w:pPr>
        <w:spacing w:line="360" w:lineRule="auto"/>
        <w:rPr>
          <w:rFonts w:ascii="宋体" w:hAnsi="宋体"/>
          <w:b/>
          <w:bCs/>
          <w:color w:val="auto"/>
          <w:spacing w:val="6"/>
          <w:szCs w:val="21"/>
          <w:highlight w:val="none"/>
        </w:rPr>
      </w:pPr>
      <w:r>
        <w:rPr>
          <w:rFonts w:hint="eastAsia" w:ascii="宋体" w:hAnsi="宋体"/>
          <w:b/>
          <w:bCs/>
          <w:color w:val="auto"/>
          <w:spacing w:val="6"/>
          <w:szCs w:val="21"/>
          <w:highlight w:val="none"/>
        </w:rPr>
        <w:t>七、其他补充事宜</w:t>
      </w:r>
    </w:p>
    <w:p w14:paraId="4FA1DE16">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为支持和促进中小企业发展，进一步发挥政府采购政策功能，鼓励供应商使用保险/保函替代保证金及进行预付款增信，支持供应商基于中标项目进行应收账款融资。中标供应商若想了解或使用相关服务，可拨打政采云金融热线进行咨询400-903-9583，或登陆政采云平台查看相应政策文件及各相关服务方案∶</w:t>
      </w:r>
    </w:p>
    <w:p w14:paraId="54699C86">
      <w:pPr>
        <w:spacing w:line="360" w:lineRule="auto"/>
        <w:rPr>
          <w:rFonts w:ascii="宋体" w:hAnsi="宋体"/>
          <w:color w:val="auto"/>
          <w:spacing w:val="6"/>
          <w:szCs w:val="21"/>
          <w:highlight w:val="none"/>
        </w:rPr>
      </w:pPr>
      <w:r>
        <w:rPr>
          <w:rFonts w:ascii="宋体" w:hAnsi="宋体"/>
          <w:color w:val="auto"/>
          <w:spacing w:val="6"/>
          <w:szCs w:val="21"/>
          <w:highlight w:val="none"/>
        </w:rPr>
        <w:t>https://jinrong.zcygov.cn/finance-service/#/home</w:t>
      </w:r>
    </w:p>
    <w:p w14:paraId="52383859">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EBC932">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2916D">
      <w:pPr>
        <w:spacing w:line="360" w:lineRule="auto"/>
        <w:ind w:firstLine="446" w:firstLineChars="200"/>
        <w:rPr>
          <w:rFonts w:ascii="宋体" w:hAnsi="宋体"/>
          <w:color w:val="auto"/>
          <w:spacing w:val="6"/>
          <w:szCs w:val="21"/>
          <w:highlight w:val="none"/>
        </w:rPr>
      </w:pPr>
      <w:r>
        <w:rPr>
          <w:rFonts w:hint="eastAsia" w:ascii="宋体" w:hAnsi="宋体"/>
          <w:b/>
          <w:bCs/>
          <w:color w:val="auto"/>
          <w:spacing w:val="6"/>
          <w:szCs w:val="21"/>
          <w:highlight w:val="none"/>
        </w:rPr>
        <w:t>4.采购文件获取截止时间为2025年</w:t>
      </w:r>
      <w:r>
        <w:rPr>
          <w:rFonts w:hint="eastAsia" w:ascii="宋体" w:hAnsi="宋体"/>
          <w:b/>
          <w:bCs/>
          <w:color w:val="auto"/>
          <w:spacing w:val="6"/>
          <w:szCs w:val="21"/>
          <w:highlight w:val="none"/>
          <w:lang w:val="en-US" w:eastAsia="zh-CN"/>
        </w:rPr>
        <w:t>2</w:t>
      </w:r>
      <w:r>
        <w:rPr>
          <w:rFonts w:hint="eastAsia" w:ascii="宋体" w:hAnsi="宋体"/>
          <w:b/>
          <w:bCs/>
          <w:color w:val="auto"/>
          <w:spacing w:val="6"/>
          <w:szCs w:val="21"/>
          <w:highlight w:val="none"/>
        </w:rPr>
        <w:t>月</w:t>
      </w:r>
      <w:r>
        <w:rPr>
          <w:rFonts w:hint="eastAsia" w:ascii="宋体" w:hAnsi="宋体"/>
          <w:b/>
          <w:bCs/>
          <w:color w:val="auto"/>
          <w:spacing w:val="6"/>
          <w:szCs w:val="21"/>
          <w:highlight w:val="none"/>
          <w:lang w:val="en-US" w:eastAsia="zh-CN"/>
        </w:rPr>
        <w:t>11</w:t>
      </w:r>
      <w:r>
        <w:rPr>
          <w:rFonts w:hint="eastAsia" w:ascii="宋体" w:hAnsi="宋体"/>
          <w:b/>
          <w:bCs/>
          <w:color w:val="auto"/>
          <w:spacing w:val="6"/>
          <w:szCs w:val="21"/>
          <w:highlight w:val="none"/>
        </w:rPr>
        <w:t>日09点00分止</w:t>
      </w:r>
      <w:r>
        <w:rPr>
          <w:rFonts w:hint="eastAsia" w:ascii="宋体" w:hAnsi="宋体"/>
          <w:color w:val="auto"/>
          <w:spacing w:val="6"/>
          <w:szCs w:val="21"/>
          <w:highlight w:val="none"/>
        </w:rPr>
        <w:t>。如对采购文件有异议应该按财政部第94号令《政府采购质疑和投诉办法》和浙财采监〔2007〕2号文件规定的时间</w:t>
      </w:r>
      <w:r>
        <w:rPr>
          <w:rFonts w:hint="eastAsia" w:ascii="宋体" w:hAnsi="宋体"/>
          <w:color w:val="auto"/>
          <w:szCs w:val="21"/>
          <w:highlight w:val="none"/>
        </w:rPr>
        <w:t>要求一次性提出针对同一采购程序环节的质疑</w:t>
      </w:r>
      <w:r>
        <w:rPr>
          <w:rFonts w:hint="eastAsia" w:ascii="宋体" w:hAnsi="宋体"/>
          <w:color w:val="auto"/>
          <w:spacing w:val="6"/>
          <w:szCs w:val="21"/>
          <w:highlight w:val="none"/>
        </w:rPr>
        <w:t>，逾期提出的，代理机构不予受理、答复。对未按上述方式获取采购文件的供应商对该文件提出的质疑，采购人或采购代理机构将不予处理。</w:t>
      </w:r>
    </w:p>
    <w:p w14:paraId="4C7BD71C">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5.书面质疑受理地点：东方经纬项目管理有限公司（嵊州市领带园区三路9号1幢3楼东方经纬），袁女士收，0575-83001675。</w:t>
      </w:r>
    </w:p>
    <w:p w14:paraId="293416F6">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6.根据《浙江省政府采购供应商注册登记和诚信管理暂行办法》，供应商须申请加入“浙江省政府采购供应商库”；请供应商及时登录“浙江政府采购网” 进行登记注册。</w:t>
      </w:r>
    </w:p>
    <w:p w14:paraId="68534862">
      <w:pPr>
        <w:spacing w:line="360" w:lineRule="auto"/>
        <w:rPr>
          <w:rFonts w:ascii="宋体" w:hAnsi="宋体"/>
          <w:b/>
          <w:bCs/>
          <w:color w:val="auto"/>
          <w:spacing w:val="6"/>
          <w:szCs w:val="21"/>
          <w:highlight w:val="none"/>
        </w:rPr>
      </w:pPr>
      <w:r>
        <w:rPr>
          <w:rFonts w:hint="eastAsia" w:ascii="宋体" w:hAnsi="宋体"/>
          <w:b/>
          <w:bCs/>
          <w:color w:val="auto"/>
          <w:spacing w:val="6"/>
          <w:szCs w:val="21"/>
          <w:highlight w:val="none"/>
        </w:rPr>
        <w:t>八、对本次采购提出询问，请按以下方式联系</w:t>
      </w:r>
      <w:bookmarkEnd w:id="44"/>
      <w:bookmarkEnd w:id="45"/>
      <w:bookmarkEnd w:id="46"/>
      <w:bookmarkEnd w:id="47"/>
    </w:p>
    <w:p w14:paraId="235E9E66">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ascii="宋体" w:hAnsi="宋体" w:cs="宋体"/>
          <w:color w:val="auto"/>
          <w:szCs w:val="32"/>
          <w:highlight w:val="none"/>
        </w:rPr>
        <w:t>1.</w:t>
      </w:r>
      <w:r>
        <w:rPr>
          <w:rFonts w:hint="eastAsia" w:ascii="宋体" w:hAnsi="宋体" w:cs="宋体"/>
          <w:color w:val="auto"/>
          <w:szCs w:val="32"/>
          <w:highlight w:val="none"/>
        </w:rPr>
        <w:t>采购人信息</w:t>
      </w:r>
    </w:p>
    <w:p w14:paraId="18125E5D">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名</w:t>
      </w:r>
      <w:r>
        <w:rPr>
          <w:rFonts w:ascii="宋体" w:hAnsi="宋体" w:cs="宋体"/>
          <w:color w:val="auto"/>
          <w:szCs w:val="32"/>
          <w:highlight w:val="none"/>
        </w:rPr>
        <w:t xml:space="preserve">    </w:t>
      </w:r>
      <w:r>
        <w:rPr>
          <w:rFonts w:hint="eastAsia" w:ascii="宋体" w:hAnsi="宋体" w:cs="宋体"/>
          <w:color w:val="auto"/>
          <w:szCs w:val="32"/>
          <w:highlight w:val="none"/>
        </w:rPr>
        <w:t>称：嵊州市市场监督管理局</w:t>
      </w:r>
    </w:p>
    <w:p w14:paraId="5B88B3E0">
      <w:pPr>
        <w:keepNext w:val="0"/>
        <w:keepLines w:val="0"/>
        <w:pageBreakBefore w:val="0"/>
        <w:widowControl w:val="0"/>
        <w:kinsoku/>
        <w:wordWrap/>
        <w:overflowPunct/>
        <w:topLinePunct w:val="0"/>
        <w:autoSpaceDE w:val="0"/>
        <w:autoSpaceDN w:val="0"/>
        <w:bidi w:val="0"/>
        <w:adjustRightInd/>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32"/>
          <w:highlight w:val="none"/>
        </w:rPr>
        <w:t>地</w:t>
      </w:r>
      <w:r>
        <w:rPr>
          <w:rFonts w:ascii="宋体" w:hAnsi="宋体" w:cs="宋体"/>
          <w:color w:val="auto"/>
          <w:szCs w:val="32"/>
          <w:highlight w:val="none"/>
        </w:rPr>
        <w:t xml:space="preserve">    </w:t>
      </w:r>
      <w:r>
        <w:rPr>
          <w:rFonts w:hint="eastAsia" w:ascii="宋体" w:hAnsi="宋体" w:cs="宋体"/>
          <w:color w:val="auto"/>
          <w:szCs w:val="32"/>
          <w:highlight w:val="none"/>
        </w:rPr>
        <w:t>址：嵊州市经济开发区经环西路88号</w:t>
      </w:r>
    </w:p>
    <w:p w14:paraId="5FF4D8E3">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项目联系人（询问）：钱科长</w:t>
      </w:r>
    </w:p>
    <w:p w14:paraId="3F9C08CE">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项目联系方式（询问）：0575-</w:t>
      </w:r>
      <w:r>
        <w:rPr>
          <w:color w:val="auto"/>
          <w:highlight w:val="none"/>
        </w:rPr>
        <w:t xml:space="preserve"> </w:t>
      </w:r>
      <w:r>
        <w:rPr>
          <w:rFonts w:ascii="宋体" w:hAnsi="宋体" w:cs="宋体"/>
          <w:color w:val="auto"/>
          <w:szCs w:val="32"/>
          <w:highlight w:val="none"/>
        </w:rPr>
        <w:t>83365906</w:t>
      </w:r>
    </w:p>
    <w:p w14:paraId="62441342">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ascii="宋体" w:hAnsi="宋体" w:cs="宋体"/>
          <w:color w:val="auto"/>
          <w:szCs w:val="32"/>
          <w:highlight w:val="none"/>
        </w:rPr>
        <w:t>2.</w:t>
      </w:r>
      <w:r>
        <w:rPr>
          <w:rFonts w:hint="eastAsia" w:ascii="宋体" w:hAnsi="宋体" w:cs="宋体"/>
          <w:color w:val="auto"/>
          <w:szCs w:val="32"/>
          <w:highlight w:val="none"/>
        </w:rPr>
        <w:t>采购代理机构信息</w:t>
      </w:r>
    </w:p>
    <w:p w14:paraId="4FA15D19">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hint="eastAsia" w:ascii="宋体" w:hAnsi="宋体" w:cs="宋体"/>
          <w:color w:val="auto"/>
          <w:szCs w:val="32"/>
          <w:highlight w:val="none"/>
        </w:rPr>
        <w:t>名</w:t>
      </w:r>
      <w:r>
        <w:rPr>
          <w:rFonts w:ascii="宋体" w:hAnsi="宋体" w:cs="宋体"/>
          <w:color w:val="auto"/>
          <w:szCs w:val="32"/>
          <w:highlight w:val="none"/>
        </w:rPr>
        <w:t xml:space="preserve">    </w:t>
      </w:r>
      <w:r>
        <w:rPr>
          <w:rFonts w:hint="eastAsia" w:ascii="宋体" w:hAnsi="宋体" w:cs="宋体"/>
          <w:color w:val="auto"/>
          <w:szCs w:val="32"/>
          <w:highlight w:val="none"/>
        </w:rPr>
        <w:t>称：东方经纬项目管理有限公司</w:t>
      </w:r>
    </w:p>
    <w:p w14:paraId="7F9A8DBC">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highlight w:val="none"/>
        </w:rPr>
      </w:pPr>
      <w:r>
        <w:rPr>
          <w:rFonts w:hint="eastAsia" w:ascii="宋体" w:hAnsi="宋体" w:cs="宋体"/>
          <w:color w:val="auto"/>
          <w:szCs w:val="32"/>
          <w:highlight w:val="none"/>
        </w:rPr>
        <w:t>地</w:t>
      </w:r>
      <w:r>
        <w:rPr>
          <w:rFonts w:ascii="宋体" w:hAnsi="宋体" w:cs="宋体"/>
          <w:color w:val="auto"/>
          <w:szCs w:val="32"/>
          <w:highlight w:val="none"/>
        </w:rPr>
        <w:t xml:space="preserve">    </w:t>
      </w:r>
      <w:r>
        <w:rPr>
          <w:rFonts w:hint="eastAsia" w:ascii="宋体" w:hAnsi="宋体" w:cs="宋体"/>
          <w:color w:val="auto"/>
          <w:szCs w:val="32"/>
          <w:highlight w:val="none"/>
        </w:rPr>
        <w:t>址：</w:t>
      </w:r>
      <w:r>
        <w:rPr>
          <w:rFonts w:hint="eastAsia" w:ascii="宋体" w:hAnsi="宋体"/>
          <w:color w:val="auto"/>
          <w:spacing w:val="6"/>
          <w:szCs w:val="21"/>
          <w:highlight w:val="none"/>
        </w:rPr>
        <w:t>嵊州市领带园区三路</w:t>
      </w:r>
      <w:r>
        <w:rPr>
          <w:rFonts w:hint="eastAsia" w:ascii="宋体" w:hAnsi="宋体"/>
          <w:color w:val="auto"/>
          <w:spacing w:val="6"/>
          <w:szCs w:val="21"/>
          <w:highlight w:val="none"/>
          <w:lang w:eastAsia="zh-CN"/>
        </w:rPr>
        <w:t>（</w:t>
      </w:r>
      <w:r>
        <w:rPr>
          <w:rFonts w:hint="eastAsia" w:ascii="宋体" w:hAnsi="宋体"/>
          <w:color w:val="auto"/>
          <w:spacing w:val="6"/>
          <w:szCs w:val="21"/>
          <w:highlight w:val="none"/>
          <w:lang w:val="en-US" w:eastAsia="zh-CN"/>
        </w:rPr>
        <w:t>万隆综合大楼</w:t>
      </w:r>
      <w:r>
        <w:rPr>
          <w:rFonts w:hint="eastAsia" w:ascii="宋体" w:hAnsi="宋体"/>
          <w:color w:val="auto"/>
          <w:spacing w:val="6"/>
          <w:szCs w:val="21"/>
          <w:highlight w:val="none"/>
          <w:lang w:eastAsia="zh-CN"/>
        </w:rPr>
        <w:t>）</w:t>
      </w:r>
      <w:r>
        <w:rPr>
          <w:rFonts w:hint="eastAsia" w:ascii="宋体" w:hAnsi="宋体"/>
          <w:color w:val="auto"/>
          <w:spacing w:val="6"/>
          <w:szCs w:val="21"/>
          <w:highlight w:val="none"/>
        </w:rPr>
        <w:t>9号1幢3楼东方经纬</w:t>
      </w:r>
    </w:p>
    <w:p w14:paraId="3230BEFA">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hint="eastAsia" w:ascii="宋体" w:hAnsi="宋体" w:cs="宋体"/>
          <w:color w:val="auto"/>
          <w:szCs w:val="32"/>
          <w:highlight w:val="none"/>
        </w:rPr>
        <w:t>项目联系人（询问）：袁女士</w:t>
      </w:r>
    </w:p>
    <w:p w14:paraId="45820C27">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项目联系方式（询问）：</w:t>
      </w:r>
      <w:r>
        <w:rPr>
          <w:rFonts w:ascii="宋体" w:hAnsi="宋体" w:cs="宋体"/>
          <w:color w:val="auto"/>
          <w:szCs w:val="32"/>
          <w:highlight w:val="none"/>
        </w:rPr>
        <w:t>0575-8</w:t>
      </w:r>
      <w:r>
        <w:rPr>
          <w:rFonts w:hint="eastAsia" w:ascii="宋体" w:hAnsi="宋体" w:cs="宋体"/>
          <w:color w:val="auto"/>
          <w:szCs w:val="32"/>
          <w:highlight w:val="none"/>
        </w:rPr>
        <w:t>3001675</w:t>
      </w:r>
    </w:p>
    <w:p w14:paraId="5C3190A3">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ascii="宋体" w:hAnsi="宋体" w:cs="宋体"/>
          <w:color w:val="auto"/>
          <w:szCs w:val="32"/>
          <w:highlight w:val="none"/>
        </w:rPr>
        <w:t>3.</w:t>
      </w:r>
      <w:r>
        <w:rPr>
          <w:rFonts w:hint="eastAsia" w:ascii="宋体" w:hAnsi="宋体" w:cs="宋体"/>
          <w:color w:val="auto"/>
          <w:szCs w:val="32"/>
          <w:highlight w:val="none"/>
        </w:rPr>
        <w:t>同级政府采购监督管理部门</w:t>
      </w:r>
    </w:p>
    <w:p w14:paraId="554810AD">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hint="eastAsia" w:ascii="宋体" w:hAnsi="宋体" w:cs="宋体"/>
          <w:color w:val="auto"/>
          <w:szCs w:val="32"/>
          <w:highlight w:val="none"/>
        </w:rPr>
        <w:t>名</w:t>
      </w:r>
      <w:r>
        <w:rPr>
          <w:rFonts w:ascii="宋体" w:hAnsi="宋体" w:cs="宋体"/>
          <w:color w:val="auto"/>
          <w:szCs w:val="32"/>
          <w:highlight w:val="none"/>
        </w:rPr>
        <w:t xml:space="preserve">    </w:t>
      </w:r>
      <w:r>
        <w:rPr>
          <w:rFonts w:hint="eastAsia" w:ascii="宋体" w:hAnsi="宋体" w:cs="宋体"/>
          <w:color w:val="auto"/>
          <w:szCs w:val="32"/>
          <w:highlight w:val="none"/>
        </w:rPr>
        <w:t>称：</w:t>
      </w:r>
      <w:r>
        <w:rPr>
          <w:rFonts w:ascii="宋体" w:hAnsi="宋体" w:cs="宋体"/>
          <w:color w:val="auto"/>
          <w:szCs w:val="32"/>
          <w:highlight w:val="none"/>
        </w:rPr>
        <w:t xml:space="preserve"> </w:t>
      </w:r>
      <w:r>
        <w:rPr>
          <w:rFonts w:hint="eastAsia" w:ascii="宋体" w:hAnsi="宋体" w:cs="宋体"/>
          <w:color w:val="auto"/>
          <w:szCs w:val="32"/>
          <w:highlight w:val="none"/>
        </w:rPr>
        <w:t>嵊州市采购监管</w:t>
      </w:r>
    </w:p>
    <w:p w14:paraId="4620E77A">
      <w:pPr>
        <w:keepNext w:val="0"/>
        <w:keepLines w:val="0"/>
        <w:pageBreakBefore w:val="0"/>
        <w:widowControl w:val="0"/>
        <w:kinsoku/>
        <w:wordWrap/>
        <w:overflowPunct/>
        <w:topLinePunct w:val="0"/>
        <w:bidi w:val="0"/>
        <w:adjustRightInd/>
        <w:spacing w:line="360" w:lineRule="auto"/>
        <w:ind w:firstLine="420" w:firstLineChars="200"/>
        <w:rPr>
          <w:rFonts w:ascii="宋体" w:cs="宋体"/>
          <w:color w:val="auto"/>
          <w:szCs w:val="32"/>
          <w:highlight w:val="none"/>
        </w:rPr>
      </w:pPr>
      <w:r>
        <w:rPr>
          <w:rFonts w:hint="eastAsia" w:ascii="宋体" w:hAnsi="宋体" w:cs="宋体"/>
          <w:color w:val="auto"/>
          <w:szCs w:val="32"/>
          <w:highlight w:val="none"/>
        </w:rPr>
        <w:t>联</w:t>
      </w:r>
      <w:r>
        <w:rPr>
          <w:rFonts w:ascii="宋体" w:hAnsi="宋体" w:cs="宋体"/>
          <w:color w:val="auto"/>
          <w:szCs w:val="32"/>
          <w:highlight w:val="none"/>
        </w:rPr>
        <w:t xml:space="preserve"> </w:t>
      </w:r>
      <w:r>
        <w:rPr>
          <w:rFonts w:hint="eastAsia" w:ascii="宋体" w:hAnsi="宋体" w:cs="宋体"/>
          <w:color w:val="auto"/>
          <w:szCs w:val="32"/>
          <w:highlight w:val="none"/>
        </w:rPr>
        <w:t>系</w:t>
      </w:r>
      <w:r>
        <w:rPr>
          <w:rFonts w:ascii="宋体" w:hAnsi="宋体" w:cs="宋体"/>
          <w:color w:val="auto"/>
          <w:szCs w:val="32"/>
          <w:highlight w:val="none"/>
        </w:rPr>
        <w:t xml:space="preserve"> </w:t>
      </w:r>
      <w:r>
        <w:rPr>
          <w:rFonts w:hint="eastAsia" w:ascii="宋体" w:hAnsi="宋体" w:cs="宋体"/>
          <w:color w:val="auto"/>
          <w:szCs w:val="32"/>
          <w:highlight w:val="none"/>
        </w:rPr>
        <w:t>人</w:t>
      </w:r>
      <w:r>
        <w:rPr>
          <w:rFonts w:ascii="宋体" w:hAnsi="宋体" w:cs="宋体"/>
          <w:color w:val="auto"/>
          <w:szCs w:val="32"/>
          <w:highlight w:val="none"/>
        </w:rPr>
        <w:t xml:space="preserve"> </w:t>
      </w:r>
      <w:r>
        <w:rPr>
          <w:rFonts w:hint="eastAsia" w:ascii="宋体" w:hAnsi="宋体" w:cs="宋体"/>
          <w:color w:val="auto"/>
          <w:szCs w:val="32"/>
          <w:highlight w:val="none"/>
        </w:rPr>
        <w:t>：郑老师</w:t>
      </w:r>
    </w:p>
    <w:p w14:paraId="3DE5295E">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监督投诉电话：</w:t>
      </w:r>
      <w:r>
        <w:rPr>
          <w:rFonts w:ascii="宋体" w:hAnsi="宋体" w:cs="宋体"/>
          <w:color w:val="auto"/>
          <w:szCs w:val="32"/>
          <w:highlight w:val="none"/>
        </w:rPr>
        <w:t>0575-83032507</w:t>
      </w:r>
    </w:p>
    <w:p w14:paraId="6FE872A9">
      <w:pPr>
        <w:keepNext w:val="0"/>
        <w:keepLines w:val="0"/>
        <w:pageBreakBefore w:val="0"/>
        <w:widowControl w:val="0"/>
        <w:kinsoku/>
        <w:wordWrap/>
        <w:overflowPunct/>
        <w:topLinePunct w:val="0"/>
        <w:bidi w:val="0"/>
        <w:adjustRightInd/>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地址：嵊州市国资大楼</w:t>
      </w:r>
      <w:r>
        <w:rPr>
          <w:rFonts w:ascii="宋体" w:hAnsi="宋体" w:cs="宋体"/>
          <w:color w:val="auto"/>
          <w:szCs w:val="32"/>
          <w:highlight w:val="none"/>
        </w:rPr>
        <w:t>10</w:t>
      </w:r>
      <w:r>
        <w:rPr>
          <w:rFonts w:hint="eastAsia" w:ascii="宋体" w:hAnsi="宋体" w:cs="宋体"/>
          <w:color w:val="auto"/>
          <w:szCs w:val="32"/>
          <w:highlight w:val="none"/>
        </w:rPr>
        <w:t>楼</w:t>
      </w:r>
    </w:p>
    <w:p w14:paraId="7B741A52">
      <w:pPr>
        <w:pStyle w:val="2"/>
        <w:spacing w:before="0" w:after="0" w:line="360" w:lineRule="auto"/>
        <w:rPr>
          <w:rFonts w:hAnsi="宋体" w:cs="宋体"/>
          <w:color w:val="auto"/>
          <w:szCs w:val="36"/>
          <w:highlight w:val="none"/>
        </w:rPr>
      </w:pPr>
      <w:bookmarkStart w:id="48" w:name="_Toc107927456"/>
      <w:bookmarkStart w:id="49" w:name="_Toc107927532"/>
      <w:bookmarkStart w:id="50" w:name="_Toc118715098"/>
      <w:r>
        <w:rPr>
          <w:rFonts w:hint="eastAsia" w:hAnsi="宋体" w:cs="宋体"/>
          <w:color w:val="auto"/>
          <w:szCs w:val="36"/>
          <w:highlight w:val="none"/>
        </w:rPr>
        <w:t>第二章  投标须知</w:t>
      </w:r>
      <w:bookmarkEnd w:id="13"/>
      <w:bookmarkEnd w:id="14"/>
      <w:bookmarkEnd w:id="15"/>
      <w:bookmarkEnd w:id="16"/>
      <w:bookmarkEnd w:id="17"/>
      <w:bookmarkEnd w:id="18"/>
      <w:bookmarkEnd w:id="19"/>
      <w:bookmarkEnd w:id="20"/>
      <w:bookmarkEnd w:id="48"/>
      <w:bookmarkEnd w:id="49"/>
      <w:bookmarkEnd w:id="50"/>
    </w:p>
    <w:p w14:paraId="73F3D0AD">
      <w:pPr>
        <w:pStyle w:val="3"/>
        <w:spacing w:before="0"/>
        <w:ind w:left="357"/>
        <w:rPr>
          <w:rFonts w:ascii="宋体" w:hAnsi="宋体" w:cs="宋体"/>
          <w:b w:val="0"/>
          <w:bCs/>
          <w:color w:val="auto"/>
          <w:sz w:val="28"/>
          <w:szCs w:val="28"/>
          <w:highlight w:val="none"/>
        </w:rPr>
      </w:pPr>
      <w:bookmarkStart w:id="51" w:name="_Toc107927533"/>
      <w:bookmarkStart w:id="52" w:name="_Toc248065036"/>
      <w:bookmarkStart w:id="53" w:name="_Toc226337758"/>
      <w:bookmarkStart w:id="54" w:name="_Toc304551310"/>
      <w:bookmarkStart w:id="55" w:name="_Toc339302125"/>
      <w:bookmarkStart w:id="56" w:name="_Toc180555917"/>
      <w:bookmarkStart w:id="57" w:name="_Toc107927457"/>
      <w:bookmarkStart w:id="58" w:name="_Toc340322164"/>
      <w:bookmarkStart w:id="59" w:name="_Toc19659"/>
      <w:bookmarkStart w:id="60" w:name="_Toc340321909"/>
      <w:bookmarkStart w:id="61" w:name="_Toc54978889"/>
      <w:bookmarkStart w:id="62" w:name="_Toc489481887"/>
      <w:bookmarkStart w:id="63" w:name="_Toc513456140"/>
      <w:r>
        <w:rPr>
          <w:rFonts w:hint="eastAsia" w:ascii="宋体" w:hAnsi="宋体" w:cs="宋体"/>
          <w:b w:val="0"/>
          <w:bCs/>
          <w:color w:val="auto"/>
          <w:sz w:val="28"/>
          <w:szCs w:val="28"/>
          <w:highlight w:val="none"/>
        </w:rPr>
        <w:t>一、投标须知前附表</w:t>
      </w:r>
      <w:bookmarkEnd w:id="51"/>
      <w:bookmarkEnd w:id="52"/>
      <w:bookmarkEnd w:id="53"/>
      <w:bookmarkEnd w:id="54"/>
      <w:bookmarkEnd w:id="55"/>
      <w:bookmarkEnd w:id="56"/>
      <w:bookmarkEnd w:id="57"/>
      <w:bookmarkEnd w:id="58"/>
      <w:bookmarkEnd w:id="59"/>
      <w:bookmarkEnd w:id="60"/>
      <w:bookmarkEnd w:id="61"/>
      <w:bookmarkEnd w:id="62"/>
      <w:bookmarkEnd w:id="63"/>
    </w:p>
    <w:tbl>
      <w:tblPr>
        <w:tblStyle w:val="79"/>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6"/>
        <w:gridCol w:w="6740"/>
      </w:tblGrid>
      <w:tr w14:paraId="4DF6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14:paraId="56B9ACA1">
            <w:pPr>
              <w:autoSpaceDE w:val="0"/>
              <w:autoSpaceDN w:val="0"/>
              <w:snapToGrid w:val="0"/>
              <w:spacing w:line="360" w:lineRule="auto"/>
              <w:jc w:val="center"/>
              <w:textAlignment w:val="bottom"/>
              <w:rPr>
                <w:rFonts w:ascii="宋体" w:hAnsi="宋体" w:cs="宋体"/>
                <w:color w:val="auto"/>
                <w:szCs w:val="21"/>
                <w:highlight w:val="none"/>
              </w:rPr>
            </w:pPr>
            <w:bookmarkStart w:id="64" w:name="_Toc82873322"/>
            <w:bookmarkStart w:id="65" w:name="_Toc82338239"/>
            <w:bookmarkStart w:id="66" w:name="_Toc35261571"/>
            <w:r>
              <w:rPr>
                <w:rFonts w:hint="eastAsia" w:ascii="宋体" w:hAnsi="宋体" w:cs="宋体"/>
                <w:color w:val="auto"/>
                <w:szCs w:val="21"/>
                <w:highlight w:val="none"/>
              </w:rPr>
              <w:t>序号</w:t>
            </w:r>
          </w:p>
        </w:tc>
        <w:tc>
          <w:tcPr>
            <w:tcW w:w="1826" w:type="dxa"/>
            <w:vAlign w:val="center"/>
          </w:tcPr>
          <w:p w14:paraId="137E88A9">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项目</w:t>
            </w:r>
          </w:p>
        </w:tc>
        <w:tc>
          <w:tcPr>
            <w:tcW w:w="6740" w:type="dxa"/>
            <w:vAlign w:val="center"/>
          </w:tcPr>
          <w:p w14:paraId="1164E332">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编  例  内  容</w:t>
            </w:r>
          </w:p>
        </w:tc>
      </w:tr>
      <w:tr w14:paraId="454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709" w:type="dxa"/>
            <w:vAlign w:val="center"/>
          </w:tcPr>
          <w:p w14:paraId="6FC2DC2E">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1826" w:type="dxa"/>
            <w:vAlign w:val="center"/>
          </w:tcPr>
          <w:p w14:paraId="72E7AEEF">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采购人</w:t>
            </w:r>
          </w:p>
        </w:tc>
        <w:tc>
          <w:tcPr>
            <w:tcW w:w="6740" w:type="dxa"/>
            <w:vAlign w:val="center"/>
          </w:tcPr>
          <w:p w14:paraId="568013C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名称：嵊州市市场监督管理局</w:t>
            </w:r>
          </w:p>
          <w:p w14:paraId="5CF6C87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32"/>
                <w:highlight w:val="none"/>
              </w:rPr>
              <w:t>址：嵊州市经济开发区经环西路88号</w:t>
            </w:r>
          </w:p>
          <w:p w14:paraId="6CF6523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联系人：钱科长</w:t>
            </w:r>
          </w:p>
          <w:p w14:paraId="70B08C8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联系电话：0575-</w:t>
            </w:r>
            <w:r>
              <w:rPr>
                <w:color w:val="auto"/>
                <w:highlight w:val="none"/>
              </w:rPr>
              <w:t xml:space="preserve"> </w:t>
            </w:r>
            <w:r>
              <w:rPr>
                <w:rFonts w:ascii="宋体" w:hAnsi="宋体" w:cs="宋体"/>
                <w:color w:val="auto"/>
                <w:szCs w:val="21"/>
                <w:highlight w:val="none"/>
              </w:rPr>
              <w:t>83365906</w:t>
            </w:r>
          </w:p>
        </w:tc>
      </w:tr>
      <w:tr w14:paraId="2CBB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709" w:type="dxa"/>
            <w:vAlign w:val="center"/>
          </w:tcPr>
          <w:p w14:paraId="6B14349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1826" w:type="dxa"/>
            <w:vAlign w:val="center"/>
          </w:tcPr>
          <w:p w14:paraId="5B715F04">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740" w:type="dxa"/>
            <w:vAlign w:val="center"/>
          </w:tcPr>
          <w:p w14:paraId="7304995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名称：东方经纬项目管理有限公司</w:t>
            </w:r>
          </w:p>
          <w:p w14:paraId="6DC8583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olor w:val="auto"/>
                <w:spacing w:val="6"/>
                <w:szCs w:val="21"/>
                <w:highlight w:val="none"/>
              </w:rPr>
              <w:t>嵊州市领带园区三路9号</w:t>
            </w:r>
            <w:r>
              <w:rPr>
                <w:rFonts w:hint="eastAsia" w:ascii="宋体" w:hAnsi="宋体"/>
                <w:color w:val="auto"/>
                <w:spacing w:val="6"/>
                <w:szCs w:val="21"/>
                <w:highlight w:val="none"/>
                <w:lang w:eastAsia="zh-CN"/>
              </w:rPr>
              <w:t>（</w:t>
            </w:r>
            <w:r>
              <w:rPr>
                <w:rFonts w:hint="eastAsia" w:ascii="宋体" w:hAnsi="宋体"/>
                <w:color w:val="auto"/>
                <w:spacing w:val="6"/>
                <w:szCs w:val="21"/>
                <w:highlight w:val="none"/>
                <w:lang w:val="en-US" w:eastAsia="zh-CN"/>
              </w:rPr>
              <w:t>万隆综合大楼）</w:t>
            </w:r>
            <w:r>
              <w:rPr>
                <w:rFonts w:hint="eastAsia" w:ascii="宋体" w:hAnsi="宋体"/>
                <w:color w:val="auto"/>
                <w:spacing w:val="6"/>
                <w:szCs w:val="21"/>
                <w:highlight w:val="none"/>
              </w:rPr>
              <w:t>1幢3楼东方经纬</w:t>
            </w:r>
          </w:p>
          <w:p w14:paraId="7DE22F2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联系人：袁女士</w:t>
            </w:r>
          </w:p>
          <w:p w14:paraId="7424A212">
            <w:pPr>
              <w:autoSpaceDE w:val="0"/>
              <w:autoSpaceDN w:val="0"/>
              <w:snapToGrid w:val="0"/>
              <w:spacing w:line="360" w:lineRule="auto"/>
              <w:textAlignment w:val="bottom"/>
              <w:rPr>
                <w:rFonts w:ascii="宋体" w:hAnsi="宋体" w:cs="宋体"/>
                <w:color w:val="auto"/>
                <w:highlight w:val="none"/>
              </w:rPr>
            </w:pPr>
            <w:r>
              <w:rPr>
                <w:rFonts w:hint="eastAsia" w:ascii="宋体" w:hAnsi="宋体" w:cs="宋体"/>
                <w:color w:val="auto"/>
                <w:szCs w:val="21"/>
                <w:highlight w:val="none"/>
              </w:rPr>
              <w:t>联系电话：0575-83001675</w:t>
            </w:r>
          </w:p>
        </w:tc>
      </w:tr>
      <w:tr w14:paraId="6D87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42C2B9D2">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1826" w:type="dxa"/>
            <w:vAlign w:val="center"/>
          </w:tcPr>
          <w:p w14:paraId="14188DB8">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质疑与澄清</w:t>
            </w:r>
          </w:p>
        </w:tc>
        <w:tc>
          <w:tcPr>
            <w:tcW w:w="6740" w:type="dxa"/>
            <w:vAlign w:val="center"/>
          </w:tcPr>
          <w:p w14:paraId="07DF46E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pacing w:val="6"/>
                <w:szCs w:val="21"/>
                <w:highlight w:val="none"/>
              </w:rPr>
              <w:t>投标人如对采购文件有异议应该按财政部第94号令《政府采购质疑和投诉办法》和浙财采监〔2007〕2号文件规定的时间</w:t>
            </w:r>
            <w:r>
              <w:rPr>
                <w:rFonts w:hint="eastAsia" w:ascii="宋体" w:hAnsi="宋体" w:cs="宋体"/>
                <w:color w:val="auto"/>
                <w:szCs w:val="21"/>
                <w:highlight w:val="none"/>
              </w:rPr>
              <w:t>要求一次性提出针对同一采购程序环节的质疑</w:t>
            </w:r>
            <w:r>
              <w:rPr>
                <w:rFonts w:hint="eastAsia" w:ascii="宋体" w:hAnsi="宋体" w:cs="宋体"/>
                <w:color w:val="auto"/>
                <w:spacing w:val="6"/>
                <w:szCs w:val="21"/>
                <w:highlight w:val="none"/>
              </w:rPr>
              <w:t>，逾期提出的，代理机构不予受理、答复。对未按上述方式获取采购文件的供应商对该文件提出的质疑，采购代理机构将不予处理。</w:t>
            </w:r>
          </w:p>
        </w:tc>
      </w:tr>
      <w:tr w14:paraId="4D2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5DB7878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4</w:t>
            </w:r>
          </w:p>
        </w:tc>
        <w:tc>
          <w:tcPr>
            <w:tcW w:w="1826" w:type="dxa"/>
            <w:vAlign w:val="center"/>
          </w:tcPr>
          <w:p w14:paraId="174E4FDA">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bCs/>
                <w:color w:val="auto"/>
                <w:szCs w:val="21"/>
                <w:highlight w:val="none"/>
              </w:rPr>
              <w:t>履约保证金</w:t>
            </w:r>
          </w:p>
        </w:tc>
        <w:tc>
          <w:tcPr>
            <w:tcW w:w="6740" w:type="dxa"/>
            <w:vAlign w:val="center"/>
          </w:tcPr>
          <w:p w14:paraId="7B82433E">
            <w:pPr>
              <w:autoSpaceDE w:val="0"/>
              <w:autoSpaceDN w:val="0"/>
              <w:snapToGrid w:val="0"/>
              <w:spacing w:line="360" w:lineRule="auto"/>
              <w:jc w:val="left"/>
              <w:textAlignment w:val="bottom"/>
              <w:rPr>
                <w:rFonts w:ascii="宋体" w:hAnsi="宋体" w:cs="宋体"/>
                <w:b/>
                <w:bCs/>
                <w:color w:val="auto"/>
                <w:szCs w:val="21"/>
                <w:highlight w:val="none"/>
              </w:rPr>
            </w:pPr>
            <w:r>
              <w:rPr>
                <w:rFonts w:hint="eastAsia" w:ascii="宋体" w:hAnsi="宋体" w:cs="宋体"/>
                <w:bCs/>
                <w:color w:val="auto"/>
                <w:szCs w:val="21"/>
                <w:highlight w:val="none"/>
              </w:rPr>
              <w:t>无</w:t>
            </w:r>
          </w:p>
        </w:tc>
      </w:tr>
      <w:tr w14:paraId="638B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9" w:type="dxa"/>
            <w:vAlign w:val="center"/>
          </w:tcPr>
          <w:p w14:paraId="68356254">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5</w:t>
            </w:r>
          </w:p>
        </w:tc>
        <w:tc>
          <w:tcPr>
            <w:tcW w:w="1826" w:type="dxa"/>
            <w:vAlign w:val="center"/>
          </w:tcPr>
          <w:p w14:paraId="49E7425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p>
        </w:tc>
        <w:tc>
          <w:tcPr>
            <w:tcW w:w="6740" w:type="dxa"/>
            <w:vAlign w:val="center"/>
          </w:tcPr>
          <w:p w14:paraId="1A93B42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由“资格证明文件”、“资信技术文件”和“报价文件”三个部分组成。</w:t>
            </w:r>
          </w:p>
        </w:tc>
      </w:tr>
      <w:tr w14:paraId="245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4C097D36">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6</w:t>
            </w:r>
          </w:p>
        </w:tc>
        <w:tc>
          <w:tcPr>
            <w:tcW w:w="1826" w:type="dxa"/>
            <w:vAlign w:val="center"/>
          </w:tcPr>
          <w:p w14:paraId="052FEE8C">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投标文件编制</w:t>
            </w:r>
          </w:p>
        </w:tc>
        <w:tc>
          <w:tcPr>
            <w:tcW w:w="6740" w:type="dxa"/>
            <w:vAlign w:val="center"/>
          </w:tcPr>
          <w:p w14:paraId="49ED4D2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供应商应先安装“政采云电子交易客户端”，并按照本采购文件和“政府采购云平台”的要求，通过“政采云电子交易客户端”编制并加密投标文件。</w:t>
            </w:r>
          </w:p>
        </w:tc>
      </w:tr>
      <w:tr w14:paraId="4AFA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41FCBD3F">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7</w:t>
            </w:r>
          </w:p>
        </w:tc>
        <w:tc>
          <w:tcPr>
            <w:tcW w:w="1826" w:type="dxa"/>
            <w:vAlign w:val="center"/>
          </w:tcPr>
          <w:p w14:paraId="7513DF49">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740" w:type="dxa"/>
            <w:vAlign w:val="center"/>
          </w:tcPr>
          <w:p w14:paraId="0C5E0AF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 电子投标文件必须有电子签章；</w:t>
            </w:r>
          </w:p>
          <w:p w14:paraId="66889BB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 开标后，相关信息记录确认、澄清说明、回复等内容，电子签章、或者签章后上传相关文件，均认可；</w:t>
            </w:r>
          </w:p>
          <w:p w14:paraId="021B185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 政采云系统平台有新的操作流程的，按其规定。</w:t>
            </w:r>
          </w:p>
        </w:tc>
      </w:tr>
      <w:tr w14:paraId="410B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4D5162B9">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8</w:t>
            </w:r>
          </w:p>
        </w:tc>
        <w:tc>
          <w:tcPr>
            <w:tcW w:w="1826" w:type="dxa"/>
            <w:vAlign w:val="center"/>
          </w:tcPr>
          <w:p w14:paraId="557066D7">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投标文件的形式</w:t>
            </w:r>
          </w:p>
        </w:tc>
        <w:tc>
          <w:tcPr>
            <w:tcW w:w="6740" w:type="dxa"/>
            <w:vAlign w:val="center"/>
          </w:tcPr>
          <w:p w14:paraId="3766386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电子投标文件（包括“电子加密投标文件”和“备份投标文件”，在投标文件编制完成后同时生成）；</w:t>
            </w:r>
          </w:p>
          <w:p w14:paraId="3BA8BFD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（1）“电子加密投标文件”是指通过“政采云电子交易客户端”完成投标文件编制后生成并加密的数据电文形式的投标文件。</w:t>
            </w:r>
          </w:p>
          <w:p w14:paraId="7D85204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（2）“备份投标文件”是指与“电子加密投标文件”同时生成的以介质（U盘）存储的数据电文形式的电子文件（备份标书），其他方式编制的备份投标文件视为无效备份投标文件。</w:t>
            </w:r>
          </w:p>
        </w:tc>
      </w:tr>
      <w:tr w14:paraId="352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7F0F5BCF">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9</w:t>
            </w:r>
          </w:p>
        </w:tc>
        <w:tc>
          <w:tcPr>
            <w:tcW w:w="1826" w:type="dxa"/>
            <w:vAlign w:val="center"/>
          </w:tcPr>
          <w:p w14:paraId="14859B57">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740" w:type="dxa"/>
            <w:vAlign w:val="center"/>
          </w:tcPr>
          <w:p w14:paraId="5A0DCE2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1、一份电子加密标书（后缀格式为.jmbs），一份备份标书文件（后缀格式为.bfbs）。</w:t>
            </w:r>
          </w:p>
          <w:p w14:paraId="39E090B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每份电子投标文件应包括资格证明文件、资信技术文件及报价文件三部分内容。</w:t>
            </w:r>
          </w:p>
          <w:p w14:paraId="29EDBA2A">
            <w:pPr>
              <w:numPr>
                <w:ilvl w:val="0"/>
                <w:numId w:val="11"/>
              </w:num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如中标，中标供应商需根据招标人要求提供纸质投标文件至少一份。采购人有权要求中标供应商提供原版技术资料。</w:t>
            </w:r>
          </w:p>
          <w:p w14:paraId="0D0CD48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“备份投标文件”：密封包装后（邮寄形式）投标截止时间前递交一份（邮寄地址：嵊州市领带园区三路9号1幢3楼东方经纬，袁女士收，0575-83001675）</w:t>
            </w:r>
          </w:p>
        </w:tc>
      </w:tr>
      <w:tr w14:paraId="494C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032598F0">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10</w:t>
            </w:r>
          </w:p>
        </w:tc>
        <w:tc>
          <w:tcPr>
            <w:tcW w:w="1826" w:type="dxa"/>
            <w:vAlign w:val="center"/>
          </w:tcPr>
          <w:p w14:paraId="4475CD53">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电子加密投标文件的上传、递交</w:t>
            </w:r>
          </w:p>
        </w:tc>
        <w:tc>
          <w:tcPr>
            <w:tcW w:w="6740" w:type="dxa"/>
            <w:vAlign w:val="center"/>
          </w:tcPr>
          <w:p w14:paraId="0E7C7AC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（1）投标供应商应在投标截止时间前将“电子加密投标文件”成功上传递交至“政府采购云平台”，否则投标无效。</w:t>
            </w:r>
          </w:p>
          <w:p w14:paraId="10DDF04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（2）“电子加密投标文件”成功上传递交后，供应商可自行打印投标文件接收回执。</w:t>
            </w:r>
          </w:p>
        </w:tc>
      </w:tr>
      <w:tr w14:paraId="6A20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24C38BE2">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11</w:t>
            </w:r>
          </w:p>
        </w:tc>
        <w:tc>
          <w:tcPr>
            <w:tcW w:w="1826" w:type="dxa"/>
            <w:vAlign w:val="center"/>
          </w:tcPr>
          <w:p w14:paraId="21A4EEBC">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备份投标文件的密封包装、递交</w:t>
            </w:r>
          </w:p>
        </w:tc>
        <w:tc>
          <w:tcPr>
            <w:tcW w:w="6740" w:type="dxa"/>
            <w:vAlign w:val="center"/>
          </w:tcPr>
          <w:p w14:paraId="5685F79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（1）投标供应商在“政府采购云平台”完成“电子加密投标文件”的上传递交后，还可以（邮寄形式）在投标截止时间前递交以介质（U盘）存储的“备份投标文件”（一份）；</w:t>
            </w:r>
          </w:p>
          <w:p w14:paraId="07883C7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（2）“备份投标文件”应当密封包装，并在包装上标注投标项目名称、投标单位名称并加盖公章。没有密封包装或者逾期邮寄送达至投标地点的“备份投标文件”将不予接收；</w:t>
            </w:r>
          </w:p>
          <w:p w14:paraId="250B853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5B35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14:paraId="573C941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12</w:t>
            </w:r>
          </w:p>
        </w:tc>
        <w:tc>
          <w:tcPr>
            <w:tcW w:w="1826" w:type="dxa"/>
            <w:vAlign w:val="center"/>
          </w:tcPr>
          <w:p w14:paraId="341A5E1B">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tc>
        <w:tc>
          <w:tcPr>
            <w:tcW w:w="6740" w:type="dxa"/>
            <w:vAlign w:val="center"/>
          </w:tcPr>
          <w:p w14:paraId="5F3A546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5FC0968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486499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（3）投标截止时间前，投标供应商仅递交了“备份投标文件”而未将电子加密投标文件上传至“政府采购云平台”的，投标无效。</w:t>
            </w:r>
          </w:p>
        </w:tc>
      </w:tr>
      <w:tr w14:paraId="102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vAlign w:val="center"/>
          </w:tcPr>
          <w:p w14:paraId="664F6DB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13</w:t>
            </w:r>
          </w:p>
        </w:tc>
        <w:tc>
          <w:tcPr>
            <w:tcW w:w="1826" w:type="dxa"/>
            <w:vAlign w:val="center"/>
          </w:tcPr>
          <w:p w14:paraId="4EA5A8E1">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投标有效期</w:t>
            </w:r>
          </w:p>
        </w:tc>
        <w:tc>
          <w:tcPr>
            <w:tcW w:w="6740" w:type="dxa"/>
            <w:vAlign w:val="center"/>
          </w:tcPr>
          <w:p w14:paraId="269E1B4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投标截止时间后90天。</w:t>
            </w:r>
          </w:p>
        </w:tc>
      </w:tr>
      <w:tr w14:paraId="01E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14:paraId="301D5C3F">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14</w:t>
            </w:r>
          </w:p>
        </w:tc>
        <w:tc>
          <w:tcPr>
            <w:tcW w:w="1826" w:type="dxa"/>
            <w:vAlign w:val="center"/>
          </w:tcPr>
          <w:p w14:paraId="75C2602C">
            <w:pPr>
              <w:autoSpaceDE w:val="0"/>
              <w:autoSpaceDN w:val="0"/>
              <w:snapToGrid w:val="0"/>
              <w:spacing w:line="360" w:lineRule="auto"/>
              <w:jc w:val="center"/>
              <w:textAlignment w:val="bottom"/>
              <w:rPr>
                <w:rFonts w:ascii="宋体" w:hAnsi="宋体" w:cs="宋体"/>
                <w:bCs/>
                <w:color w:val="auto"/>
                <w:szCs w:val="21"/>
                <w:highlight w:val="none"/>
              </w:rPr>
            </w:pPr>
            <w:r>
              <w:rPr>
                <w:rFonts w:hint="eastAsia" w:ascii="宋体" w:hAnsi="宋体" w:cs="宋体"/>
                <w:bCs/>
                <w:color w:val="auto"/>
                <w:szCs w:val="21"/>
                <w:highlight w:val="none"/>
              </w:rPr>
              <w:t>服务期限</w:t>
            </w:r>
          </w:p>
        </w:tc>
        <w:tc>
          <w:tcPr>
            <w:tcW w:w="6740" w:type="dxa"/>
            <w:vAlign w:val="center"/>
          </w:tcPr>
          <w:p w14:paraId="223325D9">
            <w:pPr>
              <w:spacing w:line="360" w:lineRule="auto"/>
              <w:rPr>
                <w:rFonts w:ascii="宋体" w:hAnsi="宋体" w:cs="宋体"/>
                <w:color w:val="auto"/>
                <w:szCs w:val="21"/>
                <w:highlight w:val="none"/>
              </w:rPr>
            </w:pPr>
            <w:r>
              <w:rPr>
                <w:rFonts w:hint="eastAsia" w:ascii="宋体" w:hAnsi="宋体" w:cs="宋体"/>
                <w:color w:val="auto"/>
                <w:szCs w:val="21"/>
                <w:highlight w:val="none"/>
              </w:rPr>
              <w:t>自合同签订之日起2年。</w:t>
            </w:r>
          </w:p>
        </w:tc>
      </w:tr>
      <w:tr w14:paraId="2297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14:paraId="0316A1BB">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15</w:t>
            </w:r>
          </w:p>
        </w:tc>
        <w:tc>
          <w:tcPr>
            <w:tcW w:w="1826" w:type="dxa"/>
            <w:vAlign w:val="center"/>
          </w:tcPr>
          <w:p w14:paraId="52C33799">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bCs/>
                <w:color w:val="auto"/>
                <w:szCs w:val="21"/>
                <w:highlight w:val="none"/>
              </w:rPr>
              <w:t>付款方式</w:t>
            </w:r>
          </w:p>
        </w:tc>
        <w:tc>
          <w:tcPr>
            <w:tcW w:w="6740" w:type="dxa"/>
            <w:vAlign w:val="center"/>
          </w:tcPr>
          <w:p w14:paraId="403ACD2C">
            <w:pPr>
              <w:spacing w:line="360" w:lineRule="auto"/>
              <w:rPr>
                <w:rFonts w:ascii="宋体" w:hAnsi="宋体" w:cs="宋体"/>
                <w:color w:val="auto"/>
                <w:szCs w:val="21"/>
                <w:highlight w:val="none"/>
              </w:rPr>
            </w:pPr>
            <w:r>
              <w:rPr>
                <w:rFonts w:hint="eastAsia" w:ascii="宋体" w:hAnsi="宋体" w:cs="宋体"/>
                <w:color w:val="auto"/>
                <w:szCs w:val="21"/>
                <w:highlight w:val="none"/>
              </w:rPr>
              <w:t>每半年按实支付，提供检验检测报告及相关资料后以中标价与实际检测批次数进行结算。</w:t>
            </w:r>
          </w:p>
        </w:tc>
      </w:tr>
      <w:tr w14:paraId="47EA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14:paraId="13ED91B5">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16</w:t>
            </w:r>
          </w:p>
        </w:tc>
        <w:tc>
          <w:tcPr>
            <w:tcW w:w="1826" w:type="dxa"/>
            <w:vAlign w:val="center"/>
          </w:tcPr>
          <w:p w14:paraId="394F17E9">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740" w:type="dxa"/>
            <w:vAlign w:val="center"/>
          </w:tcPr>
          <w:p w14:paraId="3AE31CE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按“采购公告”规定。</w:t>
            </w:r>
          </w:p>
        </w:tc>
      </w:tr>
      <w:tr w14:paraId="6652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09" w:type="dxa"/>
            <w:vAlign w:val="center"/>
          </w:tcPr>
          <w:p w14:paraId="5A0CE6C5">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26" w:type="dxa"/>
            <w:vAlign w:val="center"/>
          </w:tcPr>
          <w:p w14:paraId="203C7906">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p>
        </w:tc>
        <w:tc>
          <w:tcPr>
            <w:tcW w:w="6740" w:type="dxa"/>
            <w:vAlign w:val="center"/>
          </w:tcPr>
          <w:p w14:paraId="66497AB3">
            <w:pPr>
              <w:spacing w:line="360" w:lineRule="auto"/>
              <w:rPr>
                <w:rFonts w:ascii="宋体" w:hAnsi="宋体" w:cs="宋体"/>
                <w:color w:val="auto"/>
                <w:szCs w:val="21"/>
                <w:highlight w:val="none"/>
              </w:rPr>
            </w:pPr>
            <w:r>
              <w:rPr>
                <w:rFonts w:hint="eastAsia" w:ascii="宋体" w:hAnsi="宋体" w:cs="宋体"/>
                <w:color w:val="auto"/>
                <w:szCs w:val="21"/>
                <w:highlight w:val="none"/>
              </w:rPr>
              <w:t>根据《工业和信息化部、国家统计局、国家发展和改革委员会、财政部关于印发中小企业划型标准规定的通知》（工信部联企业[2011]300号）规定（有最新中小企业划型标准的以更新后的为准）：</w:t>
            </w:r>
          </w:p>
          <w:p w14:paraId="26525766">
            <w:pPr>
              <w:spacing w:line="360" w:lineRule="auto"/>
              <w:rPr>
                <w:rFonts w:ascii="宋体" w:hAnsi="宋体"/>
                <w:color w:val="auto"/>
                <w:szCs w:val="21"/>
                <w:highlight w:val="none"/>
                <w:u w:val="single"/>
              </w:rPr>
            </w:pPr>
            <w:r>
              <w:rPr>
                <w:rFonts w:hint="eastAsia" w:ascii="宋体" w:hAnsi="宋体" w:cs="宋体"/>
                <w:color w:val="auto"/>
                <w:szCs w:val="21"/>
                <w:highlight w:val="none"/>
              </w:rPr>
              <w:t>（1）标的：</w:t>
            </w:r>
            <w:r>
              <w:rPr>
                <w:rFonts w:hint="eastAsia" w:ascii="宋体" w:hAnsi="宋体" w:cs="宋体"/>
                <w:color w:val="auto"/>
                <w:szCs w:val="21"/>
                <w:highlight w:val="none"/>
                <w:u w:val="single"/>
              </w:rPr>
              <w:t>2025-2026年度产品质量监督抽查项目</w:t>
            </w:r>
            <w:r>
              <w:rPr>
                <w:rFonts w:hint="eastAsia" w:ascii="宋体" w:hAnsi="宋体" w:cs="宋体"/>
                <w:color w:val="auto"/>
                <w:szCs w:val="21"/>
                <w:highlight w:val="none"/>
              </w:rPr>
              <w:t>，属于</w:t>
            </w:r>
            <w:r>
              <w:rPr>
                <w:rFonts w:hint="eastAsia" w:ascii="宋体" w:hAnsi="宋体" w:cs="宋体"/>
                <w:color w:val="auto"/>
                <w:kern w:val="0"/>
                <w:szCs w:val="24"/>
                <w:highlight w:val="none"/>
                <w:u w:val="single"/>
              </w:rPr>
              <w:t>其他未列明行业</w:t>
            </w:r>
            <w:r>
              <w:rPr>
                <w:rFonts w:hint="eastAsia" w:ascii="宋体" w:hAnsi="宋体" w:cs="宋体"/>
                <w:color w:val="auto"/>
                <w:szCs w:val="21"/>
                <w:highlight w:val="none"/>
              </w:rPr>
              <w:t>；</w:t>
            </w:r>
          </w:p>
          <w:p w14:paraId="0E9B1FA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说明：声明函中所列行业与采购文件所明确的行业不一致但不改变划型结果情形的，不影响声明有效性，也不作为虚假资料情形认定。</w:t>
            </w:r>
          </w:p>
        </w:tc>
      </w:tr>
      <w:tr w14:paraId="2B91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9" w:type="dxa"/>
            <w:vMerge w:val="restart"/>
            <w:vAlign w:val="center"/>
          </w:tcPr>
          <w:p w14:paraId="79667CCD">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18</w:t>
            </w:r>
          </w:p>
        </w:tc>
        <w:tc>
          <w:tcPr>
            <w:tcW w:w="1826" w:type="dxa"/>
            <w:vMerge w:val="restart"/>
            <w:vAlign w:val="center"/>
          </w:tcPr>
          <w:p w14:paraId="706CB8F7">
            <w:pPr>
              <w:autoSpaceDE w:val="0"/>
              <w:autoSpaceDN w:val="0"/>
              <w:snapToGrid w:val="0"/>
              <w:spacing w:line="360" w:lineRule="auto"/>
              <w:jc w:val="center"/>
              <w:textAlignment w:val="bottom"/>
              <w:rPr>
                <w:rFonts w:ascii="宋体" w:hAnsi="宋体" w:cs="宋体"/>
                <w:b/>
                <w:color w:val="auto"/>
                <w:szCs w:val="21"/>
                <w:highlight w:val="none"/>
              </w:rPr>
            </w:pPr>
            <w:r>
              <w:rPr>
                <w:rFonts w:hint="eastAsia" w:ascii="宋体" w:hAnsi="宋体" w:cs="宋体"/>
                <w:color w:val="auto"/>
                <w:szCs w:val="21"/>
                <w:highlight w:val="none"/>
              </w:rPr>
              <w:t>节能产品、环境标志产品相关政策</w:t>
            </w:r>
          </w:p>
        </w:tc>
        <w:tc>
          <w:tcPr>
            <w:tcW w:w="6740" w:type="dxa"/>
            <w:vAlign w:val="center"/>
          </w:tcPr>
          <w:p w14:paraId="5CAF0021">
            <w:pPr>
              <w:autoSpaceDE w:val="0"/>
              <w:autoSpaceDN w:val="0"/>
              <w:snapToGrid w:val="0"/>
              <w:spacing w:line="360" w:lineRule="auto"/>
              <w:textAlignment w:val="bottom"/>
              <w:rPr>
                <w:rFonts w:ascii="宋体" w:hAnsi="宋体" w:cs="宋体"/>
                <w:b/>
                <w:bCs/>
                <w:color w:val="auto"/>
                <w:szCs w:val="21"/>
                <w:highlight w:val="none"/>
              </w:rPr>
            </w:pPr>
            <w:r>
              <w:rPr>
                <w:rFonts w:hint="eastAsia" w:ascii="宋体" w:hAnsi="宋体" w:cs="宋体"/>
                <w:b/>
                <w:bCs/>
                <w:color w:val="auto"/>
                <w:szCs w:val="21"/>
                <w:highlight w:val="none"/>
              </w:rPr>
              <w:t>节能产品、环境标志产品的强制采购政策：</w:t>
            </w:r>
          </w:p>
          <w:p w14:paraId="3E1049C0">
            <w:pPr>
              <w:autoSpaceDE w:val="0"/>
              <w:autoSpaceDN w:val="0"/>
              <w:snapToGrid w:val="0"/>
              <w:spacing w:line="360" w:lineRule="auto"/>
              <w:ind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p>
        </w:tc>
      </w:tr>
      <w:tr w14:paraId="63F0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9" w:type="dxa"/>
            <w:vMerge w:val="continue"/>
            <w:vAlign w:val="center"/>
          </w:tcPr>
          <w:p w14:paraId="5B014ADF">
            <w:pPr>
              <w:autoSpaceDE w:val="0"/>
              <w:autoSpaceDN w:val="0"/>
              <w:snapToGrid w:val="0"/>
              <w:spacing w:line="360" w:lineRule="auto"/>
              <w:jc w:val="center"/>
              <w:textAlignment w:val="bottom"/>
              <w:rPr>
                <w:rFonts w:ascii="宋体" w:hAnsi="宋体" w:cs="宋体"/>
                <w:color w:val="auto"/>
                <w:szCs w:val="21"/>
                <w:highlight w:val="none"/>
              </w:rPr>
            </w:pPr>
          </w:p>
        </w:tc>
        <w:tc>
          <w:tcPr>
            <w:tcW w:w="1826" w:type="dxa"/>
            <w:vMerge w:val="continue"/>
            <w:vAlign w:val="center"/>
          </w:tcPr>
          <w:p w14:paraId="5B392213">
            <w:pPr>
              <w:autoSpaceDE w:val="0"/>
              <w:autoSpaceDN w:val="0"/>
              <w:snapToGrid w:val="0"/>
              <w:spacing w:line="360" w:lineRule="auto"/>
              <w:jc w:val="center"/>
              <w:textAlignment w:val="bottom"/>
              <w:rPr>
                <w:rFonts w:ascii="宋体" w:hAnsi="宋体" w:cs="宋体"/>
                <w:b/>
                <w:color w:val="auto"/>
                <w:szCs w:val="21"/>
                <w:highlight w:val="none"/>
              </w:rPr>
            </w:pPr>
          </w:p>
        </w:tc>
        <w:tc>
          <w:tcPr>
            <w:tcW w:w="6740" w:type="dxa"/>
            <w:vAlign w:val="center"/>
          </w:tcPr>
          <w:p w14:paraId="343E52D9">
            <w:pPr>
              <w:autoSpaceDE w:val="0"/>
              <w:autoSpaceDN w:val="0"/>
              <w:snapToGrid w:val="0"/>
              <w:spacing w:line="360" w:lineRule="auto"/>
              <w:textAlignment w:val="bottom"/>
              <w:rPr>
                <w:rFonts w:ascii="宋体" w:hAnsi="宋体" w:cs="宋体"/>
                <w:b/>
                <w:bCs/>
                <w:color w:val="auto"/>
                <w:szCs w:val="21"/>
                <w:highlight w:val="none"/>
              </w:rPr>
            </w:pPr>
            <w:r>
              <w:rPr>
                <w:rFonts w:hint="eastAsia" w:ascii="宋体" w:hAnsi="宋体" w:cs="宋体"/>
                <w:b/>
                <w:bCs/>
                <w:color w:val="auto"/>
                <w:szCs w:val="21"/>
                <w:highlight w:val="none"/>
              </w:rPr>
              <w:t>节能产品、环境标志产品的优先采购政策：</w:t>
            </w:r>
          </w:p>
          <w:p w14:paraId="44022B03">
            <w:pPr>
              <w:autoSpaceDE w:val="0"/>
              <w:autoSpaceDN w:val="0"/>
              <w:snapToGrid w:val="0"/>
              <w:spacing w:line="360" w:lineRule="auto"/>
              <w:ind w:firstLine="420" w:firstLineChars="200"/>
              <w:textAlignment w:val="bottom"/>
              <w:rPr>
                <w:rFonts w:ascii="宋体" w:hAnsi="宋体" w:cs="宋体"/>
                <w:b/>
                <w:color w:val="auto"/>
                <w:szCs w:val="21"/>
                <w:highlight w:val="none"/>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否则无效。</w:t>
            </w:r>
          </w:p>
        </w:tc>
      </w:tr>
      <w:tr w14:paraId="1AE1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9" w:type="dxa"/>
            <w:vMerge w:val="restart"/>
            <w:vAlign w:val="center"/>
          </w:tcPr>
          <w:p w14:paraId="1921621D">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19</w:t>
            </w:r>
          </w:p>
        </w:tc>
        <w:tc>
          <w:tcPr>
            <w:tcW w:w="1826" w:type="dxa"/>
            <w:vMerge w:val="restart"/>
            <w:vAlign w:val="center"/>
          </w:tcPr>
          <w:p w14:paraId="0D579FCD">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b/>
                <w:color w:val="auto"/>
                <w:szCs w:val="21"/>
                <w:highlight w:val="none"/>
              </w:rPr>
              <w:t>投标供应商信用信息事项</w:t>
            </w:r>
          </w:p>
        </w:tc>
        <w:tc>
          <w:tcPr>
            <w:tcW w:w="6740" w:type="dxa"/>
            <w:vAlign w:val="center"/>
          </w:tcPr>
          <w:p w14:paraId="4059957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信用信息查询渠道及截止时间：</w:t>
            </w:r>
            <w:r>
              <w:rPr>
                <w:rFonts w:hint="eastAsia" w:ascii="宋体" w:hAnsi="宋体" w:cs="宋体"/>
                <w:color w:val="auto"/>
                <w:szCs w:val="21"/>
                <w:highlight w:val="none"/>
              </w:rPr>
              <w:t>项目评审组织人员将通过“信用中国”网站(www.creditchina.gov.cn)、中国政府采购网(www.ccgp.gov.cn)渠道查询投标供应商</w:t>
            </w:r>
            <w:r>
              <w:rPr>
                <w:rFonts w:hint="eastAsia" w:ascii="宋体" w:hAnsi="宋体" w:cs="宋体"/>
                <w:b/>
                <w:color w:val="auto"/>
                <w:szCs w:val="21"/>
                <w:highlight w:val="none"/>
                <w:lang w:val="en-US" w:eastAsia="zh-CN"/>
              </w:rPr>
              <w:t>开标当天</w:t>
            </w:r>
            <w:r>
              <w:rPr>
                <w:rFonts w:hint="eastAsia" w:ascii="宋体" w:hAnsi="宋体" w:cs="宋体"/>
                <w:color w:val="auto"/>
                <w:szCs w:val="21"/>
                <w:highlight w:val="none"/>
              </w:rPr>
              <w:t>的信用记录。</w:t>
            </w:r>
          </w:p>
        </w:tc>
      </w:tr>
      <w:tr w14:paraId="5CA8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vMerge w:val="continue"/>
            <w:vAlign w:val="center"/>
          </w:tcPr>
          <w:p w14:paraId="5752AFC4">
            <w:pPr>
              <w:autoSpaceDE w:val="0"/>
              <w:autoSpaceDN w:val="0"/>
              <w:snapToGrid w:val="0"/>
              <w:spacing w:line="360" w:lineRule="auto"/>
              <w:jc w:val="center"/>
              <w:textAlignment w:val="bottom"/>
              <w:rPr>
                <w:rFonts w:ascii="宋体" w:hAnsi="宋体" w:cs="宋体"/>
                <w:color w:val="auto"/>
                <w:szCs w:val="21"/>
                <w:highlight w:val="none"/>
              </w:rPr>
            </w:pPr>
          </w:p>
        </w:tc>
        <w:tc>
          <w:tcPr>
            <w:tcW w:w="1826" w:type="dxa"/>
            <w:vMerge w:val="continue"/>
            <w:vAlign w:val="center"/>
          </w:tcPr>
          <w:p w14:paraId="76614CEE">
            <w:pPr>
              <w:autoSpaceDE w:val="0"/>
              <w:autoSpaceDN w:val="0"/>
              <w:snapToGrid w:val="0"/>
              <w:spacing w:line="360" w:lineRule="auto"/>
              <w:jc w:val="center"/>
              <w:textAlignment w:val="bottom"/>
              <w:rPr>
                <w:rFonts w:ascii="宋体" w:hAnsi="宋体" w:cs="宋体"/>
                <w:color w:val="auto"/>
                <w:szCs w:val="21"/>
                <w:highlight w:val="none"/>
              </w:rPr>
            </w:pPr>
          </w:p>
        </w:tc>
        <w:tc>
          <w:tcPr>
            <w:tcW w:w="6740" w:type="dxa"/>
            <w:vAlign w:val="center"/>
          </w:tcPr>
          <w:p w14:paraId="0EAA750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信用信息查询记录和证据留存的具体方式：</w:t>
            </w:r>
            <w:r>
              <w:rPr>
                <w:rFonts w:hint="eastAsia" w:ascii="宋体" w:hAnsi="宋体" w:cs="宋体"/>
                <w:color w:val="auto"/>
                <w:szCs w:val="21"/>
                <w:highlight w:val="none"/>
              </w:rPr>
              <w:t>项目评审组织人员现场查询投标供应商的信用记录，查询结果经确认后与采购文件一起存档。</w:t>
            </w:r>
          </w:p>
        </w:tc>
      </w:tr>
      <w:tr w14:paraId="191C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7F5AD0AD">
            <w:pPr>
              <w:autoSpaceDE w:val="0"/>
              <w:autoSpaceDN w:val="0"/>
              <w:snapToGrid w:val="0"/>
              <w:spacing w:line="360" w:lineRule="auto"/>
              <w:jc w:val="center"/>
              <w:textAlignment w:val="bottom"/>
              <w:rPr>
                <w:rFonts w:ascii="宋体" w:hAnsi="宋体" w:cs="宋体"/>
                <w:color w:val="auto"/>
                <w:szCs w:val="21"/>
                <w:highlight w:val="none"/>
              </w:rPr>
            </w:pPr>
          </w:p>
        </w:tc>
        <w:tc>
          <w:tcPr>
            <w:tcW w:w="1826" w:type="dxa"/>
            <w:vMerge w:val="continue"/>
            <w:vAlign w:val="center"/>
          </w:tcPr>
          <w:p w14:paraId="4048F59D">
            <w:pPr>
              <w:autoSpaceDE w:val="0"/>
              <w:autoSpaceDN w:val="0"/>
              <w:snapToGrid w:val="0"/>
              <w:spacing w:line="360" w:lineRule="auto"/>
              <w:jc w:val="center"/>
              <w:textAlignment w:val="bottom"/>
              <w:rPr>
                <w:rFonts w:ascii="宋体" w:hAnsi="宋体" w:cs="宋体"/>
                <w:color w:val="auto"/>
                <w:szCs w:val="21"/>
                <w:highlight w:val="none"/>
              </w:rPr>
            </w:pPr>
          </w:p>
        </w:tc>
        <w:tc>
          <w:tcPr>
            <w:tcW w:w="6740" w:type="dxa"/>
            <w:vAlign w:val="center"/>
          </w:tcPr>
          <w:p w14:paraId="3646A0E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信用信息的使用规则：</w:t>
            </w:r>
            <w:r>
              <w:rPr>
                <w:rFonts w:hint="eastAsia" w:ascii="宋体" w:hAnsi="宋体" w:cs="宋体"/>
                <w:color w:val="auto"/>
                <w:szCs w:val="21"/>
                <w:highlight w:val="none"/>
              </w:rPr>
              <w:t>经查询列入失信被执行人名单、重大税收违法案件当事人名单、政府采购严重违法失信行为记录名单的投标供应商的投标文件将被拒绝。</w:t>
            </w:r>
          </w:p>
        </w:tc>
      </w:tr>
      <w:tr w14:paraId="523E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14:paraId="32FEF1B8">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20</w:t>
            </w:r>
          </w:p>
        </w:tc>
        <w:tc>
          <w:tcPr>
            <w:tcW w:w="1826" w:type="dxa"/>
            <w:vAlign w:val="center"/>
          </w:tcPr>
          <w:p w14:paraId="22BD2645">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特别说明</w:t>
            </w:r>
          </w:p>
        </w:tc>
        <w:tc>
          <w:tcPr>
            <w:tcW w:w="6740" w:type="dxa"/>
            <w:vAlign w:val="center"/>
          </w:tcPr>
          <w:p w14:paraId="0B4C6A7C">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04AD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9" w:type="dxa"/>
            <w:vAlign w:val="center"/>
          </w:tcPr>
          <w:p w14:paraId="6D836F1E">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21</w:t>
            </w:r>
          </w:p>
        </w:tc>
        <w:tc>
          <w:tcPr>
            <w:tcW w:w="1826" w:type="dxa"/>
            <w:vAlign w:val="center"/>
          </w:tcPr>
          <w:p w14:paraId="5D9526F5">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有关费用</w:t>
            </w:r>
          </w:p>
        </w:tc>
        <w:tc>
          <w:tcPr>
            <w:tcW w:w="6740" w:type="dxa"/>
            <w:vAlign w:val="center"/>
          </w:tcPr>
          <w:p w14:paraId="080C8583">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中标供应商须向招标代理机构按如下标准和规定交纳中标服务费，</w:t>
            </w:r>
            <w:r>
              <w:rPr>
                <w:rFonts w:hint="eastAsia" w:hAnsi="宋体" w:cs="宋体"/>
                <w:color w:val="auto"/>
                <w:sz w:val="21"/>
                <w:szCs w:val="21"/>
                <w:highlight w:val="none"/>
                <w:lang w:val="en-US" w:eastAsia="zh-CN"/>
              </w:rPr>
              <w:t>其他费用另计，</w:t>
            </w:r>
            <w:r>
              <w:rPr>
                <w:rFonts w:hint="eastAsia" w:hAnsi="宋体" w:cs="宋体"/>
                <w:color w:val="auto"/>
                <w:sz w:val="21"/>
                <w:szCs w:val="21"/>
                <w:highlight w:val="none"/>
              </w:rPr>
              <w:t>请在投标报价中自行考虑：</w:t>
            </w:r>
          </w:p>
          <w:p w14:paraId="09F92BC8">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①《国家计委关于印发&lt;招标代理服务费管理暂行办法&gt;的通知》（计价格〔2002〕1980号）、〔2011〕534号的规定执行；</w:t>
            </w:r>
          </w:p>
          <w:p w14:paraId="452752AD">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②中标服务费的交纳方式：</w:t>
            </w:r>
          </w:p>
          <w:p w14:paraId="754C461C">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用银行支票、汇票、电汇、现金等付款方式直接交纳中标服务费。</w:t>
            </w:r>
          </w:p>
          <w:p w14:paraId="2E42773D">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公司名称：东方经纬项目管理有限公司</w:t>
            </w:r>
          </w:p>
          <w:p w14:paraId="19875AF1">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开户行及账号：中国银行嵊州剡南支行</w:t>
            </w:r>
          </w:p>
          <w:p w14:paraId="2C80DCFC">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帐号：351985347060</w:t>
            </w:r>
          </w:p>
        </w:tc>
      </w:tr>
      <w:tr w14:paraId="0380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14:paraId="27E579F2">
            <w:pPr>
              <w:autoSpaceDE w:val="0"/>
              <w:autoSpaceDN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22</w:t>
            </w:r>
          </w:p>
        </w:tc>
        <w:tc>
          <w:tcPr>
            <w:tcW w:w="1826" w:type="dxa"/>
            <w:vAlign w:val="center"/>
          </w:tcPr>
          <w:p w14:paraId="69B862ED">
            <w:pPr>
              <w:pStyle w:val="267"/>
              <w:widowControl w:val="0"/>
              <w:autoSpaceDE w:val="0"/>
              <w:autoSpaceDN w:val="0"/>
              <w:snapToGrid w:val="0"/>
              <w:spacing w:line="360" w:lineRule="auto"/>
              <w:jc w:val="center"/>
              <w:textAlignment w:val="bottom"/>
              <w:rPr>
                <w:rFonts w:hAnsi="宋体" w:cs="宋体"/>
                <w:color w:val="auto"/>
                <w:sz w:val="21"/>
                <w:szCs w:val="21"/>
                <w:highlight w:val="none"/>
              </w:rPr>
            </w:pPr>
            <w:r>
              <w:rPr>
                <w:rFonts w:hint="eastAsia" w:hAnsi="宋体" w:cs="宋体"/>
                <w:color w:val="auto"/>
                <w:sz w:val="21"/>
                <w:szCs w:val="21"/>
                <w:highlight w:val="none"/>
              </w:rPr>
              <w:t>解释</w:t>
            </w:r>
          </w:p>
        </w:tc>
        <w:tc>
          <w:tcPr>
            <w:tcW w:w="6740" w:type="dxa"/>
            <w:vAlign w:val="center"/>
          </w:tcPr>
          <w:p w14:paraId="7B4335A6">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凡涉及本采购文件的解释权属于招标采购单位。</w:t>
            </w:r>
          </w:p>
        </w:tc>
      </w:tr>
      <w:tr w14:paraId="6EC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275" w:type="dxa"/>
            <w:gridSpan w:val="3"/>
            <w:vAlign w:val="center"/>
          </w:tcPr>
          <w:p w14:paraId="6800AC54">
            <w:pPr>
              <w:pStyle w:val="267"/>
              <w:widowControl w:val="0"/>
              <w:autoSpaceDE w:val="0"/>
              <w:autoSpaceDN w:val="0"/>
              <w:snapToGrid w:val="0"/>
              <w:spacing w:line="360" w:lineRule="auto"/>
              <w:textAlignment w:val="bottom"/>
              <w:rPr>
                <w:rFonts w:hAnsi="宋体" w:cs="宋体"/>
                <w:color w:val="auto"/>
                <w:sz w:val="21"/>
                <w:szCs w:val="21"/>
                <w:highlight w:val="none"/>
              </w:rPr>
            </w:pPr>
            <w:r>
              <w:rPr>
                <w:rFonts w:hint="eastAsia" w:hAnsi="宋体" w:cs="宋体"/>
                <w:color w:val="auto"/>
                <w:sz w:val="21"/>
                <w:szCs w:val="21"/>
                <w:highlight w:val="none"/>
              </w:rPr>
              <w:t>注：排名第一的预中标候选人放弃中标资格或因质疑、投诉被取消预中标资格或不能履行合同的，招标人重新招标。</w:t>
            </w:r>
          </w:p>
        </w:tc>
      </w:tr>
    </w:tbl>
    <w:p w14:paraId="65F970E9">
      <w:pPr>
        <w:pStyle w:val="3"/>
        <w:jc w:val="center"/>
        <w:rPr>
          <w:rFonts w:ascii="宋体" w:hAnsi="宋体" w:cs="宋体"/>
          <w:color w:val="auto"/>
          <w:sz w:val="21"/>
          <w:szCs w:val="21"/>
          <w:highlight w:val="none"/>
        </w:rPr>
      </w:pPr>
      <w:bookmarkStart w:id="67" w:name="_Toc107927534"/>
      <w:bookmarkStart w:id="68" w:name="_Toc54978890"/>
      <w:bookmarkStart w:id="69" w:name="_Toc107927458"/>
      <w:r>
        <w:rPr>
          <w:rFonts w:hint="eastAsia" w:ascii="宋体" w:hAnsi="宋体" w:cs="宋体"/>
          <w:color w:val="auto"/>
          <w:sz w:val="21"/>
          <w:szCs w:val="21"/>
          <w:highlight w:val="none"/>
        </w:rPr>
        <w:t>二、</w:t>
      </w:r>
      <w:bookmarkEnd w:id="64"/>
      <w:bookmarkEnd w:id="65"/>
      <w:r>
        <w:rPr>
          <w:rFonts w:hint="eastAsia" w:ascii="宋体" w:hAnsi="宋体" w:cs="宋体"/>
          <w:color w:val="auto"/>
          <w:sz w:val="21"/>
          <w:szCs w:val="21"/>
          <w:highlight w:val="none"/>
        </w:rPr>
        <w:t>总则</w:t>
      </w:r>
      <w:bookmarkEnd w:id="66"/>
      <w:bookmarkEnd w:id="67"/>
      <w:bookmarkEnd w:id="68"/>
      <w:bookmarkEnd w:id="69"/>
    </w:p>
    <w:p w14:paraId="7716F7B7">
      <w:pPr>
        <w:spacing w:line="360" w:lineRule="auto"/>
        <w:ind w:firstLine="420"/>
        <w:rPr>
          <w:rFonts w:ascii="宋体" w:hAnsi="宋体"/>
          <w:color w:val="auto"/>
          <w:szCs w:val="21"/>
          <w:highlight w:val="none"/>
        </w:rPr>
      </w:pPr>
      <w:bookmarkStart w:id="70" w:name="_Toc82873323"/>
      <w:bookmarkStart w:id="71" w:name="_Toc82338240"/>
      <w:r>
        <w:rPr>
          <w:rFonts w:hint="eastAsia" w:ascii="宋体" w:hAnsi="宋体"/>
          <w:color w:val="auto"/>
          <w:szCs w:val="21"/>
          <w:highlight w:val="none"/>
        </w:rPr>
        <w:t>2.1、实施依据</w:t>
      </w:r>
    </w:p>
    <w:p w14:paraId="5EE406E0">
      <w:pPr>
        <w:spacing w:line="360" w:lineRule="auto"/>
        <w:ind w:firstLine="420"/>
        <w:rPr>
          <w:rFonts w:ascii="宋体" w:hAnsi="宋体"/>
          <w:color w:val="auto"/>
          <w:szCs w:val="21"/>
          <w:highlight w:val="none"/>
        </w:rPr>
      </w:pPr>
      <w:r>
        <w:rPr>
          <w:rFonts w:hint="eastAsia" w:ascii="宋体" w:hAnsi="宋体"/>
          <w:color w:val="auto"/>
          <w:szCs w:val="21"/>
          <w:highlight w:val="none"/>
        </w:rPr>
        <w:t>本次招标工作是按照</w:t>
      </w:r>
      <w:r>
        <w:rPr>
          <w:rFonts w:hint="eastAsia" w:ascii="宋体" w:hAnsi="宋体"/>
          <w:color w:val="auto"/>
          <w:kern w:val="0"/>
          <w:szCs w:val="21"/>
          <w:highlight w:val="none"/>
        </w:rPr>
        <w:t>《中华人民共和国政府采购法》、《中华人民共和国政府采购法实施条例》</w:t>
      </w:r>
      <w:r>
        <w:rPr>
          <w:rFonts w:hint="eastAsia" w:ascii="宋体" w:hAnsi="宋体"/>
          <w:color w:val="auto"/>
          <w:szCs w:val="21"/>
          <w:highlight w:val="none"/>
        </w:rPr>
        <w:t>等招标投标有关法律、法规、规章、文件的规定组织和实施。</w:t>
      </w:r>
    </w:p>
    <w:p w14:paraId="40EECCAF">
      <w:pPr>
        <w:spacing w:line="360" w:lineRule="auto"/>
        <w:ind w:firstLine="420"/>
        <w:rPr>
          <w:rFonts w:ascii="宋体" w:hAnsi="宋体"/>
          <w:color w:val="auto"/>
          <w:szCs w:val="21"/>
          <w:highlight w:val="none"/>
        </w:rPr>
      </w:pPr>
      <w:r>
        <w:rPr>
          <w:rFonts w:hint="eastAsia" w:ascii="宋体" w:hAnsi="宋体"/>
          <w:color w:val="auto"/>
          <w:szCs w:val="21"/>
          <w:highlight w:val="none"/>
        </w:rPr>
        <w:t>2.2、定义</w:t>
      </w:r>
    </w:p>
    <w:p w14:paraId="69956B96">
      <w:pPr>
        <w:spacing w:line="360" w:lineRule="auto"/>
        <w:ind w:firstLine="420"/>
        <w:rPr>
          <w:rFonts w:ascii="宋体" w:hAnsi="宋体"/>
          <w:color w:val="auto"/>
          <w:szCs w:val="21"/>
          <w:highlight w:val="none"/>
        </w:rPr>
      </w:pPr>
      <w:r>
        <w:rPr>
          <w:rFonts w:hint="eastAsia" w:ascii="宋体" w:hAnsi="宋体"/>
          <w:color w:val="auto"/>
          <w:szCs w:val="21"/>
          <w:highlight w:val="none"/>
        </w:rPr>
        <w:t>采购人：是指依法进行招标采购的国家机关、事业单位、团体组织，见“投标供应商须知前附表”；</w:t>
      </w:r>
    </w:p>
    <w:p w14:paraId="2230CC6C">
      <w:pPr>
        <w:spacing w:line="360" w:lineRule="auto"/>
        <w:ind w:firstLine="420"/>
        <w:rPr>
          <w:rFonts w:ascii="宋体" w:hAnsi="宋体"/>
          <w:color w:val="auto"/>
          <w:szCs w:val="21"/>
          <w:highlight w:val="none"/>
        </w:rPr>
      </w:pPr>
      <w:r>
        <w:rPr>
          <w:rFonts w:hint="eastAsia" w:ascii="宋体" w:hAnsi="宋体"/>
          <w:color w:val="auto"/>
          <w:szCs w:val="21"/>
          <w:highlight w:val="none"/>
        </w:rPr>
        <w:t>采购代理机构：受采购人委托，在委托的范围内办理政府采购事宜的机构，见“投标供应商须知前附表”；</w:t>
      </w:r>
    </w:p>
    <w:p w14:paraId="6E69F223">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投标供应商：是指参加本采购项目投标的供应商；</w:t>
      </w:r>
    </w:p>
    <w:p w14:paraId="331A61C8">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投标供应商代表：是指参加本项目投标活动的投标供应商法定代表人或法定代表人授权代表；</w:t>
      </w:r>
    </w:p>
    <w:p w14:paraId="4F51B8BB">
      <w:pPr>
        <w:spacing w:line="360" w:lineRule="auto"/>
        <w:ind w:firstLine="420"/>
        <w:rPr>
          <w:rFonts w:ascii="宋体" w:hAnsi="宋体"/>
          <w:color w:val="auto"/>
          <w:szCs w:val="21"/>
          <w:highlight w:val="none"/>
        </w:rPr>
      </w:pPr>
      <w:r>
        <w:rPr>
          <w:rFonts w:hint="eastAsia" w:ascii="宋体" w:hAnsi="宋体"/>
          <w:color w:val="auto"/>
          <w:szCs w:val="21"/>
          <w:highlight w:val="none"/>
        </w:rPr>
        <w:t>投标联合体：是指两个以上供应商组成联合体，以一个投标供应商的身份参加投标；</w:t>
      </w:r>
    </w:p>
    <w:p w14:paraId="71CA7974">
      <w:pPr>
        <w:spacing w:line="360" w:lineRule="auto"/>
        <w:ind w:firstLine="420"/>
        <w:rPr>
          <w:rFonts w:ascii="宋体" w:hAnsi="宋体"/>
          <w:color w:val="auto"/>
          <w:szCs w:val="21"/>
          <w:highlight w:val="none"/>
        </w:rPr>
      </w:pPr>
      <w:r>
        <w:rPr>
          <w:rFonts w:hint="eastAsia" w:ascii="宋体" w:hAnsi="宋体"/>
          <w:color w:val="auto"/>
          <w:szCs w:val="21"/>
          <w:highlight w:val="none"/>
        </w:rPr>
        <w:t>甲方：是指合同签订的一方，一般与采购人、用户相同；</w:t>
      </w:r>
    </w:p>
    <w:p w14:paraId="0CDCEF12">
      <w:pPr>
        <w:spacing w:line="360" w:lineRule="auto"/>
        <w:ind w:firstLine="420"/>
        <w:rPr>
          <w:rFonts w:ascii="宋体" w:hAnsi="宋体"/>
          <w:color w:val="auto"/>
          <w:szCs w:val="21"/>
          <w:highlight w:val="none"/>
        </w:rPr>
      </w:pPr>
      <w:r>
        <w:rPr>
          <w:rFonts w:hint="eastAsia" w:ascii="宋体" w:hAnsi="宋体"/>
          <w:color w:val="auto"/>
          <w:szCs w:val="21"/>
          <w:highlight w:val="none"/>
        </w:rPr>
        <w:t>乙方：是指合同签订的另一方，与中标供应商相同；</w:t>
      </w:r>
    </w:p>
    <w:p w14:paraId="7123E9F5">
      <w:pPr>
        <w:spacing w:line="360" w:lineRule="auto"/>
        <w:ind w:firstLine="420"/>
        <w:rPr>
          <w:rFonts w:ascii="宋体" w:hAnsi="宋体"/>
          <w:color w:val="auto"/>
          <w:szCs w:val="21"/>
          <w:highlight w:val="none"/>
        </w:rPr>
      </w:pPr>
      <w:r>
        <w:rPr>
          <w:rFonts w:hint="eastAsia" w:ascii="宋体" w:hAnsi="宋体"/>
          <w:color w:val="auto"/>
          <w:szCs w:val="21"/>
          <w:highlight w:val="none"/>
        </w:rPr>
        <w:t>货物和服务：是指按采购文件要求的货物和服务；</w:t>
      </w:r>
    </w:p>
    <w:p w14:paraId="2F8FF96E">
      <w:pPr>
        <w:spacing w:line="360" w:lineRule="auto"/>
        <w:ind w:firstLine="420"/>
        <w:rPr>
          <w:rFonts w:ascii="宋体" w:hAnsi="宋体"/>
          <w:color w:val="auto"/>
          <w:szCs w:val="21"/>
          <w:highlight w:val="none"/>
        </w:rPr>
      </w:pPr>
      <w:r>
        <w:rPr>
          <w:rFonts w:hint="eastAsia" w:ascii="宋体" w:hAnsi="宋体"/>
          <w:color w:val="auto"/>
          <w:szCs w:val="21"/>
          <w:highlight w:val="none"/>
        </w:rPr>
        <w:t>政府采购监管部门：嵊州市财政局采购监管处；</w:t>
      </w:r>
    </w:p>
    <w:p w14:paraId="2C8BD24E">
      <w:pPr>
        <w:spacing w:line="360" w:lineRule="auto"/>
        <w:ind w:firstLine="420"/>
        <w:rPr>
          <w:rFonts w:ascii="宋体" w:hAnsi="宋体"/>
          <w:color w:val="auto"/>
          <w:szCs w:val="21"/>
          <w:highlight w:val="none"/>
        </w:rPr>
      </w:pPr>
      <w:r>
        <w:rPr>
          <w:rFonts w:hint="eastAsia" w:ascii="宋体" w:hAnsi="宋体"/>
          <w:color w:val="auto"/>
          <w:szCs w:val="21"/>
          <w:highlight w:val="none"/>
        </w:rPr>
        <w:t>“★”系指实质性指标要求条款。</w:t>
      </w:r>
    </w:p>
    <w:p w14:paraId="3927D336">
      <w:pPr>
        <w:spacing w:line="360" w:lineRule="auto"/>
        <w:ind w:firstLine="420"/>
        <w:rPr>
          <w:rFonts w:ascii="宋体" w:hAnsi="宋体"/>
          <w:color w:val="auto"/>
          <w:szCs w:val="21"/>
          <w:highlight w:val="none"/>
        </w:rPr>
      </w:pPr>
      <w:r>
        <w:rPr>
          <w:rFonts w:hint="eastAsia" w:ascii="宋体" w:hAnsi="宋体"/>
          <w:color w:val="auto"/>
          <w:szCs w:val="21"/>
          <w:highlight w:val="none"/>
        </w:rPr>
        <w:t>2.3、采购项目需要落实的政府采购政策</w:t>
      </w:r>
    </w:p>
    <w:p w14:paraId="67FC1DD3">
      <w:pPr>
        <w:spacing w:line="360" w:lineRule="auto"/>
        <w:ind w:firstLine="420"/>
        <w:rPr>
          <w:rFonts w:ascii="宋体" w:hAnsi="宋体"/>
          <w:color w:val="auto"/>
          <w:szCs w:val="21"/>
          <w:highlight w:val="none"/>
        </w:rPr>
      </w:pPr>
      <w:r>
        <w:rPr>
          <w:rFonts w:hint="eastAsia" w:ascii="宋体" w:hAnsi="宋体"/>
          <w:color w:val="auto"/>
          <w:szCs w:val="21"/>
          <w:highlight w:val="none"/>
        </w:rPr>
        <w:t>2.3.1 支持绿色发展</w:t>
      </w:r>
    </w:p>
    <w:p w14:paraId="06C7157C">
      <w:pPr>
        <w:spacing w:line="360" w:lineRule="auto"/>
        <w:ind w:firstLine="420"/>
        <w:rPr>
          <w:rFonts w:ascii="宋体" w:hAnsi="宋体"/>
          <w:color w:val="auto"/>
          <w:szCs w:val="21"/>
          <w:highlight w:val="none"/>
        </w:rPr>
      </w:pPr>
      <w:r>
        <w:rPr>
          <w:rFonts w:hint="eastAsia" w:ascii="宋体" w:hAnsi="宋体"/>
          <w:color w:val="auto"/>
          <w:szCs w:val="21"/>
          <w:highlight w:val="none"/>
        </w:rPr>
        <w:t>2.3.1.1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15BA47C">
      <w:pPr>
        <w:spacing w:line="360" w:lineRule="auto"/>
        <w:ind w:firstLine="420"/>
        <w:rPr>
          <w:rFonts w:ascii="宋体" w:hAnsi="宋体"/>
          <w:color w:val="auto"/>
          <w:szCs w:val="21"/>
          <w:highlight w:val="none"/>
        </w:rPr>
      </w:pPr>
      <w:r>
        <w:rPr>
          <w:rFonts w:hint="eastAsia" w:ascii="宋体" w:hAnsi="宋体"/>
          <w:color w:val="auto"/>
          <w:szCs w:val="21"/>
          <w:highlight w:val="none"/>
        </w:rPr>
        <w:t>2.3.2支持中小微企业发展</w:t>
      </w:r>
    </w:p>
    <w:p w14:paraId="1489B67E">
      <w:pPr>
        <w:spacing w:line="360" w:lineRule="auto"/>
        <w:ind w:firstLine="420"/>
        <w:rPr>
          <w:rFonts w:ascii="宋体" w:hAnsi="宋体"/>
          <w:color w:val="auto"/>
          <w:szCs w:val="21"/>
          <w:highlight w:val="none"/>
        </w:rPr>
      </w:pPr>
      <w:r>
        <w:rPr>
          <w:rFonts w:hint="eastAsia" w:ascii="宋体" w:hAnsi="宋体"/>
          <w:color w:val="auto"/>
          <w:szCs w:val="21"/>
          <w:highlight w:val="none"/>
        </w:rPr>
        <w:t>2.3.2.1中小微企业，是指在中华人民共和国境内依法设立，依据国务院批准的中小微企业划分标准确定的中型企业、小型企业和微型企业，但与大企业的负责人为同一人，或者与大企业存在直接控股、管理关系的除外。</w:t>
      </w:r>
    </w:p>
    <w:p w14:paraId="1B06184E">
      <w:pPr>
        <w:spacing w:line="360" w:lineRule="auto"/>
        <w:ind w:firstLine="42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6E50E14E">
      <w:pPr>
        <w:spacing w:line="360" w:lineRule="auto"/>
        <w:ind w:firstLine="420"/>
        <w:rPr>
          <w:rFonts w:ascii="宋体" w:hAnsi="宋体"/>
          <w:color w:val="auto"/>
          <w:szCs w:val="21"/>
          <w:highlight w:val="none"/>
        </w:rPr>
      </w:pPr>
      <w:r>
        <w:rPr>
          <w:rFonts w:hint="eastAsia" w:ascii="宋体" w:hAnsi="宋体"/>
          <w:color w:val="auto"/>
          <w:szCs w:val="21"/>
          <w:highlight w:val="none"/>
        </w:rPr>
        <w:t>2.3.2.2在政府采购活动中，投标人提供的货物、工程或者服务符合下列情形的，享受中小企业扶持政策：</w:t>
      </w:r>
    </w:p>
    <w:p w14:paraId="00853D0D">
      <w:pPr>
        <w:spacing w:line="360" w:lineRule="auto"/>
        <w:ind w:firstLine="420"/>
        <w:rPr>
          <w:rFonts w:ascii="宋体" w:hAnsi="宋体"/>
          <w:color w:val="auto"/>
          <w:szCs w:val="21"/>
          <w:highlight w:val="none"/>
        </w:rPr>
      </w:pPr>
      <w:r>
        <w:rPr>
          <w:rFonts w:hint="eastAsia" w:ascii="宋体" w:hAnsi="宋体"/>
          <w:color w:val="auto"/>
          <w:szCs w:val="21"/>
          <w:highlight w:val="none"/>
        </w:rPr>
        <w:t>2.3.2.3在货物采购项目中，货物由中小企业制造，即货物由中小企业生产且使用该中小企业商号或者注册商标；</w:t>
      </w:r>
    </w:p>
    <w:p w14:paraId="2BF26BEB">
      <w:pPr>
        <w:spacing w:line="360" w:lineRule="auto"/>
        <w:ind w:firstLine="42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在货物采购项目中，投标人提供的货物既有中小企业制造货物，也有大型企业制造货物的，不享受中小企业扶持政策。</w:t>
      </w:r>
    </w:p>
    <w:p w14:paraId="6BBC4202">
      <w:pPr>
        <w:spacing w:line="360" w:lineRule="auto"/>
        <w:ind w:firstLine="420"/>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B68B71D">
      <w:pPr>
        <w:spacing w:line="360" w:lineRule="auto"/>
        <w:ind w:firstLine="420"/>
        <w:rPr>
          <w:rFonts w:ascii="宋体" w:hAnsi="宋体"/>
          <w:color w:val="auto"/>
          <w:szCs w:val="21"/>
          <w:highlight w:val="none"/>
        </w:rPr>
      </w:pPr>
      <w:r>
        <w:rPr>
          <w:rFonts w:hint="eastAsia" w:ascii="宋体" w:hAnsi="宋体"/>
          <w:color w:val="auto"/>
          <w:szCs w:val="21"/>
          <w:highlight w:val="none"/>
        </w:rPr>
        <w:t>2.3.2.4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D472112">
      <w:pPr>
        <w:spacing w:line="360" w:lineRule="auto"/>
        <w:ind w:firstLine="420"/>
        <w:rPr>
          <w:rFonts w:ascii="宋体" w:hAnsi="宋体"/>
          <w:b/>
          <w:bCs/>
          <w:color w:val="auto"/>
          <w:szCs w:val="21"/>
          <w:highlight w:val="none"/>
        </w:rPr>
      </w:pPr>
      <w:r>
        <w:rPr>
          <w:rFonts w:hint="eastAsia" w:ascii="宋体" w:hAnsi="宋体"/>
          <w:b/>
          <w:bCs/>
          <w:color w:val="auto"/>
          <w:szCs w:val="21"/>
          <w:highlight w:val="none"/>
        </w:rPr>
        <w:t>对于专门面向中小企业的项目，对小型或微型企业的投标报价不给予价格的扣除。</w:t>
      </w:r>
    </w:p>
    <w:p w14:paraId="7B10FB2A">
      <w:pPr>
        <w:spacing w:line="360" w:lineRule="auto"/>
        <w:ind w:firstLine="420"/>
        <w:rPr>
          <w:rFonts w:ascii="宋体" w:hAnsi="宋体"/>
          <w:color w:val="auto"/>
          <w:szCs w:val="21"/>
          <w:highlight w:val="none"/>
        </w:rPr>
      </w:pPr>
      <w:r>
        <w:rPr>
          <w:rFonts w:hint="eastAsia" w:ascii="宋体" w:hAnsi="宋体"/>
          <w:color w:val="auto"/>
          <w:szCs w:val="21"/>
          <w:highlight w:val="none"/>
        </w:rPr>
        <w:t>2.3.2.5符合《关于促进残疾人就业政府采购政策的通知》（财库〔2017〕141号）规定的条件并提供《残疾人福利性单位声明函》（附件15）的残疾人福利性单位视同小型、微型企业。</w:t>
      </w:r>
    </w:p>
    <w:p w14:paraId="16A9DE6A">
      <w:pPr>
        <w:spacing w:line="360" w:lineRule="auto"/>
        <w:ind w:firstLine="420"/>
        <w:rPr>
          <w:rFonts w:ascii="宋体" w:hAnsi="宋体"/>
          <w:color w:val="auto"/>
          <w:szCs w:val="21"/>
          <w:highlight w:val="none"/>
        </w:rPr>
      </w:pPr>
      <w:r>
        <w:rPr>
          <w:rFonts w:hint="eastAsia" w:ascii="宋体" w:hAnsi="宋体"/>
          <w:color w:val="auto"/>
          <w:szCs w:val="21"/>
          <w:highlight w:val="none"/>
        </w:rPr>
        <w:t>2.3.2.6符合《关于政府采购支持监狱企业发展有关问题的通知》（财库[2014]68号）规定的监狱企业并提供由省级以上监狱管理局、戒毒管理局（含新疆生产建设兵团）出具的属于监狱企业证明文件的，视同为小型、微型企业。</w:t>
      </w:r>
    </w:p>
    <w:p w14:paraId="70A36D07">
      <w:pPr>
        <w:spacing w:line="360" w:lineRule="auto"/>
        <w:ind w:firstLine="420"/>
        <w:rPr>
          <w:rFonts w:ascii="宋体" w:hAnsi="宋体"/>
          <w:color w:val="auto"/>
          <w:szCs w:val="21"/>
          <w:highlight w:val="none"/>
        </w:rPr>
      </w:pPr>
      <w:r>
        <w:rPr>
          <w:rFonts w:hint="eastAsia" w:ascii="宋体" w:hAnsi="宋体"/>
          <w:color w:val="auto"/>
          <w:szCs w:val="21"/>
          <w:highlight w:val="none"/>
        </w:rPr>
        <w:t>2.3.2.7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6D564E">
      <w:pPr>
        <w:spacing w:line="360" w:lineRule="auto"/>
        <w:ind w:firstLine="420"/>
        <w:rPr>
          <w:rFonts w:ascii="宋体" w:hAnsi="宋体"/>
          <w:color w:val="auto"/>
          <w:szCs w:val="21"/>
          <w:highlight w:val="none"/>
        </w:rPr>
      </w:pPr>
      <w:r>
        <w:rPr>
          <w:rFonts w:hint="eastAsia" w:ascii="宋体" w:hAnsi="宋体"/>
          <w:color w:val="auto"/>
          <w:szCs w:val="21"/>
          <w:highlight w:val="none"/>
        </w:rPr>
        <w:t>2.3.2.8中小企业享受扶持政策获得政府采购合同的，小微企业不得将合同分包给大中型企业，中型企业不得将合同分包给大型企业。</w:t>
      </w:r>
    </w:p>
    <w:p w14:paraId="4C145328">
      <w:pPr>
        <w:spacing w:line="360" w:lineRule="auto"/>
        <w:ind w:firstLine="420"/>
        <w:rPr>
          <w:rFonts w:ascii="宋体" w:hAnsi="宋体"/>
          <w:color w:val="auto"/>
          <w:szCs w:val="21"/>
          <w:highlight w:val="none"/>
        </w:rPr>
      </w:pPr>
      <w:r>
        <w:rPr>
          <w:rFonts w:hint="eastAsia" w:ascii="宋体" w:hAnsi="宋体"/>
          <w:color w:val="auto"/>
          <w:szCs w:val="21"/>
          <w:highlight w:val="none"/>
        </w:rPr>
        <w:t>2.4、投标供应商须知前附表规定接受联合体投标的，应遵守以下规定：</w:t>
      </w:r>
      <w:r>
        <w:rPr>
          <w:rFonts w:hint="eastAsia" w:ascii="宋体" w:hAnsi="宋体"/>
          <w:b/>
          <w:color w:val="auto"/>
          <w:szCs w:val="21"/>
          <w:highlight w:val="none"/>
        </w:rPr>
        <w:t>（本项目不适用）</w:t>
      </w:r>
    </w:p>
    <w:p w14:paraId="61E117DF">
      <w:pPr>
        <w:spacing w:line="360" w:lineRule="auto"/>
        <w:ind w:firstLine="420"/>
        <w:rPr>
          <w:rFonts w:ascii="宋体" w:hAnsi="宋体"/>
          <w:color w:val="auto"/>
          <w:szCs w:val="21"/>
          <w:highlight w:val="none"/>
        </w:rPr>
      </w:pPr>
      <w:r>
        <w:rPr>
          <w:rFonts w:hint="eastAsia" w:ascii="宋体" w:hAnsi="宋体"/>
          <w:color w:val="auto"/>
          <w:szCs w:val="21"/>
          <w:highlight w:val="none"/>
        </w:rPr>
        <w:t>1）两个以上供应商可以组成一个联合体，以一个供应商的身份共同参加投标；</w:t>
      </w:r>
    </w:p>
    <w:p w14:paraId="6B8B3DFD">
      <w:pPr>
        <w:spacing w:line="360" w:lineRule="auto"/>
        <w:ind w:firstLine="420"/>
        <w:rPr>
          <w:rFonts w:ascii="宋体" w:hAnsi="宋体"/>
          <w:color w:val="auto"/>
          <w:szCs w:val="21"/>
          <w:highlight w:val="none"/>
        </w:rPr>
      </w:pPr>
      <w:r>
        <w:rPr>
          <w:rFonts w:hint="eastAsia" w:ascii="宋体" w:hAnsi="宋体"/>
          <w:color w:val="auto"/>
          <w:szCs w:val="21"/>
          <w:highlight w:val="none"/>
        </w:rPr>
        <w:t>2）组成联合体参加本项目投标的，投标供应商须在购买采购文件时向采购代理机构作出相关书面说明，否则投标无效；</w:t>
      </w:r>
    </w:p>
    <w:p w14:paraId="75BE2D75">
      <w:pPr>
        <w:spacing w:line="360" w:lineRule="auto"/>
        <w:ind w:firstLine="420"/>
        <w:rPr>
          <w:rFonts w:ascii="宋体" w:hAnsi="宋体"/>
          <w:color w:val="auto"/>
          <w:szCs w:val="21"/>
          <w:highlight w:val="none"/>
        </w:rPr>
      </w:pPr>
      <w:r>
        <w:rPr>
          <w:rFonts w:hint="eastAsia" w:ascii="宋体" w:hAnsi="宋体"/>
          <w:color w:val="auto"/>
          <w:szCs w:val="21"/>
          <w:highlight w:val="none"/>
        </w:rPr>
        <w:t>3）以联合体形式参加本项目投标的，联合体的各成员均应当具备《中华人民共和国政府采购法》第二十二条规定的条件，联合体各方中至少应当有一方符合采购人规定的特定条件</w:t>
      </w:r>
      <w:r>
        <w:rPr>
          <w:rFonts w:hint="eastAsia" w:ascii="宋体" w:hAnsi="宋体"/>
          <w:color w:val="auto"/>
          <w:kern w:val="0"/>
          <w:szCs w:val="21"/>
          <w:highlight w:val="none"/>
        </w:rPr>
        <w:t>，但同一专业的投标供应商组成的联合体以资质最低的一方为依据；</w:t>
      </w:r>
    </w:p>
    <w:p w14:paraId="5DC75F62">
      <w:pPr>
        <w:spacing w:line="360" w:lineRule="auto"/>
        <w:ind w:firstLine="420"/>
        <w:rPr>
          <w:rFonts w:ascii="宋体" w:hAnsi="宋体"/>
          <w:color w:val="auto"/>
          <w:szCs w:val="21"/>
          <w:highlight w:val="none"/>
        </w:rPr>
      </w:pPr>
      <w:r>
        <w:rPr>
          <w:rFonts w:hint="eastAsia" w:ascii="宋体" w:hAnsi="宋体"/>
          <w:color w:val="auto"/>
          <w:szCs w:val="21"/>
          <w:highlight w:val="none"/>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7294D186">
      <w:pPr>
        <w:spacing w:line="360" w:lineRule="auto"/>
        <w:ind w:firstLine="420"/>
        <w:rPr>
          <w:rFonts w:ascii="宋体" w:hAnsi="宋体"/>
          <w:color w:val="auto"/>
          <w:szCs w:val="21"/>
          <w:highlight w:val="none"/>
        </w:rPr>
      </w:pPr>
      <w:r>
        <w:rPr>
          <w:rFonts w:hint="eastAsia" w:ascii="宋体" w:hAnsi="宋体"/>
          <w:color w:val="auto"/>
          <w:szCs w:val="21"/>
          <w:highlight w:val="none"/>
        </w:rPr>
        <w:t>5）联合体各方签订投标联合协议后，不得再以自己名义单独在本项目中参加投标，也不得组成新的联合体参加本项目投标；</w:t>
      </w:r>
    </w:p>
    <w:p w14:paraId="43EF412A">
      <w:pPr>
        <w:spacing w:line="360" w:lineRule="auto"/>
        <w:ind w:firstLine="420"/>
        <w:rPr>
          <w:rFonts w:ascii="宋体" w:hAnsi="宋体"/>
          <w:color w:val="auto"/>
          <w:szCs w:val="21"/>
          <w:highlight w:val="none"/>
        </w:rPr>
      </w:pPr>
      <w:r>
        <w:rPr>
          <w:rFonts w:hint="eastAsia" w:ascii="宋体" w:hAnsi="宋体"/>
          <w:color w:val="auto"/>
          <w:szCs w:val="21"/>
          <w:highlight w:val="none"/>
        </w:rPr>
        <w:t>6）联合体各方共同与采购人签订采购合同，就采购合同约定的事项对采购人承担连带责任；</w:t>
      </w:r>
    </w:p>
    <w:p w14:paraId="3394A83E">
      <w:pPr>
        <w:spacing w:line="360" w:lineRule="auto"/>
        <w:ind w:firstLine="420"/>
        <w:rPr>
          <w:rFonts w:ascii="宋体" w:hAnsi="宋体"/>
          <w:bCs/>
          <w:color w:val="auto"/>
          <w:szCs w:val="21"/>
          <w:highlight w:val="none"/>
        </w:rPr>
      </w:pPr>
      <w:r>
        <w:rPr>
          <w:rFonts w:hint="eastAsia" w:ascii="宋体" w:hAnsi="宋体"/>
          <w:bCs/>
          <w:color w:val="auto"/>
          <w:szCs w:val="21"/>
          <w:highlight w:val="none"/>
        </w:rPr>
        <w:t>2.5、费用</w:t>
      </w:r>
    </w:p>
    <w:p w14:paraId="7397A195">
      <w:pPr>
        <w:spacing w:line="360" w:lineRule="auto"/>
        <w:ind w:firstLine="420"/>
        <w:rPr>
          <w:rFonts w:ascii="宋体" w:hAnsi="宋体"/>
          <w:b/>
          <w:bCs/>
          <w:color w:val="auto"/>
          <w:szCs w:val="21"/>
          <w:highlight w:val="none"/>
        </w:rPr>
      </w:pPr>
      <w:r>
        <w:rPr>
          <w:rFonts w:hint="eastAsia" w:ascii="宋体" w:hAnsi="宋体"/>
          <w:color w:val="auto"/>
          <w:szCs w:val="21"/>
          <w:highlight w:val="none"/>
        </w:rPr>
        <w:t>无论招投标过程中的做法和结果如何，投标供应商自行承担招投标活动中所发生的全部费用。</w:t>
      </w:r>
    </w:p>
    <w:p w14:paraId="1861057D">
      <w:pPr>
        <w:spacing w:line="360" w:lineRule="auto"/>
        <w:ind w:firstLine="420"/>
        <w:rPr>
          <w:rFonts w:ascii="宋体" w:hAnsi="宋体"/>
          <w:color w:val="auto"/>
          <w:szCs w:val="21"/>
          <w:highlight w:val="none"/>
        </w:rPr>
      </w:pPr>
      <w:r>
        <w:rPr>
          <w:rFonts w:hint="eastAsia" w:ascii="宋体" w:hAnsi="宋体"/>
          <w:color w:val="auto"/>
          <w:szCs w:val="21"/>
          <w:highlight w:val="none"/>
        </w:rPr>
        <w:t>2.6、保密</w:t>
      </w:r>
    </w:p>
    <w:p w14:paraId="042B51FF">
      <w:pPr>
        <w:spacing w:line="360" w:lineRule="auto"/>
        <w:ind w:firstLine="420"/>
        <w:rPr>
          <w:rFonts w:ascii="宋体" w:hAnsi="宋体"/>
          <w:color w:val="auto"/>
          <w:szCs w:val="21"/>
          <w:highlight w:val="none"/>
        </w:rPr>
      </w:pPr>
      <w:r>
        <w:rPr>
          <w:rFonts w:hint="eastAsia" w:ascii="宋体" w:hAnsi="宋体"/>
          <w:color w:val="auto"/>
          <w:szCs w:val="21"/>
          <w:highlight w:val="none"/>
        </w:rPr>
        <w:t>参与招标投标活动的各方应对采购文件和投标文件中的商业和技术等秘密保密，违者应对此造成的后果承担法律责任。</w:t>
      </w:r>
    </w:p>
    <w:p w14:paraId="2C89D026">
      <w:pPr>
        <w:spacing w:line="360" w:lineRule="auto"/>
        <w:ind w:firstLine="420"/>
        <w:rPr>
          <w:rFonts w:ascii="宋体" w:hAnsi="宋体"/>
          <w:color w:val="auto"/>
          <w:szCs w:val="21"/>
          <w:highlight w:val="none"/>
        </w:rPr>
      </w:pPr>
      <w:r>
        <w:rPr>
          <w:rFonts w:hint="eastAsia" w:ascii="宋体" w:hAnsi="宋体"/>
          <w:color w:val="auto"/>
          <w:szCs w:val="21"/>
          <w:highlight w:val="none"/>
        </w:rPr>
        <w:t>2.7、语言文字</w:t>
      </w:r>
    </w:p>
    <w:p w14:paraId="777928BB">
      <w:pPr>
        <w:spacing w:line="360" w:lineRule="auto"/>
        <w:ind w:firstLine="420"/>
        <w:rPr>
          <w:rFonts w:ascii="宋体" w:hAnsi="宋体"/>
          <w:color w:val="auto"/>
          <w:szCs w:val="21"/>
          <w:highlight w:val="none"/>
        </w:rPr>
      </w:pPr>
      <w:r>
        <w:rPr>
          <w:rFonts w:hint="eastAsia" w:ascii="宋体" w:hAnsi="宋体"/>
          <w:color w:val="auto"/>
          <w:szCs w:val="21"/>
          <w:highlight w:val="none"/>
        </w:rPr>
        <w:t>除专用术语外，与招标投标有关的语言使用中文。专用术语应附有中文注释。</w:t>
      </w:r>
    </w:p>
    <w:p w14:paraId="55A05FDB">
      <w:pPr>
        <w:spacing w:line="360" w:lineRule="auto"/>
        <w:ind w:firstLine="420"/>
        <w:rPr>
          <w:rFonts w:ascii="宋体" w:hAnsi="宋体"/>
          <w:color w:val="auto"/>
          <w:szCs w:val="21"/>
          <w:highlight w:val="none"/>
        </w:rPr>
      </w:pPr>
      <w:r>
        <w:rPr>
          <w:rFonts w:hint="eastAsia" w:ascii="宋体" w:hAnsi="宋体"/>
          <w:color w:val="auto"/>
          <w:szCs w:val="21"/>
          <w:highlight w:val="none"/>
        </w:rPr>
        <w:t>2.8、计量单位</w:t>
      </w:r>
    </w:p>
    <w:p w14:paraId="111D98A9">
      <w:pPr>
        <w:spacing w:line="360" w:lineRule="auto"/>
        <w:ind w:firstLine="42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1F98A716">
      <w:pPr>
        <w:spacing w:line="360" w:lineRule="auto"/>
        <w:ind w:firstLine="420"/>
        <w:rPr>
          <w:rFonts w:ascii="宋体" w:hAnsi="宋体"/>
          <w:color w:val="auto"/>
          <w:szCs w:val="21"/>
          <w:highlight w:val="none"/>
        </w:rPr>
      </w:pPr>
      <w:r>
        <w:rPr>
          <w:rFonts w:hint="eastAsia" w:ascii="宋体" w:hAnsi="宋体"/>
          <w:color w:val="auto"/>
          <w:szCs w:val="21"/>
          <w:highlight w:val="none"/>
        </w:rPr>
        <w:t>2.9、踏勘现场</w:t>
      </w:r>
    </w:p>
    <w:p w14:paraId="3D0010A9">
      <w:pPr>
        <w:spacing w:line="360" w:lineRule="auto"/>
        <w:ind w:firstLine="420"/>
        <w:rPr>
          <w:rFonts w:ascii="宋体" w:hAnsi="宋体"/>
          <w:color w:val="auto"/>
          <w:szCs w:val="21"/>
          <w:highlight w:val="none"/>
        </w:rPr>
      </w:pPr>
      <w:r>
        <w:rPr>
          <w:rFonts w:hint="eastAsia" w:ascii="宋体" w:hAnsi="宋体"/>
          <w:color w:val="auto"/>
          <w:szCs w:val="21"/>
          <w:highlight w:val="none"/>
        </w:rPr>
        <w:t>2.9.1投标供应商须知前附表规定组织踏勘现场的，采购人按投标供应商须知前附表规定的时间、地点组织投标供应商踏勘项目现场。</w:t>
      </w:r>
    </w:p>
    <w:p w14:paraId="5C03F4D8">
      <w:pPr>
        <w:spacing w:line="360" w:lineRule="auto"/>
        <w:ind w:firstLine="420"/>
        <w:rPr>
          <w:rFonts w:ascii="宋体" w:hAnsi="宋体"/>
          <w:color w:val="auto"/>
          <w:szCs w:val="21"/>
          <w:highlight w:val="none"/>
        </w:rPr>
      </w:pPr>
      <w:r>
        <w:rPr>
          <w:rFonts w:hint="eastAsia" w:ascii="宋体" w:hAnsi="宋体"/>
          <w:color w:val="auto"/>
          <w:szCs w:val="21"/>
          <w:highlight w:val="none"/>
        </w:rPr>
        <w:t>2.9.2投标供应商踏勘现场发生的费用自理。</w:t>
      </w:r>
    </w:p>
    <w:p w14:paraId="6D691ECB">
      <w:pPr>
        <w:spacing w:line="360" w:lineRule="auto"/>
        <w:ind w:firstLine="420"/>
        <w:rPr>
          <w:rFonts w:ascii="宋体" w:hAnsi="宋体"/>
          <w:color w:val="auto"/>
          <w:szCs w:val="21"/>
          <w:highlight w:val="none"/>
        </w:rPr>
      </w:pPr>
      <w:r>
        <w:rPr>
          <w:rFonts w:hint="eastAsia" w:ascii="宋体" w:hAnsi="宋体"/>
          <w:color w:val="auto"/>
          <w:szCs w:val="21"/>
          <w:highlight w:val="none"/>
        </w:rPr>
        <w:t>2.9.3除采购人的原因外，投标供应商自行负责在踏勘现场中所发生的人员伤亡和财产损失。</w:t>
      </w:r>
    </w:p>
    <w:p w14:paraId="1C21C144">
      <w:pPr>
        <w:spacing w:line="360" w:lineRule="auto"/>
        <w:ind w:firstLine="420"/>
        <w:rPr>
          <w:rFonts w:ascii="宋体" w:hAnsi="宋体"/>
          <w:color w:val="auto"/>
          <w:szCs w:val="21"/>
          <w:highlight w:val="none"/>
        </w:rPr>
      </w:pPr>
      <w:r>
        <w:rPr>
          <w:rFonts w:hint="eastAsia" w:ascii="宋体" w:hAnsi="宋体"/>
          <w:color w:val="auto"/>
          <w:szCs w:val="21"/>
          <w:highlight w:val="none"/>
        </w:rPr>
        <w:t>2.9.4采购人在踏勘现场中介绍的场地和相关的周边环境情况，供投标供应商在编制投标文件时参考，采购人不对投标供应商据此作出的判断和决策负责。</w:t>
      </w:r>
    </w:p>
    <w:p w14:paraId="71224C83">
      <w:pPr>
        <w:spacing w:line="360" w:lineRule="auto"/>
        <w:ind w:firstLine="420"/>
        <w:rPr>
          <w:rFonts w:ascii="宋体" w:hAnsi="宋体"/>
          <w:color w:val="auto"/>
          <w:szCs w:val="21"/>
          <w:highlight w:val="none"/>
        </w:rPr>
      </w:pPr>
      <w:r>
        <w:rPr>
          <w:rFonts w:hint="eastAsia" w:ascii="宋体" w:hAnsi="宋体"/>
          <w:color w:val="auto"/>
          <w:szCs w:val="21"/>
          <w:highlight w:val="none"/>
        </w:rPr>
        <w:t>2.10、答疑会</w:t>
      </w:r>
    </w:p>
    <w:p w14:paraId="4D272BC5">
      <w:pPr>
        <w:spacing w:line="360" w:lineRule="auto"/>
        <w:ind w:firstLine="420"/>
        <w:rPr>
          <w:rFonts w:ascii="宋体" w:hAnsi="宋体"/>
          <w:color w:val="auto"/>
          <w:szCs w:val="21"/>
          <w:highlight w:val="none"/>
        </w:rPr>
      </w:pPr>
      <w:r>
        <w:rPr>
          <w:rFonts w:hint="eastAsia" w:ascii="宋体" w:hAnsi="宋体"/>
          <w:color w:val="auto"/>
          <w:szCs w:val="21"/>
          <w:highlight w:val="none"/>
        </w:rPr>
        <w:t>2.10.1投标供应商须知前附表规定召开答疑会的，采购人按投标供应商须知前附表规定的时间和地点召开答疑会，澄清投标供应商提出的问题。</w:t>
      </w:r>
    </w:p>
    <w:p w14:paraId="2D09FE50">
      <w:pPr>
        <w:spacing w:line="360" w:lineRule="auto"/>
        <w:ind w:firstLine="420"/>
        <w:rPr>
          <w:rFonts w:ascii="宋体" w:hAnsi="宋体"/>
          <w:color w:val="auto"/>
          <w:szCs w:val="21"/>
          <w:highlight w:val="none"/>
        </w:rPr>
      </w:pPr>
      <w:r>
        <w:rPr>
          <w:rFonts w:hint="eastAsia" w:ascii="宋体" w:hAnsi="宋体"/>
          <w:color w:val="auto"/>
          <w:szCs w:val="21"/>
          <w:highlight w:val="none"/>
        </w:rPr>
        <w:t>2.10.2投标供应商应在答疑会时间的前一天，以书面形式将提出的问题送达采购人，以便采购人在会议期间澄清。</w:t>
      </w:r>
    </w:p>
    <w:p w14:paraId="6221728A">
      <w:pPr>
        <w:spacing w:line="360" w:lineRule="auto"/>
        <w:ind w:firstLine="420"/>
        <w:rPr>
          <w:rFonts w:ascii="宋体" w:hAnsi="宋体"/>
          <w:color w:val="auto"/>
          <w:szCs w:val="21"/>
          <w:highlight w:val="none"/>
        </w:rPr>
      </w:pPr>
      <w:r>
        <w:rPr>
          <w:rFonts w:hint="eastAsia" w:ascii="宋体" w:hAnsi="宋体"/>
          <w:color w:val="auto"/>
          <w:szCs w:val="21"/>
          <w:highlight w:val="none"/>
        </w:rPr>
        <w:t>2.10.3答疑会后，采购人按本章3.4款规定对投标供应商所提问题进行澄清答复。</w:t>
      </w:r>
    </w:p>
    <w:p w14:paraId="5CAC1A66">
      <w:pPr>
        <w:spacing w:line="360" w:lineRule="auto"/>
        <w:ind w:firstLine="420"/>
        <w:rPr>
          <w:rFonts w:ascii="宋体" w:hAnsi="宋体"/>
          <w:color w:val="auto"/>
          <w:szCs w:val="21"/>
          <w:highlight w:val="none"/>
        </w:rPr>
      </w:pPr>
      <w:r>
        <w:rPr>
          <w:rFonts w:hint="eastAsia" w:ascii="宋体" w:hAnsi="宋体"/>
          <w:color w:val="auto"/>
          <w:szCs w:val="21"/>
          <w:highlight w:val="none"/>
        </w:rPr>
        <w:t>2.11、转包与分包</w:t>
      </w:r>
    </w:p>
    <w:p w14:paraId="1DD6417C">
      <w:pPr>
        <w:spacing w:line="360" w:lineRule="auto"/>
        <w:ind w:firstLine="420"/>
        <w:rPr>
          <w:rFonts w:ascii="宋体" w:hAnsi="宋体"/>
          <w:color w:val="auto"/>
          <w:szCs w:val="21"/>
          <w:highlight w:val="none"/>
        </w:rPr>
      </w:pPr>
      <w:r>
        <w:rPr>
          <w:rFonts w:hint="eastAsia" w:ascii="宋体" w:hAnsi="宋体"/>
          <w:color w:val="auto"/>
          <w:szCs w:val="21"/>
          <w:highlight w:val="none"/>
        </w:rPr>
        <w:t>本项目不允许转包及分包。</w:t>
      </w:r>
    </w:p>
    <w:p w14:paraId="005AEFF2">
      <w:pPr>
        <w:spacing w:line="360" w:lineRule="auto"/>
        <w:ind w:firstLine="420"/>
        <w:rPr>
          <w:rFonts w:ascii="宋体" w:hAnsi="宋体"/>
          <w:color w:val="auto"/>
          <w:szCs w:val="21"/>
          <w:highlight w:val="none"/>
        </w:rPr>
      </w:pPr>
      <w:r>
        <w:rPr>
          <w:rFonts w:hint="eastAsia" w:ascii="宋体" w:hAnsi="宋体"/>
          <w:color w:val="auto"/>
          <w:szCs w:val="21"/>
          <w:highlight w:val="none"/>
        </w:rPr>
        <w:t>2.12、偏离</w:t>
      </w:r>
    </w:p>
    <w:p w14:paraId="51356F7D">
      <w:pPr>
        <w:spacing w:line="360" w:lineRule="auto"/>
        <w:ind w:firstLine="420"/>
        <w:rPr>
          <w:rFonts w:ascii="宋体" w:hAnsi="宋体"/>
          <w:color w:val="auto"/>
          <w:szCs w:val="21"/>
          <w:highlight w:val="none"/>
        </w:rPr>
      </w:pPr>
      <w:r>
        <w:rPr>
          <w:rFonts w:hint="eastAsia" w:ascii="宋体" w:hAnsi="宋体"/>
          <w:color w:val="auto"/>
          <w:szCs w:val="21"/>
          <w:highlight w:val="none"/>
        </w:rPr>
        <w:t>投标文件应完全响应采购文件规定的实质性内容和条件。</w:t>
      </w:r>
    </w:p>
    <w:p w14:paraId="711D0F95">
      <w:pPr>
        <w:spacing w:line="360" w:lineRule="auto"/>
        <w:ind w:firstLine="420"/>
        <w:rPr>
          <w:rFonts w:ascii="宋体" w:hAnsi="宋体"/>
          <w:color w:val="auto"/>
          <w:szCs w:val="21"/>
          <w:highlight w:val="none"/>
        </w:rPr>
      </w:pPr>
      <w:r>
        <w:rPr>
          <w:rFonts w:hint="eastAsia" w:ascii="宋体" w:hAnsi="宋体"/>
          <w:color w:val="auto"/>
          <w:szCs w:val="21"/>
          <w:highlight w:val="none"/>
        </w:rPr>
        <w:t>2.13、其他</w:t>
      </w:r>
    </w:p>
    <w:p w14:paraId="1BC96F84">
      <w:pPr>
        <w:spacing w:line="360" w:lineRule="auto"/>
        <w:ind w:firstLine="420"/>
        <w:rPr>
          <w:rFonts w:ascii="宋体" w:hAnsi="宋体"/>
          <w:b/>
          <w:bCs/>
          <w:color w:val="auto"/>
          <w:szCs w:val="21"/>
          <w:highlight w:val="none"/>
          <w:u w:val="single"/>
        </w:rPr>
      </w:pPr>
      <w:r>
        <w:rPr>
          <w:rFonts w:hint="eastAsia" w:ascii="宋体" w:hAnsi="宋体"/>
          <w:color w:val="auto"/>
          <w:szCs w:val="21"/>
          <w:highlight w:val="none"/>
        </w:rPr>
        <w:t>2.13.1★</w:t>
      </w:r>
      <w:r>
        <w:rPr>
          <w:rFonts w:hint="eastAsia" w:ascii="宋体" w:hAnsi="宋体"/>
          <w:b/>
          <w:bCs/>
          <w:color w:val="auto"/>
          <w:szCs w:val="21"/>
          <w:highlight w:val="none"/>
          <w:u w:val="single"/>
        </w:rPr>
        <w:t>投标供应商对所投标项内的产品或服务必须按采购数量全部进行报价。</w:t>
      </w:r>
    </w:p>
    <w:p w14:paraId="1CF4C98C">
      <w:pPr>
        <w:spacing w:line="360" w:lineRule="auto"/>
        <w:ind w:firstLine="420"/>
        <w:rPr>
          <w:rFonts w:ascii="宋体" w:hAnsi="宋体"/>
          <w:b/>
          <w:color w:val="auto"/>
          <w:szCs w:val="21"/>
          <w:highlight w:val="none"/>
          <w:u w:val="single"/>
        </w:rPr>
      </w:pPr>
      <w:r>
        <w:rPr>
          <w:rFonts w:hint="eastAsia" w:ascii="宋体" w:hAnsi="宋体"/>
          <w:b/>
          <w:color w:val="auto"/>
          <w:szCs w:val="21"/>
          <w:highlight w:val="none"/>
          <w:u w:val="single"/>
        </w:rPr>
        <w:t>2.13.2</w:t>
      </w:r>
      <w:r>
        <w:rPr>
          <w:rFonts w:hint="eastAsia" w:ascii="宋体" w:hAnsi="宋体"/>
          <w:b/>
          <w:bCs/>
          <w:color w:val="auto"/>
          <w:szCs w:val="21"/>
          <w:highlight w:val="none"/>
          <w:u w:val="single"/>
        </w:rPr>
        <w:t>投标供应商</w:t>
      </w:r>
      <w:r>
        <w:rPr>
          <w:rFonts w:hint="eastAsia" w:ascii="宋体" w:hAnsi="宋体"/>
          <w:b/>
          <w:color w:val="auto"/>
          <w:szCs w:val="21"/>
          <w:highlight w:val="none"/>
          <w:u w:val="single"/>
        </w:rPr>
        <w:t>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14:paraId="47DA5AF4">
      <w:pPr>
        <w:spacing w:line="360" w:lineRule="auto"/>
        <w:ind w:firstLine="420"/>
        <w:rPr>
          <w:rFonts w:ascii="宋体" w:hAnsi="宋体"/>
          <w:color w:val="auto"/>
          <w:szCs w:val="21"/>
          <w:highlight w:val="none"/>
        </w:rPr>
      </w:pPr>
      <w:r>
        <w:rPr>
          <w:rFonts w:hint="eastAsia" w:ascii="宋体" w:hAnsi="宋体"/>
          <w:color w:val="auto"/>
          <w:szCs w:val="21"/>
          <w:highlight w:val="none"/>
        </w:rPr>
        <w:t>2.13.3投标截止后投标供应商不足3家或者通过资格审查或符合性审查的投标供应商不足3家的，除采购任务取消情形外，按照以下方式处理：</w:t>
      </w:r>
    </w:p>
    <w:p w14:paraId="3D3F5801">
      <w:pPr>
        <w:spacing w:line="360" w:lineRule="auto"/>
        <w:ind w:firstLine="420"/>
        <w:rPr>
          <w:rFonts w:ascii="宋体" w:hAnsi="宋体"/>
          <w:color w:val="auto"/>
          <w:szCs w:val="21"/>
          <w:highlight w:val="none"/>
        </w:rPr>
      </w:pPr>
      <w:r>
        <w:rPr>
          <w:rFonts w:hint="eastAsia" w:ascii="宋体" w:hAnsi="宋体"/>
          <w:color w:val="auto"/>
          <w:szCs w:val="21"/>
          <w:highlight w:val="none"/>
        </w:rPr>
        <w:t>（一）采购文件存在不合理条款或者招标程序不符合规定的，采购人、采购代理机构改正后依法重新招标；</w:t>
      </w:r>
    </w:p>
    <w:p w14:paraId="549F3E0E">
      <w:pPr>
        <w:spacing w:line="360" w:lineRule="auto"/>
        <w:ind w:firstLine="420"/>
        <w:rPr>
          <w:rFonts w:ascii="宋体" w:hAnsi="宋体"/>
          <w:color w:val="auto"/>
          <w:szCs w:val="21"/>
          <w:highlight w:val="none"/>
          <w:u w:val="thick"/>
        </w:rPr>
      </w:pPr>
      <w:r>
        <w:rPr>
          <w:rFonts w:hint="eastAsia" w:ascii="宋体" w:hAnsi="宋体"/>
          <w:color w:val="auto"/>
          <w:szCs w:val="21"/>
          <w:highlight w:val="none"/>
        </w:rPr>
        <w:t>（二）采购文件没有不合理条款、招标程序符合规定，需要采用其他采购方式采购的，采购人应当依法报财政部门批准。</w:t>
      </w:r>
    </w:p>
    <w:p w14:paraId="029D14DE">
      <w:pPr>
        <w:spacing w:line="360" w:lineRule="auto"/>
        <w:ind w:firstLine="420"/>
        <w:rPr>
          <w:rFonts w:ascii="宋体" w:hAnsi="宋体"/>
          <w:bCs/>
          <w:color w:val="auto"/>
          <w:szCs w:val="21"/>
          <w:highlight w:val="none"/>
        </w:rPr>
      </w:pPr>
      <w:r>
        <w:rPr>
          <w:rFonts w:hint="eastAsia" w:ascii="宋体" w:hAnsi="宋体"/>
          <w:color w:val="auto"/>
          <w:szCs w:val="21"/>
          <w:highlight w:val="none"/>
        </w:rPr>
        <w:t>2.13.4</w:t>
      </w:r>
      <w:r>
        <w:rPr>
          <w:rFonts w:hint="eastAsia" w:ascii="宋体" w:hAnsi="宋体"/>
          <w:bCs/>
          <w:color w:val="auto"/>
          <w:szCs w:val="21"/>
          <w:highlight w:val="none"/>
        </w:rPr>
        <w:t>采购文件中如有描述歧义或前后不一致的地方，评标委员会有权按公平、合理的原则进行评判，但对同一条款的评判适用于每个投标供应商。</w:t>
      </w:r>
    </w:p>
    <w:p w14:paraId="62960F4A">
      <w:pPr>
        <w:spacing w:line="360" w:lineRule="auto"/>
        <w:ind w:firstLine="420"/>
        <w:rPr>
          <w:rFonts w:ascii="宋体" w:hAnsi="宋体"/>
          <w:color w:val="auto"/>
          <w:szCs w:val="21"/>
          <w:highlight w:val="none"/>
        </w:rPr>
      </w:pPr>
      <w:r>
        <w:rPr>
          <w:rFonts w:hint="eastAsia" w:ascii="宋体" w:hAnsi="宋体"/>
          <w:bCs/>
          <w:color w:val="auto"/>
          <w:szCs w:val="21"/>
          <w:highlight w:val="none"/>
        </w:rPr>
        <w:t>2.13.5投标文件的响应内容必须真实、明确、准确。否则，评标委员会将对其作出不利的评审。</w:t>
      </w:r>
    </w:p>
    <w:p w14:paraId="5AEEAE2E">
      <w:pPr>
        <w:spacing w:line="360" w:lineRule="auto"/>
        <w:ind w:firstLine="42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13.6乙</w:t>
      </w:r>
      <w:r>
        <w:rPr>
          <w:rFonts w:hint="eastAsia" w:ascii="宋体" w:hAnsi="宋体"/>
          <w:color w:val="auto"/>
          <w:szCs w:val="21"/>
          <w:highlight w:val="none"/>
        </w:rPr>
        <w:t>方为履行合同引起的相关人员的差旅费、食宿费以及其它不可预知的费用由乙方自理。合同实施过程中，须与甲方积极配合。</w:t>
      </w:r>
    </w:p>
    <w:p w14:paraId="2B8896D7">
      <w:pPr>
        <w:pStyle w:val="3"/>
        <w:ind w:firstLine="420"/>
        <w:jc w:val="center"/>
        <w:rPr>
          <w:rFonts w:ascii="宋体" w:hAnsi="宋体" w:cs="宋体"/>
          <w:color w:val="auto"/>
          <w:sz w:val="21"/>
          <w:szCs w:val="21"/>
          <w:highlight w:val="none"/>
        </w:rPr>
      </w:pPr>
      <w:bookmarkStart w:id="72" w:name="_Toc35261572"/>
      <w:bookmarkStart w:id="73" w:name="_Toc107927459"/>
      <w:bookmarkStart w:id="74" w:name="_Toc107927535"/>
      <w:bookmarkStart w:id="75" w:name="_Toc54978891"/>
      <w:r>
        <w:rPr>
          <w:rFonts w:hint="eastAsia" w:ascii="宋体" w:hAnsi="宋体" w:cs="宋体"/>
          <w:color w:val="auto"/>
          <w:sz w:val="21"/>
          <w:szCs w:val="21"/>
          <w:highlight w:val="none"/>
        </w:rPr>
        <w:t>三、采购文件</w:t>
      </w:r>
      <w:bookmarkEnd w:id="70"/>
      <w:bookmarkEnd w:id="71"/>
      <w:bookmarkEnd w:id="72"/>
      <w:bookmarkEnd w:id="73"/>
      <w:bookmarkEnd w:id="74"/>
      <w:bookmarkEnd w:id="75"/>
    </w:p>
    <w:p w14:paraId="332CC063">
      <w:pPr>
        <w:spacing w:line="360" w:lineRule="auto"/>
        <w:ind w:firstLine="420"/>
        <w:rPr>
          <w:rFonts w:ascii="宋体" w:hAnsi="宋体"/>
          <w:color w:val="auto"/>
          <w:szCs w:val="21"/>
          <w:highlight w:val="none"/>
        </w:rPr>
      </w:pPr>
      <w:bookmarkStart w:id="76" w:name="_Toc82873324"/>
      <w:bookmarkStart w:id="77" w:name="_Toc82338241"/>
      <w:r>
        <w:rPr>
          <w:rFonts w:hint="eastAsia" w:ascii="宋体" w:hAnsi="宋体"/>
          <w:color w:val="auto"/>
          <w:szCs w:val="21"/>
          <w:highlight w:val="none"/>
        </w:rPr>
        <w:t>3.1、采购文件组成</w:t>
      </w:r>
    </w:p>
    <w:p w14:paraId="4ADEA501">
      <w:pPr>
        <w:spacing w:line="360" w:lineRule="auto"/>
        <w:ind w:firstLine="420"/>
        <w:rPr>
          <w:rFonts w:ascii="宋体" w:hAnsi="宋体"/>
          <w:color w:val="auto"/>
          <w:szCs w:val="21"/>
          <w:highlight w:val="none"/>
        </w:rPr>
      </w:pPr>
      <w:r>
        <w:rPr>
          <w:rFonts w:hint="eastAsia" w:ascii="宋体" w:hAnsi="宋体"/>
          <w:color w:val="auto"/>
          <w:szCs w:val="21"/>
          <w:highlight w:val="none"/>
        </w:rPr>
        <w:t>3.1.1第一章 采购公告</w:t>
      </w:r>
    </w:p>
    <w:p w14:paraId="342D26FA">
      <w:pPr>
        <w:spacing w:line="360" w:lineRule="auto"/>
        <w:ind w:firstLine="420"/>
        <w:rPr>
          <w:rFonts w:ascii="宋体" w:hAnsi="宋体"/>
          <w:color w:val="auto"/>
          <w:szCs w:val="21"/>
          <w:highlight w:val="none"/>
        </w:rPr>
      </w:pPr>
      <w:r>
        <w:rPr>
          <w:rFonts w:hint="eastAsia" w:ascii="宋体" w:hAnsi="宋体"/>
          <w:color w:val="auto"/>
          <w:szCs w:val="21"/>
          <w:highlight w:val="none"/>
        </w:rPr>
        <w:t>3.1.2第二章 投标须知</w:t>
      </w:r>
    </w:p>
    <w:p w14:paraId="4E810A1F">
      <w:pPr>
        <w:spacing w:line="360" w:lineRule="auto"/>
        <w:ind w:firstLine="420"/>
        <w:rPr>
          <w:rFonts w:ascii="宋体" w:hAnsi="宋体"/>
          <w:color w:val="auto"/>
          <w:szCs w:val="21"/>
          <w:highlight w:val="none"/>
        </w:rPr>
      </w:pPr>
      <w:r>
        <w:rPr>
          <w:rFonts w:hint="eastAsia" w:ascii="宋体" w:hAnsi="宋体"/>
          <w:color w:val="auto"/>
          <w:szCs w:val="21"/>
          <w:highlight w:val="none"/>
        </w:rPr>
        <w:t>3.1.3第三章 项目招标范围及服务要求</w:t>
      </w:r>
    </w:p>
    <w:p w14:paraId="400721D0">
      <w:pPr>
        <w:spacing w:line="360" w:lineRule="auto"/>
        <w:ind w:firstLine="420"/>
        <w:rPr>
          <w:rFonts w:ascii="宋体" w:hAnsi="宋体"/>
          <w:color w:val="auto"/>
          <w:szCs w:val="21"/>
          <w:highlight w:val="none"/>
        </w:rPr>
      </w:pPr>
      <w:r>
        <w:rPr>
          <w:rFonts w:hint="eastAsia" w:ascii="宋体" w:hAnsi="宋体"/>
          <w:color w:val="auto"/>
          <w:szCs w:val="21"/>
          <w:highlight w:val="none"/>
        </w:rPr>
        <w:t>3.1.4第四章 评标办法</w:t>
      </w:r>
    </w:p>
    <w:p w14:paraId="69E108A4">
      <w:pPr>
        <w:spacing w:line="360" w:lineRule="auto"/>
        <w:ind w:firstLine="420"/>
        <w:rPr>
          <w:rFonts w:ascii="宋体" w:hAnsi="宋体"/>
          <w:color w:val="auto"/>
          <w:szCs w:val="21"/>
          <w:highlight w:val="none"/>
        </w:rPr>
      </w:pPr>
      <w:r>
        <w:rPr>
          <w:rFonts w:hint="eastAsia" w:ascii="宋体" w:hAnsi="宋体"/>
          <w:color w:val="auto"/>
          <w:szCs w:val="21"/>
          <w:highlight w:val="none"/>
        </w:rPr>
        <w:t>3.1.5第五章 合同主要条款</w:t>
      </w:r>
    </w:p>
    <w:p w14:paraId="566DBCEC">
      <w:pPr>
        <w:spacing w:line="360" w:lineRule="auto"/>
        <w:ind w:firstLine="420"/>
        <w:rPr>
          <w:rFonts w:ascii="宋体" w:hAnsi="宋体"/>
          <w:color w:val="auto"/>
          <w:szCs w:val="21"/>
          <w:highlight w:val="none"/>
        </w:rPr>
      </w:pPr>
      <w:r>
        <w:rPr>
          <w:rFonts w:hint="eastAsia" w:ascii="宋体" w:hAnsi="宋体"/>
          <w:color w:val="auto"/>
          <w:szCs w:val="21"/>
          <w:highlight w:val="none"/>
        </w:rPr>
        <w:t>3.1.6第六章 投标文件格式</w:t>
      </w:r>
    </w:p>
    <w:p w14:paraId="3DDC2544">
      <w:pPr>
        <w:spacing w:line="360" w:lineRule="auto"/>
        <w:ind w:firstLine="420"/>
        <w:rPr>
          <w:rFonts w:ascii="宋体" w:hAnsi="宋体"/>
          <w:color w:val="auto"/>
          <w:szCs w:val="21"/>
          <w:highlight w:val="none"/>
        </w:rPr>
      </w:pPr>
      <w:r>
        <w:rPr>
          <w:rFonts w:hint="eastAsia" w:ascii="宋体" w:hAnsi="宋体"/>
          <w:color w:val="auto"/>
          <w:szCs w:val="21"/>
          <w:highlight w:val="none"/>
        </w:rPr>
        <w:t>3.1.7补充文件（如有）</w:t>
      </w:r>
    </w:p>
    <w:p w14:paraId="37D3B39E">
      <w:pPr>
        <w:spacing w:line="360" w:lineRule="auto"/>
        <w:ind w:firstLine="420"/>
        <w:rPr>
          <w:rFonts w:ascii="宋体" w:hAnsi="宋体"/>
          <w:color w:val="auto"/>
          <w:szCs w:val="21"/>
          <w:highlight w:val="none"/>
        </w:rPr>
      </w:pPr>
      <w:r>
        <w:rPr>
          <w:rFonts w:hint="eastAsia" w:ascii="宋体" w:hAnsi="宋体"/>
          <w:color w:val="auto"/>
          <w:szCs w:val="21"/>
          <w:highlight w:val="none"/>
        </w:rPr>
        <w:t>3.2、采购文件的解释权</w:t>
      </w:r>
    </w:p>
    <w:p w14:paraId="69DEFA4C">
      <w:pPr>
        <w:spacing w:line="360" w:lineRule="auto"/>
        <w:ind w:firstLine="420"/>
        <w:rPr>
          <w:rFonts w:ascii="宋体" w:hAnsi="宋体"/>
          <w:color w:val="auto"/>
          <w:szCs w:val="21"/>
          <w:highlight w:val="none"/>
        </w:rPr>
      </w:pPr>
      <w:r>
        <w:rPr>
          <w:rFonts w:hint="eastAsia" w:ascii="宋体" w:hAnsi="宋体"/>
          <w:color w:val="auto"/>
          <w:szCs w:val="21"/>
          <w:highlight w:val="none"/>
        </w:rPr>
        <w:t>采购文件的解释权归采购组织机构所有。</w:t>
      </w:r>
    </w:p>
    <w:p w14:paraId="236282A5">
      <w:pPr>
        <w:spacing w:line="360" w:lineRule="auto"/>
        <w:ind w:firstLine="420"/>
        <w:rPr>
          <w:rFonts w:ascii="宋体" w:hAnsi="宋体"/>
          <w:color w:val="auto"/>
          <w:szCs w:val="21"/>
          <w:highlight w:val="none"/>
        </w:rPr>
      </w:pPr>
      <w:r>
        <w:rPr>
          <w:rFonts w:hint="eastAsia" w:ascii="宋体" w:hAnsi="宋体"/>
          <w:color w:val="auto"/>
          <w:szCs w:val="21"/>
          <w:highlight w:val="none"/>
        </w:rPr>
        <w:t>3.3、采购文件的澄清</w:t>
      </w:r>
    </w:p>
    <w:p w14:paraId="3A3287F8">
      <w:pPr>
        <w:spacing w:line="360" w:lineRule="auto"/>
        <w:ind w:firstLine="420"/>
        <w:rPr>
          <w:rFonts w:ascii="宋体" w:hAnsi="宋体"/>
          <w:color w:val="auto"/>
          <w:szCs w:val="21"/>
          <w:highlight w:val="none"/>
        </w:rPr>
      </w:pPr>
      <w:r>
        <w:rPr>
          <w:rFonts w:hint="eastAsia" w:ascii="宋体" w:hAnsi="宋体"/>
          <w:color w:val="auto"/>
          <w:szCs w:val="21"/>
          <w:highlight w:val="none"/>
        </w:rPr>
        <w:t>3.3.1投标供应商在获取采购文件后，若有问题需要澄清或认为有必要与采购人进行技术交流，应于前附表规定的时间前，将问题发电子邮件至</w:t>
      </w:r>
      <w:r>
        <w:rPr>
          <w:rFonts w:hint="eastAsia" w:ascii="宋体" w:hAnsi="宋体"/>
          <w:color w:val="auto"/>
          <w:szCs w:val="21"/>
          <w:highlight w:val="none"/>
          <w:lang w:eastAsia="zh-CN"/>
        </w:rPr>
        <w:t>576813833</w:t>
      </w:r>
      <w:r>
        <w:rPr>
          <w:rFonts w:hint="eastAsia" w:ascii="宋体" w:hAnsi="宋体"/>
          <w:color w:val="auto"/>
          <w:szCs w:val="21"/>
          <w:highlight w:val="none"/>
        </w:rPr>
        <w:t>@qq.com（电子邮件与书面文件有不一致的，以书面文件为准）。截止期后的疑问将不予受理、答复。</w:t>
      </w:r>
    </w:p>
    <w:p w14:paraId="18753D62">
      <w:pPr>
        <w:spacing w:line="360" w:lineRule="auto"/>
        <w:ind w:firstLine="420"/>
        <w:rPr>
          <w:rFonts w:ascii="宋体" w:hAnsi="宋体"/>
          <w:color w:val="auto"/>
          <w:szCs w:val="21"/>
          <w:highlight w:val="none"/>
        </w:rPr>
      </w:pPr>
      <w:r>
        <w:rPr>
          <w:rFonts w:hint="eastAsia" w:ascii="宋体" w:hAnsi="宋体"/>
          <w:color w:val="auto"/>
          <w:szCs w:val="21"/>
          <w:highlight w:val="none"/>
        </w:rPr>
        <w:t>3.3.2 投标供应商要求解释或澄清的问题应以书面形式送达，并加盖公章、写明日期。</w:t>
      </w:r>
    </w:p>
    <w:p w14:paraId="7B412FD5">
      <w:pPr>
        <w:spacing w:line="360" w:lineRule="auto"/>
        <w:ind w:firstLine="420"/>
        <w:rPr>
          <w:rFonts w:ascii="宋体" w:hAnsi="宋体"/>
          <w:color w:val="auto"/>
          <w:szCs w:val="21"/>
          <w:highlight w:val="none"/>
        </w:rPr>
      </w:pPr>
      <w:r>
        <w:rPr>
          <w:rFonts w:hint="eastAsia" w:ascii="宋体" w:hAnsi="宋体"/>
          <w:color w:val="auto"/>
          <w:szCs w:val="21"/>
          <w:highlight w:val="none"/>
        </w:rPr>
        <w:t>3.3.3 所有要求解释或澄清的问题都予以解答，答疑内容与补充内容以更正（澄清）公告形式告知所有购买采购文件的投标供应商。</w:t>
      </w:r>
    </w:p>
    <w:p w14:paraId="4896A81C">
      <w:pPr>
        <w:spacing w:line="360" w:lineRule="auto"/>
        <w:ind w:firstLine="420"/>
        <w:rPr>
          <w:rFonts w:ascii="宋体" w:hAnsi="宋体"/>
          <w:color w:val="auto"/>
          <w:szCs w:val="21"/>
          <w:highlight w:val="none"/>
        </w:rPr>
      </w:pPr>
      <w:r>
        <w:rPr>
          <w:rFonts w:hint="eastAsia" w:ascii="宋体" w:hAnsi="宋体"/>
          <w:color w:val="auto"/>
          <w:szCs w:val="21"/>
          <w:highlight w:val="none"/>
        </w:rPr>
        <w:t>3.4、采购文件的修改</w:t>
      </w:r>
    </w:p>
    <w:p w14:paraId="51DE8EE9">
      <w:pPr>
        <w:spacing w:line="360" w:lineRule="auto"/>
        <w:ind w:firstLine="420"/>
        <w:rPr>
          <w:rFonts w:ascii="宋体" w:hAnsi="宋体"/>
          <w:color w:val="auto"/>
          <w:szCs w:val="21"/>
          <w:highlight w:val="none"/>
        </w:rPr>
      </w:pPr>
      <w:r>
        <w:rPr>
          <w:rFonts w:hint="eastAsia" w:ascii="宋体" w:hAnsi="宋体"/>
          <w:color w:val="auto"/>
          <w:szCs w:val="21"/>
          <w:highlight w:val="none"/>
        </w:rPr>
        <w:t>3.4.1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供应商；不足15日的，采购人或者采购代理机构应当顺延提交投标文件的截止时间。</w:t>
      </w:r>
    </w:p>
    <w:p w14:paraId="2AD632CA">
      <w:pPr>
        <w:spacing w:line="360" w:lineRule="auto"/>
        <w:ind w:firstLine="420"/>
        <w:rPr>
          <w:rFonts w:ascii="宋体" w:hAnsi="宋体"/>
          <w:color w:val="auto"/>
          <w:szCs w:val="21"/>
          <w:highlight w:val="none"/>
        </w:rPr>
      </w:pPr>
      <w:r>
        <w:rPr>
          <w:rFonts w:hint="eastAsia" w:ascii="宋体" w:hAnsi="宋体"/>
          <w:color w:val="auto"/>
          <w:szCs w:val="21"/>
          <w:highlight w:val="none"/>
        </w:rPr>
        <w:t>3.4.2 采购文件的修改将以更正（澄清）公告通知所有购买采购文件的投标供应商，并对其具有约束力。投标供应商应及时关注浙江政府采购网、嵊州市公共资源交易网上该项目的公告信息。</w:t>
      </w:r>
    </w:p>
    <w:p w14:paraId="494BABCD">
      <w:pPr>
        <w:spacing w:line="360" w:lineRule="auto"/>
        <w:ind w:firstLine="420"/>
        <w:rPr>
          <w:rFonts w:ascii="宋体" w:hAnsi="宋体"/>
          <w:color w:val="auto"/>
          <w:szCs w:val="21"/>
          <w:highlight w:val="none"/>
        </w:rPr>
      </w:pPr>
      <w:r>
        <w:rPr>
          <w:rFonts w:hint="eastAsia" w:ascii="宋体" w:hAnsi="宋体"/>
          <w:color w:val="auto"/>
          <w:szCs w:val="21"/>
          <w:highlight w:val="none"/>
        </w:rPr>
        <w:t>3.4.3 在更正（澄清）公告发布后，如果投标供应商认为编制投标文件的时间不充分的，必须在公告发布之日的24小时内通知采购人和采购代理机构。否则，视同投标供应商有充足时间编制投标文件。</w:t>
      </w:r>
    </w:p>
    <w:p w14:paraId="2F348CA4">
      <w:pPr>
        <w:spacing w:line="360" w:lineRule="auto"/>
        <w:ind w:firstLine="420"/>
        <w:rPr>
          <w:rFonts w:ascii="宋体" w:hAnsi="宋体"/>
          <w:color w:val="auto"/>
          <w:szCs w:val="21"/>
          <w:highlight w:val="none"/>
        </w:rPr>
      </w:pPr>
      <w:r>
        <w:rPr>
          <w:rFonts w:hint="eastAsia" w:ascii="宋体" w:hAnsi="宋体"/>
          <w:color w:val="auto"/>
          <w:szCs w:val="21"/>
          <w:highlight w:val="none"/>
        </w:rPr>
        <w:t>3.4.4采购文件澄清、答复、修改、补充的内容为采购文件的组成部分。当采购文件与采购文件的答复、澄清、修改、补充通知就同一内容的表述不一致时，以最后发出的更正（澄清）公告为准。</w:t>
      </w:r>
    </w:p>
    <w:p w14:paraId="664EB367">
      <w:pPr>
        <w:spacing w:line="360" w:lineRule="auto"/>
        <w:ind w:firstLine="420"/>
        <w:rPr>
          <w:rFonts w:ascii="宋体" w:hAnsi="宋体"/>
          <w:color w:val="auto"/>
          <w:szCs w:val="21"/>
          <w:highlight w:val="none"/>
        </w:rPr>
      </w:pPr>
      <w:r>
        <w:rPr>
          <w:rFonts w:hint="eastAsia" w:ascii="宋体" w:hAnsi="宋体"/>
          <w:color w:val="auto"/>
          <w:szCs w:val="21"/>
          <w:highlight w:val="none"/>
        </w:rPr>
        <w:t>3.4.5采购文件的澄清、答复、修改或补充都应该通过本代理机构以法定形式发布，除此以外的发布不属于采购文件的组成部分。</w:t>
      </w:r>
    </w:p>
    <w:bookmarkEnd w:id="76"/>
    <w:bookmarkEnd w:id="77"/>
    <w:p w14:paraId="6FF0A310">
      <w:pPr>
        <w:pStyle w:val="3"/>
        <w:ind w:hanging="358"/>
        <w:jc w:val="center"/>
        <w:rPr>
          <w:rFonts w:ascii="宋体" w:hAnsi="宋体" w:cs="宋体"/>
          <w:color w:val="auto"/>
          <w:sz w:val="21"/>
          <w:szCs w:val="21"/>
          <w:highlight w:val="none"/>
        </w:rPr>
      </w:pPr>
      <w:bookmarkStart w:id="78" w:name="_Toc54978892"/>
      <w:bookmarkStart w:id="79" w:name="_Toc107927536"/>
      <w:bookmarkStart w:id="80" w:name="_Toc107927460"/>
      <w:bookmarkStart w:id="81" w:name="_Toc35261573"/>
      <w:bookmarkStart w:id="82" w:name="_Toc450482498"/>
      <w:bookmarkStart w:id="83" w:name="_Toc82338242"/>
      <w:bookmarkStart w:id="84" w:name="_Toc82873325"/>
      <w:r>
        <w:rPr>
          <w:rFonts w:hint="eastAsia" w:ascii="宋体" w:hAnsi="宋体" w:cs="宋体"/>
          <w:color w:val="auto"/>
          <w:sz w:val="21"/>
          <w:szCs w:val="21"/>
          <w:highlight w:val="none"/>
        </w:rPr>
        <w:t>四、投标文件</w:t>
      </w:r>
      <w:bookmarkEnd w:id="78"/>
      <w:bookmarkEnd w:id="79"/>
      <w:bookmarkEnd w:id="80"/>
      <w:bookmarkEnd w:id="81"/>
      <w:bookmarkEnd w:id="82"/>
    </w:p>
    <w:p w14:paraId="6307E966">
      <w:pPr>
        <w:spacing w:line="360" w:lineRule="auto"/>
        <w:ind w:firstLine="420"/>
        <w:rPr>
          <w:rFonts w:ascii="宋体" w:hAnsi="宋体"/>
          <w:color w:val="auto"/>
          <w:szCs w:val="21"/>
          <w:highlight w:val="none"/>
        </w:rPr>
      </w:pPr>
      <w:r>
        <w:rPr>
          <w:rFonts w:hint="eastAsia" w:ascii="宋体" w:hAnsi="宋体"/>
          <w:color w:val="auto"/>
          <w:szCs w:val="21"/>
          <w:highlight w:val="none"/>
        </w:rPr>
        <w:t>4.1、投标文件</w:t>
      </w:r>
    </w:p>
    <w:p w14:paraId="189521F5">
      <w:pPr>
        <w:spacing w:line="360" w:lineRule="auto"/>
        <w:ind w:firstLine="420"/>
        <w:rPr>
          <w:rFonts w:ascii="宋体" w:hAnsi="宋体"/>
          <w:color w:val="auto"/>
          <w:szCs w:val="21"/>
          <w:highlight w:val="none"/>
        </w:rPr>
      </w:pPr>
      <w:r>
        <w:rPr>
          <w:rFonts w:hint="eastAsia" w:ascii="宋体" w:hAnsi="宋体"/>
          <w:color w:val="auto"/>
          <w:szCs w:val="21"/>
          <w:highlight w:val="none"/>
        </w:rPr>
        <w:t>4.1.1 投标供应商应仔细阅读采购文件规定的所有内容，以保证能全面准确理解采购文件，并按照采购文件要求，详细编制投标文件，投标文件内容必须针对本次招标响应。</w:t>
      </w:r>
    </w:p>
    <w:p w14:paraId="371C3663">
      <w:pPr>
        <w:spacing w:line="360" w:lineRule="auto"/>
        <w:ind w:firstLine="420"/>
        <w:rPr>
          <w:rFonts w:ascii="宋体" w:hAnsi="宋体"/>
          <w:bCs/>
          <w:color w:val="auto"/>
          <w:szCs w:val="21"/>
          <w:highlight w:val="none"/>
        </w:rPr>
      </w:pPr>
      <w:r>
        <w:rPr>
          <w:rFonts w:hint="eastAsia" w:ascii="宋体" w:hAnsi="宋体"/>
          <w:color w:val="auto"/>
          <w:szCs w:val="21"/>
          <w:highlight w:val="none"/>
        </w:rPr>
        <w:t>4.1.2投标供应商必须按采购文件的要求提供相关资料，并对采购文件中提出的所有内容要求给予实质性响应，须保证投标文件的准确、真实、明确</w:t>
      </w:r>
      <w:r>
        <w:rPr>
          <w:rFonts w:hint="eastAsia" w:ascii="宋体" w:hAnsi="宋体"/>
          <w:bCs/>
          <w:color w:val="auto"/>
          <w:szCs w:val="21"/>
          <w:highlight w:val="none"/>
        </w:rPr>
        <w:t>。投标文件响应内容对采购文件要求如有偏离均应填写偏离表，如不填写，采购人有权视作投标文件完全响应采购文件要求。</w:t>
      </w:r>
    </w:p>
    <w:p w14:paraId="75C54189">
      <w:pPr>
        <w:spacing w:line="360" w:lineRule="auto"/>
        <w:ind w:firstLine="420"/>
        <w:rPr>
          <w:rFonts w:ascii="宋体" w:hAnsi="宋体"/>
          <w:color w:val="auto"/>
          <w:szCs w:val="21"/>
          <w:highlight w:val="none"/>
        </w:rPr>
      </w:pPr>
      <w:r>
        <w:rPr>
          <w:rFonts w:hint="eastAsia" w:ascii="宋体" w:hAnsi="宋体"/>
          <w:color w:val="auto"/>
          <w:szCs w:val="21"/>
          <w:highlight w:val="none"/>
        </w:rPr>
        <w:t>4.2、投标文件组成</w:t>
      </w:r>
    </w:p>
    <w:p w14:paraId="1F925F92">
      <w:pPr>
        <w:spacing w:line="360" w:lineRule="auto"/>
        <w:ind w:firstLine="420"/>
        <w:rPr>
          <w:rFonts w:ascii="宋体" w:hAnsi="宋体"/>
          <w:bCs/>
          <w:color w:val="auto"/>
          <w:szCs w:val="21"/>
          <w:highlight w:val="none"/>
        </w:rPr>
      </w:pPr>
      <w:r>
        <w:rPr>
          <w:rFonts w:hint="eastAsia" w:ascii="宋体" w:hAnsi="宋体"/>
          <w:bCs/>
          <w:color w:val="auto"/>
          <w:szCs w:val="21"/>
          <w:highlight w:val="none"/>
        </w:rPr>
        <w:t>4.2.1资格证明文件部分</w:t>
      </w:r>
    </w:p>
    <w:p w14:paraId="498D039F">
      <w:pPr>
        <w:spacing w:line="360" w:lineRule="auto"/>
        <w:ind w:firstLine="420"/>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zh-CN"/>
        </w:rPr>
        <w:t>提供营业执照复印件；</w:t>
      </w:r>
    </w:p>
    <w:p w14:paraId="6E0CF6AB">
      <w:pPr>
        <w:spacing w:line="360" w:lineRule="auto"/>
        <w:ind w:firstLine="420"/>
        <w:rPr>
          <w:rFonts w:ascii="宋体" w:hAnsi="宋体"/>
          <w:bCs/>
          <w:color w:val="auto"/>
          <w:szCs w:val="21"/>
          <w:highlight w:val="none"/>
          <w:lang w:val="zh-CN"/>
        </w:rPr>
      </w:pPr>
      <w:r>
        <w:rPr>
          <w:rFonts w:hint="eastAsia" w:ascii="宋体" w:hAnsi="宋体"/>
          <w:bCs/>
          <w:color w:val="auto"/>
          <w:szCs w:val="21"/>
          <w:highlight w:val="none"/>
        </w:rPr>
        <w:t>2）</w:t>
      </w:r>
      <w:r>
        <w:rPr>
          <w:rFonts w:hint="eastAsia" w:ascii="宋体" w:hAnsi="宋体"/>
          <w:bCs/>
          <w:color w:val="auto"/>
          <w:szCs w:val="21"/>
          <w:highlight w:val="none"/>
          <w:lang w:val="zh-CN"/>
        </w:rPr>
        <w:t>参加政府采购活动前三年内，在经营活动中没有重大违法记录的声明书（格式自拟）；</w:t>
      </w:r>
    </w:p>
    <w:p w14:paraId="261F3C56">
      <w:pPr>
        <w:spacing w:line="360" w:lineRule="auto"/>
        <w:ind w:firstLine="420"/>
        <w:rPr>
          <w:rFonts w:ascii="宋体" w:hAnsi="宋体"/>
          <w:bCs/>
          <w:color w:val="auto"/>
          <w:szCs w:val="21"/>
          <w:highlight w:val="none"/>
          <w:lang w:val="zh-CN"/>
        </w:rPr>
      </w:pPr>
      <w:r>
        <w:rPr>
          <w:rFonts w:hint="eastAsia" w:ascii="宋体" w:hAnsi="宋体"/>
          <w:bCs/>
          <w:color w:val="auto"/>
          <w:szCs w:val="21"/>
          <w:highlight w:val="none"/>
          <w:lang w:val="zh-CN"/>
        </w:rPr>
        <w:t>3）投标供应商未被列入失信被执行人名单、重大税收违法案件当事人名单、政府采购严重违法失信行为记录名单，信息以信用中国网站（www.creditchina.gov.cn）、中国政府采购网（www.ccgp.gov.cn）公布和查询为准；</w:t>
      </w:r>
    </w:p>
    <w:p w14:paraId="19C9A605">
      <w:pPr>
        <w:spacing w:line="360" w:lineRule="auto"/>
        <w:ind w:firstLine="420"/>
        <w:rPr>
          <w:rFonts w:ascii="宋体" w:hAnsi="宋体"/>
          <w:bCs/>
          <w:color w:val="auto"/>
          <w:szCs w:val="21"/>
          <w:highlight w:val="none"/>
        </w:rPr>
      </w:pPr>
      <w:r>
        <w:rPr>
          <w:rFonts w:hint="eastAsia" w:ascii="宋体" w:hAnsi="宋体"/>
          <w:bCs/>
          <w:color w:val="auto"/>
          <w:szCs w:val="21"/>
          <w:highlight w:val="none"/>
        </w:rPr>
        <w:t>4）2023年度财务报表资料文件（新成立的公司提供情况说明）。</w:t>
      </w:r>
    </w:p>
    <w:p w14:paraId="3E46DA11">
      <w:pPr>
        <w:spacing w:line="360" w:lineRule="auto"/>
        <w:ind w:firstLine="424" w:firstLineChars="202"/>
        <w:rPr>
          <w:rFonts w:ascii="宋体" w:hAnsi="宋体"/>
          <w:bCs/>
          <w:color w:val="auto"/>
          <w:szCs w:val="21"/>
          <w:highlight w:val="none"/>
          <w:lang w:val="zh-CN"/>
        </w:rPr>
      </w:pPr>
      <w:r>
        <w:rPr>
          <w:rFonts w:hint="eastAsia" w:ascii="宋体" w:hAnsi="宋体"/>
          <w:bCs/>
          <w:color w:val="auto"/>
          <w:szCs w:val="21"/>
          <w:highlight w:val="none"/>
        </w:rPr>
        <w:t>5</w:t>
      </w:r>
      <w:r>
        <w:rPr>
          <w:rFonts w:hint="eastAsia" w:ascii="宋体" w:hAnsi="宋体"/>
          <w:bCs/>
          <w:color w:val="auto"/>
          <w:szCs w:val="21"/>
          <w:highlight w:val="none"/>
          <w:lang w:val="zh-CN"/>
        </w:rPr>
        <w:t>) 本项目的特定资格要求：投标人具有《检验机构资质认定》（CMA证书）且证书在有效期内。</w:t>
      </w:r>
    </w:p>
    <w:p w14:paraId="14EA3315">
      <w:pPr>
        <w:spacing w:line="360" w:lineRule="auto"/>
        <w:ind w:firstLine="420"/>
        <w:rPr>
          <w:rFonts w:ascii="宋体" w:hAnsi="宋体"/>
          <w:color w:val="auto"/>
          <w:szCs w:val="21"/>
          <w:highlight w:val="none"/>
        </w:rPr>
      </w:pPr>
      <w:r>
        <w:rPr>
          <w:rFonts w:hint="eastAsia" w:ascii="宋体" w:hAnsi="宋体"/>
          <w:color w:val="auto"/>
          <w:szCs w:val="21"/>
          <w:highlight w:val="none"/>
        </w:rPr>
        <w:t>4.2.2资信技术部分</w:t>
      </w:r>
    </w:p>
    <w:p w14:paraId="135273EA">
      <w:pPr>
        <w:tabs>
          <w:tab w:val="left" w:pos="399"/>
        </w:tabs>
        <w:spacing w:line="360" w:lineRule="auto"/>
        <w:ind w:firstLine="420"/>
        <w:rPr>
          <w:rFonts w:ascii="宋体" w:hAnsi="宋体" w:eastAsia="宋体" w:cs="宋体"/>
          <w:color w:val="auto"/>
          <w:highlight w:val="none"/>
        </w:rPr>
      </w:pPr>
      <w:r>
        <w:rPr>
          <w:rFonts w:ascii="宋体" w:hAnsi="宋体" w:eastAsia="宋体" w:cs="宋体"/>
          <w:color w:val="auto"/>
          <w:highlight w:val="none"/>
        </w:rPr>
        <w:t>1）评分索引表</w:t>
      </w:r>
    </w:p>
    <w:p w14:paraId="52C161B3">
      <w:pPr>
        <w:pStyle w:val="42"/>
        <w:spacing w:line="360" w:lineRule="auto"/>
        <w:ind w:firstLine="424" w:firstLineChars="202"/>
        <w:rPr>
          <w:rFonts w:asciiTheme="minorEastAsia" w:hAnsiTheme="minorEastAsia"/>
          <w:color w:val="auto"/>
          <w:szCs w:val="21"/>
          <w:highlight w:val="none"/>
        </w:rPr>
      </w:pPr>
      <w:r>
        <w:rPr>
          <w:rFonts w:hint="eastAsia" w:asciiTheme="minorEastAsia" w:hAnsiTheme="minorEastAsia"/>
          <w:color w:val="auto"/>
          <w:szCs w:val="21"/>
          <w:highlight w:val="none"/>
        </w:rPr>
        <w:t>2）投标函</w:t>
      </w:r>
    </w:p>
    <w:p w14:paraId="729E589D">
      <w:pPr>
        <w:pStyle w:val="42"/>
        <w:spacing w:line="360" w:lineRule="auto"/>
        <w:ind w:firstLine="424" w:firstLineChars="202"/>
        <w:rPr>
          <w:rFonts w:asciiTheme="minorEastAsia" w:hAnsiTheme="minorEastAsia"/>
          <w:color w:val="auto"/>
          <w:szCs w:val="21"/>
          <w:highlight w:val="none"/>
        </w:rPr>
      </w:pPr>
      <w:r>
        <w:rPr>
          <w:rFonts w:hint="eastAsia" w:asciiTheme="minorEastAsia" w:hAnsiTheme="minorEastAsia"/>
          <w:color w:val="auto"/>
          <w:szCs w:val="21"/>
          <w:highlight w:val="none"/>
        </w:rPr>
        <w:t>3）法定代表人资格证明及法定代表人授权书（如为法定代表人参加</w:t>
      </w:r>
      <w:r>
        <w:rPr>
          <w:rFonts w:hint="eastAsia" w:asciiTheme="minorEastAsia" w:hAnsiTheme="minorEastAsia"/>
          <w:color w:val="auto"/>
          <w:szCs w:val="21"/>
          <w:highlight w:val="none"/>
          <w:lang w:val="en-US" w:eastAsia="zh-CN"/>
        </w:rPr>
        <w:t>投标</w:t>
      </w:r>
      <w:r>
        <w:rPr>
          <w:rFonts w:hint="eastAsia" w:asciiTheme="minorEastAsia" w:hAnsiTheme="minorEastAsia"/>
          <w:color w:val="auto"/>
          <w:szCs w:val="21"/>
          <w:highlight w:val="none"/>
        </w:rPr>
        <w:t>，则只需提供</w:t>
      </w:r>
      <w:r>
        <w:rPr>
          <w:rFonts w:asciiTheme="minorEastAsia" w:hAnsiTheme="minorEastAsia"/>
          <w:color w:val="auto"/>
          <w:szCs w:val="21"/>
          <w:highlight w:val="none"/>
        </w:rPr>
        <w:t>法定代表人</w:t>
      </w:r>
      <w:r>
        <w:rPr>
          <w:rFonts w:hint="eastAsia" w:asciiTheme="minorEastAsia" w:hAnsiTheme="minorEastAsia"/>
          <w:color w:val="auto"/>
          <w:szCs w:val="21"/>
          <w:highlight w:val="none"/>
        </w:rPr>
        <w:t>资格</w:t>
      </w:r>
      <w:r>
        <w:rPr>
          <w:rFonts w:asciiTheme="minorEastAsia" w:hAnsiTheme="minorEastAsia"/>
          <w:color w:val="auto"/>
          <w:szCs w:val="21"/>
          <w:highlight w:val="none"/>
        </w:rPr>
        <w:t>证明</w:t>
      </w:r>
      <w:r>
        <w:rPr>
          <w:rFonts w:hint="eastAsia" w:asciiTheme="minorEastAsia" w:hAnsiTheme="minorEastAsia"/>
          <w:color w:val="auto"/>
          <w:szCs w:val="21"/>
          <w:highlight w:val="none"/>
        </w:rPr>
        <w:t>书）</w:t>
      </w:r>
    </w:p>
    <w:p w14:paraId="36128661">
      <w:pPr>
        <w:pStyle w:val="42"/>
        <w:spacing w:line="360" w:lineRule="auto"/>
        <w:ind w:firstLine="424" w:firstLineChars="202"/>
        <w:rPr>
          <w:color w:val="auto"/>
          <w:szCs w:val="21"/>
          <w:highlight w:val="none"/>
          <w:lang w:val="zh-CN"/>
        </w:rPr>
      </w:pPr>
      <w:r>
        <w:rPr>
          <w:rFonts w:hint="eastAsia"/>
          <w:color w:val="auto"/>
          <w:szCs w:val="21"/>
          <w:highlight w:val="none"/>
          <w:lang w:val="zh-CN"/>
        </w:rPr>
        <w:t>4)技术响应表；</w:t>
      </w:r>
      <w:r>
        <w:rPr>
          <w:rFonts w:hint="eastAsia"/>
          <w:color w:val="auto"/>
          <w:szCs w:val="21"/>
          <w:highlight w:val="none"/>
        </w:rPr>
        <w:t>如果招标文件要求投标人提供投标产品技术指标证明材料的（如官网查询截图、检测报告等），投标人应当对照招标文件要求和投标文件响应情况提供相应证明材料，否则该项技术指标视为负偏离；</w:t>
      </w:r>
    </w:p>
    <w:p w14:paraId="6C018CE3">
      <w:pPr>
        <w:pStyle w:val="42"/>
        <w:spacing w:line="360" w:lineRule="auto"/>
        <w:ind w:firstLine="424" w:firstLineChars="202"/>
        <w:rPr>
          <w:color w:val="auto"/>
          <w:szCs w:val="21"/>
          <w:highlight w:val="none"/>
          <w:lang w:val="zh-CN"/>
        </w:rPr>
      </w:pPr>
      <w:r>
        <w:rPr>
          <w:rFonts w:hint="eastAsia"/>
          <w:color w:val="auto"/>
          <w:szCs w:val="21"/>
          <w:highlight w:val="none"/>
          <w:lang w:val="zh-CN"/>
        </w:rPr>
        <w:t>5)商务响应表；</w:t>
      </w:r>
    </w:p>
    <w:p w14:paraId="16E3A328">
      <w:pPr>
        <w:pStyle w:val="42"/>
        <w:spacing w:line="360" w:lineRule="auto"/>
        <w:ind w:firstLine="424" w:firstLineChars="202"/>
        <w:rPr>
          <w:color w:val="auto"/>
          <w:szCs w:val="21"/>
          <w:highlight w:val="none"/>
          <w:lang w:val="zh-CN"/>
        </w:rPr>
      </w:pPr>
      <w:r>
        <w:rPr>
          <w:rFonts w:hint="eastAsia"/>
          <w:color w:val="auto"/>
          <w:szCs w:val="21"/>
          <w:highlight w:val="none"/>
          <w:lang w:val="zh-CN"/>
        </w:rPr>
        <w:t>6)项目组织实施方案;项目组织实施方案包括但不限于以下内容：组织机构、工作时间进度表、工作程序和步骤、管理和协调方法、关键步骤的思路和要点；</w:t>
      </w:r>
    </w:p>
    <w:p w14:paraId="2B4838BA">
      <w:pPr>
        <w:pStyle w:val="42"/>
        <w:spacing w:line="360" w:lineRule="auto"/>
        <w:ind w:firstLine="424" w:firstLineChars="202"/>
        <w:rPr>
          <w:color w:val="auto"/>
          <w:szCs w:val="21"/>
          <w:highlight w:val="none"/>
          <w:lang w:val="zh-CN"/>
        </w:rPr>
      </w:pPr>
      <w:r>
        <w:rPr>
          <w:rFonts w:hint="eastAsia"/>
          <w:color w:val="auto"/>
          <w:szCs w:val="21"/>
          <w:highlight w:val="none"/>
          <w:lang w:val="zh-CN"/>
        </w:rPr>
        <w:t>7)项目负责人情况表；</w:t>
      </w:r>
    </w:p>
    <w:p w14:paraId="4E0DCCF5">
      <w:pPr>
        <w:pStyle w:val="42"/>
        <w:spacing w:line="360" w:lineRule="auto"/>
        <w:ind w:firstLine="424" w:firstLineChars="202"/>
        <w:rPr>
          <w:color w:val="auto"/>
          <w:szCs w:val="21"/>
          <w:highlight w:val="none"/>
          <w:lang w:val="zh-CN"/>
        </w:rPr>
      </w:pPr>
      <w:r>
        <w:rPr>
          <w:rFonts w:hint="eastAsia"/>
          <w:color w:val="auto"/>
          <w:szCs w:val="21"/>
          <w:highlight w:val="none"/>
          <w:lang w:val="zh-CN"/>
        </w:rPr>
        <w:t>8)项目组人员名单；</w:t>
      </w:r>
    </w:p>
    <w:p w14:paraId="4DBD70A7">
      <w:pPr>
        <w:pStyle w:val="42"/>
        <w:spacing w:line="360" w:lineRule="auto"/>
        <w:ind w:firstLine="424" w:firstLineChars="202"/>
        <w:rPr>
          <w:color w:val="auto"/>
          <w:szCs w:val="21"/>
          <w:highlight w:val="none"/>
          <w:lang w:val="zh-CN"/>
        </w:rPr>
      </w:pPr>
      <w:r>
        <w:rPr>
          <w:rFonts w:hint="eastAsia"/>
          <w:color w:val="auto"/>
          <w:szCs w:val="21"/>
          <w:highlight w:val="none"/>
          <w:lang w:val="zh-CN"/>
        </w:rPr>
        <w:t>9)售后服务方案（如有）。售后服务方案可包含且不限于对用户故障的响应、处理、维护、售后服务机构设置等。服务承诺未明示可能涉及的前提设定和费用，视为是无条件和免费的；</w:t>
      </w:r>
    </w:p>
    <w:p w14:paraId="4378C5A1">
      <w:pPr>
        <w:pStyle w:val="42"/>
        <w:spacing w:line="360" w:lineRule="auto"/>
        <w:ind w:firstLine="424" w:firstLineChars="202"/>
        <w:rPr>
          <w:color w:val="auto"/>
          <w:szCs w:val="21"/>
          <w:highlight w:val="none"/>
          <w:lang w:val="zh-CN"/>
        </w:rPr>
      </w:pPr>
      <w:r>
        <w:rPr>
          <w:rFonts w:hint="eastAsia"/>
          <w:color w:val="auto"/>
          <w:szCs w:val="21"/>
          <w:highlight w:val="none"/>
          <w:lang w:val="zh-CN"/>
        </w:rPr>
        <w:t>10）优惠条件及特殊承诺（如有）；</w:t>
      </w:r>
    </w:p>
    <w:p w14:paraId="2E5E8503">
      <w:pPr>
        <w:spacing w:line="360" w:lineRule="auto"/>
        <w:ind w:firstLine="420" w:firstLineChars="200"/>
        <w:jc w:val="left"/>
        <w:rPr>
          <w:rFonts w:ascii="宋体" w:hAnsi="宋体"/>
          <w:color w:val="auto"/>
          <w:highlight w:val="none"/>
        </w:rPr>
      </w:pPr>
      <w:r>
        <w:rPr>
          <w:rFonts w:hint="eastAsia" w:ascii="宋体" w:hAnsi="宋体"/>
          <w:color w:val="auto"/>
          <w:highlight w:val="none"/>
        </w:rPr>
        <w:t>11）</w:t>
      </w:r>
      <w:r>
        <w:rPr>
          <w:rFonts w:hint="eastAsia" w:ascii="宋体" w:hAnsi="宋体"/>
          <w:bCs/>
          <w:color w:val="auto"/>
          <w:highlight w:val="none"/>
        </w:rPr>
        <w:t>投标人认为与评分有关的需要提供的其他资料</w:t>
      </w:r>
      <w:r>
        <w:rPr>
          <w:rFonts w:hint="eastAsia" w:ascii="宋体" w:hAnsi="宋体"/>
          <w:color w:val="auto"/>
          <w:highlight w:val="none"/>
        </w:rPr>
        <w:t>。</w:t>
      </w:r>
    </w:p>
    <w:p w14:paraId="758C689B">
      <w:pPr>
        <w:spacing w:line="360" w:lineRule="auto"/>
        <w:ind w:firstLine="420"/>
        <w:rPr>
          <w:rFonts w:ascii="宋体" w:hAnsi="宋体"/>
          <w:b/>
          <w:bCs/>
          <w:color w:val="auto"/>
          <w:szCs w:val="21"/>
          <w:highlight w:val="none"/>
        </w:rPr>
      </w:pPr>
      <w:r>
        <w:rPr>
          <w:rFonts w:hint="eastAsia" w:ascii="宋体" w:hAnsi="宋体"/>
          <w:b/>
          <w:bCs/>
          <w:color w:val="auto"/>
          <w:szCs w:val="21"/>
          <w:highlight w:val="none"/>
        </w:rPr>
        <w:t>4.2.3报价部分</w:t>
      </w:r>
    </w:p>
    <w:p w14:paraId="49AF36CC">
      <w:pPr>
        <w:tabs>
          <w:tab w:val="left" w:pos="399"/>
        </w:tabs>
        <w:spacing w:line="360" w:lineRule="auto"/>
        <w:ind w:firstLine="420"/>
        <w:rPr>
          <w:rFonts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开标一览表（</w:t>
      </w:r>
      <w:r>
        <w:rPr>
          <w:rFonts w:hint="eastAsia" w:ascii="宋体" w:hAnsi="宋体"/>
          <w:color w:val="auto"/>
          <w:szCs w:val="21"/>
          <w:highlight w:val="none"/>
        </w:rPr>
        <w:t>格式见附件</w:t>
      </w:r>
      <w:r>
        <w:rPr>
          <w:rFonts w:hint="eastAsia" w:ascii="宋体" w:hAnsi="宋体"/>
          <w:color w:val="auto"/>
          <w:szCs w:val="21"/>
          <w:highlight w:val="none"/>
          <w:lang w:val="zh-CN"/>
        </w:rPr>
        <w:t>）；</w:t>
      </w:r>
    </w:p>
    <w:p w14:paraId="01DF8ED4">
      <w:pPr>
        <w:tabs>
          <w:tab w:val="left" w:pos="399"/>
        </w:tabs>
        <w:spacing w:line="360" w:lineRule="auto"/>
        <w:ind w:firstLine="420"/>
        <w:rPr>
          <w:rFonts w:ascii="宋体" w:hAnsi="宋体"/>
          <w:color w:val="auto"/>
          <w:szCs w:val="21"/>
          <w:highlight w:val="none"/>
        </w:rPr>
      </w:pPr>
      <w:r>
        <w:rPr>
          <w:rFonts w:hint="eastAsia" w:ascii="宋体" w:hAnsi="宋体"/>
          <w:color w:val="auto"/>
          <w:szCs w:val="21"/>
          <w:highlight w:val="none"/>
        </w:rPr>
        <w:t>2）中小企业声明函</w:t>
      </w:r>
      <w:r>
        <w:rPr>
          <w:rFonts w:hint="eastAsia" w:ascii="宋体" w:hAnsi="宋体"/>
          <w:color w:val="auto"/>
          <w:szCs w:val="21"/>
          <w:highlight w:val="none"/>
          <w:lang w:val="zh-CN"/>
        </w:rPr>
        <w:t>（</w:t>
      </w:r>
      <w:r>
        <w:rPr>
          <w:rFonts w:hint="eastAsia" w:ascii="宋体" w:hAnsi="宋体"/>
          <w:color w:val="auto"/>
          <w:szCs w:val="21"/>
          <w:highlight w:val="none"/>
        </w:rPr>
        <w:t>格式见附件</w:t>
      </w:r>
      <w:r>
        <w:rPr>
          <w:rFonts w:hint="eastAsia" w:ascii="宋体" w:hAnsi="宋体"/>
          <w:color w:val="auto"/>
          <w:szCs w:val="21"/>
          <w:highlight w:val="none"/>
          <w:lang w:val="zh-CN"/>
        </w:rPr>
        <w:t>）</w:t>
      </w:r>
      <w:r>
        <w:rPr>
          <w:rFonts w:hint="eastAsia" w:ascii="宋体" w:hAnsi="宋体"/>
          <w:color w:val="auto"/>
          <w:szCs w:val="21"/>
          <w:highlight w:val="none"/>
        </w:rPr>
        <w:t>；</w:t>
      </w:r>
    </w:p>
    <w:p w14:paraId="265674B5">
      <w:pPr>
        <w:tabs>
          <w:tab w:val="left" w:pos="399"/>
        </w:tabs>
        <w:spacing w:line="360" w:lineRule="auto"/>
        <w:ind w:firstLine="420"/>
        <w:rPr>
          <w:rFonts w:ascii="宋体" w:hAnsi="宋体"/>
          <w:color w:val="auto"/>
          <w:szCs w:val="21"/>
          <w:highlight w:val="none"/>
        </w:rPr>
      </w:pPr>
      <w:r>
        <w:rPr>
          <w:rFonts w:hint="eastAsia" w:ascii="宋体" w:hAnsi="宋体"/>
          <w:color w:val="auto"/>
          <w:szCs w:val="21"/>
          <w:highlight w:val="none"/>
        </w:rPr>
        <w:t>3）残疾人福利性单位声明函</w:t>
      </w:r>
      <w:r>
        <w:rPr>
          <w:rFonts w:hint="eastAsia" w:ascii="宋体" w:hAnsi="宋体"/>
          <w:color w:val="auto"/>
          <w:szCs w:val="21"/>
          <w:highlight w:val="none"/>
          <w:lang w:val="zh-CN"/>
        </w:rPr>
        <w:t>（格式见附件）</w:t>
      </w:r>
      <w:r>
        <w:rPr>
          <w:rFonts w:hint="eastAsia" w:ascii="宋体" w:hAnsi="宋体"/>
          <w:color w:val="auto"/>
          <w:szCs w:val="21"/>
          <w:highlight w:val="none"/>
        </w:rPr>
        <w:t>；</w:t>
      </w:r>
    </w:p>
    <w:p w14:paraId="731F035B">
      <w:pPr>
        <w:tabs>
          <w:tab w:val="left" w:pos="399"/>
        </w:tabs>
        <w:spacing w:line="360" w:lineRule="auto"/>
        <w:ind w:firstLine="420"/>
        <w:rPr>
          <w:rFonts w:ascii="宋体" w:hAnsi="宋体"/>
          <w:b/>
          <w:bCs/>
          <w:color w:val="auto"/>
          <w:szCs w:val="21"/>
          <w:highlight w:val="none"/>
        </w:rPr>
      </w:pPr>
      <w:r>
        <w:rPr>
          <w:rFonts w:hint="eastAsia" w:ascii="宋体" w:hAnsi="宋体"/>
          <w:color w:val="auto"/>
          <w:szCs w:val="21"/>
          <w:highlight w:val="none"/>
        </w:rPr>
        <w:t>4）投标供应商针对报价需要说明的其他文件和说明，格式自拟。</w:t>
      </w:r>
    </w:p>
    <w:p w14:paraId="28FF47FB">
      <w:pPr>
        <w:spacing w:line="360" w:lineRule="auto"/>
        <w:ind w:firstLine="420"/>
        <w:rPr>
          <w:rFonts w:ascii="宋体" w:hAnsi="宋体"/>
          <w:b/>
          <w:bCs/>
          <w:color w:val="auto"/>
          <w:szCs w:val="21"/>
          <w:highlight w:val="none"/>
        </w:rPr>
      </w:pPr>
      <w:r>
        <w:rPr>
          <w:rFonts w:hint="eastAsia" w:ascii="宋体" w:hAnsi="宋体"/>
          <w:b/>
          <w:bCs/>
          <w:color w:val="auto"/>
          <w:szCs w:val="21"/>
          <w:highlight w:val="none"/>
        </w:rPr>
        <w:t>4.2.4注意事项：投标供应商提供的各类资信证明文件必须是真实可靠且在有效期内的，否则有可能导致被认定为无效、取消投标资格等后果。未按技术资信文件需要提供的资料和顺序标注页码并编制目录的投标文件，其不利于评审的风险由投标供应商自行承担。</w:t>
      </w:r>
    </w:p>
    <w:p w14:paraId="168EEB46">
      <w:pPr>
        <w:spacing w:line="360" w:lineRule="auto"/>
        <w:ind w:firstLine="420"/>
        <w:rPr>
          <w:rFonts w:ascii="宋体" w:hAnsi="宋体"/>
          <w:color w:val="auto"/>
          <w:szCs w:val="21"/>
          <w:highlight w:val="none"/>
        </w:rPr>
      </w:pPr>
      <w:r>
        <w:rPr>
          <w:rFonts w:hint="eastAsia" w:ascii="宋体" w:hAnsi="宋体"/>
          <w:color w:val="auto"/>
          <w:szCs w:val="21"/>
          <w:highlight w:val="none"/>
        </w:rPr>
        <w:t>4.3、投标文件的编制</w:t>
      </w:r>
    </w:p>
    <w:p w14:paraId="0621E2B1">
      <w:pPr>
        <w:spacing w:line="360" w:lineRule="auto"/>
        <w:ind w:firstLine="420"/>
        <w:rPr>
          <w:rFonts w:ascii="宋体" w:hAnsi="宋体"/>
          <w:color w:val="auto"/>
          <w:szCs w:val="21"/>
          <w:highlight w:val="none"/>
        </w:rPr>
      </w:pPr>
      <w:r>
        <w:rPr>
          <w:rFonts w:hint="eastAsia" w:ascii="宋体" w:hAnsi="宋体"/>
          <w:color w:val="auto"/>
          <w:szCs w:val="21"/>
          <w:highlight w:val="none"/>
        </w:rPr>
        <w:t>4.3.1本项目通过“政府采购云平台（www.zcygov.cn）”实行在线投标响应（电子投标）。供应商应通过“政采云电子交易客户端”，并按照本采购文件和“政府采购云平台”的要求编制并加密投标文件。</w:t>
      </w:r>
    </w:p>
    <w:p w14:paraId="557D827A">
      <w:pPr>
        <w:spacing w:line="360" w:lineRule="auto"/>
        <w:ind w:firstLine="420"/>
        <w:rPr>
          <w:rFonts w:ascii="宋体" w:hAnsi="宋体"/>
          <w:color w:val="auto"/>
          <w:szCs w:val="21"/>
          <w:highlight w:val="none"/>
        </w:rPr>
      </w:pPr>
      <w:r>
        <w:rPr>
          <w:rFonts w:hint="eastAsia" w:ascii="宋体" w:hAnsi="宋体"/>
          <w:color w:val="auto"/>
          <w:szCs w:val="21"/>
          <w:highlight w:val="none"/>
        </w:rPr>
        <w:t>4.3.2投标供应商应当按照本章4.2款中规定的内容及顺序在“政采云电子交易客户端”编制投标文件。其中《资格证明文件》和《资信技术文件》中不得出现本项目投标报价，如因投标供应商原因提前泄露投标报价，是投标供应商的责任。</w:t>
      </w:r>
    </w:p>
    <w:p w14:paraId="73706530">
      <w:pPr>
        <w:spacing w:line="360" w:lineRule="auto"/>
        <w:ind w:firstLine="420"/>
        <w:rPr>
          <w:rFonts w:ascii="宋体" w:hAnsi="宋体"/>
          <w:color w:val="auto"/>
          <w:szCs w:val="21"/>
          <w:highlight w:val="none"/>
        </w:rPr>
      </w:pPr>
      <w:r>
        <w:rPr>
          <w:rFonts w:hint="eastAsia" w:ascii="宋体" w:hAnsi="宋体"/>
          <w:color w:val="auto"/>
          <w:szCs w:val="21"/>
          <w:highlight w:val="none"/>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4F8878E0">
      <w:pPr>
        <w:spacing w:line="360" w:lineRule="auto"/>
        <w:ind w:firstLine="420"/>
        <w:rPr>
          <w:rFonts w:ascii="宋体" w:hAnsi="宋体"/>
          <w:color w:val="auto"/>
          <w:szCs w:val="21"/>
          <w:highlight w:val="none"/>
        </w:rPr>
      </w:pPr>
      <w:r>
        <w:rPr>
          <w:rFonts w:hint="eastAsia" w:ascii="宋体" w:hAnsi="宋体"/>
          <w:color w:val="auto"/>
          <w:szCs w:val="21"/>
          <w:highlight w:val="none"/>
        </w:rPr>
        <w:t>4.3.4投标文件应当对采购文件规定的内容进行明确，对采购文件规定的实质性内容应当作出响应。</w:t>
      </w:r>
    </w:p>
    <w:p w14:paraId="2815DE74">
      <w:pPr>
        <w:spacing w:line="360" w:lineRule="auto"/>
        <w:ind w:firstLine="420"/>
        <w:rPr>
          <w:rFonts w:ascii="宋体" w:hAnsi="宋体"/>
          <w:color w:val="auto"/>
          <w:szCs w:val="21"/>
          <w:highlight w:val="none"/>
        </w:rPr>
      </w:pPr>
      <w:r>
        <w:rPr>
          <w:rFonts w:hint="eastAsia" w:ascii="宋体" w:hAnsi="宋体"/>
          <w:color w:val="auto"/>
          <w:szCs w:val="21"/>
          <w:highlight w:val="none"/>
        </w:rPr>
        <w:t>4.3.5投标文件由于字迹模糊或表达不清引起的后果由投标供应商负责。</w:t>
      </w:r>
    </w:p>
    <w:p w14:paraId="6F4D8DAD">
      <w:pPr>
        <w:spacing w:line="360" w:lineRule="auto"/>
        <w:ind w:firstLine="420"/>
        <w:rPr>
          <w:rFonts w:ascii="宋体" w:hAnsi="宋体"/>
          <w:color w:val="auto"/>
          <w:szCs w:val="21"/>
          <w:highlight w:val="none"/>
        </w:rPr>
      </w:pPr>
      <w:r>
        <w:rPr>
          <w:rFonts w:hint="eastAsia" w:ascii="宋体" w:hAnsi="宋体"/>
          <w:color w:val="auto"/>
          <w:szCs w:val="21"/>
          <w:highlight w:val="none"/>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48155FE7">
      <w:pPr>
        <w:spacing w:line="360" w:lineRule="auto"/>
        <w:ind w:firstLine="420"/>
        <w:rPr>
          <w:rFonts w:ascii="宋体" w:hAnsi="宋体"/>
          <w:color w:val="auto"/>
          <w:szCs w:val="21"/>
          <w:highlight w:val="none"/>
        </w:rPr>
      </w:pPr>
      <w:r>
        <w:rPr>
          <w:rFonts w:hint="eastAsia" w:ascii="宋体" w:hAnsi="宋体"/>
          <w:color w:val="auto"/>
          <w:szCs w:val="21"/>
          <w:highlight w:val="none"/>
        </w:rPr>
        <w:t>4.4、投标报价</w:t>
      </w:r>
    </w:p>
    <w:p w14:paraId="639727A4">
      <w:pPr>
        <w:spacing w:line="360" w:lineRule="auto"/>
        <w:ind w:firstLine="420"/>
        <w:rPr>
          <w:rFonts w:ascii="宋体" w:hAnsi="宋体"/>
          <w:color w:val="auto"/>
          <w:szCs w:val="21"/>
          <w:highlight w:val="none"/>
          <w:u w:val="thick"/>
        </w:rPr>
      </w:pPr>
      <w:r>
        <w:rPr>
          <w:rFonts w:hint="eastAsia" w:ascii="宋体" w:hAnsi="宋体"/>
          <w:color w:val="auto"/>
          <w:szCs w:val="21"/>
          <w:highlight w:val="none"/>
        </w:rPr>
        <w:t>4.4.1 ★</w:t>
      </w:r>
      <w:r>
        <w:rPr>
          <w:rFonts w:hint="eastAsia" w:ascii="宋体" w:hAnsi="宋体"/>
          <w:b/>
          <w:color w:val="auto"/>
          <w:szCs w:val="21"/>
          <w:highlight w:val="none"/>
          <w:u w:val="thick"/>
        </w:rPr>
        <w:t>本次投标报价为</w:t>
      </w:r>
      <w:r>
        <w:rPr>
          <w:rFonts w:hint="eastAsia" w:ascii="宋体" w:hAnsi="宋体"/>
          <w:b/>
          <w:color w:val="auto"/>
          <w:szCs w:val="21"/>
          <w:highlight w:val="none"/>
          <w:u w:val="thick"/>
          <w:lang w:val="en-US" w:eastAsia="zh-CN"/>
        </w:rPr>
        <w:t>统一折扣率</w:t>
      </w:r>
      <w:r>
        <w:rPr>
          <w:rFonts w:hint="eastAsia" w:ascii="宋体" w:hAnsi="宋体"/>
          <w:color w:val="auto"/>
          <w:szCs w:val="21"/>
          <w:highlight w:val="none"/>
          <w:u w:val="thick"/>
        </w:rPr>
        <w:t>。</w:t>
      </w:r>
      <w:r>
        <w:rPr>
          <w:rFonts w:hint="eastAsia" w:ascii="宋体" w:hAnsi="宋体"/>
          <w:b/>
          <w:color w:val="auto"/>
          <w:szCs w:val="21"/>
          <w:highlight w:val="none"/>
          <w:u w:val="thick"/>
        </w:rPr>
        <w:t>（</w:t>
      </w:r>
      <w:r>
        <w:rPr>
          <w:rFonts w:hint="eastAsia" w:ascii="宋体" w:hAnsi="宋体"/>
          <w:b/>
          <w:color w:val="auto"/>
          <w:szCs w:val="21"/>
          <w:highlight w:val="none"/>
          <w:u w:val="thick"/>
          <w:lang w:val="en-US" w:eastAsia="zh-CN"/>
        </w:rPr>
        <w:t>预算价</w:t>
      </w:r>
      <w:r>
        <w:rPr>
          <w:rFonts w:hint="eastAsia" w:ascii="宋体" w:hAnsi="宋体"/>
          <w:b/>
          <w:color w:val="auto"/>
          <w:szCs w:val="21"/>
          <w:highlight w:val="none"/>
          <w:u w:val="thick"/>
        </w:rPr>
        <w:t>：标段一：41万元；标段二：24万元；标段三：65万元）</w:t>
      </w:r>
    </w:p>
    <w:p w14:paraId="1DE8547D">
      <w:pPr>
        <w:spacing w:line="360" w:lineRule="auto"/>
        <w:ind w:firstLine="420"/>
        <w:rPr>
          <w:rFonts w:ascii="宋体" w:hAnsi="宋体"/>
          <w:color w:val="auto"/>
          <w:szCs w:val="21"/>
          <w:highlight w:val="none"/>
        </w:rPr>
      </w:pPr>
      <w:r>
        <w:rPr>
          <w:rFonts w:hint="eastAsia" w:ascii="宋体" w:hAnsi="宋体"/>
          <w:color w:val="auto"/>
          <w:szCs w:val="21"/>
          <w:highlight w:val="none"/>
        </w:rPr>
        <w:t>4.4.2费用须包含产品价、运杂费、保险费、利润、关税（若有）、税金等。投标供应商根据采购文件的要求，将产品供货、包装、安装、调试、检验、检测、通过验收直至交付使用单位，达到使用要求及质量标准、质保期服务所需的全部费用及招标代理服务费均包含在总价之中。投标供应商的报价应按采购文件要求的格式、顺序编制。</w:t>
      </w:r>
    </w:p>
    <w:p w14:paraId="4EDD3D82">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hint="eastAsia" w:ascii="宋体" w:hAnsi="宋体"/>
          <w:bCs/>
          <w:color w:val="auto"/>
          <w:szCs w:val="21"/>
          <w:highlight w:val="none"/>
        </w:rPr>
        <w:t xml:space="preserve">4.3 </w:t>
      </w:r>
      <w:r>
        <w:rPr>
          <w:rFonts w:hint="eastAsia" w:ascii="宋体" w:hAnsi="宋体"/>
          <w:color w:val="auto"/>
          <w:szCs w:val="21"/>
          <w:highlight w:val="none"/>
        </w:rPr>
        <w:t>投标报价应按不同费用类别分开填写，具体详见“投标文件格式”。</w:t>
      </w:r>
    </w:p>
    <w:p w14:paraId="79F12B55">
      <w:pPr>
        <w:spacing w:line="360" w:lineRule="auto"/>
        <w:ind w:firstLine="420"/>
        <w:rPr>
          <w:rFonts w:ascii="宋体" w:hAnsi="宋体"/>
          <w:b/>
          <w:color w:val="auto"/>
          <w:szCs w:val="21"/>
          <w:highlight w:val="none"/>
          <w:u w:val="thick"/>
        </w:rPr>
      </w:pPr>
      <w:r>
        <w:rPr>
          <w:rFonts w:hint="eastAsia" w:ascii="宋体" w:hAnsi="宋体"/>
          <w:color w:val="auto"/>
          <w:szCs w:val="21"/>
          <w:highlight w:val="none"/>
        </w:rPr>
        <w:t>4.4.4 ★</w:t>
      </w:r>
      <w:r>
        <w:rPr>
          <w:rFonts w:hint="eastAsia" w:ascii="宋体" w:hAnsi="宋体"/>
          <w:b/>
          <w:color w:val="auto"/>
          <w:szCs w:val="21"/>
          <w:highlight w:val="none"/>
          <w:u w:val="thick"/>
        </w:rPr>
        <w:t>所投标项只允许有一个报价，不接受有选择报价的投标文件。</w:t>
      </w:r>
    </w:p>
    <w:p w14:paraId="0022FCD2">
      <w:pPr>
        <w:spacing w:line="360" w:lineRule="auto"/>
        <w:ind w:firstLine="420"/>
        <w:rPr>
          <w:rFonts w:ascii="宋体" w:hAnsi="宋体"/>
          <w:color w:val="auto"/>
          <w:szCs w:val="21"/>
          <w:highlight w:val="none"/>
        </w:rPr>
      </w:pPr>
      <w:r>
        <w:rPr>
          <w:rFonts w:hint="eastAsia" w:ascii="宋体" w:hAnsi="宋体"/>
          <w:color w:val="auto"/>
          <w:szCs w:val="21"/>
          <w:highlight w:val="none"/>
        </w:rPr>
        <w:t>4.5、投标保证金</w:t>
      </w:r>
    </w:p>
    <w:p w14:paraId="1EDDDCAD">
      <w:pPr>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本项目不收取投标保证金。但违反政府采购相关规定给采购人造成损失的，投标供应商应当承担赔偿责任。</w:t>
      </w:r>
    </w:p>
    <w:p w14:paraId="4E2C8FA4">
      <w:pPr>
        <w:spacing w:line="360" w:lineRule="auto"/>
        <w:ind w:firstLine="420"/>
        <w:rPr>
          <w:rFonts w:ascii="宋体" w:hAnsi="宋体"/>
          <w:color w:val="auto"/>
          <w:szCs w:val="21"/>
          <w:highlight w:val="none"/>
        </w:rPr>
      </w:pPr>
      <w:r>
        <w:rPr>
          <w:rFonts w:hint="eastAsia" w:ascii="宋体" w:hAnsi="宋体"/>
          <w:color w:val="auto"/>
          <w:szCs w:val="21"/>
          <w:highlight w:val="none"/>
        </w:rPr>
        <w:t>4.6、投标文件有效期</w:t>
      </w:r>
    </w:p>
    <w:p w14:paraId="51C07F9C">
      <w:pPr>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4.6.1 投标文件在开标之日起90个日历天内有效。</w:t>
      </w:r>
    </w:p>
    <w:p w14:paraId="09612E58">
      <w:pPr>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4.6.2 在原定投标有效期满之前，如果出现特殊情况，采购人可以以书面形式向投标供应商提出延长投标有效期的要求。这种要求与答复均应采用书面形式如传真或信件等。投标供应商可以拒绝接受采购人的这种要求而放弃投标。接受延长投标有效期的投标供应商将不会被要求和允许修正其投标。</w:t>
      </w:r>
    </w:p>
    <w:p w14:paraId="3F2E1D7C">
      <w:pPr>
        <w:spacing w:line="360" w:lineRule="auto"/>
        <w:ind w:firstLine="420"/>
        <w:rPr>
          <w:rFonts w:ascii="宋体" w:hAnsi="宋体"/>
          <w:color w:val="auto"/>
          <w:szCs w:val="21"/>
          <w:highlight w:val="none"/>
        </w:rPr>
      </w:pPr>
      <w:r>
        <w:rPr>
          <w:rFonts w:hint="eastAsia" w:ascii="宋体" w:hAnsi="宋体"/>
          <w:snapToGrid w:val="0"/>
          <w:color w:val="auto"/>
          <w:kern w:val="0"/>
          <w:szCs w:val="21"/>
          <w:highlight w:val="none"/>
        </w:rPr>
        <w:t>4.6.3 中标供应商的投标文件自开标之日起至合同履行完毕止均应保持有效。</w:t>
      </w:r>
    </w:p>
    <w:p w14:paraId="28A0D341">
      <w:pPr>
        <w:spacing w:line="360" w:lineRule="auto"/>
        <w:ind w:firstLine="420"/>
        <w:rPr>
          <w:rFonts w:ascii="宋体" w:hAnsi="宋体"/>
          <w:color w:val="auto"/>
          <w:szCs w:val="21"/>
          <w:highlight w:val="none"/>
        </w:rPr>
      </w:pPr>
      <w:r>
        <w:rPr>
          <w:rFonts w:hint="eastAsia" w:ascii="宋体" w:hAnsi="宋体"/>
          <w:color w:val="auto"/>
          <w:szCs w:val="21"/>
          <w:highlight w:val="none"/>
        </w:rPr>
        <w:t>4.7、投标文件的式样</w:t>
      </w:r>
    </w:p>
    <w:p w14:paraId="4852FF36">
      <w:pPr>
        <w:spacing w:line="360" w:lineRule="auto"/>
        <w:ind w:firstLine="420"/>
        <w:rPr>
          <w:rFonts w:ascii="宋体" w:hAnsi="宋体"/>
          <w:color w:val="auto"/>
          <w:szCs w:val="21"/>
          <w:highlight w:val="none"/>
        </w:rPr>
      </w:pPr>
      <w:r>
        <w:rPr>
          <w:rFonts w:hint="eastAsia" w:ascii="宋体" w:hAnsi="宋体"/>
          <w:color w:val="auto"/>
          <w:szCs w:val="21"/>
          <w:highlight w:val="none"/>
        </w:rPr>
        <w:t>4.7.1 投标供应商通过“政采云”平台制作电子投标文件，投标文件制作详见“供应商-政府采购项目电子交易操作指南”。</w:t>
      </w:r>
    </w:p>
    <w:p w14:paraId="0F4ED4D5">
      <w:pPr>
        <w:spacing w:line="360" w:lineRule="auto"/>
        <w:ind w:firstLine="420"/>
        <w:rPr>
          <w:rFonts w:ascii="宋体" w:hAnsi="宋体"/>
          <w:color w:val="auto"/>
          <w:szCs w:val="21"/>
          <w:highlight w:val="none"/>
        </w:rPr>
      </w:pPr>
      <w:r>
        <w:rPr>
          <w:rFonts w:hint="eastAsia" w:ascii="宋体" w:hAnsi="宋体"/>
          <w:color w:val="auto"/>
          <w:szCs w:val="21"/>
          <w:highlight w:val="none"/>
        </w:rPr>
        <w:t>4.7.2 投标文件是电子投标文件，包括“电子加密投标文件”和“备份投标文件”，在投标文件编制完成后同时生成。</w:t>
      </w:r>
    </w:p>
    <w:p w14:paraId="48360ADB">
      <w:pPr>
        <w:spacing w:line="360" w:lineRule="auto"/>
        <w:ind w:firstLine="420"/>
        <w:rPr>
          <w:rFonts w:ascii="宋体" w:hAnsi="宋体"/>
          <w:color w:val="auto"/>
          <w:szCs w:val="21"/>
          <w:highlight w:val="none"/>
        </w:rPr>
      </w:pPr>
      <w:r>
        <w:rPr>
          <w:rFonts w:hint="eastAsia" w:ascii="宋体" w:hAnsi="宋体"/>
          <w:color w:val="auto"/>
          <w:szCs w:val="21"/>
          <w:highlight w:val="none"/>
        </w:rPr>
        <w:t>（1）“电子加密投标文件”是指通过“政采云电子交易客户端”完成投标文件编制后生成并加密的数据电文形式的投标文件。</w:t>
      </w:r>
    </w:p>
    <w:p w14:paraId="1058164F">
      <w:pPr>
        <w:spacing w:line="360" w:lineRule="auto"/>
        <w:ind w:firstLine="420"/>
        <w:rPr>
          <w:rFonts w:ascii="宋体" w:hAnsi="宋体"/>
          <w:color w:val="auto"/>
          <w:szCs w:val="21"/>
          <w:highlight w:val="none"/>
        </w:rPr>
      </w:pPr>
      <w:r>
        <w:rPr>
          <w:rFonts w:hint="eastAsia" w:ascii="宋体" w:hAnsi="宋体"/>
          <w:color w:val="auto"/>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14:paraId="27B52926">
      <w:pPr>
        <w:spacing w:line="360" w:lineRule="auto"/>
        <w:ind w:firstLine="420"/>
        <w:rPr>
          <w:rFonts w:ascii="宋体" w:hAnsi="宋体"/>
          <w:color w:val="auto"/>
          <w:szCs w:val="21"/>
          <w:highlight w:val="none"/>
        </w:rPr>
      </w:pPr>
      <w:r>
        <w:rPr>
          <w:rFonts w:hint="eastAsia" w:ascii="宋体" w:hAnsi="宋体"/>
          <w:color w:val="auto"/>
          <w:szCs w:val="21"/>
          <w:highlight w:val="none"/>
        </w:rPr>
        <w:t>（3）一份电子加密标书（后缀格式为.jmbs），一份备份标书文件（后缀格式为.bfbs）</w:t>
      </w:r>
    </w:p>
    <w:p w14:paraId="42DC8050">
      <w:pPr>
        <w:spacing w:line="360" w:lineRule="auto"/>
        <w:ind w:firstLine="420"/>
        <w:rPr>
          <w:rFonts w:ascii="宋体" w:hAnsi="宋体"/>
          <w:color w:val="auto"/>
          <w:szCs w:val="21"/>
          <w:highlight w:val="none"/>
        </w:rPr>
      </w:pPr>
      <w:r>
        <w:rPr>
          <w:rFonts w:hint="eastAsia" w:ascii="宋体" w:hAnsi="宋体"/>
          <w:color w:val="auto"/>
          <w:szCs w:val="21"/>
          <w:highlight w:val="none"/>
        </w:rPr>
        <w:t>（4）每份电子投标文件应包括资格证明文件、资信技术文件、报价文件三部分内容。</w:t>
      </w:r>
    </w:p>
    <w:p w14:paraId="379CCDA0">
      <w:pPr>
        <w:spacing w:line="360" w:lineRule="auto"/>
        <w:ind w:firstLine="420"/>
        <w:rPr>
          <w:rFonts w:ascii="宋体" w:hAnsi="宋体"/>
          <w:color w:val="auto"/>
          <w:szCs w:val="21"/>
          <w:highlight w:val="none"/>
        </w:rPr>
      </w:pPr>
      <w:r>
        <w:rPr>
          <w:rFonts w:hint="eastAsia" w:ascii="宋体" w:hAnsi="宋体"/>
          <w:color w:val="auto"/>
          <w:szCs w:val="21"/>
          <w:highlight w:val="none"/>
        </w:rPr>
        <w:t>4.7.3 投标文件中投标函、</w:t>
      </w:r>
      <w:r>
        <w:rPr>
          <w:rFonts w:hint="eastAsia" w:ascii="宋体" w:hAnsi="宋体"/>
          <w:color w:val="auto"/>
          <w:szCs w:val="21"/>
          <w:highlight w:val="none"/>
          <w:lang w:val="zh-CN"/>
        </w:rPr>
        <w:t>法定代表人授权委托书</w:t>
      </w:r>
      <w:r>
        <w:rPr>
          <w:rFonts w:hint="eastAsia" w:ascii="宋体" w:hAnsi="宋体"/>
          <w:color w:val="auto"/>
          <w:szCs w:val="21"/>
          <w:highlight w:val="none"/>
        </w:rPr>
        <w:t>的格式、签字、盖章及内容均应符合采购文件格式要求，否则投标文件无效。</w:t>
      </w:r>
    </w:p>
    <w:p w14:paraId="0D19EA42">
      <w:pPr>
        <w:spacing w:line="360" w:lineRule="auto"/>
        <w:ind w:firstLine="420"/>
        <w:rPr>
          <w:rFonts w:ascii="宋体" w:hAnsi="宋体"/>
          <w:color w:val="auto"/>
          <w:szCs w:val="21"/>
          <w:highlight w:val="none"/>
        </w:rPr>
      </w:pPr>
      <w:r>
        <w:rPr>
          <w:rFonts w:hint="eastAsia" w:ascii="宋体" w:hAnsi="宋体"/>
          <w:color w:val="auto"/>
          <w:szCs w:val="21"/>
          <w:highlight w:val="none"/>
        </w:rPr>
        <w:t>4.7.4投标供应商应根据“政采云供应商项目采购-电子招投标操作指南”及本采购文件规定编制电子投标文件并进行关联定位，以便评标委员会在评标时，点击评分项，可直接定位到该评分项内容。</w:t>
      </w:r>
    </w:p>
    <w:p w14:paraId="3C82CDB7">
      <w:pPr>
        <w:spacing w:line="360" w:lineRule="auto"/>
        <w:ind w:firstLine="420"/>
        <w:rPr>
          <w:rFonts w:ascii="宋体" w:hAnsi="宋体"/>
          <w:color w:val="auto"/>
          <w:szCs w:val="21"/>
          <w:highlight w:val="none"/>
        </w:rPr>
      </w:pPr>
      <w:r>
        <w:rPr>
          <w:rFonts w:hint="eastAsia" w:ascii="宋体" w:hAnsi="宋体"/>
          <w:color w:val="auto"/>
          <w:szCs w:val="21"/>
          <w:highlight w:val="none"/>
        </w:rPr>
        <w:t>如对采购文件的某项要求，投标供应商的投标响应文件未能提供相应的内容与其对应，则评标委员会在评审时会提示投标供应商未对此项招标要求提供相应内容。由此产生的评分影响由投标供应商自行承担。</w:t>
      </w:r>
    </w:p>
    <w:p w14:paraId="4C5EB642">
      <w:pPr>
        <w:spacing w:line="360" w:lineRule="auto"/>
        <w:ind w:firstLine="420"/>
        <w:rPr>
          <w:rFonts w:ascii="宋体" w:hAnsi="宋体"/>
          <w:color w:val="auto"/>
          <w:szCs w:val="21"/>
          <w:highlight w:val="none"/>
        </w:rPr>
      </w:pPr>
      <w:r>
        <w:rPr>
          <w:rFonts w:hint="eastAsia" w:ascii="宋体" w:hAnsi="宋体"/>
          <w:color w:val="auto"/>
          <w:szCs w:val="21"/>
          <w:highlight w:val="none"/>
        </w:rPr>
        <w:t>投标文件内容不完整、编排混乱导致投标文件被误读、漏读，或者在按采购文件规定的部分查找不到相关内容的，是投标供应商的责任。</w:t>
      </w:r>
    </w:p>
    <w:bookmarkEnd w:id="83"/>
    <w:bookmarkEnd w:id="84"/>
    <w:p w14:paraId="5F90D19F">
      <w:pPr>
        <w:pStyle w:val="3"/>
        <w:ind w:firstLine="420"/>
        <w:jc w:val="center"/>
        <w:rPr>
          <w:rFonts w:ascii="宋体" w:hAnsi="宋体" w:cs="宋体"/>
          <w:color w:val="auto"/>
          <w:sz w:val="21"/>
          <w:szCs w:val="21"/>
          <w:highlight w:val="none"/>
        </w:rPr>
      </w:pPr>
      <w:bookmarkStart w:id="85" w:name="_Toc107927461"/>
      <w:bookmarkStart w:id="86" w:name="_Toc107927537"/>
      <w:bookmarkStart w:id="87" w:name="_Toc450482499"/>
      <w:bookmarkStart w:id="88" w:name="_Toc35261574"/>
      <w:bookmarkStart w:id="89" w:name="_Toc54978893"/>
      <w:r>
        <w:rPr>
          <w:rFonts w:hint="eastAsia" w:ascii="宋体" w:hAnsi="宋体" w:cs="宋体"/>
          <w:color w:val="auto"/>
          <w:sz w:val="21"/>
          <w:szCs w:val="21"/>
          <w:highlight w:val="none"/>
        </w:rPr>
        <w:t>五、投标</w:t>
      </w:r>
      <w:bookmarkEnd w:id="85"/>
      <w:bookmarkEnd w:id="86"/>
      <w:bookmarkEnd w:id="87"/>
      <w:bookmarkEnd w:id="88"/>
      <w:bookmarkEnd w:id="89"/>
    </w:p>
    <w:p w14:paraId="2F1D2C1A">
      <w:pPr>
        <w:spacing w:line="360" w:lineRule="auto"/>
        <w:ind w:firstLine="420"/>
        <w:rPr>
          <w:rFonts w:ascii="宋体" w:hAnsi="宋体"/>
          <w:color w:val="auto"/>
          <w:szCs w:val="21"/>
          <w:highlight w:val="none"/>
        </w:rPr>
      </w:pPr>
      <w:r>
        <w:rPr>
          <w:rFonts w:hint="eastAsia" w:ascii="宋体" w:hAnsi="宋体"/>
          <w:color w:val="auto"/>
          <w:szCs w:val="21"/>
          <w:highlight w:val="none"/>
        </w:rPr>
        <w:t>5.1、投标文件的上传、递交</w:t>
      </w:r>
    </w:p>
    <w:p w14:paraId="32C5374F">
      <w:pPr>
        <w:spacing w:line="360" w:lineRule="auto"/>
        <w:ind w:firstLine="420"/>
        <w:rPr>
          <w:rFonts w:ascii="宋体" w:hAnsi="宋体"/>
          <w:color w:val="auto"/>
          <w:szCs w:val="21"/>
          <w:highlight w:val="none"/>
        </w:rPr>
      </w:pPr>
      <w:r>
        <w:rPr>
          <w:rFonts w:hint="eastAsia" w:ascii="宋体" w:hAnsi="宋体"/>
          <w:color w:val="auto"/>
          <w:szCs w:val="21"/>
          <w:highlight w:val="none"/>
        </w:rPr>
        <w:t>5.1.1电子加密投标文件的上传、递交：</w:t>
      </w:r>
    </w:p>
    <w:p w14:paraId="1DFE4AB9">
      <w:pPr>
        <w:spacing w:line="360" w:lineRule="auto"/>
        <w:ind w:firstLine="420"/>
        <w:rPr>
          <w:rFonts w:ascii="宋体" w:hAnsi="宋体"/>
          <w:color w:val="auto"/>
          <w:szCs w:val="21"/>
          <w:highlight w:val="none"/>
        </w:rPr>
      </w:pPr>
      <w:r>
        <w:rPr>
          <w:rFonts w:hint="eastAsia" w:ascii="宋体" w:hAnsi="宋体"/>
          <w:color w:val="auto"/>
          <w:szCs w:val="21"/>
          <w:highlight w:val="none"/>
        </w:rPr>
        <w:t>（1）投标供应商应在投标截止时间前将“电子加密投标文件”成功上传递交至“政府采购云平台”，否则投标无效。</w:t>
      </w:r>
    </w:p>
    <w:p w14:paraId="61433E83">
      <w:pPr>
        <w:spacing w:line="360" w:lineRule="auto"/>
        <w:ind w:firstLine="420"/>
        <w:rPr>
          <w:rFonts w:ascii="宋体" w:hAnsi="宋体"/>
          <w:color w:val="auto"/>
          <w:szCs w:val="21"/>
          <w:highlight w:val="none"/>
        </w:rPr>
      </w:pPr>
      <w:r>
        <w:rPr>
          <w:rFonts w:hint="eastAsia" w:ascii="宋体" w:hAnsi="宋体"/>
          <w:color w:val="auto"/>
          <w:szCs w:val="21"/>
          <w:highlight w:val="none"/>
        </w:rPr>
        <w:t>（2）“电子加密投标文件”成功上传递交后，供应商可自行打印投标文件接收回执。</w:t>
      </w:r>
    </w:p>
    <w:p w14:paraId="2ECF0726">
      <w:pPr>
        <w:spacing w:line="360" w:lineRule="auto"/>
        <w:ind w:firstLine="420"/>
        <w:rPr>
          <w:rFonts w:ascii="宋体" w:hAnsi="宋体"/>
          <w:color w:val="auto"/>
          <w:szCs w:val="21"/>
          <w:highlight w:val="none"/>
        </w:rPr>
      </w:pPr>
      <w:r>
        <w:rPr>
          <w:rFonts w:hint="eastAsia" w:ascii="宋体" w:hAnsi="宋体"/>
          <w:color w:val="auto"/>
          <w:szCs w:val="21"/>
          <w:highlight w:val="none"/>
        </w:rPr>
        <w:t>5.1.2备份投标文件的密封包装、递交：</w:t>
      </w:r>
    </w:p>
    <w:p w14:paraId="4189D744">
      <w:pPr>
        <w:spacing w:line="360" w:lineRule="auto"/>
        <w:ind w:firstLine="420"/>
        <w:rPr>
          <w:rFonts w:ascii="宋体" w:hAnsi="宋体"/>
          <w:color w:val="auto"/>
          <w:szCs w:val="21"/>
          <w:highlight w:val="none"/>
        </w:rPr>
      </w:pPr>
      <w:r>
        <w:rPr>
          <w:rFonts w:hint="eastAsia" w:ascii="宋体" w:hAnsi="宋体"/>
          <w:color w:val="auto"/>
          <w:szCs w:val="21"/>
          <w:highlight w:val="none"/>
        </w:rPr>
        <w:t>（1）投标供应商在“政府采购云平台”完成“电子加密投标文件”的上传递交后，还可以（邮寄形式）在投标截止时间前递交以介质（U盘）存储的“备份投标文件”（一份）；</w:t>
      </w:r>
    </w:p>
    <w:p w14:paraId="5D01A64D">
      <w:pPr>
        <w:spacing w:line="360" w:lineRule="auto"/>
        <w:ind w:firstLine="420"/>
        <w:rPr>
          <w:rFonts w:ascii="宋体" w:hAnsi="宋体"/>
          <w:color w:val="auto"/>
          <w:szCs w:val="21"/>
          <w:highlight w:val="none"/>
        </w:rPr>
      </w:pPr>
      <w:r>
        <w:rPr>
          <w:rFonts w:hint="eastAsia" w:ascii="宋体" w:hAnsi="宋体"/>
          <w:color w:val="auto"/>
          <w:szCs w:val="21"/>
          <w:highlight w:val="none"/>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14:paraId="12720476">
      <w:pPr>
        <w:spacing w:line="360" w:lineRule="auto"/>
        <w:ind w:firstLine="420"/>
        <w:rPr>
          <w:rFonts w:ascii="宋体" w:hAnsi="宋体"/>
          <w:color w:val="auto"/>
          <w:szCs w:val="21"/>
          <w:highlight w:val="none"/>
        </w:rPr>
      </w:pPr>
      <w:r>
        <w:rPr>
          <w:rFonts w:hint="eastAsia" w:ascii="宋体" w:hAnsi="宋体"/>
          <w:color w:val="auto"/>
          <w:szCs w:val="21"/>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43F9414">
      <w:pPr>
        <w:spacing w:line="360" w:lineRule="auto"/>
        <w:ind w:firstLine="420"/>
        <w:rPr>
          <w:rFonts w:ascii="宋体" w:hAnsi="宋体"/>
          <w:color w:val="auto"/>
          <w:szCs w:val="21"/>
          <w:highlight w:val="none"/>
        </w:rPr>
      </w:pPr>
      <w:r>
        <w:rPr>
          <w:rFonts w:hint="eastAsia" w:ascii="宋体" w:hAnsi="宋体"/>
          <w:color w:val="auto"/>
          <w:szCs w:val="21"/>
          <w:highlight w:val="none"/>
        </w:rPr>
        <w:t>5.2、解密和异常情况处理</w:t>
      </w:r>
    </w:p>
    <w:p w14:paraId="4743CDEC">
      <w:pPr>
        <w:spacing w:line="360" w:lineRule="auto"/>
        <w:ind w:firstLine="420"/>
        <w:rPr>
          <w:rFonts w:ascii="宋体" w:hAnsi="宋体"/>
          <w:color w:val="auto"/>
          <w:szCs w:val="21"/>
          <w:highlight w:val="none"/>
        </w:rPr>
      </w:pPr>
      <w:r>
        <w:rPr>
          <w:rFonts w:hint="eastAsia" w:ascii="宋体" w:hAnsi="宋体"/>
          <w:color w:val="auto"/>
          <w:szCs w:val="21"/>
          <w:highlight w:val="none"/>
        </w:rPr>
        <w:t>5.2.1开标后，采购组织机构将向各投标供应商发出“电子加密投标文件”的解密通知，各投标供应商代表应当在接到解密通知后30分钟内自行完成“电子加密投标文件”的在线解密。</w:t>
      </w:r>
    </w:p>
    <w:p w14:paraId="0DB00ECA">
      <w:pPr>
        <w:spacing w:line="360" w:lineRule="auto"/>
        <w:ind w:firstLine="420"/>
        <w:rPr>
          <w:rFonts w:ascii="宋体" w:hAnsi="宋体"/>
          <w:color w:val="auto"/>
          <w:szCs w:val="21"/>
          <w:highlight w:val="none"/>
        </w:rPr>
      </w:pPr>
      <w:r>
        <w:rPr>
          <w:rFonts w:hint="eastAsia" w:ascii="宋体" w:hAnsi="宋体"/>
          <w:color w:val="auto"/>
          <w:szCs w:val="21"/>
          <w:highlight w:val="none"/>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5AF2931">
      <w:pPr>
        <w:spacing w:line="360" w:lineRule="auto"/>
        <w:ind w:firstLine="420"/>
        <w:rPr>
          <w:rFonts w:ascii="宋体" w:hAnsi="宋体"/>
          <w:color w:val="auto"/>
          <w:szCs w:val="21"/>
          <w:highlight w:val="none"/>
        </w:rPr>
      </w:pPr>
      <w:r>
        <w:rPr>
          <w:rFonts w:hint="eastAsia" w:ascii="宋体" w:hAnsi="宋体"/>
          <w:color w:val="auto"/>
          <w:szCs w:val="21"/>
          <w:highlight w:val="none"/>
        </w:rPr>
        <w:t>5.2.3投标截止时间前，投标供应商仅递交了“备份投标文件”而未将电子加密投标文件上传至“政府采购云平台”的，投标无效。</w:t>
      </w:r>
    </w:p>
    <w:p w14:paraId="5C103660">
      <w:pPr>
        <w:spacing w:line="360" w:lineRule="auto"/>
        <w:ind w:firstLine="420"/>
        <w:rPr>
          <w:rFonts w:ascii="宋体" w:hAnsi="宋体"/>
          <w:color w:val="auto"/>
          <w:szCs w:val="21"/>
          <w:highlight w:val="none"/>
        </w:rPr>
      </w:pPr>
      <w:r>
        <w:rPr>
          <w:rFonts w:hint="eastAsia" w:ascii="宋体" w:hAnsi="宋体"/>
          <w:color w:val="auto"/>
          <w:szCs w:val="21"/>
          <w:highlight w:val="none"/>
        </w:rPr>
        <w:t>5.3、投标文件的修改和撤回</w:t>
      </w:r>
    </w:p>
    <w:p w14:paraId="692894A8">
      <w:pPr>
        <w:spacing w:line="360" w:lineRule="auto"/>
        <w:ind w:firstLine="420"/>
        <w:rPr>
          <w:rFonts w:ascii="宋体" w:hAnsi="宋体"/>
          <w:color w:val="auto"/>
          <w:szCs w:val="21"/>
          <w:highlight w:val="none"/>
        </w:rPr>
      </w:pPr>
      <w:r>
        <w:rPr>
          <w:rFonts w:hint="eastAsia" w:ascii="宋体" w:hAnsi="宋体"/>
          <w:color w:val="auto"/>
          <w:szCs w:val="21"/>
          <w:highlight w:val="none"/>
        </w:rPr>
        <w:t>5.3.1投标供应商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14:paraId="6D02D42A">
      <w:pPr>
        <w:spacing w:line="360" w:lineRule="auto"/>
        <w:ind w:firstLine="420"/>
        <w:rPr>
          <w:rFonts w:ascii="宋体" w:hAnsi="宋体"/>
          <w:color w:val="auto"/>
          <w:szCs w:val="21"/>
          <w:highlight w:val="none"/>
        </w:rPr>
      </w:pPr>
      <w:r>
        <w:rPr>
          <w:rFonts w:hint="eastAsia" w:ascii="宋体" w:hAnsi="宋体"/>
          <w:color w:val="auto"/>
          <w:szCs w:val="21"/>
          <w:highlight w:val="none"/>
        </w:rPr>
        <w:t>5.3.2投标截止时间后，投标供应商不得撤回、修改投标文件。</w:t>
      </w:r>
    </w:p>
    <w:p w14:paraId="19866F02">
      <w:pPr>
        <w:spacing w:line="360" w:lineRule="auto"/>
        <w:ind w:firstLine="420"/>
        <w:rPr>
          <w:rFonts w:ascii="宋体" w:hAnsi="宋体"/>
          <w:color w:val="auto"/>
          <w:szCs w:val="21"/>
          <w:highlight w:val="none"/>
        </w:rPr>
      </w:pPr>
      <w:r>
        <w:rPr>
          <w:rFonts w:hint="eastAsia" w:ascii="宋体" w:hAnsi="宋体"/>
          <w:color w:val="auto"/>
          <w:szCs w:val="21"/>
          <w:highlight w:val="none"/>
        </w:rPr>
        <w:t>5.4、备选投标方案</w:t>
      </w:r>
    </w:p>
    <w:p w14:paraId="4235B0E9">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投标供应商不得提交备选投标方案，否则，投标文件将被判定为无效标。（与“电子加密投标文件”同时生成的“备份投标文件”不是投标备选（替代）方案）</w:t>
      </w:r>
    </w:p>
    <w:p w14:paraId="18796602">
      <w:pPr>
        <w:pStyle w:val="3"/>
        <w:ind w:firstLine="420"/>
        <w:jc w:val="center"/>
        <w:rPr>
          <w:rFonts w:ascii="宋体" w:hAnsi="宋体" w:cs="宋体"/>
          <w:color w:val="auto"/>
          <w:sz w:val="21"/>
          <w:szCs w:val="21"/>
          <w:highlight w:val="none"/>
        </w:rPr>
      </w:pPr>
      <w:bookmarkStart w:id="90" w:name="_Toc82338243"/>
      <w:bookmarkStart w:id="91" w:name="_Toc450482500"/>
      <w:bookmarkStart w:id="92" w:name="_Toc82873326"/>
      <w:bookmarkStart w:id="93" w:name="_Toc107927462"/>
      <w:bookmarkStart w:id="94" w:name="_Toc107927538"/>
      <w:bookmarkStart w:id="95" w:name="_Toc35261575"/>
      <w:bookmarkStart w:id="96" w:name="_Toc54978894"/>
      <w:r>
        <w:rPr>
          <w:rFonts w:hint="eastAsia" w:ascii="宋体" w:hAnsi="宋体" w:cs="宋体"/>
          <w:color w:val="auto"/>
          <w:sz w:val="21"/>
          <w:szCs w:val="21"/>
          <w:highlight w:val="none"/>
        </w:rPr>
        <w:t>六、开标、评标</w:t>
      </w:r>
      <w:bookmarkEnd w:id="90"/>
      <w:bookmarkEnd w:id="91"/>
      <w:bookmarkEnd w:id="92"/>
      <w:bookmarkEnd w:id="93"/>
      <w:bookmarkEnd w:id="94"/>
      <w:bookmarkEnd w:id="95"/>
      <w:bookmarkEnd w:id="96"/>
    </w:p>
    <w:p w14:paraId="4017561A">
      <w:pPr>
        <w:spacing w:line="360" w:lineRule="auto"/>
        <w:ind w:firstLine="420"/>
        <w:rPr>
          <w:rFonts w:ascii="宋体" w:hAnsi="宋体"/>
          <w:color w:val="auto"/>
          <w:szCs w:val="21"/>
          <w:highlight w:val="none"/>
        </w:rPr>
      </w:pPr>
      <w:r>
        <w:rPr>
          <w:rFonts w:hint="eastAsia" w:ascii="宋体" w:hAnsi="宋体"/>
          <w:color w:val="auto"/>
          <w:szCs w:val="21"/>
          <w:highlight w:val="none"/>
        </w:rPr>
        <w:t>6.1．开标</w:t>
      </w:r>
    </w:p>
    <w:p w14:paraId="47D66C6D">
      <w:pPr>
        <w:spacing w:line="360" w:lineRule="auto"/>
        <w:ind w:firstLine="420"/>
        <w:rPr>
          <w:rFonts w:ascii="宋体" w:hAnsi="宋体"/>
          <w:color w:val="auto"/>
          <w:szCs w:val="21"/>
          <w:highlight w:val="none"/>
        </w:rPr>
      </w:pPr>
      <w:r>
        <w:rPr>
          <w:rFonts w:hint="eastAsia" w:ascii="宋体" w:hAnsi="宋体"/>
          <w:color w:val="auto"/>
          <w:szCs w:val="21"/>
          <w:highlight w:val="none"/>
        </w:rPr>
        <w:t>6.1.1 采购人将于前附表规定的时间和地点公开开标。若采购人通过修改采购文件更改了开标时间和地点的，以后者为准。</w:t>
      </w:r>
    </w:p>
    <w:p w14:paraId="2854DF51">
      <w:pPr>
        <w:spacing w:line="360" w:lineRule="auto"/>
        <w:ind w:firstLine="420"/>
        <w:rPr>
          <w:rFonts w:ascii="宋体" w:hAnsi="宋体"/>
          <w:color w:val="auto"/>
          <w:szCs w:val="21"/>
          <w:highlight w:val="none"/>
        </w:rPr>
      </w:pPr>
      <w:r>
        <w:rPr>
          <w:rFonts w:hint="eastAsia" w:ascii="宋体" w:hAnsi="宋体"/>
          <w:color w:val="auto"/>
          <w:szCs w:val="21"/>
          <w:highlight w:val="none"/>
        </w:rPr>
        <w:t>6.1.2开评标期间，投标供应商代表应在线操作，并关注政采云有关信息公布、澄清等情况。投标供应商代表不参加开标程序的，事后不得对采购相关人员、开标过程和开标结果提出异议。</w:t>
      </w:r>
    </w:p>
    <w:p w14:paraId="013A0594">
      <w:pPr>
        <w:spacing w:line="360" w:lineRule="auto"/>
        <w:ind w:firstLine="420"/>
        <w:rPr>
          <w:rFonts w:ascii="宋体" w:hAnsi="宋体"/>
          <w:color w:val="auto"/>
          <w:szCs w:val="21"/>
          <w:highlight w:val="none"/>
        </w:rPr>
      </w:pPr>
      <w:r>
        <w:rPr>
          <w:rFonts w:hint="eastAsia" w:ascii="宋体" w:hAnsi="宋体"/>
          <w:color w:val="auto"/>
          <w:szCs w:val="21"/>
          <w:highlight w:val="none"/>
        </w:rPr>
        <w:t>6.1.3 开标程序</w:t>
      </w:r>
    </w:p>
    <w:p w14:paraId="1FB21C94">
      <w:pPr>
        <w:spacing w:line="360" w:lineRule="auto"/>
        <w:ind w:firstLine="420"/>
        <w:rPr>
          <w:rFonts w:ascii="宋体" w:hAnsi="宋体"/>
          <w:color w:val="auto"/>
          <w:szCs w:val="21"/>
          <w:highlight w:val="none"/>
        </w:rPr>
      </w:pPr>
      <w:r>
        <w:rPr>
          <w:rFonts w:hint="eastAsia" w:ascii="宋体" w:hAnsi="宋体"/>
          <w:color w:val="auto"/>
          <w:szCs w:val="21"/>
          <w:highlight w:val="none"/>
        </w:rPr>
        <w:t>6.1.3.1开标第一阶段</w:t>
      </w:r>
    </w:p>
    <w:p w14:paraId="68B63B23">
      <w:pPr>
        <w:spacing w:line="360" w:lineRule="auto"/>
        <w:ind w:firstLine="420"/>
        <w:rPr>
          <w:rFonts w:ascii="宋体" w:hAnsi="宋体"/>
          <w:color w:val="auto"/>
          <w:szCs w:val="21"/>
          <w:highlight w:val="none"/>
        </w:rPr>
      </w:pPr>
      <w:r>
        <w:rPr>
          <w:rFonts w:hint="eastAsia" w:ascii="宋体" w:hAnsi="宋体"/>
          <w:color w:val="auto"/>
          <w:szCs w:val="21"/>
          <w:highlight w:val="none"/>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1A5B540">
      <w:pPr>
        <w:spacing w:line="360" w:lineRule="auto"/>
        <w:ind w:firstLine="420"/>
        <w:rPr>
          <w:rFonts w:ascii="宋体" w:hAnsi="宋体"/>
          <w:color w:val="auto"/>
          <w:szCs w:val="21"/>
          <w:highlight w:val="none"/>
        </w:rPr>
      </w:pPr>
      <w:r>
        <w:rPr>
          <w:rFonts w:hint="eastAsia" w:ascii="宋体" w:hAnsi="宋体"/>
          <w:color w:val="auto"/>
          <w:szCs w:val="21"/>
          <w:highlight w:val="none"/>
        </w:rPr>
        <w:t>（2）投标文件解密结束，通过邮件形式发送各投标供应商组织签署《政府采购活动现场确认声明书》；</w:t>
      </w:r>
    </w:p>
    <w:p w14:paraId="6ECAA199">
      <w:pPr>
        <w:spacing w:line="360" w:lineRule="auto"/>
        <w:ind w:firstLine="420"/>
        <w:rPr>
          <w:rFonts w:ascii="宋体" w:hAnsi="宋体"/>
          <w:color w:val="auto"/>
          <w:szCs w:val="21"/>
          <w:highlight w:val="none"/>
        </w:rPr>
      </w:pPr>
      <w:r>
        <w:rPr>
          <w:rFonts w:hint="eastAsia" w:ascii="宋体" w:hAnsi="宋体"/>
          <w:color w:val="auto"/>
          <w:szCs w:val="21"/>
          <w:highlight w:val="none"/>
        </w:rPr>
        <w:t>（3）开启投标文件，进入资格审查；</w:t>
      </w:r>
    </w:p>
    <w:p w14:paraId="5EA84658">
      <w:pPr>
        <w:spacing w:line="360" w:lineRule="auto"/>
        <w:ind w:firstLine="420"/>
        <w:rPr>
          <w:rFonts w:ascii="宋体" w:hAnsi="宋体"/>
          <w:color w:val="auto"/>
          <w:szCs w:val="21"/>
          <w:highlight w:val="none"/>
        </w:rPr>
      </w:pPr>
      <w:r>
        <w:rPr>
          <w:rFonts w:hint="eastAsia" w:ascii="宋体" w:hAnsi="宋体"/>
          <w:color w:val="auto"/>
          <w:szCs w:val="21"/>
          <w:highlight w:val="none"/>
        </w:rPr>
        <w:t>（4）开启资格审查通过的投标供应商的商务技术文件进入符合性审查、商务技术评审；</w:t>
      </w:r>
    </w:p>
    <w:p w14:paraId="0578E1AE">
      <w:pPr>
        <w:spacing w:line="360" w:lineRule="auto"/>
        <w:ind w:firstLine="420"/>
        <w:rPr>
          <w:rFonts w:ascii="宋体" w:hAnsi="宋体"/>
          <w:color w:val="auto"/>
          <w:szCs w:val="21"/>
          <w:highlight w:val="none"/>
        </w:rPr>
      </w:pPr>
      <w:r>
        <w:rPr>
          <w:rFonts w:hint="eastAsia" w:ascii="宋体" w:hAnsi="宋体"/>
          <w:color w:val="auto"/>
          <w:szCs w:val="21"/>
          <w:highlight w:val="none"/>
        </w:rPr>
        <w:t>（5）第一阶段开标结束。</w:t>
      </w:r>
    </w:p>
    <w:p w14:paraId="4A60264D">
      <w:pPr>
        <w:spacing w:line="360" w:lineRule="auto"/>
        <w:ind w:firstLine="420"/>
        <w:rPr>
          <w:rFonts w:ascii="宋体" w:hAnsi="宋体"/>
          <w:color w:val="auto"/>
          <w:szCs w:val="21"/>
          <w:highlight w:val="none"/>
        </w:rPr>
      </w:pPr>
      <w:r>
        <w:rPr>
          <w:rFonts w:hint="eastAsia" w:ascii="宋体" w:hAnsi="宋体"/>
          <w:color w:val="auto"/>
          <w:szCs w:val="21"/>
          <w:highlight w:val="none"/>
        </w:rPr>
        <w:t>6.1.3.2开标第二阶段</w:t>
      </w:r>
    </w:p>
    <w:p w14:paraId="758AAF7D">
      <w:pPr>
        <w:spacing w:line="360" w:lineRule="auto"/>
        <w:ind w:firstLine="420"/>
        <w:rPr>
          <w:rFonts w:ascii="宋体" w:hAnsi="宋体"/>
          <w:color w:val="auto"/>
          <w:szCs w:val="21"/>
          <w:highlight w:val="none"/>
        </w:rPr>
      </w:pPr>
      <w:r>
        <w:rPr>
          <w:rFonts w:hint="eastAsia" w:ascii="宋体" w:hAnsi="宋体"/>
          <w:color w:val="auto"/>
          <w:szCs w:val="21"/>
          <w:highlight w:val="none"/>
        </w:rPr>
        <w:t>（1）符合性审查、商务技术评审结束后，举行开标程序第二阶段会议。公布符合性审查、商务技术评审无效供应商名称及理由；公布经商务技术评审后有效投标供应商的名单，同时公布其商务技术部分得分情况。</w:t>
      </w:r>
    </w:p>
    <w:p w14:paraId="37FC28F6">
      <w:pPr>
        <w:spacing w:line="360" w:lineRule="auto"/>
        <w:ind w:firstLine="420"/>
        <w:rPr>
          <w:rFonts w:ascii="宋体" w:hAnsi="宋体"/>
          <w:color w:val="auto"/>
          <w:szCs w:val="21"/>
          <w:highlight w:val="none"/>
        </w:rPr>
      </w:pPr>
      <w:r>
        <w:rPr>
          <w:rFonts w:hint="eastAsia" w:ascii="宋体" w:hAnsi="宋体"/>
          <w:color w:val="auto"/>
          <w:szCs w:val="21"/>
          <w:highlight w:val="none"/>
        </w:rPr>
        <w:t>（2）开启符合性审查、商务技术评审有效投标供应商的《报价文件》，公布开标一览表有关内容，报价文件开标结束后，由评标委员会对报价的合理性、准确性等进行审查核实。</w:t>
      </w:r>
    </w:p>
    <w:p w14:paraId="60EBF886">
      <w:pPr>
        <w:spacing w:line="360" w:lineRule="auto"/>
        <w:ind w:firstLine="420"/>
        <w:rPr>
          <w:rFonts w:ascii="宋体" w:hAnsi="宋体"/>
          <w:color w:val="auto"/>
          <w:szCs w:val="21"/>
          <w:highlight w:val="none"/>
        </w:rPr>
      </w:pPr>
      <w:r>
        <w:rPr>
          <w:rFonts w:hint="eastAsia" w:ascii="宋体" w:hAnsi="宋体"/>
          <w:color w:val="auto"/>
          <w:szCs w:val="21"/>
          <w:highlight w:val="none"/>
        </w:rPr>
        <w:t>（3）评审结束后，公布中标（成交）候选供应商名单，及采购人最终确定中标或成交供应商名单的时间和公告方式等。</w:t>
      </w:r>
    </w:p>
    <w:p w14:paraId="7BC8A918">
      <w:pPr>
        <w:spacing w:line="360" w:lineRule="auto"/>
        <w:ind w:firstLine="420"/>
        <w:rPr>
          <w:rFonts w:ascii="宋体" w:hAnsi="宋体"/>
          <w:color w:val="auto"/>
          <w:szCs w:val="21"/>
          <w:highlight w:val="none"/>
        </w:rPr>
      </w:pPr>
      <w:r>
        <w:rPr>
          <w:rFonts w:hint="eastAsia" w:ascii="宋体" w:hAnsi="宋体"/>
          <w:color w:val="auto"/>
          <w:szCs w:val="21"/>
          <w:highlight w:val="none"/>
        </w:rPr>
        <w:t>6.1.4如遇“政府采购云平台”电子化开标或评审程序调整的，或者政采云系统提供数据电文交互功能的，按其规定执行。</w:t>
      </w:r>
    </w:p>
    <w:p w14:paraId="0CA1985D">
      <w:pPr>
        <w:spacing w:line="360" w:lineRule="auto"/>
        <w:ind w:firstLine="420"/>
        <w:rPr>
          <w:rFonts w:ascii="宋体" w:hAnsi="宋体"/>
          <w:color w:val="auto"/>
          <w:szCs w:val="21"/>
          <w:highlight w:val="none"/>
        </w:rPr>
      </w:pPr>
      <w:r>
        <w:rPr>
          <w:rFonts w:hint="eastAsia" w:ascii="宋体" w:hAnsi="宋体"/>
          <w:color w:val="auto"/>
          <w:szCs w:val="21"/>
          <w:highlight w:val="none"/>
        </w:rPr>
        <w:t>6.2评标</w:t>
      </w:r>
    </w:p>
    <w:p w14:paraId="0E6D4649">
      <w:pPr>
        <w:spacing w:line="360" w:lineRule="auto"/>
        <w:ind w:firstLine="420"/>
        <w:rPr>
          <w:rFonts w:ascii="宋体" w:hAnsi="宋体"/>
          <w:color w:val="auto"/>
          <w:szCs w:val="21"/>
          <w:highlight w:val="none"/>
        </w:rPr>
      </w:pPr>
      <w:r>
        <w:rPr>
          <w:rFonts w:hint="eastAsia" w:ascii="宋体" w:hAnsi="宋体"/>
          <w:color w:val="auto"/>
          <w:szCs w:val="21"/>
          <w:highlight w:val="none"/>
        </w:rPr>
        <w:t>6.2.1 评标组织</w:t>
      </w:r>
    </w:p>
    <w:p w14:paraId="02E17F3E">
      <w:pPr>
        <w:spacing w:line="360" w:lineRule="auto"/>
        <w:ind w:firstLine="420"/>
        <w:rPr>
          <w:rFonts w:ascii="宋体" w:hAnsi="宋体"/>
          <w:color w:val="auto"/>
          <w:szCs w:val="21"/>
          <w:highlight w:val="none"/>
        </w:rPr>
      </w:pPr>
      <w:r>
        <w:rPr>
          <w:rFonts w:hint="eastAsia" w:ascii="宋体" w:hAnsi="宋体"/>
          <w:color w:val="auto"/>
          <w:szCs w:val="21"/>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14:paraId="068EA3A5">
      <w:pPr>
        <w:spacing w:line="360" w:lineRule="auto"/>
        <w:ind w:firstLine="420"/>
        <w:rPr>
          <w:rFonts w:ascii="宋体" w:hAnsi="宋体"/>
          <w:color w:val="auto"/>
          <w:szCs w:val="21"/>
          <w:highlight w:val="none"/>
        </w:rPr>
      </w:pPr>
      <w:r>
        <w:rPr>
          <w:rFonts w:hint="eastAsia" w:ascii="宋体" w:hAnsi="宋体"/>
          <w:color w:val="auto"/>
          <w:szCs w:val="21"/>
          <w:highlight w:val="none"/>
        </w:rPr>
        <w:t>6.2.2评标纪律</w:t>
      </w:r>
    </w:p>
    <w:p w14:paraId="5900C0D0">
      <w:pPr>
        <w:spacing w:line="360" w:lineRule="auto"/>
        <w:ind w:firstLine="420"/>
        <w:rPr>
          <w:rFonts w:ascii="宋体" w:hAnsi="宋体"/>
          <w:color w:val="auto"/>
          <w:szCs w:val="21"/>
          <w:highlight w:val="none"/>
        </w:rPr>
      </w:pPr>
      <w:r>
        <w:rPr>
          <w:rFonts w:hint="eastAsia" w:ascii="宋体" w:hAnsi="宋体"/>
          <w:color w:val="auto"/>
          <w:szCs w:val="21"/>
          <w:highlight w:val="none"/>
        </w:rPr>
        <w:t>本次评标工作将在严格保密的情况下进行，评标委员会成员名单在定标前将保密。</w:t>
      </w:r>
    </w:p>
    <w:p w14:paraId="13C99600">
      <w:pPr>
        <w:spacing w:line="360" w:lineRule="auto"/>
        <w:ind w:firstLine="420"/>
        <w:rPr>
          <w:rFonts w:ascii="宋体" w:hAnsi="宋体"/>
          <w:color w:val="auto"/>
          <w:szCs w:val="21"/>
          <w:highlight w:val="none"/>
        </w:rPr>
      </w:pPr>
      <w:r>
        <w:rPr>
          <w:rFonts w:hint="eastAsia" w:ascii="宋体" w:hAnsi="宋体"/>
          <w:color w:val="auto"/>
          <w:szCs w:val="21"/>
          <w:highlight w:val="none"/>
        </w:rPr>
        <w:t>6.2.3评标办法</w:t>
      </w:r>
    </w:p>
    <w:p w14:paraId="1E0A632E">
      <w:pPr>
        <w:spacing w:line="360" w:lineRule="auto"/>
        <w:ind w:firstLine="420"/>
        <w:rPr>
          <w:rFonts w:ascii="宋体" w:hAnsi="宋体"/>
          <w:color w:val="auto"/>
          <w:szCs w:val="21"/>
          <w:highlight w:val="none"/>
        </w:rPr>
      </w:pPr>
      <w:r>
        <w:rPr>
          <w:rFonts w:hint="eastAsia" w:ascii="宋体" w:hAnsi="宋体"/>
          <w:color w:val="auto"/>
          <w:szCs w:val="21"/>
          <w:highlight w:val="none"/>
        </w:rPr>
        <w:t>采用综合评分法，详见采购文件第四章“评标办法”。</w:t>
      </w:r>
    </w:p>
    <w:p w14:paraId="054825EA">
      <w:pPr>
        <w:spacing w:line="360" w:lineRule="auto"/>
        <w:ind w:firstLine="420"/>
        <w:rPr>
          <w:rFonts w:ascii="宋体" w:hAnsi="宋体"/>
          <w:color w:val="auto"/>
          <w:szCs w:val="21"/>
          <w:highlight w:val="none"/>
        </w:rPr>
      </w:pPr>
      <w:r>
        <w:rPr>
          <w:rFonts w:hint="eastAsia" w:ascii="宋体" w:hAnsi="宋体"/>
          <w:color w:val="auto"/>
          <w:szCs w:val="21"/>
          <w:highlight w:val="none"/>
        </w:rPr>
        <w:t>6.2.4 评标程序</w:t>
      </w:r>
    </w:p>
    <w:p w14:paraId="2BFC55E1">
      <w:pPr>
        <w:spacing w:line="360" w:lineRule="auto"/>
        <w:ind w:firstLine="420"/>
        <w:rPr>
          <w:rFonts w:ascii="宋体" w:hAnsi="宋体"/>
          <w:color w:val="auto"/>
          <w:szCs w:val="21"/>
          <w:highlight w:val="none"/>
        </w:rPr>
      </w:pPr>
      <w:r>
        <w:rPr>
          <w:rFonts w:hint="eastAsia" w:ascii="宋体" w:hAnsi="宋体"/>
          <w:color w:val="auto"/>
          <w:szCs w:val="21"/>
          <w:highlight w:val="none"/>
        </w:rPr>
        <w:t>6.2.4.1投标文件初审。初审分为资格性检查和符合性检查。</w:t>
      </w:r>
    </w:p>
    <w:p w14:paraId="76A2B8D0">
      <w:pPr>
        <w:spacing w:line="360" w:lineRule="auto"/>
        <w:ind w:firstLine="420"/>
        <w:rPr>
          <w:rFonts w:ascii="宋体" w:hAnsi="宋体"/>
          <w:color w:val="auto"/>
          <w:szCs w:val="21"/>
          <w:highlight w:val="none"/>
        </w:rPr>
      </w:pPr>
      <w:r>
        <w:rPr>
          <w:rFonts w:hint="eastAsia" w:ascii="宋体" w:hAnsi="宋体"/>
          <w:color w:val="auto"/>
          <w:szCs w:val="21"/>
          <w:highlight w:val="none"/>
        </w:rPr>
        <w:t>（1）资格性检查。</w:t>
      </w:r>
    </w:p>
    <w:p w14:paraId="1C1BB25A">
      <w:pPr>
        <w:spacing w:line="360" w:lineRule="auto"/>
        <w:ind w:firstLine="420"/>
        <w:rPr>
          <w:rFonts w:ascii="宋体" w:hAnsi="宋体"/>
          <w:color w:val="auto"/>
          <w:szCs w:val="21"/>
          <w:highlight w:val="none"/>
        </w:rPr>
      </w:pPr>
      <w:r>
        <w:rPr>
          <w:rFonts w:hint="eastAsia" w:ascii="宋体" w:hAnsi="宋体"/>
          <w:color w:val="auto"/>
          <w:szCs w:val="21"/>
          <w:highlight w:val="none"/>
        </w:rPr>
        <w:t>开标后，采购人或采购代理机构将依据法律法规和供应商资格条件对投标供应商的基本资格条件、特定资格条件进行审查。</w:t>
      </w:r>
    </w:p>
    <w:p w14:paraId="72AB3B62">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投标供应商未按照采购文件中供应商资格条件要求提供相应的有效资格证明材料的，视为投标供应商不具备采购文件中规定的资格要求，其资格审查不通过。</w:t>
      </w:r>
    </w:p>
    <w:p w14:paraId="28D34CCE">
      <w:pPr>
        <w:spacing w:line="360" w:lineRule="auto"/>
        <w:ind w:firstLine="420"/>
        <w:rPr>
          <w:rFonts w:ascii="宋体" w:hAnsi="宋体"/>
          <w:color w:val="auto"/>
          <w:szCs w:val="21"/>
          <w:highlight w:val="none"/>
        </w:rPr>
      </w:pPr>
      <w:r>
        <w:rPr>
          <w:rFonts w:hint="eastAsia" w:ascii="宋体" w:hAnsi="宋体"/>
          <w:color w:val="auto"/>
          <w:szCs w:val="21"/>
          <w:highlight w:val="none"/>
        </w:rPr>
        <w:t>（2）符合性检查。依据采购文件的规定，从投标文件的有效性、完整性和对采购文件的响应程度进行审查，以确定是否对采购文件的实质性要求作出响应。具体审查内容见投标须知6.3.1条“无效投标的认定”。</w:t>
      </w:r>
    </w:p>
    <w:p w14:paraId="07FB23E5">
      <w:pPr>
        <w:spacing w:line="360" w:lineRule="auto"/>
        <w:ind w:firstLine="420"/>
        <w:rPr>
          <w:rFonts w:ascii="宋体" w:hAnsi="宋体"/>
          <w:color w:val="auto"/>
          <w:szCs w:val="21"/>
          <w:highlight w:val="none"/>
        </w:rPr>
      </w:pPr>
      <w:r>
        <w:rPr>
          <w:rFonts w:hint="eastAsia" w:ascii="宋体" w:hAnsi="宋体"/>
          <w:color w:val="auto"/>
          <w:szCs w:val="21"/>
          <w:highlight w:val="none"/>
        </w:rPr>
        <w:t>评标委员会决定投标文件的响应性只根据投标文件本身的内容，而不寻求外部证据。</w:t>
      </w:r>
    </w:p>
    <w:p w14:paraId="1BAE4FC2">
      <w:pPr>
        <w:spacing w:line="360" w:lineRule="auto"/>
        <w:ind w:firstLine="420"/>
        <w:rPr>
          <w:rFonts w:ascii="宋体" w:hAnsi="宋体"/>
          <w:color w:val="auto"/>
          <w:szCs w:val="21"/>
          <w:highlight w:val="none"/>
        </w:rPr>
      </w:pPr>
      <w:r>
        <w:rPr>
          <w:rFonts w:hint="eastAsia" w:ascii="宋体" w:hAnsi="宋体"/>
          <w:color w:val="auto"/>
          <w:szCs w:val="21"/>
          <w:highlight w:val="none"/>
        </w:rPr>
        <w:t>如果投标文件没有实质上响应采购文件的要求，评标委员会将判定无效，投标供应商不得通过修改或撤销不合要求的偏离或保留而使其投标成为实质性响应的投标。</w:t>
      </w:r>
    </w:p>
    <w:p w14:paraId="59CC4906">
      <w:pPr>
        <w:spacing w:line="360" w:lineRule="auto"/>
        <w:ind w:firstLine="420"/>
        <w:rPr>
          <w:rFonts w:ascii="宋体" w:hAnsi="宋体"/>
          <w:color w:val="auto"/>
          <w:szCs w:val="21"/>
          <w:highlight w:val="none"/>
        </w:rPr>
      </w:pPr>
      <w:r>
        <w:rPr>
          <w:rFonts w:hint="eastAsia" w:ascii="宋体" w:hAnsi="宋体"/>
          <w:color w:val="auto"/>
          <w:szCs w:val="21"/>
          <w:highlight w:val="none"/>
        </w:rPr>
        <w:t>6.2.4.2澄清有关问题。在评标期间，对投标文件中含义不明确、同类问题表述不一致或者有明显文字和计算错误的内容，评标委员会可以书面形式（或有效电子数据电文）要求投标供应商作出必要的澄清、说明或者纠正。投标供应商的澄清、说明或者补正不得超出投标文件的范围或者改变投标文件的实质性内容。</w:t>
      </w:r>
    </w:p>
    <w:p w14:paraId="7E73A256">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投标供应商的澄清、说明或者补正应当由法定代表人或其授权的代表签字（或加盖公章）后扫描上传提交。</w:t>
      </w:r>
    </w:p>
    <w:p w14:paraId="65BAEE20">
      <w:pPr>
        <w:spacing w:line="360" w:lineRule="auto"/>
        <w:ind w:firstLine="420"/>
        <w:rPr>
          <w:rFonts w:ascii="宋体" w:hAnsi="宋体"/>
          <w:color w:val="auto"/>
          <w:szCs w:val="21"/>
          <w:highlight w:val="none"/>
        </w:rPr>
      </w:pPr>
      <w:r>
        <w:rPr>
          <w:rFonts w:hint="eastAsia" w:ascii="宋体" w:hAnsi="宋体"/>
          <w:color w:val="auto"/>
          <w:szCs w:val="21"/>
          <w:highlight w:val="none"/>
        </w:rPr>
        <w:t>授权代表对澄清、说明或者补正内容未签字确认的，将自行承担由此可能导致的对其不利的评审结果，评标委员会按少数服从多数原则对相关内容进行评判。</w:t>
      </w:r>
    </w:p>
    <w:p w14:paraId="681CE1A4">
      <w:pPr>
        <w:spacing w:line="360" w:lineRule="auto"/>
        <w:ind w:firstLine="420"/>
        <w:rPr>
          <w:rFonts w:ascii="宋体" w:hAnsi="宋体"/>
          <w:color w:val="auto"/>
          <w:szCs w:val="21"/>
          <w:highlight w:val="none"/>
        </w:rPr>
      </w:pPr>
      <w:r>
        <w:rPr>
          <w:rFonts w:hint="eastAsia" w:ascii="宋体" w:hAnsi="宋体"/>
          <w:color w:val="auto"/>
          <w:szCs w:val="21"/>
          <w:highlight w:val="none"/>
        </w:rPr>
        <w:t>除邮件交互外，如政采云平台提供信息发布、澄清说明、数据交换等操作方式的，或者政采云系统平台有新的操作流程的，按其规定。</w:t>
      </w:r>
    </w:p>
    <w:p w14:paraId="484F1DE8">
      <w:pPr>
        <w:spacing w:line="360" w:lineRule="auto"/>
        <w:ind w:firstLine="420"/>
        <w:rPr>
          <w:rFonts w:ascii="宋体" w:hAnsi="宋体"/>
          <w:color w:val="auto"/>
          <w:szCs w:val="21"/>
          <w:highlight w:val="none"/>
        </w:rPr>
      </w:pPr>
      <w:r>
        <w:rPr>
          <w:rFonts w:hint="eastAsia" w:ascii="宋体" w:hAnsi="宋体"/>
          <w:color w:val="auto"/>
          <w:szCs w:val="21"/>
          <w:highlight w:val="none"/>
        </w:rPr>
        <w:t>6.2.4.3修正原则</w:t>
      </w:r>
    </w:p>
    <w:p w14:paraId="3960407F">
      <w:pPr>
        <w:spacing w:line="360" w:lineRule="auto"/>
        <w:ind w:firstLine="42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14:paraId="34565A61">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投标文件中开标一览表(报价表)内容与投标文件中相应内容不一致的，以开标一览表(报价表)为准；</w:t>
      </w:r>
    </w:p>
    <w:p w14:paraId="0D8CF1C4">
      <w:pPr>
        <w:spacing w:line="360" w:lineRule="auto"/>
        <w:ind w:firstLine="42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大写金额和小写金额不一致的，以大写金额为准；</w:t>
      </w:r>
    </w:p>
    <w:p w14:paraId="3F907865">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单价金额小数点或者百分比有明显错位的，以开标一览表的总价为准，并修改单价；</w:t>
      </w:r>
    </w:p>
    <w:p w14:paraId="747A1F82">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ab/>
      </w:r>
      <w:r>
        <w:rPr>
          <w:rFonts w:hint="eastAsia" w:ascii="宋体" w:hAnsi="宋体"/>
          <w:color w:val="auto"/>
          <w:szCs w:val="21"/>
          <w:highlight w:val="none"/>
        </w:rPr>
        <w:t>总价金额与按单价汇总金额不一致的，以单价金额计算结果为准。</w:t>
      </w:r>
    </w:p>
    <w:p w14:paraId="3575A19A">
      <w:pPr>
        <w:spacing w:line="360" w:lineRule="auto"/>
        <w:ind w:firstLine="42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同时出现两种以上不一致的，按照前款规定的顺序修正。修正后的报价按照财政部公布第87号令 《政府采购货物和服务招标投标管理办法》第五十一条第二款的规定经投标供应商确认后产生约束力，投标供应商不确认的，其投标无效。</w:t>
      </w:r>
    </w:p>
    <w:p w14:paraId="44F7B1BC">
      <w:pPr>
        <w:spacing w:line="360" w:lineRule="auto"/>
        <w:ind w:firstLine="420"/>
        <w:rPr>
          <w:rFonts w:ascii="宋体" w:hAnsi="宋体"/>
          <w:color w:val="auto"/>
          <w:szCs w:val="21"/>
          <w:highlight w:val="none"/>
        </w:rPr>
      </w:pPr>
      <w:r>
        <w:rPr>
          <w:rFonts w:hint="eastAsia" w:ascii="宋体" w:hAnsi="宋体"/>
          <w:color w:val="auto"/>
          <w:szCs w:val="21"/>
          <w:highlight w:val="none"/>
        </w:rPr>
        <w:t>6.2.4.4比较与评价。</w:t>
      </w:r>
    </w:p>
    <w:p w14:paraId="3EF51849">
      <w:pPr>
        <w:spacing w:line="360" w:lineRule="auto"/>
        <w:ind w:firstLine="420"/>
        <w:rPr>
          <w:rFonts w:ascii="宋体" w:hAnsi="宋体"/>
          <w:color w:val="auto"/>
          <w:szCs w:val="21"/>
          <w:highlight w:val="none"/>
        </w:rPr>
      </w:pPr>
      <w:r>
        <w:rPr>
          <w:rFonts w:hint="eastAsia" w:ascii="宋体" w:hAnsi="宋体"/>
          <w:color w:val="auto"/>
          <w:szCs w:val="21"/>
          <w:highlight w:val="none"/>
        </w:rPr>
        <w:t>按采购文件中规定的评标方法和标准，对资格性检查和符合性检查合格的投标文件进行商务和技术评估，综合比较与评价。</w:t>
      </w:r>
    </w:p>
    <w:p w14:paraId="3D8036FE">
      <w:pPr>
        <w:spacing w:line="360" w:lineRule="auto"/>
        <w:ind w:firstLine="420"/>
        <w:rPr>
          <w:rFonts w:ascii="宋体" w:hAnsi="宋体"/>
          <w:color w:val="auto"/>
          <w:szCs w:val="21"/>
          <w:highlight w:val="none"/>
        </w:rPr>
      </w:pPr>
      <w:r>
        <w:rPr>
          <w:rFonts w:hint="eastAsia" w:ascii="宋体" w:hAnsi="宋体"/>
          <w:color w:val="auto"/>
          <w:szCs w:val="21"/>
          <w:highlight w:val="none"/>
        </w:rPr>
        <w:t>6.2.4.5按采购文件中规定的评标方法和标准，对投标供应商进行排序，并推荐中标候选人。</w:t>
      </w:r>
    </w:p>
    <w:p w14:paraId="4EB992AD">
      <w:pPr>
        <w:spacing w:line="360" w:lineRule="auto"/>
        <w:ind w:firstLine="420"/>
        <w:rPr>
          <w:rFonts w:ascii="宋体" w:hAnsi="宋体"/>
          <w:color w:val="auto"/>
          <w:szCs w:val="21"/>
          <w:highlight w:val="none"/>
        </w:rPr>
      </w:pPr>
      <w:r>
        <w:rPr>
          <w:rFonts w:hint="eastAsia" w:ascii="宋体" w:hAnsi="宋体"/>
          <w:color w:val="auto"/>
          <w:szCs w:val="21"/>
          <w:highlight w:val="none"/>
        </w:rPr>
        <w:t>6.2.4.6编写评标报告。</w:t>
      </w:r>
    </w:p>
    <w:p w14:paraId="2FADA446">
      <w:pPr>
        <w:spacing w:line="360" w:lineRule="auto"/>
        <w:ind w:firstLine="420"/>
        <w:rPr>
          <w:rFonts w:ascii="宋体" w:hAnsi="宋体"/>
          <w:color w:val="auto"/>
          <w:szCs w:val="21"/>
          <w:highlight w:val="none"/>
        </w:rPr>
      </w:pPr>
      <w:r>
        <w:rPr>
          <w:rFonts w:hint="eastAsia" w:ascii="宋体" w:hAnsi="宋体"/>
          <w:color w:val="auto"/>
          <w:szCs w:val="21"/>
          <w:highlight w:val="none"/>
        </w:rPr>
        <w:t>6.3无效投标的认定</w:t>
      </w:r>
    </w:p>
    <w:p w14:paraId="0F4DBE9F">
      <w:pPr>
        <w:spacing w:line="360" w:lineRule="auto"/>
        <w:ind w:firstLine="420"/>
        <w:rPr>
          <w:rFonts w:ascii="宋体" w:hAnsi="宋体"/>
          <w:color w:val="auto"/>
          <w:szCs w:val="21"/>
          <w:highlight w:val="none"/>
        </w:rPr>
      </w:pPr>
      <w:r>
        <w:rPr>
          <w:rFonts w:hint="eastAsia" w:ascii="宋体" w:hAnsi="宋体"/>
          <w:color w:val="auto"/>
          <w:szCs w:val="21"/>
          <w:highlight w:val="none"/>
        </w:rPr>
        <w:t>评审时，对投标供应商的商务技术文件、报价文件和其他评审要求等，评标委员会将逐项进行审查、比较，对于实质性偏离或符合无效条款的，应当询问投标供应商，并允许投标供应商进行陈述申辩，但不允许其对偏离条款进行补充、修正或撤回。但经评标委员会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14:paraId="0990B081">
      <w:pPr>
        <w:spacing w:line="360" w:lineRule="auto"/>
        <w:ind w:firstLine="420"/>
        <w:rPr>
          <w:rFonts w:ascii="宋体" w:hAnsi="宋体"/>
          <w:color w:val="auto"/>
          <w:szCs w:val="21"/>
          <w:highlight w:val="none"/>
        </w:rPr>
      </w:pPr>
      <w:r>
        <w:rPr>
          <w:rFonts w:hint="eastAsia" w:ascii="宋体" w:hAnsi="宋体"/>
          <w:color w:val="auto"/>
          <w:szCs w:val="21"/>
          <w:highlight w:val="none"/>
        </w:rPr>
        <w:t>6.3.1如发现下列情形之一的，投标文件将被视为无效投标：</w:t>
      </w:r>
    </w:p>
    <w:p w14:paraId="005520CF">
      <w:pPr>
        <w:numPr>
          <w:ilvl w:val="0"/>
          <w:numId w:val="12"/>
        </w:numPr>
        <w:spacing w:line="360" w:lineRule="auto"/>
        <w:ind w:firstLine="420"/>
        <w:rPr>
          <w:rFonts w:ascii="宋体" w:hAnsi="宋体"/>
          <w:color w:val="auto"/>
          <w:szCs w:val="21"/>
          <w:highlight w:val="none"/>
        </w:rPr>
      </w:pPr>
      <w:r>
        <w:rPr>
          <w:rFonts w:hint="eastAsia" w:ascii="宋体" w:hAnsi="宋体"/>
          <w:color w:val="auto"/>
          <w:szCs w:val="21"/>
          <w:highlight w:val="none"/>
        </w:rPr>
        <w:t>未按时上传或按时解密电子投标文件的</w:t>
      </w:r>
    </w:p>
    <w:p w14:paraId="6290F009">
      <w:pPr>
        <w:numPr>
          <w:ilvl w:val="0"/>
          <w:numId w:val="12"/>
        </w:numPr>
        <w:spacing w:line="360" w:lineRule="auto"/>
        <w:ind w:firstLine="420"/>
        <w:rPr>
          <w:rFonts w:ascii="宋体" w:hAnsi="宋体"/>
          <w:color w:val="auto"/>
          <w:szCs w:val="21"/>
          <w:highlight w:val="none"/>
        </w:rPr>
      </w:pPr>
      <w:r>
        <w:rPr>
          <w:rFonts w:hint="eastAsia" w:ascii="宋体" w:hAnsi="宋体"/>
          <w:color w:val="auto"/>
          <w:szCs w:val="21"/>
          <w:highlight w:val="none"/>
        </w:rPr>
        <w:t>电子投标文件解密失败的，且未在规定时间内提交有效备份投标文件的；</w:t>
      </w:r>
    </w:p>
    <w:p w14:paraId="5F7D11AA">
      <w:pPr>
        <w:spacing w:line="360" w:lineRule="auto"/>
        <w:ind w:firstLine="420"/>
        <w:rPr>
          <w:rFonts w:ascii="宋体" w:hAnsi="宋体"/>
          <w:color w:val="auto"/>
          <w:szCs w:val="21"/>
          <w:highlight w:val="none"/>
        </w:rPr>
      </w:pPr>
      <w:r>
        <w:rPr>
          <w:rFonts w:hint="eastAsia" w:ascii="宋体" w:hAnsi="宋体"/>
          <w:color w:val="auto"/>
          <w:szCs w:val="21"/>
          <w:highlight w:val="none"/>
        </w:rPr>
        <w:t>3）电子投标文件未按规定要求提供电子签章的；</w:t>
      </w:r>
    </w:p>
    <w:p w14:paraId="5922E9BF">
      <w:pPr>
        <w:spacing w:line="360" w:lineRule="auto"/>
        <w:ind w:firstLine="420"/>
        <w:rPr>
          <w:rFonts w:ascii="宋体" w:hAnsi="宋体"/>
          <w:color w:val="auto"/>
          <w:szCs w:val="21"/>
          <w:highlight w:val="none"/>
        </w:rPr>
      </w:pPr>
      <w:r>
        <w:rPr>
          <w:rFonts w:hint="eastAsia" w:ascii="宋体" w:hAnsi="宋体"/>
          <w:color w:val="auto"/>
          <w:szCs w:val="21"/>
          <w:highlight w:val="none"/>
        </w:rPr>
        <w:t>4）投标供应商的投标资格不满足国家有关规定和采购文件的要求；</w:t>
      </w:r>
    </w:p>
    <w:p w14:paraId="1347BADE">
      <w:pPr>
        <w:spacing w:line="360" w:lineRule="auto"/>
        <w:ind w:firstLine="420"/>
        <w:rPr>
          <w:rFonts w:ascii="宋体" w:hAnsi="宋体"/>
          <w:color w:val="auto"/>
          <w:szCs w:val="21"/>
          <w:highlight w:val="none"/>
        </w:rPr>
      </w:pPr>
      <w:r>
        <w:rPr>
          <w:rFonts w:hint="eastAsia" w:ascii="宋体" w:hAnsi="宋体"/>
          <w:color w:val="auto"/>
          <w:szCs w:val="21"/>
          <w:highlight w:val="none"/>
        </w:rPr>
        <w:t>5）投标文件没有投标供应商的法定代表人或法定代表人授权委托人签字、投标文件应盖公章而未盖公章或盖非公司公章、未有效授权、法定代表人授权书填写不完整或有涂改的；</w:t>
      </w:r>
    </w:p>
    <w:p w14:paraId="0ED89D16">
      <w:pPr>
        <w:spacing w:line="360" w:lineRule="auto"/>
        <w:ind w:firstLine="420"/>
        <w:rPr>
          <w:rFonts w:ascii="宋体" w:hAnsi="宋体"/>
          <w:color w:val="auto"/>
          <w:szCs w:val="21"/>
          <w:highlight w:val="none"/>
        </w:rPr>
      </w:pPr>
      <w:r>
        <w:rPr>
          <w:rFonts w:hint="eastAsia" w:ascii="宋体" w:hAnsi="宋体"/>
          <w:color w:val="auto"/>
          <w:szCs w:val="21"/>
          <w:highlight w:val="none"/>
        </w:rPr>
        <w:t>6）投标文件载明的招标项目合同期或服务期少于采购文件规定期限的；</w:t>
      </w:r>
    </w:p>
    <w:p w14:paraId="31DFE369">
      <w:pPr>
        <w:spacing w:line="360" w:lineRule="auto"/>
        <w:ind w:firstLine="420"/>
        <w:rPr>
          <w:rFonts w:ascii="宋体" w:hAnsi="宋体"/>
          <w:color w:val="auto"/>
          <w:szCs w:val="21"/>
          <w:highlight w:val="none"/>
        </w:rPr>
      </w:pPr>
      <w:r>
        <w:rPr>
          <w:rFonts w:hint="eastAsia" w:ascii="宋体" w:hAnsi="宋体"/>
          <w:color w:val="auto"/>
          <w:szCs w:val="21"/>
          <w:highlight w:val="none"/>
        </w:rPr>
        <w:t>7）投标文件未响应采购文件规定的付款方式的；</w:t>
      </w:r>
    </w:p>
    <w:p w14:paraId="53BA659A">
      <w:pPr>
        <w:spacing w:line="360" w:lineRule="auto"/>
        <w:ind w:firstLine="420"/>
        <w:rPr>
          <w:rFonts w:ascii="宋体" w:hAnsi="宋体"/>
          <w:color w:val="auto"/>
          <w:szCs w:val="21"/>
          <w:highlight w:val="none"/>
        </w:rPr>
      </w:pPr>
      <w:r>
        <w:rPr>
          <w:rFonts w:hint="eastAsia" w:ascii="宋体" w:hAnsi="宋体"/>
          <w:color w:val="auto"/>
          <w:szCs w:val="21"/>
          <w:highlight w:val="none"/>
        </w:rPr>
        <w:t>8）投标报价超出预算或最高限价，采购人无法接受的；</w:t>
      </w:r>
    </w:p>
    <w:p w14:paraId="1273D359">
      <w:pPr>
        <w:spacing w:line="360" w:lineRule="auto"/>
        <w:ind w:firstLine="420"/>
        <w:rPr>
          <w:rFonts w:ascii="宋体" w:hAnsi="宋体"/>
          <w:color w:val="auto"/>
          <w:szCs w:val="21"/>
          <w:highlight w:val="none"/>
        </w:rPr>
      </w:pPr>
      <w:r>
        <w:rPr>
          <w:rFonts w:hint="eastAsia" w:ascii="宋体" w:hAnsi="宋体"/>
          <w:color w:val="auto"/>
          <w:szCs w:val="21"/>
          <w:highlight w:val="none"/>
        </w:rPr>
        <w:t>9）投标货物的技术规范、技术标准明显不符合国家强制性要求的；</w:t>
      </w:r>
    </w:p>
    <w:p w14:paraId="2D9718E0">
      <w:pPr>
        <w:spacing w:line="360" w:lineRule="auto"/>
        <w:ind w:firstLine="420"/>
        <w:rPr>
          <w:rFonts w:ascii="宋体" w:hAnsi="宋体"/>
          <w:color w:val="auto"/>
          <w:szCs w:val="21"/>
          <w:highlight w:val="none"/>
        </w:rPr>
      </w:pPr>
      <w:r>
        <w:rPr>
          <w:rFonts w:hint="eastAsia" w:ascii="宋体" w:hAnsi="宋体"/>
          <w:color w:val="auto"/>
          <w:szCs w:val="21"/>
          <w:highlight w:val="none"/>
        </w:rPr>
        <w:t>10）投标供应商提交两份或多份内容不同的报价响应文件，或在一份报价响应文件中对同一内容报有两个或多个报价，且未声明哪一个为最终报价的；</w:t>
      </w:r>
    </w:p>
    <w:p w14:paraId="7DDED7B0">
      <w:pPr>
        <w:spacing w:line="360" w:lineRule="auto"/>
        <w:ind w:firstLine="420"/>
        <w:rPr>
          <w:rFonts w:ascii="宋体" w:hAnsi="宋体"/>
          <w:color w:val="auto"/>
          <w:szCs w:val="21"/>
          <w:highlight w:val="none"/>
        </w:rPr>
      </w:pPr>
      <w:r>
        <w:rPr>
          <w:rFonts w:hint="eastAsia" w:ascii="宋体" w:hAnsi="宋体"/>
          <w:color w:val="auto"/>
          <w:szCs w:val="21"/>
          <w:highlight w:val="none"/>
        </w:rPr>
        <w:t>11）投标供应商的报价明显低于其他通过符合性审查投标供应商的报价，有可能影响服务质量或者不能诚信履约，未能按评标委员会要求其在评标现场合理的时间内提供书面说明及相关证明材料以证明其报价合理性的；</w:t>
      </w:r>
    </w:p>
    <w:p w14:paraId="710A0358">
      <w:pPr>
        <w:spacing w:line="360" w:lineRule="auto"/>
        <w:ind w:firstLine="420"/>
        <w:rPr>
          <w:rFonts w:ascii="宋体" w:hAnsi="宋体"/>
          <w:color w:val="auto"/>
          <w:szCs w:val="21"/>
          <w:highlight w:val="none"/>
        </w:rPr>
      </w:pPr>
      <w:r>
        <w:rPr>
          <w:rFonts w:hint="eastAsia" w:ascii="宋体" w:hAnsi="宋体"/>
          <w:color w:val="auto"/>
          <w:szCs w:val="21"/>
          <w:highlight w:val="none"/>
        </w:rPr>
        <w:t>12）投标文件附有采购人不能接受的条款；</w:t>
      </w:r>
    </w:p>
    <w:p w14:paraId="2608537C">
      <w:pPr>
        <w:spacing w:line="360" w:lineRule="auto"/>
        <w:ind w:firstLine="420"/>
        <w:rPr>
          <w:rFonts w:ascii="宋体" w:hAnsi="宋体"/>
          <w:color w:val="auto"/>
          <w:szCs w:val="21"/>
          <w:highlight w:val="none"/>
        </w:rPr>
      </w:pPr>
      <w:r>
        <w:rPr>
          <w:rFonts w:hint="eastAsia" w:ascii="宋体" w:hAnsi="宋体"/>
          <w:color w:val="auto"/>
          <w:szCs w:val="21"/>
          <w:highlight w:val="none"/>
        </w:rPr>
        <w:t>13）与采购文件有重大偏离的投标文件；</w:t>
      </w:r>
    </w:p>
    <w:p w14:paraId="3E6F6A5F">
      <w:pPr>
        <w:spacing w:line="360" w:lineRule="auto"/>
        <w:ind w:firstLine="420"/>
        <w:rPr>
          <w:rFonts w:ascii="宋体" w:hAnsi="宋体"/>
          <w:color w:val="auto"/>
          <w:szCs w:val="21"/>
          <w:highlight w:val="none"/>
        </w:rPr>
      </w:pPr>
      <w:r>
        <w:rPr>
          <w:rFonts w:hint="eastAsia" w:ascii="宋体" w:hAnsi="宋体"/>
          <w:color w:val="auto"/>
          <w:szCs w:val="21"/>
          <w:highlight w:val="none"/>
        </w:rPr>
        <w:t>14）不满足采购文件规定的实质性要求的；</w:t>
      </w:r>
    </w:p>
    <w:p w14:paraId="7E596868">
      <w:pPr>
        <w:spacing w:line="360" w:lineRule="auto"/>
        <w:ind w:firstLine="420"/>
        <w:rPr>
          <w:rFonts w:ascii="宋体" w:hAnsi="宋体"/>
          <w:color w:val="auto"/>
          <w:szCs w:val="21"/>
          <w:highlight w:val="none"/>
        </w:rPr>
      </w:pPr>
      <w:r>
        <w:rPr>
          <w:rFonts w:hint="eastAsia" w:ascii="宋体" w:hAnsi="宋体"/>
          <w:color w:val="auto"/>
          <w:szCs w:val="21"/>
          <w:highlight w:val="none"/>
        </w:rPr>
        <w:t>15）国家和省另有规定属无效投标文件的。</w:t>
      </w:r>
    </w:p>
    <w:p w14:paraId="31AF925A">
      <w:pPr>
        <w:spacing w:line="360" w:lineRule="auto"/>
        <w:ind w:firstLine="420"/>
        <w:rPr>
          <w:rFonts w:ascii="宋体" w:hAnsi="宋体"/>
          <w:color w:val="auto"/>
          <w:szCs w:val="21"/>
          <w:highlight w:val="none"/>
        </w:rPr>
      </w:pPr>
      <w:r>
        <w:rPr>
          <w:rFonts w:hint="eastAsia" w:ascii="宋体" w:hAnsi="宋体"/>
          <w:color w:val="auto"/>
          <w:szCs w:val="21"/>
          <w:highlight w:val="none"/>
        </w:rPr>
        <w:t>6.3.2有下列情形之一的，视为投标供应商串通投标，其投标无效：</w:t>
      </w:r>
    </w:p>
    <w:p w14:paraId="78B9A21A">
      <w:pPr>
        <w:spacing w:line="360" w:lineRule="auto"/>
        <w:ind w:firstLine="420"/>
        <w:rPr>
          <w:rFonts w:ascii="宋体" w:hAnsi="宋体"/>
          <w:color w:val="auto"/>
          <w:szCs w:val="21"/>
          <w:highlight w:val="none"/>
        </w:rPr>
      </w:pPr>
      <w:r>
        <w:rPr>
          <w:rFonts w:hint="eastAsia" w:ascii="宋体" w:hAnsi="宋体"/>
          <w:color w:val="auto"/>
          <w:szCs w:val="21"/>
          <w:highlight w:val="none"/>
        </w:rPr>
        <w:t>（1）不同投标供应商的投标文件由同一单位或者个人编制；</w:t>
      </w:r>
    </w:p>
    <w:p w14:paraId="757D7879">
      <w:pPr>
        <w:spacing w:line="360" w:lineRule="auto"/>
        <w:ind w:firstLine="420"/>
        <w:rPr>
          <w:rFonts w:ascii="宋体" w:hAnsi="宋体"/>
          <w:color w:val="auto"/>
          <w:szCs w:val="21"/>
          <w:highlight w:val="none"/>
        </w:rPr>
      </w:pPr>
      <w:r>
        <w:rPr>
          <w:rFonts w:hint="eastAsia" w:ascii="宋体" w:hAnsi="宋体"/>
          <w:color w:val="auto"/>
          <w:szCs w:val="21"/>
          <w:highlight w:val="none"/>
        </w:rPr>
        <w:t>（2）不同投标供应商委托同一单位或者个人办理投标事宜；</w:t>
      </w:r>
    </w:p>
    <w:p w14:paraId="33AF3471">
      <w:pPr>
        <w:spacing w:line="360" w:lineRule="auto"/>
        <w:ind w:firstLine="420"/>
        <w:rPr>
          <w:rFonts w:ascii="宋体" w:hAnsi="宋体"/>
          <w:color w:val="auto"/>
          <w:szCs w:val="21"/>
          <w:highlight w:val="none"/>
        </w:rPr>
      </w:pPr>
      <w:r>
        <w:rPr>
          <w:rFonts w:hint="eastAsia" w:ascii="宋体" w:hAnsi="宋体"/>
          <w:color w:val="auto"/>
          <w:szCs w:val="21"/>
          <w:highlight w:val="none"/>
        </w:rPr>
        <w:t>（3）不同投标供应商的投标文件载明的项目管理成员或者联系人员为同一人；</w:t>
      </w:r>
    </w:p>
    <w:p w14:paraId="5F86B799">
      <w:pPr>
        <w:spacing w:line="360" w:lineRule="auto"/>
        <w:ind w:firstLine="420"/>
        <w:rPr>
          <w:rFonts w:ascii="宋体" w:hAnsi="宋体"/>
          <w:color w:val="auto"/>
          <w:szCs w:val="21"/>
          <w:highlight w:val="none"/>
        </w:rPr>
      </w:pPr>
      <w:r>
        <w:rPr>
          <w:rFonts w:hint="eastAsia" w:ascii="宋体" w:hAnsi="宋体"/>
          <w:color w:val="auto"/>
          <w:szCs w:val="21"/>
          <w:highlight w:val="none"/>
        </w:rPr>
        <w:t>（4）不同投标供应商的投标文件异常一致或者投标报价呈规律性差异；</w:t>
      </w:r>
    </w:p>
    <w:p w14:paraId="112A2EDA">
      <w:pPr>
        <w:spacing w:line="360" w:lineRule="auto"/>
        <w:ind w:firstLine="420"/>
        <w:rPr>
          <w:rFonts w:ascii="宋体" w:hAnsi="宋体"/>
          <w:color w:val="auto"/>
          <w:szCs w:val="21"/>
          <w:highlight w:val="none"/>
        </w:rPr>
      </w:pPr>
      <w:r>
        <w:rPr>
          <w:rFonts w:hint="eastAsia" w:ascii="宋体" w:hAnsi="宋体"/>
          <w:color w:val="auto"/>
          <w:szCs w:val="21"/>
          <w:highlight w:val="none"/>
        </w:rPr>
        <w:t>（5）不同投标供应商的投标文件相互混装。</w:t>
      </w:r>
    </w:p>
    <w:p w14:paraId="2BCF994A">
      <w:pPr>
        <w:spacing w:line="360" w:lineRule="auto"/>
        <w:ind w:firstLine="420"/>
        <w:rPr>
          <w:rFonts w:ascii="宋体" w:hAnsi="宋体"/>
          <w:color w:val="auto"/>
          <w:szCs w:val="21"/>
          <w:highlight w:val="none"/>
        </w:rPr>
      </w:pPr>
      <w:r>
        <w:rPr>
          <w:rFonts w:hint="eastAsia" w:ascii="宋体" w:hAnsi="宋体"/>
          <w:color w:val="auto"/>
          <w:szCs w:val="21"/>
          <w:highlight w:val="none"/>
        </w:rPr>
        <w:t>6.4废标</w:t>
      </w:r>
    </w:p>
    <w:p w14:paraId="07769FAC">
      <w:pPr>
        <w:spacing w:line="360" w:lineRule="auto"/>
        <w:ind w:firstLine="420"/>
        <w:rPr>
          <w:rFonts w:ascii="宋体" w:hAnsi="宋体"/>
          <w:color w:val="auto"/>
          <w:szCs w:val="21"/>
          <w:highlight w:val="none"/>
        </w:rPr>
      </w:pPr>
      <w:r>
        <w:rPr>
          <w:rFonts w:hint="eastAsia" w:ascii="宋体" w:hAnsi="宋体"/>
          <w:color w:val="auto"/>
          <w:szCs w:val="21"/>
          <w:highlight w:val="none"/>
        </w:rPr>
        <w:t>6.4.1根据《中华人民共和国政府采购法》第三十六条，出现下列情形之一的，应予以废标：</w:t>
      </w:r>
    </w:p>
    <w:p w14:paraId="3131A818">
      <w:pPr>
        <w:spacing w:line="360" w:lineRule="auto"/>
        <w:ind w:firstLine="420"/>
        <w:rPr>
          <w:rFonts w:ascii="宋体" w:hAnsi="宋体"/>
          <w:color w:val="auto"/>
          <w:szCs w:val="21"/>
          <w:highlight w:val="none"/>
        </w:rPr>
      </w:pPr>
      <w:r>
        <w:rPr>
          <w:rFonts w:hint="eastAsia" w:ascii="宋体" w:hAnsi="宋体"/>
          <w:color w:val="auto"/>
          <w:szCs w:val="21"/>
          <w:highlight w:val="none"/>
        </w:rPr>
        <w:t>（1）符合专业条件的供应商或者对采购文件作实质响应的供应商不足三家的；</w:t>
      </w:r>
    </w:p>
    <w:p w14:paraId="3A325305">
      <w:pPr>
        <w:spacing w:line="360" w:lineRule="auto"/>
        <w:ind w:firstLine="42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6D73586C">
      <w:pPr>
        <w:spacing w:line="360" w:lineRule="auto"/>
        <w:ind w:firstLine="420"/>
        <w:rPr>
          <w:rFonts w:ascii="宋体" w:hAnsi="宋体"/>
          <w:color w:val="auto"/>
          <w:szCs w:val="21"/>
          <w:highlight w:val="none"/>
        </w:rPr>
      </w:pPr>
      <w:r>
        <w:rPr>
          <w:rFonts w:hint="eastAsia" w:ascii="宋体" w:hAnsi="宋体"/>
          <w:color w:val="auto"/>
          <w:szCs w:val="21"/>
          <w:highlight w:val="none"/>
        </w:rPr>
        <w:t>（3）所有投标供应商的报价均超过了采购预算，采购人不能支付的；</w:t>
      </w:r>
    </w:p>
    <w:p w14:paraId="2FD95D65">
      <w:pPr>
        <w:spacing w:line="360" w:lineRule="auto"/>
        <w:ind w:firstLine="420"/>
        <w:rPr>
          <w:rFonts w:ascii="宋体" w:hAnsi="宋体"/>
          <w:color w:val="auto"/>
          <w:szCs w:val="21"/>
          <w:highlight w:val="none"/>
        </w:rPr>
      </w:pPr>
      <w:r>
        <w:rPr>
          <w:rFonts w:hint="eastAsia" w:ascii="宋体" w:hAnsi="宋体"/>
          <w:color w:val="auto"/>
          <w:szCs w:val="21"/>
          <w:highlight w:val="none"/>
        </w:rPr>
        <w:t>（4）因重大变故，采购任务取消的。</w:t>
      </w:r>
    </w:p>
    <w:p w14:paraId="10481AEC">
      <w:pPr>
        <w:spacing w:line="360" w:lineRule="auto"/>
        <w:ind w:firstLine="420"/>
        <w:rPr>
          <w:rFonts w:ascii="宋体" w:hAnsi="宋体"/>
          <w:color w:val="auto"/>
          <w:szCs w:val="21"/>
          <w:highlight w:val="none"/>
        </w:rPr>
      </w:pPr>
      <w:r>
        <w:rPr>
          <w:rFonts w:hint="eastAsia" w:ascii="宋体" w:hAnsi="宋体"/>
          <w:color w:val="auto"/>
          <w:szCs w:val="21"/>
          <w:highlight w:val="none"/>
        </w:rPr>
        <w:t>6.4.2采购过程中出现以下情形，导致电子交易平台无法正常运行，或者无法保证电子交易的公平、公正和安全时，采购组织机构可中止电子交易活动：</w:t>
      </w:r>
    </w:p>
    <w:p w14:paraId="186A7EBE">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（1）电子交易平台发生故障而无法登录访问的； </w:t>
      </w:r>
    </w:p>
    <w:p w14:paraId="43287885">
      <w:pPr>
        <w:spacing w:line="360" w:lineRule="auto"/>
        <w:ind w:firstLine="420"/>
        <w:rPr>
          <w:rFonts w:ascii="宋体" w:hAnsi="宋体"/>
          <w:color w:val="auto"/>
          <w:szCs w:val="21"/>
          <w:highlight w:val="none"/>
        </w:rPr>
      </w:pPr>
      <w:r>
        <w:rPr>
          <w:rFonts w:hint="eastAsia" w:ascii="宋体" w:hAnsi="宋体"/>
          <w:color w:val="auto"/>
          <w:szCs w:val="21"/>
          <w:highlight w:val="none"/>
        </w:rPr>
        <w:t>（2）电子交易平台应用或数据库出现错误，不能进行正常操作的；</w:t>
      </w:r>
    </w:p>
    <w:p w14:paraId="7E9959DB">
      <w:pPr>
        <w:spacing w:line="360" w:lineRule="auto"/>
        <w:ind w:firstLine="420"/>
        <w:rPr>
          <w:rFonts w:ascii="宋体" w:hAnsi="宋体"/>
          <w:color w:val="auto"/>
          <w:szCs w:val="21"/>
          <w:highlight w:val="none"/>
        </w:rPr>
      </w:pPr>
      <w:r>
        <w:rPr>
          <w:rFonts w:hint="eastAsia" w:ascii="宋体" w:hAnsi="宋体"/>
          <w:color w:val="auto"/>
          <w:szCs w:val="21"/>
          <w:highlight w:val="none"/>
        </w:rPr>
        <w:t>（3）电子交易平台发现严重安全漏洞，有潜在泄密危险的；</w:t>
      </w:r>
    </w:p>
    <w:p w14:paraId="2B523C4F">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（4）病毒发作导致不能进行正常操作的； </w:t>
      </w:r>
    </w:p>
    <w:p w14:paraId="088B30C3">
      <w:pPr>
        <w:spacing w:line="360" w:lineRule="auto"/>
        <w:ind w:firstLine="420"/>
        <w:rPr>
          <w:rFonts w:ascii="宋体" w:hAnsi="宋体"/>
          <w:color w:val="auto"/>
          <w:szCs w:val="21"/>
          <w:highlight w:val="none"/>
        </w:rPr>
      </w:pPr>
      <w:r>
        <w:rPr>
          <w:rFonts w:hint="eastAsia" w:ascii="宋体" w:hAnsi="宋体"/>
          <w:color w:val="auto"/>
          <w:szCs w:val="21"/>
          <w:highlight w:val="none"/>
        </w:rPr>
        <w:t>（5）其他无法保证电子交易的公平、公正和安全的情况。</w:t>
      </w:r>
    </w:p>
    <w:p w14:paraId="2D31BB0A">
      <w:pPr>
        <w:spacing w:line="360" w:lineRule="auto"/>
        <w:ind w:firstLine="420"/>
        <w:rPr>
          <w:rFonts w:ascii="宋体" w:hAnsi="宋体"/>
          <w:color w:val="auto"/>
          <w:szCs w:val="21"/>
          <w:highlight w:val="none"/>
        </w:rPr>
      </w:pPr>
      <w:r>
        <w:rPr>
          <w:rFonts w:hint="eastAsia" w:ascii="宋体" w:hAnsi="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06E5B65">
      <w:pPr>
        <w:spacing w:line="360" w:lineRule="auto"/>
        <w:ind w:firstLine="420"/>
        <w:rPr>
          <w:rFonts w:ascii="宋体" w:hAnsi="宋体"/>
          <w:color w:val="auto"/>
          <w:szCs w:val="21"/>
          <w:highlight w:val="none"/>
        </w:rPr>
      </w:pPr>
      <w:r>
        <w:rPr>
          <w:rFonts w:hint="eastAsia" w:ascii="宋体" w:hAnsi="宋体"/>
          <w:color w:val="auto"/>
          <w:szCs w:val="21"/>
          <w:highlight w:val="none"/>
        </w:rPr>
        <w:t>6.4.3 废标后，采购人应当将废标理由通知所有投标供应商并重新组织招标；或者经主管部门批准，采取其他方式组织采购。</w:t>
      </w:r>
    </w:p>
    <w:p w14:paraId="6CDCBB03">
      <w:pPr>
        <w:pStyle w:val="3"/>
        <w:ind w:firstLine="420"/>
        <w:jc w:val="center"/>
        <w:rPr>
          <w:rFonts w:ascii="宋体" w:hAnsi="宋体" w:cs="宋体"/>
          <w:color w:val="auto"/>
          <w:sz w:val="21"/>
          <w:szCs w:val="21"/>
          <w:highlight w:val="none"/>
        </w:rPr>
      </w:pPr>
      <w:bookmarkStart w:id="97" w:name="_Toc35261576"/>
      <w:bookmarkStart w:id="98" w:name="_Toc107927463"/>
      <w:bookmarkStart w:id="99" w:name="_Toc450482501"/>
      <w:bookmarkStart w:id="100" w:name="_Toc54978895"/>
      <w:bookmarkStart w:id="101" w:name="_Toc107927539"/>
      <w:r>
        <w:rPr>
          <w:rFonts w:hint="eastAsia" w:ascii="宋体" w:hAnsi="宋体" w:cs="宋体"/>
          <w:color w:val="auto"/>
          <w:sz w:val="21"/>
          <w:szCs w:val="21"/>
          <w:highlight w:val="none"/>
        </w:rPr>
        <w:t>七、定标</w:t>
      </w:r>
      <w:bookmarkEnd w:id="97"/>
      <w:bookmarkEnd w:id="98"/>
      <w:bookmarkEnd w:id="99"/>
      <w:bookmarkEnd w:id="100"/>
      <w:bookmarkEnd w:id="101"/>
    </w:p>
    <w:p w14:paraId="7DBDD8ED">
      <w:pPr>
        <w:spacing w:line="360" w:lineRule="auto"/>
        <w:ind w:firstLine="420"/>
        <w:rPr>
          <w:rFonts w:ascii="宋体" w:hAnsi="宋体"/>
          <w:color w:val="auto"/>
          <w:szCs w:val="21"/>
          <w:highlight w:val="none"/>
        </w:rPr>
      </w:pPr>
      <w:r>
        <w:rPr>
          <w:rFonts w:hint="eastAsia" w:ascii="宋体" w:hAnsi="宋体"/>
          <w:color w:val="auto"/>
          <w:szCs w:val="21"/>
          <w:highlight w:val="none"/>
        </w:rPr>
        <w:t>7.1依法确认采购结果</w:t>
      </w:r>
    </w:p>
    <w:p w14:paraId="0C0E7683">
      <w:pPr>
        <w:spacing w:line="360" w:lineRule="auto"/>
        <w:ind w:firstLine="420"/>
        <w:rPr>
          <w:rFonts w:ascii="宋体" w:hAnsi="宋体"/>
          <w:color w:val="auto"/>
          <w:szCs w:val="21"/>
          <w:highlight w:val="none"/>
        </w:rPr>
      </w:pPr>
      <w:r>
        <w:rPr>
          <w:rFonts w:hint="eastAsia" w:ascii="宋体" w:hAnsi="宋体"/>
          <w:color w:val="auto"/>
          <w:szCs w:val="21"/>
          <w:highlight w:val="none"/>
        </w:rPr>
        <w:t>7.1.1采购代理机构应当自评审结束之日起2个工作日内将评审报告送交采购人。</w:t>
      </w:r>
    </w:p>
    <w:p w14:paraId="49887106">
      <w:pPr>
        <w:spacing w:line="360" w:lineRule="auto"/>
        <w:ind w:firstLine="420"/>
        <w:rPr>
          <w:rFonts w:ascii="宋体" w:hAnsi="宋体"/>
          <w:color w:val="auto"/>
          <w:szCs w:val="21"/>
          <w:highlight w:val="none"/>
        </w:rPr>
      </w:pPr>
      <w:r>
        <w:rPr>
          <w:rFonts w:hint="eastAsia" w:ascii="宋体" w:hAnsi="宋体"/>
          <w:color w:val="auto"/>
          <w:szCs w:val="21"/>
          <w:highlight w:val="none"/>
        </w:rPr>
        <w:t>采购人应当自收到评标报告之日起5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30A27AF5">
      <w:pPr>
        <w:spacing w:line="360" w:lineRule="auto"/>
        <w:ind w:firstLine="420"/>
        <w:rPr>
          <w:rFonts w:ascii="宋体" w:hAnsi="宋体"/>
          <w:color w:val="auto"/>
          <w:szCs w:val="21"/>
          <w:highlight w:val="none"/>
        </w:rPr>
      </w:pPr>
      <w:r>
        <w:rPr>
          <w:rFonts w:hint="eastAsia" w:ascii="宋体" w:hAnsi="宋体"/>
          <w:color w:val="auto"/>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27CE7DEC">
      <w:pPr>
        <w:spacing w:line="360" w:lineRule="auto"/>
        <w:ind w:firstLine="420"/>
        <w:rPr>
          <w:rFonts w:ascii="宋体" w:hAnsi="宋体"/>
          <w:color w:val="auto"/>
          <w:szCs w:val="21"/>
          <w:highlight w:val="none"/>
        </w:rPr>
      </w:pPr>
      <w:r>
        <w:rPr>
          <w:rFonts w:hint="eastAsia" w:ascii="宋体" w:hAnsi="宋体"/>
          <w:color w:val="auto"/>
          <w:szCs w:val="21"/>
          <w:highlight w:val="none"/>
        </w:rPr>
        <w:t>采购人或者采购代理机构应当自中标供应商确定之日起2个工作日内，在省级以上财政部门指定的媒体上公告中标结果。</w:t>
      </w:r>
    </w:p>
    <w:p w14:paraId="32051D05">
      <w:pPr>
        <w:spacing w:line="360" w:lineRule="auto"/>
        <w:ind w:firstLine="420"/>
        <w:rPr>
          <w:rFonts w:ascii="宋体" w:hAnsi="宋体"/>
          <w:color w:val="auto"/>
          <w:szCs w:val="21"/>
          <w:highlight w:val="none"/>
        </w:rPr>
      </w:pPr>
      <w:r>
        <w:rPr>
          <w:rFonts w:hint="eastAsia" w:ascii="宋体" w:hAnsi="宋体"/>
          <w:color w:val="auto"/>
          <w:szCs w:val="21"/>
          <w:highlight w:val="none"/>
        </w:rPr>
        <w:t>公告期限为1个工作日。</w:t>
      </w:r>
    </w:p>
    <w:p w14:paraId="51E6EF6A">
      <w:pPr>
        <w:spacing w:line="360" w:lineRule="auto"/>
        <w:ind w:firstLine="420"/>
        <w:rPr>
          <w:rFonts w:ascii="宋体" w:hAnsi="宋体"/>
          <w:color w:val="auto"/>
          <w:szCs w:val="21"/>
          <w:highlight w:val="none"/>
        </w:rPr>
      </w:pPr>
      <w:r>
        <w:rPr>
          <w:rFonts w:hint="eastAsia" w:ascii="宋体" w:hAnsi="宋体"/>
          <w:color w:val="auto"/>
          <w:szCs w:val="21"/>
          <w:highlight w:val="none"/>
        </w:rPr>
        <w:t>7.2 除国务院财政部门规定的情形外，采购人、采购代理机构不得以任何理由组织重新评审。采购人、采购代理机构按照国务院财政部门的规定组织重新评审的，应当书面报告本级人民政府财政部门。</w:t>
      </w:r>
    </w:p>
    <w:p w14:paraId="7F962DE2">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7.3中标通知书发出后，采购人不得违法改变中标结果，中标供应商无正当理由不得放弃中标。 </w:t>
      </w:r>
    </w:p>
    <w:p w14:paraId="6258BD4E">
      <w:pPr>
        <w:spacing w:line="360" w:lineRule="auto"/>
        <w:ind w:firstLine="420"/>
        <w:rPr>
          <w:rFonts w:ascii="宋体" w:hAnsi="宋体"/>
          <w:color w:val="auto"/>
          <w:szCs w:val="21"/>
          <w:highlight w:val="none"/>
        </w:rPr>
      </w:pPr>
      <w:r>
        <w:rPr>
          <w:rFonts w:hint="eastAsia" w:ascii="宋体" w:hAnsi="宋体"/>
          <w:color w:val="auto"/>
          <w:szCs w:val="21"/>
          <w:highlight w:val="none"/>
        </w:rPr>
        <w:t>7.4中标供应商应为浙江政府采购注册供应商，如尚未注册，必须在投标截止前按照《浙江省政府采购供应商注册及诚信管理暂行办法》（浙财采监字［2009］28号）的相关规定，及时办理更新或供应商注册事项。</w:t>
      </w:r>
    </w:p>
    <w:p w14:paraId="4D62F447">
      <w:pPr>
        <w:pStyle w:val="3"/>
        <w:ind w:firstLine="420"/>
        <w:jc w:val="center"/>
        <w:rPr>
          <w:rFonts w:ascii="宋体" w:hAnsi="宋体" w:cs="宋体"/>
          <w:color w:val="auto"/>
          <w:sz w:val="21"/>
          <w:szCs w:val="21"/>
          <w:highlight w:val="none"/>
        </w:rPr>
      </w:pPr>
      <w:bookmarkStart w:id="102" w:name="_Toc450482502"/>
      <w:bookmarkStart w:id="103" w:name="_Toc107927464"/>
      <w:bookmarkStart w:id="104" w:name="_Toc35261577"/>
      <w:bookmarkStart w:id="105" w:name="_Toc54978896"/>
      <w:bookmarkStart w:id="106" w:name="_Toc107927540"/>
      <w:r>
        <w:rPr>
          <w:rFonts w:hint="eastAsia" w:ascii="宋体" w:hAnsi="宋体" w:cs="宋体"/>
          <w:color w:val="auto"/>
          <w:sz w:val="21"/>
          <w:szCs w:val="21"/>
          <w:highlight w:val="none"/>
        </w:rPr>
        <w:t>八、合同授予</w:t>
      </w:r>
      <w:bookmarkEnd w:id="102"/>
      <w:r>
        <w:rPr>
          <w:rFonts w:hint="eastAsia" w:ascii="宋体" w:hAnsi="宋体" w:cs="宋体"/>
          <w:color w:val="auto"/>
          <w:sz w:val="21"/>
          <w:szCs w:val="21"/>
          <w:highlight w:val="none"/>
        </w:rPr>
        <w:t>及签订</w:t>
      </w:r>
      <w:bookmarkEnd w:id="103"/>
      <w:bookmarkEnd w:id="104"/>
      <w:bookmarkEnd w:id="105"/>
      <w:bookmarkEnd w:id="106"/>
    </w:p>
    <w:p w14:paraId="285EE9B4">
      <w:pPr>
        <w:spacing w:line="360" w:lineRule="auto"/>
        <w:ind w:firstLine="420"/>
        <w:rPr>
          <w:rFonts w:ascii="宋体" w:hAnsi="宋体"/>
          <w:color w:val="auto"/>
          <w:szCs w:val="21"/>
          <w:highlight w:val="none"/>
        </w:rPr>
      </w:pPr>
      <w:r>
        <w:rPr>
          <w:rFonts w:hint="eastAsia" w:ascii="宋体" w:hAnsi="宋体"/>
          <w:color w:val="auto"/>
          <w:szCs w:val="21"/>
          <w:highlight w:val="none"/>
        </w:rPr>
        <w:t>8.1合同授予</w:t>
      </w:r>
    </w:p>
    <w:p w14:paraId="337753DB">
      <w:pPr>
        <w:spacing w:line="360" w:lineRule="auto"/>
        <w:ind w:firstLine="420"/>
        <w:rPr>
          <w:rFonts w:ascii="宋体" w:hAnsi="宋体"/>
          <w:color w:val="auto"/>
          <w:szCs w:val="21"/>
          <w:highlight w:val="none"/>
        </w:rPr>
      </w:pPr>
      <w:r>
        <w:rPr>
          <w:rFonts w:hint="eastAsia" w:ascii="宋体" w:hAnsi="宋体"/>
          <w:color w:val="auto"/>
          <w:szCs w:val="21"/>
          <w:highlight w:val="none"/>
        </w:rPr>
        <w:t>8.1.1本项目的合同将授予按本须知第7.1.1款所确定的中标供应商。</w:t>
      </w:r>
    </w:p>
    <w:p w14:paraId="1572E59F">
      <w:pPr>
        <w:spacing w:line="360" w:lineRule="auto"/>
        <w:ind w:firstLine="420"/>
        <w:rPr>
          <w:rFonts w:ascii="宋体" w:hAnsi="宋体"/>
          <w:color w:val="auto"/>
          <w:szCs w:val="21"/>
          <w:highlight w:val="none"/>
        </w:rPr>
      </w:pPr>
      <w:r>
        <w:rPr>
          <w:rFonts w:hint="eastAsia" w:ascii="宋体" w:hAnsi="宋体"/>
          <w:color w:val="auto"/>
          <w:szCs w:val="21"/>
          <w:highlight w:val="none"/>
        </w:rPr>
        <w:t>8.1.2 中标或者成交供应商拒绝与采购人签订合同的，采购人可以按照评审报告推荐的中标或者成交候选人名单排序，确定下一候选人为中标或者成交供应商，也可以重新开展政府采购活动。</w:t>
      </w:r>
    </w:p>
    <w:p w14:paraId="7EB3AE8F">
      <w:pPr>
        <w:spacing w:line="360" w:lineRule="auto"/>
        <w:ind w:firstLine="420"/>
        <w:rPr>
          <w:rFonts w:ascii="宋体" w:hAnsi="宋体"/>
          <w:color w:val="auto"/>
          <w:szCs w:val="21"/>
          <w:highlight w:val="none"/>
        </w:rPr>
      </w:pPr>
      <w:r>
        <w:rPr>
          <w:rFonts w:hint="eastAsia" w:ascii="宋体" w:hAnsi="宋体"/>
          <w:color w:val="auto"/>
          <w:szCs w:val="21"/>
          <w:highlight w:val="none"/>
        </w:rPr>
        <w:t>8.2签订合同</w:t>
      </w:r>
    </w:p>
    <w:p w14:paraId="1BB173F2">
      <w:pPr>
        <w:spacing w:line="360" w:lineRule="auto"/>
        <w:ind w:firstLine="420"/>
        <w:rPr>
          <w:rFonts w:ascii="宋体" w:hAnsi="宋体"/>
          <w:color w:val="auto"/>
          <w:szCs w:val="21"/>
          <w:highlight w:val="none"/>
        </w:rPr>
      </w:pPr>
      <w:r>
        <w:rPr>
          <w:rFonts w:hint="eastAsia" w:ascii="宋体" w:hAnsi="宋体"/>
          <w:color w:val="auto"/>
          <w:szCs w:val="21"/>
          <w:highlight w:val="none"/>
        </w:rPr>
        <w:t>8.2.1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14:paraId="52A8DD93">
      <w:pPr>
        <w:spacing w:line="360" w:lineRule="auto"/>
        <w:ind w:firstLine="420"/>
        <w:rPr>
          <w:rFonts w:ascii="宋体" w:hAnsi="宋体"/>
          <w:color w:val="auto"/>
          <w:szCs w:val="21"/>
          <w:highlight w:val="none"/>
        </w:rPr>
      </w:pPr>
      <w:r>
        <w:rPr>
          <w:rFonts w:hint="eastAsia" w:ascii="宋体" w:hAnsi="宋体"/>
          <w:color w:val="auto"/>
          <w:szCs w:val="21"/>
          <w:highlight w:val="none"/>
        </w:rPr>
        <w:t>8.2.2 中标供应商如不遵守采购文件或投标文件各项条款的邀约与要约，或在接到中标通知书后借故拖延，拒签合同的，采购人将依据国家和采购文件有关规定要求中标供应商予以赔偿，同时采购人可根据8.1.2的原则另行选择中标供应商；</w:t>
      </w:r>
    </w:p>
    <w:p w14:paraId="7B7A2795">
      <w:pPr>
        <w:spacing w:line="360" w:lineRule="auto"/>
        <w:ind w:firstLine="420"/>
        <w:rPr>
          <w:rFonts w:ascii="宋体" w:hAnsi="宋体"/>
          <w:color w:val="auto"/>
          <w:szCs w:val="21"/>
          <w:highlight w:val="none"/>
        </w:rPr>
      </w:pPr>
      <w:r>
        <w:rPr>
          <w:rFonts w:hint="eastAsia" w:ascii="宋体" w:hAnsi="宋体"/>
          <w:color w:val="auto"/>
          <w:szCs w:val="21"/>
          <w:highlight w:val="none"/>
        </w:rPr>
        <w:t>8.2.3 采购文件、中标供应商的投标文件及投标修改文件、评标过程中有关澄清文件及经投标供应商法定代表人或授权代表签字确认的询标回复和承诺及中标通知书均作为合同组成部分。</w:t>
      </w:r>
    </w:p>
    <w:p w14:paraId="78AF5A99">
      <w:pPr>
        <w:spacing w:line="360" w:lineRule="auto"/>
        <w:ind w:firstLine="420"/>
        <w:rPr>
          <w:rFonts w:ascii="宋体" w:hAnsi="宋体"/>
          <w:color w:val="auto"/>
          <w:szCs w:val="21"/>
          <w:highlight w:val="none"/>
        </w:rPr>
      </w:pPr>
      <w:r>
        <w:rPr>
          <w:rFonts w:hint="eastAsia" w:ascii="宋体" w:hAnsi="宋体"/>
          <w:color w:val="auto"/>
          <w:szCs w:val="21"/>
          <w:highlight w:val="none"/>
        </w:rPr>
        <w:t>8.3履约保证金</w:t>
      </w:r>
    </w:p>
    <w:p w14:paraId="298CA2D4">
      <w:pPr>
        <w:spacing w:line="360" w:lineRule="auto"/>
        <w:ind w:firstLine="420"/>
        <w:rPr>
          <w:rFonts w:ascii="宋体" w:hAnsi="宋体"/>
          <w:color w:val="auto"/>
          <w:szCs w:val="21"/>
          <w:highlight w:val="none"/>
        </w:rPr>
      </w:pPr>
      <w:r>
        <w:rPr>
          <w:rFonts w:hint="eastAsia" w:ascii="宋体" w:hAnsi="宋体"/>
          <w:color w:val="auto"/>
          <w:szCs w:val="21"/>
          <w:highlight w:val="none"/>
        </w:rPr>
        <w:t>8.3.1中标供应商按“投标供应商须知前附表”规定的缴纳履约保证金。</w:t>
      </w:r>
    </w:p>
    <w:p w14:paraId="52FB2958">
      <w:pPr>
        <w:spacing w:line="360" w:lineRule="auto"/>
        <w:ind w:firstLine="420"/>
        <w:rPr>
          <w:rFonts w:ascii="宋体" w:hAnsi="宋体"/>
          <w:color w:val="auto"/>
          <w:szCs w:val="21"/>
          <w:highlight w:val="none"/>
        </w:rPr>
      </w:pPr>
      <w:r>
        <w:rPr>
          <w:rFonts w:hint="eastAsia" w:ascii="宋体" w:hAnsi="宋体"/>
          <w:color w:val="auto"/>
          <w:szCs w:val="21"/>
          <w:highlight w:val="none"/>
        </w:rPr>
        <w:t>8.3.2履约保证金有效期按“投标供应商须知前附表”规定。</w:t>
      </w:r>
    </w:p>
    <w:p w14:paraId="44969FD5">
      <w:pPr>
        <w:spacing w:line="360" w:lineRule="auto"/>
        <w:ind w:firstLine="420"/>
        <w:rPr>
          <w:rFonts w:ascii="宋体" w:hAnsi="宋体"/>
          <w:color w:val="auto"/>
          <w:szCs w:val="21"/>
          <w:highlight w:val="none"/>
        </w:rPr>
      </w:pPr>
      <w:r>
        <w:rPr>
          <w:rFonts w:hint="eastAsia" w:ascii="宋体" w:hAnsi="宋体"/>
          <w:color w:val="auto"/>
          <w:szCs w:val="21"/>
          <w:highlight w:val="none"/>
        </w:rPr>
        <w:t>8.3.3履约保证金有效期结束后，中标供应商凭保证金收据无息退还。</w:t>
      </w:r>
    </w:p>
    <w:p w14:paraId="7ED5BEEE">
      <w:pPr>
        <w:spacing w:line="360" w:lineRule="auto"/>
        <w:ind w:firstLine="420"/>
        <w:rPr>
          <w:rFonts w:ascii="宋体" w:hAnsi="宋体"/>
          <w:color w:val="auto"/>
          <w:szCs w:val="21"/>
          <w:highlight w:val="none"/>
        </w:rPr>
      </w:pPr>
      <w:r>
        <w:rPr>
          <w:rFonts w:hint="eastAsia" w:ascii="宋体" w:hAnsi="宋体"/>
          <w:color w:val="auto"/>
          <w:szCs w:val="21"/>
          <w:highlight w:val="none"/>
        </w:rPr>
        <w:t>8.3.4如投标供应商有下列情况，投标供应商将承担赔偿责任，赔偿金额为项目预算金额的2%，如实际损失超过前述金额的，投标供应商需赔偿超过前述金额部分的实际损失。</w:t>
      </w:r>
    </w:p>
    <w:p w14:paraId="0C17D5B7">
      <w:pPr>
        <w:spacing w:line="360" w:lineRule="auto"/>
        <w:ind w:firstLine="420"/>
        <w:rPr>
          <w:rFonts w:ascii="宋体" w:hAnsi="宋体"/>
          <w:color w:val="auto"/>
          <w:szCs w:val="21"/>
          <w:highlight w:val="none"/>
        </w:rPr>
      </w:pPr>
      <w:r>
        <w:rPr>
          <w:rFonts w:hint="eastAsia" w:ascii="宋体" w:hAnsi="宋体"/>
          <w:color w:val="auto"/>
          <w:szCs w:val="21"/>
          <w:highlight w:val="none"/>
        </w:rPr>
        <w:t>（1）投标供应商在投标截止时间后撤销投标文件的；</w:t>
      </w:r>
    </w:p>
    <w:p w14:paraId="62FB21DD">
      <w:pPr>
        <w:spacing w:line="360" w:lineRule="auto"/>
        <w:ind w:firstLine="420"/>
        <w:rPr>
          <w:rFonts w:ascii="宋体" w:hAnsi="宋体"/>
          <w:color w:val="auto"/>
          <w:szCs w:val="21"/>
          <w:highlight w:val="none"/>
        </w:rPr>
      </w:pPr>
      <w:r>
        <w:rPr>
          <w:rFonts w:hint="eastAsia" w:ascii="宋体" w:hAnsi="宋体"/>
          <w:color w:val="auto"/>
          <w:szCs w:val="21"/>
          <w:highlight w:val="none"/>
        </w:rPr>
        <w:t>（2）投标供应商未按规定签订合同或转让中标的；</w:t>
      </w:r>
    </w:p>
    <w:p w14:paraId="324D4012">
      <w:pPr>
        <w:spacing w:line="360" w:lineRule="auto"/>
        <w:ind w:firstLine="420"/>
        <w:rPr>
          <w:rFonts w:ascii="宋体" w:hAnsi="宋体"/>
          <w:color w:val="auto"/>
          <w:szCs w:val="21"/>
          <w:highlight w:val="none"/>
        </w:rPr>
      </w:pPr>
      <w:r>
        <w:rPr>
          <w:rFonts w:hint="eastAsia" w:ascii="宋体" w:hAnsi="宋体"/>
          <w:color w:val="auto"/>
          <w:szCs w:val="21"/>
          <w:highlight w:val="none"/>
        </w:rPr>
        <w:t>（3）其他投标供应商违反《中华人民共和国政府采购法》等法律法规规定，给采购人造成损失的。</w:t>
      </w:r>
    </w:p>
    <w:p w14:paraId="1EF176D7">
      <w:pPr>
        <w:spacing w:line="360" w:lineRule="auto"/>
        <w:ind w:firstLine="420"/>
        <w:rPr>
          <w:rFonts w:ascii="宋体" w:hAnsi="宋体"/>
          <w:color w:val="auto"/>
          <w:szCs w:val="21"/>
          <w:highlight w:val="none"/>
        </w:rPr>
      </w:pPr>
      <w:r>
        <w:rPr>
          <w:rFonts w:hint="eastAsia" w:ascii="宋体" w:hAnsi="宋体"/>
          <w:color w:val="auto"/>
          <w:szCs w:val="21"/>
          <w:highlight w:val="none"/>
        </w:rPr>
        <w:t>8.4采购代理服务费</w:t>
      </w:r>
    </w:p>
    <w:p w14:paraId="7E2EB4A2">
      <w:pPr>
        <w:spacing w:line="360" w:lineRule="auto"/>
        <w:ind w:firstLine="420"/>
        <w:rPr>
          <w:rFonts w:ascii="宋体" w:hAnsi="宋体"/>
          <w:color w:val="auto"/>
          <w:szCs w:val="21"/>
          <w:highlight w:val="none"/>
        </w:rPr>
      </w:pPr>
      <w:r>
        <w:rPr>
          <w:rFonts w:hint="eastAsia" w:ascii="宋体" w:hAnsi="宋体"/>
          <w:color w:val="auto"/>
          <w:szCs w:val="21"/>
          <w:highlight w:val="none"/>
        </w:rPr>
        <w:t>本次采购代理服务费按“投标供应商须知前附表”规定收取。</w:t>
      </w:r>
      <w:bookmarkStart w:id="107" w:name="_Toc180555950"/>
      <w:bookmarkStart w:id="108" w:name="_Toc226337791"/>
      <w:bookmarkStart w:id="109" w:name="_Toc248065069"/>
    </w:p>
    <w:p w14:paraId="7833E091">
      <w:pPr>
        <w:spacing w:line="360" w:lineRule="auto"/>
        <w:ind w:firstLine="420"/>
        <w:rPr>
          <w:rFonts w:ascii="宋体" w:hAnsi="宋体"/>
          <w:color w:val="auto"/>
          <w:szCs w:val="21"/>
          <w:highlight w:val="none"/>
        </w:rPr>
      </w:pPr>
      <w:r>
        <w:rPr>
          <w:rFonts w:hint="eastAsia" w:ascii="宋体" w:hAnsi="宋体"/>
          <w:color w:val="auto"/>
          <w:szCs w:val="21"/>
          <w:highlight w:val="none"/>
        </w:rPr>
        <w:t>8.5诚实信用</w:t>
      </w:r>
      <w:bookmarkEnd w:id="107"/>
      <w:bookmarkEnd w:id="108"/>
      <w:bookmarkEnd w:id="109"/>
    </w:p>
    <w:p w14:paraId="0F2D3711">
      <w:pPr>
        <w:spacing w:line="360" w:lineRule="auto"/>
        <w:ind w:firstLine="420"/>
        <w:rPr>
          <w:rFonts w:ascii="宋体" w:hAnsi="宋体"/>
          <w:color w:val="auto"/>
          <w:szCs w:val="21"/>
          <w:highlight w:val="none"/>
        </w:rPr>
      </w:pPr>
      <w:bookmarkStart w:id="110" w:name="_Toc226337792"/>
      <w:bookmarkStart w:id="111" w:name="_Toc248065070"/>
      <w:bookmarkStart w:id="112" w:name="_Toc180555951"/>
      <w:r>
        <w:rPr>
          <w:rFonts w:hint="eastAsia" w:ascii="宋体" w:hAnsi="宋体"/>
          <w:color w:val="auto"/>
          <w:szCs w:val="21"/>
          <w:highlight w:val="none"/>
        </w:rPr>
        <w:t>8.5.1投标供应商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供应商之间串通投标（递交投标文件之前或之后），人为地使投标丧失竞争性，损害采购人从公开竞争中所能获得的权益。</w:t>
      </w:r>
    </w:p>
    <w:p w14:paraId="53C0D6C6">
      <w:pPr>
        <w:spacing w:line="360" w:lineRule="auto"/>
        <w:ind w:firstLine="420"/>
        <w:rPr>
          <w:rFonts w:ascii="宋体" w:hAnsi="宋体"/>
          <w:color w:val="auto"/>
          <w:szCs w:val="21"/>
          <w:highlight w:val="none"/>
        </w:rPr>
      </w:pPr>
      <w:r>
        <w:rPr>
          <w:rFonts w:hint="eastAsia" w:ascii="宋体" w:hAnsi="宋体"/>
          <w:color w:val="auto"/>
          <w:szCs w:val="21"/>
          <w:highlight w:val="none"/>
        </w:rPr>
        <w:t>8.5.2如果采购人有证据表明投标供应商在本招标项目的竞争中存在腐败、欺诈、失信记录或其他严重违背诚信原则的行为，则将拒绝其投标，或中标无效。</w:t>
      </w:r>
    </w:p>
    <w:p w14:paraId="39F1DE1D">
      <w:pPr>
        <w:spacing w:line="360" w:lineRule="auto"/>
        <w:ind w:firstLine="420"/>
        <w:rPr>
          <w:rFonts w:ascii="宋体" w:hAnsi="宋体"/>
          <w:color w:val="auto"/>
          <w:szCs w:val="21"/>
          <w:highlight w:val="none"/>
        </w:rPr>
      </w:pPr>
      <w:r>
        <w:rPr>
          <w:rFonts w:hint="eastAsia" w:ascii="宋体" w:hAnsi="宋体"/>
          <w:color w:val="auto"/>
          <w:szCs w:val="21"/>
          <w:highlight w:val="none"/>
        </w:rPr>
        <w:t>8.5.3如果中标供应商没有按照采购文件和中标通知书的规定签订合同，报嵊州市政府采购监督管理部门按照政府采购的有关规定进行处理。</w:t>
      </w:r>
      <w:bookmarkEnd w:id="110"/>
      <w:bookmarkEnd w:id="111"/>
      <w:bookmarkEnd w:id="112"/>
    </w:p>
    <w:p w14:paraId="49464F12">
      <w:pPr>
        <w:pStyle w:val="3"/>
        <w:ind w:firstLine="420"/>
        <w:jc w:val="center"/>
        <w:rPr>
          <w:rFonts w:ascii="宋体" w:hAnsi="宋体" w:cs="宋体"/>
          <w:color w:val="auto"/>
          <w:sz w:val="21"/>
          <w:szCs w:val="21"/>
          <w:highlight w:val="none"/>
        </w:rPr>
      </w:pPr>
      <w:bookmarkStart w:id="113" w:name="_Toc107927465"/>
      <w:bookmarkStart w:id="114" w:name="_Toc107927541"/>
      <w:bookmarkStart w:id="115" w:name="_Toc35261578"/>
      <w:bookmarkStart w:id="116" w:name="_Toc54978897"/>
      <w:r>
        <w:rPr>
          <w:rFonts w:hint="eastAsia" w:ascii="宋体" w:hAnsi="宋体" w:cs="宋体"/>
          <w:color w:val="auto"/>
          <w:sz w:val="21"/>
          <w:szCs w:val="21"/>
          <w:highlight w:val="none"/>
        </w:rPr>
        <w:t>九、投诉与质疑</w:t>
      </w:r>
      <w:bookmarkEnd w:id="113"/>
      <w:bookmarkEnd w:id="114"/>
      <w:bookmarkEnd w:id="115"/>
      <w:bookmarkEnd w:id="116"/>
    </w:p>
    <w:p w14:paraId="580F8987">
      <w:pPr>
        <w:spacing w:line="360" w:lineRule="auto"/>
        <w:ind w:firstLine="420"/>
        <w:rPr>
          <w:rFonts w:ascii="宋体" w:hAnsi="宋体"/>
          <w:color w:val="auto"/>
          <w:szCs w:val="21"/>
          <w:highlight w:val="none"/>
        </w:rPr>
      </w:pPr>
      <w:r>
        <w:rPr>
          <w:rFonts w:hint="eastAsia" w:ascii="宋体" w:hAnsi="宋体"/>
          <w:color w:val="auto"/>
          <w:szCs w:val="21"/>
          <w:highlight w:val="none"/>
        </w:rPr>
        <w:t>根据《中华人民共和国政府采购法》、《财政部关于加强政府采购供应商投诉受理审查工作的通知》(财库〔2007〕1号)和《政府采购质疑和投诉办法》（财政部令第94号）的规定，政府采购供应商（投标供应商，下同）可以依法提起质疑和投诉。</w:t>
      </w:r>
    </w:p>
    <w:p w14:paraId="32026FE4">
      <w:pPr>
        <w:spacing w:line="360" w:lineRule="auto"/>
        <w:ind w:firstLine="420"/>
        <w:rPr>
          <w:rFonts w:ascii="宋体" w:hAnsi="宋体"/>
          <w:color w:val="auto"/>
          <w:szCs w:val="21"/>
          <w:highlight w:val="none"/>
        </w:rPr>
      </w:pPr>
      <w:r>
        <w:rPr>
          <w:rFonts w:hint="eastAsia" w:ascii="宋体" w:hAnsi="宋体"/>
          <w:color w:val="auto"/>
          <w:szCs w:val="21"/>
          <w:highlight w:val="none"/>
        </w:rPr>
        <w:t>质疑函范本、投诉书范本请到浙江政府采购网下载专区下载。</w:t>
      </w:r>
    </w:p>
    <w:p w14:paraId="1E68ADF6">
      <w:pPr>
        <w:spacing w:line="360" w:lineRule="auto"/>
        <w:ind w:firstLine="420"/>
        <w:rPr>
          <w:rFonts w:ascii="宋体" w:hAnsi="宋体"/>
          <w:color w:val="auto"/>
          <w:szCs w:val="21"/>
          <w:highlight w:val="none"/>
        </w:rPr>
      </w:pPr>
      <w:r>
        <w:rPr>
          <w:rFonts w:hint="eastAsia" w:ascii="宋体" w:hAnsi="宋体"/>
          <w:color w:val="auto"/>
          <w:szCs w:val="21"/>
          <w:highlight w:val="none"/>
        </w:rPr>
        <w:t>9.1供应商询问</w:t>
      </w:r>
    </w:p>
    <w:p w14:paraId="12E6164A">
      <w:pPr>
        <w:spacing w:line="360" w:lineRule="auto"/>
        <w:ind w:firstLine="420"/>
        <w:rPr>
          <w:rFonts w:ascii="宋体" w:hAnsi="宋体"/>
          <w:color w:val="auto"/>
          <w:szCs w:val="21"/>
          <w:highlight w:val="none"/>
        </w:rPr>
      </w:pPr>
      <w:r>
        <w:rPr>
          <w:rFonts w:hint="eastAsia" w:ascii="宋体" w:hAnsi="宋体"/>
          <w:color w:val="auto"/>
          <w:szCs w:val="21"/>
          <w:highlight w:val="none"/>
        </w:rPr>
        <w:t>供应商对政府采购活动事项有疑问的，可以向采购机构提出询问，采购人或者采购代理机构应当在3个工作日内对供应商依法提出的询问作出答复，但答复的内容不得涉及商业秘密。</w:t>
      </w:r>
    </w:p>
    <w:p w14:paraId="0B20C8C8">
      <w:pPr>
        <w:spacing w:line="360" w:lineRule="auto"/>
        <w:ind w:firstLine="420"/>
        <w:rPr>
          <w:rFonts w:ascii="宋体" w:hAnsi="宋体"/>
          <w:color w:val="auto"/>
          <w:szCs w:val="21"/>
          <w:highlight w:val="none"/>
        </w:rPr>
      </w:pPr>
      <w:r>
        <w:rPr>
          <w:rFonts w:hint="eastAsia" w:ascii="宋体" w:hAnsi="宋体"/>
          <w:color w:val="auto"/>
          <w:szCs w:val="21"/>
          <w:highlight w:val="none"/>
        </w:rPr>
        <w:t>9.2供应商质疑</w:t>
      </w:r>
    </w:p>
    <w:p w14:paraId="6E6E9DF7">
      <w:pPr>
        <w:spacing w:line="360" w:lineRule="auto"/>
        <w:ind w:firstLine="420"/>
        <w:rPr>
          <w:rFonts w:ascii="宋体" w:hAnsi="宋体"/>
          <w:color w:val="auto"/>
          <w:szCs w:val="21"/>
          <w:highlight w:val="none"/>
        </w:rPr>
      </w:pPr>
      <w:r>
        <w:rPr>
          <w:rFonts w:hint="eastAsia" w:ascii="宋体" w:hAnsi="宋体"/>
          <w:color w:val="auto"/>
          <w:szCs w:val="21"/>
          <w:highlight w:val="none"/>
        </w:rPr>
        <w:t>9.2.1投标供应商认为采购文件、采购过程、中标或者成交结果使自己的权益受到损害的，可以在知道或者应知其权益受到损害之日起7个工作日内，以书面形式向采购人、采购代理机构提出质疑。</w:t>
      </w:r>
    </w:p>
    <w:p w14:paraId="52448683">
      <w:pPr>
        <w:spacing w:line="360" w:lineRule="auto"/>
        <w:ind w:firstLine="420"/>
        <w:rPr>
          <w:rFonts w:ascii="宋体" w:hAnsi="宋体"/>
          <w:color w:val="auto"/>
          <w:szCs w:val="21"/>
          <w:highlight w:val="none"/>
        </w:rPr>
      </w:pPr>
      <w:r>
        <w:rPr>
          <w:rFonts w:hint="eastAsia" w:ascii="宋体" w:hAnsi="宋体"/>
          <w:color w:val="auto"/>
          <w:szCs w:val="21"/>
          <w:highlight w:val="none"/>
        </w:rPr>
        <w:t>本项目要求投标供应商在法定质疑期内一次性提出针对同一采购程序环节的质疑。</w:t>
      </w:r>
    </w:p>
    <w:p w14:paraId="0FA54F4D">
      <w:pPr>
        <w:spacing w:line="360" w:lineRule="auto"/>
        <w:ind w:firstLine="420"/>
        <w:rPr>
          <w:rFonts w:ascii="宋体" w:hAnsi="宋体"/>
          <w:color w:val="auto"/>
          <w:szCs w:val="21"/>
          <w:highlight w:val="none"/>
        </w:rPr>
      </w:pPr>
      <w:r>
        <w:rPr>
          <w:rFonts w:hint="eastAsia" w:ascii="宋体" w:hAnsi="宋体"/>
          <w:color w:val="auto"/>
          <w:szCs w:val="21"/>
          <w:highlight w:val="none"/>
        </w:rPr>
        <w:t>9.2.2提出质疑的投标供应商（以下简称质疑人）应当是参与所质疑项目采购活动的投标供应商。</w:t>
      </w:r>
    </w:p>
    <w:p w14:paraId="205CAC9E">
      <w:pPr>
        <w:spacing w:line="360" w:lineRule="auto"/>
        <w:ind w:firstLine="420"/>
        <w:rPr>
          <w:rFonts w:ascii="宋体" w:hAnsi="宋体"/>
          <w:color w:val="auto"/>
          <w:szCs w:val="21"/>
          <w:highlight w:val="none"/>
        </w:rPr>
      </w:pPr>
      <w:r>
        <w:rPr>
          <w:rFonts w:hint="eastAsia" w:ascii="宋体" w:hAnsi="宋体"/>
          <w:color w:val="auto"/>
          <w:szCs w:val="21"/>
          <w:highlight w:val="none"/>
        </w:rPr>
        <w:t>潜在投标供应商已依法获取其可质疑的采购文件的，可以对该文件提出质疑。对采购文件提出质疑的，应当在获取采购文件或者采购文件公告期限届满之日起7个工作日内提出。</w:t>
      </w:r>
    </w:p>
    <w:p w14:paraId="3A58AB2B">
      <w:pPr>
        <w:spacing w:line="360" w:lineRule="auto"/>
        <w:ind w:firstLine="420"/>
        <w:rPr>
          <w:rFonts w:ascii="宋体" w:hAnsi="宋体"/>
          <w:color w:val="auto"/>
          <w:szCs w:val="21"/>
          <w:highlight w:val="none"/>
        </w:rPr>
      </w:pPr>
      <w:r>
        <w:rPr>
          <w:rFonts w:hint="eastAsia" w:ascii="宋体" w:hAnsi="宋体"/>
          <w:color w:val="auto"/>
          <w:szCs w:val="21"/>
          <w:highlight w:val="none"/>
        </w:rPr>
        <w:t>9.2.3投标供应商提出质疑应当提交质疑函和必要的证明材料。质疑函应当包括下列内容：</w:t>
      </w:r>
    </w:p>
    <w:p w14:paraId="6CC3E77D">
      <w:pPr>
        <w:spacing w:line="360" w:lineRule="auto"/>
        <w:ind w:firstLine="420"/>
        <w:rPr>
          <w:rFonts w:ascii="宋体" w:hAnsi="宋体"/>
          <w:color w:val="auto"/>
          <w:szCs w:val="21"/>
          <w:highlight w:val="none"/>
        </w:rPr>
      </w:pPr>
      <w:r>
        <w:rPr>
          <w:rFonts w:hint="eastAsia" w:ascii="宋体" w:hAnsi="宋体"/>
          <w:color w:val="auto"/>
          <w:szCs w:val="21"/>
          <w:highlight w:val="none"/>
        </w:rPr>
        <w:t>（一）投标供应商的姓名或者名称、地址、邮编、联系人及联系电话；</w:t>
      </w:r>
    </w:p>
    <w:p w14:paraId="2C2EF591">
      <w:pPr>
        <w:spacing w:line="360" w:lineRule="auto"/>
        <w:ind w:firstLine="420"/>
        <w:rPr>
          <w:rFonts w:ascii="宋体" w:hAnsi="宋体"/>
          <w:color w:val="auto"/>
          <w:szCs w:val="21"/>
          <w:highlight w:val="none"/>
        </w:rPr>
      </w:pPr>
      <w:r>
        <w:rPr>
          <w:rFonts w:hint="eastAsia" w:ascii="宋体" w:hAnsi="宋体"/>
          <w:color w:val="auto"/>
          <w:szCs w:val="21"/>
          <w:highlight w:val="none"/>
        </w:rPr>
        <w:t>（二）质疑项目的名称、编号；</w:t>
      </w:r>
    </w:p>
    <w:p w14:paraId="2EF42E01">
      <w:pPr>
        <w:spacing w:line="360" w:lineRule="auto"/>
        <w:ind w:firstLine="420"/>
        <w:rPr>
          <w:rFonts w:ascii="宋体" w:hAnsi="宋体"/>
          <w:color w:val="auto"/>
          <w:szCs w:val="21"/>
          <w:highlight w:val="none"/>
        </w:rPr>
      </w:pPr>
      <w:r>
        <w:rPr>
          <w:rFonts w:hint="eastAsia" w:ascii="宋体" w:hAnsi="宋体"/>
          <w:color w:val="auto"/>
          <w:szCs w:val="21"/>
          <w:highlight w:val="none"/>
        </w:rPr>
        <w:t>（三）具体、明确的质疑事项和与质疑事项相关的请求；</w:t>
      </w:r>
    </w:p>
    <w:p w14:paraId="0BC61B66">
      <w:pPr>
        <w:spacing w:line="360" w:lineRule="auto"/>
        <w:ind w:firstLine="420"/>
        <w:rPr>
          <w:rFonts w:ascii="宋体" w:hAnsi="宋体"/>
          <w:color w:val="auto"/>
          <w:szCs w:val="21"/>
          <w:highlight w:val="none"/>
        </w:rPr>
      </w:pPr>
      <w:r>
        <w:rPr>
          <w:rFonts w:hint="eastAsia" w:ascii="宋体" w:hAnsi="宋体"/>
          <w:color w:val="auto"/>
          <w:szCs w:val="21"/>
          <w:highlight w:val="none"/>
        </w:rPr>
        <w:t>（四）事实依据；</w:t>
      </w:r>
    </w:p>
    <w:p w14:paraId="224363BC">
      <w:pPr>
        <w:spacing w:line="360" w:lineRule="auto"/>
        <w:ind w:firstLine="420"/>
        <w:rPr>
          <w:rFonts w:ascii="宋体" w:hAnsi="宋体"/>
          <w:color w:val="auto"/>
          <w:szCs w:val="21"/>
          <w:highlight w:val="none"/>
        </w:rPr>
      </w:pPr>
      <w:r>
        <w:rPr>
          <w:rFonts w:hint="eastAsia" w:ascii="宋体" w:hAnsi="宋体"/>
          <w:color w:val="auto"/>
          <w:szCs w:val="21"/>
          <w:highlight w:val="none"/>
        </w:rPr>
        <w:t>（五）必要的法律依据；</w:t>
      </w:r>
    </w:p>
    <w:p w14:paraId="5CA1659E">
      <w:pPr>
        <w:spacing w:line="360" w:lineRule="auto"/>
        <w:ind w:firstLine="420"/>
        <w:rPr>
          <w:rFonts w:ascii="宋体" w:hAnsi="宋体"/>
          <w:color w:val="auto"/>
          <w:szCs w:val="21"/>
          <w:highlight w:val="none"/>
        </w:rPr>
      </w:pPr>
      <w:r>
        <w:rPr>
          <w:rFonts w:hint="eastAsia" w:ascii="宋体" w:hAnsi="宋体"/>
          <w:color w:val="auto"/>
          <w:szCs w:val="21"/>
          <w:highlight w:val="none"/>
        </w:rPr>
        <w:t>（六）提出质疑的日期。</w:t>
      </w:r>
    </w:p>
    <w:p w14:paraId="753C953B">
      <w:pPr>
        <w:spacing w:line="360" w:lineRule="auto"/>
        <w:ind w:firstLine="420"/>
        <w:rPr>
          <w:rFonts w:ascii="宋体" w:hAnsi="宋体"/>
          <w:color w:val="auto"/>
          <w:szCs w:val="21"/>
          <w:highlight w:val="none"/>
        </w:rPr>
      </w:pPr>
      <w:r>
        <w:rPr>
          <w:rFonts w:hint="eastAsia" w:ascii="宋体" w:hAnsi="宋体"/>
          <w:color w:val="auto"/>
          <w:szCs w:val="21"/>
          <w:highlight w:val="none"/>
        </w:rPr>
        <w:t>投标供应商为自然人的，应当由本人签字；投标供应商为法人或者其他组织的，应当由法定代表人、主要负责人，或者其授权代表签字或者盖章，并加盖公章。</w:t>
      </w:r>
    </w:p>
    <w:p w14:paraId="72C08B7D">
      <w:pPr>
        <w:spacing w:line="360" w:lineRule="auto"/>
        <w:ind w:firstLine="420"/>
        <w:rPr>
          <w:rFonts w:ascii="宋体" w:hAnsi="宋体"/>
          <w:color w:val="auto"/>
          <w:szCs w:val="21"/>
          <w:highlight w:val="none"/>
        </w:rPr>
      </w:pPr>
      <w:r>
        <w:rPr>
          <w:rFonts w:hint="eastAsia" w:ascii="宋体" w:hAnsi="宋体"/>
          <w:color w:val="auto"/>
          <w:szCs w:val="21"/>
          <w:highlight w:val="none"/>
        </w:rPr>
        <w:t>9.3.4采购人、采购代理机构在收到法定质疑期内发出的质疑函后7个工作日内作出答复，并以书面形式通知质疑人和其他有关投标供应商。质疑答复的内容不得涉及商业秘密。</w:t>
      </w:r>
    </w:p>
    <w:p w14:paraId="09BF12F0">
      <w:pPr>
        <w:spacing w:line="360" w:lineRule="auto"/>
        <w:ind w:firstLine="420"/>
        <w:rPr>
          <w:rFonts w:ascii="宋体" w:hAnsi="宋体"/>
          <w:color w:val="auto"/>
          <w:szCs w:val="21"/>
          <w:highlight w:val="none"/>
        </w:rPr>
      </w:pPr>
      <w:r>
        <w:rPr>
          <w:rFonts w:hint="eastAsia" w:ascii="宋体" w:hAnsi="宋体"/>
          <w:color w:val="auto"/>
          <w:szCs w:val="21"/>
          <w:highlight w:val="none"/>
        </w:rPr>
        <w:t>9.3供应商投诉</w:t>
      </w:r>
    </w:p>
    <w:p w14:paraId="6D9C450C">
      <w:pPr>
        <w:spacing w:line="360" w:lineRule="auto"/>
        <w:ind w:firstLine="420"/>
        <w:rPr>
          <w:rFonts w:ascii="宋体" w:hAnsi="宋体"/>
          <w:color w:val="auto"/>
          <w:szCs w:val="21"/>
          <w:highlight w:val="none"/>
        </w:rPr>
      </w:pPr>
      <w:r>
        <w:rPr>
          <w:rFonts w:hint="eastAsia" w:ascii="宋体" w:hAnsi="宋体"/>
          <w:color w:val="auto"/>
          <w:szCs w:val="21"/>
          <w:highlight w:val="none"/>
        </w:rPr>
        <w:t>质疑供应商对采购机构的答复不满意或者采购机构未在规定的时间内作出答复的，可以在答复期满后十五个工作日内向同级政府采购监督管理部门提出投诉。</w:t>
      </w:r>
    </w:p>
    <w:p w14:paraId="79118FEE">
      <w:pPr>
        <w:spacing w:line="360" w:lineRule="auto"/>
        <w:ind w:firstLine="420"/>
        <w:rPr>
          <w:rFonts w:ascii="宋体" w:hAnsi="宋体"/>
          <w:color w:val="auto"/>
          <w:szCs w:val="21"/>
          <w:highlight w:val="none"/>
        </w:rPr>
      </w:pPr>
      <w:r>
        <w:rPr>
          <w:rFonts w:hint="eastAsia" w:ascii="宋体" w:hAnsi="宋体"/>
          <w:color w:val="auto"/>
          <w:szCs w:val="21"/>
          <w:highlight w:val="none"/>
        </w:rPr>
        <w:t>9.4采购结束</w:t>
      </w:r>
    </w:p>
    <w:p w14:paraId="0E1A77C7">
      <w:pPr>
        <w:spacing w:line="360" w:lineRule="auto"/>
        <w:ind w:firstLine="420"/>
        <w:rPr>
          <w:rFonts w:ascii="宋体" w:hAnsi="宋体"/>
          <w:color w:val="auto"/>
          <w:szCs w:val="21"/>
          <w:highlight w:val="none"/>
        </w:rPr>
      </w:pPr>
      <w:r>
        <w:rPr>
          <w:rFonts w:hint="eastAsia" w:ascii="宋体" w:hAnsi="宋体"/>
          <w:color w:val="auto"/>
          <w:szCs w:val="21"/>
          <w:highlight w:val="none"/>
        </w:rPr>
        <w:t>9.4.1中标供应商与采购人签订合同生效后即为采购结束。</w:t>
      </w:r>
    </w:p>
    <w:p w14:paraId="5777D4C0">
      <w:pPr>
        <w:spacing w:line="360" w:lineRule="auto"/>
        <w:ind w:firstLine="420"/>
        <w:rPr>
          <w:rFonts w:ascii="宋体" w:hAnsi="宋体"/>
          <w:color w:val="auto"/>
          <w:szCs w:val="24"/>
          <w:highlight w:val="none"/>
        </w:rPr>
      </w:pPr>
      <w:r>
        <w:rPr>
          <w:rFonts w:hint="eastAsia" w:ascii="宋体" w:hAnsi="宋体"/>
          <w:color w:val="auto"/>
          <w:szCs w:val="21"/>
          <w:highlight w:val="none"/>
        </w:rPr>
        <w:t>9.4.2本项目的投标文件不予退回。</w:t>
      </w:r>
    </w:p>
    <w:p w14:paraId="17530819">
      <w:pPr>
        <w:pStyle w:val="2"/>
        <w:spacing w:line="360" w:lineRule="auto"/>
        <w:rPr>
          <w:rFonts w:hAnsi="宋体" w:cs="宋体"/>
          <w:color w:val="auto"/>
          <w:szCs w:val="36"/>
          <w:highlight w:val="none"/>
        </w:rPr>
        <w:sectPr>
          <w:headerReference r:id="rId3" w:type="default"/>
          <w:footerReference r:id="rId4" w:type="default"/>
          <w:pgSz w:w="11906" w:h="16838"/>
          <w:pgMar w:top="1134" w:right="1440" w:bottom="1134" w:left="1440" w:header="851" w:footer="992" w:gutter="0"/>
          <w:pgNumType w:start="0"/>
          <w:cols w:space="720" w:num="1"/>
          <w:titlePg/>
          <w:docGrid w:linePitch="312" w:charSpace="0"/>
        </w:sectPr>
      </w:pPr>
    </w:p>
    <w:p w14:paraId="7B934987">
      <w:pPr>
        <w:pStyle w:val="2"/>
        <w:spacing w:line="360" w:lineRule="auto"/>
        <w:ind w:hanging="478"/>
        <w:rPr>
          <w:rFonts w:hAnsi="宋体" w:cs="宋体"/>
          <w:color w:val="auto"/>
          <w:szCs w:val="36"/>
          <w:highlight w:val="none"/>
        </w:rPr>
      </w:pPr>
      <w:bookmarkStart w:id="117" w:name="_Toc471890748"/>
      <w:r>
        <w:rPr>
          <w:rFonts w:hint="eastAsia" w:hAnsi="宋体" w:cs="宋体"/>
          <w:color w:val="auto"/>
          <w:szCs w:val="36"/>
          <w:highlight w:val="none"/>
        </w:rPr>
        <w:t>第三章 项目招标范围及服务要求</w:t>
      </w:r>
    </w:p>
    <w:p w14:paraId="762FAAB6">
      <w:pPr>
        <w:spacing w:line="360" w:lineRule="auto"/>
        <w:ind w:firstLine="424" w:firstLineChars="202"/>
        <w:rPr>
          <w:color w:val="auto"/>
          <w:highlight w:val="none"/>
        </w:rPr>
      </w:pPr>
      <w:r>
        <w:rPr>
          <w:rFonts w:hint="eastAsia"/>
          <w:color w:val="auto"/>
          <w:highlight w:val="none"/>
        </w:rPr>
        <w:t>一、项目概况</w:t>
      </w:r>
    </w:p>
    <w:p w14:paraId="6F46EAFF">
      <w:pPr>
        <w:spacing w:line="360" w:lineRule="auto"/>
        <w:ind w:firstLine="424" w:firstLineChars="202"/>
        <w:rPr>
          <w:color w:val="auto"/>
          <w:highlight w:val="none"/>
        </w:rPr>
      </w:pPr>
      <w:r>
        <w:rPr>
          <w:rFonts w:hint="eastAsia"/>
          <w:color w:val="auto"/>
          <w:highlight w:val="none"/>
        </w:rPr>
        <w:t>根据《嵊州市市场监督管理局局政府采购相关管理办法》（嵊市监办〔2022〕8号）的要求的工作要求，为依法履行产品（商品））质量监管职责，进一步加强产品（商品）质量监管，切实维护市场秩序，维护消费者合法权益，促进经济平稳较快发展，通过公开招标选定产品（商品）质量检测机构，有利于进一步体现嵊州市产品（商品）质量检测机构确定的公正、公开和公平；有利于进一步提高我市产品（商品）质量检测工作的规范和水平；有利于进一步发挥产品（商品）质量检测在产品（商品）质量监管中的重要作用。</w:t>
      </w:r>
    </w:p>
    <w:p w14:paraId="209C567B">
      <w:pPr>
        <w:spacing w:line="360" w:lineRule="auto"/>
        <w:ind w:firstLine="424" w:firstLineChars="202"/>
        <w:rPr>
          <w:color w:val="auto"/>
          <w:highlight w:val="none"/>
        </w:rPr>
      </w:pPr>
      <w:r>
        <w:rPr>
          <w:rFonts w:hint="eastAsia"/>
          <w:color w:val="auto"/>
          <w:highlight w:val="none"/>
        </w:rPr>
        <w:t>二、招标内容及要求</w:t>
      </w:r>
    </w:p>
    <w:p w14:paraId="16269DEE">
      <w:pPr>
        <w:spacing w:line="360" w:lineRule="auto"/>
        <w:ind w:firstLine="424" w:firstLineChars="202"/>
        <w:rPr>
          <w:color w:val="auto"/>
          <w:highlight w:val="none"/>
        </w:rPr>
      </w:pPr>
      <w:r>
        <w:rPr>
          <w:rFonts w:hint="eastAsia"/>
          <w:color w:val="auto"/>
          <w:highlight w:val="none"/>
        </w:rPr>
        <w:t>1、本次检测分为3个标项</w:t>
      </w:r>
    </w:p>
    <w:p w14:paraId="44D3A730">
      <w:pPr>
        <w:spacing w:line="360" w:lineRule="auto"/>
        <w:ind w:firstLine="424" w:firstLineChars="202"/>
        <w:rPr>
          <w:color w:val="auto"/>
          <w:highlight w:val="none"/>
        </w:rPr>
      </w:pPr>
      <w:r>
        <w:rPr>
          <w:rFonts w:hint="eastAsia"/>
          <w:color w:val="auto"/>
          <w:highlight w:val="none"/>
        </w:rPr>
        <w:t>各投标供应商可自选标项进行投标，也可同时参加多个标项。每个供应商只能中一个标项。</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782"/>
        <w:gridCol w:w="5146"/>
        <w:gridCol w:w="1047"/>
      </w:tblGrid>
      <w:tr w14:paraId="5590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97" w:type="dxa"/>
            <w:vAlign w:val="center"/>
          </w:tcPr>
          <w:p w14:paraId="37D2F2E5">
            <w:pPr>
              <w:jc w:val="center"/>
              <w:rPr>
                <w:rFonts w:hint="eastAsia" w:eastAsiaTheme="minorEastAsia"/>
                <w:color w:val="auto"/>
                <w:highlight w:val="none"/>
                <w:lang w:val="en-US" w:eastAsia="zh-CN"/>
              </w:rPr>
            </w:pPr>
            <w:r>
              <w:rPr>
                <w:rFonts w:hint="eastAsia"/>
                <w:color w:val="auto"/>
                <w:highlight w:val="none"/>
              </w:rPr>
              <w:t>项目标</w:t>
            </w:r>
            <w:r>
              <w:rPr>
                <w:rFonts w:hint="eastAsia"/>
                <w:color w:val="auto"/>
                <w:highlight w:val="none"/>
                <w:lang w:val="en-US" w:eastAsia="zh-CN"/>
              </w:rPr>
              <w:t>项</w:t>
            </w:r>
          </w:p>
        </w:tc>
        <w:tc>
          <w:tcPr>
            <w:tcW w:w="1782" w:type="dxa"/>
            <w:vAlign w:val="center"/>
          </w:tcPr>
          <w:p w14:paraId="1C0666B1">
            <w:pPr>
              <w:jc w:val="center"/>
              <w:rPr>
                <w:color w:val="auto"/>
                <w:highlight w:val="none"/>
              </w:rPr>
            </w:pPr>
            <w:r>
              <w:rPr>
                <w:rFonts w:hint="eastAsia"/>
                <w:color w:val="auto"/>
                <w:highlight w:val="none"/>
              </w:rPr>
              <w:t>产品类别</w:t>
            </w:r>
          </w:p>
        </w:tc>
        <w:tc>
          <w:tcPr>
            <w:tcW w:w="5146" w:type="dxa"/>
            <w:vAlign w:val="center"/>
          </w:tcPr>
          <w:p w14:paraId="51437D7F">
            <w:pPr>
              <w:jc w:val="center"/>
              <w:rPr>
                <w:color w:val="auto"/>
                <w:highlight w:val="none"/>
              </w:rPr>
            </w:pPr>
            <w:r>
              <w:rPr>
                <w:rFonts w:hint="eastAsia"/>
                <w:color w:val="auto"/>
                <w:highlight w:val="none"/>
              </w:rPr>
              <w:t>代表性产品</w:t>
            </w:r>
          </w:p>
        </w:tc>
        <w:tc>
          <w:tcPr>
            <w:tcW w:w="1047" w:type="dxa"/>
            <w:vAlign w:val="center"/>
          </w:tcPr>
          <w:p w14:paraId="4C99BF50">
            <w:pPr>
              <w:jc w:val="center"/>
              <w:rPr>
                <w:color w:val="auto"/>
                <w:highlight w:val="none"/>
              </w:rPr>
            </w:pPr>
            <w:r>
              <w:rPr>
                <w:rFonts w:hint="eastAsia"/>
                <w:color w:val="auto"/>
                <w:highlight w:val="none"/>
              </w:rPr>
              <w:t>金额</w:t>
            </w:r>
          </w:p>
        </w:tc>
      </w:tr>
      <w:tr w14:paraId="2AC1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97" w:type="dxa"/>
            <w:vAlign w:val="center"/>
          </w:tcPr>
          <w:p w14:paraId="0FEE2CF5">
            <w:pPr>
              <w:jc w:val="center"/>
              <w:rPr>
                <w:color w:val="auto"/>
                <w:highlight w:val="none"/>
              </w:rPr>
            </w:pPr>
            <w:r>
              <w:rPr>
                <w:rFonts w:hint="eastAsia"/>
                <w:color w:val="auto"/>
                <w:highlight w:val="none"/>
              </w:rPr>
              <w:t>标</w:t>
            </w:r>
            <w:r>
              <w:rPr>
                <w:rFonts w:hint="eastAsia"/>
                <w:color w:val="auto"/>
                <w:highlight w:val="none"/>
                <w:lang w:val="en-US" w:eastAsia="zh-CN"/>
              </w:rPr>
              <w:t>项</w:t>
            </w:r>
            <w:r>
              <w:rPr>
                <w:rFonts w:hint="eastAsia"/>
                <w:color w:val="auto"/>
                <w:highlight w:val="none"/>
              </w:rPr>
              <w:t>一</w:t>
            </w:r>
          </w:p>
        </w:tc>
        <w:tc>
          <w:tcPr>
            <w:tcW w:w="1782" w:type="dxa"/>
            <w:shd w:val="clear" w:color="auto" w:fill="auto"/>
            <w:vAlign w:val="center"/>
          </w:tcPr>
          <w:p w14:paraId="6A41AAA3">
            <w:pPr>
              <w:jc w:val="center"/>
              <w:rPr>
                <w:rFonts w:ascii="Calibri" w:hAnsi="Calibri"/>
                <w:color w:val="auto"/>
                <w:szCs w:val="24"/>
                <w:highlight w:val="none"/>
              </w:rPr>
            </w:pPr>
            <w:r>
              <w:rPr>
                <w:rFonts w:hint="eastAsia"/>
                <w:color w:val="auto"/>
                <w:highlight w:val="none"/>
              </w:rPr>
              <w:t>机电类产品</w:t>
            </w:r>
          </w:p>
        </w:tc>
        <w:tc>
          <w:tcPr>
            <w:tcW w:w="5146" w:type="dxa"/>
          </w:tcPr>
          <w:p w14:paraId="46EF9825">
            <w:pPr>
              <w:jc w:val="left"/>
              <w:rPr>
                <w:color w:val="auto"/>
                <w:highlight w:val="none"/>
              </w:rPr>
            </w:pPr>
            <w:r>
              <w:rPr>
                <w:rFonts w:hint="eastAsia"/>
                <w:color w:val="auto"/>
                <w:highlight w:val="none"/>
              </w:rPr>
              <w:t>代表产品：安全帽、电热水壶、电热暖手器、电源适配器、吹风机、</w:t>
            </w:r>
            <w:r>
              <w:rPr>
                <w:color w:val="auto"/>
                <w:highlight w:val="none"/>
              </w:rPr>
              <w:t>风扇、</w:t>
            </w:r>
            <w:r>
              <w:rPr>
                <w:rFonts w:hint="eastAsia"/>
                <w:color w:val="auto"/>
                <w:highlight w:val="none"/>
              </w:rPr>
              <w:t>房间空气调节器、家用电动洗衣机、家用燃气</w:t>
            </w:r>
            <w:r>
              <w:rPr>
                <w:color w:val="auto"/>
                <w:highlight w:val="none"/>
              </w:rPr>
              <w:t>灶、调压器、</w:t>
            </w:r>
            <w:r>
              <w:rPr>
                <w:rFonts w:hint="eastAsia"/>
                <w:color w:val="auto"/>
                <w:highlight w:val="none"/>
              </w:rPr>
              <w:t>软管、</w:t>
            </w:r>
            <w:r>
              <w:rPr>
                <w:color w:val="auto"/>
                <w:highlight w:val="none"/>
              </w:rPr>
              <w:t>家用燃气热水器、</w:t>
            </w:r>
            <w:r>
              <w:rPr>
                <w:rFonts w:hint="eastAsia"/>
                <w:color w:val="auto"/>
                <w:highlight w:val="none"/>
              </w:rPr>
              <w:t>消毒柜、水嘴、地漏、卫生洁具及暖气管道、led读写台灯、电蚊拍、电动自行车、电动自行车充电器、开关插座、化肥、农用塑料制品、电线电缆、压力锅、</w:t>
            </w:r>
            <w:r>
              <w:rPr>
                <w:color w:val="auto"/>
                <w:highlight w:val="none"/>
              </w:rPr>
              <w:t>儿童安全座椅、电子门锁、手机充电器</w:t>
            </w:r>
            <w:r>
              <w:rPr>
                <w:rFonts w:hint="eastAsia"/>
                <w:color w:val="auto"/>
                <w:highlight w:val="none"/>
              </w:rPr>
              <w:t>等</w:t>
            </w:r>
          </w:p>
        </w:tc>
        <w:tc>
          <w:tcPr>
            <w:tcW w:w="1047" w:type="dxa"/>
            <w:vAlign w:val="center"/>
          </w:tcPr>
          <w:p w14:paraId="778C53FC">
            <w:pPr>
              <w:jc w:val="center"/>
              <w:rPr>
                <w:color w:val="auto"/>
                <w:highlight w:val="none"/>
              </w:rPr>
            </w:pPr>
            <w:r>
              <w:rPr>
                <w:rFonts w:hint="eastAsia"/>
                <w:color w:val="auto"/>
                <w:highlight w:val="none"/>
              </w:rPr>
              <w:t>41万（含买样费、复查费、复检费）</w:t>
            </w:r>
          </w:p>
        </w:tc>
      </w:tr>
      <w:tr w14:paraId="5D19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97" w:type="dxa"/>
            <w:vAlign w:val="center"/>
          </w:tcPr>
          <w:p w14:paraId="0908C234">
            <w:pPr>
              <w:jc w:val="center"/>
              <w:rPr>
                <w:color w:val="auto"/>
                <w:highlight w:val="none"/>
              </w:rPr>
            </w:pPr>
            <w:r>
              <w:rPr>
                <w:rFonts w:hint="eastAsia"/>
                <w:color w:val="auto"/>
                <w:highlight w:val="none"/>
              </w:rPr>
              <w:t>标</w:t>
            </w:r>
            <w:r>
              <w:rPr>
                <w:rFonts w:hint="eastAsia"/>
                <w:color w:val="auto"/>
                <w:highlight w:val="none"/>
                <w:lang w:val="en-US" w:eastAsia="zh-CN"/>
              </w:rPr>
              <w:t>项</w:t>
            </w:r>
            <w:r>
              <w:rPr>
                <w:rFonts w:hint="eastAsia"/>
                <w:color w:val="auto"/>
                <w:highlight w:val="none"/>
              </w:rPr>
              <w:t>二</w:t>
            </w:r>
          </w:p>
        </w:tc>
        <w:tc>
          <w:tcPr>
            <w:tcW w:w="1782" w:type="dxa"/>
            <w:vAlign w:val="center"/>
          </w:tcPr>
          <w:p w14:paraId="0D357065">
            <w:pPr>
              <w:jc w:val="center"/>
              <w:rPr>
                <w:rFonts w:ascii="Calibri" w:hAnsi="Calibri"/>
                <w:color w:val="auto"/>
                <w:szCs w:val="24"/>
                <w:highlight w:val="none"/>
              </w:rPr>
            </w:pPr>
            <w:r>
              <w:rPr>
                <w:rFonts w:hint="eastAsia"/>
                <w:color w:val="auto"/>
                <w:highlight w:val="none"/>
              </w:rPr>
              <w:t>成品油及汽车用产品</w:t>
            </w:r>
          </w:p>
        </w:tc>
        <w:tc>
          <w:tcPr>
            <w:tcW w:w="5146" w:type="dxa"/>
            <w:vAlign w:val="center"/>
          </w:tcPr>
          <w:p w14:paraId="27C693A2">
            <w:pPr>
              <w:jc w:val="left"/>
              <w:rPr>
                <w:color w:val="auto"/>
                <w:highlight w:val="none"/>
              </w:rPr>
            </w:pPr>
            <w:r>
              <w:rPr>
                <w:rFonts w:hint="eastAsia"/>
                <w:color w:val="auto"/>
                <w:highlight w:val="none"/>
              </w:rPr>
              <w:t>汽油、柴油、车用尿素水溶液、车用润滑油</w:t>
            </w:r>
            <w:r>
              <w:rPr>
                <w:color w:val="auto"/>
                <w:highlight w:val="none"/>
              </w:rPr>
              <w:t>等</w:t>
            </w:r>
          </w:p>
        </w:tc>
        <w:tc>
          <w:tcPr>
            <w:tcW w:w="1047" w:type="dxa"/>
            <w:vAlign w:val="center"/>
          </w:tcPr>
          <w:p w14:paraId="6DC7F38F">
            <w:pPr>
              <w:jc w:val="center"/>
              <w:rPr>
                <w:color w:val="auto"/>
                <w:highlight w:val="none"/>
              </w:rPr>
            </w:pPr>
            <w:r>
              <w:rPr>
                <w:rFonts w:hint="eastAsia"/>
                <w:color w:val="auto"/>
                <w:highlight w:val="none"/>
              </w:rPr>
              <w:t>24万（含买样费、复查费、复检费）</w:t>
            </w:r>
          </w:p>
        </w:tc>
      </w:tr>
      <w:tr w14:paraId="283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97" w:type="dxa"/>
            <w:vAlign w:val="center"/>
          </w:tcPr>
          <w:p w14:paraId="154E897A">
            <w:pPr>
              <w:jc w:val="center"/>
              <w:rPr>
                <w:color w:val="auto"/>
                <w:highlight w:val="none"/>
              </w:rPr>
            </w:pPr>
            <w:r>
              <w:rPr>
                <w:rFonts w:hint="eastAsia"/>
                <w:color w:val="auto"/>
                <w:highlight w:val="none"/>
              </w:rPr>
              <w:t>标</w:t>
            </w:r>
            <w:r>
              <w:rPr>
                <w:rFonts w:hint="eastAsia"/>
                <w:color w:val="auto"/>
                <w:highlight w:val="none"/>
                <w:lang w:val="en-US" w:eastAsia="zh-CN"/>
              </w:rPr>
              <w:t>项</w:t>
            </w:r>
            <w:r>
              <w:rPr>
                <w:rFonts w:hint="eastAsia"/>
                <w:color w:val="auto"/>
                <w:highlight w:val="none"/>
              </w:rPr>
              <w:t>三</w:t>
            </w:r>
          </w:p>
        </w:tc>
        <w:tc>
          <w:tcPr>
            <w:tcW w:w="1782" w:type="dxa"/>
            <w:vAlign w:val="center"/>
          </w:tcPr>
          <w:p w14:paraId="5BFAB008">
            <w:pPr>
              <w:jc w:val="center"/>
              <w:rPr>
                <w:rFonts w:ascii="Calibri" w:hAnsi="Calibri"/>
                <w:color w:val="auto"/>
                <w:szCs w:val="24"/>
                <w:highlight w:val="none"/>
              </w:rPr>
            </w:pPr>
            <w:r>
              <w:rPr>
                <w:rFonts w:hint="eastAsia"/>
                <w:color w:val="auto"/>
                <w:highlight w:val="none"/>
              </w:rPr>
              <w:t>安全、建材、日用消费品类</w:t>
            </w:r>
          </w:p>
        </w:tc>
        <w:tc>
          <w:tcPr>
            <w:tcW w:w="5146" w:type="dxa"/>
          </w:tcPr>
          <w:p w14:paraId="250CD12B">
            <w:pPr>
              <w:jc w:val="left"/>
              <w:rPr>
                <w:color w:val="auto"/>
                <w:highlight w:val="none"/>
              </w:rPr>
            </w:pPr>
            <w:r>
              <w:rPr>
                <w:color w:val="auto"/>
                <w:highlight w:val="none"/>
              </w:rPr>
              <w:t>烟花爆竹、</w:t>
            </w:r>
            <w:r>
              <w:rPr>
                <w:rFonts w:hint="eastAsia"/>
                <w:color w:val="auto"/>
                <w:highlight w:val="none"/>
              </w:rPr>
              <w:t>消防用品、儿童学生用品、</w:t>
            </w:r>
            <w:r>
              <w:rPr>
                <w:color w:val="auto"/>
                <w:highlight w:val="none"/>
              </w:rPr>
              <w:t>妇女和老年用品、</w:t>
            </w:r>
            <w:r>
              <w:rPr>
                <w:rFonts w:hint="eastAsia"/>
                <w:color w:val="auto"/>
                <w:highlight w:val="none"/>
              </w:rPr>
              <w:t>文具、玩具、建材</w:t>
            </w:r>
            <w:r>
              <w:rPr>
                <w:color w:val="auto"/>
                <w:highlight w:val="none"/>
              </w:rPr>
              <w:t>（钢筋、水泥、水性涂料、陶瓷砖、管件管材、</w:t>
            </w:r>
            <w:r>
              <w:rPr>
                <w:rFonts w:hint="eastAsia"/>
                <w:color w:val="auto"/>
                <w:highlight w:val="none"/>
              </w:rPr>
              <w:t>湿法硬质纤维板</w:t>
            </w:r>
            <w:r>
              <w:rPr>
                <w:color w:val="auto"/>
                <w:highlight w:val="none"/>
              </w:rPr>
              <w:t>、木地板等）</w:t>
            </w:r>
            <w:r>
              <w:rPr>
                <w:rFonts w:hint="eastAsia"/>
                <w:color w:val="auto"/>
                <w:highlight w:val="none"/>
              </w:rPr>
              <w:t>、不锈钢餐具、不锈钢保温容器、口罩、服装、眼镜、床上用品、食品接触用纸容器、化肥、农用</w:t>
            </w:r>
            <w:r>
              <w:rPr>
                <w:color w:val="auto"/>
                <w:highlight w:val="none"/>
              </w:rPr>
              <w:t>地膜、</w:t>
            </w:r>
            <w:r>
              <w:rPr>
                <w:rFonts w:hint="eastAsia"/>
                <w:color w:val="auto"/>
                <w:highlight w:val="none"/>
              </w:rPr>
              <w:t>塑料制品、电动自行车、电动自行车充电器、开关插座、</w:t>
            </w:r>
            <w:r>
              <w:rPr>
                <w:color w:val="auto"/>
                <w:highlight w:val="none"/>
              </w:rPr>
              <w:t>油墨、</w:t>
            </w:r>
            <w:r>
              <w:rPr>
                <w:rFonts w:hint="eastAsia"/>
                <w:color w:val="auto"/>
                <w:highlight w:val="none"/>
              </w:rPr>
              <w:t>活性染料、电冰箱用分子筛过滤器、针织机械（倍捻机）等</w:t>
            </w:r>
          </w:p>
        </w:tc>
        <w:tc>
          <w:tcPr>
            <w:tcW w:w="1047" w:type="dxa"/>
            <w:vAlign w:val="center"/>
          </w:tcPr>
          <w:p w14:paraId="3869E030">
            <w:pPr>
              <w:jc w:val="center"/>
              <w:rPr>
                <w:color w:val="auto"/>
                <w:highlight w:val="none"/>
              </w:rPr>
            </w:pPr>
            <w:r>
              <w:rPr>
                <w:rFonts w:hint="eastAsia"/>
                <w:color w:val="auto"/>
                <w:highlight w:val="none"/>
              </w:rPr>
              <w:t>65万（含买样费、复查费、复检费）</w:t>
            </w:r>
          </w:p>
        </w:tc>
      </w:tr>
    </w:tbl>
    <w:p w14:paraId="13737E4B">
      <w:pPr>
        <w:spacing w:line="360" w:lineRule="auto"/>
        <w:rPr>
          <w:color w:val="auto"/>
          <w:highlight w:val="none"/>
        </w:rPr>
      </w:pPr>
    </w:p>
    <w:p w14:paraId="57954919">
      <w:pPr>
        <w:spacing w:line="360" w:lineRule="auto"/>
        <w:ind w:firstLine="424" w:firstLineChars="202"/>
        <w:rPr>
          <w:rFonts w:hint="eastAsia"/>
          <w:color w:val="auto"/>
          <w:highlight w:val="none"/>
        </w:rPr>
      </w:pPr>
    </w:p>
    <w:p w14:paraId="680C3228">
      <w:pPr>
        <w:spacing w:line="360" w:lineRule="auto"/>
        <w:ind w:firstLine="424" w:firstLineChars="202"/>
        <w:rPr>
          <w:rFonts w:hint="eastAsia"/>
          <w:color w:val="auto"/>
          <w:highlight w:val="none"/>
        </w:rPr>
      </w:pPr>
    </w:p>
    <w:p w14:paraId="3FE9754F">
      <w:pPr>
        <w:spacing w:line="360" w:lineRule="auto"/>
        <w:ind w:firstLine="424" w:firstLineChars="202"/>
        <w:rPr>
          <w:rFonts w:hint="eastAsia"/>
          <w:color w:val="auto"/>
          <w:highlight w:val="none"/>
        </w:rPr>
      </w:pPr>
    </w:p>
    <w:p w14:paraId="23F8561C">
      <w:pPr>
        <w:spacing w:line="360" w:lineRule="auto"/>
        <w:ind w:firstLine="424" w:firstLineChars="202"/>
        <w:rPr>
          <w:rFonts w:hint="eastAsia"/>
          <w:color w:val="auto"/>
          <w:highlight w:val="none"/>
        </w:rPr>
      </w:pPr>
    </w:p>
    <w:p w14:paraId="4CF2D7DB">
      <w:pPr>
        <w:spacing w:line="360" w:lineRule="auto"/>
        <w:ind w:firstLine="424" w:firstLineChars="202"/>
        <w:rPr>
          <w:rFonts w:hint="eastAsia"/>
          <w:color w:val="auto"/>
          <w:highlight w:val="none"/>
        </w:rPr>
      </w:pPr>
    </w:p>
    <w:p w14:paraId="542DDADD">
      <w:pPr>
        <w:spacing w:line="360" w:lineRule="auto"/>
        <w:ind w:firstLine="424" w:firstLineChars="202"/>
        <w:rPr>
          <w:rFonts w:hint="eastAsia"/>
          <w:color w:val="auto"/>
          <w:highlight w:val="none"/>
        </w:rPr>
      </w:pPr>
    </w:p>
    <w:p w14:paraId="6B1CB0FF">
      <w:pPr>
        <w:spacing w:line="360" w:lineRule="auto"/>
        <w:ind w:firstLine="424" w:firstLineChars="202"/>
        <w:rPr>
          <w:rFonts w:hint="eastAsia"/>
          <w:color w:val="auto"/>
          <w:highlight w:val="none"/>
        </w:rPr>
      </w:pPr>
    </w:p>
    <w:p w14:paraId="502C4ED7">
      <w:pPr>
        <w:spacing w:line="360" w:lineRule="auto"/>
        <w:ind w:firstLine="424" w:firstLineChars="202"/>
        <w:rPr>
          <w:color w:val="auto"/>
          <w:highlight w:val="none"/>
        </w:rPr>
      </w:pPr>
      <w:r>
        <w:rPr>
          <w:rFonts w:hint="eastAsia"/>
          <w:color w:val="auto"/>
          <w:highlight w:val="none"/>
        </w:rPr>
        <w:t>检测项目（包括但不限于）：</w:t>
      </w:r>
    </w:p>
    <w:tbl>
      <w:tblPr>
        <w:tblStyle w:val="7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54"/>
        <w:gridCol w:w="1439"/>
        <w:gridCol w:w="4252"/>
      </w:tblGrid>
      <w:tr w14:paraId="477A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6313E29">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标项名称</w:t>
            </w:r>
          </w:p>
        </w:tc>
        <w:tc>
          <w:tcPr>
            <w:tcW w:w="1418" w:type="dxa"/>
            <w:vAlign w:val="center"/>
          </w:tcPr>
          <w:p w14:paraId="05FD3CDB">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检测产品（商品）类别</w:t>
            </w:r>
          </w:p>
        </w:tc>
        <w:tc>
          <w:tcPr>
            <w:tcW w:w="1254" w:type="dxa"/>
            <w:vAlign w:val="center"/>
          </w:tcPr>
          <w:p w14:paraId="4E1882B9">
            <w:pPr>
              <w:jc w:val="center"/>
              <w:rPr>
                <w:rFonts w:cs="宋体" w:asciiTheme="minorEastAsia" w:hAnsiTheme="minorEastAsia"/>
                <w:color w:val="auto"/>
                <w:szCs w:val="21"/>
                <w:highlight w:val="none"/>
              </w:rPr>
            </w:pPr>
            <w:r>
              <w:rPr>
                <w:rFonts w:hint="eastAsia" w:cs="宋体" w:asciiTheme="minorEastAsia" w:hAnsiTheme="minorEastAsia"/>
                <w:color w:val="auto"/>
                <w:kern w:val="0"/>
                <w:szCs w:val="21"/>
                <w:highlight w:val="none"/>
              </w:rPr>
              <w:t>检测最高限价（元/批）</w:t>
            </w:r>
          </w:p>
        </w:tc>
        <w:tc>
          <w:tcPr>
            <w:tcW w:w="1439" w:type="dxa"/>
            <w:vAlign w:val="center"/>
          </w:tcPr>
          <w:p w14:paraId="4BF45DCA">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检测标准</w:t>
            </w:r>
          </w:p>
        </w:tc>
        <w:tc>
          <w:tcPr>
            <w:tcW w:w="4252" w:type="dxa"/>
            <w:vAlign w:val="center"/>
          </w:tcPr>
          <w:p w14:paraId="4CCCA129">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检测项目</w:t>
            </w:r>
          </w:p>
        </w:tc>
      </w:tr>
      <w:tr w14:paraId="4546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restart"/>
            <w:vAlign w:val="center"/>
          </w:tcPr>
          <w:p w14:paraId="0A436435">
            <w:pPr>
              <w:jc w:val="cente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标</w:t>
            </w:r>
          </w:p>
          <w:p w14:paraId="4D42FE04">
            <w:pPr>
              <w:jc w:val="cente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项</w:t>
            </w:r>
          </w:p>
          <w:p w14:paraId="33E69604">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一</w:t>
            </w:r>
          </w:p>
        </w:tc>
        <w:tc>
          <w:tcPr>
            <w:tcW w:w="1418" w:type="dxa"/>
            <w:vAlign w:val="center"/>
          </w:tcPr>
          <w:p w14:paraId="4EC4D1F9">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安全帽</w:t>
            </w:r>
          </w:p>
        </w:tc>
        <w:tc>
          <w:tcPr>
            <w:tcW w:w="1254" w:type="dxa"/>
            <w:vAlign w:val="center"/>
          </w:tcPr>
          <w:p w14:paraId="2A37F047">
            <w:pPr>
              <w:jc w:val="center"/>
              <w:rPr>
                <w:rFonts w:ascii="宋体" w:hAnsi="宋体" w:eastAsia="宋体" w:cs="宋体"/>
                <w:color w:val="auto"/>
                <w:sz w:val="20"/>
                <w:szCs w:val="20"/>
                <w:highlight w:val="none"/>
              </w:rPr>
            </w:pPr>
            <w:r>
              <w:rPr>
                <w:rFonts w:hint="eastAsia"/>
                <w:color w:val="auto"/>
                <w:sz w:val="20"/>
                <w:szCs w:val="20"/>
                <w:highlight w:val="none"/>
              </w:rPr>
              <w:t>2800</w:t>
            </w:r>
          </w:p>
        </w:tc>
        <w:tc>
          <w:tcPr>
            <w:tcW w:w="1439" w:type="dxa"/>
            <w:vAlign w:val="center"/>
          </w:tcPr>
          <w:p w14:paraId="28E89CF9">
            <w:pPr>
              <w:rPr>
                <w:rFonts w:cs="宋体" w:asciiTheme="minorEastAsia" w:hAnsiTheme="minorEastAsia"/>
                <w:color w:val="auto"/>
                <w:szCs w:val="21"/>
                <w:highlight w:val="none"/>
              </w:rPr>
            </w:pPr>
            <w:r>
              <w:rPr>
                <w:rFonts w:hint="eastAsia" w:asciiTheme="minorEastAsia" w:hAnsiTheme="minorEastAsia"/>
                <w:color w:val="auto"/>
                <w:szCs w:val="21"/>
                <w:highlight w:val="none"/>
              </w:rPr>
              <w:t>GB 2811-2019</w:t>
            </w:r>
          </w:p>
        </w:tc>
        <w:tc>
          <w:tcPr>
            <w:tcW w:w="4252" w:type="dxa"/>
            <w:vAlign w:val="center"/>
          </w:tcPr>
          <w:p w14:paraId="106304F9">
            <w:pPr>
              <w:rPr>
                <w:rFonts w:cs="宋体" w:asciiTheme="minorEastAsia" w:hAnsiTheme="minorEastAsia"/>
                <w:color w:val="auto"/>
                <w:szCs w:val="21"/>
                <w:highlight w:val="none"/>
              </w:rPr>
            </w:pPr>
            <w:r>
              <w:rPr>
                <w:rFonts w:hint="eastAsia" w:asciiTheme="minorEastAsia" w:hAnsiTheme="minorEastAsia"/>
                <w:color w:val="auto"/>
                <w:szCs w:val="21"/>
                <w:highlight w:val="none"/>
              </w:rPr>
              <w:t>佩戴高度、冲击吸收性能（低温）、耐穿刺性能（低温）、垂直间距</w:t>
            </w:r>
          </w:p>
        </w:tc>
      </w:tr>
      <w:tr w14:paraId="6F5C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continue"/>
            <w:vAlign w:val="center"/>
          </w:tcPr>
          <w:p w14:paraId="2CB2DCC8">
            <w:pPr>
              <w:jc w:val="center"/>
              <w:rPr>
                <w:rFonts w:cs="宋体" w:asciiTheme="minorEastAsia" w:hAnsiTheme="minorEastAsia"/>
                <w:color w:val="auto"/>
                <w:szCs w:val="21"/>
                <w:highlight w:val="none"/>
              </w:rPr>
            </w:pPr>
          </w:p>
        </w:tc>
        <w:tc>
          <w:tcPr>
            <w:tcW w:w="1418" w:type="dxa"/>
            <w:vAlign w:val="center"/>
          </w:tcPr>
          <w:p w14:paraId="001CE9C0">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电热水壶</w:t>
            </w:r>
          </w:p>
        </w:tc>
        <w:tc>
          <w:tcPr>
            <w:tcW w:w="1254" w:type="dxa"/>
            <w:vAlign w:val="center"/>
          </w:tcPr>
          <w:p w14:paraId="729F9F27">
            <w:pPr>
              <w:jc w:val="center"/>
              <w:rPr>
                <w:rFonts w:ascii="宋体" w:hAnsi="宋体" w:eastAsia="宋体" w:cs="宋体"/>
                <w:color w:val="auto"/>
                <w:sz w:val="20"/>
                <w:szCs w:val="20"/>
                <w:highlight w:val="none"/>
              </w:rPr>
            </w:pPr>
            <w:r>
              <w:rPr>
                <w:rFonts w:hint="eastAsia"/>
                <w:color w:val="auto"/>
                <w:sz w:val="20"/>
                <w:szCs w:val="20"/>
                <w:highlight w:val="none"/>
              </w:rPr>
              <w:t>3000</w:t>
            </w:r>
          </w:p>
        </w:tc>
        <w:tc>
          <w:tcPr>
            <w:tcW w:w="1439" w:type="dxa"/>
            <w:vAlign w:val="center"/>
          </w:tcPr>
          <w:p w14:paraId="5655F2AF">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4706.19-2008</w:t>
            </w:r>
          </w:p>
        </w:tc>
        <w:tc>
          <w:tcPr>
            <w:tcW w:w="4252" w:type="dxa"/>
            <w:vAlign w:val="center"/>
          </w:tcPr>
          <w:p w14:paraId="3818D32F">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对触及带电部件的防护、输入功率和电流、工作温度下的泄漏电流和电气强度、耐潮湿、泄漏电流和电气强度、稳定性和机械危险、机械强度、内部布线、电源连接和外部软线、外部导线用接线端子、接地措施、螺钉和连接、电气间隙、爬电距离和固体绝缘</w:t>
            </w:r>
          </w:p>
        </w:tc>
      </w:tr>
      <w:tr w14:paraId="3A9D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1D432D56">
            <w:pPr>
              <w:jc w:val="center"/>
              <w:rPr>
                <w:rFonts w:cs="宋体" w:asciiTheme="minorEastAsia" w:hAnsiTheme="minorEastAsia"/>
                <w:color w:val="auto"/>
                <w:szCs w:val="21"/>
                <w:highlight w:val="none"/>
              </w:rPr>
            </w:pPr>
          </w:p>
        </w:tc>
        <w:tc>
          <w:tcPr>
            <w:tcW w:w="1418" w:type="dxa"/>
            <w:vAlign w:val="center"/>
          </w:tcPr>
          <w:p w14:paraId="1C6A1EA0">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电热暖手器</w:t>
            </w:r>
          </w:p>
        </w:tc>
        <w:tc>
          <w:tcPr>
            <w:tcW w:w="1254" w:type="dxa"/>
            <w:vAlign w:val="center"/>
          </w:tcPr>
          <w:p w14:paraId="7227D44E">
            <w:pPr>
              <w:jc w:val="center"/>
              <w:rPr>
                <w:rFonts w:ascii="宋体" w:hAnsi="宋体" w:eastAsia="宋体" w:cs="宋体"/>
                <w:color w:val="auto"/>
                <w:sz w:val="20"/>
                <w:szCs w:val="20"/>
                <w:highlight w:val="none"/>
              </w:rPr>
            </w:pPr>
            <w:r>
              <w:rPr>
                <w:rFonts w:hint="eastAsia"/>
                <w:color w:val="auto"/>
                <w:sz w:val="20"/>
                <w:szCs w:val="20"/>
                <w:highlight w:val="none"/>
              </w:rPr>
              <w:t>3000</w:t>
            </w:r>
          </w:p>
        </w:tc>
        <w:tc>
          <w:tcPr>
            <w:tcW w:w="1439" w:type="dxa"/>
            <w:vAlign w:val="center"/>
          </w:tcPr>
          <w:p w14:paraId="041051FF">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4706.99-2009</w:t>
            </w:r>
          </w:p>
        </w:tc>
        <w:tc>
          <w:tcPr>
            <w:tcW w:w="4252" w:type="dxa"/>
            <w:vAlign w:val="center"/>
          </w:tcPr>
          <w:p w14:paraId="0446AFB1">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对触及带电部件的防护、输入功率和电流、工作温度下的泄漏电流和电气强度、耐潮湿、泄漏电流和电气强度、机械强度、结构、内部布线、电源连接和外部软线、外部导线用接线端子、螺钉和连接、电气间隙、爬电距离和固体绝缘</w:t>
            </w:r>
          </w:p>
        </w:tc>
      </w:tr>
      <w:tr w14:paraId="4B03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265690FD">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30D11F51">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电源适配器</w:t>
            </w:r>
          </w:p>
        </w:tc>
        <w:tc>
          <w:tcPr>
            <w:tcW w:w="1254" w:type="dxa"/>
            <w:vAlign w:val="center"/>
          </w:tcPr>
          <w:p w14:paraId="33CCD873">
            <w:pPr>
              <w:jc w:val="center"/>
              <w:rPr>
                <w:rFonts w:ascii="宋体" w:hAnsi="宋体" w:eastAsia="宋体" w:cs="宋体"/>
                <w:color w:val="auto"/>
                <w:sz w:val="20"/>
                <w:szCs w:val="20"/>
                <w:highlight w:val="none"/>
              </w:rPr>
            </w:pPr>
            <w:r>
              <w:rPr>
                <w:rFonts w:hint="eastAsia"/>
                <w:color w:val="auto"/>
                <w:sz w:val="20"/>
                <w:szCs w:val="20"/>
                <w:highlight w:val="none"/>
              </w:rPr>
              <w:t>3300</w:t>
            </w:r>
          </w:p>
        </w:tc>
        <w:tc>
          <w:tcPr>
            <w:tcW w:w="1439" w:type="dxa"/>
            <w:vAlign w:val="center"/>
          </w:tcPr>
          <w:p w14:paraId="72BA8A7E">
            <w:pPr>
              <w:rPr>
                <w:rFonts w:cs="宋体" w:asciiTheme="minorEastAsia" w:hAnsiTheme="minorEastAsia"/>
                <w:color w:val="auto"/>
                <w:szCs w:val="21"/>
                <w:highlight w:val="none"/>
              </w:rPr>
            </w:pPr>
            <w:r>
              <w:rPr>
                <w:rFonts w:hint="eastAsia" w:asciiTheme="minorEastAsia" w:hAnsiTheme="minorEastAsia"/>
                <w:color w:val="auto"/>
                <w:szCs w:val="21"/>
                <w:highlight w:val="none"/>
              </w:rPr>
              <w:t>GB 4943.1-2011</w:t>
            </w:r>
          </w:p>
        </w:tc>
        <w:tc>
          <w:tcPr>
            <w:tcW w:w="4252" w:type="dxa"/>
            <w:vAlign w:val="center"/>
          </w:tcPr>
          <w:p w14:paraId="12C4882B">
            <w:pPr>
              <w:rPr>
                <w:rFonts w:cs="宋体" w:asciiTheme="minorEastAsia" w:hAnsiTheme="minorEastAsia"/>
                <w:color w:val="auto"/>
                <w:szCs w:val="21"/>
                <w:highlight w:val="none"/>
              </w:rPr>
            </w:pPr>
            <w:r>
              <w:rPr>
                <w:rFonts w:hint="eastAsia" w:asciiTheme="minorEastAsia" w:hAnsiTheme="minorEastAsia"/>
                <w:color w:val="auto"/>
                <w:szCs w:val="21"/>
                <w:highlight w:val="none"/>
              </w:rPr>
              <w:t>电源接口、电击和能量危险的防护、电气绝缘、电气间隙、爬电距离和绝缘穿透距离、导体的端接、直插式设备、发热要求、抗电强度、防火、接触电流和保护导体电流</w:t>
            </w:r>
          </w:p>
        </w:tc>
      </w:tr>
      <w:tr w14:paraId="0B01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0CCBCC0F">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529A58D7">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吹风机</w:t>
            </w:r>
          </w:p>
        </w:tc>
        <w:tc>
          <w:tcPr>
            <w:tcW w:w="1254" w:type="dxa"/>
            <w:vAlign w:val="center"/>
          </w:tcPr>
          <w:p w14:paraId="773C9ABC">
            <w:pPr>
              <w:jc w:val="center"/>
              <w:rPr>
                <w:rFonts w:ascii="宋体" w:hAnsi="宋体" w:eastAsia="宋体" w:cs="宋体"/>
                <w:color w:val="auto"/>
                <w:sz w:val="20"/>
                <w:szCs w:val="20"/>
                <w:highlight w:val="none"/>
              </w:rPr>
            </w:pPr>
            <w:r>
              <w:rPr>
                <w:rFonts w:hint="eastAsia"/>
                <w:color w:val="auto"/>
                <w:sz w:val="20"/>
                <w:szCs w:val="20"/>
                <w:highlight w:val="none"/>
              </w:rPr>
              <w:t>3000</w:t>
            </w:r>
          </w:p>
        </w:tc>
        <w:tc>
          <w:tcPr>
            <w:tcW w:w="1439" w:type="dxa"/>
            <w:vAlign w:val="center"/>
          </w:tcPr>
          <w:p w14:paraId="696A7002">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4706.15-2008</w:t>
            </w:r>
          </w:p>
        </w:tc>
        <w:tc>
          <w:tcPr>
            <w:tcW w:w="4252" w:type="dxa"/>
            <w:vAlign w:val="center"/>
          </w:tcPr>
          <w:p w14:paraId="274C2A10">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对触及带电部件的防护、输入功率和电流、工作温度下的泄漏电流和电气强度、耐潮湿、泄漏电流和电气强度、稳定性和机械危险、机械强度、结构、内部布线、电源连接和外部软线、外部导线用接线端子、接地措施、螺钉和连接、电气间隙、爬电距离和固体绝缘</w:t>
            </w:r>
          </w:p>
        </w:tc>
      </w:tr>
      <w:tr w14:paraId="7591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37B15CF9">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7FB7C073">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房间空气调节器</w:t>
            </w:r>
          </w:p>
        </w:tc>
        <w:tc>
          <w:tcPr>
            <w:tcW w:w="1254" w:type="dxa"/>
            <w:vAlign w:val="center"/>
          </w:tcPr>
          <w:p w14:paraId="7DCD190F">
            <w:pPr>
              <w:jc w:val="center"/>
              <w:rPr>
                <w:rFonts w:ascii="宋体" w:hAnsi="宋体" w:eastAsia="宋体" w:cs="宋体"/>
                <w:color w:val="auto"/>
                <w:sz w:val="20"/>
                <w:szCs w:val="20"/>
                <w:highlight w:val="none"/>
              </w:rPr>
            </w:pPr>
            <w:r>
              <w:rPr>
                <w:rFonts w:hint="eastAsia"/>
                <w:color w:val="auto"/>
                <w:sz w:val="20"/>
                <w:szCs w:val="20"/>
                <w:highlight w:val="none"/>
              </w:rPr>
              <w:t>7700</w:t>
            </w:r>
          </w:p>
        </w:tc>
        <w:tc>
          <w:tcPr>
            <w:tcW w:w="1439" w:type="dxa"/>
            <w:vAlign w:val="center"/>
          </w:tcPr>
          <w:p w14:paraId="66B8950E">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4706.32-2012</w:t>
            </w:r>
          </w:p>
        </w:tc>
        <w:tc>
          <w:tcPr>
            <w:tcW w:w="4252" w:type="dxa"/>
            <w:vAlign w:val="center"/>
          </w:tcPr>
          <w:p w14:paraId="61D63FAD">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对触及带电部件的防护、输入功率和电流、工作温度下的泄漏电流和电气强度、耐潮湿、泄漏电流和电气强度、稳定性和机械危险、机械强度、结构、内部布线、电源连接和外部软线、外部导线用接线端子、接地措施、螺钉和连接、电气间隙、爬电距离和固体绝缘</w:t>
            </w:r>
          </w:p>
        </w:tc>
      </w:tr>
      <w:tr w14:paraId="33C3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6A5D5B6D">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6FAD2C9E">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家用电动洗衣机</w:t>
            </w:r>
          </w:p>
        </w:tc>
        <w:tc>
          <w:tcPr>
            <w:tcW w:w="1254" w:type="dxa"/>
            <w:vAlign w:val="center"/>
          </w:tcPr>
          <w:p w14:paraId="33E5A8D4">
            <w:pPr>
              <w:jc w:val="center"/>
              <w:rPr>
                <w:rFonts w:ascii="宋体" w:hAnsi="宋体" w:eastAsia="宋体" w:cs="宋体"/>
                <w:color w:val="auto"/>
                <w:sz w:val="20"/>
                <w:szCs w:val="20"/>
                <w:highlight w:val="none"/>
              </w:rPr>
            </w:pPr>
            <w:r>
              <w:rPr>
                <w:rFonts w:hint="eastAsia"/>
                <w:color w:val="auto"/>
                <w:sz w:val="20"/>
                <w:szCs w:val="20"/>
                <w:highlight w:val="none"/>
              </w:rPr>
              <w:t>4100</w:t>
            </w:r>
          </w:p>
        </w:tc>
        <w:tc>
          <w:tcPr>
            <w:tcW w:w="1439" w:type="dxa"/>
            <w:vAlign w:val="center"/>
          </w:tcPr>
          <w:p w14:paraId="65DD2C4F">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     GB 4706.24-2008    GB 4706.26-2008</w:t>
            </w:r>
          </w:p>
        </w:tc>
        <w:tc>
          <w:tcPr>
            <w:tcW w:w="4252" w:type="dxa"/>
            <w:vAlign w:val="center"/>
          </w:tcPr>
          <w:p w14:paraId="0DF770A0">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对触及带电部件的防护、输入功率和电流、工作温度下的泄漏电流和电气强度、耐潮湿、泄漏电流和电气强度、稳定性和机械危险、机械强度、结构、内部布线、电源连接和外部软线、外部导线用接线端子、接地措施、螺钉和连接、电气间隙、爬电距离和固体绝缘</w:t>
            </w:r>
          </w:p>
        </w:tc>
      </w:tr>
      <w:tr w14:paraId="7A47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20B4B214">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1D314F37">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家用燃气软管</w:t>
            </w:r>
          </w:p>
        </w:tc>
        <w:tc>
          <w:tcPr>
            <w:tcW w:w="1254" w:type="dxa"/>
            <w:vAlign w:val="center"/>
          </w:tcPr>
          <w:p w14:paraId="7CCD8AB9">
            <w:pPr>
              <w:jc w:val="center"/>
              <w:rPr>
                <w:rFonts w:ascii="宋体" w:hAnsi="宋体" w:eastAsia="宋体" w:cs="宋体"/>
                <w:color w:val="auto"/>
                <w:sz w:val="20"/>
                <w:szCs w:val="20"/>
                <w:highlight w:val="none"/>
              </w:rPr>
            </w:pPr>
            <w:r>
              <w:rPr>
                <w:rFonts w:hint="eastAsia"/>
                <w:color w:val="auto"/>
                <w:sz w:val="20"/>
                <w:szCs w:val="20"/>
                <w:highlight w:val="none"/>
              </w:rPr>
              <w:t>3300</w:t>
            </w:r>
          </w:p>
        </w:tc>
        <w:tc>
          <w:tcPr>
            <w:tcW w:w="1439" w:type="dxa"/>
            <w:vAlign w:val="center"/>
          </w:tcPr>
          <w:p w14:paraId="55549881">
            <w:pPr>
              <w:rPr>
                <w:rFonts w:cs="宋体" w:asciiTheme="minorEastAsia" w:hAnsiTheme="minorEastAsia"/>
                <w:color w:val="auto"/>
                <w:szCs w:val="21"/>
                <w:highlight w:val="none"/>
              </w:rPr>
            </w:pP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CJ/T 197-2010</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GB/T 26002-2010</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CJ/T 490-2016</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GB/T 41317-2022</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29993-2013</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CJ/T 491-2016</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HG 2486-1993</w:t>
            </w:r>
          </w:p>
        </w:tc>
        <w:tc>
          <w:tcPr>
            <w:tcW w:w="4252" w:type="dxa"/>
            <w:vAlign w:val="center"/>
          </w:tcPr>
          <w:p w14:paraId="41152B35">
            <w:pPr>
              <w:rPr>
                <w:rFonts w:cs="宋体" w:asciiTheme="minorEastAsia" w:hAnsiTheme="minorEastAsia"/>
                <w:color w:val="auto"/>
                <w:szCs w:val="21"/>
                <w:highlight w:val="none"/>
              </w:rPr>
            </w:pPr>
            <w:r>
              <w:rPr>
                <w:rFonts w:hint="eastAsia" w:asciiTheme="minorEastAsia" w:hAnsiTheme="minorEastAsia"/>
                <w:color w:val="auto"/>
                <w:szCs w:val="21"/>
                <w:highlight w:val="none"/>
              </w:rPr>
              <w:t>CJ/T 197-2010：软管接头螺纹要求、软管耐压性、软管气密性、软管抗拉性、软管弯曲性、软管耐应力腐蚀、接头耐安装性、接头耐腐蚀性、标志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GB/T 26002-2010：软管波纹管和管件连接、软管拉伸强度、软管耐冲击性、软管弯曲性、软管气密性、软管耐压性、软管耐应力腐蚀性、管件拉伸强度、管件气密性、管件耐压性、标志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CJ/T 490-2016：软管螺母要求、软管管体尺寸、软管长度极限偏差、软管耐压性、软管气密性、软管抗拉性、包覆层耐液体性、接头耐安装性、接头耐腐蚀性、标志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GB/T 41317-2022：软管气密性、软管流量、软管弯曲性、软管耐冲击性、软管耐应力腐蚀、软管接头耐安装性、软管接头耐腐蚀性、标志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CJ/T 491-2016：尺寸与公差、气密性、耐压性、阻燃烧性、弯曲性能、低温性能、耐热性、耐拉伸性、拨出力、标志、使用说明书、包装</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 29993-2013：耐燃试验、气密性、弯曲试验、耐热试验、柔软试验、耐压试验、拉断试验、低温弯曲试验、标志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HG 2486-1993：外观、耐压性能、弯曲性能、低温弯曲性能、耐液体性能、难燃试验、标志</w:t>
            </w:r>
          </w:p>
        </w:tc>
      </w:tr>
      <w:tr w14:paraId="65E9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0E789696">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7235AD21">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LED读写台灯</w:t>
            </w:r>
          </w:p>
        </w:tc>
        <w:tc>
          <w:tcPr>
            <w:tcW w:w="1254" w:type="dxa"/>
            <w:vAlign w:val="center"/>
          </w:tcPr>
          <w:p w14:paraId="3278C52C">
            <w:pPr>
              <w:jc w:val="center"/>
              <w:rPr>
                <w:rFonts w:ascii="宋体" w:hAnsi="宋体" w:eastAsia="宋体" w:cs="宋体"/>
                <w:color w:val="auto"/>
                <w:sz w:val="20"/>
                <w:szCs w:val="20"/>
                <w:highlight w:val="none"/>
              </w:rPr>
            </w:pPr>
            <w:r>
              <w:rPr>
                <w:rFonts w:hint="eastAsia"/>
                <w:color w:val="auto"/>
                <w:sz w:val="20"/>
                <w:szCs w:val="20"/>
                <w:highlight w:val="none"/>
              </w:rPr>
              <w:t>3500</w:t>
            </w:r>
          </w:p>
        </w:tc>
        <w:tc>
          <w:tcPr>
            <w:tcW w:w="1439" w:type="dxa"/>
            <w:vAlign w:val="center"/>
          </w:tcPr>
          <w:p w14:paraId="7F2F5273">
            <w:pPr>
              <w:rPr>
                <w:rFonts w:cs="宋体" w:asciiTheme="minorEastAsia" w:hAnsiTheme="minorEastAsia"/>
                <w:color w:val="auto"/>
                <w:szCs w:val="21"/>
                <w:highlight w:val="none"/>
              </w:rPr>
            </w:pPr>
            <w:r>
              <w:rPr>
                <w:rFonts w:hint="eastAsia" w:asciiTheme="minorEastAsia" w:hAnsiTheme="minorEastAsia"/>
                <w:color w:val="auto"/>
                <w:szCs w:val="21"/>
                <w:highlight w:val="none"/>
              </w:rPr>
              <w:t xml:space="preserve">GB 7000.1-2015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GB 7000.204-2008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GB/T 9473-2017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GB/T 17743-2017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GB/T 17743-2021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GB 17625.1-2012 </w:t>
            </w:r>
          </w:p>
        </w:tc>
        <w:tc>
          <w:tcPr>
            <w:tcW w:w="4252" w:type="dxa"/>
            <w:vAlign w:val="center"/>
          </w:tcPr>
          <w:p w14:paraId="5274050B">
            <w:pPr>
              <w:rPr>
                <w:rFonts w:cs="宋体" w:asciiTheme="minorEastAsia" w:hAnsiTheme="minorEastAsia"/>
                <w:color w:val="auto"/>
                <w:szCs w:val="21"/>
                <w:highlight w:val="none"/>
              </w:rPr>
            </w:pPr>
            <w:r>
              <w:rPr>
                <w:rFonts w:hint="eastAsia" w:asciiTheme="minorEastAsia" w:hAnsiTheme="minorEastAsia"/>
                <w:color w:val="auto"/>
                <w:szCs w:val="21"/>
                <w:highlight w:val="none"/>
              </w:rPr>
              <w:t>标记、结构、爬电距离和电气间隙、接地规定、接线端子、外部接线和内部接线、防触电保护、耐久性试验和热试验、防尘、防固体异物和防水、绝缘电阻和电气强度、接触电流和保护导体电流、耐热、耐火和耐起痕、骚扰电压、辐射骚扰、谐波电流 、光电特性、噪声</w:t>
            </w:r>
          </w:p>
        </w:tc>
      </w:tr>
      <w:tr w14:paraId="2C3D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1B217C04">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37CE3BDA">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电蚊拍</w:t>
            </w:r>
          </w:p>
        </w:tc>
        <w:tc>
          <w:tcPr>
            <w:tcW w:w="1254" w:type="dxa"/>
            <w:vAlign w:val="center"/>
          </w:tcPr>
          <w:p w14:paraId="0E4D48E8">
            <w:pPr>
              <w:jc w:val="center"/>
              <w:rPr>
                <w:rFonts w:ascii="宋体" w:hAnsi="宋体" w:eastAsia="宋体" w:cs="宋体"/>
                <w:color w:val="auto"/>
                <w:sz w:val="20"/>
                <w:szCs w:val="20"/>
                <w:highlight w:val="none"/>
              </w:rPr>
            </w:pPr>
            <w:r>
              <w:rPr>
                <w:rFonts w:hint="eastAsia"/>
                <w:color w:val="auto"/>
                <w:sz w:val="20"/>
                <w:szCs w:val="20"/>
                <w:highlight w:val="none"/>
              </w:rPr>
              <w:t>3000</w:t>
            </w:r>
          </w:p>
        </w:tc>
        <w:tc>
          <w:tcPr>
            <w:tcW w:w="1439" w:type="dxa"/>
            <w:vAlign w:val="center"/>
          </w:tcPr>
          <w:p w14:paraId="739661D7">
            <w:pPr>
              <w:rPr>
                <w:rFonts w:cs="宋体" w:asciiTheme="minorEastAsia" w:hAnsiTheme="minorEastAsia"/>
                <w:color w:val="auto"/>
                <w:szCs w:val="21"/>
                <w:highlight w:val="none"/>
              </w:rPr>
            </w:pPr>
            <w:r>
              <w:rPr>
                <w:rFonts w:hint="eastAsia" w:asciiTheme="minorEastAsia" w:hAnsiTheme="minorEastAsia"/>
                <w:color w:val="auto"/>
                <w:szCs w:val="21"/>
                <w:highlight w:val="none"/>
              </w:rPr>
              <w:t>GB 4706.1-2005        GB 4706.76-2008</w:t>
            </w:r>
          </w:p>
        </w:tc>
        <w:tc>
          <w:tcPr>
            <w:tcW w:w="4252" w:type="dxa"/>
            <w:vAlign w:val="center"/>
          </w:tcPr>
          <w:p w14:paraId="183F5863">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和说明、输入功率和电流、工作温度下的泄漏电流和电气强度、耐潮湿、泄漏电流和电气强度、稳定性和机械危险、机械强度、结构、内部布线、电源连接和外部软线、外部导线用接线端子、接地措施、螺钉和连接、电气间隙、爬电距离和固体绝缘、耐热和耐燃</w:t>
            </w:r>
          </w:p>
        </w:tc>
      </w:tr>
      <w:tr w14:paraId="3454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0AB90F1E">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2112FF8D">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电动自行车</w:t>
            </w:r>
          </w:p>
        </w:tc>
        <w:tc>
          <w:tcPr>
            <w:tcW w:w="1254" w:type="dxa"/>
            <w:vAlign w:val="center"/>
          </w:tcPr>
          <w:p w14:paraId="5E837A84">
            <w:pPr>
              <w:jc w:val="center"/>
              <w:rPr>
                <w:rFonts w:ascii="宋体" w:hAnsi="宋体" w:eastAsia="宋体" w:cs="宋体"/>
                <w:color w:val="auto"/>
                <w:sz w:val="20"/>
                <w:szCs w:val="20"/>
                <w:highlight w:val="none"/>
              </w:rPr>
            </w:pPr>
            <w:r>
              <w:rPr>
                <w:rFonts w:hint="eastAsia"/>
                <w:color w:val="auto"/>
                <w:sz w:val="20"/>
                <w:szCs w:val="20"/>
                <w:highlight w:val="none"/>
              </w:rPr>
              <w:t>3300</w:t>
            </w:r>
          </w:p>
        </w:tc>
        <w:tc>
          <w:tcPr>
            <w:tcW w:w="1439" w:type="dxa"/>
            <w:vAlign w:val="center"/>
          </w:tcPr>
          <w:p w14:paraId="3A136090">
            <w:pPr>
              <w:rPr>
                <w:rFonts w:cs="宋体" w:asciiTheme="minorEastAsia" w:hAnsiTheme="minorEastAsia"/>
                <w:color w:val="auto"/>
                <w:szCs w:val="21"/>
                <w:highlight w:val="none"/>
              </w:rPr>
            </w:pPr>
            <w:r>
              <w:rPr>
                <w:rFonts w:hint="eastAsia" w:asciiTheme="minorEastAsia" w:hAnsiTheme="minorEastAsia"/>
                <w:color w:val="auto"/>
                <w:szCs w:val="21"/>
                <w:highlight w:val="none"/>
              </w:rPr>
              <w:t>GB 17761-2018</w:t>
            </w:r>
          </w:p>
        </w:tc>
        <w:tc>
          <w:tcPr>
            <w:tcW w:w="4252" w:type="dxa"/>
            <w:vAlign w:val="center"/>
          </w:tcPr>
          <w:p w14:paraId="7AD05DF9">
            <w:pPr>
              <w:rPr>
                <w:rFonts w:cs="宋体" w:asciiTheme="minorEastAsia" w:hAnsiTheme="minorEastAsia"/>
                <w:color w:val="auto"/>
                <w:szCs w:val="21"/>
                <w:highlight w:val="none"/>
              </w:rPr>
            </w:pPr>
            <w:r>
              <w:rPr>
                <w:rFonts w:hint="eastAsia" w:asciiTheme="minorEastAsia" w:hAnsiTheme="minorEastAsia"/>
                <w:color w:val="auto"/>
                <w:szCs w:val="21"/>
                <w:highlight w:val="none"/>
              </w:rPr>
              <w:t>铭牌；整车编码；电动机编码；号牌安装位置；产品合格证；车速限值；制动性能（干态）；整车质量；尺寸限值；脚蹬间隙；突出物；防碰擦；车速提示音；反射器；鸣号装置；导线布线安装；制动断电功能；过流保护功能；防失控功能；蓄电池的最大输出电压；蓄电池防篡改；使用说明书；短路保护；照明</w:t>
            </w:r>
          </w:p>
        </w:tc>
      </w:tr>
      <w:tr w14:paraId="480B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5EAD68F5">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3123B05C">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电动自行车充电器</w:t>
            </w:r>
          </w:p>
        </w:tc>
        <w:tc>
          <w:tcPr>
            <w:tcW w:w="1254" w:type="dxa"/>
            <w:vAlign w:val="center"/>
          </w:tcPr>
          <w:p w14:paraId="308C52E9">
            <w:pPr>
              <w:jc w:val="center"/>
              <w:rPr>
                <w:rFonts w:ascii="宋体" w:hAnsi="宋体" w:eastAsia="宋体" w:cs="宋体"/>
                <w:color w:val="auto"/>
                <w:sz w:val="20"/>
                <w:szCs w:val="20"/>
                <w:highlight w:val="none"/>
              </w:rPr>
            </w:pPr>
            <w:r>
              <w:rPr>
                <w:rFonts w:hint="eastAsia"/>
                <w:color w:val="auto"/>
                <w:sz w:val="20"/>
                <w:szCs w:val="20"/>
                <w:highlight w:val="none"/>
              </w:rPr>
              <w:t>2800</w:t>
            </w:r>
          </w:p>
        </w:tc>
        <w:tc>
          <w:tcPr>
            <w:tcW w:w="1439" w:type="dxa"/>
            <w:vAlign w:val="center"/>
          </w:tcPr>
          <w:p w14:paraId="4B680B77">
            <w:pPr>
              <w:rPr>
                <w:rFonts w:cs="宋体" w:asciiTheme="minorEastAsia" w:hAnsiTheme="minorEastAsia"/>
                <w:color w:val="auto"/>
                <w:szCs w:val="21"/>
                <w:highlight w:val="none"/>
              </w:rPr>
            </w:pPr>
            <w:r>
              <w:rPr>
                <w:rFonts w:hint="eastAsia" w:asciiTheme="minorEastAsia" w:hAnsiTheme="minorEastAsia"/>
                <w:color w:val="auto"/>
                <w:szCs w:val="21"/>
                <w:highlight w:val="none"/>
              </w:rPr>
              <w:t>QB/T 2947.1-2008</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QB/T 2947.2-2008</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QB/T 2947.3-2008</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GB/T 36944-2018</w:t>
            </w:r>
          </w:p>
        </w:tc>
        <w:tc>
          <w:tcPr>
            <w:tcW w:w="4252" w:type="dxa"/>
            <w:vAlign w:val="center"/>
          </w:tcPr>
          <w:p w14:paraId="3FC16E34">
            <w:pPr>
              <w:rPr>
                <w:rFonts w:cs="宋体" w:asciiTheme="minorEastAsia" w:hAnsiTheme="minorEastAsia"/>
                <w:color w:val="auto"/>
                <w:szCs w:val="21"/>
                <w:highlight w:val="none"/>
              </w:rPr>
            </w:pPr>
            <w:r>
              <w:rPr>
                <w:rFonts w:hint="eastAsia" w:asciiTheme="minorEastAsia" w:hAnsiTheme="minorEastAsia"/>
                <w:color w:val="auto"/>
                <w:szCs w:val="21"/>
                <w:highlight w:val="none"/>
              </w:rPr>
              <w:t>说明书；布线；安全标志；输入、输出线及插头；发热；对触及带电部件的防护；工作温度下的泄漏电流和电气强度；输入功率和电流、空载直流输出电压。明示标准    GB/T 36944-2018：输入电流、泄漏电流、电气强度、防触电保护、非正常工作</w:t>
            </w:r>
          </w:p>
        </w:tc>
      </w:tr>
      <w:tr w14:paraId="7608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continue"/>
            <w:vAlign w:val="center"/>
          </w:tcPr>
          <w:p w14:paraId="3FA7A20D">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0FDD8BDA">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移动电源</w:t>
            </w:r>
          </w:p>
        </w:tc>
        <w:tc>
          <w:tcPr>
            <w:tcW w:w="1254" w:type="dxa"/>
            <w:vAlign w:val="center"/>
          </w:tcPr>
          <w:p w14:paraId="03B243FF">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5350</w:t>
            </w:r>
          </w:p>
        </w:tc>
        <w:tc>
          <w:tcPr>
            <w:tcW w:w="1439" w:type="dxa"/>
            <w:vAlign w:val="center"/>
          </w:tcPr>
          <w:p w14:paraId="5F512734">
            <w:pPr>
              <w:rPr>
                <w:rFonts w:hint="eastAsia" w:asciiTheme="minorEastAsia" w:hAnsiTheme="minorEastAsia"/>
                <w:color w:val="auto"/>
                <w:szCs w:val="21"/>
                <w:highlight w:val="none"/>
              </w:rPr>
            </w:pPr>
            <w:r>
              <w:rPr>
                <w:rFonts w:hint="eastAsia" w:asciiTheme="minorEastAsia" w:hAnsiTheme="minorEastAsia"/>
                <w:color w:val="auto"/>
                <w:szCs w:val="21"/>
                <w:highlight w:val="none"/>
              </w:rPr>
              <w:t>GB</w:t>
            </w:r>
          </w:p>
          <w:p w14:paraId="7C0355BB">
            <w:pPr>
              <w:rPr>
                <w:rFonts w:hint="eastAsia" w:asciiTheme="minorEastAsia" w:hAnsiTheme="minorEastAsia"/>
                <w:color w:val="auto"/>
                <w:szCs w:val="21"/>
                <w:highlight w:val="none"/>
              </w:rPr>
            </w:pPr>
            <w:r>
              <w:rPr>
                <w:rFonts w:hint="eastAsia" w:asciiTheme="minorEastAsia" w:hAnsiTheme="minorEastAsia"/>
                <w:color w:val="auto"/>
                <w:szCs w:val="21"/>
                <w:highlight w:val="none"/>
              </w:rPr>
              <w:t xml:space="preserve">31241-2022 </w:t>
            </w:r>
          </w:p>
          <w:p w14:paraId="41A8EB2A">
            <w:pPr>
              <w:rPr>
                <w:rFonts w:hint="eastAsia" w:asciiTheme="minorEastAsia" w:hAnsiTheme="minorEastAsia"/>
                <w:color w:val="auto"/>
                <w:szCs w:val="21"/>
                <w:highlight w:val="none"/>
              </w:rPr>
            </w:pPr>
            <w:r>
              <w:rPr>
                <w:rFonts w:hint="eastAsia" w:asciiTheme="minorEastAsia" w:hAnsiTheme="minorEastAsia"/>
                <w:color w:val="auto"/>
                <w:szCs w:val="21"/>
                <w:highlight w:val="none"/>
              </w:rPr>
              <w:t>GB 4943.1-2022</w:t>
            </w:r>
          </w:p>
          <w:p w14:paraId="4E4BBEE9">
            <w:pPr>
              <w:rPr>
                <w:rFonts w:cs="宋体" w:asciiTheme="minorEastAsia" w:hAnsiTheme="minorEastAsia"/>
                <w:color w:val="auto"/>
                <w:szCs w:val="21"/>
                <w:highlight w:val="none"/>
              </w:rPr>
            </w:pPr>
            <w:r>
              <w:rPr>
                <w:rFonts w:hint="eastAsia" w:asciiTheme="minorEastAsia" w:hAnsiTheme="minorEastAsia"/>
                <w:color w:val="auto"/>
                <w:szCs w:val="21"/>
                <w:highlight w:val="none"/>
              </w:rPr>
              <w:t>GB/T 35590-2017</w:t>
            </w:r>
          </w:p>
        </w:tc>
        <w:tc>
          <w:tcPr>
            <w:tcW w:w="4252" w:type="dxa"/>
            <w:vAlign w:val="center"/>
          </w:tcPr>
          <w:p w14:paraId="55AB3749">
            <w:pPr>
              <w:rPr>
                <w:rFonts w:cs="宋体" w:asciiTheme="minorEastAsia" w:hAnsiTheme="minorEastAsia"/>
                <w:color w:val="auto"/>
                <w:szCs w:val="21"/>
                <w:highlight w:val="none"/>
              </w:rPr>
            </w:pPr>
            <w:r>
              <w:rPr>
                <w:rFonts w:hint="eastAsia" w:ascii="宋体" w:hAnsi="宋体" w:eastAsia="宋体" w:cs="Times New Roman"/>
                <w:color w:val="auto"/>
                <w:szCs w:val="21"/>
                <w:highlight w:val="none"/>
              </w:rPr>
              <w:t>热灼伤（接触温度限值）</w:t>
            </w:r>
            <w:r>
              <w:rPr>
                <w:rFonts w:hint="eastAsia" w:asciiTheme="minorEastAsia" w:hAnsiTheme="minorEastAsia"/>
                <w:color w:val="auto"/>
                <w:szCs w:val="21"/>
                <w:highlight w:val="none"/>
              </w:rPr>
              <w:t>、标识、</w:t>
            </w:r>
            <w:r>
              <w:rPr>
                <w:rFonts w:ascii="宋体" w:hAnsi="宋体" w:eastAsia="宋体" w:cs="Times New Roman"/>
                <w:color w:val="auto"/>
                <w:szCs w:val="21"/>
                <w:highlight w:val="none"/>
              </w:rPr>
              <w:t>常温下的有效输出容量</w:t>
            </w:r>
            <w:r>
              <w:rPr>
                <w:rFonts w:asciiTheme="minorEastAsia" w:hAnsiTheme="minorEastAsia"/>
                <w:color w:val="auto"/>
                <w:szCs w:val="21"/>
                <w:highlight w:val="none"/>
              </w:rPr>
              <w:t>、</w:t>
            </w:r>
            <w:r>
              <w:rPr>
                <w:rFonts w:ascii="宋体" w:hAnsi="宋体" w:eastAsia="宋体" w:cs="Times New Roman"/>
                <w:color w:val="auto"/>
                <w:szCs w:val="21"/>
                <w:highlight w:val="none"/>
              </w:rPr>
              <w:t>转换效率</w:t>
            </w:r>
            <w:r>
              <w:rPr>
                <w:rFonts w:asciiTheme="minorEastAsia" w:hAnsiTheme="minorEastAsia"/>
                <w:color w:val="auto"/>
                <w:szCs w:val="21"/>
                <w:highlight w:val="none"/>
              </w:rPr>
              <w:t>、</w:t>
            </w:r>
            <w:r>
              <w:rPr>
                <w:rFonts w:ascii="宋体" w:hAnsi="宋体" w:eastAsia="宋体" w:cs="Times New Roman"/>
                <w:color w:val="auto"/>
                <w:szCs w:val="21"/>
                <w:highlight w:val="none"/>
              </w:rPr>
              <w:t>短路保护</w:t>
            </w:r>
            <w:r>
              <w:rPr>
                <w:rFonts w:asciiTheme="minorEastAsia" w:hAnsiTheme="minorEastAsia"/>
                <w:color w:val="auto"/>
                <w:szCs w:val="21"/>
                <w:highlight w:val="none"/>
              </w:rPr>
              <w:t>、</w:t>
            </w:r>
            <w:r>
              <w:rPr>
                <w:rFonts w:ascii="宋体" w:hAnsi="宋体" w:eastAsia="宋体" w:cs="Times New Roman"/>
                <w:color w:val="auto"/>
                <w:szCs w:val="21"/>
                <w:highlight w:val="none"/>
              </w:rPr>
              <w:t>自由跌落</w:t>
            </w:r>
            <w:r>
              <w:rPr>
                <w:rFonts w:asciiTheme="minorEastAsia" w:hAnsiTheme="minorEastAsia"/>
                <w:color w:val="auto"/>
                <w:szCs w:val="21"/>
                <w:highlight w:val="none"/>
              </w:rPr>
              <w:t>、过充电</w:t>
            </w:r>
          </w:p>
        </w:tc>
      </w:tr>
      <w:tr w14:paraId="13B2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01DB9D44">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38D68B64">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不锈钢真空保温容器</w:t>
            </w:r>
          </w:p>
        </w:tc>
        <w:tc>
          <w:tcPr>
            <w:tcW w:w="1254" w:type="dxa"/>
            <w:vAlign w:val="center"/>
          </w:tcPr>
          <w:p w14:paraId="4A15828A">
            <w:pPr>
              <w:jc w:val="center"/>
              <w:rPr>
                <w:rFonts w:ascii="宋体" w:hAnsi="宋体" w:eastAsia="宋体" w:cs="宋体"/>
                <w:color w:val="auto"/>
                <w:sz w:val="22"/>
                <w:highlight w:val="none"/>
              </w:rPr>
            </w:pPr>
            <w:r>
              <w:rPr>
                <w:rFonts w:hint="eastAsia"/>
                <w:color w:val="auto"/>
                <w:sz w:val="22"/>
                <w:highlight w:val="none"/>
              </w:rPr>
              <w:t>2850</w:t>
            </w:r>
          </w:p>
        </w:tc>
        <w:tc>
          <w:tcPr>
            <w:tcW w:w="1439" w:type="dxa"/>
            <w:vAlign w:val="center"/>
          </w:tcPr>
          <w:p w14:paraId="47C93868">
            <w:pPr>
              <w:rPr>
                <w:rFonts w:cs="宋体" w:asciiTheme="minorEastAsia" w:hAnsiTheme="minorEastAsia"/>
                <w:color w:val="auto"/>
                <w:szCs w:val="21"/>
                <w:highlight w:val="none"/>
              </w:rPr>
            </w:pPr>
            <w:r>
              <w:rPr>
                <w:rFonts w:asciiTheme="minorEastAsia" w:hAnsiTheme="minorEastAsia"/>
                <w:color w:val="auto"/>
                <w:szCs w:val="21"/>
                <w:highlight w:val="none"/>
              </w:rPr>
              <w:t>GB/T 40355-2021、GB</w:t>
            </w:r>
            <w:r>
              <w:rPr>
                <w:rFonts w:hint="eastAsia" w:asciiTheme="minorEastAsia" w:hAnsiTheme="minorEastAsia"/>
                <w:color w:val="auto"/>
                <w:szCs w:val="21"/>
                <w:highlight w:val="none"/>
              </w:rPr>
              <w:t xml:space="preserve"> 4806.9-2023</w:t>
            </w:r>
          </w:p>
        </w:tc>
        <w:tc>
          <w:tcPr>
            <w:tcW w:w="4252" w:type="dxa"/>
            <w:vAlign w:val="center"/>
          </w:tcPr>
          <w:p w14:paraId="12137505">
            <w:pPr>
              <w:rPr>
                <w:rFonts w:cs="宋体" w:asciiTheme="minorEastAsia" w:hAnsiTheme="minorEastAsia"/>
                <w:color w:val="auto"/>
                <w:szCs w:val="21"/>
                <w:highlight w:val="none"/>
              </w:rPr>
            </w:pPr>
            <w:r>
              <w:rPr>
                <w:rFonts w:hint="eastAsia" w:asciiTheme="minorEastAsia" w:hAnsiTheme="minorEastAsia"/>
                <w:color w:val="auto"/>
                <w:szCs w:val="21"/>
                <w:highlight w:val="none"/>
              </w:rPr>
              <w:t>容积偏差、保温效能、密封性、密封用盖（塞）的旋合强度、</w:t>
            </w:r>
            <w:r>
              <w:rPr>
                <w:rFonts w:hint="eastAsia" w:ascii="宋体" w:hAnsi="宋体"/>
                <w:color w:val="auto"/>
                <w:szCs w:val="21"/>
                <w:highlight w:val="none"/>
              </w:rPr>
              <w:t>主体部分（感官要求）、主体部分（杂质元素迁移量（砷、镉、铅、锑））、主体部分（合金元素迁移量（锰、镍、铬））</w:t>
            </w:r>
          </w:p>
        </w:tc>
      </w:tr>
      <w:tr w14:paraId="7F8C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4AA5E889">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79F2467B">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压力锅</w:t>
            </w:r>
          </w:p>
        </w:tc>
        <w:tc>
          <w:tcPr>
            <w:tcW w:w="1254" w:type="dxa"/>
            <w:vAlign w:val="center"/>
          </w:tcPr>
          <w:p w14:paraId="725D46DA">
            <w:pPr>
              <w:jc w:val="center"/>
              <w:rPr>
                <w:rFonts w:ascii="宋体" w:hAnsi="宋体" w:eastAsia="宋体" w:cs="宋体"/>
                <w:color w:val="auto"/>
                <w:sz w:val="22"/>
                <w:highlight w:val="none"/>
              </w:rPr>
            </w:pPr>
            <w:r>
              <w:rPr>
                <w:rFonts w:hint="eastAsia"/>
                <w:color w:val="auto"/>
                <w:sz w:val="22"/>
                <w:highlight w:val="none"/>
              </w:rPr>
              <w:t>5500</w:t>
            </w:r>
          </w:p>
        </w:tc>
        <w:tc>
          <w:tcPr>
            <w:tcW w:w="1439" w:type="dxa"/>
            <w:vAlign w:val="center"/>
          </w:tcPr>
          <w:p w14:paraId="56350224">
            <w:pPr>
              <w:rPr>
                <w:rFonts w:cs="宋体" w:asciiTheme="minorEastAsia" w:hAnsiTheme="minorEastAsia"/>
                <w:color w:val="auto"/>
                <w:szCs w:val="21"/>
                <w:highlight w:val="none"/>
              </w:rPr>
            </w:pPr>
            <w:r>
              <w:rPr>
                <w:rFonts w:hint="eastAsia" w:asciiTheme="minorEastAsia" w:hAnsiTheme="minorEastAsia"/>
                <w:color w:val="auto"/>
                <w:szCs w:val="21"/>
                <w:highlight w:val="none"/>
              </w:rPr>
              <w:t>GB 15066-2004、GB 13623-2003、</w:t>
            </w:r>
            <w:r>
              <w:rPr>
                <w:rFonts w:asciiTheme="minorEastAsia" w:hAnsiTheme="minorEastAsia"/>
                <w:color w:val="auto"/>
                <w:szCs w:val="21"/>
                <w:highlight w:val="none"/>
              </w:rPr>
              <w:t>GB</w:t>
            </w:r>
            <w:r>
              <w:rPr>
                <w:rFonts w:hint="eastAsia" w:asciiTheme="minorEastAsia" w:hAnsiTheme="minorEastAsia"/>
                <w:color w:val="auto"/>
                <w:szCs w:val="21"/>
                <w:highlight w:val="none"/>
              </w:rPr>
              <w:t xml:space="preserve"> 4806.9-2023</w:t>
            </w:r>
          </w:p>
        </w:tc>
        <w:tc>
          <w:tcPr>
            <w:tcW w:w="4252" w:type="dxa"/>
            <w:vAlign w:val="center"/>
          </w:tcPr>
          <w:p w14:paraId="7FBDD7BB">
            <w:pPr>
              <w:rPr>
                <w:rFonts w:cs="宋体" w:asciiTheme="minorEastAsia" w:hAnsiTheme="minorEastAsia"/>
                <w:color w:val="auto"/>
                <w:szCs w:val="21"/>
                <w:highlight w:val="none"/>
              </w:rPr>
            </w:pPr>
            <w:r>
              <w:rPr>
                <w:rFonts w:hint="eastAsia" w:ascii="宋体" w:hAnsi="宋体"/>
                <w:color w:val="auto"/>
                <w:szCs w:val="21"/>
                <w:highlight w:val="none"/>
              </w:rPr>
              <w:t>合盖安全性</w:t>
            </w:r>
            <w:r>
              <w:rPr>
                <w:rFonts w:hint="eastAsia" w:asciiTheme="minorEastAsia" w:hAnsiTheme="minorEastAsia"/>
                <w:color w:val="auto"/>
                <w:szCs w:val="21"/>
                <w:highlight w:val="none"/>
              </w:rPr>
              <w:t>、</w:t>
            </w:r>
            <w:r>
              <w:rPr>
                <w:rFonts w:hint="eastAsia" w:ascii="宋体" w:hAnsi="宋体"/>
                <w:color w:val="auto"/>
                <w:szCs w:val="21"/>
                <w:highlight w:val="none"/>
              </w:rPr>
              <w:t>工作压力</w:t>
            </w:r>
            <w:r>
              <w:rPr>
                <w:rFonts w:hint="eastAsia" w:asciiTheme="minorEastAsia" w:hAnsiTheme="minorEastAsia"/>
                <w:color w:val="auto"/>
                <w:szCs w:val="21"/>
                <w:highlight w:val="none"/>
              </w:rPr>
              <w:t>、</w:t>
            </w:r>
            <w:r>
              <w:rPr>
                <w:rFonts w:hint="eastAsia" w:ascii="宋体" w:hAnsi="宋体"/>
                <w:color w:val="auto"/>
                <w:szCs w:val="21"/>
                <w:highlight w:val="none"/>
              </w:rPr>
              <w:t>密封性</w:t>
            </w:r>
            <w:r>
              <w:rPr>
                <w:rFonts w:hint="eastAsia" w:asciiTheme="minorEastAsia" w:hAnsiTheme="minorEastAsia"/>
                <w:color w:val="auto"/>
                <w:szCs w:val="21"/>
                <w:highlight w:val="none"/>
              </w:rPr>
              <w:t>、</w:t>
            </w:r>
            <w:r>
              <w:rPr>
                <w:rFonts w:hint="eastAsia" w:ascii="宋体" w:hAnsi="宋体"/>
                <w:color w:val="auto"/>
                <w:szCs w:val="21"/>
                <w:highlight w:val="none"/>
              </w:rPr>
              <w:t>安全压力</w:t>
            </w:r>
            <w:r>
              <w:rPr>
                <w:rFonts w:hint="eastAsia" w:asciiTheme="minorEastAsia" w:hAnsiTheme="minorEastAsia"/>
                <w:color w:val="auto"/>
                <w:szCs w:val="21"/>
                <w:highlight w:val="none"/>
              </w:rPr>
              <w:t>、</w:t>
            </w:r>
            <w:r>
              <w:rPr>
                <w:rFonts w:hint="eastAsia" w:ascii="宋体" w:hAnsi="宋体"/>
                <w:color w:val="auto"/>
                <w:szCs w:val="21"/>
                <w:highlight w:val="none"/>
              </w:rPr>
              <w:t>耐热压</w:t>
            </w:r>
            <w:r>
              <w:rPr>
                <w:rFonts w:hint="eastAsia" w:asciiTheme="minorEastAsia" w:hAnsiTheme="minorEastAsia"/>
                <w:color w:val="auto"/>
                <w:szCs w:val="21"/>
                <w:highlight w:val="none"/>
              </w:rPr>
              <w:t>、</w:t>
            </w:r>
            <w:r>
              <w:rPr>
                <w:rFonts w:hint="eastAsia" w:ascii="宋体" w:hAnsi="宋体"/>
                <w:color w:val="auto"/>
                <w:szCs w:val="21"/>
                <w:highlight w:val="none"/>
              </w:rPr>
              <w:t>开盖安全性</w:t>
            </w:r>
            <w:r>
              <w:rPr>
                <w:rFonts w:hint="eastAsia" w:asciiTheme="minorEastAsia" w:hAnsiTheme="minorEastAsia"/>
                <w:color w:val="auto"/>
                <w:szCs w:val="21"/>
                <w:highlight w:val="none"/>
              </w:rPr>
              <w:t>、</w:t>
            </w:r>
            <w:r>
              <w:rPr>
                <w:rFonts w:hint="eastAsia" w:ascii="宋体" w:hAnsi="宋体"/>
                <w:color w:val="auto"/>
                <w:szCs w:val="21"/>
                <w:highlight w:val="none"/>
              </w:rPr>
              <w:t>防堵安全性</w:t>
            </w:r>
            <w:r>
              <w:rPr>
                <w:rFonts w:hint="eastAsia" w:asciiTheme="minorEastAsia" w:hAnsiTheme="minorEastAsia"/>
                <w:color w:val="auto"/>
                <w:szCs w:val="21"/>
                <w:highlight w:val="none"/>
              </w:rPr>
              <w:t>、</w:t>
            </w:r>
            <w:r>
              <w:rPr>
                <w:rFonts w:hint="eastAsia" w:ascii="宋体" w:hAnsi="宋体"/>
                <w:color w:val="auto"/>
                <w:szCs w:val="21"/>
                <w:highlight w:val="none"/>
              </w:rPr>
              <w:t>耐内压力</w:t>
            </w:r>
            <w:r>
              <w:rPr>
                <w:rFonts w:hint="eastAsia" w:asciiTheme="minorEastAsia" w:hAnsiTheme="minorEastAsia"/>
                <w:color w:val="auto"/>
                <w:szCs w:val="21"/>
                <w:highlight w:val="none"/>
              </w:rPr>
              <w:t>、</w:t>
            </w:r>
            <w:r>
              <w:rPr>
                <w:rFonts w:hint="eastAsia" w:ascii="宋体" w:hAnsi="宋体"/>
                <w:color w:val="auto"/>
                <w:szCs w:val="21"/>
                <w:highlight w:val="none"/>
              </w:rPr>
              <w:t>泄压压力</w:t>
            </w:r>
            <w:r>
              <w:rPr>
                <w:rFonts w:hint="eastAsia" w:asciiTheme="minorEastAsia" w:hAnsiTheme="minorEastAsia"/>
                <w:color w:val="auto"/>
                <w:szCs w:val="21"/>
                <w:highlight w:val="none"/>
              </w:rPr>
              <w:t>、</w:t>
            </w:r>
            <w:r>
              <w:rPr>
                <w:rFonts w:hint="eastAsia" w:ascii="宋体" w:hAnsi="宋体"/>
                <w:color w:val="auto"/>
                <w:szCs w:val="21"/>
                <w:highlight w:val="none"/>
              </w:rPr>
              <w:t>破坏压力、主体部分（感官要求）、主体部分（杂质元素迁移量（砷、镉、铅、锑））、主体部分（合金元素迁移量（铝、铜、锰、镍、铬、锌））</w:t>
            </w:r>
          </w:p>
        </w:tc>
      </w:tr>
      <w:tr w14:paraId="71A5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728ACAE2">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4A327A30">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食品接触用纸容器</w:t>
            </w:r>
          </w:p>
        </w:tc>
        <w:tc>
          <w:tcPr>
            <w:tcW w:w="1254" w:type="dxa"/>
            <w:vAlign w:val="center"/>
          </w:tcPr>
          <w:p w14:paraId="2AA44B6A">
            <w:pPr>
              <w:jc w:val="center"/>
              <w:rPr>
                <w:rFonts w:ascii="宋体" w:hAnsi="宋体" w:eastAsia="宋体" w:cs="宋体"/>
                <w:color w:val="auto"/>
                <w:sz w:val="20"/>
                <w:szCs w:val="20"/>
                <w:highlight w:val="none"/>
              </w:rPr>
            </w:pPr>
            <w:r>
              <w:rPr>
                <w:rFonts w:hint="eastAsia"/>
                <w:color w:val="auto"/>
                <w:sz w:val="20"/>
                <w:szCs w:val="20"/>
                <w:highlight w:val="none"/>
              </w:rPr>
              <w:t>1800</w:t>
            </w:r>
          </w:p>
        </w:tc>
        <w:tc>
          <w:tcPr>
            <w:tcW w:w="1439" w:type="dxa"/>
            <w:vAlign w:val="center"/>
          </w:tcPr>
          <w:p w14:paraId="09B5C6F1">
            <w:pPr>
              <w:rPr>
                <w:rFonts w:cs="宋体" w:asciiTheme="minorEastAsia" w:hAnsiTheme="minorEastAsia"/>
                <w:color w:val="auto"/>
                <w:szCs w:val="21"/>
                <w:highlight w:val="none"/>
              </w:rPr>
            </w:pPr>
            <w:r>
              <w:rPr>
                <w:rFonts w:cs="宋体" w:asciiTheme="minorEastAsia" w:hAnsiTheme="minorEastAsia"/>
                <w:color w:val="auto"/>
                <w:szCs w:val="21"/>
                <w:highlight w:val="none"/>
              </w:rPr>
              <w:t>GB/T 28120-2011</w:t>
            </w:r>
          </w:p>
          <w:p w14:paraId="53ED8F81">
            <w:pPr>
              <w:rPr>
                <w:rFonts w:cs="宋体" w:asciiTheme="minorEastAsia" w:hAnsiTheme="minorEastAsia"/>
                <w:color w:val="auto"/>
                <w:szCs w:val="21"/>
                <w:highlight w:val="none"/>
              </w:rPr>
            </w:pPr>
            <w:r>
              <w:rPr>
                <w:rFonts w:cs="宋体" w:asciiTheme="minorEastAsia" w:hAnsiTheme="minorEastAsia"/>
                <w:color w:val="auto"/>
                <w:szCs w:val="21"/>
                <w:highlight w:val="none"/>
              </w:rPr>
              <w:t>GB/T 10440-2008</w:t>
            </w:r>
          </w:p>
          <w:p w14:paraId="1DB095AC">
            <w:pPr>
              <w:rPr>
                <w:rFonts w:cs="宋体" w:asciiTheme="minorEastAsia" w:hAnsiTheme="minorEastAsia"/>
                <w:color w:val="auto"/>
                <w:szCs w:val="21"/>
                <w:highlight w:val="none"/>
              </w:rPr>
            </w:pPr>
            <w:r>
              <w:rPr>
                <w:rFonts w:cs="宋体" w:asciiTheme="minorEastAsia" w:hAnsiTheme="minorEastAsia"/>
                <w:color w:val="auto"/>
                <w:szCs w:val="21"/>
                <w:highlight w:val="none"/>
              </w:rPr>
              <w:t>GB/T 27590-2022</w:t>
            </w:r>
          </w:p>
          <w:p w14:paraId="075F2EF1">
            <w:pPr>
              <w:rPr>
                <w:rFonts w:cs="宋体" w:asciiTheme="minorEastAsia" w:hAnsiTheme="minorEastAsia"/>
                <w:color w:val="auto"/>
                <w:szCs w:val="21"/>
                <w:highlight w:val="none"/>
              </w:rPr>
            </w:pPr>
            <w:r>
              <w:rPr>
                <w:rFonts w:cs="宋体" w:asciiTheme="minorEastAsia" w:hAnsiTheme="minorEastAsia"/>
                <w:color w:val="auto"/>
                <w:szCs w:val="21"/>
                <w:highlight w:val="none"/>
              </w:rPr>
              <w:t>GB/T 27591-2011</w:t>
            </w:r>
          </w:p>
          <w:p w14:paraId="566A9909">
            <w:pPr>
              <w:rPr>
                <w:rFonts w:cs="宋体" w:asciiTheme="minorEastAsia" w:hAnsiTheme="minorEastAsia"/>
                <w:color w:val="auto"/>
                <w:szCs w:val="21"/>
                <w:highlight w:val="none"/>
              </w:rPr>
            </w:pPr>
            <w:r>
              <w:rPr>
                <w:rFonts w:cs="宋体" w:asciiTheme="minorEastAsia" w:hAnsiTheme="minorEastAsia"/>
                <w:color w:val="auto"/>
                <w:szCs w:val="21"/>
                <w:highlight w:val="none"/>
              </w:rPr>
              <w:t>GB/T 27589-2011</w:t>
            </w:r>
          </w:p>
          <w:p w14:paraId="56ECA6B5">
            <w:pPr>
              <w:rPr>
                <w:rFonts w:cs="宋体" w:asciiTheme="minorEastAsia" w:hAnsiTheme="minorEastAsia"/>
                <w:color w:val="auto"/>
                <w:szCs w:val="21"/>
                <w:highlight w:val="none"/>
              </w:rPr>
            </w:pPr>
            <w:r>
              <w:rPr>
                <w:rFonts w:cs="宋体" w:asciiTheme="minorEastAsia" w:hAnsiTheme="minorEastAsia"/>
                <w:color w:val="auto"/>
                <w:szCs w:val="21"/>
                <w:highlight w:val="none"/>
              </w:rPr>
              <w:t>QB/T 2898 -2007</w:t>
            </w:r>
          </w:p>
          <w:p w14:paraId="477BE79D">
            <w:pPr>
              <w:rPr>
                <w:rFonts w:cs="宋体" w:asciiTheme="minorEastAsia" w:hAnsiTheme="minorEastAsia"/>
                <w:color w:val="auto"/>
                <w:szCs w:val="21"/>
                <w:highlight w:val="none"/>
              </w:rPr>
            </w:pPr>
            <w:r>
              <w:rPr>
                <w:rFonts w:cs="宋体" w:asciiTheme="minorEastAsia" w:hAnsiTheme="minorEastAsia"/>
                <w:color w:val="auto"/>
                <w:szCs w:val="21"/>
                <w:highlight w:val="none"/>
              </w:rPr>
              <w:t xml:space="preserve">GB/T 36787-2018 </w:t>
            </w:r>
          </w:p>
          <w:p w14:paraId="1520636E">
            <w:pPr>
              <w:rPr>
                <w:rFonts w:cs="宋体" w:asciiTheme="minorEastAsia" w:hAnsiTheme="minorEastAsia"/>
                <w:color w:val="auto"/>
                <w:szCs w:val="21"/>
                <w:highlight w:val="none"/>
              </w:rPr>
            </w:pPr>
            <w:r>
              <w:rPr>
                <w:rFonts w:cs="宋体" w:asciiTheme="minorEastAsia" w:hAnsiTheme="minorEastAsia"/>
                <w:color w:val="auto"/>
                <w:szCs w:val="21"/>
                <w:highlight w:val="none"/>
              </w:rPr>
              <w:t>GB 4806.8-20</w:t>
            </w:r>
            <w:r>
              <w:rPr>
                <w:rFonts w:hint="eastAsia" w:cs="宋体" w:asciiTheme="minorEastAsia" w:hAnsiTheme="minorEastAsia"/>
                <w:color w:val="auto"/>
                <w:szCs w:val="21"/>
                <w:highlight w:val="none"/>
              </w:rPr>
              <w:t>22</w:t>
            </w:r>
          </w:p>
          <w:p w14:paraId="67C34630">
            <w:pPr>
              <w:rPr>
                <w:rFonts w:cs="宋体" w:asciiTheme="minorEastAsia" w:hAnsiTheme="minorEastAsia"/>
                <w:color w:val="auto"/>
                <w:szCs w:val="21"/>
                <w:highlight w:val="none"/>
              </w:rPr>
            </w:pPr>
            <w:r>
              <w:rPr>
                <w:rFonts w:cs="宋体" w:asciiTheme="minorEastAsia" w:hAnsiTheme="minorEastAsia"/>
                <w:color w:val="auto"/>
                <w:szCs w:val="21"/>
                <w:highlight w:val="none"/>
              </w:rPr>
              <w:t>GB 4806.7-20</w:t>
            </w:r>
            <w:r>
              <w:rPr>
                <w:rFonts w:hint="eastAsia" w:cs="宋体" w:asciiTheme="minorEastAsia" w:hAnsiTheme="minorEastAsia"/>
                <w:color w:val="auto"/>
                <w:szCs w:val="21"/>
                <w:highlight w:val="none"/>
              </w:rPr>
              <w:t>23</w:t>
            </w:r>
          </w:p>
        </w:tc>
        <w:tc>
          <w:tcPr>
            <w:tcW w:w="4252" w:type="dxa"/>
            <w:vAlign w:val="center"/>
          </w:tcPr>
          <w:p w14:paraId="2677B00A">
            <w:pPr>
              <w:rPr>
                <w:rFonts w:hint="eastAsia" w:asciiTheme="minorEastAsia" w:hAnsiTheme="minorEastAsia"/>
                <w:color w:val="auto"/>
                <w:szCs w:val="21"/>
                <w:highlight w:val="none"/>
              </w:rPr>
            </w:pPr>
            <w:r>
              <w:rPr>
                <w:rFonts w:hint="eastAsia" w:asciiTheme="minorEastAsia" w:hAnsiTheme="minorEastAsia"/>
                <w:color w:val="auto"/>
                <w:szCs w:val="21"/>
                <w:highlight w:val="none"/>
              </w:rPr>
              <w:t>面粉纸袋：感官要求、铅、砷、甲醛、荧光性物质、总迁移量、高锰酸钾消耗量、重金属（以Pb计）；</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圆柱形复合罐：端盖脱离力、轴向压溃力、快速泄漏试验、感官要求、总迁移量、高锰酸钾消耗量、重金属（以Pb计）；</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纸杯：感官指标、渗漏性能、杯身挺度、感官要求、铅、砷、甲醛、荧光性物质、总迁移量、高锰酸钾消耗量、重金属（以Pb计）、脱色试验、单体及其他起始物的特定迁移限量、特定迁移限量总量、最大残留量等理化指标；</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纸餐盒：盖体对折试验、耐温试验、感官要求、铅、砷、甲醛、荧光性物质、总迁移量、高锰酸钾消耗量、重金属（以Pb计）、脱色试验、单体及其他起始物的特定迁移限量、特定迁移限量总量、最大残留量等理化指标；</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餐用纸制品：渗漏性能、感官要求、铅、砷、甲醛、荧光性物质、总迁移量、高锰酸钾消耗量、重金属（以Pb计）、脱色试验、单体及其他起始物的特定迁移限量、特定迁移限量总量、最大残留量等理化指标；</w:t>
            </w:r>
          </w:p>
          <w:p w14:paraId="1DA64369">
            <w:pPr>
              <w:rPr>
                <w:rFonts w:cs="宋体" w:asciiTheme="minorEastAsia" w:hAnsiTheme="minorEastAsia"/>
                <w:color w:val="auto"/>
                <w:szCs w:val="21"/>
                <w:highlight w:val="none"/>
              </w:rPr>
            </w:pPr>
            <w:r>
              <w:rPr>
                <w:rFonts w:hint="eastAsia" w:asciiTheme="minorEastAsia" w:hAnsiTheme="minorEastAsia"/>
                <w:color w:val="auto"/>
                <w:szCs w:val="21"/>
                <w:highlight w:val="none"/>
              </w:rPr>
              <w:t>纸浆模塑餐具：耐温性能、杯身挺度、抗压性能、感官要求、铅、砷、甲醛、荧光性物质、总迁移量、高锰酸钾消耗量、重金属（以Pb计）；</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特定食品用纸容器：感官要求、铅、砷、甲醛、荧光性物质、总迁移量、高锰酸钾消耗量、重金属（以Pb计）、脱色试验、单体及其他起始物的特定迁移限量、特定迁移限量总量、最大残留量等理化指标；</w:t>
            </w:r>
          </w:p>
        </w:tc>
      </w:tr>
      <w:tr w14:paraId="3D0D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772C8019">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77754423">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消防水带</w:t>
            </w:r>
          </w:p>
        </w:tc>
        <w:tc>
          <w:tcPr>
            <w:tcW w:w="1254" w:type="dxa"/>
            <w:vAlign w:val="center"/>
          </w:tcPr>
          <w:p w14:paraId="55B9315C">
            <w:pPr>
              <w:jc w:val="center"/>
              <w:rPr>
                <w:rFonts w:ascii="宋体" w:hAnsi="宋体" w:eastAsia="宋体" w:cs="宋体"/>
                <w:color w:val="auto"/>
                <w:sz w:val="20"/>
                <w:szCs w:val="20"/>
                <w:highlight w:val="none"/>
              </w:rPr>
            </w:pPr>
            <w:r>
              <w:rPr>
                <w:rFonts w:hint="eastAsia"/>
                <w:color w:val="auto"/>
                <w:sz w:val="20"/>
                <w:szCs w:val="20"/>
                <w:highlight w:val="none"/>
              </w:rPr>
              <w:t>2550</w:t>
            </w:r>
          </w:p>
        </w:tc>
        <w:tc>
          <w:tcPr>
            <w:tcW w:w="1439" w:type="dxa"/>
            <w:vAlign w:val="center"/>
          </w:tcPr>
          <w:p w14:paraId="162FDCB3">
            <w:pPr>
              <w:rPr>
                <w:rFonts w:cs="宋体" w:asciiTheme="minorEastAsia" w:hAnsiTheme="minorEastAsia"/>
                <w:color w:val="auto"/>
                <w:szCs w:val="21"/>
                <w:highlight w:val="none"/>
              </w:rPr>
            </w:pPr>
            <w:r>
              <w:rPr>
                <w:rFonts w:hint="eastAsia" w:asciiTheme="minorEastAsia" w:hAnsiTheme="minorEastAsia"/>
                <w:color w:val="auto"/>
                <w:szCs w:val="21"/>
                <w:highlight w:val="none"/>
              </w:rPr>
              <w:t>GB 6246-2011</w:t>
            </w:r>
          </w:p>
        </w:tc>
        <w:tc>
          <w:tcPr>
            <w:tcW w:w="4252" w:type="dxa"/>
            <w:vAlign w:val="center"/>
          </w:tcPr>
          <w:p w14:paraId="1FC888E2">
            <w:pPr>
              <w:rPr>
                <w:rFonts w:cs="宋体" w:asciiTheme="minorEastAsia" w:hAnsiTheme="minorEastAsia"/>
                <w:color w:val="auto"/>
                <w:szCs w:val="21"/>
                <w:highlight w:val="none"/>
              </w:rPr>
            </w:pPr>
            <w:r>
              <w:rPr>
                <w:rFonts w:hint="eastAsia" w:asciiTheme="minorEastAsia" w:hAnsiTheme="minorEastAsia"/>
                <w:color w:val="auto"/>
                <w:szCs w:val="21"/>
                <w:highlight w:val="none"/>
              </w:rPr>
              <w:t>标志、内径、长度、单位长度质量、试验压力下状况、爆破压力、附着强度、耐磨性能</w:t>
            </w:r>
          </w:p>
        </w:tc>
      </w:tr>
      <w:tr w14:paraId="4E50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3786AF82">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0FA2B058">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塑料购物袋</w:t>
            </w:r>
          </w:p>
        </w:tc>
        <w:tc>
          <w:tcPr>
            <w:tcW w:w="1254" w:type="dxa"/>
            <w:vAlign w:val="center"/>
          </w:tcPr>
          <w:p w14:paraId="37170591">
            <w:pPr>
              <w:jc w:val="center"/>
              <w:rPr>
                <w:rFonts w:ascii="宋体" w:hAnsi="宋体" w:eastAsia="宋体" w:cs="宋体"/>
                <w:color w:val="auto"/>
                <w:sz w:val="20"/>
                <w:szCs w:val="20"/>
                <w:highlight w:val="none"/>
              </w:rPr>
            </w:pPr>
            <w:r>
              <w:rPr>
                <w:rFonts w:hint="eastAsia"/>
                <w:color w:val="auto"/>
                <w:sz w:val="20"/>
                <w:szCs w:val="20"/>
                <w:highlight w:val="none"/>
              </w:rPr>
              <w:t>1700</w:t>
            </w:r>
          </w:p>
        </w:tc>
        <w:tc>
          <w:tcPr>
            <w:tcW w:w="1439" w:type="dxa"/>
            <w:vAlign w:val="center"/>
          </w:tcPr>
          <w:p w14:paraId="4518CF2F">
            <w:pPr>
              <w:rPr>
                <w:rFonts w:cs="宋体" w:asciiTheme="minorEastAsia" w:hAnsiTheme="minorEastAsia"/>
                <w:color w:val="auto"/>
                <w:szCs w:val="21"/>
                <w:highlight w:val="none"/>
              </w:rPr>
            </w:pPr>
            <w:r>
              <w:rPr>
                <w:rFonts w:hint="eastAsia" w:asciiTheme="minorEastAsia" w:hAnsiTheme="minorEastAsia"/>
                <w:color w:val="auto"/>
                <w:szCs w:val="21"/>
                <w:highlight w:val="none"/>
              </w:rPr>
              <w:t>GB/T 21661-2020  GB 4806.7-2023</w:t>
            </w:r>
          </w:p>
        </w:tc>
        <w:tc>
          <w:tcPr>
            <w:tcW w:w="4252" w:type="dxa"/>
            <w:vAlign w:val="center"/>
          </w:tcPr>
          <w:p w14:paraId="0EC762AA">
            <w:pPr>
              <w:rPr>
                <w:rFonts w:cs="宋体" w:asciiTheme="minorEastAsia" w:hAnsiTheme="minorEastAsia"/>
                <w:color w:val="auto"/>
                <w:szCs w:val="21"/>
                <w:highlight w:val="none"/>
              </w:rPr>
            </w:pPr>
            <w:r>
              <w:rPr>
                <w:rFonts w:hint="eastAsia" w:asciiTheme="minorEastAsia" w:hAnsiTheme="minorEastAsia"/>
                <w:color w:val="auto"/>
                <w:szCs w:val="21"/>
                <w:highlight w:val="none"/>
              </w:rPr>
              <w:t>标识、最小厚度、公称厚度、本体外附件、厚度极限偏差、厚度平均偏差、宽度偏差、长度偏差、感官、提吊试验、跌落试验、漏水性、封合强度、落镖冲击、感官要求、总迁移量、高锰酸钾消耗量、重金属（以Pb计）、脱色试验</w:t>
            </w:r>
          </w:p>
        </w:tc>
      </w:tr>
      <w:tr w14:paraId="2535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3C281D4D">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09E6CF5A">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不可降解塑料袋</w:t>
            </w:r>
          </w:p>
        </w:tc>
        <w:tc>
          <w:tcPr>
            <w:tcW w:w="1254" w:type="dxa"/>
            <w:vAlign w:val="center"/>
          </w:tcPr>
          <w:p w14:paraId="3C0C5D23">
            <w:pPr>
              <w:jc w:val="center"/>
              <w:rPr>
                <w:rFonts w:ascii="宋体" w:hAnsi="宋体" w:eastAsia="宋体" w:cs="宋体"/>
                <w:color w:val="auto"/>
                <w:sz w:val="20"/>
                <w:szCs w:val="20"/>
                <w:highlight w:val="none"/>
              </w:rPr>
            </w:pPr>
            <w:r>
              <w:rPr>
                <w:rFonts w:hint="eastAsia"/>
                <w:color w:val="auto"/>
                <w:sz w:val="20"/>
                <w:szCs w:val="20"/>
                <w:highlight w:val="none"/>
              </w:rPr>
              <w:t>12000</w:t>
            </w:r>
          </w:p>
        </w:tc>
        <w:tc>
          <w:tcPr>
            <w:tcW w:w="1439" w:type="dxa"/>
            <w:vAlign w:val="center"/>
          </w:tcPr>
          <w:p w14:paraId="57B95893">
            <w:pPr>
              <w:rPr>
                <w:rFonts w:cs="宋体" w:asciiTheme="minorEastAsia" w:hAnsiTheme="minorEastAsia"/>
                <w:color w:val="auto"/>
                <w:szCs w:val="21"/>
                <w:highlight w:val="none"/>
              </w:rPr>
            </w:pPr>
            <w:r>
              <w:rPr>
                <w:rFonts w:hint="eastAsia" w:asciiTheme="minorEastAsia" w:hAnsiTheme="minorEastAsia"/>
                <w:color w:val="auto"/>
                <w:szCs w:val="21"/>
                <w:highlight w:val="none"/>
              </w:rPr>
              <w:t>GB/T 21661-2020     GB 4806.7-2016</w:t>
            </w:r>
          </w:p>
        </w:tc>
        <w:tc>
          <w:tcPr>
            <w:tcW w:w="4252" w:type="dxa"/>
            <w:vAlign w:val="center"/>
          </w:tcPr>
          <w:p w14:paraId="24DD2DE0">
            <w:pPr>
              <w:rPr>
                <w:rFonts w:cs="宋体" w:asciiTheme="minorEastAsia" w:hAnsiTheme="minorEastAsia"/>
                <w:color w:val="auto"/>
                <w:szCs w:val="21"/>
                <w:highlight w:val="none"/>
              </w:rPr>
            </w:pPr>
            <w:r>
              <w:rPr>
                <w:rFonts w:hint="eastAsia" w:asciiTheme="minorEastAsia" w:hAnsiTheme="minorEastAsia"/>
                <w:color w:val="auto"/>
                <w:szCs w:val="21"/>
                <w:highlight w:val="none"/>
              </w:rPr>
              <w:t>塑料购物袋:标识、最小厚度、公称厚度、本体外附件、厚度极限偏差、厚度平均偏差、宽度偏差、长度偏差、感官、提吊试验、跌落试验、漏水性、封合强度、落镖冲击、感官要求、总迁移量、高锰酸钾消耗量、重金属（以Pb计）、脱色试验</w:t>
            </w:r>
          </w:p>
        </w:tc>
      </w:tr>
      <w:tr w14:paraId="258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32B00287">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0AF85CFE">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农用地膜</w:t>
            </w:r>
          </w:p>
        </w:tc>
        <w:tc>
          <w:tcPr>
            <w:tcW w:w="1254" w:type="dxa"/>
            <w:vAlign w:val="center"/>
          </w:tcPr>
          <w:p w14:paraId="31B9FA27">
            <w:pPr>
              <w:jc w:val="center"/>
              <w:rPr>
                <w:rFonts w:ascii="宋体" w:hAnsi="宋体" w:eastAsia="宋体" w:cs="宋体"/>
                <w:color w:val="auto"/>
                <w:sz w:val="20"/>
                <w:szCs w:val="20"/>
                <w:highlight w:val="none"/>
              </w:rPr>
            </w:pPr>
            <w:r>
              <w:rPr>
                <w:rFonts w:hint="eastAsia"/>
                <w:color w:val="auto"/>
                <w:sz w:val="20"/>
                <w:szCs w:val="20"/>
                <w:highlight w:val="none"/>
              </w:rPr>
              <w:t>1800</w:t>
            </w:r>
          </w:p>
        </w:tc>
        <w:tc>
          <w:tcPr>
            <w:tcW w:w="1439" w:type="dxa"/>
            <w:vAlign w:val="center"/>
          </w:tcPr>
          <w:p w14:paraId="30A2921B">
            <w:pPr>
              <w:rPr>
                <w:rFonts w:cs="宋体" w:asciiTheme="minorEastAsia" w:hAnsiTheme="minorEastAsia"/>
                <w:color w:val="auto"/>
                <w:szCs w:val="21"/>
                <w:highlight w:val="none"/>
              </w:rPr>
            </w:pPr>
            <w:r>
              <w:rPr>
                <w:rFonts w:hint="eastAsia" w:asciiTheme="minorEastAsia" w:hAnsiTheme="minorEastAsia"/>
                <w:color w:val="auto"/>
                <w:szCs w:val="21"/>
                <w:highlight w:val="none"/>
              </w:rPr>
              <w:t>GB 13735-2017</w:t>
            </w:r>
          </w:p>
        </w:tc>
        <w:tc>
          <w:tcPr>
            <w:tcW w:w="4252" w:type="dxa"/>
            <w:vAlign w:val="center"/>
          </w:tcPr>
          <w:p w14:paraId="6458F3EB">
            <w:pPr>
              <w:rPr>
                <w:rFonts w:cs="宋体" w:asciiTheme="minorEastAsia" w:hAnsiTheme="minorEastAsia"/>
                <w:color w:val="auto"/>
                <w:szCs w:val="21"/>
                <w:highlight w:val="none"/>
              </w:rPr>
            </w:pPr>
            <w:r>
              <w:rPr>
                <w:rFonts w:hint="eastAsia" w:asciiTheme="minorEastAsia" w:hAnsiTheme="minorEastAsia"/>
                <w:color w:val="auto"/>
                <w:szCs w:val="21"/>
                <w:highlight w:val="none"/>
              </w:rPr>
              <w:t>地膜：厚度、厚度偏差、宽度极限偏差、外观、拉伸负荷（纵、橫向）、断裂标称应变（纵、橫向）、直角撕裂负荷（纵、橫向）</w:t>
            </w:r>
          </w:p>
        </w:tc>
      </w:tr>
      <w:tr w14:paraId="2CB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14:paraId="38A3F7DC">
            <w:pPr>
              <w:shd w:val="clear" w:color="auto" w:fill="FFFFFF"/>
              <w:snapToGrid w:val="0"/>
              <w:spacing w:before="100" w:beforeAutospacing="1" w:after="100" w:afterAutospacing="1" w:line="360" w:lineRule="auto"/>
              <w:ind w:firstLine="420" w:firstLineChars="200"/>
              <w:jc w:val="center"/>
              <w:rPr>
                <w:rFonts w:cs="宋体" w:asciiTheme="minorEastAsia" w:hAnsiTheme="minorEastAsia"/>
                <w:color w:val="auto"/>
                <w:szCs w:val="21"/>
                <w:highlight w:val="none"/>
              </w:rPr>
            </w:pPr>
          </w:p>
        </w:tc>
        <w:tc>
          <w:tcPr>
            <w:tcW w:w="1418" w:type="dxa"/>
            <w:vAlign w:val="center"/>
          </w:tcPr>
          <w:p w14:paraId="163A66AD">
            <w:pPr>
              <w:jc w:val="center"/>
              <w:rPr>
                <w:rFonts w:cs="宋体" w:asciiTheme="minorEastAsia" w:hAnsiTheme="minorEastAsia"/>
                <w:color w:val="auto"/>
                <w:szCs w:val="21"/>
                <w:highlight w:val="none"/>
              </w:rPr>
            </w:pPr>
            <w:r>
              <w:rPr>
                <w:rFonts w:hint="eastAsia" w:asciiTheme="minorEastAsia" w:hAnsiTheme="minorEastAsia"/>
                <w:color w:val="auto"/>
                <w:szCs w:val="21"/>
                <w:highlight w:val="none"/>
              </w:rPr>
              <w:t>热轧带肋钢筋</w:t>
            </w:r>
          </w:p>
        </w:tc>
        <w:tc>
          <w:tcPr>
            <w:tcW w:w="1254" w:type="dxa"/>
            <w:vAlign w:val="center"/>
          </w:tcPr>
          <w:p w14:paraId="105CAF91">
            <w:pPr>
              <w:jc w:val="center"/>
              <w:rPr>
                <w:rFonts w:ascii="宋体" w:hAnsi="宋体" w:eastAsia="宋体" w:cs="宋体"/>
                <w:color w:val="auto"/>
                <w:sz w:val="20"/>
                <w:szCs w:val="20"/>
                <w:highlight w:val="none"/>
              </w:rPr>
            </w:pPr>
            <w:r>
              <w:rPr>
                <w:rFonts w:hint="eastAsia"/>
                <w:color w:val="auto"/>
                <w:sz w:val="20"/>
                <w:szCs w:val="20"/>
                <w:highlight w:val="none"/>
              </w:rPr>
              <w:t>2150</w:t>
            </w:r>
          </w:p>
        </w:tc>
        <w:tc>
          <w:tcPr>
            <w:tcW w:w="1439" w:type="dxa"/>
            <w:vAlign w:val="center"/>
          </w:tcPr>
          <w:p w14:paraId="56EF3EF9">
            <w:pPr>
              <w:rPr>
                <w:rFonts w:cs="宋体" w:asciiTheme="minorEastAsia" w:hAnsiTheme="minorEastAsia"/>
                <w:color w:val="auto"/>
                <w:szCs w:val="21"/>
                <w:highlight w:val="none"/>
              </w:rPr>
            </w:pPr>
            <w:r>
              <w:rPr>
                <w:rFonts w:hint="eastAsia" w:asciiTheme="minorEastAsia" w:hAnsiTheme="minorEastAsia"/>
                <w:color w:val="auto"/>
                <w:szCs w:val="21"/>
                <w:highlight w:val="none"/>
              </w:rPr>
              <w:t>GB/T1499.2-2018</w:t>
            </w:r>
          </w:p>
        </w:tc>
        <w:tc>
          <w:tcPr>
            <w:tcW w:w="4252" w:type="dxa"/>
            <w:vAlign w:val="center"/>
          </w:tcPr>
          <w:p w14:paraId="3DCC35E2">
            <w:pPr>
              <w:rPr>
                <w:rFonts w:cs="宋体" w:asciiTheme="minorEastAsia" w:hAnsiTheme="minorEastAsia"/>
                <w:color w:val="auto"/>
                <w:szCs w:val="21"/>
                <w:highlight w:val="none"/>
              </w:rPr>
            </w:pPr>
            <w:r>
              <w:rPr>
                <w:rFonts w:hint="eastAsia" w:asciiTheme="minorEastAsia" w:hAnsiTheme="minorEastAsia"/>
                <w:color w:val="auto"/>
                <w:szCs w:val="21"/>
                <w:highlight w:val="none"/>
              </w:rPr>
              <w:t>尺寸外形（横肋高、间距、横肋末端间隙）、表面质量、重量偏差、钢筋表面标志、力学性能、弯曲性能、反向弯曲性能、金相组织、化学成分（C、Si、Mn、P、S、Ceq）</w:t>
            </w:r>
          </w:p>
        </w:tc>
      </w:tr>
    </w:tbl>
    <w:p w14:paraId="1852F411">
      <w:pPr>
        <w:spacing w:line="360" w:lineRule="auto"/>
        <w:rPr>
          <w:color w:val="auto"/>
          <w:highlight w:val="none"/>
        </w:rPr>
      </w:pPr>
    </w:p>
    <w:tbl>
      <w:tblPr>
        <w:tblStyle w:val="7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1134"/>
        <w:gridCol w:w="1418"/>
        <w:gridCol w:w="4252"/>
      </w:tblGrid>
      <w:tr w14:paraId="75B4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BBD500E">
            <w:pPr>
              <w:jc w:val="center"/>
              <w:rPr>
                <w:rFonts w:ascii="宋体" w:hAnsi="宋体" w:cs="宋体"/>
                <w:color w:val="auto"/>
                <w:szCs w:val="21"/>
                <w:highlight w:val="none"/>
              </w:rPr>
            </w:pPr>
            <w:r>
              <w:rPr>
                <w:rFonts w:hint="eastAsia" w:ascii="宋体" w:hAnsi="宋体" w:cs="宋体"/>
                <w:color w:val="auto"/>
                <w:szCs w:val="21"/>
                <w:highlight w:val="none"/>
              </w:rPr>
              <w:t>标项名称</w:t>
            </w:r>
          </w:p>
        </w:tc>
        <w:tc>
          <w:tcPr>
            <w:tcW w:w="1559" w:type="dxa"/>
            <w:vAlign w:val="center"/>
          </w:tcPr>
          <w:p w14:paraId="4AB575CF">
            <w:pPr>
              <w:jc w:val="center"/>
              <w:rPr>
                <w:rFonts w:ascii="宋体" w:hAnsi="宋体" w:cs="宋体"/>
                <w:color w:val="auto"/>
                <w:szCs w:val="21"/>
                <w:highlight w:val="none"/>
              </w:rPr>
            </w:pPr>
            <w:r>
              <w:rPr>
                <w:rFonts w:hint="eastAsia" w:ascii="宋体" w:hAnsi="宋体" w:cs="宋体"/>
                <w:color w:val="auto"/>
                <w:szCs w:val="21"/>
                <w:highlight w:val="none"/>
              </w:rPr>
              <w:t>检测产品（商品）类别</w:t>
            </w:r>
          </w:p>
        </w:tc>
        <w:tc>
          <w:tcPr>
            <w:tcW w:w="1134" w:type="dxa"/>
            <w:vAlign w:val="center"/>
          </w:tcPr>
          <w:p w14:paraId="71AA24BF">
            <w:pPr>
              <w:jc w:val="center"/>
              <w:rPr>
                <w:rFonts w:ascii="宋体" w:hAnsi="宋体" w:cs="宋体"/>
                <w:color w:val="auto"/>
                <w:szCs w:val="21"/>
                <w:highlight w:val="none"/>
              </w:rPr>
            </w:pPr>
            <w:r>
              <w:rPr>
                <w:rFonts w:hint="eastAsia" w:cs="宋体" w:asciiTheme="minorEastAsia" w:hAnsiTheme="minorEastAsia"/>
                <w:color w:val="auto"/>
                <w:kern w:val="0"/>
                <w:szCs w:val="21"/>
                <w:highlight w:val="none"/>
              </w:rPr>
              <w:t>检测最高限价（元/批）</w:t>
            </w:r>
          </w:p>
        </w:tc>
        <w:tc>
          <w:tcPr>
            <w:tcW w:w="1418" w:type="dxa"/>
            <w:vAlign w:val="center"/>
          </w:tcPr>
          <w:p w14:paraId="325BC351">
            <w:pPr>
              <w:jc w:val="center"/>
              <w:rPr>
                <w:rFonts w:ascii="宋体" w:hAnsi="宋体" w:cs="宋体"/>
                <w:color w:val="auto"/>
                <w:szCs w:val="21"/>
                <w:highlight w:val="none"/>
              </w:rPr>
            </w:pPr>
            <w:r>
              <w:rPr>
                <w:rFonts w:hint="eastAsia" w:ascii="宋体" w:hAnsi="宋体" w:cs="宋体"/>
                <w:color w:val="auto"/>
                <w:szCs w:val="21"/>
                <w:highlight w:val="none"/>
              </w:rPr>
              <w:t>检测标准</w:t>
            </w:r>
          </w:p>
        </w:tc>
        <w:tc>
          <w:tcPr>
            <w:tcW w:w="4252" w:type="dxa"/>
            <w:vAlign w:val="center"/>
          </w:tcPr>
          <w:p w14:paraId="29AA81A2">
            <w:pPr>
              <w:jc w:val="center"/>
              <w:rPr>
                <w:rFonts w:ascii="宋体" w:hAnsi="宋体" w:cs="宋体"/>
                <w:color w:val="auto"/>
                <w:szCs w:val="21"/>
                <w:highlight w:val="none"/>
              </w:rPr>
            </w:pPr>
            <w:r>
              <w:rPr>
                <w:rFonts w:hint="eastAsia" w:ascii="宋体" w:hAnsi="宋体" w:cs="宋体"/>
                <w:color w:val="auto"/>
                <w:szCs w:val="21"/>
                <w:highlight w:val="none"/>
              </w:rPr>
              <w:t>检测项目</w:t>
            </w:r>
          </w:p>
        </w:tc>
      </w:tr>
      <w:tr w14:paraId="34A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restart"/>
            <w:vAlign w:val="center"/>
          </w:tcPr>
          <w:p w14:paraId="12649EAA">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14:paraId="66643AC2">
            <w:pPr>
              <w:jc w:val="center"/>
              <w:rPr>
                <w:rFonts w:hint="eastAsia" w:ascii="宋体" w:hAnsi="宋体" w:cs="宋体"/>
                <w:color w:val="auto"/>
                <w:szCs w:val="21"/>
                <w:highlight w:val="none"/>
              </w:rPr>
            </w:pPr>
            <w:r>
              <w:rPr>
                <w:rFonts w:hint="eastAsia" w:ascii="宋体" w:hAnsi="宋体" w:cs="宋体"/>
                <w:color w:val="auto"/>
                <w:szCs w:val="21"/>
                <w:highlight w:val="none"/>
              </w:rPr>
              <w:t>项</w:t>
            </w:r>
          </w:p>
          <w:p w14:paraId="6D64A37D">
            <w:pPr>
              <w:jc w:val="center"/>
              <w:rPr>
                <w:rFonts w:ascii="宋体" w:hAnsi="宋体" w:cs="宋体"/>
                <w:color w:val="auto"/>
                <w:szCs w:val="21"/>
                <w:highlight w:val="none"/>
              </w:rPr>
            </w:pPr>
            <w:r>
              <w:rPr>
                <w:rFonts w:hint="eastAsia" w:ascii="宋体" w:hAnsi="宋体" w:cs="宋体"/>
                <w:color w:val="auto"/>
                <w:szCs w:val="21"/>
                <w:highlight w:val="none"/>
              </w:rPr>
              <w:t>二</w:t>
            </w:r>
          </w:p>
        </w:tc>
        <w:tc>
          <w:tcPr>
            <w:tcW w:w="1559" w:type="dxa"/>
            <w:vAlign w:val="center"/>
          </w:tcPr>
          <w:p w14:paraId="0600230B">
            <w:pPr>
              <w:jc w:val="center"/>
              <w:rPr>
                <w:rFonts w:ascii="宋体" w:hAnsi="宋体" w:eastAsia="宋体" w:cs="宋体"/>
                <w:color w:val="auto"/>
                <w:sz w:val="22"/>
                <w:highlight w:val="none"/>
              </w:rPr>
            </w:pPr>
            <w:r>
              <w:rPr>
                <w:rFonts w:hint="eastAsia"/>
                <w:color w:val="auto"/>
                <w:highlight w:val="none"/>
              </w:rPr>
              <w:t>车用汽油</w:t>
            </w:r>
          </w:p>
        </w:tc>
        <w:tc>
          <w:tcPr>
            <w:tcW w:w="1134" w:type="dxa"/>
            <w:vAlign w:val="center"/>
          </w:tcPr>
          <w:p w14:paraId="13BB6CF1">
            <w:pPr>
              <w:jc w:val="center"/>
              <w:rPr>
                <w:rFonts w:ascii="宋体" w:hAnsi="宋体" w:cs="宋体"/>
                <w:color w:val="auto"/>
                <w:szCs w:val="21"/>
                <w:highlight w:val="none"/>
              </w:rPr>
            </w:pPr>
            <w:r>
              <w:rPr>
                <w:rFonts w:hint="eastAsia" w:ascii="宋体" w:hAnsi="宋体" w:cs="宋体"/>
                <w:color w:val="auto"/>
                <w:szCs w:val="21"/>
                <w:highlight w:val="none"/>
              </w:rPr>
              <w:t>2900</w:t>
            </w:r>
          </w:p>
        </w:tc>
        <w:tc>
          <w:tcPr>
            <w:tcW w:w="1418" w:type="dxa"/>
            <w:vAlign w:val="center"/>
          </w:tcPr>
          <w:p w14:paraId="3AE7EEEF">
            <w:pPr>
              <w:jc w:val="center"/>
              <w:rPr>
                <w:color w:val="auto"/>
                <w:highlight w:val="none"/>
              </w:rPr>
            </w:pPr>
            <w:r>
              <w:rPr>
                <w:rFonts w:hint="eastAsia"/>
                <w:color w:val="auto"/>
                <w:highlight w:val="none"/>
              </w:rPr>
              <w:t>车用汽油 GB</w:t>
            </w:r>
          </w:p>
          <w:p w14:paraId="263EB9FD">
            <w:pPr>
              <w:jc w:val="center"/>
              <w:rPr>
                <w:color w:val="auto"/>
                <w:highlight w:val="none"/>
              </w:rPr>
            </w:pPr>
            <w:r>
              <w:rPr>
                <w:rFonts w:hint="eastAsia"/>
                <w:color w:val="auto"/>
                <w:highlight w:val="none"/>
              </w:rPr>
              <w:t>17930-2016</w:t>
            </w:r>
          </w:p>
        </w:tc>
        <w:tc>
          <w:tcPr>
            <w:tcW w:w="4252" w:type="dxa"/>
            <w:vAlign w:val="center"/>
          </w:tcPr>
          <w:p w14:paraId="19CA15CC">
            <w:pPr>
              <w:rPr>
                <w:color w:val="auto"/>
                <w:highlight w:val="none"/>
              </w:rPr>
            </w:pPr>
            <w:r>
              <w:rPr>
                <w:rFonts w:hint="eastAsia"/>
                <w:color w:val="auto"/>
                <w:highlight w:val="none"/>
              </w:rPr>
              <w:t>抗爆性：研究法辛烷值（RON）、硫含量、芳烃含量、烯烃含量、氧含量、苯含量</w:t>
            </w:r>
          </w:p>
          <w:p w14:paraId="11881FFC">
            <w:pPr>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甲醇含量、水溶性酸或碱、蒸气压、密度、馏程</w:t>
            </w:r>
          </w:p>
        </w:tc>
      </w:tr>
      <w:tr w14:paraId="2C14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continue"/>
            <w:vAlign w:val="center"/>
          </w:tcPr>
          <w:p w14:paraId="79C38A7C">
            <w:pPr>
              <w:jc w:val="center"/>
              <w:rPr>
                <w:rFonts w:ascii="宋体" w:hAnsi="宋体" w:cs="宋体"/>
                <w:color w:val="auto"/>
                <w:szCs w:val="21"/>
                <w:highlight w:val="none"/>
              </w:rPr>
            </w:pPr>
          </w:p>
        </w:tc>
        <w:tc>
          <w:tcPr>
            <w:tcW w:w="1559" w:type="dxa"/>
            <w:vAlign w:val="center"/>
          </w:tcPr>
          <w:p w14:paraId="1488F5D6">
            <w:pPr>
              <w:jc w:val="center"/>
              <w:rPr>
                <w:rFonts w:ascii="宋体" w:hAnsi="宋体" w:eastAsia="宋体" w:cs="宋体"/>
                <w:color w:val="auto"/>
                <w:sz w:val="22"/>
                <w:highlight w:val="none"/>
              </w:rPr>
            </w:pPr>
            <w:r>
              <w:rPr>
                <w:rFonts w:hint="eastAsia"/>
                <w:color w:val="auto"/>
                <w:highlight w:val="none"/>
              </w:rPr>
              <w:t>车用柴油</w:t>
            </w:r>
          </w:p>
        </w:tc>
        <w:tc>
          <w:tcPr>
            <w:tcW w:w="1134" w:type="dxa"/>
            <w:vAlign w:val="center"/>
          </w:tcPr>
          <w:p w14:paraId="69F32EB7">
            <w:pPr>
              <w:jc w:val="center"/>
              <w:rPr>
                <w:rFonts w:ascii="宋体" w:hAnsi="宋体" w:cs="宋体"/>
                <w:color w:val="auto"/>
                <w:szCs w:val="21"/>
                <w:highlight w:val="none"/>
              </w:rPr>
            </w:pPr>
            <w:r>
              <w:rPr>
                <w:rFonts w:hint="eastAsia" w:ascii="宋体" w:hAnsi="宋体" w:cs="宋体"/>
                <w:color w:val="auto"/>
                <w:szCs w:val="21"/>
                <w:highlight w:val="none"/>
              </w:rPr>
              <w:t>2700</w:t>
            </w:r>
          </w:p>
        </w:tc>
        <w:tc>
          <w:tcPr>
            <w:tcW w:w="1418" w:type="dxa"/>
            <w:vAlign w:val="center"/>
          </w:tcPr>
          <w:p w14:paraId="35C32942">
            <w:pPr>
              <w:jc w:val="center"/>
              <w:rPr>
                <w:rFonts w:ascii="宋体" w:hAnsi="宋体" w:cs="宋体"/>
                <w:color w:val="auto"/>
                <w:szCs w:val="21"/>
                <w:highlight w:val="none"/>
              </w:rPr>
            </w:pPr>
            <w:r>
              <w:rPr>
                <w:rFonts w:hint="eastAsia"/>
                <w:color w:val="auto"/>
                <w:highlight w:val="none"/>
              </w:rPr>
              <w:t>车用柴油 GB 19147-2016</w:t>
            </w:r>
          </w:p>
        </w:tc>
        <w:tc>
          <w:tcPr>
            <w:tcW w:w="4252" w:type="dxa"/>
            <w:vAlign w:val="center"/>
          </w:tcPr>
          <w:p w14:paraId="0053C003">
            <w:pPr>
              <w:rPr>
                <w:color w:val="auto"/>
                <w:highlight w:val="none"/>
              </w:rPr>
            </w:pPr>
            <w:r>
              <w:rPr>
                <w:rFonts w:hint="eastAsia"/>
                <w:color w:val="auto"/>
                <w:highlight w:val="none"/>
              </w:rPr>
              <w:t>硫含量、酸度、灰分、多环芳烃含量</w:t>
            </w:r>
          </w:p>
          <w:p w14:paraId="79EB100A">
            <w:pPr>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十六烷指数、运动黏度(20℃)、闪点(闭口)、凝点、冷滤点、密度、馏程</w:t>
            </w:r>
          </w:p>
        </w:tc>
      </w:tr>
      <w:tr w14:paraId="65A0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09" w:type="dxa"/>
            <w:vMerge w:val="continue"/>
            <w:vAlign w:val="center"/>
          </w:tcPr>
          <w:p w14:paraId="0836F279">
            <w:pPr>
              <w:jc w:val="center"/>
              <w:rPr>
                <w:rFonts w:ascii="宋体" w:hAnsi="宋体" w:cs="宋体"/>
                <w:color w:val="auto"/>
                <w:szCs w:val="21"/>
                <w:highlight w:val="none"/>
              </w:rPr>
            </w:pPr>
          </w:p>
        </w:tc>
        <w:tc>
          <w:tcPr>
            <w:tcW w:w="1559" w:type="dxa"/>
            <w:vAlign w:val="center"/>
          </w:tcPr>
          <w:p w14:paraId="0D2686BF">
            <w:pPr>
              <w:jc w:val="center"/>
              <w:rPr>
                <w:rFonts w:ascii="宋体" w:hAnsi="宋体" w:eastAsia="宋体" w:cs="宋体"/>
                <w:color w:val="auto"/>
                <w:sz w:val="22"/>
                <w:highlight w:val="none"/>
              </w:rPr>
            </w:pPr>
            <w:r>
              <w:rPr>
                <w:rFonts w:hint="eastAsia"/>
                <w:color w:val="auto"/>
                <w:highlight w:val="none"/>
              </w:rPr>
              <w:t>车用尿素水溶液</w:t>
            </w:r>
          </w:p>
        </w:tc>
        <w:tc>
          <w:tcPr>
            <w:tcW w:w="1134" w:type="dxa"/>
            <w:vAlign w:val="center"/>
          </w:tcPr>
          <w:p w14:paraId="527D8EDA">
            <w:pPr>
              <w:jc w:val="center"/>
              <w:rPr>
                <w:rFonts w:ascii="宋体" w:hAnsi="宋体" w:cs="宋体"/>
                <w:color w:val="auto"/>
                <w:szCs w:val="21"/>
                <w:highlight w:val="none"/>
              </w:rPr>
            </w:pPr>
            <w:r>
              <w:rPr>
                <w:rFonts w:hint="eastAsia" w:ascii="宋体" w:hAnsi="宋体" w:cs="宋体"/>
                <w:color w:val="auto"/>
                <w:szCs w:val="21"/>
                <w:highlight w:val="none"/>
              </w:rPr>
              <w:t>2800</w:t>
            </w:r>
          </w:p>
        </w:tc>
        <w:tc>
          <w:tcPr>
            <w:tcW w:w="1418" w:type="dxa"/>
            <w:vAlign w:val="center"/>
          </w:tcPr>
          <w:p w14:paraId="27989226">
            <w:pPr>
              <w:rPr>
                <w:color w:val="auto"/>
                <w:highlight w:val="none"/>
              </w:rPr>
            </w:pPr>
            <w:r>
              <w:rPr>
                <w:rFonts w:hint="eastAsia"/>
                <w:color w:val="auto"/>
                <w:highlight w:val="none"/>
              </w:rPr>
              <w:t>车用尿素 GB</w:t>
            </w:r>
          </w:p>
          <w:p w14:paraId="6BA4EF91">
            <w:pPr>
              <w:rPr>
                <w:color w:val="auto"/>
                <w:highlight w:val="none"/>
              </w:rPr>
            </w:pPr>
            <w:r>
              <w:rPr>
                <w:rFonts w:hint="eastAsia"/>
                <w:color w:val="auto"/>
                <w:highlight w:val="none"/>
              </w:rPr>
              <w:t>29518-2013</w:t>
            </w:r>
          </w:p>
          <w:p w14:paraId="0467EEBB">
            <w:pPr>
              <w:rPr>
                <w:color w:val="auto"/>
                <w:highlight w:val="none"/>
              </w:rPr>
            </w:pPr>
            <w:r>
              <w:rPr>
                <w:rFonts w:hint="eastAsia"/>
                <w:color w:val="auto"/>
                <w:highlight w:val="none"/>
              </w:rPr>
              <w:t>柴油发动机氮氧化物还原剂尿素水溶液</w:t>
            </w:r>
          </w:p>
        </w:tc>
        <w:tc>
          <w:tcPr>
            <w:tcW w:w="4252" w:type="dxa"/>
            <w:vAlign w:val="center"/>
          </w:tcPr>
          <w:p w14:paraId="33E393A0">
            <w:pPr>
              <w:rPr>
                <w:rFonts w:ascii="宋体" w:hAnsi="宋体" w:cs="宋体"/>
                <w:color w:val="auto"/>
                <w:szCs w:val="21"/>
                <w:highlight w:val="none"/>
              </w:rPr>
            </w:pPr>
            <w:r>
              <w:rPr>
                <w:rFonts w:hint="eastAsia"/>
                <w:color w:val="auto"/>
                <w:highlight w:val="none"/>
              </w:rPr>
              <w:t>尿素含量、折光率、密度、缩二脲、醛类、碱度、磷酸盐、不溶物、钙含量、铁含量、铜含量、锌含量、铬含量、镍含量、铝含量、镁含量、钠含量、钾含量</w:t>
            </w:r>
          </w:p>
        </w:tc>
      </w:tr>
      <w:tr w14:paraId="7EA5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709" w:type="dxa"/>
            <w:vMerge w:val="continue"/>
            <w:vAlign w:val="center"/>
          </w:tcPr>
          <w:p w14:paraId="7AA3BA0A">
            <w:pPr>
              <w:shd w:val="clear" w:color="auto" w:fill="FFFFFF"/>
              <w:snapToGrid w:val="0"/>
              <w:spacing w:before="100" w:beforeAutospacing="1" w:after="100" w:afterAutospacing="1" w:line="360" w:lineRule="auto"/>
              <w:ind w:firstLine="420" w:firstLineChars="200"/>
              <w:jc w:val="center"/>
              <w:rPr>
                <w:rFonts w:ascii="宋体" w:hAnsi="宋体" w:cs="宋体"/>
                <w:color w:val="auto"/>
                <w:highlight w:val="none"/>
              </w:rPr>
            </w:pPr>
          </w:p>
        </w:tc>
        <w:tc>
          <w:tcPr>
            <w:tcW w:w="1559" w:type="dxa"/>
            <w:vAlign w:val="center"/>
          </w:tcPr>
          <w:p w14:paraId="653C09EA">
            <w:pPr>
              <w:jc w:val="center"/>
              <w:rPr>
                <w:color w:val="auto"/>
                <w:highlight w:val="none"/>
              </w:rPr>
            </w:pPr>
            <w:r>
              <w:rPr>
                <w:rFonts w:hint="eastAsia"/>
                <w:color w:val="auto"/>
                <w:highlight w:val="none"/>
              </w:rPr>
              <w:t>车用润滑油（汽油机油、柴油机油）</w:t>
            </w:r>
          </w:p>
        </w:tc>
        <w:tc>
          <w:tcPr>
            <w:tcW w:w="1134" w:type="dxa"/>
            <w:vAlign w:val="center"/>
          </w:tcPr>
          <w:p w14:paraId="6054B6D5">
            <w:pPr>
              <w:jc w:val="center"/>
              <w:rPr>
                <w:rFonts w:ascii="宋体" w:hAnsi="宋体" w:cs="宋体"/>
                <w:color w:val="auto"/>
                <w:szCs w:val="21"/>
                <w:highlight w:val="none"/>
              </w:rPr>
            </w:pPr>
            <w:r>
              <w:rPr>
                <w:rFonts w:hint="eastAsia" w:ascii="宋体" w:hAnsi="宋体" w:cs="宋体"/>
                <w:color w:val="auto"/>
                <w:szCs w:val="21"/>
                <w:highlight w:val="none"/>
              </w:rPr>
              <w:t>3200</w:t>
            </w:r>
          </w:p>
        </w:tc>
        <w:tc>
          <w:tcPr>
            <w:tcW w:w="1418" w:type="dxa"/>
            <w:vAlign w:val="center"/>
          </w:tcPr>
          <w:p w14:paraId="4BFCEA2B">
            <w:pPr>
              <w:jc w:val="center"/>
              <w:rPr>
                <w:rFonts w:ascii="宋体" w:hAnsi="宋体" w:cs="宋体"/>
                <w:color w:val="auto"/>
                <w:szCs w:val="21"/>
                <w:highlight w:val="none"/>
              </w:rPr>
            </w:pPr>
            <w:r>
              <w:rPr>
                <w:rFonts w:hint="eastAsia"/>
                <w:color w:val="auto"/>
                <w:highlight w:val="none"/>
              </w:rPr>
              <w:t>汽油机油</w:t>
            </w:r>
            <w:r>
              <w:rPr>
                <w:color w:val="auto"/>
                <w:highlight w:val="none"/>
              </w:rPr>
              <w:t>GB</w:t>
            </w:r>
            <w:r>
              <w:rPr>
                <w:rFonts w:hint="eastAsia"/>
                <w:color w:val="auto"/>
                <w:highlight w:val="none"/>
              </w:rPr>
              <w:t xml:space="preserve"> </w:t>
            </w:r>
            <w:r>
              <w:rPr>
                <w:color w:val="auto"/>
                <w:highlight w:val="none"/>
              </w:rPr>
              <w:t>11121-2006</w:t>
            </w:r>
            <w:r>
              <w:rPr>
                <w:color w:val="auto"/>
                <w:highlight w:val="none"/>
              </w:rPr>
              <w:br w:type="textWrapping"/>
            </w:r>
            <w:r>
              <w:rPr>
                <w:rFonts w:hint="eastAsia"/>
                <w:color w:val="auto"/>
                <w:highlight w:val="none"/>
              </w:rPr>
              <w:t>柴油机油</w:t>
            </w:r>
            <w:r>
              <w:rPr>
                <w:color w:val="auto"/>
                <w:highlight w:val="none"/>
              </w:rPr>
              <w:t>GB</w:t>
            </w:r>
            <w:r>
              <w:rPr>
                <w:rFonts w:hint="eastAsia"/>
                <w:color w:val="auto"/>
                <w:highlight w:val="none"/>
              </w:rPr>
              <w:t xml:space="preserve"> </w:t>
            </w:r>
            <w:r>
              <w:rPr>
                <w:color w:val="auto"/>
                <w:highlight w:val="none"/>
              </w:rPr>
              <w:t>11122-2006</w:t>
            </w:r>
          </w:p>
        </w:tc>
        <w:tc>
          <w:tcPr>
            <w:tcW w:w="4252" w:type="dxa"/>
            <w:vAlign w:val="center"/>
          </w:tcPr>
          <w:p w14:paraId="65F21B9B">
            <w:pPr>
              <w:rPr>
                <w:rFonts w:ascii="宋体" w:hAnsi="宋体" w:cs="宋体"/>
                <w:color w:val="auto"/>
                <w:szCs w:val="21"/>
                <w:highlight w:val="none"/>
              </w:rPr>
            </w:pPr>
            <w:r>
              <w:rPr>
                <w:rFonts w:hint="eastAsia"/>
                <w:color w:val="auto"/>
                <w:highlight w:val="none"/>
              </w:rPr>
              <w:t>低温动力粘度、运动粘度、粘度指数、倾点、高温高剪切粘度（HTHS）、水分、泡沫特性、高温泡沫特性（150℃）、机械杂质、闪点（开口）、碱值（TBN）、硫酸盐灰分、低温发动机表面粘度、低温发动机屈服应力</w:t>
            </w:r>
          </w:p>
        </w:tc>
      </w:tr>
    </w:tbl>
    <w:p w14:paraId="5569AA25">
      <w:pPr>
        <w:spacing w:line="360" w:lineRule="auto"/>
        <w:rPr>
          <w:color w:val="auto"/>
          <w:highlight w:val="none"/>
        </w:rPr>
      </w:pPr>
    </w:p>
    <w:tbl>
      <w:tblPr>
        <w:tblStyle w:val="7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265"/>
        <w:gridCol w:w="1577"/>
        <w:gridCol w:w="3962"/>
      </w:tblGrid>
      <w:tr w14:paraId="5E44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54200704">
            <w:pPr>
              <w:widowControl/>
              <w:ind w:left="2100"/>
              <w:jc w:val="center"/>
              <w:rPr>
                <w:rFonts w:ascii="宋体" w:hAnsi="宋体" w:eastAsia="等线"/>
                <w:color w:val="auto"/>
                <w:szCs w:val="21"/>
                <w:highlight w:val="none"/>
              </w:rPr>
            </w:pPr>
            <w:r>
              <w:rPr>
                <w:rFonts w:hint="eastAsia" w:ascii="宋体" w:hAnsi="宋体" w:eastAsia="等线"/>
                <w:color w:val="auto"/>
                <w:szCs w:val="21"/>
                <w:highlight w:val="none"/>
              </w:rPr>
              <w:t xml:space="preserve"> </w:t>
            </w:r>
          </w:p>
          <w:p w14:paraId="7B9842FE">
            <w:pPr>
              <w:rPr>
                <w:rFonts w:ascii="宋体" w:hAnsi="宋体" w:eastAsia="等线"/>
                <w:color w:val="auto"/>
                <w:szCs w:val="21"/>
                <w:highlight w:val="none"/>
              </w:rPr>
            </w:pPr>
            <w:r>
              <w:rPr>
                <w:rFonts w:hint="eastAsia" w:ascii="宋体" w:hAnsi="宋体" w:eastAsia="等线"/>
                <w:color w:val="auto"/>
                <w:szCs w:val="21"/>
                <w:highlight w:val="none"/>
              </w:rPr>
              <w:t>标</w:t>
            </w:r>
            <w:r>
              <w:rPr>
                <w:rFonts w:hint="eastAsia" w:ascii="宋体" w:hAnsi="宋体" w:eastAsia="等线"/>
                <w:color w:val="auto"/>
                <w:szCs w:val="21"/>
                <w:highlight w:val="none"/>
                <w:lang w:val="en-US" w:eastAsia="zh-CN"/>
              </w:rPr>
              <w:t>项</w:t>
            </w:r>
            <w:r>
              <w:rPr>
                <w:rFonts w:hint="eastAsia" w:ascii="宋体" w:hAnsi="宋体" w:eastAsia="等线"/>
                <w:color w:val="auto"/>
                <w:szCs w:val="21"/>
                <w:highlight w:val="none"/>
              </w:rPr>
              <w:t>三</w:t>
            </w:r>
          </w:p>
        </w:tc>
        <w:tc>
          <w:tcPr>
            <w:tcW w:w="1559" w:type="dxa"/>
            <w:tcBorders>
              <w:top w:val="single" w:color="auto" w:sz="4" w:space="0"/>
              <w:left w:val="single" w:color="auto" w:sz="4" w:space="0"/>
              <w:bottom w:val="single" w:color="auto" w:sz="4" w:space="0"/>
              <w:right w:val="single" w:color="auto" w:sz="4" w:space="0"/>
            </w:tcBorders>
            <w:vAlign w:val="center"/>
          </w:tcPr>
          <w:p w14:paraId="0FDA65B3">
            <w:pPr>
              <w:widowControl/>
              <w:jc w:val="center"/>
              <w:rPr>
                <w:rFonts w:ascii="宋体" w:hAnsi="宋体" w:eastAsia="等线"/>
                <w:color w:val="auto"/>
                <w:szCs w:val="21"/>
                <w:highlight w:val="none"/>
              </w:rPr>
            </w:pPr>
            <w:r>
              <w:rPr>
                <w:rFonts w:hint="eastAsia" w:ascii="宋体" w:hAnsi="宋体" w:eastAsia="等线" w:cs="宋体"/>
                <w:color w:val="auto"/>
                <w:szCs w:val="21"/>
                <w:highlight w:val="none"/>
              </w:rPr>
              <w:t>产品名称</w:t>
            </w:r>
          </w:p>
        </w:tc>
        <w:tc>
          <w:tcPr>
            <w:tcW w:w="1265" w:type="dxa"/>
            <w:tcBorders>
              <w:top w:val="single" w:color="auto" w:sz="4" w:space="0"/>
              <w:left w:val="single" w:color="auto" w:sz="4" w:space="0"/>
              <w:bottom w:val="single" w:color="auto" w:sz="4" w:space="0"/>
              <w:right w:val="single" w:color="auto" w:sz="4" w:space="0"/>
            </w:tcBorders>
            <w:vAlign w:val="center"/>
          </w:tcPr>
          <w:p w14:paraId="08C2A9A1">
            <w:pPr>
              <w:widowControl/>
              <w:jc w:val="center"/>
              <w:rPr>
                <w:rFonts w:ascii="宋体" w:hAnsi="宋体" w:eastAsia="等线"/>
                <w:color w:val="auto"/>
                <w:szCs w:val="21"/>
                <w:highlight w:val="none"/>
              </w:rPr>
            </w:pPr>
            <w:r>
              <w:rPr>
                <w:rFonts w:hint="eastAsia" w:ascii="宋体" w:hAnsi="宋体" w:eastAsia="等线" w:cs="宋体"/>
                <w:color w:val="auto"/>
                <w:szCs w:val="21"/>
                <w:highlight w:val="none"/>
              </w:rPr>
              <w:t>检测最高限价（元/批）</w:t>
            </w:r>
          </w:p>
        </w:tc>
        <w:tc>
          <w:tcPr>
            <w:tcW w:w="1577" w:type="dxa"/>
            <w:tcBorders>
              <w:top w:val="single" w:color="auto" w:sz="4" w:space="0"/>
              <w:left w:val="single" w:color="auto" w:sz="4" w:space="0"/>
              <w:bottom w:val="single" w:color="auto" w:sz="4" w:space="0"/>
              <w:right w:val="single" w:color="auto" w:sz="4" w:space="0"/>
            </w:tcBorders>
            <w:vAlign w:val="center"/>
          </w:tcPr>
          <w:p w14:paraId="765D4373">
            <w:pPr>
              <w:jc w:val="center"/>
              <w:rPr>
                <w:rFonts w:ascii="宋体" w:hAnsi="宋体" w:eastAsia="等线"/>
                <w:color w:val="auto"/>
                <w:szCs w:val="21"/>
                <w:highlight w:val="none"/>
              </w:rPr>
            </w:pPr>
            <w:r>
              <w:rPr>
                <w:rFonts w:hint="eastAsia" w:ascii="宋体" w:hAnsi="宋体" w:eastAsia="等线"/>
                <w:color w:val="auto"/>
                <w:szCs w:val="21"/>
                <w:highlight w:val="none"/>
              </w:rPr>
              <w:t>检验标准</w:t>
            </w:r>
          </w:p>
        </w:tc>
        <w:tc>
          <w:tcPr>
            <w:tcW w:w="3962" w:type="dxa"/>
            <w:tcBorders>
              <w:top w:val="single" w:color="auto" w:sz="4" w:space="0"/>
              <w:left w:val="single" w:color="auto" w:sz="4" w:space="0"/>
              <w:bottom w:val="single" w:color="auto" w:sz="4" w:space="0"/>
              <w:right w:val="single" w:color="auto" w:sz="4" w:space="0"/>
            </w:tcBorders>
            <w:vAlign w:val="center"/>
          </w:tcPr>
          <w:p w14:paraId="7FEEBCAD">
            <w:pPr>
              <w:widowControl/>
              <w:rPr>
                <w:rFonts w:ascii="宋体" w:hAnsi="宋体" w:eastAsia="等线"/>
                <w:color w:val="auto"/>
                <w:szCs w:val="21"/>
                <w:highlight w:val="none"/>
              </w:rPr>
            </w:pPr>
            <w:r>
              <w:rPr>
                <w:rFonts w:hint="eastAsia" w:ascii="宋体" w:hAnsi="宋体" w:eastAsia="等线" w:cs="宋体"/>
                <w:color w:val="auto"/>
                <w:szCs w:val="21"/>
                <w:highlight w:val="none"/>
              </w:rPr>
              <w:t>检验项目</w:t>
            </w:r>
          </w:p>
        </w:tc>
      </w:tr>
      <w:tr w14:paraId="7A02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2537E2A5">
            <w:pPr>
              <w:jc w:val="center"/>
              <w:rPr>
                <w:rFonts w:ascii="宋体" w:hAnsi="宋体" w:eastAsia="等线"/>
                <w:color w:val="auto"/>
                <w:szCs w:val="21"/>
                <w:highlight w:val="none"/>
              </w:rPr>
            </w:pPr>
            <w:r>
              <w:rPr>
                <w:rFonts w:hint="eastAsia" w:ascii="宋体" w:hAnsi="宋体" w:eastAsia="等线"/>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37B04F2A">
            <w:pPr>
              <w:widowControl/>
              <w:jc w:val="center"/>
              <w:rPr>
                <w:rFonts w:ascii="Calibri" w:hAnsi="Calibri" w:eastAsia="宋体" w:cs="Times New Roman"/>
                <w:color w:val="auto"/>
                <w:highlight w:val="none"/>
              </w:rPr>
            </w:pPr>
            <w:r>
              <w:rPr>
                <w:rFonts w:hint="eastAsia"/>
                <w:color w:val="auto"/>
                <w:highlight w:val="none"/>
              </w:rPr>
              <w:t>消防用品（</w:t>
            </w:r>
            <w:r>
              <w:rPr>
                <w:rFonts w:hint="eastAsia" w:ascii="宋体" w:hAnsi="宋体"/>
                <w:color w:val="auto"/>
                <w:szCs w:val="21"/>
                <w:highlight w:val="none"/>
              </w:rPr>
              <w:t>过滤式消防自救呼吸器</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4C274711">
            <w:pPr>
              <w:widowControl/>
              <w:jc w:val="center"/>
              <w:rPr>
                <w:rFonts w:ascii="宋体" w:hAnsi="宋体" w:eastAsia="等线"/>
                <w:color w:val="auto"/>
                <w:szCs w:val="21"/>
                <w:highlight w:val="none"/>
              </w:rPr>
            </w:pPr>
            <w:r>
              <w:rPr>
                <w:rFonts w:hint="eastAsia" w:ascii="宋体" w:hAnsi="宋体" w:eastAsia="等线"/>
                <w:color w:val="auto"/>
                <w:szCs w:val="21"/>
                <w:highlight w:val="none"/>
              </w:rPr>
              <w:t>2800</w:t>
            </w:r>
          </w:p>
        </w:tc>
        <w:tc>
          <w:tcPr>
            <w:tcW w:w="1577" w:type="dxa"/>
            <w:tcBorders>
              <w:top w:val="single" w:color="auto" w:sz="4" w:space="0"/>
              <w:left w:val="single" w:color="auto" w:sz="4" w:space="0"/>
              <w:bottom w:val="single" w:color="auto" w:sz="4" w:space="0"/>
              <w:right w:val="single" w:color="auto" w:sz="4" w:space="0"/>
            </w:tcBorders>
            <w:vAlign w:val="center"/>
          </w:tcPr>
          <w:p w14:paraId="73A226FD">
            <w:pPr>
              <w:widowControl/>
              <w:rPr>
                <w:rFonts w:ascii="宋体" w:hAnsi="宋体" w:eastAsia="等线"/>
                <w:color w:val="auto"/>
                <w:szCs w:val="21"/>
                <w:highlight w:val="none"/>
              </w:rPr>
            </w:pPr>
            <w:r>
              <w:rPr>
                <w:rFonts w:hint="eastAsia" w:eastAsia="宋体" w:cs="Times New Roman"/>
                <w:color w:val="auto"/>
                <w:highlight w:val="none"/>
              </w:rPr>
              <w:t>GB 21976.7-2012</w:t>
            </w:r>
          </w:p>
        </w:tc>
        <w:tc>
          <w:tcPr>
            <w:tcW w:w="3962" w:type="dxa"/>
            <w:tcBorders>
              <w:top w:val="single" w:color="auto" w:sz="4" w:space="0"/>
              <w:left w:val="single" w:color="auto" w:sz="4" w:space="0"/>
              <w:bottom w:val="single" w:color="auto" w:sz="4" w:space="0"/>
              <w:right w:val="single" w:color="auto" w:sz="4" w:space="0"/>
            </w:tcBorders>
            <w:vAlign w:val="center"/>
          </w:tcPr>
          <w:p w14:paraId="1D3DD6F6">
            <w:pPr>
              <w:widowControl/>
              <w:rPr>
                <w:rFonts w:ascii="宋体" w:hAnsi="宋体" w:eastAsia="等线"/>
                <w:color w:val="auto"/>
                <w:szCs w:val="21"/>
                <w:highlight w:val="none"/>
              </w:rPr>
            </w:pPr>
            <w:r>
              <w:rPr>
                <w:rFonts w:hint="eastAsia" w:ascii="宋体" w:hAnsi="宋体" w:eastAsia="等线"/>
                <w:color w:val="auto"/>
                <w:szCs w:val="21"/>
                <w:highlight w:val="none"/>
              </w:rPr>
              <w:t>结构、佩戴质量、金属材料表面质量、橡塑材料老化性能、一氧化碳防护性能、滤烟性能、连接强度</w:t>
            </w:r>
          </w:p>
        </w:tc>
      </w:tr>
      <w:tr w14:paraId="0593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68659FF">
            <w:pPr>
              <w:jc w:val="center"/>
              <w:rPr>
                <w:rFonts w:ascii="宋体" w:hAnsi="宋体" w:eastAsia="等线"/>
                <w:color w:val="auto"/>
                <w:szCs w:val="21"/>
                <w:highlight w:val="none"/>
              </w:rPr>
            </w:pPr>
            <w:r>
              <w:rPr>
                <w:rFonts w:hint="eastAsia" w:ascii="宋体" w:hAnsi="宋体" w:eastAsia="等线"/>
                <w:color w:val="auto"/>
                <w:szCs w:val="21"/>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33194740">
            <w:pPr>
              <w:widowControl/>
              <w:jc w:val="center"/>
              <w:rPr>
                <w:rFonts w:ascii="Calibri" w:hAnsi="Calibri" w:eastAsia="宋体" w:cs="Times New Roman"/>
                <w:color w:val="auto"/>
                <w:highlight w:val="none"/>
              </w:rPr>
            </w:pPr>
            <w:r>
              <w:rPr>
                <w:rFonts w:hint="eastAsia"/>
                <w:color w:val="auto"/>
                <w:highlight w:val="none"/>
              </w:rPr>
              <w:t>消防用品（</w:t>
            </w:r>
            <w:r>
              <w:rPr>
                <w:rFonts w:hint="eastAsia" w:ascii="宋体" w:hAnsi="宋体"/>
                <w:color w:val="auto"/>
                <w:szCs w:val="21"/>
                <w:highlight w:val="none"/>
              </w:rPr>
              <w:t>灭火器</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56522312">
            <w:pPr>
              <w:widowControl/>
              <w:jc w:val="center"/>
              <w:rPr>
                <w:rFonts w:ascii="宋体" w:hAnsi="宋体" w:eastAsia="等线"/>
                <w:color w:val="auto"/>
                <w:szCs w:val="21"/>
                <w:highlight w:val="none"/>
              </w:rPr>
            </w:pPr>
            <w:r>
              <w:rPr>
                <w:rFonts w:hint="eastAsia" w:ascii="宋体" w:hAnsi="宋体" w:eastAsia="等线"/>
                <w:color w:val="auto"/>
                <w:szCs w:val="21"/>
                <w:highlight w:val="none"/>
              </w:rPr>
              <w:t>2800</w:t>
            </w:r>
          </w:p>
        </w:tc>
        <w:tc>
          <w:tcPr>
            <w:tcW w:w="1577" w:type="dxa"/>
            <w:tcBorders>
              <w:top w:val="single" w:color="auto" w:sz="4" w:space="0"/>
              <w:left w:val="single" w:color="auto" w:sz="4" w:space="0"/>
              <w:bottom w:val="single" w:color="auto" w:sz="4" w:space="0"/>
              <w:right w:val="single" w:color="auto" w:sz="4" w:space="0"/>
            </w:tcBorders>
            <w:vAlign w:val="center"/>
          </w:tcPr>
          <w:p w14:paraId="2151672B">
            <w:pPr>
              <w:widowControl/>
              <w:rPr>
                <w:rFonts w:ascii="宋体" w:hAnsi="宋体" w:eastAsia="等线"/>
                <w:color w:val="auto"/>
                <w:szCs w:val="21"/>
                <w:highlight w:val="none"/>
              </w:rPr>
            </w:pPr>
            <w:r>
              <w:rPr>
                <w:rFonts w:hint="eastAsia" w:ascii="宋体" w:hAnsi="宋体" w:eastAsia="等线"/>
                <w:color w:val="auto"/>
                <w:szCs w:val="21"/>
                <w:highlight w:val="none"/>
              </w:rPr>
              <w:t>GB 4351.1-2005</w:t>
            </w:r>
          </w:p>
        </w:tc>
        <w:tc>
          <w:tcPr>
            <w:tcW w:w="3962" w:type="dxa"/>
            <w:tcBorders>
              <w:top w:val="single" w:color="auto" w:sz="4" w:space="0"/>
              <w:left w:val="single" w:color="auto" w:sz="4" w:space="0"/>
              <w:bottom w:val="single" w:color="auto" w:sz="4" w:space="0"/>
              <w:right w:val="single" w:color="auto" w:sz="4" w:space="0"/>
            </w:tcBorders>
            <w:vAlign w:val="center"/>
          </w:tcPr>
          <w:p w14:paraId="6024FC82">
            <w:pPr>
              <w:widowControl/>
              <w:rPr>
                <w:rFonts w:ascii="宋体" w:hAnsi="宋体" w:eastAsia="等线"/>
                <w:color w:val="auto"/>
                <w:szCs w:val="21"/>
                <w:highlight w:val="none"/>
              </w:rPr>
            </w:pPr>
            <w:r>
              <w:rPr>
                <w:rFonts w:hint="eastAsia" w:ascii="宋体" w:hAnsi="宋体" w:eastAsia="等线"/>
                <w:color w:val="auto"/>
                <w:szCs w:val="21"/>
                <w:highlight w:val="none"/>
              </w:rPr>
              <w:t>标志、质量、最小有效喷射时间、最小喷射距离、使用温度范围、灭火性能（C类、E类除外）、密封性能、抗腐蚀性能、结构要求、塑料件要求、压力指示器要求、其他要求</w:t>
            </w:r>
          </w:p>
        </w:tc>
      </w:tr>
      <w:tr w14:paraId="68BD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1CE82F1">
            <w:pPr>
              <w:jc w:val="center"/>
              <w:rPr>
                <w:rFonts w:ascii="宋体" w:hAnsi="宋体" w:eastAsia="等线"/>
                <w:color w:val="auto"/>
                <w:szCs w:val="21"/>
                <w:highlight w:val="none"/>
              </w:rPr>
            </w:pPr>
            <w:r>
              <w:rPr>
                <w:rFonts w:hint="eastAsia" w:ascii="宋体" w:hAnsi="宋体" w:eastAsia="等线"/>
                <w:color w:val="auto"/>
                <w:szCs w:val="21"/>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40B7BE70">
            <w:pPr>
              <w:widowControl/>
              <w:jc w:val="center"/>
              <w:rPr>
                <w:color w:val="auto"/>
                <w:highlight w:val="none"/>
              </w:rPr>
            </w:pPr>
            <w:r>
              <w:rPr>
                <w:rFonts w:hint="eastAsia"/>
                <w:color w:val="auto"/>
                <w:highlight w:val="none"/>
              </w:rPr>
              <w:t>消防用品（</w:t>
            </w:r>
            <w:r>
              <w:rPr>
                <w:rFonts w:hint="eastAsia" w:ascii="宋体" w:hAnsi="宋体"/>
                <w:color w:val="auto"/>
                <w:szCs w:val="21"/>
                <w:highlight w:val="none"/>
              </w:rPr>
              <w:t>消防水带</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6A2356A2">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30056873">
            <w:pPr>
              <w:widowControl/>
              <w:rPr>
                <w:rFonts w:ascii="宋体" w:hAnsi="宋体" w:eastAsia="等线"/>
                <w:color w:val="auto"/>
                <w:szCs w:val="21"/>
                <w:highlight w:val="none"/>
              </w:rPr>
            </w:pPr>
            <w:r>
              <w:rPr>
                <w:rFonts w:hint="eastAsia" w:ascii="宋体" w:hAnsi="宋体" w:eastAsia="等线"/>
                <w:color w:val="auto"/>
                <w:szCs w:val="21"/>
                <w:highlight w:val="none"/>
              </w:rPr>
              <w:t>GB 6246-2011</w:t>
            </w:r>
          </w:p>
        </w:tc>
        <w:tc>
          <w:tcPr>
            <w:tcW w:w="3962" w:type="dxa"/>
            <w:tcBorders>
              <w:top w:val="single" w:color="auto" w:sz="4" w:space="0"/>
              <w:left w:val="single" w:color="auto" w:sz="4" w:space="0"/>
              <w:bottom w:val="single" w:color="auto" w:sz="4" w:space="0"/>
              <w:right w:val="single" w:color="auto" w:sz="4" w:space="0"/>
            </w:tcBorders>
            <w:vAlign w:val="center"/>
          </w:tcPr>
          <w:p w14:paraId="54F8CADD">
            <w:pPr>
              <w:widowControl/>
              <w:rPr>
                <w:rFonts w:ascii="宋体" w:hAnsi="宋体" w:eastAsia="等线"/>
                <w:color w:val="auto"/>
                <w:szCs w:val="21"/>
                <w:highlight w:val="none"/>
              </w:rPr>
            </w:pPr>
            <w:r>
              <w:rPr>
                <w:rFonts w:hint="eastAsia" w:ascii="宋体" w:hAnsi="宋体" w:eastAsia="等线"/>
                <w:color w:val="auto"/>
                <w:szCs w:val="21"/>
                <w:highlight w:val="none"/>
              </w:rPr>
              <w:t>试验压力、最小爆破压力、延伸率、膨胀率、扭转方向、衬里（或外覆层）物理力学性能</w:t>
            </w:r>
          </w:p>
        </w:tc>
      </w:tr>
      <w:tr w14:paraId="0A88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1A357C2D">
            <w:pPr>
              <w:jc w:val="center"/>
              <w:rPr>
                <w:rFonts w:ascii="宋体" w:hAnsi="宋体" w:eastAsia="等线"/>
                <w:color w:val="auto"/>
                <w:szCs w:val="21"/>
                <w:highlight w:val="none"/>
              </w:rPr>
            </w:pPr>
            <w:r>
              <w:rPr>
                <w:rFonts w:hint="eastAsia" w:ascii="宋体" w:hAnsi="宋体" w:eastAsia="等线"/>
                <w:color w:val="auto"/>
                <w:szCs w:val="21"/>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3464AD07">
            <w:pPr>
              <w:widowControl/>
              <w:jc w:val="center"/>
              <w:rPr>
                <w:color w:val="auto"/>
                <w:highlight w:val="none"/>
              </w:rPr>
            </w:pPr>
            <w:r>
              <w:rPr>
                <w:rFonts w:hint="eastAsia"/>
                <w:color w:val="auto"/>
                <w:highlight w:val="none"/>
              </w:rPr>
              <w:t>消防用品（消防水枪）</w:t>
            </w:r>
          </w:p>
        </w:tc>
        <w:tc>
          <w:tcPr>
            <w:tcW w:w="1265" w:type="dxa"/>
            <w:tcBorders>
              <w:top w:val="single" w:color="auto" w:sz="4" w:space="0"/>
              <w:left w:val="single" w:color="auto" w:sz="4" w:space="0"/>
              <w:bottom w:val="single" w:color="auto" w:sz="4" w:space="0"/>
              <w:right w:val="single" w:color="auto" w:sz="4" w:space="0"/>
            </w:tcBorders>
            <w:vAlign w:val="center"/>
          </w:tcPr>
          <w:p w14:paraId="715F8BE0">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4BEE55C6">
            <w:pPr>
              <w:widowControl/>
              <w:rPr>
                <w:rFonts w:ascii="宋体" w:hAnsi="宋体" w:eastAsia="等线"/>
                <w:color w:val="auto"/>
                <w:szCs w:val="21"/>
                <w:highlight w:val="none"/>
              </w:rPr>
            </w:pPr>
            <w:r>
              <w:rPr>
                <w:rFonts w:hint="eastAsia" w:ascii="宋体" w:hAnsi="宋体" w:eastAsia="等线"/>
                <w:color w:val="auto"/>
                <w:szCs w:val="21"/>
                <w:highlight w:val="none"/>
              </w:rPr>
              <w:t>GB 8181-2005</w:t>
            </w:r>
          </w:p>
        </w:tc>
        <w:tc>
          <w:tcPr>
            <w:tcW w:w="3962" w:type="dxa"/>
            <w:tcBorders>
              <w:top w:val="single" w:color="auto" w:sz="4" w:space="0"/>
              <w:left w:val="single" w:color="auto" w:sz="4" w:space="0"/>
              <w:bottom w:val="single" w:color="auto" w:sz="4" w:space="0"/>
              <w:right w:val="single" w:color="auto" w:sz="4" w:space="0"/>
            </w:tcBorders>
            <w:vAlign w:val="center"/>
          </w:tcPr>
          <w:p w14:paraId="4A3B0C7A">
            <w:pPr>
              <w:widowControl/>
              <w:rPr>
                <w:rFonts w:ascii="宋体" w:hAnsi="宋体" w:eastAsia="等线"/>
                <w:color w:val="auto"/>
                <w:szCs w:val="21"/>
                <w:highlight w:val="none"/>
              </w:rPr>
            </w:pPr>
            <w:r>
              <w:rPr>
                <w:rFonts w:hint="eastAsia" w:ascii="宋体" w:hAnsi="宋体" w:eastAsia="等线"/>
                <w:color w:val="auto"/>
                <w:szCs w:val="21"/>
                <w:highlight w:val="none"/>
              </w:rPr>
              <w:t>基本参数、表面质量、密封性能、耐水压强度、耐腐蚀性能、标志</w:t>
            </w:r>
          </w:p>
        </w:tc>
      </w:tr>
      <w:tr w14:paraId="4E87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6D7F38CE">
            <w:pPr>
              <w:jc w:val="center"/>
              <w:rPr>
                <w:rFonts w:ascii="宋体" w:hAnsi="宋体" w:eastAsia="等线"/>
                <w:color w:val="auto"/>
                <w:szCs w:val="21"/>
                <w:highlight w:val="none"/>
              </w:rPr>
            </w:pPr>
            <w:r>
              <w:rPr>
                <w:rFonts w:hint="eastAsia" w:ascii="宋体" w:hAnsi="宋体" w:eastAsia="等线"/>
                <w:color w:val="auto"/>
                <w:szCs w:val="21"/>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14:paraId="6640AED5">
            <w:pPr>
              <w:widowControl/>
              <w:jc w:val="center"/>
              <w:rPr>
                <w:color w:val="auto"/>
                <w:highlight w:val="none"/>
              </w:rPr>
            </w:pPr>
            <w:r>
              <w:rPr>
                <w:rFonts w:hint="eastAsia"/>
                <w:color w:val="auto"/>
                <w:highlight w:val="none"/>
              </w:rPr>
              <w:t>儿童学生用品（文具）</w:t>
            </w:r>
          </w:p>
        </w:tc>
        <w:tc>
          <w:tcPr>
            <w:tcW w:w="1265" w:type="dxa"/>
            <w:tcBorders>
              <w:top w:val="single" w:color="auto" w:sz="4" w:space="0"/>
              <w:left w:val="single" w:color="auto" w:sz="4" w:space="0"/>
              <w:bottom w:val="single" w:color="auto" w:sz="4" w:space="0"/>
              <w:right w:val="single" w:color="auto" w:sz="4" w:space="0"/>
            </w:tcBorders>
            <w:vAlign w:val="center"/>
          </w:tcPr>
          <w:p w14:paraId="1206E100">
            <w:pPr>
              <w:widowControl/>
              <w:jc w:val="center"/>
              <w:rPr>
                <w:rFonts w:ascii="宋体" w:hAnsi="宋体" w:eastAsia="等线"/>
                <w:color w:val="auto"/>
                <w:szCs w:val="21"/>
                <w:highlight w:val="none"/>
              </w:rPr>
            </w:pPr>
            <w:r>
              <w:rPr>
                <w:rFonts w:hint="eastAsia" w:ascii="宋体" w:hAnsi="宋体" w:eastAsia="等线"/>
                <w:color w:val="auto"/>
                <w:szCs w:val="21"/>
                <w:highlight w:val="none"/>
              </w:rPr>
              <w:t>2100</w:t>
            </w:r>
          </w:p>
        </w:tc>
        <w:tc>
          <w:tcPr>
            <w:tcW w:w="1577" w:type="dxa"/>
            <w:tcBorders>
              <w:top w:val="single" w:color="auto" w:sz="4" w:space="0"/>
              <w:left w:val="single" w:color="auto" w:sz="4" w:space="0"/>
              <w:bottom w:val="single" w:color="auto" w:sz="4" w:space="0"/>
              <w:right w:val="single" w:color="auto" w:sz="4" w:space="0"/>
            </w:tcBorders>
            <w:vAlign w:val="center"/>
          </w:tcPr>
          <w:p w14:paraId="50FD2834">
            <w:pPr>
              <w:widowControl/>
              <w:rPr>
                <w:rFonts w:ascii="宋体" w:hAnsi="宋体" w:eastAsia="等线"/>
                <w:color w:val="auto"/>
                <w:szCs w:val="21"/>
                <w:highlight w:val="none"/>
              </w:rPr>
            </w:pPr>
            <w:r>
              <w:rPr>
                <w:rFonts w:hint="eastAsia" w:ascii="宋体" w:hAnsi="宋体" w:eastAsia="等线"/>
                <w:color w:val="auto"/>
                <w:szCs w:val="21"/>
                <w:highlight w:val="none"/>
              </w:rPr>
              <w:t>GB 21027-2020</w:t>
            </w:r>
          </w:p>
        </w:tc>
        <w:tc>
          <w:tcPr>
            <w:tcW w:w="3962" w:type="dxa"/>
            <w:tcBorders>
              <w:top w:val="single" w:color="auto" w:sz="4" w:space="0"/>
              <w:left w:val="single" w:color="auto" w:sz="4" w:space="0"/>
              <w:bottom w:val="single" w:color="auto" w:sz="4" w:space="0"/>
              <w:right w:val="single" w:color="auto" w:sz="4" w:space="0"/>
            </w:tcBorders>
            <w:vAlign w:val="center"/>
          </w:tcPr>
          <w:p w14:paraId="67742B2F">
            <w:pPr>
              <w:widowControl/>
              <w:rPr>
                <w:rFonts w:ascii="宋体" w:hAnsi="宋体" w:eastAsia="等线"/>
                <w:color w:val="auto"/>
                <w:szCs w:val="21"/>
                <w:highlight w:val="none"/>
              </w:rPr>
            </w:pPr>
            <w:r>
              <w:rPr>
                <w:rFonts w:hint="eastAsia" w:ascii="宋体" w:hAnsi="宋体" w:eastAsia="等线"/>
                <w:color w:val="auto"/>
                <w:szCs w:val="21"/>
                <w:highlight w:val="none"/>
              </w:rPr>
              <w:t>可迁移元素的最大限量</w:t>
            </w:r>
          </w:p>
        </w:tc>
      </w:tr>
      <w:tr w14:paraId="519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tcBorders>
              <w:top w:val="single" w:color="auto" w:sz="4" w:space="0"/>
              <w:left w:val="single" w:color="auto" w:sz="4" w:space="0"/>
              <w:bottom w:val="single" w:color="auto" w:sz="4" w:space="0"/>
              <w:right w:val="single" w:color="auto" w:sz="4" w:space="0"/>
            </w:tcBorders>
            <w:vAlign w:val="center"/>
          </w:tcPr>
          <w:p w14:paraId="73D71B57">
            <w:pPr>
              <w:jc w:val="center"/>
              <w:rPr>
                <w:rFonts w:ascii="宋体" w:hAnsi="宋体" w:eastAsia="等线"/>
                <w:color w:val="auto"/>
                <w:szCs w:val="21"/>
                <w:highlight w:val="none"/>
              </w:rPr>
            </w:pPr>
            <w:r>
              <w:rPr>
                <w:rFonts w:hint="eastAsia" w:ascii="宋体" w:hAnsi="宋体" w:eastAsia="等线"/>
                <w:color w:val="auto"/>
                <w:szCs w:val="21"/>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14:paraId="25604DCA">
            <w:pPr>
              <w:widowControl/>
              <w:jc w:val="center"/>
              <w:rPr>
                <w:color w:val="auto"/>
                <w:highlight w:val="none"/>
              </w:rPr>
            </w:pPr>
            <w:r>
              <w:rPr>
                <w:rFonts w:hint="eastAsia"/>
                <w:color w:val="auto"/>
                <w:highlight w:val="none"/>
              </w:rPr>
              <w:t>儿童学生用品（玩具）</w:t>
            </w:r>
          </w:p>
        </w:tc>
        <w:tc>
          <w:tcPr>
            <w:tcW w:w="1265" w:type="dxa"/>
            <w:tcBorders>
              <w:top w:val="single" w:color="auto" w:sz="4" w:space="0"/>
              <w:left w:val="single" w:color="auto" w:sz="4" w:space="0"/>
              <w:bottom w:val="single" w:color="auto" w:sz="4" w:space="0"/>
              <w:right w:val="single" w:color="auto" w:sz="4" w:space="0"/>
            </w:tcBorders>
            <w:vAlign w:val="center"/>
          </w:tcPr>
          <w:p w14:paraId="01F6188F">
            <w:pPr>
              <w:widowControl/>
              <w:jc w:val="center"/>
              <w:rPr>
                <w:rFonts w:ascii="宋体" w:hAnsi="宋体" w:eastAsia="等线"/>
                <w:color w:val="auto"/>
                <w:szCs w:val="21"/>
                <w:highlight w:val="none"/>
              </w:rPr>
            </w:pPr>
            <w:r>
              <w:rPr>
                <w:rFonts w:hint="eastAsia" w:ascii="宋体" w:hAnsi="宋体" w:eastAsia="等线"/>
                <w:color w:val="auto"/>
                <w:szCs w:val="21"/>
                <w:highlight w:val="none"/>
              </w:rPr>
              <w:t>2300</w:t>
            </w:r>
          </w:p>
        </w:tc>
        <w:tc>
          <w:tcPr>
            <w:tcW w:w="1577" w:type="dxa"/>
            <w:tcBorders>
              <w:top w:val="single" w:color="auto" w:sz="4" w:space="0"/>
              <w:left w:val="single" w:color="auto" w:sz="4" w:space="0"/>
              <w:bottom w:val="single" w:color="auto" w:sz="4" w:space="0"/>
              <w:right w:val="single" w:color="auto" w:sz="4" w:space="0"/>
            </w:tcBorders>
            <w:vAlign w:val="center"/>
          </w:tcPr>
          <w:p w14:paraId="453168A0">
            <w:pPr>
              <w:widowControl/>
              <w:rPr>
                <w:rFonts w:ascii="宋体" w:hAnsi="宋体" w:eastAsia="等线"/>
                <w:color w:val="auto"/>
                <w:szCs w:val="21"/>
                <w:highlight w:val="none"/>
              </w:rPr>
            </w:pPr>
            <w:r>
              <w:rPr>
                <w:rFonts w:hint="eastAsia" w:ascii="宋体" w:hAnsi="宋体" w:eastAsia="等线"/>
                <w:color w:val="auto"/>
                <w:szCs w:val="21"/>
                <w:highlight w:val="none"/>
              </w:rPr>
              <w:t>GB 6675-2003</w:t>
            </w:r>
          </w:p>
          <w:p w14:paraId="6E028CEC">
            <w:pPr>
              <w:widowControl/>
              <w:rPr>
                <w:rFonts w:ascii="宋体" w:hAnsi="宋体" w:eastAsia="等线"/>
                <w:color w:val="auto"/>
                <w:szCs w:val="21"/>
                <w:highlight w:val="none"/>
              </w:rPr>
            </w:pPr>
            <w:r>
              <w:rPr>
                <w:rFonts w:hint="eastAsia" w:ascii="宋体" w:hAnsi="宋体" w:eastAsia="等线"/>
                <w:color w:val="auto"/>
                <w:szCs w:val="21"/>
                <w:highlight w:val="none"/>
              </w:rPr>
              <w:t>GB 6675.2-2014</w:t>
            </w:r>
          </w:p>
          <w:p w14:paraId="645B5EAD">
            <w:pPr>
              <w:widowControl/>
              <w:rPr>
                <w:rFonts w:ascii="宋体" w:hAnsi="宋体" w:eastAsia="等线"/>
                <w:color w:val="auto"/>
                <w:szCs w:val="21"/>
                <w:highlight w:val="none"/>
              </w:rPr>
            </w:pPr>
            <w:r>
              <w:rPr>
                <w:rFonts w:hint="eastAsia" w:ascii="宋体" w:hAnsi="宋体" w:eastAsia="等线"/>
                <w:color w:val="auto"/>
                <w:szCs w:val="21"/>
                <w:highlight w:val="none"/>
              </w:rPr>
              <w:t>GB 6675.3-2014</w:t>
            </w:r>
          </w:p>
          <w:p w14:paraId="6BA2FE74">
            <w:pPr>
              <w:widowControl/>
              <w:rPr>
                <w:rFonts w:ascii="宋体" w:hAnsi="宋体" w:eastAsia="等线"/>
                <w:color w:val="auto"/>
                <w:szCs w:val="21"/>
                <w:highlight w:val="none"/>
              </w:rPr>
            </w:pPr>
            <w:r>
              <w:rPr>
                <w:rFonts w:hint="eastAsia" w:ascii="宋体" w:hAnsi="宋体" w:eastAsia="等线"/>
                <w:color w:val="auto"/>
                <w:szCs w:val="21"/>
                <w:highlight w:val="none"/>
              </w:rPr>
              <w:t>GB 6675.4-2014</w:t>
            </w:r>
          </w:p>
          <w:p w14:paraId="3EC95C8C">
            <w:pPr>
              <w:widowControl/>
              <w:rPr>
                <w:rFonts w:ascii="宋体" w:hAnsi="宋体" w:eastAsia="等线"/>
                <w:color w:val="auto"/>
                <w:szCs w:val="21"/>
                <w:highlight w:val="none"/>
              </w:rPr>
            </w:pPr>
            <w:r>
              <w:rPr>
                <w:rFonts w:hint="eastAsia" w:ascii="宋体" w:hAnsi="宋体" w:eastAsia="等线"/>
                <w:color w:val="auto"/>
                <w:szCs w:val="21"/>
                <w:highlight w:val="none"/>
              </w:rPr>
              <w:t>GB/T 22048-2015</w:t>
            </w:r>
          </w:p>
          <w:p w14:paraId="6B8DC1D9">
            <w:pPr>
              <w:widowControl/>
              <w:rPr>
                <w:rFonts w:ascii="宋体" w:hAnsi="宋体" w:eastAsia="等线"/>
                <w:color w:val="auto"/>
                <w:szCs w:val="21"/>
                <w:highlight w:val="none"/>
              </w:rPr>
            </w:pPr>
            <w:r>
              <w:rPr>
                <w:rFonts w:hint="eastAsia" w:ascii="宋体" w:hAnsi="宋体" w:eastAsia="等线"/>
                <w:color w:val="auto"/>
                <w:szCs w:val="21"/>
                <w:highlight w:val="none"/>
              </w:rPr>
              <w:t>GB/T 22048-2022</w:t>
            </w:r>
          </w:p>
        </w:tc>
        <w:tc>
          <w:tcPr>
            <w:tcW w:w="3962" w:type="dxa"/>
            <w:tcBorders>
              <w:top w:val="single" w:color="auto" w:sz="4" w:space="0"/>
              <w:left w:val="single" w:color="auto" w:sz="4" w:space="0"/>
              <w:bottom w:val="single" w:color="auto" w:sz="4" w:space="0"/>
              <w:right w:val="single" w:color="auto" w:sz="4" w:space="0"/>
            </w:tcBorders>
            <w:vAlign w:val="center"/>
          </w:tcPr>
          <w:p w14:paraId="3A29BE8D">
            <w:pPr>
              <w:widowControl/>
              <w:rPr>
                <w:rFonts w:ascii="宋体" w:hAnsi="宋体" w:eastAsia="等线"/>
                <w:color w:val="auto"/>
                <w:szCs w:val="21"/>
                <w:highlight w:val="none"/>
              </w:rPr>
            </w:pPr>
            <w:r>
              <w:rPr>
                <w:rFonts w:hint="eastAsia" w:ascii="宋体" w:hAnsi="宋体" w:eastAsia="等线"/>
                <w:color w:val="auto"/>
                <w:szCs w:val="21"/>
                <w:highlight w:val="none"/>
              </w:rPr>
              <w:t>锐利尖端、锐利边缘、易燃性能、可迁移元素的最大限量、邻苯二甲酸酯增塑剂</w:t>
            </w:r>
          </w:p>
        </w:tc>
      </w:tr>
      <w:tr w14:paraId="2F56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5BAF3763">
            <w:pPr>
              <w:jc w:val="center"/>
              <w:rPr>
                <w:rFonts w:ascii="宋体" w:hAnsi="宋体" w:eastAsia="等线"/>
                <w:color w:val="auto"/>
                <w:szCs w:val="21"/>
                <w:highlight w:val="none"/>
              </w:rPr>
            </w:pPr>
            <w:r>
              <w:rPr>
                <w:rFonts w:hint="eastAsia" w:ascii="宋体" w:hAnsi="宋体" w:eastAsia="等线"/>
                <w:color w:val="auto"/>
                <w:szCs w:val="21"/>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14:paraId="09102FCC">
            <w:pPr>
              <w:widowControl/>
              <w:jc w:val="center"/>
              <w:rPr>
                <w:color w:val="auto"/>
                <w:highlight w:val="none"/>
              </w:rPr>
            </w:pPr>
            <w:r>
              <w:rPr>
                <w:color w:val="auto"/>
                <w:highlight w:val="none"/>
              </w:rPr>
              <w:t>妇女和老年用品</w:t>
            </w:r>
            <w:r>
              <w:rPr>
                <w:rFonts w:hint="eastAsia"/>
                <w:color w:val="auto"/>
                <w:highlight w:val="none"/>
              </w:rPr>
              <w:t>（卫生巾(护垫）、文胸）</w:t>
            </w:r>
          </w:p>
        </w:tc>
        <w:tc>
          <w:tcPr>
            <w:tcW w:w="1265" w:type="dxa"/>
            <w:tcBorders>
              <w:top w:val="single" w:color="auto" w:sz="4" w:space="0"/>
              <w:left w:val="single" w:color="auto" w:sz="4" w:space="0"/>
              <w:bottom w:val="single" w:color="auto" w:sz="4" w:space="0"/>
              <w:right w:val="single" w:color="auto" w:sz="4" w:space="0"/>
            </w:tcBorders>
            <w:vAlign w:val="center"/>
          </w:tcPr>
          <w:p w14:paraId="7C43B15E">
            <w:pPr>
              <w:widowControl/>
              <w:jc w:val="center"/>
              <w:rPr>
                <w:rFonts w:ascii="宋体" w:hAnsi="宋体" w:eastAsia="等线"/>
                <w:color w:val="auto"/>
                <w:szCs w:val="21"/>
                <w:highlight w:val="none"/>
              </w:rPr>
            </w:pPr>
            <w:r>
              <w:rPr>
                <w:rFonts w:hint="eastAsia" w:ascii="宋体" w:hAnsi="宋体" w:eastAsia="等线"/>
                <w:color w:val="auto"/>
                <w:szCs w:val="21"/>
                <w:highlight w:val="none"/>
              </w:rPr>
              <w:t>1700</w:t>
            </w:r>
          </w:p>
        </w:tc>
        <w:tc>
          <w:tcPr>
            <w:tcW w:w="1577" w:type="dxa"/>
            <w:tcBorders>
              <w:top w:val="single" w:color="auto" w:sz="4" w:space="0"/>
              <w:left w:val="single" w:color="auto" w:sz="4" w:space="0"/>
              <w:bottom w:val="single" w:color="auto" w:sz="4" w:space="0"/>
              <w:right w:val="single" w:color="auto" w:sz="4" w:space="0"/>
            </w:tcBorders>
            <w:vAlign w:val="center"/>
          </w:tcPr>
          <w:p w14:paraId="7AF14C01">
            <w:pPr>
              <w:widowControl/>
              <w:rPr>
                <w:rFonts w:ascii="宋体" w:hAnsi="宋体" w:eastAsia="等线"/>
                <w:color w:val="auto"/>
                <w:szCs w:val="21"/>
                <w:highlight w:val="none"/>
              </w:rPr>
            </w:pPr>
            <w:r>
              <w:rPr>
                <w:rFonts w:hint="eastAsia" w:ascii="宋体" w:hAnsi="宋体" w:eastAsia="等线"/>
                <w:color w:val="auto"/>
                <w:szCs w:val="21"/>
                <w:highlight w:val="none"/>
              </w:rPr>
              <w:t>GB/T 8939-2018</w:t>
            </w:r>
          </w:p>
          <w:p w14:paraId="30BF6E2C">
            <w:pPr>
              <w:widowControl/>
              <w:rPr>
                <w:rFonts w:ascii="宋体" w:hAnsi="宋体" w:eastAsia="等线"/>
                <w:color w:val="auto"/>
                <w:szCs w:val="21"/>
                <w:highlight w:val="none"/>
              </w:rPr>
            </w:pPr>
            <w:r>
              <w:rPr>
                <w:rFonts w:hint="eastAsia" w:ascii="宋体" w:hAnsi="宋体" w:eastAsia="等线"/>
                <w:color w:val="auto"/>
                <w:szCs w:val="21"/>
                <w:highlight w:val="none"/>
              </w:rPr>
              <w:t>FZ/T 73012-2017</w:t>
            </w:r>
          </w:p>
          <w:p w14:paraId="5B66B346">
            <w:pPr>
              <w:widowControl/>
              <w:rPr>
                <w:rFonts w:ascii="宋体" w:hAnsi="宋体" w:eastAsia="等线"/>
                <w:color w:val="auto"/>
                <w:szCs w:val="21"/>
                <w:highlight w:val="none"/>
              </w:rPr>
            </w:pPr>
            <w:r>
              <w:rPr>
                <w:rFonts w:hint="eastAsia" w:ascii="宋体" w:hAnsi="宋体" w:eastAsia="等线"/>
                <w:color w:val="auto"/>
                <w:szCs w:val="21"/>
                <w:highlight w:val="none"/>
              </w:rPr>
              <w:t>FZ/T 73019.2-2020</w:t>
            </w:r>
          </w:p>
          <w:p w14:paraId="4D0D11F8">
            <w:pPr>
              <w:widowControl/>
              <w:rPr>
                <w:rFonts w:ascii="宋体" w:hAnsi="宋体" w:eastAsia="等线"/>
                <w:color w:val="auto"/>
                <w:szCs w:val="21"/>
                <w:highlight w:val="none"/>
              </w:rPr>
            </w:pPr>
            <w:r>
              <w:rPr>
                <w:rFonts w:hint="eastAsia" w:ascii="宋体" w:hAnsi="宋体" w:eastAsia="等线"/>
                <w:color w:val="auto"/>
                <w:szCs w:val="21"/>
                <w:highlight w:val="none"/>
              </w:rPr>
              <w:t>GB/T 8878-2023</w:t>
            </w:r>
          </w:p>
          <w:p w14:paraId="5599C52D">
            <w:pPr>
              <w:widowControl/>
              <w:rPr>
                <w:rFonts w:ascii="宋体" w:hAnsi="宋体" w:eastAsia="等线"/>
                <w:color w:val="auto"/>
                <w:szCs w:val="21"/>
                <w:highlight w:val="none"/>
              </w:rPr>
            </w:pPr>
            <w:r>
              <w:rPr>
                <w:rFonts w:hint="eastAsia" w:ascii="宋体" w:hAnsi="宋体" w:eastAsia="等线"/>
                <w:color w:val="auto"/>
                <w:szCs w:val="21"/>
                <w:highlight w:val="none"/>
              </w:rPr>
              <w:t>GB/T 29862-2013</w:t>
            </w:r>
          </w:p>
          <w:p w14:paraId="0801ABE0">
            <w:pPr>
              <w:widowControl/>
              <w:rPr>
                <w:rFonts w:ascii="宋体" w:hAnsi="宋体" w:eastAsia="等线"/>
                <w:color w:val="auto"/>
                <w:szCs w:val="21"/>
                <w:highlight w:val="none"/>
              </w:rPr>
            </w:pPr>
            <w:r>
              <w:rPr>
                <w:rFonts w:hint="eastAsia" w:ascii="宋体" w:hAnsi="宋体" w:eastAsia="等线"/>
                <w:color w:val="auto"/>
                <w:szCs w:val="21"/>
                <w:highlight w:val="none"/>
              </w:rPr>
              <w:t>GB 18401-2010</w:t>
            </w:r>
          </w:p>
        </w:tc>
        <w:tc>
          <w:tcPr>
            <w:tcW w:w="3962" w:type="dxa"/>
            <w:tcBorders>
              <w:top w:val="single" w:color="auto" w:sz="4" w:space="0"/>
              <w:left w:val="single" w:color="auto" w:sz="4" w:space="0"/>
              <w:bottom w:val="single" w:color="auto" w:sz="4" w:space="0"/>
              <w:right w:val="single" w:color="auto" w:sz="4" w:space="0"/>
            </w:tcBorders>
            <w:vAlign w:val="center"/>
          </w:tcPr>
          <w:p w14:paraId="37D499D9">
            <w:pPr>
              <w:widowControl/>
              <w:rPr>
                <w:rFonts w:ascii="宋体" w:hAnsi="宋体" w:eastAsia="等线"/>
                <w:color w:val="auto"/>
                <w:szCs w:val="21"/>
                <w:highlight w:val="none"/>
              </w:rPr>
            </w:pPr>
            <w:r>
              <w:rPr>
                <w:rFonts w:hint="eastAsia" w:ascii="宋体" w:hAnsi="宋体" w:eastAsia="等线"/>
                <w:color w:val="auto"/>
                <w:szCs w:val="21"/>
                <w:highlight w:val="none"/>
              </w:rPr>
              <w:t>GB/T 8939-2018卫生巾(护垫）:吸水倍率、吸收速度、pH、甲醛含量、可迁移性荧光物质、背胶剥离强度、卫生指标；</w:t>
            </w:r>
          </w:p>
          <w:p w14:paraId="2F8056E9">
            <w:pPr>
              <w:widowControl/>
              <w:rPr>
                <w:rFonts w:ascii="宋体" w:hAnsi="宋体" w:eastAsia="等线"/>
                <w:color w:val="auto"/>
                <w:szCs w:val="21"/>
                <w:highlight w:val="none"/>
              </w:rPr>
            </w:pPr>
            <w:r>
              <w:rPr>
                <w:rFonts w:hint="eastAsia" w:ascii="宋体" w:hAnsi="宋体" w:eastAsia="等线"/>
                <w:color w:val="auto"/>
                <w:szCs w:val="21"/>
                <w:highlight w:val="none"/>
              </w:rPr>
              <w:t>FZ/T 73012-2017、FZ/T 73019.2-2020、GB/T 8878-2023、GB/T 29862-2013、GB 18401-2010文胸：纤维含量、甲醛含量、pH 值、异味、可分解致癌芳香胺染料、耐水色牢度、耐皂洗色牢度、耐汗渍色牢度、耐摩擦色牢度</w:t>
            </w:r>
          </w:p>
        </w:tc>
      </w:tr>
      <w:tr w14:paraId="6AC9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1F0307A6">
            <w:pPr>
              <w:jc w:val="center"/>
              <w:rPr>
                <w:rFonts w:ascii="宋体" w:hAnsi="宋体" w:eastAsia="等线"/>
                <w:color w:val="auto"/>
                <w:szCs w:val="21"/>
                <w:highlight w:val="none"/>
              </w:rPr>
            </w:pPr>
            <w:r>
              <w:rPr>
                <w:rFonts w:hint="eastAsia" w:ascii="宋体" w:hAnsi="宋体" w:eastAsia="等线"/>
                <w:color w:val="auto"/>
                <w:szCs w:val="21"/>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14:paraId="62D26478">
            <w:pPr>
              <w:widowControl/>
              <w:jc w:val="center"/>
              <w:rPr>
                <w:color w:val="auto"/>
                <w:highlight w:val="none"/>
              </w:rPr>
            </w:pPr>
            <w:r>
              <w:rPr>
                <w:color w:val="auto"/>
                <w:highlight w:val="none"/>
              </w:rPr>
              <w:t>妇女和老年用品</w:t>
            </w:r>
            <w:r>
              <w:rPr>
                <w:rFonts w:hint="eastAsia"/>
                <w:color w:val="auto"/>
                <w:highlight w:val="none"/>
              </w:rPr>
              <w:t>（老年鞋、老视成镜）</w:t>
            </w:r>
          </w:p>
        </w:tc>
        <w:tc>
          <w:tcPr>
            <w:tcW w:w="1265" w:type="dxa"/>
            <w:tcBorders>
              <w:top w:val="single" w:color="auto" w:sz="4" w:space="0"/>
              <w:left w:val="single" w:color="auto" w:sz="4" w:space="0"/>
              <w:bottom w:val="single" w:color="auto" w:sz="4" w:space="0"/>
              <w:right w:val="single" w:color="auto" w:sz="4" w:space="0"/>
            </w:tcBorders>
            <w:vAlign w:val="center"/>
          </w:tcPr>
          <w:p w14:paraId="39377E21">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0554D4D5">
            <w:pPr>
              <w:widowControl/>
              <w:rPr>
                <w:rFonts w:ascii="宋体" w:hAnsi="宋体" w:eastAsia="等线"/>
                <w:color w:val="auto"/>
                <w:szCs w:val="21"/>
                <w:highlight w:val="none"/>
              </w:rPr>
            </w:pPr>
          </w:p>
          <w:p w14:paraId="330039FF">
            <w:pPr>
              <w:widowControl/>
              <w:rPr>
                <w:rFonts w:ascii="宋体" w:hAnsi="宋体" w:eastAsia="等线"/>
                <w:color w:val="auto"/>
                <w:szCs w:val="21"/>
                <w:highlight w:val="none"/>
              </w:rPr>
            </w:pPr>
            <w:r>
              <w:rPr>
                <w:rFonts w:hint="eastAsia" w:ascii="宋体" w:hAnsi="宋体" w:eastAsia="等线"/>
                <w:color w:val="auto"/>
                <w:szCs w:val="21"/>
                <w:highlight w:val="none"/>
              </w:rPr>
              <w:t>GB/T 15107-2013</w:t>
            </w:r>
          </w:p>
          <w:p w14:paraId="298F43C9">
            <w:pPr>
              <w:widowControl/>
              <w:rPr>
                <w:rFonts w:ascii="宋体" w:hAnsi="宋体" w:eastAsia="等线"/>
                <w:color w:val="auto"/>
                <w:szCs w:val="21"/>
                <w:highlight w:val="none"/>
              </w:rPr>
            </w:pPr>
            <w:r>
              <w:rPr>
                <w:rFonts w:hint="eastAsia" w:ascii="宋体" w:hAnsi="宋体" w:eastAsia="等线"/>
                <w:color w:val="auto"/>
                <w:szCs w:val="21"/>
                <w:highlight w:val="none"/>
              </w:rPr>
              <w:t>GB 13511.1-2011</w:t>
            </w:r>
          </w:p>
          <w:p w14:paraId="2B58726D">
            <w:pPr>
              <w:widowControl/>
              <w:rPr>
                <w:rFonts w:ascii="宋体" w:hAnsi="宋体" w:eastAsia="等线"/>
                <w:color w:val="auto"/>
                <w:szCs w:val="21"/>
                <w:highlight w:val="none"/>
              </w:rPr>
            </w:pPr>
            <w:r>
              <w:rPr>
                <w:rFonts w:hint="eastAsia" w:ascii="宋体" w:hAnsi="宋体" w:eastAsia="等线"/>
                <w:color w:val="auto"/>
                <w:szCs w:val="21"/>
                <w:highlight w:val="none"/>
              </w:rPr>
              <w:t>GB/T 13511.3-2019</w:t>
            </w:r>
          </w:p>
          <w:p w14:paraId="7289C259">
            <w:pPr>
              <w:widowControl/>
              <w:rPr>
                <w:rFonts w:ascii="宋体" w:hAnsi="宋体" w:eastAsia="等线"/>
                <w:color w:val="auto"/>
                <w:szCs w:val="21"/>
                <w:highlight w:val="none"/>
              </w:rPr>
            </w:pPr>
          </w:p>
        </w:tc>
        <w:tc>
          <w:tcPr>
            <w:tcW w:w="3962" w:type="dxa"/>
            <w:tcBorders>
              <w:top w:val="single" w:color="auto" w:sz="4" w:space="0"/>
              <w:left w:val="single" w:color="auto" w:sz="4" w:space="0"/>
              <w:bottom w:val="single" w:color="auto" w:sz="4" w:space="0"/>
              <w:right w:val="single" w:color="auto" w:sz="4" w:space="0"/>
            </w:tcBorders>
            <w:vAlign w:val="center"/>
          </w:tcPr>
          <w:p w14:paraId="353410D3">
            <w:pPr>
              <w:widowControl/>
              <w:rPr>
                <w:rFonts w:ascii="宋体" w:hAnsi="宋体" w:eastAsia="等线"/>
                <w:color w:val="auto"/>
                <w:szCs w:val="21"/>
                <w:highlight w:val="none"/>
              </w:rPr>
            </w:pPr>
            <w:r>
              <w:rPr>
                <w:rFonts w:hint="eastAsia" w:ascii="宋体" w:hAnsi="宋体" w:eastAsia="等线"/>
                <w:color w:val="auto"/>
                <w:szCs w:val="21"/>
                <w:highlight w:val="none"/>
              </w:rPr>
              <w:t>GB/T 15107-2013旅游鞋：感官质量、剥离强度、成鞋耐折性能、外底耐磨性能、外底与外中底粘合强度、纺织品中可分解有害芳香胺、纺织品中游离或可部分水解甲醛含量</w:t>
            </w:r>
          </w:p>
          <w:p w14:paraId="38F6A1EE">
            <w:pPr>
              <w:widowControl/>
              <w:rPr>
                <w:rFonts w:ascii="宋体" w:hAnsi="宋体" w:eastAsia="等线"/>
                <w:color w:val="auto"/>
                <w:szCs w:val="21"/>
                <w:highlight w:val="none"/>
              </w:rPr>
            </w:pPr>
            <w:r>
              <w:rPr>
                <w:rFonts w:hint="eastAsia" w:ascii="宋体" w:hAnsi="宋体" w:eastAsia="等线"/>
                <w:color w:val="auto"/>
                <w:szCs w:val="21"/>
                <w:highlight w:val="none"/>
              </w:rPr>
              <w:t>GB 13511.1-2011老视成镜：镜片的顶焦度、光学中心水平距离偏差、水平光学中心与眼瞳的单侧偏差、光学中心垂直互差、镜片表面质量、两镜片顶焦度互差、装配质量、镜架外观质量、光透射性、标志</w:t>
            </w:r>
          </w:p>
          <w:p w14:paraId="10BB3F80">
            <w:pPr>
              <w:widowControl/>
              <w:rPr>
                <w:rFonts w:ascii="宋体" w:hAnsi="宋体" w:eastAsia="等线"/>
                <w:color w:val="auto"/>
                <w:szCs w:val="21"/>
                <w:highlight w:val="none"/>
              </w:rPr>
            </w:pPr>
            <w:r>
              <w:rPr>
                <w:rFonts w:hint="eastAsia" w:ascii="宋体" w:hAnsi="宋体" w:eastAsia="等线"/>
                <w:color w:val="auto"/>
                <w:szCs w:val="21"/>
                <w:highlight w:val="none"/>
              </w:rPr>
              <w:t>GB/T 13511.3-2019单光老视成镜：标志、镜片顶焦度、材料和镜片表面质量，光透射比性能、镜架外观质量、镜片和镜圈的几何形状、顶焦度范围、镜片顶焦度互差、光学中心水平偏差、光学中心单侧水平偏差、光学中心垂直互差</w:t>
            </w:r>
          </w:p>
        </w:tc>
      </w:tr>
      <w:tr w14:paraId="15EB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tcBorders>
              <w:top w:val="single" w:color="auto" w:sz="4" w:space="0"/>
              <w:left w:val="single" w:color="auto" w:sz="4" w:space="0"/>
              <w:bottom w:val="single" w:color="auto" w:sz="4" w:space="0"/>
              <w:right w:val="single" w:color="auto" w:sz="4" w:space="0"/>
            </w:tcBorders>
            <w:vAlign w:val="center"/>
          </w:tcPr>
          <w:p w14:paraId="5391400F">
            <w:pPr>
              <w:jc w:val="center"/>
              <w:rPr>
                <w:rFonts w:ascii="宋体" w:hAnsi="宋体" w:eastAsia="等线"/>
                <w:color w:val="auto"/>
                <w:szCs w:val="21"/>
                <w:highlight w:val="none"/>
              </w:rPr>
            </w:pPr>
            <w:r>
              <w:rPr>
                <w:rFonts w:hint="eastAsia" w:ascii="宋体" w:hAnsi="宋体" w:eastAsia="等线"/>
                <w:color w:val="auto"/>
                <w:szCs w:val="21"/>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14:paraId="4A841E1C">
            <w:pPr>
              <w:widowControl/>
              <w:jc w:val="center"/>
              <w:rPr>
                <w:color w:val="auto"/>
                <w:highlight w:val="none"/>
              </w:rPr>
            </w:pPr>
            <w:r>
              <w:rPr>
                <w:color w:val="auto"/>
                <w:highlight w:val="none"/>
              </w:rPr>
              <w:t>钢筋</w:t>
            </w:r>
          </w:p>
        </w:tc>
        <w:tc>
          <w:tcPr>
            <w:tcW w:w="1265" w:type="dxa"/>
            <w:tcBorders>
              <w:top w:val="single" w:color="auto" w:sz="4" w:space="0"/>
              <w:left w:val="single" w:color="auto" w:sz="4" w:space="0"/>
              <w:bottom w:val="single" w:color="auto" w:sz="4" w:space="0"/>
              <w:right w:val="single" w:color="auto" w:sz="4" w:space="0"/>
            </w:tcBorders>
            <w:vAlign w:val="center"/>
          </w:tcPr>
          <w:p w14:paraId="70A52C52">
            <w:pPr>
              <w:widowControl/>
              <w:jc w:val="center"/>
              <w:rPr>
                <w:rFonts w:ascii="宋体" w:hAnsi="宋体" w:eastAsia="等线"/>
                <w:color w:val="auto"/>
                <w:szCs w:val="21"/>
                <w:highlight w:val="none"/>
              </w:rPr>
            </w:pPr>
            <w:r>
              <w:rPr>
                <w:rFonts w:hint="eastAsia" w:ascii="宋体" w:hAnsi="宋体" w:eastAsia="等线"/>
                <w:color w:val="auto"/>
                <w:szCs w:val="21"/>
                <w:highlight w:val="none"/>
              </w:rPr>
              <w:t>2150</w:t>
            </w:r>
          </w:p>
        </w:tc>
        <w:tc>
          <w:tcPr>
            <w:tcW w:w="1577" w:type="dxa"/>
            <w:tcBorders>
              <w:top w:val="single" w:color="auto" w:sz="4" w:space="0"/>
              <w:left w:val="single" w:color="auto" w:sz="4" w:space="0"/>
              <w:bottom w:val="single" w:color="auto" w:sz="4" w:space="0"/>
              <w:right w:val="single" w:color="auto" w:sz="4" w:space="0"/>
            </w:tcBorders>
            <w:vAlign w:val="center"/>
          </w:tcPr>
          <w:p w14:paraId="5387C027">
            <w:pPr>
              <w:widowControl/>
              <w:rPr>
                <w:rFonts w:ascii="宋体" w:hAnsi="宋体" w:eastAsia="等线"/>
                <w:color w:val="auto"/>
                <w:szCs w:val="21"/>
                <w:highlight w:val="none"/>
              </w:rPr>
            </w:pPr>
            <w:r>
              <w:rPr>
                <w:rFonts w:hint="eastAsia" w:ascii="宋体" w:hAnsi="宋体" w:eastAsia="等线"/>
                <w:color w:val="auto"/>
                <w:szCs w:val="21"/>
                <w:highlight w:val="none"/>
              </w:rPr>
              <w:t>GB/T 1499.2-2018</w:t>
            </w:r>
          </w:p>
          <w:p w14:paraId="58D34EE2">
            <w:pPr>
              <w:widowControl/>
              <w:rPr>
                <w:rFonts w:ascii="宋体" w:hAnsi="宋体" w:eastAsia="等线"/>
                <w:color w:val="auto"/>
                <w:szCs w:val="21"/>
                <w:highlight w:val="none"/>
              </w:rPr>
            </w:pPr>
            <w:r>
              <w:rPr>
                <w:rFonts w:hint="eastAsia" w:ascii="宋体" w:hAnsi="宋体" w:eastAsia="等线"/>
                <w:color w:val="auto"/>
                <w:szCs w:val="21"/>
                <w:highlight w:val="none"/>
              </w:rPr>
              <w:t>GB 1499.2-2024</w:t>
            </w:r>
          </w:p>
        </w:tc>
        <w:tc>
          <w:tcPr>
            <w:tcW w:w="3962" w:type="dxa"/>
            <w:tcBorders>
              <w:top w:val="single" w:color="auto" w:sz="4" w:space="0"/>
              <w:left w:val="single" w:color="auto" w:sz="4" w:space="0"/>
              <w:bottom w:val="single" w:color="auto" w:sz="4" w:space="0"/>
              <w:right w:val="single" w:color="auto" w:sz="4" w:space="0"/>
            </w:tcBorders>
            <w:vAlign w:val="center"/>
          </w:tcPr>
          <w:p w14:paraId="2C0DC3DA">
            <w:pPr>
              <w:widowControl/>
              <w:rPr>
                <w:rFonts w:ascii="宋体" w:hAnsi="宋体" w:eastAsia="等线"/>
                <w:color w:val="auto"/>
                <w:szCs w:val="21"/>
                <w:highlight w:val="none"/>
              </w:rPr>
            </w:pPr>
            <w:r>
              <w:rPr>
                <w:rFonts w:hint="eastAsia" w:ascii="宋体" w:hAnsi="宋体" w:eastAsia="等线"/>
                <w:color w:val="auto"/>
                <w:szCs w:val="21"/>
                <w:highlight w:val="none"/>
              </w:rPr>
              <w:t>GB/T 1499.2-2018热轧带肋钢筋：尺寸外形（横肋高、间距、横肋末端间隙）、表面质量、重量偏差、钢筋表面标志、力学性能、弯曲性能、反向弯曲性能、金相组织、化学成分（C、Si、Mn、P、S）；</w:t>
            </w:r>
          </w:p>
          <w:p w14:paraId="305A67A2">
            <w:pPr>
              <w:widowControl/>
              <w:rPr>
                <w:rFonts w:ascii="宋体" w:hAnsi="宋体" w:eastAsia="等线"/>
                <w:color w:val="auto"/>
                <w:szCs w:val="21"/>
                <w:highlight w:val="none"/>
              </w:rPr>
            </w:pPr>
            <w:r>
              <w:rPr>
                <w:rFonts w:hint="eastAsia" w:ascii="宋体" w:hAnsi="宋体" w:eastAsia="等线"/>
                <w:color w:val="auto"/>
                <w:szCs w:val="21"/>
                <w:highlight w:val="none"/>
              </w:rPr>
              <w:t>GB 1499.2-2024热轧带肋钢筋：尺寸（横肋高度、横肋间距、横肋末端间隙）、表面质量、重量偏差、表面标志、力学性能、金相组织、化学成分（碳当量、Si、Mn、P、S）</w:t>
            </w:r>
          </w:p>
        </w:tc>
      </w:tr>
      <w:tr w14:paraId="4A1B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tcBorders>
              <w:top w:val="single" w:color="auto" w:sz="4" w:space="0"/>
              <w:left w:val="single" w:color="auto" w:sz="4" w:space="0"/>
              <w:bottom w:val="single" w:color="auto" w:sz="4" w:space="0"/>
              <w:right w:val="single" w:color="auto" w:sz="4" w:space="0"/>
            </w:tcBorders>
            <w:vAlign w:val="center"/>
          </w:tcPr>
          <w:p w14:paraId="3309B288">
            <w:pPr>
              <w:jc w:val="center"/>
              <w:rPr>
                <w:rFonts w:ascii="宋体" w:hAnsi="宋体" w:eastAsia="等线"/>
                <w:color w:val="auto"/>
                <w:szCs w:val="21"/>
                <w:highlight w:val="none"/>
              </w:rPr>
            </w:pPr>
            <w:r>
              <w:rPr>
                <w:rFonts w:hint="eastAsia" w:ascii="宋体" w:hAnsi="宋体" w:eastAsia="等线"/>
                <w:color w:val="auto"/>
                <w:szCs w:val="21"/>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23DDD41">
            <w:pPr>
              <w:widowControl/>
              <w:jc w:val="center"/>
              <w:rPr>
                <w:color w:val="auto"/>
                <w:highlight w:val="none"/>
              </w:rPr>
            </w:pPr>
            <w:r>
              <w:rPr>
                <w:color w:val="auto"/>
                <w:highlight w:val="none"/>
              </w:rPr>
              <w:t>水泥</w:t>
            </w:r>
          </w:p>
        </w:tc>
        <w:tc>
          <w:tcPr>
            <w:tcW w:w="1265" w:type="dxa"/>
            <w:tcBorders>
              <w:top w:val="single" w:color="auto" w:sz="4" w:space="0"/>
              <w:left w:val="single" w:color="auto" w:sz="4" w:space="0"/>
              <w:bottom w:val="single" w:color="auto" w:sz="4" w:space="0"/>
              <w:right w:val="single" w:color="auto" w:sz="4" w:space="0"/>
            </w:tcBorders>
            <w:vAlign w:val="center"/>
          </w:tcPr>
          <w:p w14:paraId="471EFCD8">
            <w:pPr>
              <w:widowControl/>
              <w:jc w:val="center"/>
              <w:rPr>
                <w:rFonts w:ascii="宋体" w:hAnsi="宋体" w:eastAsia="等线"/>
                <w:color w:val="auto"/>
                <w:szCs w:val="21"/>
                <w:highlight w:val="none"/>
              </w:rPr>
            </w:pPr>
            <w:r>
              <w:rPr>
                <w:rFonts w:hint="eastAsia" w:ascii="宋体" w:hAnsi="宋体" w:eastAsia="等线"/>
                <w:color w:val="auto"/>
                <w:szCs w:val="21"/>
                <w:highlight w:val="none"/>
              </w:rPr>
              <w:t>2950</w:t>
            </w:r>
          </w:p>
        </w:tc>
        <w:tc>
          <w:tcPr>
            <w:tcW w:w="1577" w:type="dxa"/>
            <w:tcBorders>
              <w:top w:val="single" w:color="auto" w:sz="4" w:space="0"/>
              <w:left w:val="single" w:color="auto" w:sz="4" w:space="0"/>
              <w:bottom w:val="single" w:color="auto" w:sz="4" w:space="0"/>
              <w:right w:val="single" w:color="auto" w:sz="4" w:space="0"/>
            </w:tcBorders>
            <w:vAlign w:val="center"/>
          </w:tcPr>
          <w:p w14:paraId="371D36DF">
            <w:pPr>
              <w:widowControl/>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GB 175—2023、</w:t>
            </w:r>
          </w:p>
          <w:p w14:paraId="79A9FF24">
            <w:pPr>
              <w:widowControl/>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 xml:space="preserve">GB/T </w:t>
            </w:r>
          </w:p>
          <w:p w14:paraId="39843910">
            <w:pPr>
              <w:widowControl/>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3183—2017</w:t>
            </w:r>
          </w:p>
          <w:p w14:paraId="6FBD9D50">
            <w:pPr>
              <w:widowControl/>
              <w:rPr>
                <w:rFonts w:ascii="宋体" w:hAnsi="宋体" w:eastAsia="等线"/>
                <w:color w:val="auto"/>
                <w:szCs w:val="21"/>
                <w:highlight w:val="none"/>
              </w:rPr>
            </w:pPr>
          </w:p>
        </w:tc>
        <w:tc>
          <w:tcPr>
            <w:tcW w:w="3962" w:type="dxa"/>
            <w:tcBorders>
              <w:top w:val="single" w:color="auto" w:sz="4" w:space="0"/>
              <w:left w:val="single" w:color="auto" w:sz="4" w:space="0"/>
              <w:bottom w:val="single" w:color="auto" w:sz="4" w:space="0"/>
              <w:right w:val="single" w:color="auto" w:sz="4" w:space="0"/>
            </w:tcBorders>
            <w:vAlign w:val="center"/>
          </w:tcPr>
          <w:p w14:paraId="67B6FEEB">
            <w:pPr>
              <w:widowControl/>
              <w:rPr>
                <w:rFonts w:ascii="宋体" w:hAnsi="宋体" w:eastAsia="等线"/>
                <w:color w:val="auto"/>
                <w:szCs w:val="21"/>
                <w:highlight w:val="none"/>
              </w:rPr>
            </w:pPr>
            <w:r>
              <w:rPr>
                <w:rFonts w:hint="eastAsia" w:ascii="宋体" w:hAnsi="宋体" w:eastAsia="等线"/>
                <w:color w:val="auto"/>
                <w:szCs w:val="21"/>
                <w:highlight w:val="none"/>
              </w:rPr>
              <w:t xml:space="preserve"> GB 175—2023通用硅酸盐水泥：不溶物、烧失量、三氧化硫、氧化镁、氯离子、水泥中水溶性铬(Ⅵ)、凝结时间、安定性（沸煮法）、强度（抗压强度、抗折强度）、细度、放射性核素限量</w:t>
            </w:r>
          </w:p>
          <w:p w14:paraId="46746DD7">
            <w:pPr>
              <w:widowControl/>
              <w:rPr>
                <w:rFonts w:ascii="宋体" w:hAnsi="宋体" w:eastAsia="等线"/>
                <w:color w:val="auto"/>
                <w:szCs w:val="21"/>
                <w:highlight w:val="none"/>
              </w:rPr>
            </w:pPr>
            <w:r>
              <w:rPr>
                <w:rFonts w:hint="eastAsia" w:ascii="宋体" w:hAnsi="宋体" w:eastAsia="等线"/>
                <w:color w:val="auto"/>
                <w:szCs w:val="21"/>
                <w:highlight w:val="none"/>
              </w:rPr>
              <w:t>GB/T 3183—2017砌筑水泥：三氧化硫、氯离子、水泥中水溶性铬（Ⅵ）、细度、凝结时间、沸煮法安定性、保水率、强度、放射性</w:t>
            </w:r>
          </w:p>
        </w:tc>
      </w:tr>
      <w:tr w14:paraId="1852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A2C5AEB">
            <w:pPr>
              <w:jc w:val="center"/>
              <w:rPr>
                <w:rFonts w:ascii="宋体" w:hAnsi="宋体" w:eastAsia="等线"/>
                <w:color w:val="auto"/>
                <w:szCs w:val="21"/>
                <w:highlight w:val="none"/>
              </w:rPr>
            </w:pPr>
            <w:r>
              <w:rPr>
                <w:rFonts w:hint="eastAsia" w:ascii="宋体" w:hAnsi="宋体" w:eastAsia="等线"/>
                <w:color w:val="auto"/>
                <w:szCs w:val="21"/>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15B6318">
            <w:pPr>
              <w:widowControl/>
              <w:jc w:val="center"/>
              <w:rPr>
                <w:color w:val="auto"/>
                <w:highlight w:val="none"/>
              </w:rPr>
            </w:pPr>
            <w:r>
              <w:rPr>
                <w:color w:val="auto"/>
                <w:highlight w:val="none"/>
              </w:rPr>
              <w:t>水性涂料</w:t>
            </w:r>
          </w:p>
        </w:tc>
        <w:tc>
          <w:tcPr>
            <w:tcW w:w="1265" w:type="dxa"/>
            <w:tcBorders>
              <w:top w:val="single" w:color="auto" w:sz="4" w:space="0"/>
              <w:left w:val="single" w:color="auto" w:sz="4" w:space="0"/>
              <w:bottom w:val="single" w:color="auto" w:sz="4" w:space="0"/>
              <w:right w:val="single" w:color="auto" w:sz="4" w:space="0"/>
            </w:tcBorders>
            <w:vAlign w:val="center"/>
          </w:tcPr>
          <w:p w14:paraId="6FF70072">
            <w:pPr>
              <w:widowControl/>
              <w:jc w:val="center"/>
              <w:rPr>
                <w:rFonts w:ascii="宋体" w:hAnsi="宋体" w:eastAsia="等线"/>
                <w:color w:val="auto"/>
                <w:szCs w:val="21"/>
                <w:highlight w:val="none"/>
              </w:rPr>
            </w:pPr>
            <w:r>
              <w:rPr>
                <w:rFonts w:hint="eastAsia" w:ascii="宋体" w:hAnsi="宋体" w:eastAsia="等线"/>
                <w:color w:val="auto"/>
                <w:szCs w:val="21"/>
                <w:highlight w:val="none"/>
              </w:rPr>
              <w:t>2500</w:t>
            </w:r>
          </w:p>
        </w:tc>
        <w:tc>
          <w:tcPr>
            <w:tcW w:w="1577" w:type="dxa"/>
            <w:tcBorders>
              <w:top w:val="single" w:color="auto" w:sz="4" w:space="0"/>
              <w:left w:val="single" w:color="auto" w:sz="4" w:space="0"/>
              <w:bottom w:val="single" w:color="auto" w:sz="4" w:space="0"/>
              <w:right w:val="single" w:color="auto" w:sz="4" w:space="0"/>
            </w:tcBorders>
            <w:vAlign w:val="center"/>
          </w:tcPr>
          <w:p w14:paraId="1ED2350D">
            <w:pPr>
              <w:widowControl/>
              <w:rPr>
                <w:rFonts w:ascii="宋体" w:hAnsi="宋体" w:eastAsia="等线"/>
                <w:color w:val="auto"/>
                <w:szCs w:val="21"/>
                <w:highlight w:val="none"/>
              </w:rPr>
            </w:pPr>
            <w:r>
              <w:rPr>
                <w:rFonts w:hint="eastAsia" w:ascii="宋体" w:hAnsi="宋体" w:eastAsia="等线"/>
                <w:color w:val="auto"/>
                <w:szCs w:val="21"/>
                <w:highlight w:val="none"/>
              </w:rPr>
              <w:t>GB/T 9756-2018、</w:t>
            </w:r>
          </w:p>
          <w:p w14:paraId="55BA933E">
            <w:pPr>
              <w:widowControl/>
              <w:rPr>
                <w:rFonts w:ascii="宋体" w:hAnsi="宋体" w:eastAsia="等线"/>
                <w:color w:val="auto"/>
                <w:szCs w:val="21"/>
                <w:highlight w:val="none"/>
              </w:rPr>
            </w:pPr>
            <w:r>
              <w:rPr>
                <w:rFonts w:hint="eastAsia" w:ascii="宋体" w:hAnsi="宋体" w:eastAsia="等线"/>
                <w:color w:val="auto"/>
                <w:szCs w:val="21"/>
                <w:highlight w:val="none"/>
              </w:rPr>
              <w:t>JC/T 423-1991、</w:t>
            </w:r>
          </w:p>
          <w:p w14:paraId="46F953D0">
            <w:pPr>
              <w:widowControl/>
              <w:rPr>
                <w:rFonts w:ascii="宋体" w:hAnsi="宋体" w:eastAsia="等线"/>
                <w:color w:val="auto"/>
                <w:szCs w:val="21"/>
                <w:highlight w:val="none"/>
              </w:rPr>
            </w:pPr>
            <w:r>
              <w:rPr>
                <w:rFonts w:hint="eastAsia" w:ascii="宋体" w:hAnsi="宋体" w:eastAsia="等线"/>
                <w:color w:val="auto"/>
                <w:szCs w:val="21"/>
                <w:highlight w:val="none"/>
              </w:rPr>
              <w:t>GB 18582-2020、</w:t>
            </w:r>
          </w:p>
          <w:p w14:paraId="49955102">
            <w:pPr>
              <w:widowControl/>
              <w:rPr>
                <w:rFonts w:ascii="宋体" w:hAnsi="宋体" w:eastAsia="等线"/>
                <w:color w:val="auto"/>
                <w:szCs w:val="21"/>
                <w:highlight w:val="none"/>
              </w:rPr>
            </w:pPr>
            <w:r>
              <w:rPr>
                <w:rFonts w:hint="eastAsia" w:ascii="宋体" w:hAnsi="宋体" w:eastAsia="等线"/>
                <w:color w:val="auto"/>
                <w:szCs w:val="21"/>
                <w:highlight w:val="none"/>
              </w:rPr>
              <w:t>GB/T 9755-2014、</w:t>
            </w:r>
          </w:p>
          <w:p w14:paraId="4ADBF3C0">
            <w:pPr>
              <w:widowControl/>
              <w:rPr>
                <w:rFonts w:ascii="宋体" w:hAnsi="宋体" w:eastAsia="等线"/>
                <w:color w:val="auto"/>
                <w:szCs w:val="21"/>
                <w:highlight w:val="none"/>
              </w:rPr>
            </w:pPr>
            <w:r>
              <w:rPr>
                <w:rFonts w:hint="eastAsia" w:ascii="宋体" w:hAnsi="宋体" w:eastAsia="等线"/>
                <w:color w:val="auto"/>
                <w:szCs w:val="21"/>
                <w:highlight w:val="none"/>
              </w:rPr>
              <w:t>JG/T 172-2014、</w:t>
            </w:r>
          </w:p>
          <w:p w14:paraId="7465B65F">
            <w:pPr>
              <w:widowControl/>
              <w:rPr>
                <w:rFonts w:ascii="宋体" w:hAnsi="宋体" w:eastAsia="等线"/>
                <w:color w:val="auto"/>
                <w:szCs w:val="21"/>
                <w:highlight w:val="none"/>
              </w:rPr>
            </w:pPr>
            <w:r>
              <w:rPr>
                <w:rFonts w:hint="eastAsia" w:ascii="宋体" w:hAnsi="宋体" w:eastAsia="等线"/>
                <w:color w:val="auto"/>
                <w:szCs w:val="21"/>
                <w:highlight w:val="none"/>
              </w:rPr>
              <w:t>GB/T 23995-2009、</w:t>
            </w:r>
          </w:p>
          <w:p w14:paraId="65E3123F">
            <w:pPr>
              <w:widowControl/>
              <w:rPr>
                <w:rFonts w:ascii="宋体" w:hAnsi="宋体" w:eastAsia="等线"/>
                <w:color w:val="auto"/>
                <w:szCs w:val="21"/>
                <w:highlight w:val="none"/>
              </w:rPr>
            </w:pPr>
            <w:r>
              <w:rPr>
                <w:rFonts w:hint="eastAsia" w:ascii="宋体" w:hAnsi="宋体" w:eastAsia="等线"/>
                <w:color w:val="auto"/>
                <w:szCs w:val="21"/>
                <w:highlight w:val="none"/>
              </w:rPr>
              <w:t>GB/T 23997-2009、GB/T 23998-2009、</w:t>
            </w:r>
          </w:p>
          <w:p w14:paraId="624FF013">
            <w:pPr>
              <w:widowControl/>
              <w:rPr>
                <w:rFonts w:ascii="宋体" w:hAnsi="宋体" w:eastAsia="等线"/>
                <w:color w:val="auto"/>
                <w:szCs w:val="21"/>
                <w:highlight w:val="none"/>
              </w:rPr>
            </w:pPr>
            <w:r>
              <w:rPr>
                <w:rFonts w:hint="eastAsia" w:ascii="宋体" w:hAnsi="宋体" w:eastAsia="等线"/>
                <w:color w:val="auto"/>
                <w:szCs w:val="21"/>
                <w:highlight w:val="none"/>
              </w:rPr>
              <w:t>GB/T 25251-2010、</w:t>
            </w:r>
          </w:p>
          <w:p w14:paraId="5B2587AC">
            <w:pPr>
              <w:widowControl/>
              <w:rPr>
                <w:rFonts w:ascii="宋体" w:hAnsi="宋体" w:eastAsia="等线"/>
                <w:color w:val="auto"/>
                <w:szCs w:val="21"/>
                <w:highlight w:val="none"/>
              </w:rPr>
            </w:pPr>
            <w:r>
              <w:rPr>
                <w:rFonts w:hint="eastAsia" w:ascii="宋体" w:hAnsi="宋体" w:eastAsia="等线"/>
                <w:color w:val="auto"/>
                <w:szCs w:val="21"/>
                <w:highlight w:val="none"/>
              </w:rPr>
              <w:t>GB/T 25252-2010、</w:t>
            </w:r>
          </w:p>
          <w:p w14:paraId="6EFCB898">
            <w:pPr>
              <w:widowControl/>
              <w:rPr>
                <w:rFonts w:ascii="宋体" w:hAnsi="宋体" w:eastAsia="等线"/>
                <w:color w:val="auto"/>
                <w:szCs w:val="21"/>
                <w:highlight w:val="none"/>
              </w:rPr>
            </w:pPr>
            <w:r>
              <w:rPr>
                <w:rFonts w:hint="eastAsia" w:ascii="宋体" w:hAnsi="宋体" w:eastAsia="等线"/>
                <w:color w:val="auto"/>
                <w:szCs w:val="21"/>
                <w:highlight w:val="none"/>
              </w:rPr>
              <w:t>GB/T 25253-2010、</w:t>
            </w:r>
          </w:p>
          <w:p w14:paraId="125819F1">
            <w:pPr>
              <w:widowControl/>
              <w:rPr>
                <w:rFonts w:ascii="宋体" w:hAnsi="宋体" w:eastAsia="等线"/>
                <w:color w:val="auto"/>
                <w:szCs w:val="21"/>
                <w:highlight w:val="none"/>
              </w:rPr>
            </w:pPr>
            <w:r>
              <w:rPr>
                <w:rFonts w:hint="eastAsia" w:ascii="宋体" w:hAnsi="宋体" w:eastAsia="等线"/>
                <w:color w:val="auto"/>
                <w:szCs w:val="21"/>
                <w:highlight w:val="none"/>
              </w:rPr>
              <w:t>GB/T 25264-2010、</w:t>
            </w:r>
          </w:p>
          <w:p w14:paraId="62A4493A">
            <w:pPr>
              <w:widowControl/>
              <w:rPr>
                <w:rFonts w:ascii="宋体" w:hAnsi="宋体" w:eastAsia="等线"/>
                <w:color w:val="auto"/>
                <w:szCs w:val="21"/>
                <w:highlight w:val="none"/>
              </w:rPr>
            </w:pPr>
            <w:r>
              <w:rPr>
                <w:rFonts w:hint="eastAsia" w:ascii="宋体" w:hAnsi="宋体" w:eastAsia="等线"/>
                <w:color w:val="auto"/>
                <w:szCs w:val="21"/>
                <w:highlight w:val="none"/>
              </w:rPr>
              <w:t>HG/T 4340-2012、</w:t>
            </w:r>
          </w:p>
          <w:p w14:paraId="2290F559">
            <w:pPr>
              <w:widowControl/>
              <w:rPr>
                <w:rFonts w:ascii="宋体" w:hAnsi="宋体" w:eastAsia="等线"/>
                <w:color w:val="auto"/>
                <w:szCs w:val="21"/>
                <w:highlight w:val="none"/>
              </w:rPr>
            </w:pPr>
            <w:r>
              <w:rPr>
                <w:rFonts w:hint="eastAsia" w:ascii="宋体" w:hAnsi="宋体" w:eastAsia="等线"/>
                <w:color w:val="auto"/>
                <w:szCs w:val="21"/>
                <w:highlight w:val="none"/>
              </w:rPr>
              <w:t>GB 18581-2020</w:t>
            </w:r>
          </w:p>
        </w:tc>
        <w:tc>
          <w:tcPr>
            <w:tcW w:w="3962" w:type="dxa"/>
            <w:tcBorders>
              <w:top w:val="single" w:color="auto" w:sz="4" w:space="0"/>
              <w:left w:val="single" w:color="auto" w:sz="4" w:space="0"/>
              <w:bottom w:val="single" w:color="auto" w:sz="4" w:space="0"/>
              <w:right w:val="single" w:color="auto" w:sz="4" w:space="0"/>
            </w:tcBorders>
            <w:vAlign w:val="center"/>
          </w:tcPr>
          <w:p w14:paraId="0226E0B4">
            <w:pPr>
              <w:widowControl/>
              <w:rPr>
                <w:rFonts w:ascii="宋体" w:hAnsi="宋体" w:eastAsia="等线"/>
                <w:color w:val="auto"/>
                <w:szCs w:val="21"/>
                <w:highlight w:val="none"/>
              </w:rPr>
            </w:pPr>
            <w:r>
              <w:rPr>
                <w:rFonts w:hint="eastAsia" w:ascii="宋体" w:hAnsi="宋体" w:eastAsia="等线"/>
                <w:color w:val="auto"/>
                <w:szCs w:val="21"/>
                <w:highlight w:val="none"/>
              </w:rPr>
              <w:t>内墙涂料：</w:t>
            </w:r>
          </w:p>
          <w:p w14:paraId="47339144">
            <w:pPr>
              <w:widowControl/>
              <w:rPr>
                <w:rFonts w:ascii="宋体" w:hAnsi="宋体" w:eastAsia="等线"/>
                <w:color w:val="auto"/>
                <w:szCs w:val="21"/>
                <w:highlight w:val="none"/>
              </w:rPr>
            </w:pPr>
            <w:r>
              <w:rPr>
                <w:rFonts w:hint="eastAsia" w:ascii="宋体" w:hAnsi="宋体" w:eastAsia="等线"/>
                <w:color w:val="auto"/>
                <w:szCs w:val="21"/>
                <w:highlight w:val="none"/>
              </w:rPr>
              <w:t>GB/T 9756-2018</w:t>
            </w:r>
          </w:p>
          <w:p w14:paraId="5481EFDE">
            <w:pPr>
              <w:widowControl/>
              <w:rPr>
                <w:rFonts w:ascii="宋体" w:hAnsi="宋体" w:eastAsia="等线"/>
                <w:color w:val="auto"/>
                <w:szCs w:val="21"/>
                <w:highlight w:val="none"/>
              </w:rPr>
            </w:pPr>
            <w:r>
              <w:rPr>
                <w:rFonts w:hint="eastAsia" w:ascii="宋体" w:hAnsi="宋体" w:eastAsia="等线"/>
                <w:color w:val="auto"/>
                <w:szCs w:val="21"/>
                <w:highlight w:val="none"/>
              </w:rPr>
              <w:t>容器中状态、施工性、低温稳定性、低温成膜性、涂膜外观、干燥时间、耐碱性、对比率、耐洗刷性；</w:t>
            </w:r>
          </w:p>
          <w:p w14:paraId="05C84435">
            <w:pPr>
              <w:widowControl/>
              <w:rPr>
                <w:rFonts w:ascii="宋体" w:hAnsi="宋体" w:eastAsia="等线"/>
                <w:color w:val="auto"/>
                <w:szCs w:val="21"/>
                <w:highlight w:val="none"/>
              </w:rPr>
            </w:pPr>
            <w:r>
              <w:rPr>
                <w:rFonts w:hint="eastAsia" w:ascii="宋体" w:hAnsi="宋体" w:eastAsia="等线"/>
                <w:color w:val="auto"/>
                <w:szCs w:val="21"/>
                <w:highlight w:val="none"/>
              </w:rPr>
              <w:t>JC/T 423-1991：</w:t>
            </w:r>
          </w:p>
          <w:p w14:paraId="58EE70BD">
            <w:pPr>
              <w:widowControl/>
              <w:rPr>
                <w:rFonts w:ascii="宋体" w:hAnsi="宋体" w:eastAsia="等线"/>
                <w:color w:val="auto"/>
                <w:szCs w:val="21"/>
                <w:highlight w:val="none"/>
              </w:rPr>
            </w:pPr>
            <w:r>
              <w:rPr>
                <w:rFonts w:hint="eastAsia" w:ascii="宋体" w:hAnsi="宋体" w:eastAsia="等线"/>
                <w:color w:val="auto"/>
                <w:szCs w:val="21"/>
                <w:highlight w:val="none"/>
              </w:rPr>
              <w:t>容器中状态、粘度、细度、遮盖力、白度、涂膜外观、附着力、耐水性、耐干擦性、耐洗刷性；</w:t>
            </w:r>
          </w:p>
          <w:p w14:paraId="2CBD95DB">
            <w:pPr>
              <w:widowControl/>
              <w:rPr>
                <w:rFonts w:ascii="宋体" w:hAnsi="宋体" w:eastAsia="等线"/>
                <w:color w:val="auto"/>
                <w:szCs w:val="21"/>
                <w:highlight w:val="none"/>
              </w:rPr>
            </w:pPr>
            <w:r>
              <w:rPr>
                <w:rFonts w:hint="eastAsia" w:ascii="宋体" w:hAnsi="宋体" w:eastAsia="等线"/>
                <w:color w:val="auto"/>
                <w:szCs w:val="21"/>
                <w:highlight w:val="none"/>
              </w:rPr>
              <w:t>GB 18582-2020：挥发性有机化合物、甲醛、苯系物总和、总铅、烷基酚聚氧乙烯醚、重金属含量（铅）、重金属含量（镉）、重金属含量（铬）、重金属含量（汞）；</w:t>
            </w:r>
          </w:p>
          <w:p w14:paraId="38DBCB5E">
            <w:pPr>
              <w:widowControl/>
              <w:rPr>
                <w:rFonts w:ascii="宋体" w:hAnsi="宋体" w:eastAsia="等线"/>
                <w:color w:val="auto"/>
                <w:szCs w:val="21"/>
                <w:highlight w:val="none"/>
              </w:rPr>
            </w:pPr>
            <w:r>
              <w:rPr>
                <w:rFonts w:hint="eastAsia" w:ascii="宋体" w:hAnsi="宋体" w:eastAsia="等线"/>
                <w:color w:val="auto"/>
                <w:szCs w:val="21"/>
                <w:highlight w:val="none"/>
              </w:rPr>
              <w:t>外墙涂料：</w:t>
            </w:r>
          </w:p>
          <w:p w14:paraId="23F2008F">
            <w:pPr>
              <w:widowControl/>
              <w:rPr>
                <w:rFonts w:ascii="宋体" w:hAnsi="宋体" w:eastAsia="等线"/>
                <w:color w:val="auto"/>
                <w:szCs w:val="21"/>
                <w:highlight w:val="none"/>
              </w:rPr>
            </w:pPr>
            <w:r>
              <w:rPr>
                <w:rFonts w:hint="eastAsia" w:ascii="宋体" w:hAnsi="宋体" w:eastAsia="等线"/>
                <w:color w:val="auto"/>
                <w:szCs w:val="21"/>
                <w:highlight w:val="none"/>
              </w:rPr>
              <w:t>GB/T 9755-2014：容器中状态、施工性、低温稳定性、涂膜外观、干燥时间（表干）、耐沾污性、对比率、耐洗刷性、耐碱性、耐水性、涂层耐温变性、透水性、耐人工气候老化性。</w:t>
            </w:r>
          </w:p>
          <w:p w14:paraId="6FA3CABA">
            <w:pPr>
              <w:widowControl/>
              <w:rPr>
                <w:rFonts w:ascii="宋体" w:hAnsi="宋体" w:eastAsia="等线"/>
                <w:color w:val="auto"/>
                <w:szCs w:val="21"/>
                <w:highlight w:val="none"/>
              </w:rPr>
            </w:pPr>
            <w:r>
              <w:rPr>
                <w:rFonts w:hint="eastAsia" w:ascii="宋体" w:hAnsi="宋体" w:eastAsia="等线"/>
                <w:color w:val="auto"/>
                <w:szCs w:val="21"/>
                <w:highlight w:val="none"/>
              </w:rPr>
              <w:t>JG/T 172-2014：</w:t>
            </w:r>
          </w:p>
          <w:p w14:paraId="12F76C3B">
            <w:pPr>
              <w:widowControl/>
              <w:rPr>
                <w:rFonts w:ascii="宋体" w:hAnsi="宋体" w:eastAsia="等线"/>
                <w:color w:val="auto"/>
                <w:szCs w:val="21"/>
                <w:highlight w:val="none"/>
              </w:rPr>
            </w:pPr>
            <w:r>
              <w:rPr>
                <w:rFonts w:hint="eastAsia" w:ascii="宋体" w:hAnsi="宋体" w:eastAsia="等线"/>
                <w:color w:val="auto"/>
                <w:szCs w:val="21"/>
                <w:highlight w:val="none"/>
              </w:rPr>
              <w:t>容器中状态、施工性、涂膜外观、干燥时间、对比率、低温稳定性、耐碱性、耐水性、耐人工老化性、涂层耐温变性、耐沾污性；</w:t>
            </w:r>
          </w:p>
          <w:p w14:paraId="614FC411">
            <w:pPr>
              <w:widowControl/>
              <w:rPr>
                <w:rFonts w:ascii="宋体" w:hAnsi="宋体" w:eastAsia="等线"/>
                <w:color w:val="auto"/>
                <w:szCs w:val="21"/>
                <w:highlight w:val="none"/>
              </w:rPr>
            </w:pPr>
            <w:r>
              <w:rPr>
                <w:rFonts w:hint="eastAsia" w:ascii="宋体" w:hAnsi="宋体" w:eastAsia="等线"/>
                <w:color w:val="auto"/>
                <w:szCs w:val="21"/>
                <w:highlight w:val="none"/>
              </w:rPr>
              <w:t>GB/T 23995-2009：</w:t>
            </w:r>
          </w:p>
          <w:p w14:paraId="6FC14098">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在容器中状态、细度、干燥时间、贮存稳定性、涂膜外观、光泽、附着力；</w:t>
            </w:r>
          </w:p>
          <w:p w14:paraId="49DC0BE7">
            <w:pPr>
              <w:widowControl/>
              <w:rPr>
                <w:rFonts w:ascii="宋体" w:hAnsi="宋体" w:eastAsia="等线"/>
                <w:color w:val="auto"/>
                <w:szCs w:val="21"/>
                <w:highlight w:val="none"/>
              </w:rPr>
            </w:pPr>
            <w:r>
              <w:rPr>
                <w:rFonts w:hint="eastAsia" w:ascii="宋体" w:hAnsi="宋体" w:eastAsia="等线"/>
                <w:color w:val="auto"/>
                <w:szCs w:val="21"/>
                <w:highlight w:val="none"/>
              </w:rPr>
              <w:t>GB/T 23997-2009：</w:t>
            </w:r>
          </w:p>
          <w:p w14:paraId="1CB6CF9D">
            <w:pPr>
              <w:widowControl/>
              <w:rPr>
                <w:rFonts w:ascii="宋体" w:hAnsi="宋体" w:eastAsia="等线"/>
                <w:color w:val="auto"/>
                <w:szCs w:val="21"/>
                <w:highlight w:val="none"/>
              </w:rPr>
            </w:pPr>
            <w:r>
              <w:rPr>
                <w:rFonts w:hint="eastAsia" w:ascii="宋体" w:hAnsi="宋体" w:eastAsia="等线"/>
                <w:color w:val="auto"/>
                <w:szCs w:val="21"/>
                <w:highlight w:val="none"/>
              </w:rPr>
              <w:t>容器中状态、施工性、干燥时间、贮存稳定性、附着力；</w:t>
            </w:r>
          </w:p>
          <w:p w14:paraId="6CAA3F67">
            <w:pPr>
              <w:widowControl/>
              <w:rPr>
                <w:rFonts w:ascii="宋体" w:hAnsi="宋体" w:eastAsia="等线"/>
                <w:color w:val="auto"/>
                <w:szCs w:val="21"/>
                <w:highlight w:val="none"/>
              </w:rPr>
            </w:pPr>
            <w:r>
              <w:rPr>
                <w:rFonts w:hint="eastAsia" w:ascii="宋体" w:hAnsi="宋体" w:eastAsia="等线"/>
                <w:color w:val="auto"/>
                <w:szCs w:val="21"/>
                <w:highlight w:val="none"/>
              </w:rPr>
              <w:t>GB/T 23998-2009：</w:t>
            </w:r>
          </w:p>
          <w:p w14:paraId="4615420A">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在容器中状态、细度、干燥时间、涂膜外观、附着力；</w:t>
            </w:r>
          </w:p>
          <w:p w14:paraId="7CEC3DCA">
            <w:pPr>
              <w:widowControl/>
              <w:rPr>
                <w:rFonts w:ascii="宋体" w:hAnsi="宋体" w:eastAsia="等线"/>
                <w:color w:val="auto"/>
                <w:szCs w:val="21"/>
                <w:highlight w:val="none"/>
              </w:rPr>
            </w:pPr>
            <w:r>
              <w:rPr>
                <w:rFonts w:hint="eastAsia" w:ascii="宋体" w:hAnsi="宋体" w:eastAsia="等线"/>
                <w:color w:val="auto"/>
                <w:szCs w:val="21"/>
                <w:highlight w:val="none"/>
              </w:rPr>
              <w:t>GB/T 25251-2010：</w:t>
            </w:r>
          </w:p>
          <w:p w14:paraId="2AF279F6">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在容器中状态、不挥发物含量、流出时间、施工性、漆膜外观、干燥时间；</w:t>
            </w:r>
          </w:p>
          <w:p w14:paraId="2FE6DE36">
            <w:pPr>
              <w:widowControl/>
              <w:rPr>
                <w:rFonts w:ascii="宋体" w:hAnsi="宋体" w:eastAsia="等线"/>
                <w:color w:val="auto"/>
                <w:szCs w:val="21"/>
                <w:highlight w:val="none"/>
              </w:rPr>
            </w:pPr>
            <w:r>
              <w:rPr>
                <w:rFonts w:hint="eastAsia" w:ascii="宋体" w:hAnsi="宋体" w:eastAsia="等线"/>
                <w:color w:val="auto"/>
                <w:szCs w:val="21"/>
                <w:highlight w:val="none"/>
              </w:rPr>
              <w:t>GB/T 25252-2010：</w:t>
            </w:r>
          </w:p>
          <w:p w14:paraId="3BDF7A40">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在容器中状态、流出时间、遮盖力、干燥时间、</w:t>
            </w:r>
          </w:p>
          <w:p w14:paraId="751E6F0B">
            <w:pPr>
              <w:widowControl/>
              <w:rPr>
                <w:rFonts w:ascii="宋体" w:hAnsi="宋体" w:eastAsia="等线"/>
                <w:color w:val="auto"/>
                <w:szCs w:val="21"/>
                <w:highlight w:val="none"/>
              </w:rPr>
            </w:pPr>
            <w:r>
              <w:rPr>
                <w:rFonts w:hint="eastAsia" w:ascii="宋体" w:hAnsi="宋体" w:eastAsia="等线"/>
                <w:color w:val="auto"/>
                <w:szCs w:val="21"/>
                <w:highlight w:val="none"/>
              </w:rPr>
              <w:t>涂膜外观、耐冲击性；</w:t>
            </w:r>
          </w:p>
          <w:p w14:paraId="4FCD4383">
            <w:pPr>
              <w:widowControl/>
              <w:rPr>
                <w:rFonts w:ascii="宋体" w:hAnsi="宋体" w:eastAsia="等线"/>
                <w:color w:val="auto"/>
                <w:szCs w:val="21"/>
                <w:highlight w:val="none"/>
              </w:rPr>
            </w:pPr>
            <w:r>
              <w:rPr>
                <w:rFonts w:hint="eastAsia" w:ascii="宋体" w:hAnsi="宋体" w:eastAsia="等线"/>
                <w:color w:val="auto"/>
                <w:szCs w:val="21"/>
                <w:highlight w:val="none"/>
              </w:rPr>
              <w:t>GB/T 25253-2010：</w:t>
            </w:r>
          </w:p>
          <w:p w14:paraId="1AFBC25E">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在容器中状态、流出时间、不挥发物含量、施工性、涂膜外观、干燥时间、附着力；</w:t>
            </w:r>
          </w:p>
          <w:p w14:paraId="62DD0485">
            <w:pPr>
              <w:widowControl/>
              <w:rPr>
                <w:rFonts w:ascii="宋体" w:hAnsi="宋体" w:eastAsia="等线"/>
                <w:color w:val="auto"/>
                <w:szCs w:val="21"/>
                <w:highlight w:val="none"/>
              </w:rPr>
            </w:pPr>
            <w:r>
              <w:rPr>
                <w:rFonts w:hint="eastAsia" w:ascii="宋体" w:hAnsi="宋体" w:eastAsia="等线"/>
                <w:color w:val="auto"/>
                <w:szCs w:val="21"/>
                <w:highlight w:val="none"/>
              </w:rPr>
              <w:t>GB/T 25264-2010：</w:t>
            </w:r>
          </w:p>
          <w:p w14:paraId="15BD3B2D">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在容器中状态、流出时间、不挥发物含量、干燥时间、漆膜外观、划格试验、铅笔硬度、光泽；</w:t>
            </w:r>
          </w:p>
          <w:p w14:paraId="2FCEEDE0">
            <w:pPr>
              <w:widowControl/>
              <w:rPr>
                <w:rFonts w:ascii="宋体" w:hAnsi="宋体" w:eastAsia="等线"/>
                <w:color w:val="auto"/>
                <w:szCs w:val="21"/>
                <w:highlight w:val="none"/>
              </w:rPr>
            </w:pPr>
            <w:r>
              <w:rPr>
                <w:rFonts w:hint="eastAsia" w:ascii="宋体" w:hAnsi="宋体" w:eastAsia="等线"/>
                <w:color w:val="auto"/>
                <w:szCs w:val="21"/>
                <w:highlight w:val="none"/>
              </w:rPr>
              <w:t>HG/T 4340-2012：</w:t>
            </w:r>
          </w:p>
          <w:p w14:paraId="4CD1FF25">
            <w:pPr>
              <w:widowControl/>
              <w:rPr>
                <w:rFonts w:ascii="宋体" w:hAnsi="宋体" w:eastAsia="等线"/>
                <w:color w:val="auto"/>
                <w:szCs w:val="21"/>
                <w:highlight w:val="none"/>
              </w:rPr>
            </w:pPr>
            <w:r>
              <w:rPr>
                <w:rFonts w:hint="eastAsia" w:ascii="宋体" w:hAnsi="宋体" w:eastAsia="等线"/>
                <w:color w:val="auto"/>
                <w:szCs w:val="21"/>
                <w:highlight w:val="none"/>
              </w:rPr>
              <w:t>在容器中状态、不挥发物含量、干燥时间、弯曲试验、附着力；</w:t>
            </w:r>
          </w:p>
          <w:p w14:paraId="5DA7E84E">
            <w:pPr>
              <w:widowControl/>
              <w:rPr>
                <w:rFonts w:ascii="宋体" w:hAnsi="宋体" w:eastAsia="等线"/>
                <w:color w:val="auto"/>
                <w:szCs w:val="21"/>
                <w:highlight w:val="none"/>
              </w:rPr>
            </w:pPr>
            <w:r>
              <w:rPr>
                <w:rFonts w:hint="eastAsia" w:ascii="宋体" w:hAnsi="宋体" w:eastAsia="等线"/>
                <w:color w:val="auto"/>
                <w:szCs w:val="21"/>
                <w:highlight w:val="none"/>
              </w:rPr>
              <w:t>GB 18581-2020：</w:t>
            </w:r>
          </w:p>
          <w:p w14:paraId="7F898BBE">
            <w:pPr>
              <w:widowControl/>
              <w:rPr>
                <w:rFonts w:ascii="宋体" w:hAnsi="宋体" w:eastAsia="等线"/>
                <w:color w:val="auto"/>
                <w:szCs w:val="21"/>
                <w:highlight w:val="none"/>
              </w:rPr>
            </w:pPr>
            <w:r>
              <w:rPr>
                <w:rFonts w:hint="eastAsia" w:ascii="宋体" w:hAnsi="宋体" w:eastAsia="等线"/>
                <w:color w:val="auto"/>
                <w:szCs w:val="21"/>
                <w:highlight w:val="none"/>
              </w:rPr>
              <w:t>挥发性有机化合物、总铅、乙二醇醚及醚酯含量、苯含量、甲苯与二甲苯含量总和、卤代烃总和含量、可溶性重金属镉、可溶性重金属铬、可溶性重金属汞、多环芳烃总和。</w:t>
            </w:r>
          </w:p>
        </w:tc>
      </w:tr>
      <w:tr w14:paraId="25C4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281ACC14">
            <w:pPr>
              <w:jc w:val="center"/>
              <w:rPr>
                <w:rFonts w:ascii="宋体" w:hAnsi="宋体" w:eastAsia="等线"/>
                <w:color w:val="auto"/>
                <w:szCs w:val="21"/>
                <w:highlight w:val="none"/>
              </w:rPr>
            </w:pPr>
            <w:r>
              <w:rPr>
                <w:rFonts w:hint="eastAsia" w:ascii="宋体" w:hAnsi="宋体" w:eastAsia="等线"/>
                <w:color w:val="auto"/>
                <w:szCs w:val="21"/>
                <w:highlight w:val="none"/>
              </w:rPr>
              <w:t>12</w:t>
            </w:r>
          </w:p>
        </w:tc>
        <w:tc>
          <w:tcPr>
            <w:tcW w:w="1559" w:type="dxa"/>
            <w:tcBorders>
              <w:top w:val="single" w:color="auto" w:sz="4" w:space="0"/>
              <w:left w:val="single" w:color="auto" w:sz="4" w:space="0"/>
              <w:bottom w:val="single" w:color="auto" w:sz="4" w:space="0"/>
              <w:right w:val="single" w:color="auto" w:sz="4" w:space="0"/>
            </w:tcBorders>
            <w:vAlign w:val="center"/>
          </w:tcPr>
          <w:p w14:paraId="5864BB3D">
            <w:pPr>
              <w:widowControl/>
              <w:jc w:val="center"/>
              <w:rPr>
                <w:color w:val="auto"/>
                <w:highlight w:val="none"/>
              </w:rPr>
            </w:pPr>
            <w:r>
              <w:rPr>
                <w:color w:val="auto"/>
                <w:highlight w:val="none"/>
              </w:rPr>
              <w:t>陶瓷砖</w:t>
            </w:r>
          </w:p>
        </w:tc>
        <w:tc>
          <w:tcPr>
            <w:tcW w:w="1265" w:type="dxa"/>
            <w:tcBorders>
              <w:top w:val="single" w:color="auto" w:sz="4" w:space="0"/>
              <w:left w:val="single" w:color="auto" w:sz="4" w:space="0"/>
              <w:bottom w:val="single" w:color="auto" w:sz="4" w:space="0"/>
              <w:right w:val="single" w:color="auto" w:sz="4" w:space="0"/>
            </w:tcBorders>
            <w:vAlign w:val="center"/>
          </w:tcPr>
          <w:p w14:paraId="62B0BCCF">
            <w:pPr>
              <w:widowControl/>
              <w:jc w:val="center"/>
              <w:rPr>
                <w:rFonts w:ascii="宋体" w:hAnsi="宋体" w:eastAsia="等线"/>
                <w:color w:val="auto"/>
                <w:szCs w:val="21"/>
                <w:highlight w:val="none"/>
              </w:rPr>
            </w:pPr>
            <w:r>
              <w:rPr>
                <w:rFonts w:hint="eastAsia" w:ascii="宋体" w:hAnsi="宋体" w:eastAsia="等线"/>
                <w:color w:val="auto"/>
                <w:szCs w:val="21"/>
                <w:highlight w:val="none"/>
              </w:rPr>
              <w:t>4500</w:t>
            </w:r>
          </w:p>
        </w:tc>
        <w:tc>
          <w:tcPr>
            <w:tcW w:w="1577" w:type="dxa"/>
            <w:tcBorders>
              <w:top w:val="single" w:color="auto" w:sz="4" w:space="0"/>
              <w:left w:val="single" w:color="auto" w:sz="4" w:space="0"/>
              <w:bottom w:val="single" w:color="auto" w:sz="4" w:space="0"/>
              <w:right w:val="single" w:color="auto" w:sz="4" w:space="0"/>
            </w:tcBorders>
            <w:vAlign w:val="center"/>
          </w:tcPr>
          <w:p w14:paraId="7E1436A5">
            <w:pPr>
              <w:widowControl/>
              <w:rPr>
                <w:rFonts w:ascii="宋体" w:hAnsi="宋体" w:eastAsia="等线"/>
                <w:color w:val="auto"/>
                <w:szCs w:val="21"/>
                <w:highlight w:val="none"/>
              </w:rPr>
            </w:pPr>
            <w:r>
              <w:rPr>
                <w:rFonts w:hint="eastAsia" w:ascii="宋体" w:hAnsi="宋体" w:eastAsia="等线"/>
                <w:color w:val="auto"/>
                <w:szCs w:val="21"/>
                <w:highlight w:val="none"/>
              </w:rPr>
              <w:t>GB/T</w:t>
            </w:r>
          </w:p>
          <w:p w14:paraId="7D94681D">
            <w:pPr>
              <w:widowControl/>
              <w:rPr>
                <w:rFonts w:ascii="宋体" w:hAnsi="宋体" w:eastAsia="等线"/>
                <w:color w:val="auto"/>
                <w:szCs w:val="21"/>
                <w:highlight w:val="none"/>
              </w:rPr>
            </w:pPr>
            <w:r>
              <w:rPr>
                <w:rFonts w:hint="eastAsia" w:ascii="宋体" w:hAnsi="宋体" w:eastAsia="等线"/>
                <w:color w:val="auto"/>
                <w:szCs w:val="21"/>
                <w:highlight w:val="none"/>
              </w:rPr>
              <w:t>4100-2015</w:t>
            </w:r>
          </w:p>
          <w:p w14:paraId="34E792AB">
            <w:pPr>
              <w:widowControl/>
              <w:rPr>
                <w:rFonts w:ascii="宋体" w:hAnsi="宋体" w:eastAsia="等线"/>
                <w:color w:val="auto"/>
                <w:szCs w:val="21"/>
                <w:highlight w:val="none"/>
              </w:rPr>
            </w:pPr>
            <w:r>
              <w:rPr>
                <w:rFonts w:hint="eastAsia" w:ascii="宋体" w:hAnsi="宋体" w:eastAsia="等线"/>
                <w:color w:val="auto"/>
                <w:szCs w:val="21"/>
                <w:highlight w:val="none"/>
              </w:rPr>
              <w:t>GB 6566-2010</w:t>
            </w:r>
          </w:p>
        </w:tc>
        <w:tc>
          <w:tcPr>
            <w:tcW w:w="3962" w:type="dxa"/>
            <w:tcBorders>
              <w:top w:val="single" w:color="auto" w:sz="4" w:space="0"/>
              <w:left w:val="single" w:color="auto" w:sz="4" w:space="0"/>
              <w:bottom w:val="single" w:color="auto" w:sz="4" w:space="0"/>
              <w:right w:val="single" w:color="auto" w:sz="4" w:space="0"/>
            </w:tcBorders>
            <w:vAlign w:val="center"/>
          </w:tcPr>
          <w:p w14:paraId="73434F1D">
            <w:pPr>
              <w:widowControl/>
              <w:rPr>
                <w:rFonts w:ascii="宋体" w:hAnsi="宋体" w:eastAsia="等线"/>
                <w:color w:val="auto"/>
                <w:szCs w:val="21"/>
                <w:highlight w:val="none"/>
              </w:rPr>
            </w:pPr>
            <w:r>
              <w:rPr>
                <w:rFonts w:hint="eastAsia" w:ascii="宋体" w:hAnsi="宋体" w:eastAsia="等线"/>
                <w:color w:val="auto"/>
                <w:szCs w:val="21"/>
                <w:highlight w:val="none"/>
              </w:rPr>
              <w:t>尺寸和表面质量、吸水率、断裂模数和破坏强度、无釉砖耐磨深度（无釉地砖耐磨损体积）、有釉砖表面耐磨性（有釉地砖表面耐磨性）、抗热震性、有釉砖抗釉裂性、抗冻性、放射性核素限量</w:t>
            </w:r>
          </w:p>
        </w:tc>
      </w:tr>
      <w:tr w14:paraId="1344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4049F6F">
            <w:pPr>
              <w:jc w:val="center"/>
              <w:rPr>
                <w:rFonts w:ascii="宋体" w:hAnsi="宋体" w:eastAsia="等线"/>
                <w:color w:val="auto"/>
                <w:szCs w:val="21"/>
                <w:highlight w:val="none"/>
              </w:rPr>
            </w:pPr>
            <w:r>
              <w:rPr>
                <w:rFonts w:hint="eastAsia" w:ascii="宋体" w:hAnsi="宋体" w:eastAsia="等线"/>
                <w:color w:val="auto"/>
                <w:szCs w:val="21"/>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14:paraId="39FC48C9">
            <w:pPr>
              <w:widowControl/>
              <w:jc w:val="center"/>
              <w:rPr>
                <w:color w:val="auto"/>
                <w:highlight w:val="none"/>
              </w:rPr>
            </w:pPr>
            <w:r>
              <w:rPr>
                <w:color w:val="auto"/>
                <w:highlight w:val="none"/>
              </w:rPr>
              <w:t>管件管材</w:t>
            </w:r>
          </w:p>
        </w:tc>
        <w:tc>
          <w:tcPr>
            <w:tcW w:w="1265" w:type="dxa"/>
            <w:tcBorders>
              <w:top w:val="single" w:color="auto" w:sz="4" w:space="0"/>
              <w:left w:val="single" w:color="auto" w:sz="4" w:space="0"/>
              <w:bottom w:val="single" w:color="auto" w:sz="4" w:space="0"/>
              <w:right w:val="single" w:color="auto" w:sz="4" w:space="0"/>
            </w:tcBorders>
            <w:vAlign w:val="center"/>
          </w:tcPr>
          <w:p w14:paraId="731C4B8F">
            <w:pPr>
              <w:widowControl/>
              <w:jc w:val="center"/>
              <w:rPr>
                <w:rFonts w:ascii="宋体" w:hAnsi="宋体" w:eastAsia="等线"/>
                <w:color w:val="auto"/>
                <w:szCs w:val="21"/>
                <w:highlight w:val="none"/>
              </w:rPr>
            </w:pPr>
            <w:r>
              <w:rPr>
                <w:rFonts w:hint="eastAsia" w:ascii="宋体" w:hAnsi="宋体" w:eastAsia="等线"/>
                <w:color w:val="auto"/>
                <w:szCs w:val="21"/>
                <w:highlight w:val="none"/>
              </w:rPr>
              <w:t>3000</w:t>
            </w:r>
          </w:p>
        </w:tc>
        <w:tc>
          <w:tcPr>
            <w:tcW w:w="1577" w:type="dxa"/>
            <w:tcBorders>
              <w:top w:val="single" w:color="auto" w:sz="4" w:space="0"/>
              <w:left w:val="single" w:color="auto" w:sz="4" w:space="0"/>
              <w:bottom w:val="single" w:color="auto" w:sz="4" w:space="0"/>
              <w:right w:val="single" w:color="auto" w:sz="4" w:space="0"/>
            </w:tcBorders>
            <w:vAlign w:val="center"/>
          </w:tcPr>
          <w:p w14:paraId="38301888">
            <w:pPr>
              <w:widowControl/>
              <w:rPr>
                <w:rFonts w:ascii="宋体" w:hAnsi="宋体" w:eastAsia="等线"/>
                <w:color w:val="auto"/>
                <w:szCs w:val="21"/>
                <w:highlight w:val="none"/>
              </w:rPr>
            </w:pPr>
            <w:r>
              <w:rPr>
                <w:rFonts w:hint="eastAsia" w:ascii="宋体" w:hAnsi="宋体" w:eastAsia="等线"/>
                <w:color w:val="auto"/>
                <w:szCs w:val="21"/>
                <w:highlight w:val="none"/>
              </w:rPr>
              <w:t>GB/T 13663.3-2018、</w:t>
            </w:r>
          </w:p>
          <w:p w14:paraId="0AA33C96">
            <w:pPr>
              <w:widowControl/>
              <w:rPr>
                <w:rFonts w:ascii="宋体" w:hAnsi="宋体" w:eastAsia="等线"/>
                <w:color w:val="auto"/>
                <w:szCs w:val="21"/>
                <w:highlight w:val="none"/>
              </w:rPr>
            </w:pPr>
            <w:r>
              <w:rPr>
                <w:rFonts w:hint="eastAsia" w:ascii="宋体" w:hAnsi="宋体" w:eastAsia="等线"/>
                <w:color w:val="auto"/>
                <w:szCs w:val="21"/>
                <w:highlight w:val="none"/>
              </w:rPr>
              <w:t>GB/T 13663.2-2018</w:t>
            </w:r>
          </w:p>
        </w:tc>
        <w:tc>
          <w:tcPr>
            <w:tcW w:w="3962" w:type="dxa"/>
            <w:tcBorders>
              <w:top w:val="single" w:color="auto" w:sz="4" w:space="0"/>
              <w:left w:val="single" w:color="auto" w:sz="4" w:space="0"/>
              <w:bottom w:val="single" w:color="auto" w:sz="4" w:space="0"/>
              <w:right w:val="single" w:color="auto" w:sz="4" w:space="0"/>
            </w:tcBorders>
            <w:vAlign w:val="center"/>
          </w:tcPr>
          <w:p w14:paraId="5ED2CEA7">
            <w:pPr>
              <w:widowControl/>
              <w:rPr>
                <w:rFonts w:ascii="宋体" w:hAnsi="宋体" w:eastAsia="等线"/>
                <w:color w:val="auto"/>
                <w:szCs w:val="21"/>
                <w:highlight w:val="none"/>
              </w:rPr>
            </w:pPr>
            <w:r>
              <w:rPr>
                <w:rFonts w:hint="eastAsia" w:ascii="宋体" w:hAnsi="宋体" w:eastAsia="等线"/>
                <w:color w:val="auto"/>
                <w:szCs w:val="21"/>
                <w:highlight w:val="none"/>
              </w:rPr>
              <w:t>GB/T 13663.3-2018管件：标志、外观、颜色、几何尺寸（壁厚、熔接端平均外径、不圆度、最小通径、常规管状长度、承口平均内径、最大不圆度、最小通径、承口参考长度、承口加热长度、管材插入深度）、静液压强度（20℃，100h）、氧化诱导时间、灰分、镉、铅、高锰酸钾消耗量；</w:t>
            </w:r>
          </w:p>
          <w:p w14:paraId="447391B6">
            <w:pPr>
              <w:widowControl/>
              <w:rPr>
                <w:rFonts w:ascii="宋体" w:hAnsi="宋体" w:eastAsia="等线"/>
                <w:color w:val="auto"/>
                <w:szCs w:val="21"/>
                <w:highlight w:val="none"/>
              </w:rPr>
            </w:pPr>
            <w:r>
              <w:rPr>
                <w:rFonts w:hint="eastAsia" w:ascii="宋体" w:hAnsi="宋体" w:eastAsia="等线"/>
                <w:color w:val="auto"/>
                <w:szCs w:val="21"/>
                <w:highlight w:val="none"/>
              </w:rPr>
              <w:t>GB/T 13663.2-2018管材：几何尺寸（平均外径、壁厚）、静液压强度（20℃，100h）、氧化诱导时间、纵向回缩率、灰分、断裂伸长率、镉、铅、高锰酸钾消耗量</w:t>
            </w:r>
          </w:p>
        </w:tc>
      </w:tr>
      <w:tr w14:paraId="7417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27785863">
            <w:pPr>
              <w:jc w:val="center"/>
              <w:rPr>
                <w:rFonts w:ascii="宋体" w:hAnsi="宋体" w:eastAsia="等线"/>
                <w:color w:val="auto"/>
                <w:szCs w:val="21"/>
                <w:highlight w:val="none"/>
              </w:rPr>
            </w:pPr>
            <w:r>
              <w:rPr>
                <w:rFonts w:hint="eastAsia" w:ascii="宋体" w:hAnsi="宋体" w:eastAsia="等线"/>
                <w:color w:val="auto"/>
                <w:szCs w:val="21"/>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14:paraId="669C27A6">
            <w:pPr>
              <w:widowControl/>
              <w:jc w:val="center"/>
              <w:rPr>
                <w:color w:val="auto"/>
                <w:highlight w:val="none"/>
              </w:rPr>
            </w:pPr>
            <w:r>
              <w:rPr>
                <w:rFonts w:hint="eastAsia"/>
                <w:color w:val="auto"/>
                <w:highlight w:val="none"/>
              </w:rPr>
              <w:t>湿法硬质纤维板</w:t>
            </w:r>
          </w:p>
        </w:tc>
        <w:tc>
          <w:tcPr>
            <w:tcW w:w="1265" w:type="dxa"/>
            <w:tcBorders>
              <w:top w:val="single" w:color="auto" w:sz="4" w:space="0"/>
              <w:left w:val="single" w:color="auto" w:sz="4" w:space="0"/>
              <w:bottom w:val="single" w:color="auto" w:sz="4" w:space="0"/>
              <w:right w:val="single" w:color="auto" w:sz="4" w:space="0"/>
            </w:tcBorders>
            <w:vAlign w:val="center"/>
          </w:tcPr>
          <w:p w14:paraId="426196E5">
            <w:pPr>
              <w:widowControl/>
              <w:jc w:val="center"/>
              <w:rPr>
                <w:rFonts w:ascii="宋体" w:hAnsi="宋体" w:eastAsia="等线"/>
                <w:color w:val="auto"/>
                <w:szCs w:val="21"/>
                <w:highlight w:val="none"/>
              </w:rPr>
            </w:pPr>
            <w:r>
              <w:rPr>
                <w:rFonts w:hint="eastAsia" w:ascii="宋体" w:hAnsi="宋体"/>
                <w:color w:val="auto"/>
                <w:szCs w:val="21"/>
                <w:highlight w:val="none"/>
                <w:shd w:val="clear" w:color="auto" w:fill="FFFFFF"/>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6337A856">
            <w:pPr>
              <w:widowControl/>
              <w:rPr>
                <w:rFonts w:ascii="宋体" w:hAnsi="宋体" w:eastAsia="等线"/>
                <w:color w:val="auto"/>
                <w:szCs w:val="21"/>
                <w:highlight w:val="none"/>
              </w:rPr>
            </w:pPr>
            <w:r>
              <w:rPr>
                <w:rFonts w:hint="eastAsia" w:ascii="宋体" w:hAnsi="宋体" w:eastAsia="等线"/>
                <w:color w:val="auto"/>
                <w:szCs w:val="21"/>
                <w:highlight w:val="none"/>
              </w:rPr>
              <w:t>GB/T 12626.2-2009</w:t>
            </w:r>
          </w:p>
          <w:p w14:paraId="4D0D0755">
            <w:pPr>
              <w:widowControl/>
              <w:rPr>
                <w:rFonts w:ascii="宋体" w:hAnsi="宋体" w:eastAsia="等线"/>
                <w:color w:val="auto"/>
                <w:szCs w:val="21"/>
                <w:highlight w:val="none"/>
              </w:rPr>
            </w:pPr>
            <w:r>
              <w:rPr>
                <w:rFonts w:hint="eastAsia" w:ascii="宋体" w:hAnsi="宋体" w:eastAsia="等线"/>
                <w:color w:val="auto"/>
                <w:szCs w:val="21"/>
                <w:highlight w:val="none"/>
              </w:rPr>
              <w:t>GB/T 12626.4-2015</w:t>
            </w:r>
          </w:p>
          <w:p w14:paraId="6E7AEDD8">
            <w:pPr>
              <w:widowControl/>
              <w:rPr>
                <w:rFonts w:ascii="宋体" w:hAnsi="宋体" w:eastAsia="等线"/>
                <w:color w:val="auto"/>
                <w:szCs w:val="21"/>
                <w:highlight w:val="none"/>
              </w:rPr>
            </w:pPr>
            <w:r>
              <w:rPr>
                <w:rFonts w:hint="eastAsia" w:ascii="宋体" w:hAnsi="宋体" w:eastAsia="等线"/>
                <w:color w:val="auto"/>
                <w:szCs w:val="21"/>
                <w:highlight w:val="none"/>
              </w:rPr>
              <w:t>GB/T 12626.5-2015</w:t>
            </w:r>
          </w:p>
          <w:p w14:paraId="6BB8B29F">
            <w:pPr>
              <w:widowControl/>
              <w:rPr>
                <w:rFonts w:ascii="宋体" w:hAnsi="宋体" w:eastAsia="等线"/>
                <w:color w:val="auto"/>
                <w:szCs w:val="21"/>
                <w:highlight w:val="none"/>
              </w:rPr>
            </w:pPr>
            <w:r>
              <w:rPr>
                <w:rFonts w:hint="eastAsia" w:ascii="宋体" w:hAnsi="宋体" w:eastAsia="等线"/>
                <w:color w:val="auto"/>
                <w:szCs w:val="21"/>
                <w:highlight w:val="none"/>
              </w:rPr>
              <w:t>GB/T 12626.6-2015</w:t>
            </w:r>
          </w:p>
          <w:p w14:paraId="61C0F2E6">
            <w:pPr>
              <w:widowControl/>
              <w:rPr>
                <w:rFonts w:ascii="宋体" w:hAnsi="宋体" w:eastAsia="等线"/>
                <w:color w:val="auto"/>
                <w:szCs w:val="21"/>
                <w:highlight w:val="none"/>
              </w:rPr>
            </w:pPr>
            <w:r>
              <w:rPr>
                <w:rFonts w:hint="eastAsia" w:ascii="宋体" w:hAnsi="宋体" w:eastAsia="等线"/>
                <w:color w:val="auto"/>
                <w:szCs w:val="21"/>
                <w:highlight w:val="none"/>
              </w:rPr>
              <w:t>GB/T 12626.7-2015</w:t>
            </w:r>
          </w:p>
          <w:p w14:paraId="08B1B4F3">
            <w:pPr>
              <w:widowControl/>
              <w:rPr>
                <w:rFonts w:ascii="宋体" w:hAnsi="宋体" w:eastAsia="等线"/>
                <w:color w:val="auto"/>
                <w:szCs w:val="21"/>
                <w:highlight w:val="none"/>
              </w:rPr>
            </w:pPr>
            <w:r>
              <w:rPr>
                <w:rFonts w:hint="eastAsia" w:ascii="宋体" w:hAnsi="宋体" w:eastAsia="等线"/>
                <w:color w:val="auto"/>
                <w:szCs w:val="21"/>
                <w:highlight w:val="none"/>
              </w:rPr>
              <w:t>GB/T 12626.8-2015</w:t>
            </w:r>
          </w:p>
          <w:p w14:paraId="3EB2A1BB">
            <w:pPr>
              <w:widowControl/>
              <w:rPr>
                <w:rFonts w:ascii="宋体" w:hAnsi="宋体" w:eastAsia="等线"/>
                <w:color w:val="auto"/>
                <w:szCs w:val="21"/>
                <w:highlight w:val="none"/>
              </w:rPr>
            </w:pPr>
            <w:r>
              <w:rPr>
                <w:rFonts w:hint="eastAsia" w:ascii="宋体" w:hAnsi="宋体" w:eastAsia="等线"/>
                <w:color w:val="auto"/>
                <w:szCs w:val="21"/>
                <w:highlight w:val="none"/>
              </w:rPr>
              <w:t>GB/T 12626.9-2015</w:t>
            </w:r>
          </w:p>
        </w:tc>
        <w:tc>
          <w:tcPr>
            <w:tcW w:w="3962" w:type="dxa"/>
            <w:tcBorders>
              <w:top w:val="single" w:color="auto" w:sz="4" w:space="0"/>
              <w:left w:val="single" w:color="auto" w:sz="4" w:space="0"/>
              <w:bottom w:val="single" w:color="auto" w:sz="4" w:space="0"/>
              <w:right w:val="single" w:color="auto" w:sz="4" w:space="0"/>
            </w:tcBorders>
            <w:vAlign w:val="center"/>
          </w:tcPr>
          <w:p w14:paraId="0DB9900D">
            <w:pPr>
              <w:widowControl/>
              <w:rPr>
                <w:rFonts w:ascii="宋体" w:hAnsi="宋体" w:eastAsia="等线"/>
                <w:color w:val="auto"/>
                <w:szCs w:val="21"/>
                <w:highlight w:val="none"/>
              </w:rPr>
            </w:pPr>
            <w:r>
              <w:rPr>
                <w:rFonts w:hint="eastAsia" w:ascii="宋体" w:hAnsi="宋体" w:eastAsia="等线"/>
                <w:color w:val="auto"/>
                <w:szCs w:val="21"/>
                <w:highlight w:val="none"/>
              </w:rPr>
              <w:t>厚度偏差、长度和宽度偏差、垂直度、板内密度偏差、含水率、外观质量、静曲强度、弹性模量、内结合强度、24h吸水厚度膨胀率、防潮性能</w:t>
            </w:r>
          </w:p>
        </w:tc>
      </w:tr>
      <w:tr w14:paraId="6838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57988348">
            <w:pPr>
              <w:jc w:val="center"/>
              <w:rPr>
                <w:rFonts w:ascii="宋体" w:hAnsi="宋体" w:eastAsia="等线"/>
                <w:color w:val="auto"/>
                <w:szCs w:val="21"/>
                <w:highlight w:val="none"/>
              </w:rPr>
            </w:pPr>
            <w:r>
              <w:rPr>
                <w:rFonts w:hint="eastAsia" w:ascii="宋体" w:hAnsi="宋体" w:eastAsia="等线"/>
                <w:color w:val="auto"/>
                <w:szCs w:val="21"/>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14:paraId="6C53606D">
            <w:pPr>
              <w:widowControl/>
              <w:jc w:val="center"/>
              <w:rPr>
                <w:color w:val="auto"/>
                <w:highlight w:val="none"/>
              </w:rPr>
            </w:pPr>
            <w:r>
              <w:rPr>
                <w:rFonts w:hint="eastAsia" w:ascii="宋体" w:hAnsi="宋体"/>
                <w:color w:val="auto"/>
                <w:szCs w:val="21"/>
                <w:highlight w:val="none"/>
              </w:rPr>
              <w:t>浸渍胶膜纸饰面细木工板</w:t>
            </w:r>
          </w:p>
        </w:tc>
        <w:tc>
          <w:tcPr>
            <w:tcW w:w="1265" w:type="dxa"/>
            <w:tcBorders>
              <w:top w:val="single" w:color="auto" w:sz="4" w:space="0"/>
              <w:left w:val="single" w:color="auto" w:sz="4" w:space="0"/>
              <w:bottom w:val="single" w:color="auto" w:sz="4" w:space="0"/>
              <w:right w:val="single" w:color="auto" w:sz="4" w:space="0"/>
            </w:tcBorders>
            <w:vAlign w:val="center"/>
          </w:tcPr>
          <w:p w14:paraId="3D26CCA0">
            <w:pPr>
              <w:widowControl/>
              <w:jc w:val="center"/>
              <w:rPr>
                <w:rFonts w:ascii="宋体" w:hAnsi="宋体" w:eastAsia="等线"/>
                <w:color w:val="auto"/>
                <w:szCs w:val="21"/>
                <w:highlight w:val="none"/>
              </w:rPr>
            </w:pPr>
            <w:r>
              <w:rPr>
                <w:rFonts w:hint="eastAsia" w:ascii="宋体" w:hAnsi="宋体" w:eastAsia="等线"/>
                <w:color w:val="auto"/>
                <w:szCs w:val="21"/>
                <w:highlight w:val="none"/>
              </w:rPr>
              <w:t>5000</w:t>
            </w:r>
          </w:p>
        </w:tc>
        <w:tc>
          <w:tcPr>
            <w:tcW w:w="1577" w:type="dxa"/>
            <w:tcBorders>
              <w:top w:val="single" w:color="auto" w:sz="4" w:space="0"/>
              <w:left w:val="single" w:color="auto" w:sz="4" w:space="0"/>
              <w:bottom w:val="single" w:color="auto" w:sz="4" w:space="0"/>
              <w:right w:val="single" w:color="auto" w:sz="4" w:space="0"/>
            </w:tcBorders>
            <w:vAlign w:val="center"/>
          </w:tcPr>
          <w:p w14:paraId="6D368900">
            <w:pPr>
              <w:widowControl/>
              <w:rPr>
                <w:rFonts w:ascii="宋体" w:hAnsi="宋体" w:eastAsia="等线"/>
                <w:color w:val="auto"/>
                <w:szCs w:val="21"/>
                <w:highlight w:val="none"/>
              </w:rPr>
            </w:pPr>
            <w:r>
              <w:rPr>
                <w:rFonts w:hint="eastAsia" w:ascii="宋体" w:hAnsi="宋体" w:eastAsia="等线"/>
                <w:color w:val="auto"/>
                <w:szCs w:val="21"/>
                <w:highlight w:val="none"/>
              </w:rPr>
              <w:t>GB/T 34722-2017</w:t>
            </w:r>
          </w:p>
        </w:tc>
        <w:tc>
          <w:tcPr>
            <w:tcW w:w="3962" w:type="dxa"/>
            <w:tcBorders>
              <w:top w:val="single" w:color="auto" w:sz="4" w:space="0"/>
              <w:left w:val="single" w:color="auto" w:sz="4" w:space="0"/>
              <w:bottom w:val="single" w:color="auto" w:sz="4" w:space="0"/>
              <w:right w:val="single" w:color="auto" w:sz="4" w:space="0"/>
            </w:tcBorders>
            <w:vAlign w:val="center"/>
          </w:tcPr>
          <w:p w14:paraId="7E955F44">
            <w:pPr>
              <w:widowControl/>
              <w:rPr>
                <w:rFonts w:ascii="宋体" w:hAnsi="宋体" w:eastAsia="等线"/>
                <w:color w:val="auto"/>
                <w:szCs w:val="21"/>
                <w:highlight w:val="none"/>
              </w:rPr>
            </w:pPr>
            <w:r>
              <w:rPr>
                <w:rFonts w:hint="eastAsia" w:ascii="宋体" w:hAnsi="宋体" w:eastAsia="等线"/>
                <w:color w:val="auto"/>
                <w:szCs w:val="21"/>
                <w:highlight w:val="none"/>
              </w:rPr>
              <w:t>含水率、浸渍剥离、横向静曲强度、表面胶合强度、表面耐划痕、表面耐磨、表面耐香烟灼烧、表面耐干热、表面耐污染腐蚀、表面耐冷热循环、表面耐龟裂、表面耐水蒸气、甲醛释放量</w:t>
            </w:r>
          </w:p>
        </w:tc>
      </w:tr>
      <w:tr w14:paraId="54F7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48AC57A">
            <w:pPr>
              <w:jc w:val="center"/>
              <w:rPr>
                <w:rFonts w:ascii="宋体" w:hAnsi="宋体" w:eastAsia="等线"/>
                <w:color w:val="auto"/>
                <w:szCs w:val="21"/>
                <w:highlight w:val="none"/>
              </w:rPr>
            </w:pPr>
            <w:r>
              <w:rPr>
                <w:rFonts w:hint="eastAsia" w:ascii="宋体" w:hAnsi="宋体" w:eastAsia="等线"/>
                <w:color w:val="auto"/>
                <w:szCs w:val="21"/>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14:paraId="4293A1C6">
            <w:pPr>
              <w:widowControl/>
              <w:jc w:val="center"/>
              <w:rPr>
                <w:color w:val="auto"/>
                <w:highlight w:val="none"/>
              </w:rPr>
            </w:pPr>
            <w:r>
              <w:rPr>
                <w:rFonts w:hint="eastAsia"/>
                <w:color w:val="auto"/>
                <w:highlight w:val="none"/>
              </w:rPr>
              <w:t>不锈钢餐具不锈钢保温容器</w:t>
            </w:r>
          </w:p>
        </w:tc>
        <w:tc>
          <w:tcPr>
            <w:tcW w:w="1265" w:type="dxa"/>
            <w:tcBorders>
              <w:top w:val="single" w:color="auto" w:sz="4" w:space="0"/>
              <w:left w:val="single" w:color="auto" w:sz="4" w:space="0"/>
              <w:bottom w:val="single" w:color="auto" w:sz="4" w:space="0"/>
              <w:right w:val="single" w:color="auto" w:sz="4" w:space="0"/>
            </w:tcBorders>
            <w:vAlign w:val="center"/>
          </w:tcPr>
          <w:p w14:paraId="6E2115AD">
            <w:pPr>
              <w:widowControl/>
              <w:jc w:val="center"/>
              <w:rPr>
                <w:rFonts w:ascii="宋体" w:hAnsi="宋体" w:eastAsia="等线"/>
                <w:color w:val="auto"/>
                <w:szCs w:val="21"/>
                <w:highlight w:val="none"/>
              </w:rPr>
            </w:pPr>
            <w:r>
              <w:rPr>
                <w:rFonts w:hint="eastAsia"/>
                <w:color w:val="auto"/>
                <w:sz w:val="22"/>
                <w:highlight w:val="none"/>
              </w:rPr>
              <w:t>2850</w:t>
            </w:r>
          </w:p>
        </w:tc>
        <w:tc>
          <w:tcPr>
            <w:tcW w:w="1577" w:type="dxa"/>
            <w:tcBorders>
              <w:top w:val="single" w:color="auto" w:sz="4" w:space="0"/>
              <w:left w:val="single" w:color="auto" w:sz="4" w:space="0"/>
              <w:bottom w:val="single" w:color="auto" w:sz="4" w:space="0"/>
              <w:right w:val="single" w:color="auto" w:sz="4" w:space="0"/>
            </w:tcBorders>
            <w:vAlign w:val="center"/>
          </w:tcPr>
          <w:p w14:paraId="5F19E62C">
            <w:pPr>
              <w:widowControl/>
              <w:rPr>
                <w:rFonts w:ascii="宋体" w:hAnsi="宋体" w:eastAsia="等线"/>
                <w:color w:val="auto"/>
                <w:szCs w:val="21"/>
                <w:highlight w:val="none"/>
              </w:rPr>
            </w:pPr>
            <w:r>
              <w:rPr>
                <w:rFonts w:hint="eastAsia" w:ascii="宋体" w:hAnsi="宋体" w:eastAsia="等线"/>
                <w:color w:val="auto"/>
                <w:szCs w:val="21"/>
                <w:highlight w:val="none"/>
              </w:rPr>
              <w:t>GB 4806.9-2023</w:t>
            </w:r>
          </w:p>
          <w:p w14:paraId="1E076F00">
            <w:pPr>
              <w:widowControl/>
              <w:rPr>
                <w:rFonts w:ascii="宋体" w:hAnsi="宋体" w:eastAsia="等线"/>
                <w:color w:val="auto"/>
                <w:szCs w:val="21"/>
                <w:highlight w:val="none"/>
              </w:rPr>
            </w:pPr>
            <w:r>
              <w:rPr>
                <w:rFonts w:hint="eastAsia" w:ascii="宋体" w:hAnsi="宋体" w:eastAsia="等线"/>
                <w:color w:val="auto"/>
                <w:szCs w:val="21"/>
                <w:highlight w:val="none"/>
              </w:rPr>
              <w:t>GB 31604.49-2023</w:t>
            </w:r>
          </w:p>
        </w:tc>
        <w:tc>
          <w:tcPr>
            <w:tcW w:w="3962" w:type="dxa"/>
            <w:tcBorders>
              <w:top w:val="single" w:color="auto" w:sz="4" w:space="0"/>
              <w:left w:val="single" w:color="auto" w:sz="4" w:space="0"/>
              <w:bottom w:val="single" w:color="auto" w:sz="4" w:space="0"/>
              <w:right w:val="single" w:color="auto" w:sz="4" w:space="0"/>
            </w:tcBorders>
            <w:vAlign w:val="center"/>
          </w:tcPr>
          <w:p w14:paraId="44656740">
            <w:pPr>
              <w:widowControl/>
              <w:rPr>
                <w:rFonts w:ascii="宋体" w:hAnsi="宋体" w:eastAsia="等线"/>
                <w:color w:val="auto"/>
                <w:szCs w:val="21"/>
                <w:highlight w:val="none"/>
              </w:rPr>
            </w:pPr>
          </w:p>
          <w:p w14:paraId="180216DA">
            <w:pPr>
              <w:widowControl/>
              <w:rPr>
                <w:rFonts w:ascii="宋体" w:hAnsi="宋体" w:eastAsia="等线"/>
                <w:color w:val="auto"/>
                <w:szCs w:val="21"/>
                <w:highlight w:val="none"/>
              </w:rPr>
            </w:pPr>
            <w:r>
              <w:rPr>
                <w:rFonts w:hint="eastAsia" w:ascii="宋体" w:hAnsi="宋体" w:eastAsia="等线"/>
                <w:color w:val="auto"/>
                <w:szCs w:val="21"/>
                <w:highlight w:val="none"/>
              </w:rPr>
              <w:t>理化指标：（砷As、镉Cd、铅Pb、锑Sb 、锰Mn 、铬Cr、镍Ni、钼Mo）迁移量</w:t>
            </w:r>
          </w:p>
        </w:tc>
      </w:tr>
      <w:tr w14:paraId="53DF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tcBorders>
              <w:top w:val="single" w:color="auto" w:sz="4" w:space="0"/>
              <w:left w:val="single" w:color="auto" w:sz="4" w:space="0"/>
              <w:bottom w:val="single" w:color="auto" w:sz="4" w:space="0"/>
              <w:right w:val="single" w:color="auto" w:sz="4" w:space="0"/>
            </w:tcBorders>
            <w:vAlign w:val="center"/>
          </w:tcPr>
          <w:p w14:paraId="28D50BB1">
            <w:pPr>
              <w:jc w:val="center"/>
              <w:rPr>
                <w:rFonts w:ascii="宋体" w:hAnsi="宋体" w:eastAsia="等线"/>
                <w:color w:val="auto"/>
                <w:szCs w:val="21"/>
                <w:highlight w:val="none"/>
              </w:rPr>
            </w:pPr>
            <w:r>
              <w:rPr>
                <w:rFonts w:hint="eastAsia" w:ascii="宋体" w:hAnsi="宋体" w:eastAsia="等线"/>
                <w:color w:val="auto"/>
                <w:szCs w:val="21"/>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14:paraId="606C9514">
            <w:pPr>
              <w:widowControl/>
              <w:jc w:val="center"/>
              <w:rPr>
                <w:color w:val="auto"/>
                <w:highlight w:val="none"/>
              </w:rPr>
            </w:pPr>
            <w:r>
              <w:rPr>
                <w:rFonts w:hint="eastAsia"/>
                <w:color w:val="auto"/>
                <w:highlight w:val="none"/>
              </w:rPr>
              <w:t>口罩</w:t>
            </w:r>
          </w:p>
        </w:tc>
        <w:tc>
          <w:tcPr>
            <w:tcW w:w="1265" w:type="dxa"/>
            <w:tcBorders>
              <w:top w:val="single" w:color="auto" w:sz="4" w:space="0"/>
              <w:left w:val="single" w:color="auto" w:sz="4" w:space="0"/>
              <w:bottom w:val="single" w:color="auto" w:sz="4" w:space="0"/>
              <w:right w:val="single" w:color="auto" w:sz="4" w:space="0"/>
            </w:tcBorders>
            <w:vAlign w:val="center"/>
          </w:tcPr>
          <w:p w14:paraId="3AE46886">
            <w:pPr>
              <w:widowControl/>
              <w:jc w:val="center"/>
              <w:rPr>
                <w:rFonts w:ascii="宋体" w:hAnsi="宋体" w:eastAsia="等线"/>
                <w:color w:val="auto"/>
                <w:szCs w:val="21"/>
                <w:highlight w:val="none"/>
              </w:rPr>
            </w:pPr>
            <w:r>
              <w:rPr>
                <w:rFonts w:hint="eastAsia" w:ascii="宋体" w:hAnsi="宋体" w:eastAsia="等线"/>
                <w:color w:val="auto"/>
                <w:szCs w:val="21"/>
                <w:highlight w:val="none"/>
              </w:rPr>
              <w:t>4000</w:t>
            </w:r>
          </w:p>
        </w:tc>
        <w:tc>
          <w:tcPr>
            <w:tcW w:w="1577" w:type="dxa"/>
            <w:tcBorders>
              <w:top w:val="single" w:color="auto" w:sz="4" w:space="0"/>
              <w:left w:val="single" w:color="auto" w:sz="4" w:space="0"/>
              <w:bottom w:val="single" w:color="auto" w:sz="4" w:space="0"/>
              <w:right w:val="single" w:color="auto" w:sz="4" w:space="0"/>
            </w:tcBorders>
            <w:vAlign w:val="center"/>
          </w:tcPr>
          <w:p w14:paraId="45BB69A1">
            <w:pPr>
              <w:widowControl/>
              <w:rPr>
                <w:rFonts w:ascii="宋体" w:hAnsi="宋体" w:eastAsia="等线"/>
                <w:color w:val="auto"/>
                <w:szCs w:val="21"/>
                <w:highlight w:val="none"/>
              </w:rPr>
            </w:pPr>
            <w:r>
              <w:rPr>
                <w:rFonts w:hint="eastAsia" w:ascii="宋体" w:hAnsi="宋体" w:eastAsia="等线"/>
                <w:color w:val="auto"/>
                <w:szCs w:val="21"/>
                <w:highlight w:val="none"/>
              </w:rPr>
              <w:t>GB/T 32610-2016</w:t>
            </w:r>
          </w:p>
          <w:p w14:paraId="53D8B080">
            <w:pPr>
              <w:widowControl/>
              <w:rPr>
                <w:rFonts w:ascii="宋体" w:hAnsi="宋体" w:eastAsia="等线"/>
                <w:color w:val="auto"/>
                <w:szCs w:val="21"/>
                <w:highlight w:val="none"/>
              </w:rPr>
            </w:pPr>
            <w:r>
              <w:rPr>
                <w:rFonts w:hint="eastAsia" w:ascii="宋体" w:hAnsi="宋体" w:eastAsia="等线"/>
                <w:color w:val="auto"/>
                <w:szCs w:val="21"/>
                <w:highlight w:val="none"/>
              </w:rPr>
              <w:t>GB 2626-2019</w:t>
            </w:r>
          </w:p>
        </w:tc>
        <w:tc>
          <w:tcPr>
            <w:tcW w:w="3962" w:type="dxa"/>
            <w:tcBorders>
              <w:top w:val="single" w:color="auto" w:sz="4" w:space="0"/>
              <w:left w:val="single" w:color="auto" w:sz="4" w:space="0"/>
              <w:bottom w:val="single" w:color="auto" w:sz="4" w:space="0"/>
              <w:right w:val="single" w:color="auto" w:sz="4" w:space="0"/>
            </w:tcBorders>
            <w:vAlign w:val="center"/>
          </w:tcPr>
          <w:p w14:paraId="49419459">
            <w:pPr>
              <w:widowControl/>
              <w:rPr>
                <w:rFonts w:ascii="宋体" w:hAnsi="宋体" w:eastAsia="等线"/>
                <w:color w:val="auto"/>
                <w:szCs w:val="21"/>
                <w:highlight w:val="none"/>
              </w:rPr>
            </w:pPr>
            <w:r>
              <w:rPr>
                <w:rFonts w:hint="eastAsia" w:ascii="宋体" w:hAnsi="宋体" w:eastAsia="等线"/>
                <w:color w:val="auto"/>
                <w:szCs w:val="21"/>
                <w:highlight w:val="none"/>
              </w:rPr>
              <w:t>GB/T 32610-2016：标识、外观检测、耐摩擦色牢度、甲醛含量、pH值、可分解致癌芳香胺染料、环氧乙烷残留量、吸气阻力、呼气阻力、口罩带及口罩带与口罩体的连接处断裂强力、微生物、过滤效率、视野、防护效果</w:t>
            </w:r>
          </w:p>
          <w:p w14:paraId="2889A1EC">
            <w:pPr>
              <w:widowControl/>
              <w:rPr>
                <w:rFonts w:ascii="宋体" w:hAnsi="宋体" w:eastAsia="等线"/>
                <w:color w:val="auto"/>
                <w:szCs w:val="21"/>
                <w:highlight w:val="none"/>
              </w:rPr>
            </w:pPr>
            <w:r>
              <w:rPr>
                <w:rFonts w:hint="eastAsia" w:ascii="宋体" w:hAnsi="宋体" w:eastAsia="等线"/>
                <w:color w:val="auto"/>
                <w:szCs w:val="21"/>
                <w:highlight w:val="none"/>
              </w:rPr>
              <w:t>GB 2626-2019：过滤效率、吸气阻力、呼气阻力、头带、可燃性、标识、视野</w:t>
            </w:r>
          </w:p>
        </w:tc>
      </w:tr>
      <w:tr w14:paraId="1ECA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9A6C333">
            <w:pPr>
              <w:jc w:val="center"/>
              <w:rPr>
                <w:rFonts w:ascii="宋体" w:hAnsi="宋体" w:eastAsia="等线"/>
                <w:color w:val="auto"/>
                <w:szCs w:val="21"/>
                <w:highlight w:val="none"/>
              </w:rPr>
            </w:pPr>
            <w:r>
              <w:rPr>
                <w:rFonts w:hint="eastAsia" w:ascii="宋体" w:hAnsi="宋体" w:eastAsia="等线"/>
                <w:color w:val="auto"/>
                <w:szCs w:val="21"/>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14:paraId="2883FF0F">
            <w:pPr>
              <w:widowControl/>
              <w:jc w:val="center"/>
              <w:rPr>
                <w:color w:val="auto"/>
                <w:highlight w:val="none"/>
              </w:rPr>
            </w:pPr>
            <w:r>
              <w:rPr>
                <w:rFonts w:hint="eastAsia"/>
                <w:color w:val="auto"/>
                <w:highlight w:val="none"/>
              </w:rPr>
              <w:t>儿童服装、床上用品</w:t>
            </w:r>
          </w:p>
        </w:tc>
        <w:tc>
          <w:tcPr>
            <w:tcW w:w="1265" w:type="dxa"/>
            <w:tcBorders>
              <w:top w:val="single" w:color="auto" w:sz="4" w:space="0"/>
              <w:left w:val="single" w:color="auto" w:sz="4" w:space="0"/>
              <w:bottom w:val="single" w:color="auto" w:sz="4" w:space="0"/>
              <w:right w:val="single" w:color="auto" w:sz="4" w:space="0"/>
            </w:tcBorders>
            <w:vAlign w:val="center"/>
          </w:tcPr>
          <w:p w14:paraId="7A2EA439">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1BDEB2A5">
            <w:pPr>
              <w:widowControl/>
              <w:rPr>
                <w:rFonts w:ascii="宋体" w:hAnsi="宋体" w:eastAsia="等线"/>
                <w:color w:val="auto"/>
                <w:szCs w:val="21"/>
                <w:highlight w:val="none"/>
              </w:rPr>
            </w:pPr>
            <w:r>
              <w:rPr>
                <w:rFonts w:hint="eastAsia" w:ascii="宋体" w:hAnsi="宋体" w:eastAsia="等线"/>
                <w:color w:val="auto"/>
                <w:szCs w:val="21"/>
                <w:highlight w:val="none"/>
              </w:rPr>
              <w:t>GB/T 31900-2015、</w:t>
            </w:r>
          </w:p>
          <w:p w14:paraId="2D631EAD">
            <w:pPr>
              <w:widowControl/>
              <w:rPr>
                <w:rFonts w:ascii="宋体" w:hAnsi="宋体" w:eastAsia="等线"/>
                <w:color w:val="auto"/>
                <w:szCs w:val="21"/>
                <w:highlight w:val="none"/>
              </w:rPr>
            </w:pPr>
            <w:r>
              <w:rPr>
                <w:rFonts w:hint="eastAsia" w:ascii="宋体" w:hAnsi="宋体" w:eastAsia="等线" w:cs="Times New Roman"/>
                <w:color w:val="auto"/>
                <w:szCs w:val="21"/>
                <w:highlight w:val="none"/>
              </w:rPr>
              <w:t>GB 31701-2015</w:t>
            </w:r>
          </w:p>
          <w:p w14:paraId="0E327478">
            <w:pPr>
              <w:widowControl/>
              <w:rPr>
                <w:rFonts w:ascii="宋体" w:hAnsi="宋体" w:eastAsia="等线"/>
                <w:color w:val="auto"/>
                <w:szCs w:val="21"/>
                <w:highlight w:val="none"/>
              </w:rPr>
            </w:pPr>
            <w:r>
              <w:rPr>
                <w:rFonts w:hint="eastAsia" w:ascii="宋体" w:hAnsi="宋体" w:eastAsia="等线"/>
                <w:color w:val="auto"/>
                <w:szCs w:val="21"/>
                <w:highlight w:val="none"/>
              </w:rPr>
              <w:t>FZ/T 73025-2019、</w:t>
            </w:r>
          </w:p>
          <w:p w14:paraId="1B95B205">
            <w:pPr>
              <w:widowControl/>
              <w:rPr>
                <w:rFonts w:ascii="宋体" w:hAnsi="宋体" w:eastAsia="等线"/>
                <w:color w:val="auto"/>
                <w:szCs w:val="21"/>
                <w:highlight w:val="none"/>
              </w:rPr>
            </w:pPr>
            <w:r>
              <w:rPr>
                <w:rFonts w:hint="eastAsia" w:ascii="宋体" w:hAnsi="宋体" w:eastAsia="等线"/>
                <w:color w:val="auto"/>
                <w:szCs w:val="21"/>
                <w:highlight w:val="none"/>
              </w:rPr>
              <w:t>GB/T 22796-2021</w:t>
            </w:r>
          </w:p>
        </w:tc>
        <w:tc>
          <w:tcPr>
            <w:tcW w:w="3962" w:type="dxa"/>
            <w:tcBorders>
              <w:top w:val="single" w:color="auto" w:sz="4" w:space="0"/>
              <w:left w:val="single" w:color="auto" w:sz="4" w:space="0"/>
              <w:bottom w:val="single" w:color="auto" w:sz="4" w:space="0"/>
              <w:right w:val="single" w:color="auto" w:sz="4" w:space="0"/>
            </w:tcBorders>
            <w:vAlign w:val="center"/>
          </w:tcPr>
          <w:p w14:paraId="22276D58">
            <w:pPr>
              <w:widowControl/>
              <w:rPr>
                <w:rFonts w:ascii="宋体" w:hAnsi="宋体" w:eastAsia="等线" w:cs="Times New Roman"/>
                <w:color w:val="auto"/>
                <w:szCs w:val="21"/>
                <w:highlight w:val="none"/>
              </w:rPr>
            </w:pPr>
            <w:r>
              <w:rPr>
                <w:rFonts w:hint="eastAsia" w:ascii="宋体" w:hAnsi="宋体" w:eastAsia="等线"/>
                <w:color w:val="auto"/>
                <w:szCs w:val="21"/>
                <w:highlight w:val="none"/>
              </w:rPr>
              <w:t>儿童服装：GB/T 31900-2015：耐皂洗色牢度、耐汗渍色牢度、耐水色牢度、耐摩擦色牢度、耐光色牢度、纤维含量、甲醛、pH值、异味、可分解致癌芳香胺染料</w:t>
            </w:r>
            <w:r>
              <w:rPr>
                <w:rFonts w:hint="eastAsia" w:ascii="宋体" w:hAnsi="宋体" w:eastAsia="等线" w:cs="Times New Roman"/>
                <w:color w:val="auto"/>
                <w:szCs w:val="21"/>
                <w:highlight w:val="none"/>
              </w:rPr>
              <w:t>、其他理化性能项目；</w:t>
            </w:r>
          </w:p>
          <w:p w14:paraId="204CF8F5">
            <w:pPr>
              <w:widowControl/>
              <w:rPr>
                <w:rFonts w:ascii="宋体" w:hAnsi="宋体" w:eastAsia="等线"/>
                <w:color w:val="auto"/>
                <w:szCs w:val="21"/>
                <w:highlight w:val="none"/>
              </w:rPr>
            </w:pPr>
            <w:r>
              <w:rPr>
                <w:rFonts w:hint="eastAsia" w:ascii="宋体" w:hAnsi="宋体" w:eastAsia="等线" w:cs="Times New Roman"/>
                <w:color w:val="auto"/>
                <w:szCs w:val="21"/>
                <w:highlight w:val="none"/>
              </w:rPr>
              <w:t>FZ/T 73025-2019：</w:t>
            </w:r>
            <w:r>
              <w:rPr>
                <w:rFonts w:hint="eastAsia" w:ascii="宋体" w:hAnsi="宋体" w:eastAsia="等线"/>
                <w:color w:val="auto"/>
                <w:szCs w:val="21"/>
                <w:highlight w:val="none"/>
              </w:rPr>
              <w:t>衣带抗拉强力、耐皂洗色牢度、耐汗渍色牢度、耐水色牢度、耐唾液色牢度、耐摩擦色牢度、拼接互染程度、纤维含量、甲醛含量、pH值、异味、可分解致癌芳香胺染料、残留金属针；</w:t>
            </w:r>
          </w:p>
          <w:p w14:paraId="78E65F5B">
            <w:pPr>
              <w:widowControl/>
              <w:rPr>
                <w:rFonts w:ascii="宋体" w:hAnsi="宋体" w:eastAsia="等线"/>
                <w:color w:val="auto"/>
                <w:szCs w:val="21"/>
                <w:highlight w:val="none"/>
              </w:rPr>
            </w:pPr>
            <w:r>
              <w:rPr>
                <w:rFonts w:hint="eastAsia" w:ascii="宋体" w:hAnsi="宋体" w:eastAsia="等线" w:cs="Times New Roman"/>
                <w:color w:val="auto"/>
                <w:szCs w:val="21"/>
                <w:highlight w:val="none"/>
              </w:rPr>
              <w:t>GB 31701-2015：附件抗拉强力、附件尖端和边缘的锐利性</w:t>
            </w:r>
            <w:r>
              <w:rPr>
                <w:rFonts w:hint="eastAsia" w:ascii="宋体" w:hAnsi="宋体" w:eastAsia="等线"/>
                <w:color w:val="auto"/>
                <w:szCs w:val="21"/>
                <w:highlight w:val="none"/>
              </w:rPr>
              <w:t>、</w:t>
            </w:r>
            <w:r>
              <w:rPr>
                <w:rFonts w:hint="eastAsia" w:ascii="宋体" w:hAnsi="宋体" w:eastAsia="等线" w:cs="Times New Roman"/>
                <w:color w:val="auto"/>
                <w:szCs w:val="21"/>
                <w:highlight w:val="none"/>
              </w:rPr>
              <w:t>绳带和绳圈的长度；</w:t>
            </w:r>
          </w:p>
          <w:p w14:paraId="5BAF1C6D">
            <w:pPr>
              <w:widowControl/>
              <w:rPr>
                <w:rFonts w:ascii="宋体" w:hAnsi="宋体" w:eastAsia="等线"/>
                <w:color w:val="auto"/>
                <w:szCs w:val="21"/>
                <w:highlight w:val="none"/>
              </w:rPr>
            </w:pPr>
            <w:r>
              <w:rPr>
                <w:rFonts w:hint="eastAsia" w:ascii="宋体" w:hAnsi="宋体" w:eastAsia="等线"/>
                <w:color w:val="auto"/>
                <w:szCs w:val="21"/>
                <w:highlight w:val="none"/>
              </w:rPr>
              <w:t>GB/T 22796-2021床上用品：填充物质量偏差率、填充物含油率、压缩回弹性能、纤维含量、起球、水洗尺寸变化率、断裂强力、顶破强力、耐皂洗色牢度、耐汗渍色牢度、耐摩擦色牢度、耐光色牢度、耐干洗色牢度、金属残留物</w:t>
            </w:r>
          </w:p>
        </w:tc>
      </w:tr>
      <w:tr w14:paraId="4432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4C00153">
            <w:pPr>
              <w:jc w:val="center"/>
              <w:rPr>
                <w:rFonts w:ascii="宋体" w:hAnsi="宋体" w:eastAsia="等线"/>
                <w:color w:val="auto"/>
                <w:szCs w:val="21"/>
                <w:highlight w:val="none"/>
              </w:rPr>
            </w:pPr>
            <w:r>
              <w:rPr>
                <w:rFonts w:hint="eastAsia" w:ascii="宋体" w:hAnsi="宋体" w:eastAsia="等线"/>
                <w:color w:val="auto"/>
                <w:szCs w:val="21"/>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14:paraId="2A7D9ABB">
            <w:pPr>
              <w:widowControl/>
              <w:jc w:val="center"/>
              <w:rPr>
                <w:color w:val="auto"/>
                <w:highlight w:val="none"/>
              </w:rPr>
            </w:pPr>
            <w:r>
              <w:rPr>
                <w:rFonts w:hint="eastAsia"/>
                <w:color w:val="auto"/>
                <w:highlight w:val="none"/>
              </w:rPr>
              <w:t>眼镜（</w:t>
            </w:r>
            <w:r>
              <w:rPr>
                <w:rFonts w:hint="eastAsia" w:ascii="宋体" w:hAnsi="宋体"/>
                <w:color w:val="auto"/>
                <w:szCs w:val="21"/>
                <w:highlight w:val="none"/>
              </w:rPr>
              <w:t>儿童少年矫正眼镜</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6D541E7E">
            <w:pPr>
              <w:widowControl/>
              <w:jc w:val="center"/>
              <w:rPr>
                <w:rFonts w:ascii="宋体" w:hAnsi="宋体" w:eastAsia="等线"/>
                <w:color w:val="auto"/>
                <w:szCs w:val="21"/>
                <w:highlight w:val="none"/>
              </w:rPr>
            </w:pPr>
            <w:r>
              <w:rPr>
                <w:rFonts w:hint="eastAsia" w:ascii="宋体" w:hAnsi="宋体" w:eastAsia="等线"/>
                <w:color w:val="auto"/>
                <w:szCs w:val="21"/>
                <w:highlight w:val="none"/>
              </w:rPr>
              <w:t>1700</w:t>
            </w:r>
          </w:p>
        </w:tc>
        <w:tc>
          <w:tcPr>
            <w:tcW w:w="1577" w:type="dxa"/>
            <w:tcBorders>
              <w:top w:val="single" w:color="auto" w:sz="4" w:space="0"/>
              <w:left w:val="single" w:color="auto" w:sz="4" w:space="0"/>
              <w:bottom w:val="single" w:color="auto" w:sz="4" w:space="0"/>
              <w:right w:val="single" w:color="auto" w:sz="4" w:space="0"/>
            </w:tcBorders>
            <w:vAlign w:val="center"/>
          </w:tcPr>
          <w:p w14:paraId="6197D761">
            <w:pPr>
              <w:widowControl/>
              <w:rPr>
                <w:rFonts w:ascii="宋体" w:hAnsi="宋体" w:eastAsia="等线"/>
                <w:color w:val="auto"/>
                <w:szCs w:val="21"/>
                <w:highlight w:val="none"/>
              </w:rPr>
            </w:pPr>
            <w:r>
              <w:rPr>
                <w:rFonts w:hint="eastAsia" w:ascii="宋体" w:hAnsi="宋体" w:eastAsia="等线"/>
                <w:color w:val="auto"/>
                <w:szCs w:val="21"/>
                <w:highlight w:val="none"/>
              </w:rPr>
              <w:t>WS 219-2015</w:t>
            </w:r>
          </w:p>
        </w:tc>
        <w:tc>
          <w:tcPr>
            <w:tcW w:w="3962" w:type="dxa"/>
            <w:tcBorders>
              <w:top w:val="single" w:color="auto" w:sz="4" w:space="0"/>
              <w:left w:val="single" w:color="auto" w:sz="4" w:space="0"/>
              <w:bottom w:val="single" w:color="auto" w:sz="4" w:space="0"/>
              <w:right w:val="single" w:color="auto" w:sz="4" w:space="0"/>
            </w:tcBorders>
            <w:vAlign w:val="center"/>
          </w:tcPr>
          <w:p w14:paraId="047E558C">
            <w:pPr>
              <w:widowControl/>
              <w:rPr>
                <w:rFonts w:ascii="宋体" w:hAnsi="宋体" w:eastAsia="等线"/>
                <w:color w:val="auto"/>
                <w:szCs w:val="21"/>
                <w:highlight w:val="none"/>
              </w:rPr>
            </w:pPr>
            <w:r>
              <w:rPr>
                <w:rFonts w:hint="eastAsia" w:ascii="宋体" w:hAnsi="宋体" w:eastAsia="等线"/>
                <w:color w:val="auto"/>
                <w:szCs w:val="21"/>
                <w:highlight w:val="none"/>
              </w:rPr>
              <w:t>镜片顶焦度允差、柱镜轴位允许偏差、光学中心水平偏差、光学中心垂直互差、光学中心高度、棱镜度允许偏差、棱镜基底取向允许偏差、镜片色泽互差、镜片厚度、镜片表面质量及内在疵病、眼镜装配质量和整形要求、透射比</w:t>
            </w:r>
          </w:p>
        </w:tc>
      </w:tr>
      <w:tr w14:paraId="03E2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860B811">
            <w:pPr>
              <w:jc w:val="center"/>
              <w:rPr>
                <w:rFonts w:ascii="宋体" w:hAnsi="宋体" w:eastAsia="等线"/>
                <w:color w:val="auto"/>
                <w:szCs w:val="21"/>
                <w:highlight w:val="none"/>
              </w:rPr>
            </w:pPr>
            <w:r>
              <w:rPr>
                <w:rFonts w:hint="eastAsia" w:ascii="宋体" w:hAnsi="宋体" w:eastAsia="等线"/>
                <w:color w:val="auto"/>
                <w:szCs w:val="21"/>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14:paraId="40949B4C">
            <w:pPr>
              <w:widowControl/>
              <w:jc w:val="center"/>
              <w:rPr>
                <w:color w:val="auto"/>
                <w:highlight w:val="none"/>
              </w:rPr>
            </w:pPr>
            <w:r>
              <w:rPr>
                <w:rFonts w:hint="eastAsia"/>
                <w:color w:val="auto"/>
                <w:highlight w:val="none"/>
              </w:rPr>
              <w:t>眼镜（</w:t>
            </w:r>
            <w:r>
              <w:rPr>
                <w:rFonts w:hint="eastAsia" w:ascii="宋体" w:hAnsi="宋体"/>
                <w:color w:val="auto"/>
                <w:szCs w:val="21"/>
                <w:highlight w:val="none"/>
              </w:rPr>
              <w:t>太阳镜</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1D5E3CB5">
            <w:pPr>
              <w:widowControl/>
              <w:jc w:val="center"/>
              <w:rPr>
                <w:rFonts w:ascii="宋体" w:hAnsi="宋体" w:eastAsia="等线"/>
                <w:color w:val="auto"/>
                <w:szCs w:val="21"/>
                <w:highlight w:val="none"/>
              </w:rPr>
            </w:pPr>
            <w:r>
              <w:rPr>
                <w:rFonts w:hint="eastAsia" w:ascii="宋体" w:hAnsi="宋体" w:eastAsia="等线"/>
                <w:color w:val="auto"/>
                <w:szCs w:val="21"/>
                <w:highlight w:val="none"/>
              </w:rPr>
              <w:t>1700</w:t>
            </w:r>
          </w:p>
        </w:tc>
        <w:tc>
          <w:tcPr>
            <w:tcW w:w="1577" w:type="dxa"/>
            <w:tcBorders>
              <w:top w:val="single" w:color="auto" w:sz="4" w:space="0"/>
              <w:left w:val="single" w:color="auto" w:sz="4" w:space="0"/>
              <w:bottom w:val="single" w:color="auto" w:sz="4" w:space="0"/>
              <w:right w:val="single" w:color="auto" w:sz="4" w:space="0"/>
            </w:tcBorders>
            <w:vAlign w:val="center"/>
          </w:tcPr>
          <w:p w14:paraId="0A1FF6F2">
            <w:pPr>
              <w:widowControl/>
              <w:rPr>
                <w:rFonts w:ascii="宋体" w:hAnsi="宋体" w:eastAsia="等线"/>
                <w:color w:val="auto"/>
                <w:szCs w:val="21"/>
                <w:highlight w:val="none"/>
              </w:rPr>
            </w:pPr>
            <w:r>
              <w:rPr>
                <w:rFonts w:hint="eastAsia" w:ascii="宋体" w:hAnsi="宋体" w:eastAsia="等线"/>
                <w:color w:val="auto"/>
                <w:szCs w:val="21"/>
                <w:highlight w:val="none"/>
              </w:rPr>
              <w:t>GB 39552.1-2020</w:t>
            </w:r>
          </w:p>
        </w:tc>
        <w:tc>
          <w:tcPr>
            <w:tcW w:w="3962" w:type="dxa"/>
            <w:tcBorders>
              <w:top w:val="single" w:color="auto" w:sz="4" w:space="0"/>
              <w:left w:val="single" w:color="auto" w:sz="4" w:space="0"/>
              <w:bottom w:val="single" w:color="auto" w:sz="4" w:space="0"/>
              <w:right w:val="single" w:color="auto" w:sz="4" w:space="0"/>
            </w:tcBorders>
            <w:vAlign w:val="center"/>
          </w:tcPr>
          <w:p w14:paraId="124D1F42">
            <w:pPr>
              <w:widowControl/>
              <w:rPr>
                <w:rFonts w:ascii="宋体" w:hAnsi="宋体" w:eastAsia="等线"/>
                <w:color w:val="auto"/>
                <w:szCs w:val="21"/>
                <w:highlight w:val="none"/>
              </w:rPr>
            </w:pPr>
            <w:r>
              <w:rPr>
                <w:rFonts w:hint="eastAsia" w:ascii="宋体" w:hAnsi="宋体" w:eastAsia="等线"/>
                <w:color w:val="auto"/>
                <w:szCs w:val="21"/>
                <w:highlight w:val="none"/>
              </w:rPr>
              <w:t>结构与材料、透射比、透射比的均匀性、行路及驾驶用太阳镜、散射光、偏振镜片和偏振太阳镜、蓝光吸收率和透射比、紫外光谱吸收率和透射比、球镜度、散光度和棱镜度、太阳镜镜片尺寸、标志</w:t>
            </w:r>
          </w:p>
        </w:tc>
      </w:tr>
      <w:tr w14:paraId="345E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10918E99">
            <w:pPr>
              <w:jc w:val="center"/>
              <w:rPr>
                <w:rFonts w:ascii="宋体" w:hAnsi="宋体" w:eastAsia="等线"/>
                <w:color w:val="auto"/>
                <w:szCs w:val="21"/>
                <w:highlight w:val="none"/>
              </w:rPr>
            </w:pPr>
            <w:r>
              <w:rPr>
                <w:rFonts w:hint="eastAsia" w:ascii="宋体" w:hAnsi="宋体" w:eastAsia="等线"/>
                <w:color w:val="auto"/>
                <w:szCs w:val="21"/>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90B9509">
            <w:pPr>
              <w:widowControl/>
              <w:jc w:val="center"/>
              <w:rPr>
                <w:color w:val="auto"/>
                <w:highlight w:val="none"/>
              </w:rPr>
            </w:pPr>
            <w:r>
              <w:rPr>
                <w:rFonts w:hint="eastAsia"/>
                <w:color w:val="auto"/>
                <w:highlight w:val="none"/>
              </w:rPr>
              <w:t>眼镜（</w:t>
            </w:r>
            <w:r>
              <w:rPr>
                <w:rFonts w:hint="eastAsia" w:ascii="宋体" w:hAnsi="宋体"/>
                <w:color w:val="auto"/>
                <w:szCs w:val="21"/>
                <w:highlight w:val="none"/>
              </w:rPr>
              <w:t>配装眼镜</w:t>
            </w:r>
            <w:r>
              <w:rPr>
                <w:rFonts w:hint="eastAsia"/>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4C060532">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259313F8">
            <w:pPr>
              <w:widowControl/>
              <w:rPr>
                <w:rFonts w:ascii="宋体" w:hAnsi="宋体" w:eastAsia="等线"/>
                <w:color w:val="auto"/>
                <w:szCs w:val="21"/>
                <w:highlight w:val="none"/>
              </w:rPr>
            </w:pPr>
            <w:r>
              <w:rPr>
                <w:rFonts w:hint="eastAsia" w:ascii="宋体" w:hAnsi="宋体" w:eastAsia="等线"/>
                <w:color w:val="auto"/>
                <w:szCs w:val="21"/>
                <w:highlight w:val="none"/>
              </w:rPr>
              <w:t>GB 13511.1-2011</w:t>
            </w:r>
          </w:p>
        </w:tc>
        <w:tc>
          <w:tcPr>
            <w:tcW w:w="3962" w:type="dxa"/>
            <w:tcBorders>
              <w:top w:val="single" w:color="auto" w:sz="4" w:space="0"/>
              <w:left w:val="single" w:color="auto" w:sz="4" w:space="0"/>
              <w:bottom w:val="single" w:color="auto" w:sz="4" w:space="0"/>
              <w:right w:val="single" w:color="auto" w:sz="4" w:space="0"/>
            </w:tcBorders>
            <w:vAlign w:val="center"/>
          </w:tcPr>
          <w:p w14:paraId="4B54FA25">
            <w:pPr>
              <w:widowControl/>
              <w:rPr>
                <w:rFonts w:ascii="宋体" w:hAnsi="宋体" w:eastAsia="等线"/>
                <w:color w:val="auto"/>
                <w:szCs w:val="21"/>
                <w:highlight w:val="none"/>
              </w:rPr>
            </w:pPr>
            <w:r>
              <w:rPr>
                <w:rFonts w:hint="eastAsia" w:ascii="宋体" w:hAnsi="宋体" w:eastAsia="等线"/>
                <w:color w:val="auto"/>
                <w:szCs w:val="21"/>
                <w:highlight w:val="none"/>
              </w:rPr>
              <w:t>镜片顶焦度、镜片厚度、镜片表面质量、光透射性、镜架外观质量、光学中心水平距离偏差、水平光学中心与眼瞳的单侧偏差、光学中心垂直互差、柱镜轴位偏差、处方棱镜度偏差、多焦点镜片的位置、装配质量、标志</w:t>
            </w:r>
          </w:p>
        </w:tc>
      </w:tr>
      <w:tr w14:paraId="27F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0ED1ABA">
            <w:pPr>
              <w:jc w:val="center"/>
              <w:rPr>
                <w:rFonts w:ascii="宋体" w:hAnsi="宋体" w:eastAsia="等线"/>
                <w:color w:val="auto"/>
                <w:szCs w:val="21"/>
                <w:highlight w:val="none"/>
              </w:rPr>
            </w:pPr>
            <w:r>
              <w:rPr>
                <w:rFonts w:hint="eastAsia" w:ascii="宋体" w:hAnsi="宋体" w:eastAsia="等线"/>
                <w:color w:val="auto"/>
                <w:szCs w:val="21"/>
                <w:highlight w:val="none"/>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30C1A39">
            <w:pPr>
              <w:widowControl/>
              <w:jc w:val="center"/>
              <w:rPr>
                <w:color w:val="auto"/>
                <w:highlight w:val="none"/>
              </w:rPr>
            </w:pPr>
            <w:r>
              <w:rPr>
                <w:rFonts w:hint="eastAsia"/>
                <w:color w:val="auto"/>
                <w:highlight w:val="none"/>
              </w:rPr>
              <w:t>食品接触用纸容器（纸杯、纸吸管）</w:t>
            </w:r>
          </w:p>
        </w:tc>
        <w:tc>
          <w:tcPr>
            <w:tcW w:w="1265" w:type="dxa"/>
            <w:tcBorders>
              <w:top w:val="single" w:color="auto" w:sz="4" w:space="0"/>
              <w:left w:val="single" w:color="auto" w:sz="4" w:space="0"/>
              <w:bottom w:val="single" w:color="auto" w:sz="4" w:space="0"/>
              <w:right w:val="single" w:color="auto" w:sz="4" w:space="0"/>
            </w:tcBorders>
            <w:vAlign w:val="center"/>
          </w:tcPr>
          <w:p w14:paraId="6F531077">
            <w:pPr>
              <w:widowControl/>
              <w:jc w:val="center"/>
              <w:rPr>
                <w:rFonts w:ascii="宋体" w:hAnsi="宋体" w:eastAsia="等线"/>
                <w:color w:val="auto"/>
                <w:szCs w:val="21"/>
                <w:highlight w:val="none"/>
              </w:rPr>
            </w:pPr>
            <w:r>
              <w:rPr>
                <w:rFonts w:hint="eastAsia" w:ascii="宋体" w:hAnsi="宋体" w:eastAsia="等线"/>
                <w:color w:val="auto"/>
                <w:szCs w:val="21"/>
                <w:highlight w:val="none"/>
              </w:rPr>
              <w:t>1800</w:t>
            </w:r>
          </w:p>
        </w:tc>
        <w:tc>
          <w:tcPr>
            <w:tcW w:w="1577" w:type="dxa"/>
            <w:tcBorders>
              <w:top w:val="single" w:color="auto" w:sz="4" w:space="0"/>
              <w:left w:val="single" w:color="auto" w:sz="4" w:space="0"/>
              <w:bottom w:val="single" w:color="auto" w:sz="4" w:space="0"/>
              <w:right w:val="single" w:color="auto" w:sz="4" w:space="0"/>
            </w:tcBorders>
            <w:vAlign w:val="center"/>
          </w:tcPr>
          <w:p w14:paraId="2F63A2C1">
            <w:pPr>
              <w:widowControl/>
              <w:rPr>
                <w:rFonts w:ascii="宋体" w:hAnsi="宋体" w:eastAsia="等线"/>
                <w:color w:val="auto"/>
                <w:szCs w:val="21"/>
                <w:highlight w:val="none"/>
              </w:rPr>
            </w:pPr>
            <w:r>
              <w:rPr>
                <w:rFonts w:hint="eastAsia" w:ascii="宋体" w:hAnsi="宋体" w:eastAsia="等线"/>
                <w:color w:val="auto"/>
                <w:szCs w:val="21"/>
                <w:highlight w:val="none"/>
              </w:rPr>
              <w:t>GB 4806.8-2022</w:t>
            </w:r>
          </w:p>
        </w:tc>
        <w:tc>
          <w:tcPr>
            <w:tcW w:w="3962" w:type="dxa"/>
            <w:tcBorders>
              <w:top w:val="single" w:color="auto" w:sz="4" w:space="0"/>
              <w:left w:val="single" w:color="auto" w:sz="4" w:space="0"/>
              <w:bottom w:val="single" w:color="auto" w:sz="4" w:space="0"/>
              <w:right w:val="single" w:color="auto" w:sz="4" w:space="0"/>
            </w:tcBorders>
            <w:vAlign w:val="center"/>
          </w:tcPr>
          <w:p w14:paraId="6BD412E8">
            <w:pPr>
              <w:widowControl/>
              <w:rPr>
                <w:rFonts w:ascii="宋体" w:hAnsi="宋体" w:eastAsia="等线"/>
                <w:color w:val="auto"/>
                <w:szCs w:val="21"/>
                <w:highlight w:val="none"/>
              </w:rPr>
            </w:pPr>
            <w:r>
              <w:rPr>
                <w:rFonts w:hint="eastAsia"/>
                <w:color w:val="auto"/>
                <w:highlight w:val="none"/>
              </w:rPr>
              <w:t>感官要求、总迁移量、重金属（以Pb计）、铅、砷、甲醛、荧光性物质</w:t>
            </w:r>
          </w:p>
        </w:tc>
      </w:tr>
      <w:tr w14:paraId="393A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6092C094">
            <w:pPr>
              <w:jc w:val="center"/>
              <w:rPr>
                <w:rFonts w:ascii="宋体" w:hAnsi="宋体" w:eastAsia="等线"/>
                <w:color w:val="auto"/>
                <w:szCs w:val="21"/>
                <w:highlight w:val="none"/>
              </w:rPr>
            </w:pPr>
            <w:r>
              <w:rPr>
                <w:rFonts w:hint="eastAsia" w:ascii="宋体" w:hAnsi="宋体" w:eastAsia="等线"/>
                <w:color w:val="auto"/>
                <w:szCs w:val="21"/>
                <w:highlight w:val="none"/>
              </w:rPr>
              <w:t>23</w:t>
            </w:r>
          </w:p>
        </w:tc>
        <w:tc>
          <w:tcPr>
            <w:tcW w:w="1559" w:type="dxa"/>
            <w:tcBorders>
              <w:top w:val="single" w:color="auto" w:sz="4" w:space="0"/>
              <w:left w:val="single" w:color="auto" w:sz="4" w:space="0"/>
              <w:bottom w:val="single" w:color="auto" w:sz="4" w:space="0"/>
              <w:right w:val="single" w:color="auto" w:sz="4" w:space="0"/>
            </w:tcBorders>
            <w:vAlign w:val="center"/>
          </w:tcPr>
          <w:p w14:paraId="7B1F8FB3">
            <w:pPr>
              <w:widowControl/>
              <w:jc w:val="center"/>
              <w:rPr>
                <w:color w:val="auto"/>
                <w:highlight w:val="none"/>
              </w:rPr>
            </w:pPr>
            <w:r>
              <w:rPr>
                <w:rFonts w:hint="eastAsia"/>
                <w:color w:val="auto"/>
                <w:highlight w:val="none"/>
              </w:rPr>
              <w:t>塑料制品（塑料一次性餐饮具、食品接触用特定非复合袋、塑料购物袋、垃圾袋）</w:t>
            </w:r>
          </w:p>
        </w:tc>
        <w:tc>
          <w:tcPr>
            <w:tcW w:w="1265" w:type="dxa"/>
            <w:tcBorders>
              <w:top w:val="single" w:color="auto" w:sz="4" w:space="0"/>
              <w:left w:val="single" w:color="auto" w:sz="4" w:space="0"/>
              <w:bottom w:val="single" w:color="auto" w:sz="4" w:space="0"/>
              <w:right w:val="single" w:color="auto" w:sz="4" w:space="0"/>
            </w:tcBorders>
            <w:vAlign w:val="center"/>
          </w:tcPr>
          <w:p w14:paraId="41453D0D">
            <w:pPr>
              <w:widowControl/>
              <w:jc w:val="center"/>
              <w:rPr>
                <w:rFonts w:ascii="宋体" w:hAnsi="宋体" w:eastAsia="等线"/>
                <w:color w:val="auto"/>
                <w:szCs w:val="21"/>
                <w:highlight w:val="none"/>
              </w:rPr>
            </w:pPr>
            <w:r>
              <w:rPr>
                <w:rFonts w:hint="eastAsia" w:ascii="宋体" w:hAnsi="宋体" w:eastAsia="等线"/>
                <w:color w:val="auto"/>
                <w:szCs w:val="21"/>
                <w:highlight w:val="none"/>
              </w:rPr>
              <w:t>2000</w:t>
            </w:r>
          </w:p>
        </w:tc>
        <w:tc>
          <w:tcPr>
            <w:tcW w:w="1577" w:type="dxa"/>
            <w:tcBorders>
              <w:top w:val="single" w:color="auto" w:sz="4" w:space="0"/>
              <w:left w:val="single" w:color="auto" w:sz="4" w:space="0"/>
              <w:bottom w:val="single" w:color="auto" w:sz="4" w:space="0"/>
              <w:right w:val="single" w:color="auto" w:sz="4" w:space="0"/>
            </w:tcBorders>
            <w:vAlign w:val="center"/>
          </w:tcPr>
          <w:p w14:paraId="0656D78D">
            <w:pPr>
              <w:widowControl/>
              <w:rPr>
                <w:rFonts w:ascii="宋体" w:hAnsi="宋体" w:eastAsia="等线"/>
                <w:color w:val="auto"/>
                <w:szCs w:val="21"/>
                <w:highlight w:val="none"/>
              </w:rPr>
            </w:pPr>
            <w:r>
              <w:rPr>
                <w:rFonts w:hint="eastAsia" w:ascii="宋体" w:hAnsi="宋体" w:eastAsia="等线"/>
                <w:color w:val="auto"/>
                <w:szCs w:val="21"/>
                <w:highlight w:val="none"/>
              </w:rPr>
              <w:t>GB/T 18006.1-2009、</w:t>
            </w:r>
          </w:p>
          <w:p w14:paraId="1095CAA1">
            <w:pPr>
              <w:widowControl/>
              <w:rPr>
                <w:rFonts w:ascii="宋体" w:hAnsi="宋体" w:eastAsia="等线"/>
                <w:color w:val="auto"/>
                <w:szCs w:val="21"/>
                <w:highlight w:val="none"/>
              </w:rPr>
            </w:pPr>
            <w:r>
              <w:rPr>
                <w:rFonts w:hint="eastAsia" w:ascii="宋体" w:hAnsi="宋体" w:eastAsia="等线"/>
                <w:color w:val="auto"/>
                <w:szCs w:val="21"/>
                <w:highlight w:val="none"/>
              </w:rPr>
              <w:t>GB 4806.7-2023、</w:t>
            </w:r>
          </w:p>
          <w:p w14:paraId="400A771E">
            <w:pPr>
              <w:widowControl/>
              <w:rPr>
                <w:rFonts w:ascii="宋体" w:hAnsi="宋体" w:eastAsia="等线"/>
                <w:color w:val="auto"/>
                <w:szCs w:val="21"/>
                <w:highlight w:val="none"/>
              </w:rPr>
            </w:pPr>
            <w:r>
              <w:rPr>
                <w:rFonts w:hint="eastAsia" w:ascii="宋体" w:hAnsi="宋体" w:eastAsia="等线"/>
                <w:color w:val="auto"/>
                <w:szCs w:val="21"/>
                <w:highlight w:val="none"/>
              </w:rPr>
              <w:t>GB/T 21660-2008、</w:t>
            </w:r>
          </w:p>
          <w:p w14:paraId="251F5482">
            <w:pPr>
              <w:widowControl/>
              <w:rPr>
                <w:rFonts w:ascii="宋体" w:hAnsi="宋体" w:eastAsia="等线"/>
                <w:color w:val="auto"/>
                <w:szCs w:val="21"/>
                <w:highlight w:val="none"/>
              </w:rPr>
            </w:pPr>
            <w:r>
              <w:rPr>
                <w:rFonts w:hint="eastAsia" w:ascii="宋体" w:hAnsi="宋体" w:eastAsia="等线"/>
                <w:color w:val="auto"/>
                <w:szCs w:val="21"/>
                <w:highlight w:val="none"/>
              </w:rPr>
              <w:t>GB/T 21661-2020、</w:t>
            </w:r>
          </w:p>
          <w:p w14:paraId="0CF2A84A">
            <w:pPr>
              <w:widowControl/>
              <w:rPr>
                <w:rFonts w:ascii="宋体" w:hAnsi="宋体" w:eastAsia="等线"/>
                <w:color w:val="auto"/>
                <w:szCs w:val="21"/>
                <w:highlight w:val="none"/>
              </w:rPr>
            </w:pPr>
            <w:r>
              <w:rPr>
                <w:rFonts w:hint="eastAsia" w:ascii="宋体" w:hAnsi="宋体" w:eastAsia="等线"/>
                <w:color w:val="auto"/>
                <w:szCs w:val="21"/>
                <w:highlight w:val="none"/>
              </w:rPr>
              <w:t>GB/T 38082-2019、</w:t>
            </w:r>
          </w:p>
          <w:p w14:paraId="6A1E9DE8">
            <w:pPr>
              <w:widowControl/>
              <w:rPr>
                <w:rFonts w:ascii="宋体" w:hAnsi="宋体" w:eastAsia="等线"/>
                <w:color w:val="auto"/>
                <w:szCs w:val="21"/>
                <w:highlight w:val="none"/>
              </w:rPr>
            </w:pPr>
            <w:r>
              <w:rPr>
                <w:rFonts w:hint="eastAsia" w:ascii="宋体" w:hAnsi="宋体" w:eastAsia="等线"/>
                <w:color w:val="auto"/>
                <w:szCs w:val="21"/>
                <w:highlight w:val="none"/>
              </w:rPr>
              <w:t xml:space="preserve">GB/T </w:t>
            </w:r>
          </w:p>
          <w:p w14:paraId="353286E4">
            <w:pPr>
              <w:widowControl/>
              <w:rPr>
                <w:rFonts w:ascii="宋体" w:hAnsi="宋体" w:eastAsia="等线"/>
                <w:color w:val="auto"/>
                <w:szCs w:val="21"/>
                <w:highlight w:val="none"/>
              </w:rPr>
            </w:pPr>
            <w:r>
              <w:rPr>
                <w:rFonts w:hint="eastAsia" w:ascii="宋体" w:hAnsi="宋体" w:eastAsia="等线"/>
                <w:color w:val="auto"/>
                <w:szCs w:val="21"/>
                <w:highlight w:val="none"/>
              </w:rPr>
              <w:t>38079—2019、</w:t>
            </w:r>
          </w:p>
          <w:p w14:paraId="30EDA0C3">
            <w:pPr>
              <w:widowControl/>
              <w:rPr>
                <w:rFonts w:ascii="宋体" w:hAnsi="宋体" w:eastAsia="等线"/>
                <w:color w:val="auto"/>
                <w:szCs w:val="21"/>
                <w:highlight w:val="none"/>
              </w:rPr>
            </w:pPr>
            <w:r>
              <w:rPr>
                <w:rFonts w:hint="eastAsia" w:ascii="宋体" w:hAnsi="宋体" w:eastAsia="等线"/>
                <w:color w:val="auto"/>
                <w:szCs w:val="21"/>
                <w:highlight w:val="none"/>
              </w:rPr>
              <w:t>GB/T 24454-2009</w:t>
            </w:r>
          </w:p>
          <w:p w14:paraId="176E1186">
            <w:pPr>
              <w:widowControl/>
              <w:rPr>
                <w:rFonts w:ascii="宋体" w:hAnsi="宋体" w:eastAsia="等线"/>
                <w:color w:val="auto"/>
                <w:szCs w:val="21"/>
                <w:highlight w:val="none"/>
              </w:rPr>
            </w:pPr>
          </w:p>
          <w:p w14:paraId="0A2AFFAB">
            <w:pPr>
              <w:widowControl/>
              <w:rPr>
                <w:rFonts w:ascii="宋体" w:hAnsi="宋体" w:eastAsia="等线"/>
                <w:color w:val="auto"/>
                <w:szCs w:val="21"/>
                <w:highlight w:val="none"/>
              </w:rPr>
            </w:pPr>
          </w:p>
          <w:p w14:paraId="3FB84606">
            <w:pPr>
              <w:widowControl/>
              <w:rPr>
                <w:rFonts w:ascii="宋体" w:hAnsi="宋体" w:eastAsia="等线"/>
                <w:color w:val="auto"/>
                <w:szCs w:val="21"/>
                <w:highlight w:val="none"/>
              </w:rPr>
            </w:pPr>
          </w:p>
        </w:tc>
        <w:tc>
          <w:tcPr>
            <w:tcW w:w="3962" w:type="dxa"/>
            <w:tcBorders>
              <w:top w:val="single" w:color="auto" w:sz="4" w:space="0"/>
              <w:left w:val="single" w:color="auto" w:sz="4" w:space="0"/>
              <w:bottom w:val="single" w:color="auto" w:sz="4" w:space="0"/>
              <w:right w:val="single" w:color="auto" w:sz="4" w:space="0"/>
            </w:tcBorders>
            <w:vAlign w:val="center"/>
          </w:tcPr>
          <w:p w14:paraId="76A02F5E">
            <w:pPr>
              <w:widowControl/>
              <w:rPr>
                <w:rFonts w:ascii="宋体" w:hAnsi="宋体" w:eastAsia="等线"/>
                <w:color w:val="auto"/>
                <w:szCs w:val="21"/>
                <w:highlight w:val="none"/>
              </w:rPr>
            </w:pPr>
            <w:r>
              <w:rPr>
                <w:rFonts w:hint="eastAsia" w:ascii="宋体" w:hAnsi="宋体" w:eastAsia="等线"/>
                <w:color w:val="auto"/>
                <w:szCs w:val="21"/>
                <w:highlight w:val="none"/>
              </w:rPr>
              <w:t>GB/T 18006.1-2009、GB 4806.7-2023塑料一次性餐饮具、食品接触用特定非复合袋：感官、理化指标/总迁移量、理化指标/脱色试验、理化指标/重金属（以 Pb 计）、理化指标/高锰酸钾消耗量；</w:t>
            </w:r>
          </w:p>
          <w:p w14:paraId="73546A5A">
            <w:pPr>
              <w:widowControl/>
              <w:rPr>
                <w:rFonts w:ascii="宋体" w:hAnsi="宋体" w:eastAsia="等线"/>
                <w:color w:val="auto"/>
                <w:szCs w:val="21"/>
                <w:highlight w:val="none"/>
              </w:rPr>
            </w:pPr>
            <w:r>
              <w:rPr>
                <w:rFonts w:hint="eastAsia" w:ascii="宋体" w:hAnsi="宋体" w:eastAsia="等线"/>
                <w:color w:val="auto"/>
                <w:szCs w:val="21"/>
                <w:highlight w:val="none"/>
              </w:rPr>
              <w:t>塑料购物袋：</w:t>
            </w:r>
          </w:p>
          <w:p w14:paraId="216AFE86">
            <w:pPr>
              <w:widowControl/>
              <w:rPr>
                <w:rFonts w:ascii="宋体" w:hAnsi="宋体" w:eastAsia="等线"/>
                <w:color w:val="auto"/>
                <w:szCs w:val="21"/>
                <w:highlight w:val="none"/>
              </w:rPr>
            </w:pPr>
            <w:r>
              <w:rPr>
                <w:rFonts w:hint="eastAsia" w:ascii="宋体" w:hAnsi="宋体" w:eastAsia="等线"/>
                <w:color w:val="auto"/>
                <w:szCs w:val="21"/>
                <w:highlight w:val="none"/>
              </w:rPr>
              <w:t>GB/T 21660-2008塑料购物袋的环保、安全和标识通用技术要求：感官指标、总迁移量、高锰酸钾消耗量、重金属（以Pb计）、脱色试验；</w:t>
            </w:r>
          </w:p>
          <w:p w14:paraId="632F9075">
            <w:pPr>
              <w:widowControl/>
              <w:rPr>
                <w:rFonts w:ascii="宋体" w:hAnsi="宋体" w:eastAsia="等线"/>
                <w:color w:val="auto"/>
                <w:szCs w:val="21"/>
                <w:highlight w:val="none"/>
              </w:rPr>
            </w:pPr>
            <w:r>
              <w:rPr>
                <w:rFonts w:hint="eastAsia" w:ascii="宋体" w:hAnsi="宋体" w:eastAsia="等线"/>
                <w:color w:val="auto"/>
                <w:szCs w:val="21"/>
                <w:highlight w:val="none"/>
              </w:rPr>
              <w:t>GB/T 21661-2020塑料购物袋：标识、最小厚度、公称厚度、本体外附件、厚度极限偏差、厚度平均偏差、宽度偏差、长度偏差、感官、提吊试验、跌落试验、漏水性、封合强度、落镖冲击；</w:t>
            </w:r>
          </w:p>
          <w:p w14:paraId="062B0E62">
            <w:pPr>
              <w:widowControl/>
              <w:rPr>
                <w:rFonts w:ascii="宋体" w:hAnsi="宋体" w:eastAsia="等线"/>
                <w:color w:val="auto"/>
                <w:szCs w:val="21"/>
                <w:highlight w:val="none"/>
              </w:rPr>
            </w:pPr>
            <w:r>
              <w:rPr>
                <w:rFonts w:hint="eastAsia" w:ascii="宋体" w:hAnsi="宋体" w:eastAsia="等线"/>
                <w:color w:val="auto"/>
                <w:szCs w:val="21"/>
                <w:highlight w:val="none"/>
              </w:rPr>
              <w:t>GB/T 38082-2019生物降解塑料购物袋：标识、最小厚度、厚度极限偏差、厚度平均偏差、宽度偏差、长度偏差、感官、提吊试验、跌落试验、漏水性、热合强度、落镖冲击；</w:t>
            </w:r>
          </w:p>
          <w:p w14:paraId="26329DDD">
            <w:pPr>
              <w:widowControl/>
              <w:rPr>
                <w:rFonts w:ascii="宋体" w:hAnsi="宋体" w:eastAsia="等线"/>
                <w:color w:val="auto"/>
                <w:szCs w:val="21"/>
                <w:highlight w:val="none"/>
              </w:rPr>
            </w:pPr>
            <w:r>
              <w:rPr>
                <w:rFonts w:hint="eastAsia" w:ascii="宋体" w:hAnsi="宋体" w:eastAsia="等线"/>
                <w:color w:val="auto"/>
                <w:szCs w:val="21"/>
                <w:highlight w:val="none"/>
              </w:rPr>
              <w:t>GB/T 38079—2019淀粉基塑料购物袋：提吊试验、跌落试验、漏水性、封合强度、落镖冲击;</w:t>
            </w:r>
          </w:p>
          <w:p w14:paraId="0D5900A6">
            <w:pPr>
              <w:widowControl/>
              <w:rPr>
                <w:rFonts w:ascii="宋体" w:hAnsi="宋体" w:eastAsia="等线"/>
                <w:color w:val="auto"/>
                <w:szCs w:val="21"/>
                <w:highlight w:val="none"/>
              </w:rPr>
            </w:pPr>
            <w:r>
              <w:rPr>
                <w:rFonts w:hint="eastAsia" w:ascii="宋体" w:hAnsi="宋体" w:eastAsia="等线"/>
                <w:color w:val="auto"/>
                <w:szCs w:val="21"/>
                <w:highlight w:val="none"/>
              </w:rPr>
              <w:t>垃圾袋：</w:t>
            </w:r>
          </w:p>
          <w:p w14:paraId="6D3A6853">
            <w:pPr>
              <w:widowControl/>
              <w:rPr>
                <w:rFonts w:ascii="宋体" w:hAnsi="宋体" w:eastAsia="等线"/>
                <w:color w:val="auto"/>
                <w:szCs w:val="21"/>
                <w:highlight w:val="none"/>
              </w:rPr>
            </w:pPr>
            <w:r>
              <w:rPr>
                <w:rFonts w:hint="eastAsia" w:ascii="宋体" w:hAnsi="宋体" w:eastAsia="等线"/>
                <w:color w:val="auto"/>
                <w:szCs w:val="21"/>
                <w:highlight w:val="none"/>
              </w:rPr>
              <w:t>GB/T 24454-2009塑料垃圾袋：尺寸偏差（厚度及偏差、有效宽度偏差、有效长度偏差、）、感官（外观、异嗅）、抗渗漏性能、跌落性能、拉紧绳拉伸力、提吊试验</w:t>
            </w:r>
          </w:p>
        </w:tc>
      </w:tr>
      <w:tr w14:paraId="3D1A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320FB2E2">
            <w:pPr>
              <w:jc w:val="center"/>
              <w:rPr>
                <w:rFonts w:ascii="宋体" w:hAnsi="宋体" w:eastAsia="等线"/>
                <w:color w:val="auto"/>
                <w:szCs w:val="21"/>
                <w:highlight w:val="none"/>
              </w:rPr>
            </w:pPr>
            <w:r>
              <w:rPr>
                <w:rFonts w:hint="eastAsia" w:ascii="宋体" w:hAnsi="宋体" w:eastAsia="等线"/>
                <w:color w:val="auto"/>
                <w:szCs w:val="21"/>
                <w:highlight w:val="none"/>
              </w:rPr>
              <w:t>24</w:t>
            </w:r>
          </w:p>
        </w:tc>
        <w:tc>
          <w:tcPr>
            <w:tcW w:w="1559" w:type="dxa"/>
            <w:tcBorders>
              <w:top w:val="single" w:color="auto" w:sz="4" w:space="0"/>
              <w:left w:val="single" w:color="auto" w:sz="4" w:space="0"/>
              <w:bottom w:val="single" w:color="auto" w:sz="4" w:space="0"/>
              <w:right w:val="single" w:color="auto" w:sz="4" w:space="0"/>
            </w:tcBorders>
            <w:vAlign w:val="center"/>
          </w:tcPr>
          <w:p w14:paraId="3D4B93EB">
            <w:pPr>
              <w:widowControl/>
              <w:jc w:val="center"/>
              <w:rPr>
                <w:color w:val="auto"/>
                <w:highlight w:val="none"/>
              </w:rPr>
            </w:pPr>
            <w:r>
              <w:rPr>
                <w:rFonts w:hint="eastAsia"/>
                <w:color w:val="auto"/>
                <w:highlight w:val="none"/>
              </w:rPr>
              <w:t>化肥</w:t>
            </w:r>
          </w:p>
        </w:tc>
        <w:tc>
          <w:tcPr>
            <w:tcW w:w="1265" w:type="dxa"/>
            <w:tcBorders>
              <w:top w:val="single" w:color="auto" w:sz="4" w:space="0"/>
              <w:left w:val="single" w:color="auto" w:sz="4" w:space="0"/>
              <w:bottom w:val="single" w:color="auto" w:sz="4" w:space="0"/>
              <w:right w:val="single" w:color="auto" w:sz="4" w:space="0"/>
            </w:tcBorders>
            <w:vAlign w:val="center"/>
          </w:tcPr>
          <w:p w14:paraId="0BD6998A">
            <w:pPr>
              <w:widowControl/>
              <w:jc w:val="center"/>
              <w:rPr>
                <w:rFonts w:ascii="宋体" w:hAnsi="宋体" w:eastAsia="等线"/>
                <w:color w:val="auto"/>
                <w:szCs w:val="21"/>
                <w:highlight w:val="none"/>
              </w:rPr>
            </w:pPr>
            <w:r>
              <w:rPr>
                <w:rFonts w:hint="eastAsia" w:ascii="宋体" w:hAnsi="宋体" w:eastAsia="等线"/>
                <w:color w:val="auto"/>
                <w:szCs w:val="21"/>
                <w:highlight w:val="none"/>
              </w:rPr>
              <w:t>2500</w:t>
            </w:r>
          </w:p>
        </w:tc>
        <w:tc>
          <w:tcPr>
            <w:tcW w:w="1577" w:type="dxa"/>
            <w:tcBorders>
              <w:top w:val="single" w:color="auto" w:sz="4" w:space="0"/>
              <w:left w:val="single" w:color="auto" w:sz="4" w:space="0"/>
              <w:bottom w:val="single" w:color="auto" w:sz="4" w:space="0"/>
              <w:right w:val="single" w:color="auto" w:sz="4" w:space="0"/>
            </w:tcBorders>
            <w:vAlign w:val="center"/>
          </w:tcPr>
          <w:p w14:paraId="12B1882E">
            <w:pPr>
              <w:widowControl/>
              <w:rPr>
                <w:rFonts w:ascii="宋体" w:hAnsi="宋体" w:eastAsia="等线"/>
                <w:color w:val="auto"/>
                <w:szCs w:val="21"/>
                <w:highlight w:val="none"/>
              </w:rPr>
            </w:pPr>
            <w:r>
              <w:rPr>
                <w:rFonts w:hint="eastAsia" w:ascii="宋体" w:hAnsi="宋体" w:eastAsia="等线"/>
                <w:color w:val="auto"/>
                <w:szCs w:val="21"/>
                <w:highlight w:val="none"/>
              </w:rPr>
              <w:t>GB/T 2440-2017、</w:t>
            </w:r>
          </w:p>
          <w:p w14:paraId="751BFCEC">
            <w:pPr>
              <w:widowControl/>
              <w:rPr>
                <w:rFonts w:ascii="宋体" w:hAnsi="宋体" w:eastAsia="等线"/>
                <w:color w:val="auto"/>
                <w:szCs w:val="21"/>
                <w:highlight w:val="none"/>
              </w:rPr>
            </w:pPr>
            <w:r>
              <w:rPr>
                <w:rFonts w:hint="eastAsia" w:ascii="宋体" w:hAnsi="宋体" w:eastAsia="等线"/>
                <w:color w:val="auto"/>
                <w:szCs w:val="21"/>
                <w:highlight w:val="none"/>
              </w:rPr>
              <w:t>GB/T 15063-2020</w:t>
            </w:r>
          </w:p>
        </w:tc>
        <w:tc>
          <w:tcPr>
            <w:tcW w:w="3962" w:type="dxa"/>
            <w:tcBorders>
              <w:top w:val="single" w:color="auto" w:sz="4" w:space="0"/>
              <w:left w:val="single" w:color="auto" w:sz="4" w:space="0"/>
              <w:bottom w:val="single" w:color="auto" w:sz="4" w:space="0"/>
              <w:right w:val="single" w:color="auto" w:sz="4" w:space="0"/>
            </w:tcBorders>
            <w:vAlign w:val="center"/>
          </w:tcPr>
          <w:p w14:paraId="58C55F43">
            <w:pPr>
              <w:widowControl/>
              <w:rPr>
                <w:rFonts w:ascii="宋体" w:hAnsi="宋体" w:eastAsia="等线"/>
                <w:color w:val="auto"/>
                <w:szCs w:val="21"/>
                <w:highlight w:val="none"/>
              </w:rPr>
            </w:pPr>
            <w:r>
              <w:rPr>
                <w:rFonts w:hint="eastAsia" w:ascii="宋体" w:hAnsi="宋体" w:eastAsia="等线"/>
                <w:color w:val="auto"/>
                <w:szCs w:val="21"/>
                <w:highlight w:val="none"/>
              </w:rPr>
              <w:t>GB/T 2440-2017尿素：外观、总氮、缩二脲、水分、粒度；</w:t>
            </w:r>
          </w:p>
          <w:p w14:paraId="0CBD083B">
            <w:pPr>
              <w:widowControl/>
              <w:rPr>
                <w:rFonts w:ascii="宋体" w:hAnsi="宋体" w:eastAsia="等线"/>
                <w:color w:val="auto"/>
                <w:szCs w:val="21"/>
                <w:highlight w:val="none"/>
              </w:rPr>
            </w:pPr>
            <w:r>
              <w:rPr>
                <w:rFonts w:hint="eastAsia" w:ascii="宋体" w:hAnsi="宋体" w:eastAsia="等线"/>
                <w:color w:val="auto"/>
                <w:szCs w:val="21"/>
                <w:highlight w:val="none"/>
              </w:rPr>
              <w:t>GB/T 15063-2020复合肥料：外观、总养分、水溶性磷占有效磷百分率、硝态氮、粒度、单一中量元素（有效钙、有效镁、总硫）、单一微量元素（铜、铁、锰、锌、硼、钼）、缩二脲含量</w:t>
            </w:r>
          </w:p>
        </w:tc>
      </w:tr>
      <w:tr w14:paraId="1E6F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FE25083">
            <w:pPr>
              <w:jc w:val="center"/>
              <w:rPr>
                <w:rFonts w:ascii="宋体" w:hAnsi="宋体" w:eastAsia="等线"/>
                <w:color w:val="auto"/>
                <w:szCs w:val="21"/>
                <w:highlight w:val="none"/>
              </w:rPr>
            </w:pPr>
            <w:r>
              <w:rPr>
                <w:rFonts w:hint="eastAsia" w:ascii="宋体" w:hAnsi="宋体" w:eastAsia="等线"/>
                <w:color w:val="auto"/>
                <w:szCs w:val="21"/>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14:paraId="3BB5BD88">
            <w:pPr>
              <w:widowControl/>
              <w:jc w:val="center"/>
              <w:rPr>
                <w:color w:val="auto"/>
                <w:highlight w:val="none"/>
              </w:rPr>
            </w:pPr>
            <w:r>
              <w:rPr>
                <w:rFonts w:hint="eastAsia"/>
                <w:color w:val="auto"/>
                <w:highlight w:val="none"/>
              </w:rPr>
              <w:t>农</w:t>
            </w:r>
            <w:r>
              <w:rPr>
                <w:color w:val="auto"/>
                <w:highlight w:val="none"/>
              </w:rPr>
              <w:t>膜</w:t>
            </w:r>
          </w:p>
        </w:tc>
        <w:tc>
          <w:tcPr>
            <w:tcW w:w="1265" w:type="dxa"/>
            <w:tcBorders>
              <w:top w:val="single" w:color="auto" w:sz="4" w:space="0"/>
              <w:left w:val="single" w:color="auto" w:sz="4" w:space="0"/>
              <w:bottom w:val="single" w:color="auto" w:sz="4" w:space="0"/>
              <w:right w:val="single" w:color="auto" w:sz="4" w:space="0"/>
            </w:tcBorders>
            <w:vAlign w:val="center"/>
          </w:tcPr>
          <w:p w14:paraId="45B84E45">
            <w:pPr>
              <w:widowControl/>
              <w:jc w:val="center"/>
              <w:rPr>
                <w:rFonts w:ascii="宋体" w:hAnsi="宋体" w:eastAsia="等线"/>
                <w:color w:val="auto"/>
                <w:szCs w:val="21"/>
                <w:highlight w:val="none"/>
              </w:rPr>
            </w:pPr>
            <w:r>
              <w:rPr>
                <w:rFonts w:hint="eastAsia" w:ascii="宋体" w:hAnsi="宋体" w:eastAsia="等线"/>
                <w:color w:val="auto"/>
                <w:szCs w:val="21"/>
                <w:highlight w:val="none"/>
              </w:rPr>
              <w:t>1800</w:t>
            </w:r>
          </w:p>
        </w:tc>
        <w:tc>
          <w:tcPr>
            <w:tcW w:w="1577" w:type="dxa"/>
            <w:tcBorders>
              <w:top w:val="single" w:color="auto" w:sz="4" w:space="0"/>
              <w:left w:val="single" w:color="auto" w:sz="4" w:space="0"/>
              <w:bottom w:val="single" w:color="auto" w:sz="4" w:space="0"/>
              <w:right w:val="single" w:color="auto" w:sz="4" w:space="0"/>
            </w:tcBorders>
            <w:vAlign w:val="center"/>
          </w:tcPr>
          <w:p w14:paraId="5E96E907">
            <w:pPr>
              <w:widowControl/>
              <w:rPr>
                <w:rFonts w:ascii="宋体" w:hAnsi="宋体" w:eastAsia="等线"/>
                <w:color w:val="auto"/>
                <w:szCs w:val="21"/>
                <w:highlight w:val="none"/>
              </w:rPr>
            </w:pPr>
            <w:r>
              <w:rPr>
                <w:rFonts w:hint="eastAsia" w:ascii="宋体" w:hAnsi="宋体" w:eastAsia="等线"/>
                <w:color w:val="auto"/>
                <w:szCs w:val="21"/>
                <w:highlight w:val="none"/>
              </w:rPr>
              <w:t>GB 13735-2017、</w:t>
            </w:r>
          </w:p>
          <w:p w14:paraId="2E026407">
            <w:pPr>
              <w:widowControl/>
              <w:rPr>
                <w:rFonts w:ascii="宋体" w:hAnsi="宋体" w:eastAsia="等线"/>
                <w:color w:val="auto"/>
                <w:szCs w:val="21"/>
                <w:highlight w:val="none"/>
              </w:rPr>
            </w:pPr>
            <w:r>
              <w:rPr>
                <w:rFonts w:hint="eastAsia" w:ascii="宋体" w:hAnsi="宋体" w:eastAsia="等线"/>
                <w:color w:val="auto"/>
                <w:szCs w:val="21"/>
                <w:highlight w:val="none"/>
              </w:rPr>
              <w:t>GB/T 4455-2019</w:t>
            </w:r>
          </w:p>
        </w:tc>
        <w:tc>
          <w:tcPr>
            <w:tcW w:w="3962" w:type="dxa"/>
            <w:tcBorders>
              <w:top w:val="single" w:color="auto" w:sz="4" w:space="0"/>
              <w:left w:val="single" w:color="auto" w:sz="4" w:space="0"/>
              <w:bottom w:val="single" w:color="auto" w:sz="4" w:space="0"/>
              <w:right w:val="single" w:color="auto" w:sz="4" w:space="0"/>
            </w:tcBorders>
            <w:vAlign w:val="center"/>
          </w:tcPr>
          <w:p w14:paraId="64904C0D">
            <w:pPr>
              <w:widowControl/>
              <w:rPr>
                <w:rFonts w:ascii="宋体" w:hAnsi="宋体" w:eastAsia="等线" w:cs="Times New Roman"/>
                <w:color w:val="auto"/>
                <w:szCs w:val="21"/>
                <w:highlight w:val="none"/>
              </w:rPr>
            </w:pPr>
            <w:r>
              <w:rPr>
                <w:rFonts w:hint="eastAsia" w:ascii="宋体" w:hAnsi="宋体" w:eastAsia="宋体" w:cs="宋体"/>
                <w:color w:val="auto"/>
                <w:szCs w:val="21"/>
                <w:highlight w:val="none"/>
              </w:rPr>
              <w:t>GB 13735-2017</w:t>
            </w:r>
            <w:r>
              <w:rPr>
                <w:rFonts w:ascii="等线" w:hAnsi="等线" w:eastAsia="等线" w:cs="等线"/>
                <w:color w:val="auto"/>
                <w:szCs w:val="21"/>
                <w:highlight w:val="none"/>
              </w:rPr>
              <w:t>聚乙烯吹塑农用地面覆盖薄膜：厚度、厚度偏差、宽度极限偏差、外观、拉伸负荷（纵、橫向）、断裂伸长率、直角撕裂负荷（纵、橫向）；</w:t>
            </w:r>
          </w:p>
          <w:p w14:paraId="25E09722">
            <w:pPr>
              <w:rPr>
                <w:color w:val="auto"/>
                <w:highlight w:val="none"/>
              </w:rPr>
            </w:pPr>
            <w:r>
              <w:rPr>
                <w:rFonts w:hint="eastAsia" w:ascii="宋体" w:hAnsi="宋体" w:eastAsia="宋体" w:cs="宋体"/>
                <w:color w:val="auto"/>
                <w:szCs w:val="21"/>
                <w:highlight w:val="none"/>
              </w:rPr>
              <w:t>GB/T 4455-2019</w:t>
            </w:r>
            <w:r>
              <w:rPr>
                <w:rFonts w:ascii="等线" w:hAnsi="等线" w:eastAsia="等线" w:cs="等线"/>
                <w:color w:val="auto"/>
                <w:szCs w:val="21"/>
                <w:highlight w:val="none"/>
              </w:rPr>
              <w:t>农业用聚乙烯吹塑棚膜：宽度极限偏差、厚度极限偏差、厚度平均偏差、外观、拉伸强度</w:t>
            </w:r>
            <w:r>
              <w:rPr>
                <w:rFonts w:hint="eastAsia" w:ascii="宋体" w:hAnsi="宋体" w:eastAsia="宋体" w:cs="宋体"/>
                <w:color w:val="auto"/>
                <w:szCs w:val="21"/>
                <w:highlight w:val="none"/>
              </w:rPr>
              <w:t>(</w:t>
            </w:r>
            <w:r>
              <w:rPr>
                <w:rFonts w:ascii="等线" w:hAnsi="等线" w:eastAsia="等线" w:cs="等线"/>
                <w:color w:val="auto"/>
                <w:szCs w:val="21"/>
                <w:highlight w:val="none"/>
              </w:rPr>
              <w:t>纵、横向</w:t>
            </w:r>
            <w:r>
              <w:rPr>
                <w:rFonts w:hint="eastAsia" w:ascii="宋体" w:hAnsi="宋体" w:eastAsia="宋体" w:cs="宋体"/>
                <w:color w:val="auto"/>
                <w:szCs w:val="21"/>
                <w:highlight w:val="none"/>
              </w:rPr>
              <w:t>)</w:t>
            </w:r>
            <w:r>
              <w:rPr>
                <w:rFonts w:ascii="等线" w:hAnsi="等线" w:eastAsia="等线" w:cs="等线"/>
                <w:color w:val="auto"/>
                <w:szCs w:val="21"/>
                <w:highlight w:val="none"/>
              </w:rPr>
              <w:t>、断裂标称应变</w:t>
            </w:r>
            <w:r>
              <w:rPr>
                <w:rFonts w:hint="eastAsia" w:ascii="宋体" w:hAnsi="宋体" w:eastAsia="宋体" w:cs="宋体"/>
                <w:color w:val="auto"/>
                <w:szCs w:val="21"/>
                <w:highlight w:val="none"/>
              </w:rPr>
              <w:t>(</w:t>
            </w:r>
            <w:r>
              <w:rPr>
                <w:rFonts w:ascii="等线" w:hAnsi="等线" w:eastAsia="等线" w:cs="等线"/>
                <w:color w:val="auto"/>
                <w:szCs w:val="21"/>
                <w:highlight w:val="none"/>
              </w:rPr>
              <w:t>纵、横向</w:t>
            </w:r>
            <w:r>
              <w:rPr>
                <w:rFonts w:hint="eastAsia" w:ascii="宋体" w:hAnsi="宋体" w:eastAsia="宋体" w:cs="宋体"/>
                <w:color w:val="auto"/>
                <w:szCs w:val="21"/>
                <w:highlight w:val="none"/>
              </w:rPr>
              <w:t>)</w:t>
            </w:r>
            <w:r>
              <w:rPr>
                <w:rFonts w:ascii="等线" w:hAnsi="等线" w:eastAsia="等线" w:cs="等线"/>
                <w:color w:val="auto"/>
                <w:szCs w:val="21"/>
                <w:highlight w:val="none"/>
              </w:rPr>
              <w:t>、直角撕裂强度</w:t>
            </w:r>
            <w:r>
              <w:rPr>
                <w:rFonts w:hint="eastAsia" w:ascii="宋体" w:hAnsi="宋体" w:eastAsia="宋体" w:cs="宋体"/>
                <w:color w:val="auto"/>
                <w:szCs w:val="21"/>
                <w:highlight w:val="none"/>
              </w:rPr>
              <w:t>(</w:t>
            </w:r>
            <w:r>
              <w:rPr>
                <w:rFonts w:ascii="等线" w:hAnsi="等线" w:eastAsia="等线" w:cs="等线"/>
                <w:color w:val="auto"/>
                <w:szCs w:val="21"/>
                <w:highlight w:val="none"/>
              </w:rPr>
              <w:t>纵、横向</w:t>
            </w:r>
            <w:r>
              <w:rPr>
                <w:rFonts w:hint="eastAsia" w:ascii="宋体" w:hAnsi="宋体" w:eastAsia="宋体" w:cs="宋体"/>
                <w:color w:val="auto"/>
                <w:szCs w:val="21"/>
                <w:highlight w:val="none"/>
              </w:rPr>
              <w:t>)</w:t>
            </w:r>
            <w:r>
              <w:rPr>
                <w:rFonts w:ascii="等线" w:hAnsi="等线" w:eastAsia="等线" w:cs="等线"/>
                <w:color w:val="auto"/>
                <w:szCs w:val="21"/>
                <w:highlight w:val="none"/>
              </w:rPr>
              <w:t>、透光率、雾度、流滴性能（仅做初滴时间）</w:t>
            </w:r>
          </w:p>
          <w:p w14:paraId="38812478">
            <w:pPr>
              <w:widowControl/>
              <w:rPr>
                <w:rFonts w:ascii="宋体" w:hAnsi="宋体" w:eastAsia="等线"/>
                <w:color w:val="auto"/>
                <w:szCs w:val="21"/>
                <w:highlight w:val="none"/>
              </w:rPr>
            </w:pPr>
          </w:p>
        </w:tc>
      </w:tr>
      <w:tr w14:paraId="1370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34865516">
            <w:pPr>
              <w:jc w:val="center"/>
              <w:rPr>
                <w:rFonts w:ascii="宋体" w:hAnsi="宋体" w:eastAsia="等线"/>
                <w:color w:val="auto"/>
                <w:szCs w:val="21"/>
                <w:highlight w:val="none"/>
              </w:rPr>
            </w:pPr>
            <w:r>
              <w:rPr>
                <w:rFonts w:hint="eastAsia" w:ascii="宋体" w:hAnsi="宋体" w:eastAsia="等线"/>
                <w:color w:val="auto"/>
                <w:szCs w:val="21"/>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14:paraId="795709AD">
            <w:pPr>
              <w:widowControl/>
              <w:jc w:val="center"/>
              <w:rPr>
                <w:color w:val="auto"/>
                <w:highlight w:val="none"/>
              </w:rPr>
            </w:pPr>
            <w:r>
              <w:rPr>
                <w:rFonts w:hint="eastAsia"/>
                <w:color w:val="auto"/>
                <w:highlight w:val="none"/>
              </w:rPr>
              <w:t>野营帐篷</w:t>
            </w:r>
          </w:p>
        </w:tc>
        <w:tc>
          <w:tcPr>
            <w:tcW w:w="1265" w:type="dxa"/>
            <w:tcBorders>
              <w:top w:val="single" w:color="auto" w:sz="4" w:space="0"/>
              <w:left w:val="single" w:color="auto" w:sz="4" w:space="0"/>
              <w:bottom w:val="single" w:color="auto" w:sz="4" w:space="0"/>
              <w:right w:val="single" w:color="auto" w:sz="4" w:space="0"/>
            </w:tcBorders>
            <w:vAlign w:val="center"/>
          </w:tcPr>
          <w:p w14:paraId="5AB51075">
            <w:pPr>
              <w:widowControl/>
              <w:jc w:val="center"/>
              <w:rPr>
                <w:rFonts w:ascii="宋体" w:hAnsi="宋体" w:eastAsia="等线"/>
                <w:color w:val="auto"/>
                <w:szCs w:val="21"/>
                <w:highlight w:val="none"/>
              </w:rPr>
            </w:pPr>
            <w:r>
              <w:rPr>
                <w:rFonts w:hint="eastAsia" w:ascii="宋体" w:hAnsi="宋体"/>
                <w:color w:val="auto"/>
                <w:szCs w:val="21"/>
                <w:highlight w:val="none"/>
              </w:rPr>
              <w:t>8300</w:t>
            </w:r>
          </w:p>
        </w:tc>
        <w:tc>
          <w:tcPr>
            <w:tcW w:w="1577" w:type="dxa"/>
            <w:tcBorders>
              <w:top w:val="single" w:color="auto" w:sz="4" w:space="0"/>
              <w:left w:val="single" w:color="auto" w:sz="4" w:space="0"/>
              <w:bottom w:val="single" w:color="auto" w:sz="4" w:space="0"/>
              <w:right w:val="single" w:color="auto" w:sz="4" w:space="0"/>
            </w:tcBorders>
            <w:vAlign w:val="center"/>
          </w:tcPr>
          <w:p w14:paraId="5A02D6E5">
            <w:pPr>
              <w:widowControl/>
              <w:rPr>
                <w:rFonts w:ascii="宋体" w:hAnsi="宋体" w:eastAsia="等线"/>
                <w:color w:val="auto"/>
                <w:szCs w:val="21"/>
                <w:highlight w:val="none"/>
              </w:rPr>
            </w:pPr>
            <w:r>
              <w:rPr>
                <w:rFonts w:hint="eastAsia" w:ascii="宋体" w:hAnsi="宋体" w:eastAsia="等线"/>
                <w:color w:val="auto"/>
                <w:szCs w:val="21"/>
                <w:highlight w:val="none"/>
              </w:rPr>
              <w:t>GB/Z 27735-2022</w:t>
            </w:r>
          </w:p>
        </w:tc>
        <w:tc>
          <w:tcPr>
            <w:tcW w:w="3962" w:type="dxa"/>
            <w:tcBorders>
              <w:top w:val="single" w:color="auto" w:sz="4" w:space="0"/>
              <w:left w:val="single" w:color="auto" w:sz="4" w:space="0"/>
              <w:bottom w:val="single" w:color="auto" w:sz="4" w:space="0"/>
              <w:right w:val="single" w:color="auto" w:sz="4" w:space="0"/>
            </w:tcBorders>
            <w:vAlign w:val="center"/>
          </w:tcPr>
          <w:p w14:paraId="551229FD">
            <w:pPr>
              <w:widowControl/>
              <w:rPr>
                <w:rFonts w:ascii="宋体" w:hAnsi="宋体" w:eastAsia="等线"/>
                <w:color w:val="auto"/>
                <w:szCs w:val="21"/>
                <w:highlight w:val="none"/>
              </w:rPr>
            </w:pPr>
            <w:r>
              <w:rPr>
                <w:rFonts w:hint="eastAsia" w:ascii="宋体" w:hAnsi="宋体" w:eastAsia="等线"/>
                <w:color w:val="auto"/>
                <w:szCs w:val="21"/>
                <w:highlight w:val="none"/>
              </w:rPr>
              <w:t>撕裂强度、拉伸强度、抗渗水性、湿摩擦色牢度、刺穿阻力、地面紧固件、防护措施、尺寸稳定性、通风、帐篷出口、防蚊虫、防雨、拉链的平拉强力、拉绳系统的拉伸力、帐篷及帐杆袋、帐篷配件、帐篷支架和金属孔眼的耐腐蚀</w:t>
            </w:r>
          </w:p>
        </w:tc>
      </w:tr>
      <w:tr w14:paraId="3201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5A63CCCF">
            <w:pPr>
              <w:jc w:val="center"/>
              <w:rPr>
                <w:rFonts w:ascii="宋体" w:hAnsi="宋体" w:eastAsia="等线"/>
                <w:color w:val="auto"/>
                <w:szCs w:val="21"/>
                <w:highlight w:val="none"/>
              </w:rPr>
            </w:pPr>
            <w:r>
              <w:rPr>
                <w:rFonts w:hint="eastAsia" w:ascii="宋体" w:hAnsi="宋体" w:eastAsia="等线"/>
                <w:color w:val="auto"/>
                <w:szCs w:val="21"/>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14:paraId="537790E2">
            <w:pPr>
              <w:widowControl/>
              <w:jc w:val="center"/>
              <w:rPr>
                <w:color w:val="auto"/>
                <w:highlight w:val="none"/>
              </w:rPr>
            </w:pPr>
            <w:r>
              <w:rPr>
                <w:rFonts w:hint="eastAsia"/>
                <w:color w:val="auto"/>
                <w:highlight w:val="none"/>
              </w:rPr>
              <w:t>柔巾</w:t>
            </w:r>
          </w:p>
        </w:tc>
        <w:tc>
          <w:tcPr>
            <w:tcW w:w="1265" w:type="dxa"/>
            <w:tcBorders>
              <w:top w:val="single" w:color="auto" w:sz="4" w:space="0"/>
              <w:left w:val="single" w:color="auto" w:sz="4" w:space="0"/>
              <w:bottom w:val="single" w:color="auto" w:sz="4" w:space="0"/>
              <w:right w:val="single" w:color="auto" w:sz="4" w:space="0"/>
            </w:tcBorders>
            <w:vAlign w:val="center"/>
          </w:tcPr>
          <w:p w14:paraId="35B4562E">
            <w:pPr>
              <w:widowControl/>
              <w:jc w:val="center"/>
              <w:rPr>
                <w:rFonts w:ascii="宋体" w:hAnsi="宋体" w:eastAsia="等线"/>
                <w:color w:val="auto"/>
                <w:szCs w:val="21"/>
                <w:highlight w:val="none"/>
              </w:rPr>
            </w:pPr>
            <w:r>
              <w:rPr>
                <w:rFonts w:hint="eastAsia" w:ascii="宋体" w:hAnsi="宋体"/>
                <w:color w:val="auto"/>
                <w:szCs w:val="21"/>
                <w:highlight w:val="none"/>
              </w:rPr>
              <w:t>3280</w:t>
            </w:r>
          </w:p>
        </w:tc>
        <w:tc>
          <w:tcPr>
            <w:tcW w:w="1577" w:type="dxa"/>
            <w:tcBorders>
              <w:top w:val="single" w:color="auto" w:sz="4" w:space="0"/>
              <w:left w:val="single" w:color="auto" w:sz="4" w:space="0"/>
              <w:bottom w:val="single" w:color="auto" w:sz="4" w:space="0"/>
              <w:right w:val="single" w:color="auto" w:sz="4" w:space="0"/>
            </w:tcBorders>
            <w:vAlign w:val="center"/>
          </w:tcPr>
          <w:p w14:paraId="27637933">
            <w:pPr>
              <w:widowControl/>
              <w:rPr>
                <w:rFonts w:ascii="宋体" w:hAnsi="宋体" w:eastAsia="等线"/>
                <w:color w:val="auto"/>
                <w:szCs w:val="21"/>
                <w:highlight w:val="none"/>
              </w:rPr>
            </w:pPr>
            <w:r>
              <w:rPr>
                <w:rFonts w:hint="eastAsia" w:ascii="宋体" w:hAnsi="宋体" w:eastAsia="等线"/>
                <w:color w:val="auto"/>
                <w:szCs w:val="21"/>
                <w:highlight w:val="none"/>
              </w:rPr>
              <w:t>GB/T 40276-2021</w:t>
            </w:r>
          </w:p>
        </w:tc>
        <w:tc>
          <w:tcPr>
            <w:tcW w:w="3962" w:type="dxa"/>
            <w:tcBorders>
              <w:top w:val="single" w:color="auto" w:sz="4" w:space="0"/>
              <w:left w:val="single" w:color="auto" w:sz="4" w:space="0"/>
              <w:bottom w:val="single" w:color="auto" w:sz="4" w:space="0"/>
              <w:right w:val="single" w:color="auto" w:sz="4" w:space="0"/>
            </w:tcBorders>
            <w:vAlign w:val="center"/>
          </w:tcPr>
          <w:p w14:paraId="43CDDC0C">
            <w:pPr>
              <w:widowControl/>
              <w:rPr>
                <w:rFonts w:ascii="宋体" w:hAnsi="宋体" w:eastAsia="等线"/>
                <w:color w:val="auto"/>
                <w:szCs w:val="21"/>
                <w:highlight w:val="none"/>
              </w:rPr>
            </w:pPr>
            <w:r>
              <w:rPr>
                <w:rFonts w:hint="eastAsia" w:ascii="宋体" w:hAnsi="宋体" w:eastAsia="等线"/>
                <w:color w:val="auto"/>
                <w:szCs w:val="21"/>
                <w:highlight w:val="none"/>
              </w:rPr>
              <w:t>纤维含量允差、单位面积质量变异系数、甲醛含量、PH值、异味、重金属、可分解致癌芳香胺染料、耐水色牢度、耐汗渍色牢度、耐干湿摩擦色牢度、耐唾液色牢度、干湿态断裂强力、微生物</w:t>
            </w:r>
          </w:p>
        </w:tc>
      </w:tr>
      <w:tr w14:paraId="3069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29154673">
            <w:pPr>
              <w:jc w:val="center"/>
              <w:rPr>
                <w:rFonts w:ascii="宋体" w:hAnsi="宋体" w:eastAsia="等线"/>
                <w:color w:val="auto"/>
                <w:szCs w:val="21"/>
                <w:highlight w:val="none"/>
              </w:rPr>
            </w:pPr>
            <w:r>
              <w:rPr>
                <w:rFonts w:hint="eastAsia" w:ascii="宋体" w:hAnsi="宋体" w:eastAsia="等线"/>
                <w:color w:val="auto"/>
                <w:szCs w:val="21"/>
                <w:highlight w:val="none"/>
              </w:rPr>
              <w:t>28</w:t>
            </w:r>
          </w:p>
        </w:tc>
        <w:tc>
          <w:tcPr>
            <w:tcW w:w="1559" w:type="dxa"/>
            <w:tcBorders>
              <w:top w:val="single" w:color="auto" w:sz="4" w:space="0"/>
              <w:left w:val="single" w:color="auto" w:sz="4" w:space="0"/>
              <w:bottom w:val="single" w:color="auto" w:sz="4" w:space="0"/>
              <w:right w:val="single" w:color="auto" w:sz="4" w:space="0"/>
            </w:tcBorders>
            <w:vAlign w:val="center"/>
          </w:tcPr>
          <w:p w14:paraId="3B0402FA">
            <w:pPr>
              <w:widowControl/>
              <w:jc w:val="center"/>
              <w:rPr>
                <w:color w:val="auto"/>
                <w:highlight w:val="none"/>
              </w:rPr>
            </w:pPr>
            <w:r>
              <w:rPr>
                <w:rFonts w:hint="eastAsia"/>
                <w:color w:val="auto"/>
                <w:highlight w:val="none"/>
              </w:rPr>
              <w:t>家用燃气</w:t>
            </w:r>
            <w:r>
              <w:rPr>
                <w:color w:val="auto"/>
                <w:highlight w:val="none"/>
              </w:rPr>
              <w:t>灶</w:t>
            </w:r>
          </w:p>
        </w:tc>
        <w:tc>
          <w:tcPr>
            <w:tcW w:w="1265" w:type="dxa"/>
            <w:tcBorders>
              <w:top w:val="single" w:color="auto" w:sz="4" w:space="0"/>
              <w:left w:val="single" w:color="auto" w:sz="4" w:space="0"/>
              <w:bottom w:val="single" w:color="auto" w:sz="4" w:space="0"/>
              <w:right w:val="single" w:color="auto" w:sz="4" w:space="0"/>
            </w:tcBorders>
            <w:vAlign w:val="center"/>
          </w:tcPr>
          <w:p w14:paraId="1A12C08E">
            <w:pPr>
              <w:widowControl/>
              <w:jc w:val="center"/>
              <w:rPr>
                <w:rFonts w:ascii="宋体" w:hAnsi="宋体" w:eastAsia="等线"/>
                <w:color w:val="auto"/>
                <w:szCs w:val="21"/>
                <w:highlight w:val="none"/>
              </w:rPr>
            </w:pPr>
            <w:r>
              <w:rPr>
                <w:rFonts w:hint="eastAsia" w:ascii="宋体" w:hAnsi="宋体" w:eastAsia="等线"/>
                <w:color w:val="auto"/>
                <w:szCs w:val="21"/>
                <w:highlight w:val="none"/>
              </w:rPr>
              <w:t>3500</w:t>
            </w:r>
          </w:p>
        </w:tc>
        <w:tc>
          <w:tcPr>
            <w:tcW w:w="1577" w:type="dxa"/>
            <w:tcBorders>
              <w:top w:val="single" w:color="auto" w:sz="4" w:space="0"/>
              <w:left w:val="single" w:color="auto" w:sz="4" w:space="0"/>
              <w:bottom w:val="single" w:color="auto" w:sz="4" w:space="0"/>
              <w:right w:val="single" w:color="auto" w:sz="4" w:space="0"/>
            </w:tcBorders>
            <w:vAlign w:val="center"/>
          </w:tcPr>
          <w:p w14:paraId="46CE71D4">
            <w:pPr>
              <w:widowControl/>
              <w:rPr>
                <w:rFonts w:ascii="宋体" w:hAnsi="宋体" w:eastAsia="等线"/>
                <w:color w:val="auto"/>
                <w:szCs w:val="21"/>
                <w:highlight w:val="none"/>
              </w:rPr>
            </w:pPr>
            <w:r>
              <w:rPr>
                <w:rFonts w:hint="eastAsia" w:ascii="宋体" w:hAnsi="宋体" w:eastAsia="等线"/>
                <w:color w:val="auto"/>
                <w:szCs w:val="21"/>
                <w:highlight w:val="none"/>
              </w:rPr>
              <w:t>GB</w:t>
            </w:r>
          </w:p>
          <w:p w14:paraId="5AB24F7C">
            <w:pPr>
              <w:widowControl/>
              <w:rPr>
                <w:rFonts w:ascii="宋体" w:hAnsi="宋体" w:eastAsia="等线"/>
                <w:color w:val="auto"/>
                <w:szCs w:val="21"/>
                <w:highlight w:val="none"/>
              </w:rPr>
            </w:pPr>
            <w:r>
              <w:rPr>
                <w:rFonts w:hint="eastAsia" w:ascii="宋体" w:hAnsi="宋体" w:eastAsia="等线"/>
                <w:color w:val="auto"/>
                <w:szCs w:val="21"/>
                <w:highlight w:val="none"/>
              </w:rPr>
              <w:t>16410-2020 、</w:t>
            </w:r>
          </w:p>
          <w:p w14:paraId="65E0C120">
            <w:pPr>
              <w:widowControl/>
              <w:rPr>
                <w:rFonts w:ascii="宋体" w:hAnsi="宋体" w:eastAsia="等线"/>
                <w:color w:val="auto"/>
                <w:szCs w:val="21"/>
                <w:highlight w:val="none"/>
              </w:rPr>
            </w:pPr>
            <w:r>
              <w:rPr>
                <w:rFonts w:hint="eastAsia" w:ascii="宋体" w:hAnsi="宋体" w:eastAsia="等线"/>
                <w:color w:val="auto"/>
                <w:szCs w:val="21"/>
                <w:highlight w:val="none"/>
              </w:rPr>
              <w:t xml:space="preserve">GB 30720-2014 </w:t>
            </w:r>
          </w:p>
        </w:tc>
        <w:tc>
          <w:tcPr>
            <w:tcW w:w="3962" w:type="dxa"/>
            <w:tcBorders>
              <w:top w:val="single" w:color="auto" w:sz="4" w:space="0"/>
              <w:left w:val="single" w:color="auto" w:sz="4" w:space="0"/>
              <w:bottom w:val="single" w:color="auto" w:sz="4" w:space="0"/>
              <w:right w:val="single" w:color="auto" w:sz="4" w:space="0"/>
            </w:tcBorders>
            <w:vAlign w:val="center"/>
          </w:tcPr>
          <w:p w14:paraId="2F7ED770">
            <w:pPr>
              <w:widowControl/>
              <w:rPr>
                <w:rFonts w:ascii="宋体" w:hAnsi="宋体" w:eastAsia="等线"/>
                <w:color w:val="auto"/>
                <w:szCs w:val="21"/>
                <w:highlight w:val="none"/>
              </w:rPr>
            </w:pPr>
            <w:r>
              <w:rPr>
                <w:rFonts w:hint="eastAsia" w:ascii="宋体" w:hAnsi="宋体" w:eastAsia="等线"/>
                <w:color w:val="auto"/>
                <w:szCs w:val="21"/>
                <w:highlight w:val="none"/>
              </w:rPr>
              <w:t>气密性、热负荷、燃烧工况、温升、耐热冲击、耐重力冲击、安全装置、电点火装置、使用性能、电气性能、灶结构、标志、包装、安装使用说明书</w:t>
            </w:r>
          </w:p>
        </w:tc>
      </w:tr>
      <w:tr w14:paraId="65A6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D73472B">
            <w:pPr>
              <w:jc w:val="center"/>
              <w:rPr>
                <w:rFonts w:ascii="宋体" w:hAnsi="宋体" w:eastAsia="等线"/>
                <w:color w:val="auto"/>
                <w:szCs w:val="21"/>
                <w:highlight w:val="none"/>
              </w:rPr>
            </w:pPr>
            <w:r>
              <w:rPr>
                <w:rFonts w:hint="eastAsia" w:ascii="宋体" w:hAnsi="宋体" w:eastAsia="等线"/>
                <w:color w:val="auto"/>
                <w:szCs w:val="21"/>
                <w:highlight w:val="none"/>
              </w:rPr>
              <w:t>29</w:t>
            </w:r>
          </w:p>
        </w:tc>
        <w:tc>
          <w:tcPr>
            <w:tcW w:w="1559" w:type="dxa"/>
            <w:tcBorders>
              <w:top w:val="single" w:color="auto" w:sz="4" w:space="0"/>
              <w:left w:val="single" w:color="auto" w:sz="4" w:space="0"/>
              <w:bottom w:val="single" w:color="auto" w:sz="4" w:space="0"/>
              <w:right w:val="single" w:color="auto" w:sz="4" w:space="0"/>
            </w:tcBorders>
            <w:vAlign w:val="center"/>
          </w:tcPr>
          <w:p w14:paraId="3A0D9F52">
            <w:pPr>
              <w:widowControl/>
              <w:jc w:val="center"/>
              <w:rPr>
                <w:color w:val="auto"/>
                <w:highlight w:val="none"/>
              </w:rPr>
            </w:pPr>
            <w:r>
              <w:rPr>
                <w:color w:val="auto"/>
                <w:highlight w:val="none"/>
              </w:rPr>
              <w:t>调压器</w:t>
            </w:r>
          </w:p>
        </w:tc>
        <w:tc>
          <w:tcPr>
            <w:tcW w:w="1265" w:type="dxa"/>
            <w:tcBorders>
              <w:top w:val="single" w:color="auto" w:sz="4" w:space="0"/>
              <w:left w:val="single" w:color="auto" w:sz="4" w:space="0"/>
              <w:bottom w:val="single" w:color="auto" w:sz="4" w:space="0"/>
              <w:right w:val="single" w:color="auto" w:sz="4" w:space="0"/>
            </w:tcBorders>
            <w:vAlign w:val="center"/>
          </w:tcPr>
          <w:p w14:paraId="03C74572">
            <w:pPr>
              <w:widowControl/>
              <w:jc w:val="center"/>
              <w:rPr>
                <w:rFonts w:ascii="宋体" w:hAnsi="宋体" w:eastAsia="等线"/>
                <w:color w:val="auto"/>
                <w:szCs w:val="21"/>
                <w:highlight w:val="none"/>
              </w:rPr>
            </w:pPr>
            <w:r>
              <w:rPr>
                <w:rFonts w:hint="eastAsia" w:ascii="宋体" w:hAnsi="宋体" w:eastAsia="等线"/>
                <w:color w:val="auto"/>
                <w:szCs w:val="21"/>
                <w:highlight w:val="none"/>
              </w:rPr>
              <w:t>3000</w:t>
            </w:r>
          </w:p>
        </w:tc>
        <w:tc>
          <w:tcPr>
            <w:tcW w:w="1577" w:type="dxa"/>
            <w:tcBorders>
              <w:top w:val="single" w:color="auto" w:sz="4" w:space="0"/>
              <w:left w:val="single" w:color="auto" w:sz="4" w:space="0"/>
              <w:bottom w:val="single" w:color="auto" w:sz="4" w:space="0"/>
              <w:right w:val="single" w:color="auto" w:sz="4" w:space="0"/>
            </w:tcBorders>
            <w:vAlign w:val="center"/>
          </w:tcPr>
          <w:p w14:paraId="32A3830B">
            <w:pPr>
              <w:widowControl/>
              <w:rPr>
                <w:rFonts w:ascii="宋体" w:hAnsi="宋体" w:eastAsia="等线"/>
                <w:color w:val="auto"/>
                <w:szCs w:val="21"/>
                <w:highlight w:val="none"/>
              </w:rPr>
            </w:pPr>
            <w:r>
              <w:rPr>
                <w:rFonts w:hint="eastAsia" w:ascii="宋体" w:hAnsi="宋体" w:eastAsia="等线"/>
                <w:color w:val="auto"/>
                <w:szCs w:val="21"/>
                <w:highlight w:val="none"/>
              </w:rPr>
              <w:t>GB 35844-2018、</w:t>
            </w:r>
          </w:p>
          <w:p w14:paraId="511A108A">
            <w:pPr>
              <w:widowControl/>
              <w:rPr>
                <w:rFonts w:ascii="宋体" w:hAnsi="宋体" w:eastAsia="等线"/>
                <w:color w:val="auto"/>
                <w:szCs w:val="21"/>
                <w:highlight w:val="none"/>
              </w:rPr>
            </w:pPr>
            <w:r>
              <w:rPr>
                <w:rFonts w:hint="eastAsia" w:ascii="宋体" w:hAnsi="宋体" w:eastAsia="等线"/>
                <w:color w:val="auto"/>
                <w:szCs w:val="21"/>
                <w:highlight w:val="none"/>
              </w:rPr>
              <w:t>CJ/T 50-2008</w:t>
            </w:r>
          </w:p>
        </w:tc>
        <w:tc>
          <w:tcPr>
            <w:tcW w:w="3962" w:type="dxa"/>
            <w:tcBorders>
              <w:top w:val="single" w:color="auto" w:sz="4" w:space="0"/>
              <w:left w:val="single" w:color="auto" w:sz="4" w:space="0"/>
              <w:bottom w:val="single" w:color="auto" w:sz="4" w:space="0"/>
              <w:right w:val="single" w:color="auto" w:sz="4" w:space="0"/>
            </w:tcBorders>
            <w:vAlign w:val="center"/>
          </w:tcPr>
          <w:p w14:paraId="068CC63C">
            <w:pPr>
              <w:widowControl/>
              <w:rPr>
                <w:rFonts w:ascii="宋体" w:hAnsi="宋体" w:eastAsia="等线"/>
                <w:color w:val="auto"/>
                <w:szCs w:val="21"/>
                <w:highlight w:val="none"/>
              </w:rPr>
            </w:pPr>
            <w:r>
              <w:rPr>
                <w:rFonts w:hint="eastAsia" w:ascii="宋体" w:hAnsi="宋体" w:eastAsia="等线"/>
                <w:color w:val="auto"/>
                <w:szCs w:val="21"/>
                <w:highlight w:val="none"/>
              </w:rPr>
              <w:t>GB 35844-2018：非金属零部件（橡胶件外观、橡胶件耐液化石油气性能、塑料件耐液化石油气性能）、结构（一般要求、感压组件、调压组件、承压组件、接头组件）、外观、气密性（调压器气密性、手动关闭机构气密性）、机械强度（耐冲击性、耐压性、连接接头机械强度）、标志、警示和使用说明书、包装；</w:t>
            </w:r>
          </w:p>
          <w:p w14:paraId="0A4CA635">
            <w:pPr>
              <w:widowControl/>
              <w:rPr>
                <w:rFonts w:ascii="宋体" w:hAnsi="宋体" w:eastAsia="等线"/>
                <w:color w:val="auto"/>
                <w:szCs w:val="21"/>
                <w:highlight w:val="none"/>
              </w:rPr>
            </w:pPr>
            <w:r>
              <w:rPr>
                <w:rFonts w:hint="eastAsia" w:ascii="宋体" w:hAnsi="宋体" w:eastAsia="等线"/>
                <w:color w:val="auto"/>
                <w:szCs w:val="21"/>
                <w:highlight w:val="none"/>
              </w:rPr>
              <w:t>CJ/T 50-2008：橡胶件耐液化石油气性能、橡胶件外观、塑料件耐液化石油气性能、防止改变状态措施、进口过滤网、呼吸孔、手轮螺纹及尺寸、出气口尺寸、表面处理、外观、气密性、关闭压力、出口压力、强度（整体强度试验、进口侧强度试验、坠落试验）、标志、使用说明书</w:t>
            </w:r>
          </w:p>
        </w:tc>
      </w:tr>
      <w:tr w14:paraId="679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573C5D79">
            <w:pPr>
              <w:jc w:val="center"/>
              <w:rPr>
                <w:rFonts w:ascii="宋体" w:hAnsi="宋体" w:eastAsia="等线"/>
                <w:color w:val="auto"/>
                <w:szCs w:val="21"/>
                <w:highlight w:val="none"/>
              </w:rPr>
            </w:pPr>
            <w:r>
              <w:rPr>
                <w:rFonts w:hint="eastAsia" w:ascii="宋体" w:hAnsi="宋体" w:eastAsia="等线"/>
                <w:color w:val="auto"/>
                <w:szCs w:val="21"/>
                <w:highlight w:val="none"/>
              </w:rPr>
              <w:t>30</w:t>
            </w:r>
          </w:p>
        </w:tc>
        <w:tc>
          <w:tcPr>
            <w:tcW w:w="1559" w:type="dxa"/>
            <w:tcBorders>
              <w:top w:val="single" w:color="auto" w:sz="4" w:space="0"/>
              <w:left w:val="single" w:color="auto" w:sz="4" w:space="0"/>
              <w:bottom w:val="single" w:color="auto" w:sz="4" w:space="0"/>
              <w:right w:val="single" w:color="auto" w:sz="4" w:space="0"/>
            </w:tcBorders>
            <w:vAlign w:val="center"/>
          </w:tcPr>
          <w:p w14:paraId="29AA069C">
            <w:pPr>
              <w:widowControl/>
              <w:jc w:val="center"/>
              <w:rPr>
                <w:color w:val="auto"/>
                <w:highlight w:val="none"/>
              </w:rPr>
            </w:pPr>
            <w:r>
              <w:rPr>
                <w:rFonts w:hint="eastAsia"/>
                <w:color w:val="auto"/>
                <w:highlight w:val="none"/>
              </w:rPr>
              <w:t>软管</w:t>
            </w:r>
          </w:p>
        </w:tc>
        <w:tc>
          <w:tcPr>
            <w:tcW w:w="1265" w:type="dxa"/>
            <w:tcBorders>
              <w:top w:val="single" w:color="auto" w:sz="4" w:space="0"/>
              <w:left w:val="single" w:color="auto" w:sz="4" w:space="0"/>
              <w:bottom w:val="single" w:color="auto" w:sz="4" w:space="0"/>
              <w:right w:val="single" w:color="auto" w:sz="4" w:space="0"/>
            </w:tcBorders>
            <w:vAlign w:val="center"/>
          </w:tcPr>
          <w:p w14:paraId="23BFB72E">
            <w:pPr>
              <w:widowControl/>
              <w:jc w:val="center"/>
              <w:rPr>
                <w:rFonts w:ascii="宋体" w:hAnsi="宋体" w:eastAsia="等线"/>
                <w:color w:val="auto"/>
                <w:szCs w:val="21"/>
                <w:highlight w:val="none"/>
              </w:rPr>
            </w:pPr>
            <w:r>
              <w:rPr>
                <w:rFonts w:hint="eastAsia" w:ascii="宋体" w:hAnsi="宋体" w:eastAsia="等线"/>
                <w:color w:val="auto"/>
                <w:szCs w:val="21"/>
                <w:highlight w:val="none"/>
              </w:rPr>
              <w:t>3300</w:t>
            </w:r>
          </w:p>
        </w:tc>
        <w:tc>
          <w:tcPr>
            <w:tcW w:w="1577" w:type="dxa"/>
            <w:tcBorders>
              <w:top w:val="single" w:color="auto" w:sz="4" w:space="0"/>
              <w:left w:val="single" w:color="auto" w:sz="4" w:space="0"/>
              <w:bottom w:val="single" w:color="auto" w:sz="4" w:space="0"/>
              <w:right w:val="single" w:color="auto" w:sz="4" w:space="0"/>
            </w:tcBorders>
            <w:vAlign w:val="center"/>
          </w:tcPr>
          <w:p w14:paraId="094A90C6">
            <w:pPr>
              <w:widowControl/>
              <w:rPr>
                <w:rFonts w:ascii="宋体" w:hAnsi="宋体" w:eastAsia="等线"/>
                <w:color w:val="auto"/>
                <w:szCs w:val="21"/>
                <w:highlight w:val="none"/>
              </w:rPr>
            </w:pPr>
            <w:r>
              <w:rPr>
                <w:rFonts w:hint="eastAsia" w:ascii="宋体" w:hAnsi="宋体" w:eastAsia="等线"/>
                <w:color w:val="auto"/>
                <w:szCs w:val="21"/>
                <w:highlight w:val="none"/>
              </w:rPr>
              <w:t>GB 44017-2024、</w:t>
            </w:r>
          </w:p>
          <w:p w14:paraId="35044198">
            <w:pPr>
              <w:widowControl/>
              <w:rPr>
                <w:rFonts w:ascii="宋体" w:hAnsi="宋体" w:eastAsia="等线"/>
                <w:color w:val="auto"/>
                <w:szCs w:val="21"/>
                <w:highlight w:val="none"/>
              </w:rPr>
            </w:pPr>
            <w:r>
              <w:rPr>
                <w:rFonts w:hint="eastAsia" w:ascii="宋体" w:hAnsi="宋体" w:eastAsia="等线"/>
                <w:color w:val="auto"/>
                <w:szCs w:val="21"/>
                <w:highlight w:val="none"/>
              </w:rPr>
              <w:t>GB/T 41317-2022、</w:t>
            </w:r>
          </w:p>
          <w:p w14:paraId="463E935B">
            <w:pPr>
              <w:widowControl/>
              <w:rPr>
                <w:rFonts w:ascii="宋体" w:hAnsi="宋体" w:eastAsia="等线"/>
                <w:color w:val="auto"/>
                <w:szCs w:val="21"/>
                <w:highlight w:val="none"/>
              </w:rPr>
            </w:pPr>
            <w:r>
              <w:rPr>
                <w:rFonts w:hint="eastAsia" w:ascii="宋体" w:hAnsi="宋体" w:eastAsia="等线"/>
                <w:color w:val="auto"/>
                <w:szCs w:val="21"/>
                <w:highlight w:val="none"/>
              </w:rPr>
              <w:t>GB 41317-2024、</w:t>
            </w:r>
          </w:p>
          <w:p w14:paraId="4261AA8E">
            <w:pPr>
              <w:widowControl/>
              <w:rPr>
                <w:rFonts w:ascii="宋体" w:hAnsi="宋体" w:eastAsia="等线"/>
                <w:color w:val="auto"/>
                <w:szCs w:val="21"/>
                <w:highlight w:val="none"/>
              </w:rPr>
            </w:pPr>
            <w:r>
              <w:rPr>
                <w:rFonts w:hint="eastAsia" w:ascii="宋体" w:hAnsi="宋体" w:eastAsia="等线"/>
                <w:color w:val="auto"/>
                <w:szCs w:val="21"/>
                <w:highlight w:val="none"/>
              </w:rPr>
              <w:t>CJ/T 197-2010、GB/T 26002-2010、</w:t>
            </w:r>
          </w:p>
          <w:p w14:paraId="287F40F0">
            <w:pPr>
              <w:widowControl/>
              <w:rPr>
                <w:rFonts w:ascii="宋体" w:hAnsi="宋体" w:eastAsia="等线"/>
                <w:color w:val="auto"/>
                <w:szCs w:val="21"/>
                <w:highlight w:val="none"/>
              </w:rPr>
            </w:pPr>
            <w:r>
              <w:rPr>
                <w:rFonts w:hint="eastAsia" w:ascii="宋体" w:hAnsi="宋体" w:eastAsia="等线"/>
                <w:color w:val="auto"/>
                <w:szCs w:val="21"/>
                <w:highlight w:val="none"/>
              </w:rPr>
              <w:t>CJ/T 490-2016、</w:t>
            </w:r>
          </w:p>
          <w:p w14:paraId="39A9E320">
            <w:pPr>
              <w:widowControl/>
              <w:rPr>
                <w:rFonts w:ascii="宋体" w:hAnsi="宋体" w:eastAsia="等线"/>
                <w:color w:val="auto"/>
                <w:szCs w:val="21"/>
                <w:highlight w:val="none"/>
              </w:rPr>
            </w:pPr>
            <w:r>
              <w:rPr>
                <w:rFonts w:hint="eastAsia" w:ascii="宋体" w:hAnsi="宋体" w:eastAsia="等线"/>
                <w:color w:val="auto"/>
                <w:szCs w:val="21"/>
                <w:highlight w:val="none"/>
              </w:rPr>
              <w:t>CJ/T 491-2016</w:t>
            </w:r>
          </w:p>
          <w:p w14:paraId="51749242">
            <w:pPr>
              <w:widowControl/>
              <w:rPr>
                <w:rFonts w:ascii="宋体" w:hAnsi="宋体" w:eastAsia="等线"/>
                <w:color w:val="auto"/>
                <w:szCs w:val="21"/>
                <w:highlight w:val="none"/>
              </w:rPr>
            </w:pPr>
          </w:p>
          <w:p w14:paraId="73776FAB">
            <w:pPr>
              <w:widowControl/>
              <w:rPr>
                <w:rFonts w:ascii="宋体" w:hAnsi="宋体" w:eastAsia="等线"/>
                <w:color w:val="auto"/>
                <w:szCs w:val="21"/>
                <w:highlight w:val="none"/>
              </w:rPr>
            </w:pPr>
          </w:p>
        </w:tc>
        <w:tc>
          <w:tcPr>
            <w:tcW w:w="3962" w:type="dxa"/>
            <w:tcBorders>
              <w:top w:val="single" w:color="auto" w:sz="4" w:space="0"/>
              <w:left w:val="single" w:color="auto" w:sz="4" w:space="0"/>
              <w:bottom w:val="single" w:color="auto" w:sz="4" w:space="0"/>
              <w:right w:val="single" w:color="auto" w:sz="4" w:space="0"/>
            </w:tcBorders>
            <w:vAlign w:val="center"/>
          </w:tcPr>
          <w:p w14:paraId="27BB9B12">
            <w:pPr>
              <w:widowControl/>
              <w:rPr>
                <w:rFonts w:ascii="宋体" w:hAnsi="宋体" w:eastAsia="等线"/>
                <w:color w:val="auto"/>
                <w:szCs w:val="21"/>
                <w:highlight w:val="none"/>
              </w:rPr>
            </w:pPr>
            <w:r>
              <w:rPr>
                <w:rFonts w:hint="eastAsia" w:ascii="宋体" w:hAnsi="宋体" w:eastAsia="等线"/>
                <w:color w:val="auto"/>
                <w:szCs w:val="21"/>
                <w:highlight w:val="none"/>
              </w:rPr>
              <w:t>GB 44017-2024燃气用具连接用金属包覆软管：外观、包覆管/气密性、包覆管/耐压性、被覆层/阻燃性、被覆层/耐冷热变化性、接头/耐冲击性、接头/耐安装强度、密封垫片/耐燃气性、标志；</w:t>
            </w:r>
          </w:p>
          <w:p w14:paraId="7BD8191A">
            <w:pPr>
              <w:widowControl/>
              <w:rPr>
                <w:rFonts w:ascii="宋体" w:hAnsi="宋体" w:eastAsia="等线"/>
                <w:color w:val="auto"/>
                <w:szCs w:val="21"/>
                <w:highlight w:val="none"/>
              </w:rPr>
            </w:pPr>
            <w:r>
              <w:rPr>
                <w:rFonts w:hint="eastAsia" w:ascii="宋体" w:hAnsi="宋体" w:eastAsia="等线"/>
                <w:color w:val="auto"/>
                <w:szCs w:val="21"/>
                <w:highlight w:val="none"/>
              </w:rPr>
              <w:t>GB/T 41317-2022燃气用具连接用不锈钢波纹软管：结构与尺寸（软管长度）、软管耐压性、软管气密性、软管耐热性、软管接头耐安装性、软管被覆层阻燃性、软管被覆层耐冷热变化性、标志；</w:t>
            </w:r>
          </w:p>
          <w:p w14:paraId="1C325023">
            <w:pPr>
              <w:widowControl/>
              <w:rPr>
                <w:rFonts w:ascii="宋体" w:hAnsi="宋体" w:eastAsia="等线"/>
                <w:color w:val="auto"/>
                <w:szCs w:val="21"/>
                <w:highlight w:val="none"/>
              </w:rPr>
            </w:pPr>
            <w:r>
              <w:rPr>
                <w:rFonts w:hint="eastAsia" w:ascii="宋体" w:hAnsi="宋体" w:eastAsia="等线"/>
                <w:color w:val="auto"/>
                <w:szCs w:val="21"/>
                <w:highlight w:val="none"/>
              </w:rPr>
              <w:t>GB 41317-2024燃气用具连接用不锈钢波纹软管：结构与尺寸（波纹软管长度）、被覆层/耐冷热变化性、波纹软管/耐压性、被覆层/阻燃性、接头/耐安装强度、波纹软管/气密性、波纹软管/耐热性、标志；</w:t>
            </w:r>
          </w:p>
          <w:p w14:paraId="6BA80ACA">
            <w:pPr>
              <w:widowControl/>
              <w:rPr>
                <w:rFonts w:ascii="宋体" w:hAnsi="宋体" w:eastAsia="等线"/>
                <w:color w:val="auto"/>
                <w:szCs w:val="21"/>
                <w:highlight w:val="none"/>
              </w:rPr>
            </w:pPr>
            <w:r>
              <w:rPr>
                <w:rFonts w:hint="eastAsia" w:ascii="宋体" w:hAnsi="宋体" w:eastAsia="等线"/>
                <w:color w:val="auto"/>
                <w:szCs w:val="21"/>
                <w:highlight w:val="none"/>
              </w:rPr>
              <w:t>CJ/T 197-2010燃气用具连接用不锈钢波纹软管：结构与尺寸（软管长度）、软管耐压性、软管气密性、软管耐热性、接头耐安装性、被覆层阻燃性、被覆层耐冷热变化性、标志；</w:t>
            </w:r>
          </w:p>
          <w:p w14:paraId="5F3D87F8">
            <w:pPr>
              <w:widowControl/>
              <w:rPr>
                <w:rFonts w:ascii="宋体" w:hAnsi="宋体" w:eastAsia="等线"/>
                <w:color w:val="auto"/>
                <w:szCs w:val="21"/>
                <w:highlight w:val="none"/>
              </w:rPr>
            </w:pPr>
            <w:r>
              <w:rPr>
                <w:rFonts w:hint="eastAsia" w:ascii="宋体" w:hAnsi="宋体" w:eastAsia="等线"/>
                <w:color w:val="auto"/>
                <w:szCs w:val="21"/>
                <w:highlight w:val="none"/>
              </w:rPr>
              <w:t>GB/T 26002-2010燃气输送用不锈钢波纹软管及管件：外观、软管气密性、软管耐压性、软管阻燃性、管件气密性、管件耐压性、标志；</w:t>
            </w:r>
          </w:p>
          <w:p w14:paraId="0C58DA88">
            <w:pPr>
              <w:widowControl/>
              <w:rPr>
                <w:rFonts w:ascii="宋体" w:hAnsi="宋体" w:eastAsia="等线"/>
                <w:color w:val="auto"/>
                <w:szCs w:val="21"/>
                <w:highlight w:val="none"/>
              </w:rPr>
            </w:pPr>
            <w:r>
              <w:rPr>
                <w:rFonts w:hint="eastAsia" w:ascii="宋体" w:hAnsi="宋体" w:eastAsia="等线"/>
                <w:color w:val="auto"/>
                <w:szCs w:val="21"/>
                <w:highlight w:val="none"/>
              </w:rPr>
              <w:t>CJ/T 490-2016燃气用具连接用金属包覆软管：外观、软管耐压性、软管气密性、包覆层阻燃性、包覆层耐冷热变化性、接头耐冲击性、接头耐安装性、密封圈耐燃</w:t>
            </w:r>
          </w:p>
          <w:p w14:paraId="52F50B02">
            <w:pPr>
              <w:widowControl/>
              <w:rPr>
                <w:rFonts w:ascii="宋体" w:hAnsi="宋体" w:eastAsia="等线"/>
                <w:color w:val="auto"/>
                <w:szCs w:val="21"/>
                <w:highlight w:val="none"/>
              </w:rPr>
            </w:pPr>
            <w:r>
              <w:rPr>
                <w:rFonts w:hint="eastAsia" w:ascii="宋体" w:hAnsi="宋体" w:eastAsia="等线"/>
                <w:color w:val="auto"/>
                <w:szCs w:val="21"/>
                <w:highlight w:val="none"/>
              </w:rPr>
              <w:t>气性、标志；</w:t>
            </w:r>
          </w:p>
          <w:p w14:paraId="64622BC2">
            <w:pPr>
              <w:widowControl/>
              <w:rPr>
                <w:rFonts w:ascii="宋体" w:hAnsi="宋体" w:eastAsia="等线"/>
                <w:color w:val="auto"/>
                <w:szCs w:val="21"/>
                <w:highlight w:val="none"/>
              </w:rPr>
            </w:pPr>
            <w:r>
              <w:rPr>
                <w:rFonts w:hint="eastAsia" w:ascii="宋体" w:hAnsi="宋体" w:eastAsia="等线"/>
                <w:color w:val="auto"/>
                <w:szCs w:val="21"/>
                <w:highlight w:val="none"/>
              </w:rPr>
              <w:t>CJ/T 491-2016燃气用具连接用橡胶复合软管：外观、尺寸与公差、气密性、耐压性、耐燃烧性、耐热性、耐拉伸性、拔出力、标志。</w:t>
            </w:r>
          </w:p>
        </w:tc>
      </w:tr>
      <w:tr w14:paraId="41B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2012CE8">
            <w:pPr>
              <w:jc w:val="center"/>
              <w:rPr>
                <w:rFonts w:ascii="宋体" w:hAnsi="宋体" w:eastAsia="等线"/>
                <w:color w:val="auto"/>
                <w:szCs w:val="21"/>
                <w:highlight w:val="none"/>
              </w:rPr>
            </w:pPr>
            <w:r>
              <w:rPr>
                <w:rFonts w:hint="eastAsia" w:ascii="宋体" w:hAnsi="宋体" w:eastAsia="等线"/>
                <w:color w:val="auto"/>
                <w:szCs w:val="21"/>
                <w:highlight w:val="none"/>
              </w:rPr>
              <w:t>31</w:t>
            </w:r>
          </w:p>
        </w:tc>
        <w:tc>
          <w:tcPr>
            <w:tcW w:w="1559" w:type="dxa"/>
            <w:tcBorders>
              <w:top w:val="single" w:color="auto" w:sz="4" w:space="0"/>
              <w:left w:val="single" w:color="auto" w:sz="4" w:space="0"/>
              <w:bottom w:val="single" w:color="auto" w:sz="4" w:space="0"/>
              <w:right w:val="single" w:color="auto" w:sz="4" w:space="0"/>
            </w:tcBorders>
            <w:vAlign w:val="center"/>
          </w:tcPr>
          <w:p w14:paraId="1FA2E47D">
            <w:pPr>
              <w:widowControl/>
              <w:jc w:val="center"/>
              <w:rPr>
                <w:color w:val="auto"/>
                <w:highlight w:val="none"/>
              </w:rPr>
            </w:pPr>
            <w:r>
              <w:rPr>
                <w:rFonts w:hint="eastAsia"/>
                <w:color w:val="auto"/>
                <w:highlight w:val="none"/>
              </w:rPr>
              <w:t>喉箍</w:t>
            </w:r>
          </w:p>
        </w:tc>
        <w:tc>
          <w:tcPr>
            <w:tcW w:w="1265" w:type="dxa"/>
            <w:tcBorders>
              <w:top w:val="single" w:color="auto" w:sz="4" w:space="0"/>
              <w:left w:val="single" w:color="auto" w:sz="4" w:space="0"/>
              <w:bottom w:val="single" w:color="auto" w:sz="4" w:space="0"/>
              <w:right w:val="single" w:color="auto" w:sz="4" w:space="0"/>
            </w:tcBorders>
            <w:vAlign w:val="center"/>
          </w:tcPr>
          <w:p w14:paraId="60C45223">
            <w:pPr>
              <w:widowControl/>
              <w:jc w:val="center"/>
              <w:rPr>
                <w:rFonts w:ascii="宋体" w:hAnsi="宋体" w:eastAsia="等线"/>
                <w:color w:val="auto"/>
                <w:szCs w:val="21"/>
                <w:highlight w:val="none"/>
              </w:rPr>
            </w:pPr>
            <w:r>
              <w:rPr>
                <w:rFonts w:hint="eastAsia" w:ascii="宋体" w:hAnsi="宋体" w:eastAsia="等线"/>
                <w:color w:val="auto"/>
                <w:szCs w:val="21"/>
                <w:highlight w:val="none"/>
              </w:rPr>
              <w:t>1000</w:t>
            </w:r>
          </w:p>
        </w:tc>
        <w:tc>
          <w:tcPr>
            <w:tcW w:w="1577" w:type="dxa"/>
            <w:tcBorders>
              <w:top w:val="single" w:color="auto" w:sz="4" w:space="0"/>
              <w:left w:val="single" w:color="auto" w:sz="4" w:space="0"/>
              <w:bottom w:val="single" w:color="auto" w:sz="4" w:space="0"/>
              <w:right w:val="single" w:color="auto" w:sz="4" w:space="0"/>
            </w:tcBorders>
            <w:vAlign w:val="center"/>
          </w:tcPr>
          <w:p w14:paraId="12AFCB87">
            <w:pPr>
              <w:widowControl/>
              <w:rPr>
                <w:rFonts w:ascii="宋体" w:hAnsi="宋体" w:eastAsia="等线"/>
                <w:color w:val="auto"/>
                <w:szCs w:val="21"/>
                <w:highlight w:val="none"/>
              </w:rPr>
            </w:pPr>
            <w:r>
              <w:rPr>
                <w:rFonts w:hint="eastAsia" w:ascii="宋体" w:hAnsi="宋体" w:eastAsia="等线"/>
                <w:color w:val="auto"/>
                <w:szCs w:val="21"/>
                <w:highlight w:val="none"/>
              </w:rPr>
              <w:t>JB/T 8870-1999</w:t>
            </w:r>
          </w:p>
        </w:tc>
        <w:tc>
          <w:tcPr>
            <w:tcW w:w="3962" w:type="dxa"/>
            <w:tcBorders>
              <w:top w:val="single" w:color="auto" w:sz="4" w:space="0"/>
              <w:left w:val="single" w:color="auto" w:sz="4" w:space="0"/>
              <w:bottom w:val="single" w:color="auto" w:sz="4" w:space="0"/>
              <w:right w:val="single" w:color="auto" w:sz="4" w:space="0"/>
            </w:tcBorders>
            <w:vAlign w:val="center"/>
          </w:tcPr>
          <w:p w14:paraId="5C2E4930">
            <w:pPr>
              <w:widowControl/>
              <w:rPr>
                <w:rFonts w:ascii="宋体" w:hAnsi="宋体" w:eastAsia="等线"/>
                <w:color w:val="auto"/>
                <w:szCs w:val="21"/>
                <w:highlight w:val="none"/>
              </w:rPr>
            </w:pPr>
            <w:r>
              <w:rPr>
                <w:rFonts w:hint="eastAsia" w:ascii="宋体" w:hAnsi="宋体" w:eastAsia="等线"/>
                <w:color w:val="auto"/>
                <w:szCs w:val="21"/>
                <w:highlight w:val="none"/>
              </w:rPr>
              <w:t>螺杆、螺杆脱出要求、钢带活动端、箍壳、零部件、钢带外观、喉箍表面、自由转动扭矩试验、标志、包装。</w:t>
            </w:r>
          </w:p>
        </w:tc>
      </w:tr>
      <w:tr w14:paraId="33A5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161DEDB5">
            <w:pPr>
              <w:jc w:val="center"/>
              <w:rPr>
                <w:rFonts w:ascii="宋体" w:hAnsi="宋体" w:eastAsia="等线"/>
                <w:color w:val="auto"/>
                <w:szCs w:val="21"/>
                <w:highlight w:val="none"/>
              </w:rPr>
            </w:pPr>
            <w:r>
              <w:rPr>
                <w:rFonts w:hint="eastAsia" w:ascii="宋体" w:hAnsi="宋体" w:eastAsia="等线"/>
                <w:color w:val="auto"/>
                <w:szCs w:val="21"/>
                <w:highlight w:val="none"/>
              </w:rPr>
              <w:t>32</w:t>
            </w:r>
          </w:p>
        </w:tc>
        <w:tc>
          <w:tcPr>
            <w:tcW w:w="1559" w:type="dxa"/>
            <w:tcBorders>
              <w:top w:val="single" w:color="auto" w:sz="4" w:space="0"/>
              <w:left w:val="single" w:color="auto" w:sz="4" w:space="0"/>
              <w:bottom w:val="single" w:color="auto" w:sz="4" w:space="0"/>
              <w:right w:val="single" w:color="auto" w:sz="4" w:space="0"/>
            </w:tcBorders>
            <w:vAlign w:val="center"/>
          </w:tcPr>
          <w:p w14:paraId="7681E24F">
            <w:pPr>
              <w:widowControl/>
              <w:jc w:val="center"/>
              <w:rPr>
                <w:color w:val="auto"/>
                <w:highlight w:val="none"/>
              </w:rPr>
            </w:pPr>
            <w:r>
              <w:rPr>
                <w:color w:val="auto"/>
                <w:highlight w:val="none"/>
              </w:rPr>
              <w:t>家用燃气热水器</w:t>
            </w:r>
          </w:p>
        </w:tc>
        <w:tc>
          <w:tcPr>
            <w:tcW w:w="1265" w:type="dxa"/>
            <w:tcBorders>
              <w:top w:val="single" w:color="auto" w:sz="4" w:space="0"/>
              <w:left w:val="single" w:color="auto" w:sz="4" w:space="0"/>
              <w:bottom w:val="single" w:color="auto" w:sz="4" w:space="0"/>
              <w:right w:val="single" w:color="auto" w:sz="4" w:space="0"/>
            </w:tcBorders>
            <w:vAlign w:val="center"/>
          </w:tcPr>
          <w:p w14:paraId="64CDEAB4">
            <w:pPr>
              <w:widowControl/>
              <w:jc w:val="center"/>
              <w:rPr>
                <w:rFonts w:ascii="宋体" w:hAnsi="宋体" w:eastAsia="等线"/>
                <w:color w:val="auto"/>
                <w:szCs w:val="21"/>
                <w:highlight w:val="none"/>
              </w:rPr>
            </w:pPr>
            <w:r>
              <w:rPr>
                <w:rFonts w:hint="eastAsia" w:ascii="宋体" w:hAnsi="宋体" w:eastAsia="等线"/>
                <w:color w:val="auto"/>
                <w:szCs w:val="21"/>
                <w:highlight w:val="none"/>
              </w:rPr>
              <w:t>7000</w:t>
            </w:r>
          </w:p>
        </w:tc>
        <w:tc>
          <w:tcPr>
            <w:tcW w:w="1577" w:type="dxa"/>
            <w:tcBorders>
              <w:top w:val="single" w:color="auto" w:sz="4" w:space="0"/>
              <w:left w:val="single" w:color="auto" w:sz="4" w:space="0"/>
              <w:bottom w:val="single" w:color="auto" w:sz="4" w:space="0"/>
              <w:right w:val="single" w:color="auto" w:sz="4" w:space="0"/>
            </w:tcBorders>
            <w:vAlign w:val="center"/>
          </w:tcPr>
          <w:p w14:paraId="112A1A28">
            <w:pPr>
              <w:widowControl/>
              <w:rPr>
                <w:rFonts w:ascii="宋体" w:hAnsi="宋体" w:eastAsia="等线"/>
                <w:color w:val="auto"/>
                <w:szCs w:val="21"/>
                <w:highlight w:val="none"/>
              </w:rPr>
            </w:pPr>
            <w:r>
              <w:rPr>
                <w:rFonts w:hint="eastAsia" w:ascii="宋体" w:hAnsi="宋体" w:eastAsia="等线"/>
                <w:color w:val="auto"/>
                <w:szCs w:val="21"/>
                <w:highlight w:val="none"/>
              </w:rPr>
              <w:t>GB 6932-2015、</w:t>
            </w:r>
          </w:p>
          <w:p w14:paraId="028B7E7D">
            <w:pPr>
              <w:widowControl/>
              <w:rPr>
                <w:rFonts w:ascii="宋体" w:hAnsi="宋体" w:eastAsia="等线"/>
                <w:color w:val="auto"/>
                <w:szCs w:val="21"/>
                <w:highlight w:val="none"/>
              </w:rPr>
            </w:pPr>
            <w:r>
              <w:rPr>
                <w:rFonts w:hint="eastAsia" w:ascii="宋体" w:hAnsi="宋体" w:eastAsia="等线"/>
                <w:color w:val="auto"/>
                <w:szCs w:val="21"/>
                <w:highlight w:val="none"/>
              </w:rPr>
              <w:t>GB 20665-2015</w:t>
            </w:r>
          </w:p>
        </w:tc>
        <w:tc>
          <w:tcPr>
            <w:tcW w:w="3962" w:type="dxa"/>
            <w:tcBorders>
              <w:top w:val="single" w:color="auto" w:sz="4" w:space="0"/>
              <w:left w:val="single" w:color="auto" w:sz="4" w:space="0"/>
              <w:bottom w:val="single" w:color="auto" w:sz="4" w:space="0"/>
              <w:right w:val="single" w:color="auto" w:sz="4" w:space="0"/>
            </w:tcBorders>
            <w:vAlign w:val="center"/>
          </w:tcPr>
          <w:p w14:paraId="449B5881">
            <w:pPr>
              <w:widowControl/>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GB 6932-2015：包装、标志、使用说明书、包装、结构要求(结构的通用要求、安全装置结构要求)、燃气系统气密性、热负荷准确度、燃烧工况（烟气中CO含量）、表面温升、燃气稳压装置、点火装置、安全装置、电气部分、热水性能（热效率）；</w:t>
            </w:r>
          </w:p>
          <w:p w14:paraId="3AD35623">
            <w:pPr>
              <w:widowControl/>
              <w:rPr>
                <w:rFonts w:ascii="宋体" w:hAnsi="宋体" w:eastAsia="等线"/>
                <w:color w:val="auto"/>
                <w:szCs w:val="21"/>
                <w:highlight w:val="none"/>
              </w:rPr>
            </w:pPr>
            <w:r>
              <w:rPr>
                <w:rFonts w:hint="eastAsia" w:ascii="宋体" w:hAnsi="宋体" w:eastAsia="等线" w:cs="Times New Roman"/>
                <w:color w:val="auto"/>
                <w:szCs w:val="21"/>
                <w:highlight w:val="none"/>
              </w:rPr>
              <w:t>GB 20665-2015热效率</w:t>
            </w:r>
            <w:r>
              <w:rPr>
                <w:rFonts w:ascii="宋体" w:hAnsi="宋体" w:eastAsia="宋体" w:cs="宋体"/>
                <w:color w:val="auto"/>
                <w:sz w:val="24"/>
                <w:szCs w:val="24"/>
                <w:highlight w:val="none"/>
              </w:rPr>
              <w:t xml:space="preserve"> </w:t>
            </w:r>
          </w:p>
        </w:tc>
      </w:tr>
      <w:tr w14:paraId="3BBB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4A234E7">
            <w:pPr>
              <w:jc w:val="center"/>
              <w:rPr>
                <w:rFonts w:ascii="宋体" w:hAnsi="宋体" w:eastAsia="等线"/>
                <w:color w:val="auto"/>
                <w:szCs w:val="21"/>
                <w:highlight w:val="none"/>
              </w:rPr>
            </w:pPr>
            <w:r>
              <w:rPr>
                <w:rFonts w:hint="eastAsia" w:ascii="宋体" w:hAnsi="宋体" w:eastAsia="等线"/>
                <w:color w:val="auto"/>
                <w:szCs w:val="21"/>
                <w:highlight w:val="none"/>
              </w:rPr>
              <w:t>33</w:t>
            </w:r>
          </w:p>
        </w:tc>
        <w:tc>
          <w:tcPr>
            <w:tcW w:w="1559" w:type="dxa"/>
            <w:tcBorders>
              <w:top w:val="single" w:color="auto" w:sz="4" w:space="0"/>
              <w:left w:val="single" w:color="auto" w:sz="4" w:space="0"/>
              <w:bottom w:val="single" w:color="auto" w:sz="4" w:space="0"/>
              <w:right w:val="single" w:color="auto" w:sz="4" w:space="0"/>
            </w:tcBorders>
            <w:vAlign w:val="center"/>
          </w:tcPr>
          <w:p w14:paraId="728904DE">
            <w:pPr>
              <w:widowControl/>
              <w:jc w:val="center"/>
              <w:rPr>
                <w:color w:val="auto"/>
                <w:highlight w:val="none"/>
              </w:rPr>
            </w:pPr>
            <w:r>
              <w:rPr>
                <w:rFonts w:hint="eastAsia"/>
                <w:color w:val="auto"/>
                <w:highlight w:val="none"/>
              </w:rPr>
              <w:t>开关插座</w:t>
            </w:r>
          </w:p>
        </w:tc>
        <w:tc>
          <w:tcPr>
            <w:tcW w:w="1265" w:type="dxa"/>
            <w:tcBorders>
              <w:top w:val="single" w:color="auto" w:sz="4" w:space="0"/>
              <w:left w:val="single" w:color="auto" w:sz="4" w:space="0"/>
              <w:bottom w:val="single" w:color="auto" w:sz="4" w:space="0"/>
              <w:right w:val="single" w:color="auto" w:sz="4" w:space="0"/>
            </w:tcBorders>
            <w:vAlign w:val="center"/>
          </w:tcPr>
          <w:p w14:paraId="33EB5C71">
            <w:pPr>
              <w:widowControl/>
              <w:jc w:val="center"/>
              <w:rPr>
                <w:rFonts w:ascii="宋体" w:hAnsi="宋体" w:eastAsia="等线"/>
                <w:color w:val="auto"/>
                <w:szCs w:val="21"/>
                <w:highlight w:val="none"/>
              </w:rPr>
            </w:pPr>
            <w:r>
              <w:rPr>
                <w:rFonts w:hint="eastAsia" w:ascii="宋体" w:hAnsi="宋体" w:cs="宋体"/>
                <w:color w:val="auto"/>
                <w:szCs w:val="21"/>
                <w:highlight w:val="none"/>
              </w:rPr>
              <w:t>5350</w:t>
            </w:r>
          </w:p>
        </w:tc>
        <w:tc>
          <w:tcPr>
            <w:tcW w:w="1577" w:type="dxa"/>
            <w:tcBorders>
              <w:top w:val="single" w:color="auto" w:sz="4" w:space="0"/>
              <w:left w:val="single" w:color="auto" w:sz="4" w:space="0"/>
              <w:bottom w:val="single" w:color="auto" w:sz="4" w:space="0"/>
              <w:right w:val="single" w:color="auto" w:sz="4" w:space="0"/>
            </w:tcBorders>
            <w:vAlign w:val="center"/>
          </w:tcPr>
          <w:p w14:paraId="45415D20">
            <w:pPr>
              <w:widowControl/>
              <w:rPr>
                <w:rFonts w:ascii="宋体" w:hAnsi="宋体" w:eastAsia="等线"/>
                <w:color w:val="auto"/>
                <w:szCs w:val="21"/>
                <w:highlight w:val="none"/>
              </w:rPr>
            </w:pPr>
            <w:r>
              <w:rPr>
                <w:rFonts w:hint="eastAsia" w:ascii="宋体" w:hAnsi="宋体" w:eastAsia="等线"/>
                <w:color w:val="auto"/>
                <w:szCs w:val="21"/>
                <w:highlight w:val="none"/>
              </w:rPr>
              <w:t>GB/T 16915.1-2014</w:t>
            </w:r>
          </w:p>
          <w:p w14:paraId="6E2AD4CD">
            <w:pPr>
              <w:widowControl/>
              <w:rPr>
                <w:rFonts w:ascii="宋体" w:hAnsi="宋体" w:eastAsia="等线"/>
                <w:color w:val="auto"/>
                <w:szCs w:val="21"/>
                <w:highlight w:val="none"/>
              </w:rPr>
            </w:pPr>
            <w:r>
              <w:rPr>
                <w:rFonts w:hint="eastAsia" w:ascii="宋体" w:hAnsi="宋体" w:eastAsia="等线"/>
                <w:color w:val="auto"/>
                <w:szCs w:val="21"/>
                <w:highlight w:val="none"/>
              </w:rPr>
              <w:t>GB/T 2099.1-2008、</w:t>
            </w:r>
          </w:p>
          <w:p w14:paraId="25C129BA">
            <w:pPr>
              <w:widowControl/>
              <w:rPr>
                <w:rFonts w:ascii="宋体" w:hAnsi="宋体" w:eastAsia="等线"/>
                <w:color w:val="auto"/>
                <w:szCs w:val="21"/>
                <w:highlight w:val="none"/>
              </w:rPr>
            </w:pPr>
            <w:r>
              <w:rPr>
                <w:rFonts w:hint="eastAsia" w:ascii="宋体" w:hAnsi="宋体" w:eastAsia="等线"/>
                <w:color w:val="auto"/>
                <w:szCs w:val="21"/>
                <w:highlight w:val="none"/>
              </w:rPr>
              <w:t>GB/T 2099.1-2021</w:t>
            </w:r>
          </w:p>
        </w:tc>
        <w:tc>
          <w:tcPr>
            <w:tcW w:w="3962" w:type="dxa"/>
            <w:tcBorders>
              <w:top w:val="single" w:color="auto" w:sz="4" w:space="0"/>
              <w:left w:val="single" w:color="auto" w:sz="4" w:space="0"/>
              <w:bottom w:val="single" w:color="auto" w:sz="4" w:space="0"/>
              <w:right w:val="single" w:color="auto" w:sz="4" w:space="0"/>
            </w:tcBorders>
            <w:vAlign w:val="center"/>
          </w:tcPr>
          <w:p w14:paraId="0131EB36">
            <w:pPr>
              <w:widowControl/>
              <w:rPr>
                <w:rFonts w:ascii="宋体" w:hAnsi="宋体" w:eastAsia="等线"/>
                <w:color w:val="auto"/>
                <w:szCs w:val="21"/>
                <w:highlight w:val="none"/>
              </w:rPr>
            </w:pPr>
            <w:r>
              <w:rPr>
                <w:rFonts w:hint="eastAsia" w:ascii="宋体" w:hAnsi="宋体" w:eastAsia="等线"/>
                <w:color w:val="auto"/>
                <w:szCs w:val="21"/>
                <w:highlight w:val="none"/>
              </w:rPr>
              <w:t>GB/T 16915.1-2014开关：标志、防触电保护、接地措施、端子、结构要求、开关机构、机械强度、耐热、螺钉、载流部件和连接、爬电距离、电气间隙和穿通密封胶距离、绝缘材料的耐非正常热、耐燃和耐漏电起痕</w:t>
            </w:r>
          </w:p>
          <w:p w14:paraId="3262B9D7">
            <w:pPr>
              <w:widowControl/>
              <w:rPr>
                <w:rFonts w:ascii="宋体" w:hAnsi="宋体" w:eastAsia="等线"/>
                <w:color w:val="auto"/>
                <w:szCs w:val="21"/>
                <w:highlight w:val="none"/>
              </w:rPr>
            </w:pPr>
            <w:r>
              <w:rPr>
                <w:rFonts w:hint="eastAsia" w:ascii="宋体" w:hAnsi="宋体" w:eastAsia="等线"/>
                <w:color w:val="auto"/>
                <w:szCs w:val="21"/>
                <w:highlight w:val="none"/>
              </w:rPr>
              <w:t>GB/T 2099.1-2008、GB/T 2099.1-2021插座：防触电保护、标志、尺寸检查、端子和端头、固定式插座的结构、接地措施、机械强度、拔出插头所需的力、耐热、螺钉、载流部件及其连接、爬电距离、电气间隙和通过密封胶的距离、绝缘材料的耐非正常热、耐燃和耐漏电起痕</w:t>
            </w:r>
          </w:p>
        </w:tc>
      </w:tr>
      <w:tr w14:paraId="086A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00220BE">
            <w:pPr>
              <w:jc w:val="center"/>
              <w:rPr>
                <w:rFonts w:ascii="宋体" w:hAnsi="宋体" w:eastAsia="等线"/>
                <w:color w:val="auto"/>
                <w:szCs w:val="21"/>
                <w:highlight w:val="none"/>
              </w:rPr>
            </w:pPr>
            <w:r>
              <w:rPr>
                <w:rFonts w:hint="eastAsia" w:ascii="宋体" w:hAnsi="宋体" w:eastAsia="等线"/>
                <w:color w:val="auto"/>
                <w:szCs w:val="21"/>
                <w:highlight w:val="none"/>
              </w:rPr>
              <w:t>34</w:t>
            </w:r>
          </w:p>
        </w:tc>
        <w:tc>
          <w:tcPr>
            <w:tcW w:w="1559" w:type="dxa"/>
            <w:tcBorders>
              <w:top w:val="single" w:color="auto" w:sz="4" w:space="0"/>
              <w:left w:val="single" w:color="auto" w:sz="4" w:space="0"/>
              <w:bottom w:val="single" w:color="auto" w:sz="4" w:space="0"/>
              <w:right w:val="single" w:color="auto" w:sz="4" w:space="0"/>
            </w:tcBorders>
            <w:vAlign w:val="center"/>
          </w:tcPr>
          <w:p w14:paraId="25B0F227">
            <w:pPr>
              <w:widowControl/>
              <w:jc w:val="center"/>
              <w:rPr>
                <w:color w:val="auto"/>
                <w:highlight w:val="none"/>
              </w:rPr>
            </w:pPr>
            <w:r>
              <w:rPr>
                <w:rFonts w:hint="eastAsia"/>
                <w:color w:val="auto"/>
                <w:highlight w:val="none"/>
              </w:rPr>
              <w:t>活性染料</w:t>
            </w:r>
          </w:p>
        </w:tc>
        <w:tc>
          <w:tcPr>
            <w:tcW w:w="1265" w:type="dxa"/>
            <w:tcBorders>
              <w:top w:val="single" w:color="auto" w:sz="4" w:space="0"/>
              <w:left w:val="single" w:color="auto" w:sz="4" w:space="0"/>
              <w:bottom w:val="single" w:color="auto" w:sz="4" w:space="0"/>
              <w:right w:val="single" w:color="auto" w:sz="4" w:space="0"/>
            </w:tcBorders>
            <w:vAlign w:val="center"/>
          </w:tcPr>
          <w:p w14:paraId="676E9028">
            <w:pPr>
              <w:widowControl/>
              <w:jc w:val="center"/>
              <w:rPr>
                <w:rFonts w:ascii="宋体" w:hAnsi="宋体" w:eastAsia="等线"/>
                <w:color w:val="auto"/>
                <w:szCs w:val="21"/>
                <w:highlight w:val="none"/>
              </w:rPr>
            </w:pPr>
            <w:r>
              <w:rPr>
                <w:rFonts w:hint="eastAsia" w:ascii="宋体" w:hAnsi="宋体" w:eastAsia="等线"/>
                <w:color w:val="auto"/>
                <w:szCs w:val="21"/>
                <w:highlight w:val="none"/>
              </w:rPr>
              <w:t>3880</w:t>
            </w:r>
          </w:p>
        </w:tc>
        <w:tc>
          <w:tcPr>
            <w:tcW w:w="1577" w:type="dxa"/>
            <w:tcBorders>
              <w:top w:val="single" w:color="auto" w:sz="4" w:space="0"/>
              <w:left w:val="single" w:color="auto" w:sz="4" w:space="0"/>
              <w:bottom w:val="single" w:color="auto" w:sz="4" w:space="0"/>
              <w:right w:val="single" w:color="auto" w:sz="4" w:space="0"/>
            </w:tcBorders>
            <w:vAlign w:val="center"/>
          </w:tcPr>
          <w:p w14:paraId="50C993BC">
            <w:pPr>
              <w:widowControl/>
              <w:rPr>
                <w:rFonts w:ascii="宋体" w:hAnsi="宋体" w:eastAsia="等线"/>
                <w:color w:val="auto"/>
                <w:szCs w:val="21"/>
                <w:highlight w:val="none"/>
              </w:rPr>
            </w:pPr>
            <w:r>
              <w:rPr>
                <w:rFonts w:hint="eastAsia" w:ascii="宋体" w:hAnsi="宋体" w:eastAsia="等线"/>
                <w:color w:val="auto"/>
                <w:szCs w:val="21"/>
                <w:highlight w:val="none"/>
              </w:rPr>
              <w:t>HG/T 3965-2020</w:t>
            </w:r>
          </w:p>
        </w:tc>
        <w:tc>
          <w:tcPr>
            <w:tcW w:w="3962" w:type="dxa"/>
            <w:tcBorders>
              <w:top w:val="single" w:color="auto" w:sz="4" w:space="0"/>
              <w:left w:val="single" w:color="auto" w:sz="4" w:space="0"/>
              <w:bottom w:val="single" w:color="auto" w:sz="4" w:space="0"/>
              <w:right w:val="single" w:color="auto" w:sz="4" w:space="0"/>
            </w:tcBorders>
            <w:vAlign w:val="center"/>
          </w:tcPr>
          <w:p w14:paraId="0D100519">
            <w:pPr>
              <w:widowControl/>
              <w:rPr>
                <w:rFonts w:ascii="宋体" w:hAnsi="宋体" w:eastAsia="等线"/>
                <w:color w:val="auto"/>
                <w:szCs w:val="21"/>
                <w:highlight w:val="none"/>
              </w:rPr>
            </w:pPr>
            <w:r>
              <w:rPr>
                <w:rFonts w:hint="eastAsia" w:ascii="宋体" w:hAnsi="宋体" w:eastAsia="等线"/>
                <w:color w:val="auto"/>
                <w:szCs w:val="21"/>
                <w:highlight w:val="none"/>
              </w:rPr>
              <w:t>外观、色光和强度、水分、水不溶物、pH值、溶解度、防尘性、固色率、有害芳香胺、重金属元素、耐摩擦色牢度、耐皂洗色牢度、耐汗渍色牢度、耐热压色牢度、耐光色牢度、耐氯化水色牢度、耐汗光色牢度</w:t>
            </w:r>
          </w:p>
        </w:tc>
      </w:tr>
      <w:tr w14:paraId="0D52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3537056">
            <w:pPr>
              <w:jc w:val="center"/>
              <w:rPr>
                <w:rFonts w:ascii="宋体" w:hAnsi="宋体" w:eastAsia="等线"/>
                <w:color w:val="auto"/>
                <w:szCs w:val="21"/>
                <w:highlight w:val="none"/>
              </w:rPr>
            </w:pPr>
            <w:r>
              <w:rPr>
                <w:rFonts w:hint="eastAsia" w:ascii="宋体" w:hAnsi="宋体" w:eastAsia="等线"/>
                <w:color w:val="auto"/>
                <w:szCs w:val="21"/>
                <w:highlight w:val="none"/>
              </w:rPr>
              <w:t>35</w:t>
            </w:r>
          </w:p>
        </w:tc>
        <w:tc>
          <w:tcPr>
            <w:tcW w:w="1559" w:type="dxa"/>
            <w:tcBorders>
              <w:top w:val="single" w:color="auto" w:sz="4" w:space="0"/>
              <w:left w:val="single" w:color="auto" w:sz="4" w:space="0"/>
              <w:bottom w:val="single" w:color="auto" w:sz="4" w:space="0"/>
              <w:right w:val="single" w:color="auto" w:sz="4" w:space="0"/>
            </w:tcBorders>
            <w:vAlign w:val="center"/>
          </w:tcPr>
          <w:p w14:paraId="5EA7FA56">
            <w:pPr>
              <w:widowControl/>
              <w:jc w:val="center"/>
              <w:rPr>
                <w:color w:val="auto"/>
                <w:highlight w:val="none"/>
              </w:rPr>
            </w:pPr>
            <w:r>
              <w:rPr>
                <w:rFonts w:hint="eastAsia" w:eastAsia="宋体" w:cs="Times New Roman"/>
                <w:color w:val="auto"/>
                <w:highlight w:val="none"/>
              </w:rPr>
              <w:t>荧光增白剂</w:t>
            </w:r>
          </w:p>
        </w:tc>
        <w:tc>
          <w:tcPr>
            <w:tcW w:w="1265" w:type="dxa"/>
            <w:tcBorders>
              <w:top w:val="single" w:color="auto" w:sz="4" w:space="0"/>
              <w:left w:val="single" w:color="auto" w:sz="4" w:space="0"/>
              <w:bottom w:val="single" w:color="auto" w:sz="4" w:space="0"/>
              <w:right w:val="single" w:color="auto" w:sz="4" w:space="0"/>
            </w:tcBorders>
            <w:vAlign w:val="center"/>
          </w:tcPr>
          <w:p w14:paraId="49C757EF">
            <w:pPr>
              <w:widowControl/>
              <w:jc w:val="center"/>
              <w:rPr>
                <w:rFonts w:ascii="宋体" w:hAnsi="宋体" w:eastAsia="等线"/>
                <w:color w:val="auto"/>
                <w:szCs w:val="21"/>
                <w:highlight w:val="none"/>
              </w:rPr>
            </w:pPr>
            <w:r>
              <w:rPr>
                <w:rFonts w:hint="eastAsia" w:ascii="宋体" w:hAnsi="宋体" w:eastAsia="等线"/>
                <w:color w:val="auto"/>
                <w:szCs w:val="21"/>
                <w:highlight w:val="none"/>
              </w:rPr>
              <w:t>2600</w:t>
            </w:r>
          </w:p>
        </w:tc>
        <w:tc>
          <w:tcPr>
            <w:tcW w:w="1577" w:type="dxa"/>
            <w:tcBorders>
              <w:top w:val="single" w:color="auto" w:sz="4" w:space="0"/>
              <w:left w:val="single" w:color="auto" w:sz="4" w:space="0"/>
              <w:bottom w:val="single" w:color="auto" w:sz="4" w:space="0"/>
              <w:right w:val="single" w:color="auto" w:sz="4" w:space="0"/>
            </w:tcBorders>
            <w:vAlign w:val="center"/>
          </w:tcPr>
          <w:p w14:paraId="0E47C6C3">
            <w:pPr>
              <w:widowControl/>
              <w:rPr>
                <w:rFonts w:ascii="宋体" w:hAnsi="宋体" w:eastAsia="等线"/>
                <w:color w:val="auto"/>
                <w:szCs w:val="21"/>
                <w:highlight w:val="none"/>
              </w:rPr>
            </w:pPr>
            <w:r>
              <w:rPr>
                <w:rFonts w:hint="eastAsia" w:ascii="宋体" w:hAnsi="宋体" w:eastAsia="等线"/>
                <w:color w:val="auto"/>
                <w:szCs w:val="21"/>
                <w:highlight w:val="none"/>
              </w:rPr>
              <w:t>GB/T 10661-2010</w:t>
            </w:r>
          </w:p>
        </w:tc>
        <w:tc>
          <w:tcPr>
            <w:tcW w:w="3962" w:type="dxa"/>
            <w:tcBorders>
              <w:top w:val="single" w:color="auto" w:sz="4" w:space="0"/>
              <w:left w:val="single" w:color="auto" w:sz="4" w:space="0"/>
              <w:bottom w:val="single" w:color="auto" w:sz="4" w:space="0"/>
              <w:right w:val="single" w:color="auto" w:sz="4" w:space="0"/>
            </w:tcBorders>
            <w:vAlign w:val="center"/>
          </w:tcPr>
          <w:p w14:paraId="097AADD0">
            <w:pPr>
              <w:widowControl/>
              <w:rPr>
                <w:rFonts w:ascii="宋体" w:hAnsi="宋体" w:eastAsia="等线"/>
                <w:color w:val="auto"/>
                <w:szCs w:val="21"/>
                <w:highlight w:val="none"/>
              </w:rPr>
            </w:pPr>
            <w:r>
              <w:rPr>
                <w:rFonts w:hint="eastAsia" w:ascii="宋体" w:hAnsi="宋体" w:eastAsia="等线"/>
                <w:color w:val="auto"/>
                <w:szCs w:val="21"/>
                <w:highlight w:val="none"/>
              </w:rPr>
              <w:t>外观、荧光强度、增白强度、色光、水分的质量分数、水不溶物质的质量分数、细度、有害芳香胺的质量分数、重金属元素的质量分数</w:t>
            </w:r>
          </w:p>
        </w:tc>
      </w:tr>
      <w:tr w14:paraId="1348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3BAFA08">
            <w:pPr>
              <w:jc w:val="center"/>
              <w:rPr>
                <w:rFonts w:ascii="宋体" w:hAnsi="宋体" w:eastAsia="等线"/>
                <w:color w:val="auto"/>
                <w:szCs w:val="21"/>
                <w:highlight w:val="none"/>
              </w:rPr>
            </w:pPr>
            <w:r>
              <w:rPr>
                <w:rFonts w:hint="eastAsia" w:ascii="宋体" w:hAnsi="宋体" w:eastAsia="等线"/>
                <w:color w:val="auto"/>
                <w:szCs w:val="21"/>
                <w:highlight w:val="none"/>
              </w:rPr>
              <w:t>36</w:t>
            </w:r>
          </w:p>
        </w:tc>
        <w:tc>
          <w:tcPr>
            <w:tcW w:w="1559" w:type="dxa"/>
            <w:tcBorders>
              <w:top w:val="single" w:color="auto" w:sz="4" w:space="0"/>
              <w:left w:val="single" w:color="auto" w:sz="4" w:space="0"/>
              <w:bottom w:val="single" w:color="auto" w:sz="4" w:space="0"/>
              <w:right w:val="single" w:color="auto" w:sz="4" w:space="0"/>
            </w:tcBorders>
            <w:vAlign w:val="center"/>
          </w:tcPr>
          <w:p w14:paraId="1D0EB6BF">
            <w:pPr>
              <w:widowControl/>
              <w:jc w:val="center"/>
              <w:rPr>
                <w:rFonts w:eastAsia="宋体" w:cs="Times New Roman"/>
                <w:color w:val="auto"/>
                <w:highlight w:val="none"/>
              </w:rPr>
            </w:pPr>
            <w:r>
              <w:rPr>
                <w:rFonts w:hint="eastAsia" w:eastAsia="宋体" w:cs="Times New Roman"/>
                <w:color w:val="auto"/>
                <w:highlight w:val="none"/>
              </w:rPr>
              <w:t>制冷配件（</w:t>
            </w:r>
            <w:r>
              <w:rPr>
                <w:rFonts w:hint="eastAsia" w:ascii="宋体" w:hAnsi="宋体"/>
                <w:color w:val="auto"/>
                <w:szCs w:val="21"/>
                <w:highlight w:val="none"/>
              </w:rPr>
              <w:t>电冰箱用分子筛过滤器</w:t>
            </w:r>
            <w:r>
              <w:rPr>
                <w:rFonts w:hint="eastAsia" w:eastAsia="宋体" w:cs="Times New Roman"/>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5E4FFA86">
            <w:pPr>
              <w:widowControl/>
              <w:jc w:val="center"/>
              <w:rPr>
                <w:rFonts w:ascii="宋体" w:hAnsi="宋体" w:eastAsia="宋体" w:cs="Times New Roman"/>
                <w:color w:val="auto"/>
                <w:szCs w:val="21"/>
                <w:highlight w:val="none"/>
              </w:rPr>
            </w:pPr>
            <w:r>
              <w:rPr>
                <w:rFonts w:hint="eastAsia" w:ascii="宋体" w:hAnsi="宋体"/>
                <w:color w:val="auto"/>
                <w:szCs w:val="21"/>
                <w:highlight w:val="none"/>
              </w:rPr>
              <w:t>4500</w:t>
            </w:r>
          </w:p>
        </w:tc>
        <w:tc>
          <w:tcPr>
            <w:tcW w:w="1577" w:type="dxa"/>
            <w:tcBorders>
              <w:top w:val="single" w:color="auto" w:sz="4" w:space="0"/>
              <w:left w:val="single" w:color="auto" w:sz="4" w:space="0"/>
              <w:bottom w:val="single" w:color="auto" w:sz="4" w:space="0"/>
              <w:right w:val="single" w:color="auto" w:sz="4" w:space="0"/>
            </w:tcBorders>
            <w:vAlign w:val="center"/>
          </w:tcPr>
          <w:p w14:paraId="01B84365">
            <w:pPr>
              <w:widowControl/>
              <w:rPr>
                <w:rFonts w:ascii="宋体" w:hAnsi="宋体" w:eastAsia="等线"/>
                <w:color w:val="auto"/>
                <w:szCs w:val="21"/>
                <w:highlight w:val="none"/>
              </w:rPr>
            </w:pPr>
            <w:r>
              <w:rPr>
                <w:rFonts w:hint="eastAsia" w:ascii="宋体" w:hAnsi="宋体" w:eastAsia="等线"/>
                <w:color w:val="auto"/>
                <w:szCs w:val="21"/>
                <w:highlight w:val="none"/>
              </w:rPr>
              <w:t>GB/T 23135-2008</w:t>
            </w:r>
          </w:p>
        </w:tc>
        <w:tc>
          <w:tcPr>
            <w:tcW w:w="3962" w:type="dxa"/>
            <w:tcBorders>
              <w:top w:val="single" w:color="auto" w:sz="4" w:space="0"/>
              <w:left w:val="single" w:color="auto" w:sz="4" w:space="0"/>
              <w:bottom w:val="single" w:color="auto" w:sz="4" w:space="0"/>
              <w:right w:val="single" w:color="auto" w:sz="4" w:space="0"/>
            </w:tcBorders>
            <w:vAlign w:val="center"/>
          </w:tcPr>
          <w:p w14:paraId="4502589A">
            <w:pPr>
              <w:widowControl/>
              <w:rPr>
                <w:rFonts w:ascii="宋体" w:hAnsi="宋体" w:eastAsia="等线"/>
                <w:color w:val="auto"/>
                <w:szCs w:val="21"/>
                <w:highlight w:val="none"/>
              </w:rPr>
            </w:pPr>
            <w:r>
              <w:rPr>
                <w:rFonts w:hint="eastAsia" w:ascii="宋体" w:hAnsi="宋体" w:eastAsia="等线"/>
                <w:color w:val="auto"/>
                <w:szCs w:val="21"/>
                <w:highlight w:val="none"/>
              </w:rPr>
              <w:t>产品外观、产品尺寸及偏差、静态水吸附、磨耗率、形状与粒度、堆积密度、抗压碎强度、气密性和耐压、管体内外表面质量、分子筛充填量、通过过滤器杂质直径要求、结构要求</w:t>
            </w:r>
          </w:p>
        </w:tc>
      </w:tr>
      <w:tr w14:paraId="6CA9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64933BA6">
            <w:pPr>
              <w:jc w:val="center"/>
              <w:rPr>
                <w:rFonts w:ascii="宋体" w:hAnsi="宋体" w:eastAsia="等线"/>
                <w:color w:val="auto"/>
                <w:szCs w:val="21"/>
                <w:highlight w:val="none"/>
              </w:rPr>
            </w:pPr>
            <w:r>
              <w:rPr>
                <w:rFonts w:hint="eastAsia" w:ascii="宋体" w:hAnsi="宋体" w:eastAsia="等线"/>
                <w:color w:val="auto"/>
                <w:szCs w:val="21"/>
                <w:highlight w:val="none"/>
              </w:rPr>
              <w:t>37</w:t>
            </w:r>
          </w:p>
        </w:tc>
        <w:tc>
          <w:tcPr>
            <w:tcW w:w="1559" w:type="dxa"/>
            <w:tcBorders>
              <w:top w:val="single" w:color="auto" w:sz="4" w:space="0"/>
              <w:left w:val="single" w:color="auto" w:sz="4" w:space="0"/>
              <w:bottom w:val="single" w:color="auto" w:sz="4" w:space="0"/>
              <w:right w:val="single" w:color="auto" w:sz="4" w:space="0"/>
            </w:tcBorders>
            <w:vAlign w:val="center"/>
          </w:tcPr>
          <w:p w14:paraId="5153439E">
            <w:pPr>
              <w:widowControl/>
              <w:jc w:val="center"/>
              <w:rPr>
                <w:rFonts w:eastAsia="宋体" w:cs="Times New Roman"/>
                <w:color w:val="auto"/>
                <w:highlight w:val="none"/>
              </w:rPr>
            </w:pPr>
            <w:r>
              <w:rPr>
                <w:rFonts w:hint="eastAsia" w:eastAsia="宋体" w:cs="Times New Roman"/>
                <w:color w:val="auto"/>
                <w:highlight w:val="none"/>
              </w:rPr>
              <w:t>制冷配件（</w:t>
            </w:r>
            <w:r>
              <w:rPr>
                <w:rFonts w:hint="eastAsia" w:ascii="宋体" w:hAnsi="宋体"/>
                <w:color w:val="auto"/>
                <w:szCs w:val="21"/>
                <w:highlight w:val="none"/>
              </w:rPr>
              <w:t>汽车空调用液气分离器</w:t>
            </w:r>
            <w:r>
              <w:rPr>
                <w:rFonts w:hint="eastAsia" w:eastAsia="宋体" w:cs="Times New Roman"/>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6DE68473">
            <w:pPr>
              <w:widowControl/>
              <w:jc w:val="center"/>
              <w:rPr>
                <w:rFonts w:ascii="宋体" w:hAnsi="宋体" w:eastAsia="宋体" w:cs="Times New Roman"/>
                <w:color w:val="auto"/>
                <w:szCs w:val="21"/>
                <w:highlight w:val="none"/>
              </w:rPr>
            </w:pPr>
            <w:r>
              <w:rPr>
                <w:rFonts w:hint="eastAsia" w:ascii="宋体" w:hAnsi="宋体"/>
                <w:color w:val="auto"/>
                <w:szCs w:val="21"/>
                <w:highlight w:val="none"/>
              </w:rPr>
              <w:t>4500</w:t>
            </w:r>
          </w:p>
        </w:tc>
        <w:tc>
          <w:tcPr>
            <w:tcW w:w="1577" w:type="dxa"/>
            <w:tcBorders>
              <w:top w:val="single" w:color="auto" w:sz="4" w:space="0"/>
              <w:left w:val="single" w:color="auto" w:sz="4" w:space="0"/>
              <w:bottom w:val="single" w:color="auto" w:sz="4" w:space="0"/>
              <w:right w:val="single" w:color="auto" w:sz="4" w:space="0"/>
            </w:tcBorders>
            <w:vAlign w:val="center"/>
          </w:tcPr>
          <w:p w14:paraId="56E5B994">
            <w:pPr>
              <w:widowControl/>
              <w:rPr>
                <w:rFonts w:ascii="宋体" w:hAnsi="宋体" w:eastAsia="等线"/>
                <w:color w:val="auto"/>
                <w:szCs w:val="21"/>
                <w:highlight w:val="none"/>
              </w:rPr>
            </w:pPr>
            <w:r>
              <w:rPr>
                <w:rFonts w:hint="eastAsia" w:ascii="宋体" w:hAnsi="宋体" w:eastAsia="等线"/>
                <w:color w:val="auto"/>
                <w:szCs w:val="21"/>
                <w:highlight w:val="none"/>
              </w:rPr>
              <w:t>QC/T 661-2019</w:t>
            </w:r>
          </w:p>
        </w:tc>
        <w:tc>
          <w:tcPr>
            <w:tcW w:w="3962" w:type="dxa"/>
            <w:tcBorders>
              <w:top w:val="single" w:color="auto" w:sz="4" w:space="0"/>
              <w:left w:val="single" w:color="auto" w:sz="4" w:space="0"/>
              <w:bottom w:val="single" w:color="auto" w:sz="4" w:space="0"/>
              <w:right w:val="single" w:color="auto" w:sz="4" w:space="0"/>
            </w:tcBorders>
            <w:vAlign w:val="center"/>
          </w:tcPr>
          <w:p w14:paraId="11279124">
            <w:pPr>
              <w:widowControl/>
              <w:rPr>
                <w:rFonts w:ascii="宋体" w:hAnsi="宋体" w:eastAsia="等线"/>
                <w:color w:val="auto"/>
                <w:szCs w:val="21"/>
                <w:highlight w:val="none"/>
              </w:rPr>
            </w:pPr>
            <w:r>
              <w:rPr>
                <w:rFonts w:hint="eastAsia" w:ascii="宋体" w:hAnsi="宋体" w:eastAsia="等线"/>
                <w:color w:val="auto"/>
                <w:szCs w:val="21"/>
                <w:highlight w:val="none"/>
              </w:rPr>
              <w:t>耐压爆破性、内部清洁度、干燥性能、有效内容积、耐高温性、耐低温性、耐温度交变性、耐振性、耐压力交变性、耐腐蚀性</w:t>
            </w:r>
          </w:p>
        </w:tc>
      </w:tr>
      <w:tr w14:paraId="143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3331ED35">
            <w:pPr>
              <w:jc w:val="center"/>
              <w:rPr>
                <w:rFonts w:ascii="宋体" w:hAnsi="宋体" w:eastAsia="等线"/>
                <w:color w:val="auto"/>
                <w:szCs w:val="21"/>
                <w:highlight w:val="none"/>
              </w:rPr>
            </w:pPr>
            <w:r>
              <w:rPr>
                <w:rFonts w:hint="eastAsia" w:ascii="宋体" w:hAnsi="宋体" w:eastAsia="等线"/>
                <w:color w:val="auto"/>
                <w:szCs w:val="21"/>
                <w:highlight w:val="none"/>
              </w:rPr>
              <w:t>38</w:t>
            </w:r>
          </w:p>
        </w:tc>
        <w:tc>
          <w:tcPr>
            <w:tcW w:w="1559" w:type="dxa"/>
            <w:tcBorders>
              <w:top w:val="single" w:color="auto" w:sz="4" w:space="0"/>
              <w:left w:val="single" w:color="auto" w:sz="4" w:space="0"/>
              <w:bottom w:val="single" w:color="auto" w:sz="4" w:space="0"/>
              <w:right w:val="single" w:color="auto" w:sz="4" w:space="0"/>
            </w:tcBorders>
            <w:vAlign w:val="center"/>
          </w:tcPr>
          <w:p w14:paraId="3AF40AB7">
            <w:pPr>
              <w:widowControl/>
              <w:jc w:val="center"/>
              <w:rPr>
                <w:rFonts w:eastAsia="宋体" w:cs="Times New Roman"/>
                <w:color w:val="auto"/>
                <w:highlight w:val="none"/>
              </w:rPr>
            </w:pPr>
            <w:r>
              <w:rPr>
                <w:rFonts w:hint="eastAsia" w:eastAsia="宋体" w:cs="Times New Roman"/>
                <w:color w:val="auto"/>
                <w:highlight w:val="none"/>
              </w:rPr>
              <w:t>制冷配件（</w:t>
            </w:r>
            <w:r>
              <w:rPr>
                <w:rFonts w:hint="eastAsia" w:ascii="宋体" w:hAnsi="宋体"/>
                <w:color w:val="auto"/>
                <w:szCs w:val="21"/>
                <w:highlight w:val="none"/>
              </w:rPr>
              <w:t>家用和类似用途空调电子膨胀阀</w:t>
            </w:r>
            <w:r>
              <w:rPr>
                <w:rFonts w:hint="eastAsia" w:eastAsia="宋体" w:cs="Times New Roman"/>
                <w:color w:val="auto"/>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29FCD2E5">
            <w:pPr>
              <w:widowControl/>
              <w:jc w:val="center"/>
              <w:rPr>
                <w:rFonts w:ascii="宋体" w:hAnsi="宋体" w:eastAsia="宋体" w:cs="Times New Roman"/>
                <w:color w:val="auto"/>
                <w:szCs w:val="21"/>
                <w:highlight w:val="none"/>
              </w:rPr>
            </w:pPr>
            <w:r>
              <w:rPr>
                <w:rFonts w:hint="eastAsia" w:ascii="宋体" w:hAnsi="宋体"/>
                <w:color w:val="auto"/>
                <w:szCs w:val="21"/>
                <w:highlight w:val="none"/>
              </w:rPr>
              <w:t>4500</w:t>
            </w:r>
          </w:p>
        </w:tc>
        <w:tc>
          <w:tcPr>
            <w:tcW w:w="1577" w:type="dxa"/>
            <w:tcBorders>
              <w:top w:val="single" w:color="auto" w:sz="4" w:space="0"/>
              <w:left w:val="single" w:color="auto" w:sz="4" w:space="0"/>
              <w:bottom w:val="single" w:color="auto" w:sz="4" w:space="0"/>
              <w:right w:val="single" w:color="auto" w:sz="4" w:space="0"/>
            </w:tcBorders>
            <w:vAlign w:val="center"/>
          </w:tcPr>
          <w:p w14:paraId="491CE318">
            <w:pPr>
              <w:widowControl/>
              <w:rPr>
                <w:rFonts w:ascii="宋体" w:hAnsi="宋体" w:eastAsia="等线"/>
                <w:color w:val="auto"/>
                <w:szCs w:val="21"/>
                <w:highlight w:val="none"/>
              </w:rPr>
            </w:pPr>
            <w:r>
              <w:rPr>
                <w:rFonts w:hint="eastAsia" w:ascii="宋体" w:hAnsi="宋体" w:eastAsia="等线"/>
                <w:color w:val="auto"/>
                <w:szCs w:val="21"/>
                <w:highlight w:val="none"/>
              </w:rPr>
              <w:t>JB/T 10386-2002、</w:t>
            </w:r>
          </w:p>
          <w:p w14:paraId="2B42E97F">
            <w:pPr>
              <w:widowControl/>
              <w:rPr>
                <w:rFonts w:ascii="宋体" w:hAnsi="宋体" w:eastAsia="等线"/>
                <w:color w:val="auto"/>
                <w:szCs w:val="21"/>
                <w:highlight w:val="none"/>
              </w:rPr>
            </w:pPr>
            <w:r>
              <w:rPr>
                <w:rFonts w:hint="eastAsia" w:ascii="宋体" w:hAnsi="宋体" w:eastAsia="等线"/>
                <w:color w:val="auto"/>
                <w:szCs w:val="21"/>
                <w:highlight w:val="none"/>
              </w:rPr>
              <w:t>JB/T 10386-2022</w:t>
            </w:r>
          </w:p>
        </w:tc>
        <w:tc>
          <w:tcPr>
            <w:tcW w:w="3962" w:type="dxa"/>
            <w:tcBorders>
              <w:top w:val="single" w:color="auto" w:sz="4" w:space="0"/>
              <w:left w:val="single" w:color="auto" w:sz="4" w:space="0"/>
              <w:bottom w:val="single" w:color="auto" w:sz="4" w:space="0"/>
              <w:right w:val="single" w:color="auto" w:sz="4" w:space="0"/>
            </w:tcBorders>
            <w:vAlign w:val="center"/>
          </w:tcPr>
          <w:p w14:paraId="4E9C778A">
            <w:pPr>
              <w:widowControl/>
              <w:rPr>
                <w:rFonts w:ascii="宋体" w:hAnsi="宋体" w:eastAsia="等线"/>
                <w:color w:val="auto"/>
                <w:szCs w:val="21"/>
                <w:highlight w:val="none"/>
              </w:rPr>
            </w:pPr>
            <w:r>
              <w:rPr>
                <w:rFonts w:hint="eastAsia" w:ascii="宋体" w:hAnsi="宋体" w:eastAsia="等线"/>
                <w:color w:val="auto"/>
                <w:szCs w:val="21"/>
                <w:highlight w:val="none"/>
              </w:rPr>
              <w:t>外观、气密性、液压强度、破坏强度、最大动作压力差、逆向开阀压力差、阀口泄漏量、绝缘电阻、电气强度、耐脉冲电压、噪声、线圈温度、耐高温、耐低温、耐温度变化、耐振动、耐腐蚀、引线拉力、开阀脉冲、恒定湿热、装配强度</w:t>
            </w:r>
          </w:p>
        </w:tc>
      </w:tr>
      <w:tr w14:paraId="13FE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tcBorders>
              <w:top w:val="single" w:color="auto" w:sz="4" w:space="0"/>
              <w:left w:val="single" w:color="auto" w:sz="4" w:space="0"/>
              <w:bottom w:val="single" w:color="auto" w:sz="4" w:space="0"/>
              <w:right w:val="single" w:color="auto" w:sz="4" w:space="0"/>
            </w:tcBorders>
            <w:vAlign w:val="center"/>
          </w:tcPr>
          <w:p w14:paraId="3280281C">
            <w:pPr>
              <w:jc w:val="center"/>
              <w:rPr>
                <w:rFonts w:ascii="宋体" w:hAnsi="宋体" w:eastAsia="等线"/>
                <w:color w:val="auto"/>
                <w:szCs w:val="21"/>
                <w:highlight w:val="none"/>
              </w:rPr>
            </w:pPr>
            <w:r>
              <w:rPr>
                <w:rFonts w:hint="eastAsia" w:ascii="宋体" w:hAnsi="宋体" w:eastAsia="等线"/>
                <w:color w:val="auto"/>
                <w:szCs w:val="21"/>
                <w:highlight w:val="none"/>
              </w:rPr>
              <w:t>39</w:t>
            </w:r>
          </w:p>
        </w:tc>
        <w:tc>
          <w:tcPr>
            <w:tcW w:w="1559" w:type="dxa"/>
            <w:tcBorders>
              <w:top w:val="single" w:color="auto" w:sz="4" w:space="0"/>
              <w:left w:val="single" w:color="auto" w:sz="4" w:space="0"/>
              <w:bottom w:val="single" w:color="auto" w:sz="4" w:space="0"/>
              <w:right w:val="single" w:color="auto" w:sz="4" w:space="0"/>
            </w:tcBorders>
            <w:vAlign w:val="center"/>
          </w:tcPr>
          <w:p w14:paraId="355FFEB5">
            <w:pPr>
              <w:widowControl/>
              <w:jc w:val="center"/>
              <w:rPr>
                <w:rFonts w:eastAsia="宋体" w:cs="Times New Roman"/>
                <w:color w:val="auto"/>
                <w:highlight w:val="none"/>
              </w:rPr>
            </w:pPr>
            <w:r>
              <w:rPr>
                <w:rFonts w:hint="eastAsia" w:eastAsia="宋体" w:cs="Times New Roman"/>
                <w:color w:val="auto"/>
                <w:highlight w:val="none"/>
              </w:rPr>
              <w:t>除尘器</w:t>
            </w:r>
          </w:p>
        </w:tc>
        <w:tc>
          <w:tcPr>
            <w:tcW w:w="1265" w:type="dxa"/>
            <w:tcBorders>
              <w:top w:val="single" w:color="auto" w:sz="4" w:space="0"/>
              <w:left w:val="single" w:color="auto" w:sz="4" w:space="0"/>
              <w:bottom w:val="single" w:color="auto" w:sz="4" w:space="0"/>
              <w:right w:val="single" w:color="auto" w:sz="4" w:space="0"/>
            </w:tcBorders>
            <w:vAlign w:val="center"/>
          </w:tcPr>
          <w:p w14:paraId="39317227">
            <w:pPr>
              <w:widowControl/>
              <w:jc w:val="center"/>
              <w:rPr>
                <w:rFonts w:ascii="宋体" w:hAnsi="宋体" w:eastAsia="等线"/>
                <w:color w:val="auto"/>
                <w:szCs w:val="21"/>
                <w:highlight w:val="none"/>
              </w:rPr>
            </w:pPr>
            <w:r>
              <w:rPr>
                <w:rFonts w:hint="eastAsia" w:ascii="宋体" w:hAnsi="宋体"/>
                <w:color w:val="auto"/>
                <w:szCs w:val="21"/>
                <w:highlight w:val="none"/>
              </w:rPr>
              <w:t>15000</w:t>
            </w:r>
          </w:p>
        </w:tc>
        <w:tc>
          <w:tcPr>
            <w:tcW w:w="1577" w:type="dxa"/>
            <w:tcBorders>
              <w:top w:val="single" w:color="auto" w:sz="4" w:space="0"/>
              <w:left w:val="single" w:color="auto" w:sz="4" w:space="0"/>
              <w:bottom w:val="single" w:color="auto" w:sz="4" w:space="0"/>
              <w:right w:val="single" w:color="auto" w:sz="4" w:space="0"/>
            </w:tcBorders>
            <w:vAlign w:val="center"/>
          </w:tcPr>
          <w:p w14:paraId="75BDBA4A">
            <w:pPr>
              <w:widowControl/>
              <w:rPr>
                <w:rFonts w:ascii="宋体" w:hAnsi="宋体" w:eastAsia="等线"/>
                <w:color w:val="auto"/>
                <w:szCs w:val="21"/>
                <w:highlight w:val="none"/>
              </w:rPr>
            </w:pPr>
            <w:r>
              <w:rPr>
                <w:rFonts w:hint="eastAsia" w:ascii="宋体" w:hAnsi="宋体" w:eastAsia="等线"/>
                <w:color w:val="auto"/>
                <w:szCs w:val="21"/>
                <w:highlight w:val="none"/>
              </w:rPr>
              <w:t>JB/T 5910-2013</w:t>
            </w:r>
          </w:p>
          <w:p w14:paraId="60A5196C">
            <w:pPr>
              <w:widowControl/>
              <w:rPr>
                <w:rFonts w:ascii="宋体" w:hAnsi="宋体" w:eastAsia="等线"/>
                <w:color w:val="auto"/>
                <w:szCs w:val="21"/>
                <w:highlight w:val="none"/>
              </w:rPr>
            </w:pPr>
            <w:r>
              <w:rPr>
                <w:rFonts w:hint="eastAsia" w:ascii="宋体" w:hAnsi="宋体" w:eastAsia="等线"/>
                <w:color w:val="auto"/>
                <w:szCs w:val="21"/>
                <w:highlight w:val="none"/>
              </w:rPr>
              <w:t>JB/T 6407-2017</w:t>
            </w:r>
          </w:p>
        </w:tc>
        <w:tc>
          <w:tcPr>
            <w:tcW w:w="3962" w:type="dxa"/>
            <w:tcBorders>
              <w:top w:val="single" w:color="auto" w:sz="4" w:space="0"/>
              <w:left w:val="single" w:color="auto" w:sz="4" w:space="0"/>
              <w:bottom w:val="single" w:color="auto" w:sz="4" w:space="0"/>
              <w:right w:val="single" w:color="auto" w:sz="4" w:space="0"/>
            </w:tcBorders>
            <w:vAlign w:val="center"/>
          </w:tcPr>
          <w:p w14:paraId="423D376C">
            <w:pPr>
              <w:widowControl/>
              <w:rPr>
                <w:rFonts w:ascii="宋体" w:hAnsi="宋体" w:eastAsia="等线"/>
                <w:color w:val="auto"/>
                <w:szCs w:val="21"/>
                <w:highlight w:val="none"/>
              </w:rPr>
            </w:pPr>
            <w:r>
              <w:rPr>
                <w:rFonts w:hint="eastAsia" w:ascii="宋体" w:hAnsi="宋体" w:eastAsia="等线"/>
                <w:color w:val="auto"/>
                <w:szCs w:val="21"/>
                <w:highlight w:val="none"/>
              </w:rPr>
              <w:t>整体性能要求、电除尘器设计,调试,运行,维护</w:t>
            </w:r>
          </w:p>
        </w:tc>
      </w:tr>
      <w:tr w14:paraId="4058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2A31415">
            <w:pPr>
              <w:jc w:val="center"/>
              <w:rPr>
                <w:rFonts w:ascii="宋体" w:hAnsi="宋体" w:eastAsia="等线"/>
                <w:color w:val="auto"/>
                <w:szCs w:val="21"/>
                <w:highlight w:val="none"/>
              </w:rPr>
            </w:pPr>
            <w:r>
              <w:rPr>
                <w:rFonts w:hint="eastAsia" w:ascii="宋体" w:hAnsi="宋体" w:eastAsia="等线"/>
                <w:color w:val="auto"/>
                <w:szCs w:val="21"/>
                <w:highlight w:val="none"/>
              </w:rPr>
              <w:t>40</w:t>
            </w:r>
          </w:p>
        </w:tc>
        <w:tc>
          <w:tcPr>
            <w:tcW w:w="1559" w:type="dxa"/>
            <w:tcBorders>
              <w:top w:val="single" w:color="auto" w:sz="4" w:space="0"/>
              <w:left w:val="single" w:color="auto" w:sz="4" w:space="0"/>
              <w:bottom w:val="single" w:color="auto" w:sz="4" w:space="0"/>
              <w:right w:val="single" w:color="auto" w:sz="4" w:space="0"/>
            </w:tcBorders>
            <w:vAlign w:val="center"/>
          </w:tcPr>
          <w:p w14:paraId="22892BCE">
            <w:pPr>
              <w:widowControl/>
              <w:jc w:val="center"/>
              <w:rPr>
                <w:rFonts w:eastAsia="宋体" w:cs="Times New Roman"/>
                <w:color w:val="auto"/>
                <w:highlight w:val="none"/>
              </w:rPr>
            </w:pPr>
            <w:r>
              <w:rPr>
                <w:rFonts w:hint="eastAsia"/>
                <w:color w:val="auto"/>
                <w:highlight w:val="none"/>
              </w:rPr>
              <w:t>针织机械（倍捻机）</w:t>
            </w:r>
          </w:p>
        </w:tc>
        <w:tc>
          <w:tcPr>
            <w:tcW w:w="1265" w:type="dxa"/>
            <w:tcBorders>
              <w:top w:val="single" w:color="auto" w:sz="4" w:space="0"/>
              <w:left w:val="single" w:color="auto" w:sz="4" w:space="0"/>
              <w:bottom w:val="single" w:color="auto" w:sz="4" w:space="0"/>
              <w:right w:val="single" w:color="auto" w:sz="4" w:space="0"/>
            </w:tcBorders>
            <w:vAlign w:val="center"/>
          </w:tcPr>
          <w:p w14:paraId="345FB0A8">
            <w:pPr>
              <w:widowControl/>
              <w:jc w:val="center"/>
              <w:rPr>
                <w:rFonts w:ascii="宋体" w:hAnsi="宋体" w:eastAsia="等线"/>
                <w:color w:val="auto"/>
                <w:szCs w:val="21"/>
                <w:highlight w:val="none"/>
              </w:rPr>
            </w:pPr>
            <w:r>
              <w:rPr>
                <w:rFonts w:hint="eastAsia" w:ascii="宋体" w:hAnsi="宋体"/>
                <w:color w:val="auto"/>
                <w:szCs w:val="21"/>
                <w:highlight w:val="none"/>
              </w:rPr>
              <w:t>4000</w:t>
            </w:r>
          </w:p>
        </w:tc>
        <w:tc>
          <w:tcPr>
            <w:tcW w:w="1577" w:type="dxa"/>
            <w:tcBorders>
              <w:top w:val="single" w:color="auto" w:sz="4" w:space="0"/>
              <w:left w:val="single" w:color="auto" w:sz="4" w:space="0"/>
              <w:bottom w:val="single" w:color="auto" w:sz="4" w:space="0"/>
              <w:right w:val="single" w:color="auto" w:sz="4" w:space="0"/>
            </w:tcBorders>
            <w:vAlign w:val="center"/>
          </w:tcPr>
          <w:p w14:paraId="3E09DE17">
            <w:pPr>
              <w:widowControl/>
              <w:rPr>
                <w:rFonts w:ascii="宋体" w:hAnsi="宋体" w:eastAsia="等线"/>
                <w:color w:val="auto"/>
                <w:szCs w:val="21"/>
                <w:highlight w:val="none"/>
              </w:rPr>
            </w:pPr>
            <w:r>
              <w:rPr>
                <w:rFonts w:hint="eastAsia" w:ascii="宋体" w:hAnsi="宋体" w:eastAsia="等线"/>
                <w:color w:val="auto"/>
                <w:szCs w:val="21"/>
                <w:highlight w:val="none"/>
              </w:rPr>
              <w:t>FZ/T 96021-2010</w:t>
            </w:r>
          </w:p>
        </w:tc>
        <w:tc>
          <w:tcPr>
            <w:tcW w:w="3962" w:type="dxa"/>
            <w:tcBorders>
              <w:top w:val="single" w:color="auto" w:sz="4" w:space="0"/>
              <w:left w:val="single" w:color="auto" w:sz="4" w:space="0"/>
              <w:bottom w:val="single" w:color="auto" w:sz="4" w:space="0"/>
              <w:right w:val="single" w:color="auto" w:sz="4" w:space="0"/>
            </w:tcBorders>
            <w:vAlign w:val="center"/>
          </w:tcPr>
          <w:p w14:paraId="028A0816">
            <w:pPr>
              <w:widowControl/>
              <w:rPr>
                <w:rFonts w:ascii="宋体" w:hAnsi="宋体" w:eastAsia="等线"/>
                <w:color w:val="auto"/>
                <w:szCs w:val="21"/>
                <w:highlight w:val="none"/>
              </w:rPr>
            </w:pPr>
            <w:r>
              <w:rPr>
                <w:rFonts w:hint="eastAsia" w:ascii="宋体" w:hAnsi="宋体" w:eastAsia="等线"/>
                <w:color w:val="auto"/>
                <w:szCs w:val="21"/>
                <w:highlight w:val="none"/>
              </w:rPr>
              <w:t>机械传动系统、锭子及龙带、卷绕系统、电气设备和安全性能、功率消耗、噪声、锭速不匀率、产品涂装、标志</w:t>
            </w:r>
          </w:p>
        </w:tc>
      </w:tr>
      <w:tr w14:paraId="7DD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6F097455">
            <w:pPr>
              <w:jc w:val="center"/>
              <w:rPr>
                <w:rFonts w:ascii="宋体" w:hAnsi="宋体" w:eastAsia="等线"/>
                <w:color w:val="auto"/>
                <w:szCs w:val="21"/>
                <w:highlight w:val="none"/>
              </w:rPr>
            </w:pPr>
            <w:r>
              <w:rPr>
                <w:rFonts w:hint="eastAsia" w:ascii="宋体" w:hAnsi="宋体" w:eastAsia="等线"/>
                <w:color w:val="auto"/>
                <w:szCs w:val="21"/>
                <w:highlight w:val="none"/>
              </w:rPr>
              <w:t>41</w:t>
            </w:r>
          </w:p>
        </w:tc>
        <w:tc>
          <w:tcPr>
            <w:tcW w:w="1559" w:type="dxa"/>
            <w:tcBorders>
              <w:top w:val="single" w:color="auto" w:sz="4" w:space="0"/>
              <w:left w:val="single" w:color="auto" w:sz="4" w:space="0"/>
              <w:bottom w:val="single" w:color="auto" w:sz="4" w:space="0"/>
              <w:right w:val="single" w:color="auto" w:sz="4" w:space="0"/>
            </w:tcBorders>
            <w:vAlign w:val="center"/>
          </w:tcPr>
          <w:p w14:paraId="51DCACEF">
            <w:pPr>
              <w:widowControl/>
              <w:jc w:val="center"/>
              <w:rPr>
                <w:color w:val="auto"/>
                <w:highlight w:val="none"/>
              </w:rPr>
            </w:pPr>
            <w:r>
              <w:rPr>
                <w:color w:val="auto"/>
                <w:highlight w:val="none"/>
              </w:rPr>
              <w:t>烟花爆竹</w:t>
            </w:r>
          </w:p>
        </w:tc>
        <w:tc>
          <w:tcPr>
            <w:tcW w:w="1265" w:type="dxa"/>
            <w:tcBorders>
              <w:top w:val="single" w:color="auto" w:sz="4" w:space="0"/>
              <w:left w:val="single" w:color="auto" w:sz="4" w:space="0"/>
              <w:bottom w:val="single" w:color="auto" w:sz="4" w:space="0"/>
              <w:right w:val="single" w:color="auto" w:sz="4" w:space="0"/>
            </w:tcBorders>
            <w:vAlign w:val="center"/>
          </w:tcPr>
          <w:p w14:paraId="3524CAC5">
            <w:pPr>
              <w:widowControl/>
              <w:jc w:val="center"/>
              <w:rPr>
                <w:rFonts w:ascii="宋体" w:hAnsi="宋体"/>
                <w:color w:val="auto"/>
                <w:szCs w:val="21"/>
                <w:highlight w:val="none"/>
              </w:rPr>
            </w:pPr>
            <w:r>
              <w:rPr>
                <w:rFonts w:hint="eastAsia" w:ascii="宋体" w:hAnsi="宋体" w:eastAsia="等线" w:cs="Times New Roman"/>
                <w:color w:val="auto"/>
                <w:szCs w:val="21"/>
                <w:highlight w:val="none"/>
              </w:rPr>
              <w:t>2500</w:t>
            </w:r>
          </w:p>
        </w:tc>
        <w:tc>
          <w:tcPr>
            <w:tcW w:w="1577" w:type="dxa"/>
            <w:tcBorders>
              <w:top w:val="single" w:color="auto" w:sz="4" w:space="0"/>
              <w:left w:val="single" w:color="auto" w:sz="4" w:space="0"/>
              <w:bottom w:val="single" w:color="auto" w:sz="4" w:space="0"/>
              <w:right w:val="single" w:color="auto" w:sz="4" w:space="0"/>
            </w:tcBorders>
            <w:vAlign w:val="center"/>
          </w:tcPr>
          <w:p w14:paraId="27562D6A">
            <w:pPr>
              <w:widowControl/>
              <w:jc w:val="center"/>
              <w:rPr>
                <w:rFonts w:eastAsia="宋体" w:cs="Times New Roman"/>
                <w:color w:val="auto"/>
                <w:highlight w:val="none"/>
              </w:rPr>
            </w:pPr>
            <w:r>
              <w:rPr>
                <w:rFonts w:hint="eastAsia" w:eastAsia="宋体" w:cs="Times New Roman"/>
                <w:color w:val="auto"/>
                <w:highlight w:val="none"/>
              </w:rPr>
              <w:t>GB 0631-2013、</w:t>
            </w:r>
          </w:p>
          <w:p w14:paraId="3C1EF42A">
            <w:pPr>
              <w:widowControl/>
              <w:rPr>
                <w:rFonts w:eastAsia="宋体" w:cs="Times New Roman"/>
                <w:color w:val="auto"/>
                <w:highlight w:val="none"/>
              </w:rPr>
            </w:pPr>
            <w:r>
              <w:rPr>
                <w:rFonts w:hint="eastAsia" w:eastAsia="宋体" w:cs="Times New Roman"/>
                <w:color w:val="auto"/>
                <w:highlight w:val="none"/>
              </w:rPr>
              <w:t>GB 9593-2015、</w:t>
            </w:r>
          </w:p>
          <w:p w14:paraId="3A80BBB1">
            <w:pPr>
              <w:widowControl/>
              <w:jc w:val="center"/>
              <w:rPr>
                <w:rFonts w:eastAsia="宋体" w:cs="Times New Roman"/>
                <w:color w:val="auto"/>
                <w:highlight w:val="none"/>
              </w:rPr>
            </w:pPr>
            <w:r>
              <w:rPr>
                <w:rFonts w:hint="eastAsia" w:eastAsia="宋体" w:cs="Times New Roman"/>
                <w:color w:val="auto"/>
                <w:highlight w:val="none"/>
              </w:rPr>
              <w:t xml:space="preserve">GB 21555-2008 </w:t>
            </w:r>
          </w:p>
          <w:p w14:paraId="6A04A4D0">
            <w:pPr>
              <w:widowControl/>
              <w:jc w:val="center"/>
              <w:rPr>
                <w:rFonts w:ascii="宋体" w:hAnsi="宋体" w:eastAsia="等线"/>
                <w:color w:val="auto"/>
                <w:szCs w:val="21"/>
                <w:highlight w:val="none"/>
              </w:rPr>
            </w:pPr>
          </w:p>
        </w:tc>
        <w:tc>
          <w:tcPr>
            <w:tcW w:w="3962" w:type="dxa"/>
            <w:tcBorders>
              <w:top w:val="single" w:color="auto" w:sz="4" w:space="0"/>
              <w:left w:val="single" w:color="auto" w:sz="4" w:space="0"/>
              <w:bottom w:val="single" w:color="auto" w:sz="4" w:space="0"/>
              <w:right w:val="single" w:color="auto" w:sz="4" w:space="0"/>
            </w:tcBorders>
            <w:vAlign w:val="center"/>
          </w:tcPr>
          <w:p w14:paraId="4FD85435">
            <w:pPr>
              <w:widowControl/>
              <w:jc w:val="left"/>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GB 9593-2015组合烟花：</w:t>
            </w:r>
          </w:p>
          <w:p w14:paraId="425832C1">
            <w:pPr>
              <w:widowControl/>
              <w:jc w:val="left"/>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标志、包装（运输包装标志、销售包装标志、包装）、外观、部件（引燃装置（引火线、引火线牢固性、引燃时间））、结构和材质、主体稳定性、药种（氯酸盐）、药量、燃放性能（燃放缺陷、漂浮物和雷弹检验）；</w:t>
            </w:r>
          </w:p>
          <w:p w14:paraId="497EBC78">
            <w:pPr>
              <w:widowControl/>
              <w:jc w:val="left"/>
              <w:rPr>
                <w:rFonts w:ascii="宋体" w:hAnsi="宋体" w:eastAsia="等线" w:cs="Times New Roman"/>
                <w:color w:val="auto"/>
                <w:szCs w:val="21"/>
                <w:highlight w:val="none"/>
              </w:rPr>
            </w:pPr>
            <w:r>
              <w:rPr>
                <w:rFonts w:hint="eastAsia" w:ascii="宋体" w:hAnsi="宋体" w:eastAsia="等线" w:cs="Times New Roman"/>
                <w:color w:val="auto"/>
                <w:szCs w:val="21"/>
                <w:highlight w:val="none"/>
              </w:rPr>
              <w:t>GB 21555-2008烟花爆竹产品（除组合烟花外）：</w:t>
            </w:r>
          </w:p>
          <w:p w14:paraId="170FABFE">
            <w:pPr>
              <w:widowControl/>
              <w:jc w:val="left"/>
              <w:rPr>
                <w:rFonts w:ascii="宋体" w:hAnsi="宋体" w:eastAsia="等线"/>
                <w:color w:val="auto"/>
                <w:szCs w:val="21"/>
                <w:highlight w:val="none"/>
              </w:rPr>
            </w:pPr>
            <w:r>
              <w:rPr>
                <w:rFonts w:hint="eastAsia" w:ascii="宋体" w:hAnsi="宋体" w:eastAsia="等线" w:cs="Times New Roman"/>
                <w:color w:val="auto"/>
                <w:szCs w:val="21"/>
                <w:highlight w:val="none"/>
              </w:rPr>
              <w:t>标志、包装、外观、部件（部件牢固性、引燃装置（引火线、引火线牢固性、引燃时间）、手持部位）、结构和材质（材质、固引剂碎片）、双响筒体尺寸、药种（氯酸盐）、药量、燃放性能（燃放缺陷、旋转类产品-飞离地面高度、旋转直径范围、玩具造型产品-行走距离、计数类产品烧成率、计数类产品计量误差）</w:t>
            </w:r>
          </w:p>
        </w:tc>
      </w:tr>
      <w:tr w14:paraId="0D01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right w:val="single" w:color="auto" w:sz="4" w:space="0"/>
            </w:tcBorders>
            <w:vAlign w:val="center"/>
          </w:tcPr>
          <w:p w14:paraId="1C9EB560">
            <w:pPr>
              <w:jc w:val="center"/>
              <w:rPr>
                <w:rFonts w:ascii="宋体" w:hAnsi="宋体" w:eastAsia="等线"/>
                <w:color w:val="auto"/>
                <w:szCs w:val="21"/>
                <w:highlight w:val="none"/>
              </w:rPr>
            </w:pPr>
            <w:r>
              <w:rPr>
                <w:rFonts w:hint="eastAsia" w:ascii="宋体" w:hAnsi="宋体" w:eastAsia="等线"/>
                <w:color w:val="auto"/>
                <w:szCs w:val="21"/>
                <w:highlight w:val="none"/>
              </w:rPr>
              <w:t>42</w:t>
            </w:r>
          </w:p>
        </w:tc>
        <w:tc>
          <w:tcPr>
            <w:tcW w:w="1559" w:type="dxa"/>
            <w:tcBorders>
              <w:top w:val="single" w:color="auto" w:sz="4" w:space="0"/>
              <w:left w:val="single" w:color="auto" w:sz="4" w:space="0"/>
              <w:bottom w:val="single" w:color="auto" w:sz="4" w:space="0"/>
              <w:right w:val="single" w:color="auto" w:sz="4" w:space="0"/>
            </w:tcBorders>
            <w:vAlign w:val="center"/>
          </w:tcPr>
          <w:p w14:paraId="76668350">
            <w:pPr>
              <w:widowControl/>
              <w:jc w:val="center"/>
              <w:rPr>
                <w:color w:val="auto"/>
                <w:highlight w:val="none"/>
              </w:rPr>
            </w:pPr>
            <w:r>
              <w:rPr>
                <w:color w:val="auto"/>
                <w:highlight w:val="none"/>
              </w:rPr>
              <w:t>油墨</w:t>
            </w:r>
          </w:p>
        </w:tc>
        <w:tc>
          <w:tcPr>
            <w:tcW w:w="1265" w:type="dxa"/>
            <w:tcBorders>
              <w:top w:val="single" w:color="auto" w:sz="4" w:space="0"/>
              <w:left w:val="single" w:color="auto" w:sz="4" w:space="0"/>
              <w:bottom w:val="single" w:color="auto" w:sz="4" w:space="0"/>
              <w:right w:val="single" w:color="auto" w:sz="4" w:space="0"/>
            </w:tcBorders>
            <w:vAlign w:val="center"/>
          </w:tcPr>
          <w:p w14:paraId="163D3A5E">
            <w:pPr>
              <w:widowControl/>
              <w:jc w:val="center"/>
              <w:rPr>
                <w:rFonts w:ascii="宋体" w:hAnsi="宋体"/>
                <w:color w:val="auto"/>
                <w:szCs w:val="21"/>
                <w:highlight w:val="none"/>
              </w:rPr>
            </w:pPr>
            <w:r>
              <w:rPr>
                <w:rFonts w:hint="eastAsia" w:ascii="宋体" w:hAnsi="宋体" w:eastAsia="等线"/>
                <w:color w:val="auto"/>
                <w:szCs w:val="21"/>
                <w:highlight w:val="none"/>
              </w:rPr>
              <w:t>1000</w:t>
            </w:r>
          </w:p>
        </w:tc>
        <w:tc>
          <w:tcPr>
            <w:tcW w:w="1577" w:type="dxa"/>
            <w:tcBorders>
              <w:top w:val="single" w:color="auto" w:sz="4" w:space="0"/>
              <w:left w:val="single" w:color="auto" w:sz="4" w:space="0"/>
              <w:bottom w:val="single" w:color="auto" w:sz="4" w:space="0"/>
              <w:right w:val="single" w:color="auto" w:sz="4" w:space="0"/>
            </w:tcBorders>
            <w:vAlign w:val="center"/>
          </w:tcPr>
          <w:p w14:paraId="37A9CB51">
            <w:pPr>
              <w:widowControl/>
              <w:rPr>
                <w:rFonts w:ascii="宋体" w:hAnsi="宋体" w:eastAsia="等线"/>
                <w:color w:val="auto"/>
                <w:szCs w:val="21"/>
                <w:highlight w:val="none"/>
              </w:rPr>
            </w:pPr>
            <w:r>
              <w:rPr>
                <w:rFonts w:hint="eastAsia" w:ascii="宋体" w:hAnsi="宋体" w:eastAsia="等线"/>
                <w:color w:val="auto"/>
                <w:szCs w:val="21"/>
                <w:highlight w:val="none"/>
              </w:rPr>
              <w:t>GB 38507-2020、</w:t>
            </w:r>
          </w:p>
          <w:p w14:paraId="651A3872">
            <w:pPr>
              <w:widowControl/>
              <w:rPr>
                <w:rFonts w:ascii="宋体" w:hAnsi="宋体" w:eastAsia="等线"/>
                <w:color w:val="auto"/>
                <w:szCs w:val="21"/>
                <w:highlight w:val="none"/>
              </w:rPr>
            </w:pPr>
            <w:r>
              <w:rPr>
                <w:rFonts w:hint="eastAsia" w:ascii="宋体" w:hAnsi="宋体" w:eastAsia="等线"/>
                <w:color w:val="auto"/>
                <w:szCs w:val="21"/>
                <w:highlight w:val="none"/>
              </w:rPr>
              <w:t>GB/T 38608-2020</w:t>
            </w:r>
          </w:p>
        </w:tc>
        <w:tc>
          <w:tcPr>
            <w:tcW w:w="3962" w:type="dxa"/>
            <w:tcBorders>
              <w:top w:val="single" w:color="auto" w:sz="4" w:space="0"/>
              <w:left w:val="single" w:color="auto" w:sz="4" w:space="0"/>
              <w:bottom w:val="single" w:color="auto" w:sz="4" w:space="0"/>
              <w:right w:val="single" w:color="auto" w:sz="4" w:space="0"/>
            </w:tcBorders>
            <w:vAlign w:val="center"/>
          </w:tcPr>
          <w:p w14:paraId="7A268A19">
            <w:pPr>
              <w:widowControl/>
              <w:rPr>
                <w:rFonts w:ascii="宋体" w:hAnsi="宋体" w:eastAsia="等线"/>
                <w:color w:val="auto"/>
                <w:szCs w:val="21"/>
                <w:highlight w:val="none"/>
              </w:rPr>
            </w:pPr>
            <w:r>
              <w:rPr>
                <w:rFonts w:hint="eastAsia" w:ascii="宋体" w:hAnsi="宋体" w:eastAsia="等线"/>
                <w:color w:val="auto"/>
                <w:szCs w:val="21"/>
                <w:highlight w:val="none"/>
              </w:rPr>
              <w:t>可挥发性有机化合物（VOCs）含量</w:t>
            </w:r>
          </w:p>
        </w:tc>
      </w:tr>
    </w:tbl>
    <w:p w14:paraId="25A3C13E">
      <w:pPr>
        <w:spacing w:line="360" w:lineRule="auto"/>
        <w:rPr>
          <w:rFonts w:hint="eastAsia" w:ascii="宋体" w:hAnsi="宋体" w:cs="宋体"/>
          <w:color w:val="auto"/>
          <w:szCs w:val="21"/>
          <w:highlight w:val="none"/>
        </w:rPr>
      </w:pPr>
    </w:p>
    <w:p w14:paraId="22841B17">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color w:val="auto"/>
          <w:szCs w:val="21"/>
          <w:highlight w:val="none"/>
        </w:rPr>
        <w:t>2、服务要求：</w:t>
      </w:r>
    </w:p>
    <w:p w14:paraId="1347A9C8">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1）中标（承检）单位按照《产品质量法》《产品质量监督抽查管理暂行办法》《浙江省产品质量监督抽查工作实施办法（试行）》等相关要求开展监督抽查中的产品采样、企业信息调查、检验检测、数据汇总、质量分析等工作，确保监督抽查公正性和有效性。</w:t>
      </w:r>
    </w:p>
    <w:p w14:paraId="03EC3D06">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（2）按照委托单位的要求，在任务下达后12小时内，检测机构能为地方质量监督部门提供技术支撑，为企业开展免费的技术帮扶工作。</w:t>
      </w:r>
    </w:p>
    <w:p w14:paraId="4CC7589F">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未经委托方同意不得将检验任务分包给其它检验机构，或修改检测项目，一经发现取消检验资格。</w:t>
      </w:r>
    </w:p>
    <w:p w14:paraId="3BF7BEF7">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4）本次抽样由中标（承检）单位独立完成，机构应配备充足的具有抽样资格的工作人员，确保抽检分离。抽样地点定在嵊州市辖区范围内的商场、超市、市场、专卖店、仓库或采购人指定地点等，抽样时间根据双方工作情况确定。生产领域</w:t>
      </w:r>
      <w:r>
        <w:rPr>
          <w:rFonts w:ascii="宋体" w:hAnsi="宋体" w:cs="宋体"/>
          <w:color w:val="auto"/>
          <w:szCs w:val="21"/>
          <w:highlight w:val="none"/>
        </w:rPr>
        <w:t>承检批次应</w:t>
      </w:r>
      <w:r>
        <w:rPr>
          <w:rFonts w:hint="eastAsia" w:ascii="宋体" w:hAnsi="宋体" w:cs="宋体"/>
          <w:color w:val="auto"/>
          <w:szCs w:val="21"/>
          <w:highlight w:val="none"/>
        </w:rPr>
        <w:t>当严格按计划安排的批次数执行，</w:t>
      </w:r>
      <w:r>
        <w:rPr>
          <w:rFonts w:ascii="宋体" w:hAnsi="宋体" w:cs="宋体"/>
          <w:color w:val="auto"/>
          <w:szCs w:val="21"/>
          <w:highlight w:val="none"/>
        </w:rPr>
        <w:t>不能抽到计划内企业样品的，</w:t>
      </w:r>
      <w:r>
        <w:rPr>
          <w:rFonts w:hint="eastAsia" w:ascii="宋体" w:hAnsi="宋体" w:cs="宋体"/>
          <w:color w:val="auto"/>
          <w:szCs w:val="21"/>
          <w:highlight w:val="none"/>
        </w:rPr>
        <w:t>承检机构</w:t>
      </w:r>
      <w:r>
        <w:rPr>
          <w:rFonts w:ascii="宋体" w:hAnsi="宋体" w:cs="宋体"/>
          <w:color w:val="auto"/>
          <w:szCs w:val="21"/>
          <w:highlight w:val="none"/>
        </w:rPr>
        <w:t>要提供企业名单并说明原因</w:t>
      </w:r>
      <w:r>
        <w:rPr>
          <w:rFonts w:hint="eastAsia" w:ascii="宋体" w:hAnsi="宋体" w:cs="宋体"/>
          <w:color w:val="auto"/>
          <w:szCs w:val="21"/>
          <w:highlight w:val="none"/>
        </w:rPr>
        <w:t>，并经嵊州市市场监督管理</w:t>
      </w:r>
      <w:r>
        <w:rPr>
          <w:rFonts w:ascii="宋体" w:hAnsi="宋体" w:cs="宋体"/>
          <w:color w:val="auto"/>
          <w:szCs w:val="21"/>
          <w:highlight w:val="none"/>
        </w:rPr>
        <w:t>同意</w:t>
      </w:r>
      <w:r>
        <w:rPr>
          <w:rFonts w:hint="eastAsia" w:ascii="宋体" w:hAnsi="宋体" w:cs="宋体"/>
          <w:color w:val="auto"/>
          <w:szCs w:val="21"/>
          <w:highlight w:val="none"/>
        </w:rPr>
        <w:t>后，</w:t>
      </w:r>
      <w:r>
        <w:rPr>
          <w:rFonts w:ascii="宋体" w:hAnsi="宋体" w:cs="宋体"/>
          <w:color w:val="auto"/>
          <w:szCs w:val="21"/>
          <w:highlight w:val="none"/>
        </w:rPr>
        <w:t>允许抽查计划外企业的同</w:t>
      </w:r>
      <w:r>
        <w:rPr>
          <w:rFonts w:hint="eastAsia" w:ascii="宋体" w:hAnsi="宋体" w:cs="宋体"/>
          <w:color w:val="auto"/>
          <w:szCs w:val="21"/>
          <w:highlight w:val="none"/>
        </w:rPr>
        <w:t>种（类）产品以补足计划批次数，</w:t>
      </w:r>
    </w:p>
    <w:p w14:paraId="459C232E">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5）检验样品由中标（承检）单位购买，中标（承检）单位应确保抽查检验样品及数量（包括检验样品数和备份样品数）符合检验要求。检验用样品经抽样人员和销售者方确认签字后封存由中标（承检）单位带回实验室检测。备份样品经抽样人员和销售者方确认签字后封存于被抽查单位。</w:t>
      </w:r>
    </w:p>
    <w:p w14:paraId="10E62106">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6）检验结果复检结束后30日内中标（承检）单位负责对检验样品进行拆解、销毁、环保处理，并作详细样品处理情况说明（情况说明作为《样品处理记录》附件移交采购人），相关费用由中标（承检）单位负责，中标（承检）单位填写《样品处理记录》（一式两份）由双方盖章签字后，各执一份留存。</w:t>
      </w:r>
    </w:p>
    <w:p w14:paraId="03ACB6FF">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color w:val="auto"/>
          <w:szCs w:val="21"/>
          <w:highlight w:val="none"/>
        </w:rPr>
        <w:t>3、判定原则：</w:t>
      </w:r>
    </w:p>
    <w:p w14:paraId="370FA7E4">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根据相关国家标准、行业标准和企业标准、各产品（商品）相关的浙江省产品质量监督检查评价规则及上述未提及但现行有效的其它相关标准进行抽查检验，对所定的抽查检验项目进行综合判定，并作出结果认定。</w:t>
      </w:r>
    </w:p>
    <w:p w14:paraId="00C7F8DA">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color w:val="auto"/>
          <w:szCs w:val="21"/>
          <w:highlight w:val="none"/>
        </w:rPr>
        <w:t>4、检验要求：</w:t>
      </w:r>
    </w:p>
    <w:p w14:paraId="0445FC2C">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1）中标（承检）单位要严格按照抽查规范开展检验工作，确保检验结果的公正性和科学性。对于检验中发现的严重质量问题产品（商品），中标（承检）单位要迅速将相关信息报嵊州市市场监督管理局，及时处理，防止危害扩大。</w:t>
      </w:r>
    </w:p>
    <w:p w14:paraId="525A64BD">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（2）抽样程序必须遵守相关规定。抽样产品（商品）所执行的相关标准、相关法律法规及国家有关规定，并按照抽样检验实施方案的约定进行判定。</w:t>
      </w:r>
    </w:p>
    <w:p w14:paraId="5700C0EC">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color w:val="auto"/>
          <w:szCs w:val="21"/>
          <w:highlight w:val="none"/>
        </w:rPr>
        <w:t>5、检验时间要求：</w:t>
      </w:r>
    </w:p>
    <w:p w14:paraId="7F7D0450">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采样时间根据甲方要求确定抽查检验时间，双方依据工作情况确定具体采样时间，中标（承检）单位应配合完成产品（商品）质量抽样检验工作，填写产品（商品）质量抽查检验工作单，大批量检品应该在抽样完成后20个工作日内完成检验工作，中标（承检）单位应向甲方提供抽查检验工作汇总表、检验报告、报盘、质量分析报告。中标（承检）单位应于根据甲方要求确定抽查检验时间完成所有抽检产品检验工作。中标（承检）单位应于根据采购人要求确定抽查检验时间完成所有抽检产品检验工作。</w:t>
      </w:r>
    </w:p>
    <w:p w14:paraId="6F7CC5AE">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color w:val="auto"/>
          <w:szCs w:val="21"/>
          <w:highlight w:val="none"/>
        </w:rPr>
        <w:t>6、检验结果处理：</w:t>
      </w:r>
    </w:p>
    <w:p w14:paraId="468FB172">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初检结果处理抽查检验结束后，应向采购人提供抽查检验工作汇总表、检验报告、报盘或数据录入、质量分析报告。在检测工作结束后，应当交付委托人检测报告原件及电子版（PDF格式）、产品（商品）质量抽检结果清单、质量分析报告、报盘模版内录入采购人指定检测系统（用户名、密码由市场监督管理局提供）、样品处理记录等材料（接到采购人通知的5个工作日内完成检测数据录入）。</w:t>
      </w:r>
    </w:p>
    <w:p w14:paraId="236858CD">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中标（承检）单位应当及时将抽查检验结果报组织实施抽查检验的市场监督管理部门，由市场监督管理部门通知不合格产品的被抽查检验单位和生产企业。中标单位不得泄露检测结果，取消中标资格。</w:t>
      </w:r>
    </w:p>
    <w:p w14:paraId="51FF7179">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7、工作纪律：</w:t>
      </w:r>
    </w:p>
    <w:p w14:paraId="7DCDBD76">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参与抽查检验的</w:t>
      </w:r>
      <w:r>
        <w:rPr>
          <w:rFonts w:hint="eastAsia" w:ascii="宋体" w:hAnsi="宋体" w:cs="宋体"/>
          <w:color w:val="auto"/>
          <w:szCs w:val="21"/>
          <w:highlight w:val="none"/>
        </w:rPr>
        <w:t>中标（承检）</w:t>
      </w:r>
      <w:r>
        <w:rPr>
          <w:rFonts w:hint="eastAsia" w:ascii="宋体" w:hAnsi="宋体" w:cs="宋体"/>
          <w:color w:val="auto"/>
          <w:szCs w:val="21"/>
          <w:highlight w:val="none"/>
          <w:lang w:val="zh-CN"/>
        </w:rPr>
        <w:t>单位及其工作人员应严格按照要求进行抽样、检验和结果上报，不得随意更改抽样地点和样品信息，不得瞒报、谎报和故意漏报、错报抽查检验数据，确保结果的真实客观和准确。不得擅自发布有关抽检的信息，不得在开展抽样工作前事先通知被抽检单位和接受相关单位馈赠，不得利用抽检结果开展有偿活动，牟取不正当利益。</w:t>
      </w:r>
    </w:p>
    <w:p w14:paraId="682DE2F0">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lang w:val="zh-CN"/>
        </w:rPr>
        <w:t>参与抽查检验的</w:t>
      </w:r>
      <w:r>
        <w:rPr>
          <w:rFonts w:hint="eastAsia" w:ascii="宋体" w:hAnsi="宋体" w:cs="宋体"/>
          <w:color w:val="auto"/>
          <w:szCs w:val="21"/>
          <w:highlight w:val="none"/>
        </w:rPr>
        <w:t>中标（承检）</w:t>
      </w:r>
      <w:r>
        <w:rPr>
          <w:rFonts w:hint="eastAsia" w:ascii="宋体" w:hAnsi="宋体" w:cs="宋体"/>
          <w:color w:val="auto"/>
          <w:szCs w:val="21"/>
          <w:highlight w:val="none"/>
          <w:lang w:val="zh-CN"/>
        </w:rPr>
        <w:t>单位及其工作人员</w:t>
      </w:r>
      <w:r>
        <w:rPr>
          <w:rFonts w:hint="eastAsia" w:ascii="宋体" w:hAnsi="宋体" w:cs="宋体"/>
          <w:color w:val="auto"/>
          <w:szCs w:val="21"/>
          <w:highlight w:val="none"/>
        </w:rPr>
        <w:t>应当严格按照甲方提供的抽检方案技术标准和检验要求等进行检验，出具的检验报告应当格式规范、内容齐全、结论明确，并对其出具的检验报告的真实性、准确性、合法性负责，禁止伪造检验报告、出具虚似数据和结果。不得少检或者漏检。采购人可监督整个检验过程，或委托第三方检测机构对中标（承检）单位检测结果进行复检、抽检。</w:t>
      </w:r>
    </w:p>
    <w:p w14:paraId="3126AD22">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中标（承检）</w:t>
      </w:r>
      <w:r>
        <w:rPr>
          <w:rFonts w:hint="eastAsia" w:ascii="宋体" w:hAnsi="宋体" w:cs="宋体"/>
          <w:color w:val="auto"/>
          <w:szCs w:val="21"/>
          <w:highlight w:val="none"/>
          <w:lang w:val="zh-CN"/>
        </w:rPr>
        <w:t>单位应当具备目击实验条件，能根据采购人要求进行目击复检实验。甲方指定第三方检测机构复检的，由</w:t>
      </w:r>
      <w:r>
        <w:rPr>
          <w:rFonts w:hint="eastAsia" w:ascii="宋体" w:hAnsi="宋体" w:cs="宋体"/>
          <w:color w:val="auto"/>
          <w:szCs w:val="21"/>
          <w:highlight w:val="none"/>
        </w:rPr>
        <w:t>中标（承检）单位</w:t>
      </w:r>
      <w:r>
        <w:rPr>
          <w:rFonts w:hint="eastAsia" w:ascii="宋体" w:hAnsi="宋体" w:cs="宋体"/>
          <w:color w:val="auto"/>
          <w:szCs w:val="21"/>
          <w:highlight w:val="none"/>
          <w:lang w:val="zh-CN"/>
        </w:rPr>
        <w:t>负责备份样品的取样及送达，相关差旅费用由</w:t>
      </w:r>
      <w:r>
        <w:rPr>
          <w:rFonts w:hint="eastAsia" w:ascii="宋体" w:hAnsi="宋体" w:cs="宋体"/>
          <w:color w:val="auto"/>
          <w:szCs w:val="21"/>
          <w:highlight w:val="none"/>
        </w:rPr>
        <w:t>中标（承检）单位</w:t>
      </w:r>
      <w:r>
        <w:rPr>
          <w:rFonts w:hint="eastAsia" w:ascii="宋体" w:hAnsi="宋体" w:cs="宋体"/>
          <w:color w:val="auto"/>
          <w:szCs w:val="21"/>
          <w:highlight w:val="none"/>
          <w:lang w:val="zh-CN"/>
        </w:rPr>
        <w:t>承担，如复检结果有更改，复检费用由</w:t>
      </w:r>
      <w:r>
        <w:rPr>
          <w:rFonts w:hint="eastAsia" w:ascii="宋体" w:hAnsi="宋体" w:cs="宋体"/>
          <w:color w:val="auto"/>
          <w:szCs w:val="21"/>
          <w:highlight w:val="none"/>
        </w:rPr>
        <w:t>中标（承检）单位</w:t>
      </w:r>
      <w:r>
        <w:rPr>
          <w:rFonts w:hint="eastAsia" w:ascii="宋体" w:hAnsi="宋体" w:cs="宋体"/>
          <w:color w:val="auto"/>
          <w:szCs w:val="21"/>
          <w:highlight w:val="none"/>
          <w:lang w:val="zh-CN"/>
        </w:rPr>
        <w:t>承担。</w:t>
      </w:r>
    </w:p>
    <w:p w14:paraId="46495A98">
      <w:pPr>
        <w:keepNext w:val="0"/>
        <w:keepLines w:val="0"/>
        <w:pageBreakBefore w:val="0"/>
        <w:widowControl w:val="0"/>
        <w:kinsoku/>
        <w:wordWrap/>
        <w:overflowPunct/>
        <w:topLinePunct w:val="0"/>
        <w:autoSpaceDE/>
        <w:autoSpaceDN/>
        <w:bidi w:val="0"/>
        <w:adjustRightInd/>
        <w:spacing w:beforeAutospacing="0" w:afterAutospacing="0" w:line="380" w:lineRule="exact"/>
        <w:ind w:firstLine="210" w:firstLineChars="100"/>
        <w:textAlignment w:val="auto"/>
        <w:rPr>
          <w:rFonts w:ascii="宋体" w:hAnsi="宋体" w:cs="宋体"/>
          <w:color w:val="auto"/>
          <w:szCs w:val="21"/>
          <w:highlight w:val="none"/>
          <w:lang w:val="zh-CN"/>
        </w:rPr>
      </w:pPr>
      <w:r>
        <w:rPr>
          <w:rFonts w:hint="eastAsia" w:ascii="宋体" w:hAnsi="宋体" w:cs="宋体"/>
          <w:color w:val="auto"/>
          <w:szCs w:val="21"/>
          <w:highlight w:val="none"/>
        </w:rPr>
        <w:t>8、</w:t>
      </w:r>
      <w:r>
        <w:rPr>
          <w:rFonts w:hint="eastAsia" w:ascii="宋体" w:hAnsi="宋体" w:cs="宋体"/>
          <w:color w:val="auto"/>
          <w:szCs w:val="21"/>
          <w:highlight w:val="none"/>
          <w:lang w:val="zh-CN"/>
        </w:rPr>
        <w:t>其他</w:t>
      </w:r>
    </w:p>
    <w:p w14:paraId="6B70EAD8">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（1）根据采样需要，配备专业采样车辆及专职司机，具体要求如下：</w:t>
      </w:r>
    </w:p>
    <w:p w14:paraId="1A1C6CA7">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①车辆要求：车况良好；车辆安排应符合当地交通管制措施；</w:t>
      </w:r>
    </w:p>
    <w:p w14:paraId="6B59CB0D">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 xml:space="preserve">  ②司机要求：2年以上驾龄，要求车技娴熟，开车稳当，坚持安全第一原则；</w:t>
      </w:r>
    </w:p>
    <w:p w14:paraId="703B0F29">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（2）中标（承检）单位在接到检测通知后1天内，制定实施方案并组织安排好相关人员及车辆，做好抽样配合工作；抽样人员，每组不得少于2名专业人员，并根据实际分组情况安排抽样人员。</w:t>
      </w:r>
    </w:p>
    <w:p w14:paraId="340617FB">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Theme="minorEastAsia" w:hAnsiTheme="minorEastAsia"/>
          <w:color w:val="auto"/>
          <w:highlight w:val="none"/>
        </w:rPr>
      </w:pPr>
      <w:r>
        <w:rPr>
          <w:rFonts w:hint="eastAsia" w:asciiTheme="minorEastAsia" w:hAnsiTheme="minorEastAsia"/>
          <w:color w:val="auto"/>
          <w:highlight w:val="none"/>
        </w:rPr>
        <w:t>（3）在服务期内，若遇到现行检验依据和检验内容政策调整，按新政策执行调整，中标（承检）单位不得拒绝。</w:t>
      </w:r>
    </w:p>
    <w:p w14:paraId="5BCF24E1">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color w:val="auto"/>
          <w:highlight w:val="none"/>
        </w:rPr>
      </w:pPr>
      <w:r>
        <w:rPr>
          <w:rFonts w:hint="eastAsia"/>
          <w:color w:val="auto"/>
          <w:highlight w:val="none"/>
        </w:rPr>
        <w:t>（4）如实际检测工作中，发生未在上表中列明的项目，检测费按市场调研价为基准，按照中标优惠率合算。</w:t>
      </w:r>
    </w:p>
    <w:p w14:paraId="32525516">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color w:val="auto"/>
          <w:highlight w:val="none"/>
        </w:rPr>
      </w:pPr>
      <w:r>
        <w:rPr>
          <w:rFonts w:hint="eastAsia"/>
          <w:color w:val="auto"/>
          <w:highlight w:val="none"/>
        </w:rPr>
        <w:t>（5）样品检测完毕后归采购人所有。</w:t>
      </w:r>
    </w:p>
    <w:p w14:paraId="40F0FC36">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380" w:lineRule="exact"/>
        <w:textAlignment w:val="auto"/>
        <w:rPr>
          <w:rFonts w:ascii="宋体" w:hAnsi="宋体" w:cs="宋体"/>
          <w:color w:val="auto"/>
          <w:szCs w:val="21"/>
          <w:highlight w:val="none"/>
        </w:rPr>
      </w:pPr>
      <w:r>
        <w:rPr>
          <w:rFonts w:hint="eastAsia" w:ascii="宋体" w:hAnsi="宋体" w:cs="宋体"/>
          <w:b/>
          <w:bCs/>
          <w:color w:val="auto"/>
          <w:szCs w:val="21"/>
          <w:highlight w:val="none"/>
        </w:rPr>
        <w:t>三、服务期限：</w:t>
      </w:r>
      <w:r>
        <w:rPr>
          <w:rFonts w:hint="eastAsia" w:ascii="宋体" w:hAnsi="宋体" w:cs="宋体"/>
          <w:color w:val="auto"/>
          <w:szCs w:val="21"/>
          <w:highlight w:val="none"/>
        </w:rPr>
        <w:t>合同签订之日起至20  年  月  日。</w:t>
      </w:r>
    </w:p>
    <w:p w14:paraId="0247BDAC">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宋体" w:hAnsi="宋体" w:cs="宋体"/>
          <w:color w:val="auto"/>
          <w:szCs w:val="21"/>
          <w:highlight w:val="none"/>
        </w:rPr>
      </w:pPr>
      <w:r>
        <w:rPr>
          <w:rFonts w:hint="eastAsia" w:ascii="宋体" w:hAnsi="宋体" w:cs="宋体"/>
          <w:b/>
          <w:bCs/>
          <w:color w:val="auto"/>
          <w:szCs w:val="21"/>
          <w:highlight w:val="none"/>
        </w:rPr>
        <w:t>四、付款方式：</w:t>
      </w:r>
      <w:r>
        <w:rPr>
          <w:rFonts w:hint="eastAsia" w:ascii="宋体" w:hAnsi="宋体" w:cs="宋体"/>
          <w:color w:val="auto"/>
          <w:szCs w:val="21"/>
          <w:highlight w:val="none"/>
        </w:rPr>
        <w:t>每半年按实支付，提供检验检测报告及相关资料后以中标价与实际检测批次数进行结算。</w:t>
      </w:r>
    </w:p>
    <w:p w14:paraId="7496863F">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color w:val="auto"/>
          <w:highlight w:val="none"/>
        </w:rPr>
      </w:pPr>
    </w:p>
    <w:p w14:paraId="1057D2AE">
      <w:pPr>
        <w:keepNext w:val="0"/>
        <w:keepLines w:val="0"/>
        <w:pageBreakBefore w:val="0"/>
        <w:widowControl w:val="0"/>
        <w:kinsoku/>
        <w:wordWrap/>
        <w:overflowPunct/>
        <w:topLinePunct w:val="0"/>
        <w:autoSpaceDE/>
        <w:autoSpaceDN/>
        <w:bidi w:val="0"/>
        <w:adjustRightInd/>
        <w:spacing w:beforeAutospacing="0" w:afterAutospacing="0" w:line="380" w:lineRule="exact"/>
        <w:textAlignment w:val="auto"/>
        <w:rPr>
          <w:rFonts w:asciiTheme="minorEastAsia" w:hAnsiTheme="minorEastAsia"/>
          <w:b/>
          <w:color w:val="auto"/>
          <w:highlight w:val="none"/>
        </w:rPr>
      </w:pPr>
      <w:r>
        <w:rPr>
          <w:rFonts w:hint="eastAsia" w:asciiTheme="minorEastAsia" w:hAnsiTheme="minorEastAsia"/>
          <w:b/>
          <w:color w:val="auto"/>
          <w:highlight w:val="none"/>
        </w:rPr>
        <w:t>五、验收：</w:t>
      </w:r>
    </w:p>
    <w:p w14:paraId="1A57AE38">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Theme="minorEastAsia" w:hAnsiTheme="minorEastAsia"/>
          <w:color w:val="auto"/>
          <w:highlight w:val="none"/>
        </w:rPr>
      </w:pPr>
      <w:r>
        <w:rPr>
          <w:rFonts w:hint="eastAsia" w:asciiTheme="minorEastAsia" w:hAnsiTheme="minorEastAsia"/>
          <w:color w:val="auto"/>
          <w:highlight w:val="none"/>
        </w:rPr>
        <w:t>1、验收按国家有关规范标准（国家无验收规范标准的按双方合同规定的要求）进行。</w:t>
      </w:r>
    </w:p>
    <w:p w14:paraId="1B02DF4A">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Theme="minorEastAsia" w:hAnsiTheme="minorEastAsia"/>
          <w:color w:val="auto"/>
          <w:highlight w:val="none"/>
        </w:rPr>
      </w:pPr>
      <w:r>
        <w:rPr>
          <w:rFonts w:hint="eastAsia" w:asciiTheme="minorEastAsia" w:hAnsiTheme="minorEastAsia"/>
          <w:color w:val="auto"/>
          <w:highlight w:val="none"/>
        </w:rPr>
        <w:t>2、中标人承担标书范围内的质量监督抽查任务，具体以实际检验批次数结果为准。单批次价格详见投标文件。采购人保留邀请参加本项目的其他投标人或者第三方机构或相关技术专家参与验收的权利。参与验收的投标人或者第三方机构的意见作为验收书的参考资料一并存档。</w:t>
      </w:r>
    </w:p>
    <w:p w14:paraId="5F7535F6">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Theme="minorEastAsia" w:hAnsiTheme="minorEastAsia"/>
          <w:color w:val="auto"/>
          <w:highlight w:val="none"/>
        </w:rPr>
      </w:pPr>
      <w:r>
        <w:rPr>
          <w:rFonts w:hint="eastAsia" w:asciiTheme="minorEastAsia" w:hAnsiTheme="minorEastAsia"/>
          <w:color w:val="auto"/>
          <w:highlight w:val="none"/>
        </w:rPr>
        <w:t>3、采购人不定时（随机抽查）对本服务工作进行抽查，同时提出意见和建议，促进此项目工作良性的持续发展。</w:t>
      </w:r>
    </w:p>
    <w:p w14:paraId="746F49FD">
      <w:pPr>
        <w:keepNext w:val="0"/>
        <w:keepLines w:val="0"/>
        <w:pageBreakBefore w:val="0"/>
        <w:widowControl w:val="0"/>
        <w:kinsoku/>
        <w:wordWrap/>
        <w:overflowPunct/>
        <w:topLinePunct w:val="0"/>
        <w:autoSpaceDE/>
        <w:autoSpaceDN/>
        <w:bidi w:val="0"/>
        <w:adjustRightInd/>
        <w:spacing w:beforeAutospacing="0" w:afterAutospacing="0" w:line="380" w:lineRule="exact"/>
        <w:ind w:firstLine="424" w:firstLineChars="202"/>
        <w:textAlignment w:val="auto"/>
        <w:rPr>
          <w:rFonts w:asciiTheme="minorEastAsia" w:hAnsiTheme="minorEastAsia"/>
          <w:color w:val="auto"/>
          <w:highlight w:val="none"/>
        </w:rPr>
      </w:pPr>
      <w:r>
        <w:rPr>
          <w:rFonts w:hint="eastAsia" w:asciiTheme="minorEastAsia" w:hAnsiTheme="minorEastAsia"/>
          <w:color w:val="auto"/>
          <w:highlight w:val="none"/>
        </w:rPr>
        <w:t>4、合同期内采购人对中标人的服务质量进行随时抽查，若发现中标人有弄虚作假行为的，采购人每发现一次将处供应商2000元罚款；发现三次及以上的采购人有权终止合同，并由中标人承担相关损失。</w:t>
      </w:r>
    </w:p>
    <w:p w14:paraId="3305EEE9">
      <w:pPr>
        <w:spacing w:line="360" w:lineRule="auto"/>
        <w:rPr>
          <w:color w:val="auto"/>
          <w:highlight w:val="none"/>
        </w:rPr>
      </w:pPr>
      <w:r>
        <w:rPr>
          <w:rFonts w:hint="eastAsia"/>
          <w:color w:val="auto"/>
          <w:highlight w:val="none"/>
        </w:rPr>
        <w:t xml:space="preserve">  </w:t>
      </w:r>
    </w:p>
    <w:p w14:paraId="573A09EE">
      <w:pPr>
        <w:spacing w:line="360" w:lineRule="auto"/>
        <w:rPr>
          <w:color w:val="auto"/>
          <w:sz w:val="18"/>
          <w:highlight w:val="none"/>
        </w:rPr>
      </w:pPr>
    </w:p>
    <w:bookmarkEnd w:id="117"/>
    <w:p w14:paraId="3ED9D4B7">
      <w:pPr>
        <w:pStyle w:val="2"/>
        <w:spacing w:line="360" w:lineRule="auto"/>
        <w:ind w:left="0" w:firstLine="0"/>
        <w:rPr>
          <w:rFonts w:hAnsi="宋体" w:cs="宋体"/>
          <w:color w:val="auto"/>
          <w:szCs w:val="36"/>
          <w:highlight w:val="none"/>
        </w:rPr>
      </w:pPr>
      <w:bookmarkStart w:id="118" w:name="_Toc340321940"/>
      <w:bookmarkStart w:id="119" w:name="_Toc118715100"/>
      <w:bookmarkStart w:id="120" w:name="_Toc297662418"/>
      <w:bookmarkStart w:id="121" w:name="_Toc340322195"/>
      <w:bookmarkStart w:id="122" w:name="_Toc22296"/>
      <w:bookmarkStart w:id="123" w:name="_Toc107927546"/>
      <w:bookmarkStart w:id="124" w:name="_Toc339302155"/>
      <w:bookmarkStart w:id="125" w:name="_Toc107927470"/>
      <w:bookmarkStart w:id="126" w:name="_Toc17741"/>
      <w:bookmarkStart w:id="127" w:name="_Toc248065071"/>
      <w:bookmarkStart w:id="128" w:name="_Toc340322183"/>
      <w:bookmarkStart w:id="129" w:name="_Toc340321928"/>
      <w:bookmarkStart w:id="130" w:name="_Toc339302144"/>
      <w:bookmarkStart w:id="131" w:name="_Toc226337793"/>
      <w:bookmarkStart w:id="132" w:name="_Toc4171"/>
      <w:r>
        <w:rPr>
          <w:rFonts w:hint="eastAsia" w:hAnsi="宋体" w:cs="宋体"/>
          <w:color w:val="auto"/>
          <w:szCs w:val="36"/>
          <w:highlight w:val="none"/>
        </w:rPr>
        <w:t>第四章  评标办法</w:t>
      </w:r>
      <w:bookmarkEnd w:id="118"/>
      <w:bookmarkEnd w:id="119"/>
      <w:bookmarkEnd w:id="120"/>
      <w:bookmarkEnd w:id="121"/>
      <w:bookmarkEnd w:id="122"/>
      <w:bookmarkEnd w:id="123"/>
      <w:bookmarkEnd w:id="124"/>
      <w:bookmarkEnd w:id="125"/>
      <w:bookmarkEnd w:id="126"/>
    </w:p>
    <w:p w14:paraId="7D3C14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根据《中华人民共和国政府采购法》、财政部第87号令的有关规定及此项目的实际情况，遵循公平、公正、科学择优的原则，特制定本办法。</w:t>
      </w:r>
    </w:p>
    <w:p w14:paraId="72FA2769">
      <w:pPr>
        <w:pStyle w:val="4"/>
        <w:spacing w:beforeLines="0" w:afterLines="0"/>
        <w:ind w:firstLine="103"/>
        <w:rPr>
          <w:rFonts w:ascii="宋体" w:cs="宋体"/>
          <w:color w:val="auto"/>
          <w:sz w:val="21"/>
          <w:szCs w:val="21"/>
          <w:highlight w:val="none"/>
        </w:rPr>
      </w:pPr>
      <w:bookmarkStart w:id="133" w:name="_Toc107927547"/>
      <w:bookmarkStart w:id="134" w:name="_Toc22707"/>
      <w:bookmarkStart w:id="135" w:name="_Toc297662419"/>
      <w:r>
        <w:rPr>
          <w:rFonts w:hint="eastAsia" w:ascii="宋体" w:cs="宋体"/>
          <w:color w:val="auto"/>
          <w:sz w:val="21"/>
          <w:szCs w:val="21"/>
          <w:highlight w:val="none"/>
        </w:rPr>
        <w:t>一、评标组织</w:t>
      </w:r>
      <w:bookmarkEnd w:id="133"/>
      <w:bookmarkEnd w:id="134"/>
      <w:bookmarkEnd w:id="135"/>
    </w:p>
    <w:p w14:paraId="3B1B45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2CBD3A75">
      <w:pPr>
        <w:pStyle w:val="4"/>
        <w:spacing w:beforeLines="0" w:afterLines="0"/>
        <w:ind w:firstLine="103"/>
        <w:rPr>
          <w:rFonts w:ascii="宋体" w:cs="宋体"/>
          <w:color w:val="auto"/>
          <w:sz w:val="21"/>
          <w:szCs w:val="21"/>
          <w:highlight w:val="none"/>
        </w:rPr>
      </w:pPr>
      <w:bookmarkStart w:id="136" w:name="_Toc297662420"/>
      <w:bookmarkStart w:id="137" w:name="_Toc107927548"/>
      <w:bookmarkStart w:id="138" w:name="_Toc11215"/>
      <w:r>
        <w:rPr>
          <w:rFonts w:hint="eastAsia" w:ascii="宋体" w:cs="宋体"/>
          <w:color w:val="auto"/>
          <w:sz w:val="21"/>
          <w:szCs w:val="21"/>
          <w:highlight w:val="none"/>
        </w:rPr>
        <w:t>二、评标方法</w:t>
      </w:r>
      <w:bookmarkEnd w:id="136"/>
      <w:bookmarkEnd w:id="137"/>
      <w:bookmarkEnd w:id="138"/>
    </w:p>
    <w:p w14:paraId="04EAF505">
      <w:pPr>
        <w:spacing w:line="360" w:lineRule="auto"/>
        <w:ind w:firstLine="486" w:firstLineChars="218"/>
        <w:rPr>
          <w:rFonts w:ascii="宋体" w:hAnsi="宋体"/>
          <w:color w:val="auto"/>
          <w:szCs w:val="21"/>
          <w:highlight w:val="none"/>
        </w:rPr>
      </w:pPr>
      <w:r>
        <w:rPr>
          <w:rFonts w:hint="eastAsia" w:ascii="宋体" w:hAnsi="宋体"/>
          <w:b/>
          <w:bCs/>
          <w:color w:val="auto"/>
          <w:spacing w:val="6"/>
          <w:szCs w:val="21"/>
          <w:highlight w:val="none"/>
        </w:rPr>
        <w:t>本项目采用综合评分法。</w:t>
      </w:r>
      <w:r>
        <w:rPr>
          <w:rFonts w:hint="eastAsia" w:ascii="宋体" w:hAnsi="宋体"/>
          <w:color w:val="auto"/>
          <w:szCs w:val="21"/>
          <w:highlight w:val="none"/>
        </w:rPr>
        <w:t>开标后，评标委员会首先对投标供应商进行资格性审查和投标文件符合性审查，凡投标供应商不符合投标资格或投标文件完整性、合法性存在欠缺的，或投标文件实质性内容和关键格式严重不符合有关规定和不响应采购文件要求的，作为无效标予以废除，不进入评议打分范围。</w:t>
      </w:r>
    </w:p>
    <w:p w14:paraId="7C2A1460">
      <w:pPr>
        <w:pStyle w:val="33"/>
        <w:ind w:firstLine="420" w:firstLineChars="200"/>
        <w:rPr>
          <w:rFonts w:hAnsi="宋体" w:cs="宋体"/>
          <w:color w:val="auto"/>
          <w:sz w:val="21"/>
          <w:szCs w:val="21"/>
          <w:highlight w:val="none"/>
        </w:rPr>
      </w:pPr>
      <w:r>
        <w:rPr>
          <w:rFonts w:hint="eastAsia" w:hAnsi="宋体" w:cs="宋体"/>
          <w:color w:val="auto"/>
          <w:sz w:val="21"/>
          <w:szCs w:val="21"/>
          <w:highlight w:val="none"/>
        </w:rPr>
        <w:t>评标委员会以审标、询标为基础依据，对投标文件及投标供应商分别进行分析评议，按《评标细则》由评委独立评议计分，取汇总后的算术平均值。</w:t>
      </w:r>
    </w:p>
    <w:p w14:paraId="0CDF05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供应商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供应商为预中标候选人，若预中标候选人放弃中标资格或因质疑、投诉被取消预中标资格或不能履行合同的，则重新招标。</w:t>
      </w:r>
    </w:p>
    <w:p w14:paraId="15A4611B">
      <w:pPr>
        <w:pStyle w:val="4"/>
        <w:spacing w:beforeLines="0" w:afterLines="0"/>
        <w:ind w:firstLine="103"/>
        <w:rPr>
          <w:rFonts w:ascii="宋体" w:cs="宋体"/>
          <w:color w:val="auto"/>
          <w:sz w:val="21"/>
          <w:szCs w:val="21"/>
          <w:highlight w:val="none"/>
        </w:rPr>
      </w:pPr>
      <w:bookmarkStart w:id="139" w:name="_Toc297662421"/>
      <w:bookmarkStart w:id="140" w:name="_Toc4514"/>
      <w:bookmarkStart w:id="141" w:name="_Toc107927549"/>
      <w:r>
        <w:rPr>
          <w:rFonts w:hint="eastAsia" w:ascii="宋体" w:cs="宋体"/>
          <w:color w:val="auto"/>
          <w:sz w:val="21"/>
          <w:szCs w:val="21"/>
          <w:highlight w:val="none"/>
        </w:rPr>
        <w:t>三、定标办法</w:t>
      </w:r>
      <w:bookmarkEnd w:id="139"/>
      <w:bookmarkEnd w:id="140"/>
      <w:bookmarkEnd w:id="141"/>
    </w:p>
    <w:p w14:paraId="6E78C68B">
      <w:pPr>
        <w:pStyle w:val="33"/>
        <w:ind w:firstLine="420" w:firstLineChars="200"/>
        <w:rPr>
          <w:rFonts w:hAnsi="宋体" w:cs="宋体"/>
          <w:color w:val="auto"/>
          <w:sz w:val="21"/>
          <w:szCs w:val="21"/>
          <w:highlight w:val="none"/>
        </w:rPr>
      </w:pPr>
      <w:r>
        <w:rPr>
          <w:rFonts w:hint="eastAsia" w:hAnsi="宋体" w:cs="宋体"/>
          <w:color w:val="auto"/>
          <w:sz w:val="21"/>
          <w:szCs w:val="21"/>
          <w:highlight w:val="none"/>
        </w:rPr>
        <w:t>评标结束后，采购人根据评标委员会提交的评标报告和推荐意见，对进入候选的投标供应商进行最终审查。终审后根据推荐的候选中标供应商情况确定中标供应商。</w:t>
      </w:r>
      <w:r>
        <w:rPr>
          <w:rFonts w:hint="eastAsia" w:hAnsi="宋体" w:cs="宋体"/>
          <w:b/>
          <w:bCs/>
          <w:color w:val="auto"/>
          <w:spacing w:val="6"/>
          <w:sz w:val="21"/>
          <w:szCs w:val="21"/>
          <w:highlight w:val="none"/>
        </w:rPr>
        <w:t>最低报价不是中标的唯一保证。</w:t>
      </w:r>
    </w:p>
    <w:p w14:paraId="4F46F0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整个评标过程应严格保密，评标委员会成员及工作人员应严格遵守纪律，不得泄漏任何评标信息。</w:t>
      </w:r>
    </w:p>
    <w:p w14:paraId="18117021">
      <w:pPr>
        <w:pStyle w:val="4"/>
        <w:spacing w:beforeLines="0" w:afterLines="0"/>
        <w:ind w:firstLine="103"/>
        <w:rPr>
          <w:rFonts w:ascii="宋体" w:cs="宋体"/>
          <w:color w:val="auto"/>
          <w:sz w:val="21"/>
          <w:szCs w:val="21"/>
          <w:highlight w:val="none"/>
        </w:rPr>
      </w:pPr>
      <w:bookmarkStart w:id="142" w:name="_Toc19935"/>
      <w:bookmarkStart w:id="143" w:name="_Toc107927550"/>
      <w:r>
        <w:rPr>
          <w:rFonts w:hint="eastAsia" w:ascii="宋体" w:cs="宋体"/>
          <w:color w:val="auto"/>
          <w:sz w:val="21"/>
          <w:szCs w:val="21"/>
          <w:highlight w:val="none"/>
        </w:rPr>
        <w:t>四、评标细则</w:t>
      </w:r>
      <w:bookmarkEnd w:id="142"/>
      <w:bookmarkEnd w:id="143"/>
    </w:p>
    <w:p w14:paraId="748B724B">
      <w:pPr>
        <w:spacing w:line="360" w:lineRule="auto"/>
        <w:ind w:firstLine="457" w:firstLineChars="218"/>
        <w:rPr>
          <w:rFonts w:ascii="宋体" w:hAnsi="宋体"/>
          <w:color w:val="auto"/>
          <w:szCs w:val="21"/>
          <w:highlight w:val="none"/>
        </w:rPr>
      </w:pPr>
      <w:r>
        <w:rPr>
          <w:rFonts w:hint="eastAsia" w:ascii="宋体" w:hAnsi="宋体"/>
          <w:color w:val="auto"/>
          <w:kern w:val="0"/>
          <w:szCs w:val="21"/>
          <w:highlight w:val="none"/>
        </w:rPr>
        <w:t>一、</w:t>
      </w:r>
      <w:r>
        <w:rPr>
          <w:rFonts w:hint="eastAsia" w:ascii="宋体" w:hAnsi="宋体"/>
          <w:color w:val="auto"/>
          <w:szCs w:val="21"/>
          <w:highlight w:val="none"/>
        </w:rPr>
        <w:t>技术资信部分80分。</w:t>
      </w:r>
    </w:p>
    <w:p w14:paraId="14FFC55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（一）各评委成员按评标细则进行评审，计算精确到小数点后二位（各家单位的分值为所有评标成员给出的值的算术平均值）。</w:t>
      </w:r>
    </w:p>
    <w:p w14:paraId="082CC5A2">
      <w:pPr>
        <w:spacing w:line="360" w:lineRule="auto"/>
        <w:ind w:firstLine="283" w:firstLineChars="135"/>
        <w:rPr>
          <w:rFonts w:ascii="宋体" w:hAnsi="宋体"/>
          <w:color w:val="auto"/>
          <w:szCs w:val="21"/>
          <w:highlight w:val="none"/>
        </w:rPr>
      </w:pPr>
      <w:r>
        <w:rPr>
          <w:rFonts w:hint="eastAsia" w:ascii="宋体" w:hAnsi="宋体"/>
          <w:color w:val="auto"/>
          <w:szCs w:val="21"/>
          <w:highlight w:val="none"/>
        </w:rPr>
        <w:t>（二）技术资信分值（80分）</w:t>
      </w:r>
    </w:p>
    <w:p w14:paraId="7D88BA79">
      <w:pPr>
        <w:spacing w:line="360" w:lineRule="auto"/>
        <w:ind w:firstLine="424" w:firstLineChars="202"/>
        <w:rPr>
          <w:rFonts w:ascii="宋体" w:hAnsi="宋体"/>
          <w:color w:val="auto"/>
          <w:szCs w:val="21"/>
          <w:highlight w:val="none"/>
        </w:rPr>
      </w:pPr>
      <w:r>
        <w:rPr>
          <w:rFonts w:ascii="宋体" w:hAnsi="宋体"/>
          <w:color w:val="auto"/>
          <w:szCs w:val="21"/>
          <w:highlight w:val="none"/>
        </w:rPr>
        <w:t>标一技术资信分值（</w:t>
      </w:r>
      <w:r>
        <w:rPr>
          <w:rFonts w:hint="eastAsia" w:ascii="宋体" w:hAnsi="宋体"/>
          <w:color w:val="auto"/>
          <w:szCs w:val="21"/>
          <w:highlight w:val="none"/>
        </w:rPr>
        <w:t>80分）</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34"/>
        <w:gridCol w:w="992"/>
        <w:gridCol w:w="6095"/>
      </w:tblGrid>
      <w:tr w14:paraId="068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981D933">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序号</w:t>
            </w:r>
          </w:p>
        </w:tc>
        <w:tc>
          <w:tcPr>
            <w:tcW w:w="1134" w:type="dxa"/>
            <w:vAlign w:val="center"/>
          </w:tcPr>
          <w:p w14:paraId="70BAC39F">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评审项目</w:t>
            </w:r>
          </w:p>
        </w:tc>
        <w:tc>
          <w:tcPr>
            <w:tcW w:w="992" w:type="dxa"/>
            <w:vAlign w:val="center"/>
          </w:tcPr>
          <w:p w14:paraId="7C289261">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分值</w:t>
            </w:r>
          </w:p>
        </w:tc>
        <w:tc>
          <w:tcPr>
            <w:tcW w:w="6095" w:type="dxa"/>
            <w:vAlign w:val="center"/>
          </w:tcPr>
          <w:p w14:paraId="4FD5B6C4">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评分标准</w:t>
            </w:r>
          </w:p>
        </w:tc>
      </w:tr>
      <w:tr w14:paraId="36D7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DD81C11">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134" w:type="dxa"/>
            <w:vAlign w:val="center"/>
          </w:tcPr>
          <w:p w14:paraId="51619576">
            <w:pPr>
              <w:pStyle w:val="6"/>
              <w:spacing w:after="0" w:line="360" w:lineRule="exact"/>
              <w:jc w:val="both"/>
              <w:rPr>
                <w:rFonts w:asciiTheme="minorEastAsia" w:hAnsiTheme="minorEastAsia"/>
                <w:color w:val="auto"/>
                <w:szCs w:val="21"/>
                <w:highlight w:val="none"/>
              </w:rPr>
            </w:pPr>
            <w:r>
              <w:rPr>
                <w:rFonts w:hint="eastAsia" w:ascii="宋体" w:hAnsi="宋体" w:eastAsia="宋体" w:cs="宋体"/>
                <w:color w:val="auto"/>
                <w:kern w:val="0"/>
                <w:szCs w:val="21"/>
                <w:highlight w:val="none"/>
              </w:rPr>
              <w:t>企业能力及荣誉</w:t>
            </w:r>
          </w:p>
        </w:tc>
        <w:tc>
          <w:tcPr>
            <w:tcW w:w="992" w:type="dxa"/>
            <w:vAlign w:val="center"/>
          </w:tcPr>
          <w:p w14:paraId="1B1A9E6E">
            <w:pPr>
              <w:widowControl/>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2分</w:t>
            </w:r>
          </w:p>
        </w:tc>
        <w:tc>
          <w:tcPr>
            <w:tcW w:w="6095" w:type="dxa"/>
            <w:vAlign w:val="center"/>
          </w:tcPr>
          <w:p w14:paraId="57EA653B">
            <w:pPr>
              <w:tabs>
                <w:tab w:val="left" w:pos="1080"/>
              </w:tabs>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具有CNAS资质认定的得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p>
          <w:p w14:paraId="1E5AEC9A">
            <w:pPr>
              <w:spacing w:line="360" w:lineRule="exac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注：提供证书扫描件并加盖公章。</w:t>
            </w:r>
          </w:p>
          <w:p w14:paraId="59129748">
            <w:pPr>
              <w:tabs>
                <w:tab w:val="left" w:pos="1080"/>
              </w:tabs>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2、2021年以</w:t>
            </w:r>
            <w:r>
              <w:rPr>
                <w:rFonts w:hint="eastAsia" w:ascii="宋体" w:hAnsi="宋体" w:eastAsia="宋体" w:cs="宋体"/>
                <w:color w:val="auto"/>
                <w:szCs w:val="21"/>
                <w:highlight w:val="none"/>
                <w:lang w:val="zh-CN"/>
              </w:rPr>
              <w:t>来参与国内相关机构组织的检测项目</w:t>
            </w:r>
            <w:r>
              <w:rPr>
                <w:rFonts w:hint="eastAsia" w:ascii="宋体" w:hAnsi="宋体" w:eastAsia="宋体" w:cs="宋体"/>
                <w:color w:val="auto"/>
                <w:szCs w:val="21"/>
                <w:highlight w:val="none"/>
              </w:rPr>
              <w:t>能力验证</w:t>
            </w:r>
            <w:r>
              <w:rPr>
                <w:rFonts w:hint="eastAsia" w:ascii="宋体" w:hAnsi="宋体" w:eastAsia="宋体" w:cs="宋体"/>
                <w:color w:val="auto"/>
                <w:szCs w:val="21"/>
                <w:highlight w:val="none"/>
                <w:lang w:val="zh-CN"/>
              </w:rPr>
              <w:t>情况获得满意结果</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14:paraId="60BB142E">
            <w:pPr>
              <w:snapToGrid w:val="0"/>
              <w:spacing w:line="360" w:lineRule="exact"/>
              <w:jc w:val="left"/>
              <w:rPr>
                <w:color w:val="auto"/>
                <w:szCs w:val="21"/>
                <w:highlight w:val="none"/>
              </w:rPr>
            </w:pPr>
            <w:r>
              <w:rPr>
                <w:rFonts w:hint="eastAsia" w:ascii="宋体" w:hAnsi="宋体" w:eastAsia="宋体" w:cs="宋体"/>
                <w:b/>
                <w:bCs/>
                <w:color w:val="auto"/>
                <w:szCs w:val="21"/>
                <w:highlight w:val="none"/>
              </w:rPr>
              <w:t>注：需提供相关证明材料。</w:t>
            </w:r>
          </w:p>
        </w:tc>
      </w:tr>
      <w:tr w14:paraId="383E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0D8DFA7">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134" w:type="dxa"/>
            <w:vAlign w:val="center"/>
          </w:tcPr>
          <w:p w14:paraId="7A8E73AD">
            <w:pPr>
              <w:spacing w:line="276" w:lineRule="auto"/>
              <w:jc w:val="center"/>
              <w:rPr>
                <w:rFonts w:ascii="宋体" w:hAnsi="宋体" w:eastAsia="宋体" w:cs="宋体"/>
                <w:color w:val="auto"/>
                <w:kern w:val="0"/>
                <w:szCs w:val="21"/>
                <w:highlight w:val="none"/>
              </w:rPr>
            </w:pPr>
            <w:r>
              <w:rPr>
                <w:rFonts w:hint="eastAsia" w:asciiTheme="minorEastAsia" w:hAnsiTheme="minorEastAsia"/>
                <w:color w:val="auto"/>
                <w:szCs w:val="21"/>
                <w:highlight w:val="none"/>
              </w:rPr>
              <w:t>同类业绩</w:t>
            </w:r>
          </w:p>
        </w:tc>
        <w:tc>
          <w:tcPr>
            <w:tcW w:w="992" w:type="dxa"/>
            <w:vAlign w:val="center"/>
          </w:tcPr>
          <w:p w14:paraId="51E9F9D3">
            <w:pPr>
              <w:spacing w:line="276" w:lineRule="auto"/>
              <w:jc w:val="center"/>
              <w:rPr>
                <w:rFonts w:ascii="宋体" w:hAnsi="宋体" w:eastAsia="宋体" w:cs="宋体"/>
                <w:color w:val="auto"/>
                <w:szCs w:val="21"/>
                <w:highlight w:val="none"/>
              </w:rPr>
            </w:pPr>
            <w:r>
              <w:rPr>
                <w:rFonts w:hint="eastAsia" w:asciiTheme="minorEastAsia" w:hAnsiTheme="minorEastAsia"/>
                <w:color w:val="auto"/>
                <w:szCs w:val="21"/>
                <w:highlight w:val="none"/>
              </w:rPr>
              <w:t>2分</w:t>
            </w:r>
          </w:p>
        </w:tc>
        <w:tc>
          <w:tcPr>
            <w:tcW w:w="6095" w:type="dxa"/>
          </w:tcPr>
          <w:p w14:paraId="4151EC1E">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2021年至今参与的与本次招标内容类似产品检验检测的业绩合同。每完成一项同类业绩加 1分，加满2分为止。</w:t>
            </w:r>
          </w:p>
          <w:p w14:paraId="20A8CCC4">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以合同签订时间为准，</w:t>
            </w:r>
            <w:r>
              <w:rPr>
                <w:rFonts w:hint="eastAsia" w:asciiTheme="minorEastAsia" w:hAnsiTheme="minorEastAsia"/>
                <w:b/>
                <w:bCs/>
                <w:color w:val="auto"/>
                <w:szCs w:val="21"/>
                <w:highlight w:val="none"/>
              </w:rPr>
              <w:t>投标文件中放置合同及中标通知书原件扫描件加盖投标单位电子公章，未提供的不予计分。</w:t>
            </w:r>
          </w:p>
        </w:tc>
      </w:tr>
      <w:tr w14:paraId="68E6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D991DCE">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134" w:type="dxa"/>
            <w:vAlign w:val="center"/>
          </w:tcPr>
          <w:p w14:paraId="07663721">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技术服务</w:t>
            </w:r>
          </w:p>
          <w:p w14:paraId="1EF2F1FC">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方案</w:t>
            </w:r>
          </w:p>
        </w:tc>
        <w:tc>
          <w:tcPr>
            <w:tcW w:w="992" w:type="dxa"/>
            <w:vAlign w:val="center"/>
          </w:tcPr>
          <w:p w14:paraId="2582FD9A">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37分</w:t>
            </w:r>
          </w:p>
        </w:tc>
        <w:tc>
          <w:tcPr>
            <w:tcW w:w="6095" w:type="dxa"/>
            <w:vAlign w:val="center"/>
          </w:tcPr>
          <w:p w14:paraId="2BE5B0B1">
            <w:pPr>
              <w:numPr>
                <w:ilvl w:val="0"/>
                <w:numId w:val="13"/>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根据对相应标项的理解拟定总体方案：</w:t>
            </w:r>
          </w:p>
          <w:p w14:paraId="79329CAC">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行业问题分析（0-3分）</w:t>
            </w:r>
          </w:p>
          <w:p w14:paraId="404EE422">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抽检计划建议（0-3分）</w:t>
            </w:r>
          </w:p>
          <w:p w14:paraId="53F38348">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工作程序规定（0-3分）</w:t>
            </w:r>
          </w:p>
          <w:p w14:paraId="2EEC0610">
            <w:pPr>
              <w:numPr>
                <w:ilvl w:val="0"/>
                <w:numId w:val="13"/>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根据检验工作期限要求制定抽样工作方案：</w:t>
            </w:r>
          </w:p>
          <w:p w14:paraId="1FE65776">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计划制定（0-3分）</w:t>
            </w:r>
          </w:p>
          <w:p w14:paraId="4A0BBA38">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人员安排（0-3分）</w:t>
            </w:r>
          </w:p>
          <w:p w14:paraId="7F5FCF28">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时间安排（0-3分）</w:t>
            </w:r>
          </w:p>
          <w:p w14:paraId="0B1BBFEF">
            <w:pPr>
              <w:numPr>
                <w:ilvl w:val="0"/>
                <w:numId w:val="13"/>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根据检验工作质量要求制定检验工作方案：</w:t>
            </w:r>
          </w:p>
          <w:p w14:paraId="6A0EDBA6">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进度安排（0-3分）</w:t>
            </w:r>
          </w:p>
          <w:p w14:paraId="1C611B9E">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具体流程（0-3分）</w:t>
            </w:r>
          </w:p>
          <w:p w14:paraId="4C14CF99">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质量管理（0-3分）</w:t>
            </w:r>
          </w:p>
          <w:p w14:paraId="527D9276">
            <w:pPr>
              <w:numPr>
                <w:ilvl w:val="0"/>
                <w:numId w:val="13"/>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管理制度：</w:t>
            </w:r>
          </w:p>
          <w:p w14:paraId="55C1FC1E">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提供检验工作制度（0-2分）</w:t>
            </w:r>
          </w:p>
          <w:p w14:paraId="3E6A9CFD">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检验责任追究制度（0-2分）</w:t>
            </w:r>
          </w:p>
          <w:p w14:paraId="12321788">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检验档案管理制度（0-2分）</w:t>
            </w:r>
          </w:p>
          <w:p w14:paraId="74C7F1A0">
            <w:pPr>
              <w:numPr>
                <w:ilvl w:val="0"/>
                <w:numId w:val="13"/>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针对可能出现的突发情况制定应急方案：</w:t>
            </w:r>
          </w:p>
          <w:p w14:paraId="213F83B1">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应急抽检响应（0-2分）</w:t>
            </w:r>
          </w:p>
          <w:p w14:paraId="40756FA5">
            <w:pPr>
              <w:tabs>
                <w:tab w:val="left" w:pos="1080"/>
              </w:tabs>
              <w:spacing w:line="360" w:lineRule="exact"/>
              <w:rPr>
                <w:rFonts w:asciiTheme="minorEastAsia" w:hAnsiTheme="minorEastAsia"/>
                <w:color w:val="auto"/>
                <w:szCs w:val="21"/>
                <w:highlight w:val="none"/>
              </w:rPr>
            </w:pPr>
            <w:r>
              <w:rPr>
                <w:rFonts w:hint="eastAsia" w:ascii="宋体" w:hAnsi="宋体" w:eastAsia="宋体" w:cs="宋体"/>
                <w:color w:val="auto"/>
                <w:szCs w:val="21"/>
                <w:highlight w:val="none"/>
              </w:rPr>
              <w:t>设备仪器车辆故障响应（0-2分）</w:t>
            </w:r>
          </w:p>
        </w:tc>
      </w:tr>
      <w:tr w14:paraId="25CD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EC61019">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1134" w:type="dxa"/>
            <w:vAlign w:val="center"/>
          </w:tcPr>
          <w:p w14:paraId="403D9F29">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检测能力</w:t>
            </w:r>
          </w:p>
        </w:tc>
        <w:tc>
          <w:tcPr>
            <w:tcW w:w="992" w:type="dxa"/>
            <w:vAlign w:val="center"/>
          </w:tcPr>
          <w:p w14:paraId="44D3979E">
            <w:pPr>
              <w:spacing w:line="360" w:lineRule="exact"/>
              <w:jc w:val="center"/>
              <w:rPr>
                <w:rFonts w:asciiTheme="minorEastAsia" w:hAnsiTheme="minorEastAsia"/>
                <w:color w:val="auto"/>
                <w:szCs w:val="21"/>
                <w:highlight w:val="none"/>
              </w:rPr>
            </w:pPr>
            <w:r>
              <w:rPr>
                <w:rFonts w:hint="eastAsia" w:eastAsia="宋体" w:cs="宋体"/>
                <w:color w:val="auto"/>
                <w:szCs w:val="21"/>
                <w:highlight w:val="none"/>
              </w:rPr>
              <w:t>5</w:t>
            </w:r>
            <w:r>
              <w:rPr>
                <w:rFonts w:hint="eastAsia" w:ascii="宋体" w:hAnsi="宋体" w:eastAsia="宋体" w:cs="宋体"/>
                <w:color w:val="auto"/>
                <w:szCs w:val="21"/>
                <w:highlight w:val="none"/>
              </w:rPr>
              <w:t>分</w:t>
            </w:r>
          </w:p>
        </w:tc>
        <w:tc>
          <w:tcPr>
            <w:tcW w:w="6095" w:type="dxa"/>
            <w:vAlign w:val="center"/>
          </w:tcPr>
          <w:p w14:paraId="1514CB61">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1、根据供应商递交的产品覆盖情况进行评分：</w:t>
            </w:r>
          </w:p>
          <w:p w14:paraId="5EE05103">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投标标段产品覆盖率达到100%的得</w:t>
            </w:r>
            <w:r>
              <w:rPr>
                <w:rFonts w:hint="eastAsia" w:eastAsia="宋体" w:cs="宋体"/>
                <w:color w:val="auto"/>
                <w:szCs w:val="21"/>
                <w:highlight w:val="none"/>
              </w:rPr>
              <w:t>2</w:t>
            </w:r>
            <w:r>
              <w:rPr>
                <w:rFonts w:hint="eastAsia" w:ascii="宋体" w:hAnsi="宋体" w:eastAsia="宋体" w:cs="宋体"/>
                <w:color w:val="auto"/>
                <w:szCs w:val="21"/>
                <w:highlight w:val="none"/>
              </w:rPr>
              <w:t>分，缺少一类产品不得分。</w:t>
            </w:r>
          </w:p>
          <w:p w14:paraId="4326F37B">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2、根据供应商</w:t>
            </w:r>
            <w:r>
              <w:rPr>
                <w:rFonts w:hint="eastAsia" w:ascii="宋体" w:hAnsi="宋体" w:eastAsia="宋体" w:cs="宋体"/>
                <w:color w:val="auto"/>
                <w:szCs w:val="21"/>
                <w:highlight w:val="none"/>
                <w:lang w:val="zh-CN"/>
              </w:rPr>
              <w:t>递交的</w:t>
            </w:r>
            <w:r>
              <w:rPr>
                <w:rFonts w:hint="eastAsia" w:ascii="宋体" w:hAnsi="宋体" w:eastAsia="宋体" w:cs="宋体"/>
                <w:color w:val="auto"/>
                <w:szCs w:val="21"/>
                <w:highlight w:val="none"/>
              </w:rPr>
              <w:t>每一类产品对应的检验项目</w:t>
            </w:r>
            <w:r>
              <w:rPr>
                <w:rFonts w:hint="eastAsia" w:ascii="宋体" w:hAnsi="宋体" w:eastAsia="宋体" w:cs="宋体"/>
                <w:color w:val="auto"/>
                <w:szCs w:val="21"/>
                <w:highlight w:val="none"/>
                <w:lang w:val="zh-CN"/>
              </w:rPr>
              <w:t>资质覆盖情况进行评分：</w:t>
            </w:r>
          </w:p>
          <w:p w14:paraId="20B87DA2">
            <w:pPr>
              <w:tabs>
                <w:tab w:val="left" w:pos="1080"/>
              </w:tabs>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投标标段</w:t>
            </w:r>
            <w:r>
              <w:rPr>
                <w:rFonts w:hint="eastAsia" w:ascii="宋体" w:hAnsi="宋体" w:eastAsia="宋体" w:cs="宋体"/>
                <w:color w:val="auto"/>
                <w:szCs w:val="21"/>
                <w:highlight w:val="none"/>
                <w:lang w:val="zh-CN"/>
              </w:rPr>
              <w:t>所有产品每个</w:t>
            </w:r>
            <w:r>
              <w:rPr>
                <w:rFonts w:hint="eastAsia" w:ascii="宋体" w:hAnsi="宋体" w:eastAsia="宋体" w:cs="宋体"/>
                <w:color w:val="auto"/>
                <w:szCs w:val="21"/>
                <w:highlight w:val="none"/>
              </w:rPr>
              <w:t>类别</w:t>
            </w:r>
            <w:r>
              <w:rPr>
                <w:rFonts w:hint="eastAsia" w:ascii="宋体" w:hAnsi="宋体" w:eastAsia="宋体" w:cs="宋体"/>
                <w:color w:val="auto"/>
                <w:szCs w:val="21"/>
                <w:highlight w:val="none"/>
                <w:lang w:val="zh-CN"/>
              </w:rPr>
              <w:t>资质覆盖率</w:t>
            </w:r>
            <w:r>
              <w:rPr>
                <w:rFonts w:hint="eastAsia" w:ascii="宋体" w:hAnsi="宋体" w:eastAsia="宋体" w:cs="宋体"/>
                <w:color w:val="auto"/>
                <w:szCs w:val="21"/>
                <w:highlight w:val="none"/>
              </w:rPr>
              <w:t>达到</w:t>
            </w:r>
            <w:r>
              <w:rPr>
                <w:rFonts w:hint="eastAsia" w:ascii="宋体" w:hAnsi="宋体" w:eastAsia="宋体" w:cs="宋体"/>
                <w:color w:val="auto"/>
                <w:szCs w:val="21"/>
                <w:highlight w:val="none"/>
                <w:lang w:val="zh-CN"/>
              </w:rPr>
              <w:t>100</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得</w:t>
            </w:r>
            <w:r>
              <w:rPr>
                <w:rFonts w:hint="eastAsia"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覆盖率达不到100%的，少一类产品扣0.5分，扣完为止。</w:t>
            </w:r>
          </w:p>
          <w:p w14:paraId="307E9095">
            <w:pPr>
              <w:spacing w:line="360" w:lineRule="exact"/>
              <w:rPr>
                <w:rFonts w:asciiTheme="minorEastAsia" w:hAnsiTheme="minorEastAsia"/>
                <w:color w:val="auto"/>
                <w:szCs w:val="21"/>
                <w:highlight w:val="none"/>
              </w:rPr>
            </w:pPr>
            <w:r>
              <w:rPr>
                <w:rFonts w:hint="eastAsia" w:ascii="宋体" w:hAnsi="宋体" w:eastAsia="宋体" w:cs="宋体"/>
                <w:b/>
                <w:bCs/>
                <w:color w:val="auto"/>
                <w:szCs w:val="21"/>
                <w:highlight w:val="none"/>
                <w:lang w:val="zh-CN"/>
              </w:rPr>
              <w:t>注：提供实验室检验项目资质表、覆盖率承诺书（</w:t>
            </w:r>
            <w:r>
              <w:rPr>
                <w:rFonts w:hint="eastAsia" w:ascii="宋体" w:hAnsi="宋体" w:eastAsia="宋体" w:cs="宋体"/>
                <w:b/>
                <w:bCs/>
                <w:color w:val="auto"/>
                <w:szCs w:val="21"/>
                <w:highlight w:val="none"/>
              </w:rPr>
              <w:t>格式自拟</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及</w:t>
            </w:r>
            <w:r>
              <w:rPr>
                <w:rFonts w:hint="eastAsia" w:ascii="宋体" w:hAnsi="宋体" w:eastAsia="宋体" w:cs="宋体"/>
                <w:b/>
                <w:bCs/>
                <w:color w:val="auto"/>
                <w:szCs w:val="21"/>
                <w:highlight w:val="none"/>
                <w:lang w:val="zh-CN"/>
              </w:rPr>
              <w:t>标明对应资质附表中的页码（</w:t>
            </w:r>
            <w:r>
              <w:rPr>
                <w:rFonts w:hint="eastAsia" w:ascii="宋体" w:hAnsi="宋体" w:eastAsia="宋体" w:cs="宋体"/>
                <w:b/>
                <w:bCs/>
                <w:color w:val="auto"/>
                <w:szCs w:val="21"/>
                <w:highlight w:val="none"/>
              </w:rPr>
              <w:t>格式见附件</w:t>
            </w:r>
            <w:r>
              <w:rPr>
                <w:rFonts w:hint="eastAsia" w:ascii="宋体" w:hAnsi="宋体" w:eastAsia="宋体" w:cs="宋体"/>
                <w:b/>
                <w:bCs/>
                <w:color w:val="auto"/>
                <w:szCs w:val="21"/>
                <w:highlight w:val="none"/>
                <w:lang w:val="zh-CN"/>
              </w:rPr>
              <w:t>），证明资料不完整或不一致的不计分</w:t>
            </w:r>
            <w:r>
              <w:rPr>
                <w:rFonts w:hint="eastAsia" w:eastAsia="宋体" w:cs="宋体"/>
                <w:b/>
                <w:bCs/>
                <w:color w:val="auto"/>
                <w:szCs w:val="21"/>
                <w:highlight w:val="none"/>
                <w:lang w:val="zh-CN"/>
              </w:rPr>
              <w:t>。</w:t>
            </w:r>
          </w:p>
        </w:tc>
      </w:tr>
      <w:tr w14:paraId="6D8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46E1E0A">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5</w:t>
            </w:r>
          </w:p>
        </w:tc>
        <w:tc>
          <w:tcPr>
            <w:tcW w:w="1134" w:type="dxa"/>
            <w:vAlign w:val="center"/>
          </w:tcPr>
          <w:p w14:paraId="034E108F">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项目实施</w:t>
            </w:r>
          </w:p>
          <w:p w14:paraId="3724D72D">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人员</w:t>
            </w:r>
          </w:p>
        </w:tc>
        <w:tc>
          <w:tcPr>
            <w:tcW w:w="992" w:type="dxa"/>
            <w:vAlign w:val="center"/>
          </w:tcPr>
          <w:p w14:paraId="44DB7976">
            <w:pPr>
              <w:spacing w:line="360" w:lineRule="exact"/>
              <w:jc w:val="center"/>
              <w:rPr>
                <w:rFonts w:asciiTheme="minorEastAsia" w:hAnsiTheme="minorEastAsia"/>
                <w:color w:val="auto"/>
                <w:szCs w:val="21"/>
                <w:highlight w:val="none"/>
              </w:rPr>
            </w:pPr>
            <w:r>
              <w:rPr>
                <w:rFonts w:hint="eastAsia" w:eastAsia="宋体" w:cs="宋体"/>
                <w:color w:val="auto"/>
                <w:szCs w:val="21"/>
                <w:highlight w:val="none"/>
              </w:rPr>
              <w:t>12</w:t>
            </w:r>
            <w:r>
              <w:rPr>
                <w:rFonts w:hint="eastAsia" w:ascii="宋体" w:hAnsi="宋体" w:eastAsia="宋体" w:cs="宋体"/>
                <w:color w:val="auto"/>
                <w:szCs w:val="21"/>
                <w:highlight w:val="none"/>
              </w:rPr>
              <w:t>分</w:t>
            </w:r>
          </w:p>
        </w:tc>
        <w:tc>
          <w:tcPr>
            <w:tcW w:w="6095" w:type="dxa"/>
            <w:vAlign w:val="center"/>
          </w:tcPr>
          <w:p w14:paraId="3C22CBFE">
            <w:pPr>
              <w:tabs>
                <w:tab w:val="left" w:pos="1080"/>
              </w:tabs>
              <w:spacing w:line="360" w:lineRule="exact"/>
              <w:rPr>
                <w:rFonts w:ascii="宋体" w:hAnsi="宋体" w:eastAsia="宋体" w:cs="宋体"/>
                <w:b/>
                <w:bCs/>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color w:val="auto"/>
                <w:szCs w:val="21"/>
                <w:highlight w:val="none"/>
              </w:rPr>
              <w:t>、项目负责人具有正高级职称（质量或计量或化学或检测等专业）的得</w:t>
            </w:r>
            <w:r>
              <w:rPr>
                <w:rFonts w:hint="eastAsia" w:eastAsia="宋体" w:cs="宋体"/>
                <w:color w:val="auto"/>
                <w:szCs w:val="21"/>
                <w:highlight w:val="none"/>
              </w:rPr>
              <w:t>2</w:t>
            </w:r>
            <w:r>
              <w:rPr>
                <w:rFonts w:hint="eastAsia" w:ascii="宋体" w:hAnsi="宋体" w:eastAsia="宋体" w:cs="宋体"/>
                <w:color w:val="auto"/>
                <w:szCs w:val="21"/>
                <w:highlight w:val="none"/>
              </w:rPr>
              <w:t>分，具有高级职称（质量或计量或化学或检测等专业）的得</w:t>
            </w:r>
            <w:r>
              <w:rPr>
                <w:rFonts w:hint="eastAsia" w:eastAsia="宋体" w:cs="宋体"/>
                <w:color w:val="auto"/>
                <w:szCs w:val="21"/>
                <w:highlight w:val="none"/>
              </w:rPr>
              <w:t>1</w:t>
            </w:r>
            <w:r>
              <w:rPr>
                <w:rFonts w:hint="eastAsia" w:ascii="宋体" w:hAnsi="宋体" w:eastAsia="宋体" w:cs="宋体"/>
                <w:color w:val="auto"/>
                <w:szCs w:val="21"/>
                <w:highlight w:val="none"/>
              </w:rPr>
              <w:t>分。（</w:t>
            </w:r>
            <w:r>
              <w:rPr>
                <w:rFonts w:hint="eastAsia" w:ascii="宋体" w:hAnsi="宋体" w:eastAsia="宋体" w:cs="宋体"/>
                <w:b/>
                <w:bCs/>
                <w:snapToGrid w:val="0"/>
                <w:color w:val="auto"/>
                <w:kern w:val="0"/>
                <w:szCs w:val="21"/>
                <w:highlight w:val="none"/>
              </w:rPr>
              <w:t>提供职称证书原件扫描件及社保机构出具的由本单位或分公司为其缴纳的近3个月的社保证明，否则不得分。）</w:t>
            </w:r>
          </w:p>
          <w:p w14:paraId="50CB955B">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2、主要技术人员（项目负责人除外）：</w:t>
            </w:r>
          </w:p>
          <w:p w14:paraId="7EBE81F1">
            <w:pPr>
              <w:tabs>
                <w:tab w:val="left" w:pos="1080"/>
              </w:tabs>
              <w:spacing w:line="360" w:lineRule="exact"/>
              <w:rPr>
                <w:rFonts w:ascii="宋体" w:hAnsi="宋体" w:eastAsia="宋体" w:cs="宋体"/>
                <w:b/>
                <w:bCs/>
                <w:snapToGrid w:val="0"/>
                <w:color w:val="auto"/>
                <w:kern w:val="0"/>
                <w:szCs w:val="21"/>
                <w:highlight w:val="none"/>
              </w:rPr>
            </w:pPr>
            <w:r>
              <w:rPr>
                <w:rFonts w:hint="eastAsia" w:ascii="宋体" w:hAnsi="宋体" w:eastAsia="宋体" w:cs="宋体"/>
                <w:color w:val="auto"/>
                <w:szCs w:val="21"/>
                <w:highlight w:val="none"/>
              </w:rPr>
              <w:t>（1）</w:t>
            </w:r>
            <w:r>
              <w:rPr>
                <w:rFonts w:hint="eastAsia" w:eastAsia="宋体" w:cs="宋体"/>
                <w:color w:val="auto"/>
                <w:szCs w:val="21"/>
                <w:highlight w:val="none"/>
              </w:rPr>
              <w:t>检测</w:t>
            </w:r>
            <w:r>
              <w:rPr>
                <w:rFonts w:hint="eastAsia" w:ascii="宋体" w:hAnsi="宋体" w:eastAsia="宋体" w:cs="宋体"/>
                <w:color w:val="auto"/>
                <w:szCs w:val="21"/>
                <w:highlight w:val="none"/>
              </w:rPr>
              <w:t>技术人员数量150名（含）及其以上得</w:t>
            </w:r>
            <w:r>
              <w:rPr>
                <w:rFonts w:hint="eastAsia" w:eastAsia="宋体" w:cs="宋体"/>
                <w:color w:val="auto"/>
                <w:szCs w:val="21"/>
                <w:highlight w:val="none"/>
              </w:rPr>
              <w:t>4</w:t>
            </w:r>
            <w:r>
              <w:rPr>
                <w:rFonts w:hint="eastAsia" w:ascii="宋体" w:hAnsi="宋体" w:eastAsia="宋体" w:cs="宋体"/>
                <w:color w:val="auto"/>
                <w:szCs w:val="21"/>
                <w:highlight w:val="none"/>
              </w:rPr>
              <w:t>分，150（不含）-1</w:t>
            </w:r>
            <w:r>
              <w:rPr>
                <w:rFonts w:hint="eastAsia" w:eastAsia="宋体" w:cs="宋体"/>
                <w:color w:val="auto"/>
                <w:szCs w:val="21"/>
                <w:highlight w:val="none"/>
              </w:rPr>
              <w:t>3</w:t>
            </w:r>
            <w:r>
              <w:rPr>
                <w:rFonts w:hint="eastAsia" w:ascii="宋体" w:hAnsi="宋体" w:eastAsia="宋体" w:cs="宋体"/>
                <w:color w:val="auto"/>
                <w:szCs w:val="21"/>
                <w:highlight w:val="none"/>
              </w:rPr>
              <w:t>0名（含）得</w:t>
            </w:r>
            <w:r>
              <w:rPr>
                <w:rFonts w:hint="eastAsia" w:eastAsia="宋体" w:cs="宋体"/>
                <w:color w:val="auto"/>
                <w:szCs w:val="21"/>
                <w:highlight w:val="none"/>
              </w:rPr>
              <w:t>3</w:t>
            </w:r>
            <w:r>
              <w:rPr>
                <w:rFonts w:hint="eastAsia" w:ascii="宋体" w:hAnsi="宋体" w:eastAsia="宋体" w:cs="宋体"/>
                <w:color w:val="auto"/>
                <w:szCs w:val="21"/>
                <w:highlight w:val="none"/>
              </w:rPr>
              <w:t>分，1</w:t>
            </w:r>
            <w:r>
              <w:rPr>
                <w:rFonts w:hint="eastAsia" w:eastAsia="宋体" w:cs="宋体"/>
                <w:color w:val="auto"/>
                <w:szCs w:val="21"/>
                <w:highlight w:val="none"/>
              </w:rPr>
              <w:t>3</w:t>
            </w:r>
            <w:r>
              <w:rPr>
                <w:rFonts w:hint="eastAsia" w:ascii="宋体" w:hAnsi="宋体" w:eastAsia="宋体" w:cs="宋体"/>
                <w:color w:val="auto"/>
                <w:szCs w:val="21"/>
                <w:highlight w:val="none"/>
              </w:rPr>
              <w:t>0（不含）-100名（含）得2分，100名（不含）以下得1分；</w:t>
            </w:r>
            <w:r>
              <w:rPr>
                <w:rFonts w:hint="eastAsia" w:ascii="宋体" w:hAnsi="宋体" w:eastAsia="宋体" w:cs="宋体"/>
                <w:b/>
                <w:bCs/>
                <w:snapToGrid w:val="0"/>
                <w:color w:val="auto"/>
                <w:kern w:val="0"/>
                <w:szCs w:val="21"/>
                <w:highlight w:val="none"/>
              </w:rPr>
              <w:t>（提供社保机构出具的由本单位或分公司为其缴纳的近3个月的社保证明，否则不得分。）</w:t>
            </w:r>
          </w:p>
          <w:p w14:paraId="75F52FB3">
            <w:pPr>
              <w:tabs>
                <w:tab w:val="left" w:pos="1080"/>
              </w:tabs>
              <w:spacing w:line="360" w:lineRule="exact"/>
              <w:rPr>
                <w:rFonts w:ascii="宋体" w:hAnsi="宋体" w:eastAsia="宋体" w:cs="宋体"/>
                <w:b/>
                <w:bCs/>
                <w:snapToGrid w:val="0"/>
                <w:color w:val="auto"/>
                <w:kern w:val="0"/>
                <w:szCs w:val="21"/>
                <w:highlight w:val="none"/>
              </w:rPr>
            </w:pPr>
            <w:r>
              <w:rPr>
                <w:rFonts w:hint="eastAsia" w:ascii="宋体" w:hAnsi="宋体" w:eastAsia="宋体" w:cs="宋体"/>
                <w:color w:val="auto"/>
                <w:szCs w:val="21"/>
                <w:highlight w:val="none"/>
              </w:rPr>
              <w:t>（2）</w:t>
            </w:r>
            <w:r>
              <w:rPr>
                <w:rFonts w:hint="eastAsia" w:eastAsia="宋体" w:cs="宋体"/>
                <w:color w:val="auto"/>
                <w:szCs w:val="21"/>
                <w:highlight w:val="none"/>
              </w:rPr>
              <w:t>检测</w:t>
            </w:r>
            <w:r>
              <w:rPr>
                <w:rFonts w:hint="eastAsia" w:ascii="宋体" w:hAnsi="宋体" w:eastAsia="宋体" w:cs="宋体"/>
                <w:color w:val="auto"/>
                <w:szCs w:val="21"/>
                <w:highlight w:val="none"/>
              </w:rPr>
              <w:t>技术人员中具有中级及以上职称50名（含）及其以上得3分，50（不含）-</w:t>
            </w:r>
            <w:r>
              <w:rPr>
                <w:rFonts w:hint="eastAsia" w:eastAsia="宋体" w:cs="宋体"/>
                <w:color w:val="auto"/>
                <w:szCs w:val="21"/>
                <w:highlight w:val="none"/>
              </w:rPr>
              <w:t>35</w:t>
            </w:r>
            <w:r>
              <w:rPr>
                <w:rFonts w:hint="eastAsia" w:ascii="宋体" w:hAnsi="宋体" w:eastAsia="宋体" w:cs="宋体"/>
                <w:color w:val="auto"/>
                <w:szCs w:val="21"/>
                <w:highlight w:val="none"/>
              </w:rPr>
              <w:t>名（含）得</w:t>
            </w:r>
            <w:r>
              <w:rPr>
                <w:rFonts w:hint="eastAsia" w:eastAsia="宋体" w:cs="宋体"/>
                <w:color w:val="auto"/>
                <w:szCs w:val="21"/>
                <w:highlight w:val="none"/>
              </w:rPr>
              <w:t>2</w:t>
            </w:r>
            <w:r>
              <w:rPr>
                <w:rFonts w:hint="eastAsia" w:ascii="宋体" w:hAnsi="宋体" w:eastAsia="宋体" w:cs="宋体"/>
                <w:color w:val="auto"/>
                <w:szCs w:val="21"/>
                <w:highlight w:val="none"/>
              </w:rPr>
              <w:t>分，</w:t>
            </w:r>
            <w:r>
              <w:rPr>
                <w:rFonts w:hint="eastAsia" w:eastAsia="宋体" w:cs="宋体"/>
                <w:color w:val="auto"/>
                <w:szCs w:val="21"/>
                <w:highlight w:val="none"/>
              </w:rPr>
              <w:t>35</w:t>
            </w:r>
            <w:r>
              <w:rPr>
                <w:rFonts w:hint="eastAsia" w:ascii="宋体" w:hAnsi="宋体" w:eastAsia="宋体" w:cs="宋体"/>
                <w:color w:val="auto"/>
                <w:szCs w:val="21"/>
                <w:highlight w:val="none"/>
              </w:rPr>
              <w:t>（不含）-20名（含）得1分，20名（不含）以下得0.5分。（</w:t>
            </w:r>
            <w:r>
              <w:rPr>
                <w:rFonts w:hint="eastAsia" w:ascii="宋体" w:hAnsi="宋体" w:eastAsia="宋体" w:cs="宋体"/>
                <w:b/>
                <w:bCs/>
                <w:snapToGrid w:val="0"/>
                <w:color w:val="auto"/>
                <w:kern w:val="0"/>
                <w:szCs w:val="21"/>
                <w:highlight w:val="none"/>
              </w:rPr>
              <w:t>提供职称证书复印件及社保机构出具的由本单位或分公司为其缴纳的近3个月的社保证明，否则不得分。）</w:t>
            </w:r>
          </w:p>
          <w:p w14:paraId="7260DCF1">
            <w:pPr>
              <w:tabs>
                <w:tab w:val="left" w:pos="1080"/>
              </w:tabs>
              <w:spacing w:line="360" w:lineRule="exac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3、采样人员数量30名（含）及其以上得</w:t>
            </w:r>
            <w:r>
              <w:rPr>
                <w:rFonts w:hint="eastAsia" w:eastAsia="宋体" w:cs="宋体"/>
                <w:color w:val="auto"/>
                <w:szCs w:val="21"/>
                <w:highlight w:val="none"/>
              </w:rPr>
              <w:t>3</w:t>
            </w:r>
            <w:r>
              <w:rPr>
                <w:rFonts w:hint="eastAsia" w:ascii="宋体" w:hAnsi="宋体" w:eastAsia="宋体" w:cs="宋体"/>
                <w:color w:val="auto"/>
                <w:szCs w:val="21"/>
                <w:highlight w:val="none"/>
              </w:rPr>
              <w:t>分，30（不含）-2</w:t>
            </w:r>
            <w:r>
              <w:rPr>
                <w:rFonts w:hint="eastAsia" w:eastAsia="宋体" w:cs="宋体"/>
                <w:color w:val="auto"/>
                <w:szCs w:val="21"/>
                <w:highlight w:val="none"/>
              </w:rPr>
              <w:t>5</w:t>
            </w:r>
            <w:r>
              <w:rPr>
                <w:rFonts w:hint="eastAsia" w:ascii="宋体" w:hAnsi="宋体" w:eastAsia="宋体" w:cs="宋体"/>
                <w:color w:val="auto"/>
                <w:szCs w:val="21"/>
                <w:highlight w:val="none"/>
              </w:rPr>
              <w:t>名（含）得</w:t>
            </w:r>
            <w:r>
              <w:rPr>
                <w:rFonts w:hint="eastAsia" w:eastAsia="宋体" w:cs="宋体"/>
                <w:color w:val="auto"/>
                <w:szCs w:val="21"/>
                <w:highlight w:val="none"/>
              </w:rPr>
              <w:t>2</w:t>
            </w:r>
            <w:r>
              <w:rPr>
                <w:rFonts w:hint="eastAsia" w:ascii="宋体" w:hAnsi="宋体" w:eastAsia="宋体" w:cs="宋体"/>
                <w:color w:val="auto"/>
                <w:szCs w:val="21"/>
                <w:highlight w:val="none"/>
              </w:rPr>
              <w:t>分，</w:t>
            </w:r>
            <w:r>
              <w:rPr>
                <w:rFonts w:hint="eastAsia" w:eastAsia="宋体" w:cs="宋体"/>
                <w:color w:val="auto"/>
                <w:szCs w:val="21"/>
                <w:highlight w:val="none"/>
              </w:rPr>
              <w:t>25</w:t>
            </w:r>
            <w:r>
              <w:rPr>
                <w:rFonts w:hint="eastAsia" w:ascii="宋体" w:hAnsi="宋体" w:eastAsia="宋体" w:cs="宋体"/>
                <w:color w:val="auto"/>
                <w:szCs w:val="21"/>
                <w:highlight w:val="none"/>
              </w:rPr>
              <w:t>（不含）-20名（含）得1分，20（不含）以下得0.5分。</w:t>
            </w:r>
          </w:p>
          <w:p w14:paraId="7C4B9498">
            <w:pPr>
              <w:spacing w:line="360" w:lineRule="exact"/>
              <w:rPr>
                <w:rFonts w:asciiTheme="minorEastAsia" w:hAnsiTheme="minorEastAsia"/>
                <w:color w:val="auto"/>
                <w:szCs w:val="21"/>
                <w:highlight w:val="none"/>
              </w:rPr>
            </w:pPr>
            <w:r>
              <w:rPr>
                <w:rFonts w:hint="eastAsia" w:ascii="宋体" w:hAnsi="宋体" w:eastAsia="宋体" w:cs="宋体"/>
                <w:b/>
                <w:bCs/>
                <w:snapToGrid w:val="0"/>
                <w:color w:val="auto"/>
                <w:kern w:val="0"/>
                <w:szCs w:val="21"/>
                <w:highlight w:val="none"/>
              </w:rPr>
              <w:t>（采样人员不得与检测人员（技术人员）及项目负责人重复，提供上岗证明复印件及社保机构出具的由本单位或分公司为其缴纳的近3个月的社保证明，否则不得分。）</w:t>
            </w:r>
          </w:p>
        </w:tc>
      </w:tr>
      <w:tr w14:paraId="1B9F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F591CA1">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6</w:t>
            </w:r>
          </w:p>
        </w:tc>
        <w:tc>
          <w:tcPr>
            <w:tcW w:w="1134" w:type="dxa"/>
            <w:vAlign w:val="center"/>
          </w:tcPr>
          <w:p w14:paraId="10347DC4">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检测场地情况</w:t>
            </w:r>
          </w:p>
        </w:tc>
        <w:tc>
          <w:tcPr>
            <w:tcW w:w="992" w:type="dxa"/>
            <w:vAlign w:val="center"/>
          </w:tcPr>
          <w:p w14:paraId="1DA92D80">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3分</w:t>
            </w:r>
          </w:p>
        </w:tc>
        <w:tc>
          <w:tcPr>
            <w:tcW w:w="6095" w:type="dxa"/>
            <w:vAlign w:val="center"/>
          </w:tcPr>
          <w:p w14:paraId="69E294E8">
            <w:pPr>
              <w:numPr>
                <w:ilvl w:val="0"/>
                <w:numId w:val="14"/>
              </w:num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zh-CN"/>
              </w:rPr>
              <w:t>满足检测工作需要的、独立的、固定的检测场地</w:t>
            </w:r>
            <w:r>
              <w:rPr>
                <w:rFonts w:hint="eastAsia" w:ascii="宋体" w:hAnsi="宋体" w:eastAsia="宋体" w:cs="宋体"/>
                <w:color w:val="auto"/>
                <w:szCs w:val="21"/>
                <w:highlight w:val="none"/>
              </w:rPr>
              <w:t>得2分。</w:t>
            </w:r>
          </w:p>
          <w:p w14:paraId="5419F7B2">
            <w:pPr>
              <w:tabs>
                <w:tab w:val="left" w:pos="1080"/>
              </w:tabs>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2、具备防燃、防爆</w:t>
            </w:r>
            <w:r>
              <w:rPr>
                <w:rFonts w:hint="eastAsia" w:ascii="宋体" w:hAnsi="宋体" w:eastAsia="宋体" w:cs="宋体"/>
                <w:color w:val="auto"/>
                <w:szCs w:val="21"/>
                <w:highlight w:val="none"/>
                <w:lang w:val="zh-CN"/>
              </w:rPr>
              <w:t>样品</w:t>
            </w:r>
            <w:r>
              <w:rPr>
                <w:rFonts w:hint="eastAsia" w:ascii="宋体" w:hAnsi="宋体" w:eastAsia="宋体" w:cs="宋体"/>
                <w:color w:val="auto"/>
                <w:szCs w:val="21"/>
                <w:highlight w:val="none"/>
              </w:rPr>
              <w:t>存储</w:t>
            </w:r>
            <w:r>
              <w:rPr>
                <w:rFonts w:hint="eastAsia" w:ascii="宋体" w:hAnsi="宋体" w:eastAsia="宋体" w:cs="宋体"/>
                <w:color w:val="auto"/>
                <w:szCs w:val="21"/>
                <w:highlight w:val="none"/>
                <w:lang w:val="zh-CN"/>
              </w:rPr>
              <w:t>室</w:t>
            </w:r>
            <w:r>
              <w:rPr>
                <w:rFonts w:hint="eastAsia" w:ascii="宋体" w:hAnsi="宋体" w:eastAsia="宋体" w:cs="宋体"/>
                <w:color w:val="auto"/>
                <w:szCs w:val="21"/>
                <w:highlight w:val="none"/>
              </w:rPr>
              <w:t>得1分；</w:t>
            </w:r>
          </w:p>
          <w:p w14:paraId="5D520585">
            <w:pPr>
              <w:spacing w:line="360" w:lineRule="exact"/>
              <w:rPr>
                <w:rFonts w:asciiTheme="minorEastAsia" w:hAnsiTheme="minorEastAsia"/>
                <w:color w:val="auto"/>
                <w:szCs w:val="21"/>
                <w:highlight w:val="none"/>
              </w:rPr>
            </w:pPr>
            <w:r>
              <w:rPr>
                <w:rFonts w:hint="eastAsia" w:ascii="宋体" w:hAnsi="宋体" w:eastAsia="宋体" w:cs="宋体"/>
                <w:b/>
                <w:bCs/>
                <w:color w:val="auto"/>
                <w:szCs w:val="21"/>
                <w:highlight w:val="none"/>
                <w:lang w:val="zh-CN"/>
              </w:rPr>
              <w:t>注：①提供相应的证明材料，包括发票、房产证或房屋租赁合同。②</w:t>
            </w:r>
            <w:r>
              <w:rPr>
                <w:rFonts w:hint="eastAsia" w:ascii="宋体" w:hAnsi="宋体" w:eastAsia="宋体" w:cs="宋体"/>
                <w:b/>
                <w:bCs/>
                <w:color w:val="auto"/>
                <w:szCs w:val="21"/>
                <w:highlight w:val="none"/>
              </w:rPr>
              <w:t>提供相关检测场地、防燃、防爆样品存储室</w:t>
            </w:r>
            <w:r>
              <w:rPr>
                <w:rFonts w:hint="eastAsia" w:ascii="宋体" w:hAnsi="宋体" w:eastAsia="宋体" w:cs="宋体"/>
                <w:b/>
                <w:bCs/>
                <w:color w:val="auto"/>
                <w:szCs w:val="21"/>
                <w:highlight w:val="none"/>
                <w:lang w:val="zh-CN"/>
              </w:rPr>
              <w:t>图片、</w:t>
            </w:r>
            <w:r>
              <w:rPr>
                <w:rFonts w:hint="eastAsia" w:ascii="宋体" w:hAnsi="宋体" w:eastAsia="宋体" w:cs="宋体"/>
                <w:b/>
                <w:bCs/>
                <w:color w:val="auto"/>
                <w:szCs w:val="21"/>
                <w:highlight w:val="none"/>
              </w:rPr>
              <w:t>文字</w:t>
            </w:r>
            <w:r>
              <w:rPr>
                <w:rFonts w:hint="eastAsia" w:ascii="宋体" w:hAnsi="宋体" w:eastAsia="宋体" w:cs="宋体"/>
                <w:b/>
                <w:bCs/>
                <w:color w:val="auto"/>
                <w:szCs w:val="21"/>
                <w:highlight w:val="none"/>
                <w:lang w:val="zh-CN"/>
              </w:rPr>
              <w:t>说明、</w:t>
            </w:r>
            <w:r>
              <w:rPr>
                <w:rFonts w:hint="eastAsia" w:ascii="宋体" w:hAnsi="宋体" w:eastAsia="宋体" w:cs="宋体"/>
                <w:b/>
                <w:bCs/>
                <w:color w:val="auto"/>
                <w:szCs w:val="21"/>
                <w:highlight w:val="none"/>
              </w:rPr>
              <w:t>防燃防爆承诺书</w:t>
            </w:r>
            <w:r>
              <w:rPr>
                <w:rFonts w:hint="eastAsia" w:ascii="宋体" w:hAnsi="宋体" w:eastAsia="宋体" w:cs="宋体"/>
                <w:b/>
                <w:bCs/>
                <w:color w:val="auto"/>
                <w:szCs w:val="21"/>
                <w:highlight w:val="none"/>
                <w:lang w:val="zh-CN"/>
              </w:rPr>
              <w:t>等</w:t>
            </w:r>
            <w:r>
              <w:rPr>
                <w:rFonts w:hint="eastAsia" w:ascii="宋体" w:hAnsi="宋体" w:eastAsia="宋体" w:cs="宋体"/>
                <w:b/>
                <w:bCs/>
                <w:color w:val="auto"/>
                <w:szCs w:val="21"/>
                <w:highlight w:val="none"/>
              </w:rPr>
              <w:t>证明材料。</w:t>
            </w:r>
            <w:r>
              <w:rPr>
                <w:rFonts w:hint="eastAsia" w:ascii="宋体" w:hAnsi="宋体" w:eastAsia="宋体" w:cs="宋体"/>
                <w:b/>
                <w:bCs/>
                <w:color w:val="auto"/>
                <w:szCs w:val="21"/>
                <w:highlight w:val="none"/>
                <w:lang w:val="zh-CN"/>
              </w:rPr>
              <w:t>证明材料①②两者缺一不可，未提供或提供不完整的不得分。</w:t>
            </w:r>
          </w:p>
        </w:tc>
      </w:tr>
      <w:tr w14:paraId="6E9D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93D4CA4">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p>
        </w:tc>
        <w:tc>
          <w:tcPr>
            <w:tcW w:w="1134" w:type="dxa"/>
            <w:vAlign w:val="center"/>
          </w:tcPr>
          <w:p w14:paraId="051E0999">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检测设备情况</w:t>
            </w:r>
          </w:p>
        </w:tc>
        <w:tc>
          <w:tcPr>
            <w:tcW w:w="992" w:type="dxa"/>
            <w:vAlign w:val="center"/>
          </w:tcPr>
          <w:p w14:paraId="12226247">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7分</w:t>
            </w:r>
          </w:p>
        </w:tc>
        <w:tc>
          <w:tcPr>
            <w:tcW w:w="6095" w:type="dxa"/>
            <w:vAlign w:val="center"/>
          </w:tcPr>
          <w:p w14:paraId="6428D2CE">
            <w:pPr>
              <w:tabs>
                <w:tab w:val="left" w:pos="1080"/>
              </w:tabs>
              <w:spacing w:line="400" w:lineRule="exact"/>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配备原值50万元（含）—100万元（</w:t>
            </w:r>
            <w:r>
              <w:rPr>
                <w:rFonts w:hint="eastAsia" w:ascii="宋体" w:hAnsi="宋体" w:eastAsia="宋体" w:cs="宋体"/>
                <w:color w:val="auto"/>
                <w:szCs w:val="21"/>
                <w:highlight w:val="none"/>
              </w:rPr>
              <w:t>不含</w:t>
            </w:r>
            <w:r>
              <w:rPr>
                <w:rFonts w:hint="eastAsia" w:ascii="宋体" w:hAnsi="宋体" w:eastAsia="宋体" w:cs="宋体"/>
                <w:color w:val="auto"/>
                <w:szCs w:val="21"/>
                <w:highlight w:val="none"/>
                <w:lang w:val="zh-CN"/>
              </w:rPr>
              <w:t>）的设备，</w:t>
            </w:r>
            <w:r>
              <w:rPr>
                <w:rFonts w:hint="eastAsia" w:ascii="宋体" w:hAnsi="宋体" w:eastAsia="宋体" w:cs="宋体"/>
                <w:color w:val="auto"/>
                <w:szCs w:val="21"/>
                <w:highlight w:val="none"/>
              </w:rPr>
              <w:t>一台得0.5分；</w:t>
            </w:r>
            <w:r>
              <w:rPr>
                <w:rFonts w:hint="eastAsia" w:ascii="宋体" w:hAnsi="宋体" w:eastAsia="宋体" w:cs="宋体"/>
                <w:color w:val="auto"/>
                <w:szCs w:val="21"/>
                <w:highlight w:val="none"/>
                <w:lang w:val="zh-CN"/>
              </w:rPr>
              <w:t>配备原值100万元（含）—200万元（</w:t>
            </w:r>
            <w:r>
              <w:rPr>
                <w:rFonts w:hint="eastAsia" w:ascii="宋体" w:hAnsi="宋体" w:eastAsia="宋体" w:cs="宋体"/>
                <w:color w:val="auto"/>
                <w:szCs w:val="21"/>
                <w:highlight w:val="none"/>
              </w:rPr>
              <w:t>不含</w:t>
            </w:r>
            <w:r>
              <w:rPr>
                <w:rFonts w:hint="eastAsia" w:ascii="宋体" w:hAnsi="宋体" w:eastAsia="宋体" w:cs="宋体"/>
                <w:color w:val="auto"/>
                <w:szCs w:val="21"/>
                <w:highlight w:val="none"/>
                <w:lang w:val="zh-CN"/>
              </w:rPr>
              <w:t>）的设备，</w:t>
            </w:r>
            <w:r>
              <w:rPr>
                <w:rFonts w:hint="eastAsia" w:ascii="宋体" w:hAnsi="宋体" w:eastAsia="宋体" w:cs="宋体"/>
                <w:color w:val="auto"/>
                <w:szCs w:val="21"/>
                <w:highlight w:val="none"/>
              </w:rPr>
              <w:t>一台得1分；</w:t>
            </w:r>
            <w:r>
              <w:rPr>
                <w:rFonts w:hint="eastAsia" w:ascii="宋体" w:hAnsi="宋体" w:eastAsia="宋体" w:cs="宋体"/>
                <w:color w:val="auto"/>
                <w:szCs w:val="21"/>
                <w:highlight w:val="none"/>
                <w:lang w:val="zh-CN"/>
              </w:rPr>
              <w:t>配备原值≥</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00万元的设备，</w:t>
            </w:r>
            <w:r>
              <w:rPr>
                <w:rFonts w:hint="eastAsia" w:ascii="宋体" w:hAnsi="宋体" w:eastAsia="宋体" w:cs="宋体"/>
                <w:color w:val="auto"/>
                <w:szCs w:val="21"/>
                <w:highlight w:val="none"/>
              </w:rPr>
              <w:t>得2分。最高得7分。</w:t>
            </w:r>
          </w:p>
          <w:p w14:paraId="323E3420">
            <w:pPr>
              <w:spacing w:line="360" w:lineRule="exact"/>
              <w:rPr>
                <w:rFonts w:asciiTheme="minorEastAsia" w:hAnsiTheme="minorEastAsia"/>
                <w:color w:val="auto"/>
                <w:szCs w:val="21"/>
                <w:highlight w:val="none"/>
              </w:rPr>
            </w:pPr>
            <w:r>
              <w:rPr>
                <w:rFonts w:hint="eastAsia" w:ascii="宋体" w:hAnsi="宋体" w:eastAsia="宋体" w:cs="宋体"/>
                <w:b/>
                <w:bCs/>
                <w:color w:val="auto"/>
                <w:szCs w:val="21"/>
                <w:highlight w:val="none"/>
                <w:lang w:val="zh-CN"/>
              </w:rPr>
              <w:t>注：以上检测设备必须提供仪器相关证明材料原件扫描件并加盖公章，证明材料为①计量检定证明或校准证书、②发票复印件或采购合同；证明材料①②两者缺一不可，未提供或提供不完整的不得分，检测设备为租赁不得分（所提供的检测设备计量检定证明或校准证书须与投标时供应商名称一致；发票或采购合同与投标时供应商名称不一致时，若该设备为该企业股东购买，需提供供应商相关的企业章程予以证明，</w:t>
            </w:r>
            <w:r>
              <w:rPr>
                <w:rFonts w:hint="eastAsia" w:ascii="宋体" w:hAnsi="宋体" w:eastAsia="宋体" w:cs="宋体"/>
                <w:b/>
                <w:bCs/>
                <w:color w:val="auto"/>
                <w:szCs w:val="21"/>
                <w:highlight w:val="none"/>
              </w:rPr>
              <w:t>若企业更名的需提供名称变更登记证明等资料，</w:t>
            </w:r>
            <w:r>
              <w:rPr>
                <w:rFonts w:hint="eastAsia" w:ascii="宋体" w:hAnsi="宋体" w:eastAsia="宋体" w:cs="宋体"/>
                <w:b/>
                <w:bCs/>
                <w:color w:val="auto"/>
                <w:szCs w:val="21"/>
                <w:highlight w:val="none"/>
                <w:lang w:val="zh-CN"/>
              </w:rPr>
              <w:t>否则不得分）。</w:t>
            </w:r>
          </w:p>
        </w:tc>
      </w:tr>
      <w:tr w14:paraId="2F6F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7DD9DCA5">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8</w:t>
            </w:r>
          </w:p>
        </w:tc>
        <w:tc>
          <w:tcPr>
            <w:tcW w:w="1134" w:type="dxa"/>
            <w:vAlign w:val="center"/>
          </w:tcPr>
          <w:p w14:paraId="16997789">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抽样车辆、设备情况</w:t>
            </w:r>
          </w:p>
        </w:tc>
        <w:tc>
          <w:tcPr>
            <w:tcW w:w="992" w:type="dxa"/>
            <w:vAlign w:val="center"/>
          </w:tcPr>
          <w:p w14:paraId="3D71980A">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4分</w:t>
            </w:r>
          </w:p>
        </w:tc>
        <w:tc>
          <w:tcPr>
            <w:tcW w:w="6095" w:type="dxa"/>
            <w:vAlign w:val="center"/>
          </w:tcPr>
          <w:p w14:paraId="30951199">
            <w:pPr>
              <w:tabs>
                <w:tab w:val="left" w:pos="1080"/>
              </w:tabs>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1、自有抽样车辆6</w:t>
            </w:r>
            <w:r>
              <w:rPr>
                <w:rFonts w:hint="eastAsia" w:ascii="宋体" w:hAnsi="宋体" w:eastAsia="宋体" w:cs="宋体"/>
                <w:color w:val="auto"/>
                <w:szCs w:val="21"/>
                <w:highlight w:val="none"/>
                <w:lang w:val="zh-CN"/>
              </w:rPr>
              <w:t>辆及以上得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每少一辆扣1分，扣完为止</w:t>
            </w:r>
            <w:r>
              <w:rPr>
                <w:rFonts w:hint="eastAsia" w:ascii="宋体" w:hAnsi="宋体" w:eastAsia="宋体" w:cs="宋体"/>
                <w:color w:val="auto"/>
                <w:szCs w:val="21"/>
                <w:highlight w:val="none"/>
                <w:lang w:val="zh-CN"/>
              </w:rPr>
              <w:t>。</w:t>
            </w:r>
          </w:p>
          <w:p w14:paraId="195F582E">
            <w:pPr>
              <w:spacing w:line="360" w:lineRule="exac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注：提供有效的车辆信息及照片、行驶证、保险单复印件。</w:t>
            </w:r>
          </w:p>
          <w:p w14:paraId="62594491">
            <w:pPr>
              <w:widowControl/>
              <w:snapToGrid w:val="0"/>
              <w:spacing w:line="360" w:lineRule="exact"/>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2、</w:t>
            </w:r>
            <w:r>
              <w:rPr>
                <w:rFonts w:hint="eastAsia" w:ascii="宋体" w:hAnsi="宋体" w:eastAsia="宋体" w:cs="宋体"/>
                <w:color w:val="auto"/>
                <w:szCs w:val="21"/>
                <w:highlight w:val="none"/>
              </w:rPr>
              <w:t>有专用抽样视频采集设备，每台0.5分，共1分</w:t>
            </w:r>
            <w:r>
              <w:rPr>
                <w:rFonts w:hint="eastAsia" w:ascii="宋体" w:hAnsi="宋体" w:eastAsia="宋体" w:cs="宋体"/>
                <w:color w:val="auto"/>
                <w:szCs w:val="21"/>
                <w:highlight w:val="none"/>
                <w:lang w:val="zh-CN"/>
              </w:rPr>
              <w:t>。</w:t>
            </w:r>
          </w:p>
          <w:p w14:paraId="4D7D91C4">
            <w:pPr>
              <w:widowControl/>
              <w:snapToGrid w:val="0"/>
              <w:spacing w:line="360" w:lineRule="exact"/>
              <w:jc w:val="left"/>
              <w:rPr>
                <w:rFonts w:asciiTheme="minorEastAsia" w:hAnsiTheme="minorEastAsia"/>
                <w:color w:val="auto"/>
                <w:szCs w:val="21"/>
                <w:highlight w:val="none"/>
              </w:rPr>
            </w:pPr>
            <w:r>
              <w:rPr>
                <w:rFonts w:hint="eastAsia" w:ascii="宋体" w:hAnsi="宋体" w:eastAsia="宋体" w:cs="宋体"/>
                <w:b/>
                <w:bCs/>
                <w:color w:val="auto"/>
                <w:szCs w:val="21"/>
                <w:highlight w:val="none"/>
                <w:lang w:val="zh-CN"/>
              </w:rPr>
              <w:t>注：需提供设备清单、实物照片、购置发票</w:t>
            </w:r>
            <w:r>
              <w:rPr>
                <w:rFonts w:hint="eastAsia" w:ascii="宋体" w:hAnsi="宋体" w:eastAsia="宋体" w:cs="宋体"/>
                <w:b/>
                <w:bCs/>
                <w:color w:val="auto"/>
                <w:szCs w:val="21"/>
                <w:highlight w:val="none"/>
              </w:rPr>
              <w:t>或采购合同</w:t>
            </w:r>
            <w:r>
              <w:rPr>
                <w:rFonts w:hint="eastAsia" w:ascii="宋体" w:hAnsi="宋体" w:eastAsia="宋体" w:cs="宋体"/>
                <w:b/>
                <w:bCs/>
                <w:color w:val="auto"/>
                <w:szCs w:val="21"/>
                <w:highlight w:val="none"/>
                <w:lang w:val="zh-CN"/>
              </w:rPr>
              <w:t>等证明材料。</w:t>
            </w:r>
          </w:p>
        </w:tc>
      </w:tr>
      <w:tr w14:paraId="548A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D87575B">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9</w:t>
            </w:r>
          </w:p>
        </w:tc>
        <w:tc>
          <w:tcPr>
            <w:tcW w:w="1134" w:type="dxa"/>
            <w:vAlign w:val="center"/>
          </w:tcPr>
          <w:p w14:paraId="53590BC4">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服务质量保障</w:t>
            </w:r>
          </w:p>
        </w:tc>
        <w:tc>
          <w:tcPr>
            <w:tcW w:w="992" w:type="dxa"/>
            <w:vAlign w:val="center"/>
          </w:tcPr>
          <w:p w14:paraId="3C5AA4FA">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1分</w:t>
            </w:r>
          </w:p>
        </w:tc>
        <w:tc>
          <w:tcPr>
            <w:tcW w:w="6095" w:type="dxa"/>
            <w:vAlign w:val="center"/>
          </w:tcPr>
          <w:p w14:paraId="62251B22">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2023年承担省级及以上监督抽查任务的，得1分。</w:t>
            </w:r>
          </w:p>
          <w:p w14:paraId="13BDA8E2">
            <w:pPr>
              <w:tabs>
                <w:tab w:val="left" w:pos="1080"/>
              </w:tabs>
              <w:spacing w:line="360" w:lineRule="exact"/>
              <w:rPr>
                <w:rFonts w:asciiTheme="minorEastAsia" w:hAnsiTheme="minorEastAsia"/>
                <w:color w:val="auto"/>
                <w:szCs w:val="21"/>
                <w:highlight w:val="none"/>
              </w:rPr>
            </w:pPr>
            <w:r>
              <w:rPr>
                <w:rFonts w:hint="eastAsia" w:ascii="宋体" w:hAnsi="宋体" w:eastAsia="宋体" w:cs="宋体"/>
                <w:b/>
                <w:bCs/>
                <w:color w:val="auto"/>
                <w:szCs w:val="21"/>
                <w:highlight w:val="none"/>
              </w:rPr>
              <w:t>注：提供具有市场监管部门公章的证明材料，并附抽检文件及2份抽样报告的原件扫描件。</w:t>
            </w:r>
          </w:p>
        </w:tc>
      </w:tr>
      <w:tr w14:paraId="624D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4230E9E">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10</w:t>
            </w:r>
          </w:p>
        </w:tc>
        <w:tc>
          <w:tcPr>
            <w:tcW w:w="1134" w:type="dxa"/>
            <w:vAlign w:val="center"/>
          </w:tcPr>
          <w:p w14:paraId="26F485C3">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服务响应能力</w:t>
            </w:r>
          </w:p>
        </w:tc>
        <w:tc>
          <w:tcPr>
            <w:tcW w:w="992" w:type="dxa"/>
            <w:vAlign w:val="center"/>
          </w:tcPr>
          <w:p w14:paraId="14BEFC28">
            <w:pPr>
              <w:spacing w:line="360" w:lineRule="exact"/>
              <w:jc w:val="center"/>
              <w:rPr>
                <w:rFonts w:asciiTheme="minorEastAsia" w:hAnsiTheme="minorEastAsia"/>
                <w:color w:val="auto"/>
                <w:szCs w:val="21"/>
                <w:highlight w:val="none"/>
              </w:rPr>
            </w:pPr>
            <w:r>
              <w:rPr>
                <w:rFonts w:hint="eastAsia" w:eastAsia="宋体" w:cs="宋体"/>
                <w:color w:val="auto"/>
                <w:szCs w:val="21"/>
                <w:highlight w:val="none"/>
              </w:rPr>
              <w:t>3</w:t>
            </w:r>
            <w:r>
              <w:rPr>
                <w:rFonts w:hint="eastAsia" w:ascii="宋体" w:hAnsi="宋体" w:eastAsia="宋体" w:cs="宋体"/>
                <w:color w:val="auto"/>
                <w:szCs w:val="21"/>
                <w:highlight w:val="none"/>
              </w:rPr>
              <w:t>分</w:t>
            </w:r>
          </w:p>
        </w:tc>
        <w:tc>
          <w:tcPr>
            <w:tcW w:w="6095" w:type="dxa"/>
            <w:vAlign w:val="center"/>
          </w:tcPr>
          <w:p w14:paraId="2824249E">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实验室（以检验检测机构资质认定证书地址为准）开车到达采购单位所需时间在</w:t>
            </w:r>
            <w:r>
              <w:rPr>
                <w:rFonts w:hint="eastAsia" w:cs="宋体"/>
                <w:color w:val="auto"/>
                <w:szCs w:val="21"/>
                <w:highlight w:val="none"/>
              </w:rPr>
              <w:t>1</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3</w:t>
            </w:r>
            <w:r>
              <w:rPr>
                <w:rFonts w:hint="eastAsia" w:ascii="宋体" w:hAnsi="宋体" w:eastAsia="宋体" w:cs="宋体"/>
                <w:color w:val="auto"/>
                <w:szCs w:val="21"/>
                <w:highlight w:val="none"/>
              </w:rPr>
              <w:t>分，在</w:t>
            </w:r>
            <w:r>
              <w:rPr>
                <w:rFonts w:hint="eastAsia" w:cs="宋体"/>
                <w:color w:val="auto"/>
                <w:szCs w:val="21"/>
                <w:highlight w:val="none"/>
              </w:rPr>
              <w:t>2</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1</w:t>
            </w:r>
            <w:r>
              <w:rPr>
                <w:rFonts w:hint="eastAsia" w:ascii="宋体" w:hAnsi="宋体" w:eastAsia="宋体" w:cs="宋体"/>
                <w:color w:val="auto"/>
                <w:szCs w:val="21"/>
                <w:highlight w:val="none"/>
              </w:rPr>
              <w:t xml:space="preserve">分，其余不得分；                                 </w:t>
            </w:r>
          </w:p>
          <w:p w14:paraId="3BFB6715">
            <w:pPr>
              <w:widowControl/>
              <w:snapToGrid w:val="0"/>
              <w:spacing w:line="360" w:lineRule="exact"/>
              <w:jc w:val="left"/>
              <w:rPr>
                <w:rFonts w:asciiTheme="minorEastAsia" w:hAnsiTheme="minorEastAsia"/>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val="zh-CN"/>
              </w:rPr>
              <w:t>①</w:t>
            </w:r>
            <w:r>
              <w:rPr>
                <w:rFonts w:hint="eastAsia" w:ascii="宋体" w:hAnsi="宋体" w:eastAsia="宋体" w:cs="宋体"/>
                <w:b/>
                <w:bCs/>
                <w:color w:val="auto"/>
                <w:szCs w:val="21"/>
                <w:highlight w:val="none"/>
              </w:rPr>
              <w:t>提供检验检测机构资质认定证书原件扫描件并加盖公章。</w:t>
            </w:r>
            <w:r>
              <w:rPr>
                <w:rFonts w:hint="eastAsia" w:ascii="宋体" w:hAnsi="宋体" w:eastAsia="宋体" w:cs="宋体"/>
                <w:b/>
                <w:bCs/>
                <w:color w:val="auto"/>
                <w:szCs w:val="21"/>
                <w:highlight w:val="none"/>
                <w:lang w:val="zh-CN"/>
              </w:rPr>
              <w:t>②</w:t>
            </w:r>
            <w:r>
              <w:rPr>
                <w:rFonts w:hint="eastAsia" w:ascii="宋体" w:hAnsi="宋体" w:eastAsia="宋体" w:cs="宋体"/>
                <w:b/>
                <w:bCs/>
                <w:color w:val="auto"/>
                <w:szCs w:val="21"/>
                <w:highlight w:val="none"/>
              </w:rPr>
              <w:t>响应时间以高德地图驾车预计时间为参考，需提供高德地图截图。</w:t>
            </w:r>
            <w:r>
              <w:rPr>
                <w:rFonts w:hint="eastAsia" w:ascii="宋体" w:hAnsi="宋体" w:eastAsia="宋体" w:cs="宋体"/>
                <w:b/>
                <w:bCs/>
                <w:color w:val="auto"/>
                <w:szCs w:val="21"/>
                <w:highlight w:val="none"/>
                <w:lang w:val="zh-CN"/>
              </w:rPr>
              <w:t>证明材料①②两者缺一不可，未提供或提供不完整的不得分。</w:t>
            </w:r>
          </w:p>
        </w:tc>
      </w:tr>
      <w:tr w14:paraId="36DE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F36FC5">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11</w:t>
            </w:r>
          </w:p>
        </w:tc>
        <w:tc>
          <w:tcPr>
            <w:tcW w:w="1134" w:type="dxa"/>
            <w:vAlign w:val="center"/>
          </w:tcPr>
          <w:p w14:paraId="1CD73EB4">
            <w:pPr>
              <w:spacing w:line="360" w:lineRule="exact"/>
              <w:jc w:val="center"/>
              <w:rPr>
                <w:rFonts w:asciiTheme="minorEastAsia" w:hAnsiTheme="minorEastAsia"/>
                <w:color w:val="auto"/>
                <w:szCs w:val="21"/>
                <w:highlight w:val="none"/>
              </w:rPr>
            </w:pPr>
            <w:r>
              <w:rPr>
                <w:rFonts w:hint="eastAsia" w:ascii="宋体" w:hAnsi="宋体" w:eastAsia="宋体" w:cs="宋体"/>
                <w:color w:val="auto"/>
                <w:szCs w:val="21"/>
                <w:highlight w:val="none"/>
              </w:rPr>
              <w:t>售后服务</w:t>
            </w:r>
          </w:p>
        </w:tc>
        <w:tc>
          <w:tcPr>
            <w:tcW w:w="992" w:type="dxa"/>
            <w:vAlign w:val="center"/>
          </w:tcPr>
          <w:p w14:paraId="170BD046">
            <w:pPr>
              <w:spacing w:line="360" w:lineRule="exact"/>
              <w:jc w:val="center"/>
              <w:rPr>
                <w:rFonts w:asciiTheme="minorEastAsia" w:hAnsiTheme="minorEastAsia"/>
                <w:color w:val="auto"/>
                <w:szCs w:val="21"/>
                <w:highlight w:val="none"/>
              </w:rPr>
            </w:pPr>
            <w:r>
              <w:rPr>
                <w:rFonts w:hint="eastAsia" w:eastAsia="宋体" w:cs="宋体"/>
                <w:color w:val="auto"/>
                <w:szCs w:val="21"/>
                <w:highlight w:val="none"/>
              </w:rPr>
              <w:t>4</w:t>
            </w:r>
            <w:r>
              <w:rPr>
                <w:rFonts w:hint="eastAsia" w:ascii="宋体" w:hAnsi="宋体" w:eastAsia="宋体" w:cs="宋体"/>
                <w:color w:val="auto"/>
                <w:szCs w:val="21"/>
                <w:highlight w:val="none"/>
              </w:rPr>
              <w:t>分</w:t>
            </w:r>
          </w:p>
        </w:tc>
        <w:tc>
          <w:tcPr>
            <w:tcW w:w="6095" w:type="dxa"/>
            <w:vAlign w:val="center"/>
          </w:tcPr>
          <w:p w14:paraId="7A8B457C">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1、后续服务方案（0-2分）</w:t>
            </w:r>
          </w:p>
          <w:p w14:paraId="52206F06">
            <w:pPr>
              <w:tabs>
                <w:tab w:val="left" w:pos="1080"/>
              </w:tabs>
              <w:spacing w:line="360" w:lineRule="exact"/>
              <w:rPr>
                <w:rFonts w:asciiTheme="minorEastAsia" w:hAnsiTheme="minorEastAsia"/>
                <w:color w:val="auto"/>
                <w:szCs w:val="21"/>
                <w:highlight w:val="none"/>
              </w:rPr>
            </w:pPr>
            <w:r>
              <w:rPr>
                <w:rFonts w:hint="eastAsia" w:ascii="宋体" w:hAnsi="宋体" w:eastAsia="宋体" w:cs="宋体"/>
                <w:color w:val="auto"/>
                <w:szCs w:val="21"/>
                <w:highlight w:val="none"/>
              </w:rPr>
              <w:t>2、供应商提出的对采购项目有建设性的承诺</w:t>
            </w:r>
            <w:r>
              <w:rPr>
                <w:rFonts w:hint="eastAsia" w:eastAsia="宋体" w:cs="宋体"/>
                <w:color w:val="auto"/>
                <w:szCs w:val="21"/>
                <w:highlight w:val="none"/>
              </w:rPr>
              <w:t>（0-2</w:t>
            </w:r>
            <w:r>
              <w:rPr>
                <w:rFonts w:hint="eastAsia" w:ascii="宋体" w:hAnsi="宋体" w:eastAsia="宋体" w:cs="宋体"/>
                <w:color w:val="auto"/>
                <w:szCs w:val="21"/>
                <w:highlight w:val="none"/>
              </w:rPr>
              <w:t>分）</w:t>
            </w:r>
          </w:p>
        </w:tc>
      </w:tr>
    </w:tbl>
    <w:p w14:paraId="41CAE2E1">
      <w:pPr>
        <w:spacing w:line="360" w:lineRule="auto"/>
        <w:ind w:firstLine="424" w:firstLineChars="202"/>
        <w:rPr>
          <w:rFonts w:ascii="宋体" w:hAnsi="宋体"/>
          <w:color w:val="auto"/>
          <w:szCs w:val="21"/>
          <w:highlight w:val="none"/>
        </w:rPr>
      </w:pPr>
    </w:p>
    <w:p w14:paraId="26FAB1D0">
      <w:pPr>
        <w:spacing w:line="360" w:lineRule="auto"/>
        <w:ind w:firstLine="424" w:firstLineChars="202"/>
        <w:rPr>
          <w:rFonts w:ascii="宋体" w:hAnsi="宋体"/>
          <w:color w:val="auto"/>
          <w:szCs w:val="21"/>
          <w:highlight w:val="none"/>
        </w:rPr>
      </w:pPr>
      <w:r>
        <w:rPr>
          <w:rFonts w:ascii="宋体" w:hAnsi="宋体"/>
          <w:color w:val="auto"/>
          <w:szCs w:val="21"/>
          <w:highlight w:val="none"/>
        </w:rPr>
        <w:t>标二技术资信分值（</w:t>
      </w:r>
      <w:r>
        <w:rPr>
          <w:rFonts w:hint="eastAsia" w:ascii="宋体" w:hAnsi="宋体"/>
          <w:color w:val="auto"/>
          <w:szCs w:val="21"/>
          <w:highlight w:val="none"/>
        </w:rPr>
        <w:t>80分）</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23"/>
        <w:gridCol w:w="680"/>
        <w:gridCol w:w="6095"/>
      </w:tblGrid>
      <w:tr w14:paraId="450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4" w:type="dxa"/>
            <w:vAlign w:val="center"/>
          </w:tcPr>
          <w:p w14:paraId="682E6BF9">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序号</w:t>
            </w:r>
          </w:p>
        </w:tc>
        <w:tc>
          <w:tcPr>
            <w:tcW w:w="1523" w:type="dxa"/>
            <w:vAlign w:val="center"/>
          </w:tcPr>
          <w:p w14:paraId="3AED3C32">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评审项目</w:t>
            </w:r>
          </w:p>
        </w:tc>
        <w:tc>
          <w:tcPr>
            <w:tcW w:w="680" w:type="dxa"/>
            <w:vAlign w:val="center"/>
          </w:tcPr>
          <w:p w14:paraId="734B535E">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分值</w:t>
            </w:r>
          </w:p>
        </w:tc>
        <w:tc>
          <w:tcPr>
            <w:tcW w:w="6095" w:type="dxa"/>
            <w:vAlign w:val="center"/>
          </w:tcPr>
          <w:p w14:paraId="505DFF0F">
            <w:pPr>
              <w:spacing w:line="276"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评分标准</w:t>
            </w:r>
          </w:p>
        </w:tc>
      </w:tr>
      <w:tr w14:paraId="17E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C36DB74">
            <w:pPr>
              <w:spacing w:line="360" w:lineRule="auto"/>
              <w:jc w:val="center"/>
              <w:rPr>
                <w:color w:val="auto"/>
                <w:highlight w:val="none"/>
              </w:rPr>
            </w:pPr>
            <w:r>
              <w:rPr>
                <w:rFonts w:hint="eastAsia"/>
                <w:color w:val="auto"/>
                <w:highlight w:val="none"/>
              </w:rPr>
              <w:t>1</w:t>
            </w:r>
          </w:p>
        </w:tc>
        <w:tc>
          <w:tcPr>
            <w:tcW w:w="1523" w:type="dxa"/>
            <w:vAlign w:val="center"/>
          </w:tcPr>
          <w:p w14:paraId="017C7B17">
            <w:pPr>
              <w:spacing w:line="360" w:lineRule="auto"/>
              <w:jc w:val="center"/>
              <w:rPr>
                <w:rStyle w:val="224"/>
                <w:rFonts w:ascii="宋体" w:hAnsi="宋体" w:eastAsia="宋体" w:cs="宋体"/>
                <w:b/>
                <w:bCs/>
                <w:color w:val="auto"/>
                <w:szCs w:val="21"/>
                <w:highlight w:val="none"/>
              </w:rPr>
            </w:pPr>
            <w:r>
              <w:rPr>
                <w:rFonts w:hint="eastAsia" w:ascii="宋体" w:hAnsi="宋体" w:eastAsia="宋体" w:cs="宋体"/>
                <w:b/>
                <w:bCs/>
                <w:color w:val="auto"/>
                <w:szCs w:val="21"/>
                <w:highlight w:val="none"/>
              </w:rPr>
              <w:t>类似业绩</w:t>
            </w:r>
          </w:p>
        </w:tc>
        <w:tc>
          <w:tcPr>
            <w:tcW w:w="680" w:type="dxa"/>
            <w:vAlign w:val="center"/>
          </w:tcPr>
          <w:p w14:paraId="7EED9EE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2分</w:t>
            </w:r>
          </w:p>
        </w:tc>
        <w:tc>
          <w:tcPr>
            <w:tcW w:w="6095" w:type="dxa"/>
            <w:vAlign w:val="center"/>
          </w:tcPr>
          <w:p w14:paraId="501D4337">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供应商提供自2021年至今类似项目业绩（业绩合同中必须含有快速检测内容，否则不计入类似业绩），每提供一份业绩合同（以合同复印件为准）得1分，</w:t>
            </w:r>
            <w:r>
              <w:rPr>
                <w:rFonts w:hint="eastAsia" w:asciiTheme="minorEastAsia" w:hAnsiTheme="minorEastAsia"/>
                <w:color w:val="auto"/>
                <w:szCs w:val="21"/>
                <w:highlight w:val="none"/>
              </w:rPr>
              <w:t>加满2分为止</w:t>
            </w:r>
            <w:r>
              <w:rPr>
                <w:rFonts w:hint="eastAsia" w:ascii="宋体" w:hAnsi="宋体" w:eastAsia="宋体" w:cs="宋体"/>
                <w:color w:val="auto"/>
                <w:szCs w:val="21"/>
                <w:highlight w:val="none"/>
              </w:rPr>
              <w:t>。</w:t>
            </w:r>
          </w:p>
          <w:p w14:paraId="09BFE92B">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注：以合同签订时间为准，</w:t>
            </w:r>
            <w:r>
              <w:rPr>
                <w:rFonts w:hint="eastAsia" w:asciiTheme="minorEastAsia" w:hAnsiTheme="minorEastAsia"/>
                <w:b/>
                <w:bCs/>
                <w:color w:val="auto"/>
                <w:szCs w:val="21"/>
                <w:highlight w:val="none"/>
              </w:rPr>
              <w:t>投标文件中放置合同及中标通知书原件扫描件加盖投标单位电子公章，未提供的不予计分。</w:t>
            </w:r>
          </w:p>
        </w:tc>
      </w:tr>
      <w:tr w14:paraId="6BC8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FB79629">
            <w:pPr>
              <w:spacing w:line="360" w:lineRule="auto"/>
              <w:jc w:val="center"/>
              <w:rPr>
                <w:color w:val="auto"/>
                <w:highlight w:val="none"/>
              </w:rPr>
            </w:pPr>
            <w:r>
              <w:rPr>
                <w:rFonts w:hint="eastAsia"/>
                <w:color w:val="auto"/>
                <w:highlight w:val="none"/>
              </w:rPr>
              <w:t>2</w:t>
            </w:r>
          </w:p>
        </w:tc>
        <w:tc>
          <w:tcPr>
            <w:tcW w:w="1523" w:type="dxa"/>
            <w:vAlign w:val="center"/>
          </w:tcPr>
          <w:p w14:paraId="7B8ECA37">
            <w:pPr>
              <w:spacing w:line="360" w:lineRule="auto"/>
              <w:jc w:val="center"/>
              <w:rPr>
                <w:rFonts w:ascii="宋体" w:hAnsi="宋体" w:eastAsia="宋体" w:cs="宋体"/>
                <w:color w:val="auto"/>
                <w:szCs w:val="21"/>
                <w:highlight w:val="none"/>
              </w:rPr>
            </w:pPr>
            <w:r>
              <w:rPr>
                <w:rStyle w:val="224"/>
                <w:rFonts w:hint="eastAsia" w:ascii="宋体" w:hAnsi="宋体" w:eastAsia="宋体" w:cs="宋体"/>
                <w:b/>
                <w:bCs/>
                <w:color w:val="auto"/>
                <w:szCs w:val="21"/>
                <w:highlight w:val="none"/>
              </w:rPr>
              <w:t>项目理解及现状分析</w:t>
            </w:r>
          </w:p>
        </w:tc>
        <w:tc>
          <w:tcPr>
            <w:tcW w:w="680" w:type="dxa"/>
            <w:vAlign w:val="center"/>
          </w:tcPr>
          <w:p w14:paraId="2391344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6095" w:type="dxa"/>
            <w:vAlign w:val="center"/>
          </w:tcPr>
          <w:p w14:paraId="66F98ADF">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对项目背景以及项目工作目标的总体理解与认识</w:t>
            </w:r>
          </w:p>
        </w:tc>
      </w:tr>
      <w:tr w14:paraId="4310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674D44B">
            <w:pPr>
              <w:spacing w:line="360" w:lineRule="auto"/>
              <w:jc w:val="center"/>
              <w:rPr>
                <w:color w:val="auto"/>
                <w:highlight w:val="none"/>
              </w:rPr>
            </w:pPr>
            <w:r>
              <w:rPr>
                <w:rFonts w:hint="eastAsia"/>
                <w:color w:val="auto"/>
                <w:highlight w:val="none"/>
              </w:rPr>
              <w:t>3</w:t>
            </w:r>
          </w:p>
        </w:tc>
        <w:tc>
          <w:tcPr>
            <w:tcW w:w="1523" w:type="dxa"/>
            <w:vAlign w:val="center"/>
          </w:tcPr>
          <w:p w14:paraId="15DF04BF">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lang w:val="zh-CN"/>
              </w:rPr>
              <w:t>项目实施方案</w:t>
            </w:r>
          </w:p>
        </w:tc>
        <w:tc>
          <w:tcPr>
            <w:tcW w:w="680" w:type="dxa"/>
            <w:vAlign w:val="center"/>
          </w:tcPr>
          <w:p w14:paraId="13F1E811">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12分</w:t>
            </w:r>
          </w:p>
        </w:tc>
        <w:tc>
          <w:tcPr>
            <w:tcW w:w="6095" w:type="dxa"/>
            <w:vAlign w:val="center"/>
          </w:tcPr>
          <w:p w14:paraId="4A9ACF7A">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根据供应商针对本项目提供的项目实施方案</w:t>
            </w:r>
          </w:p>
          <w:p w14:paraId="666E5075">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①工作流程（</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3C46739F">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②工作方法（</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2DC1B03C">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③实验室管理制度（</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3040AA4D">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④进度计划安排（</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218E2F67">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⑤人员组织管理（</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642DB175">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⑥应对突发状况的预防处理措施（</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tc>
      </w:tr>
      <w:tr w14:paraId="2082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B0B4921">
            <w:pPr>
              <w:spacing w:line="360" w:lineRule="auto"/>
              <w:jc w:val="center"/>
              <w:rPr>
                <w:color w:val="auto"/>
                <w:highlight w:val="none"/>
              </w:rPr>
            </w:pPr>
            <w:r>
              <w:rPr>
                <w:rFonts w:hint="eastAsia"/>
                <w:color w:val="auto"/>
                <w:highlight w:val="none"/>
              </w:rPr>
              <w:t>4</w:t>
            </w:r>
          </w:p>
        </w:tc>
        <w:tc>
          <w:tcPr>
            <w:tcW w:w="1523" w:type="dxa"/>
            <w:vAlign w:val="center"/>
          </w:tcPr>
          <w:p w14:paraId="06FFB4AE">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检测方案</w:t>
            </w:r>
          </w:p>
        </w:tc>
        <w:tc>
          <w:tcPr>
            <w:tcW w:w="680" w:type="dxa"/>
            <w:vAlign w:val="center"/>
          </w:tcPr>
          <w:p w14:paraId="16EA8C23">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18分</w:t>
            </w:r>
          </w:p>
        </w:tc>
        <w:tc>
          <w:tcPr>
            <w:tcW w:w="6095" w:type="dxa"/>
            <w:vAlign w:val="center"/>
          </w:tcPr>
          <w:p w14:paraId="4D0D63CE">
            <w:pPr>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zh-CN"/>
              </w:rPr>
              <w:t>根据供应商针对本项目提供的检测方案。（</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p>
          <w:p w14:paraId="78DF95B9">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zh-CN"/>
              </w:rPr>
              <w:t>提供成品油快检的能力和设备（</w:t>
            </w:r>
            <w:r>
              <w:rPr>
                <w:rFonts w:hint="eastAsia" w:ascii="宋体" w:hAnsi="宋体" w:eastAsia="宋体" w:cs="宋体"/>
                <w:color w:val="auto"/>
                <w:szCs w:val="21"/>
                <w:highlight w:val="none"/>
              </w:rPr>
              <w:t>包括人员、资质、设备等</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及快检实施方案。</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p>
        </w:tc>
      </w:tr>
      <w:tr w14:paraId="406F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D3AACA">
            <w:pPr>
              <w:spacing w:line="360" w:lineRule="auto"/>
              <w:jc w:val="center"/>
              <w:rPr>
                <w:color w:val="auto"/>
                <w:highlight w:val="none"/>
              </w:rPr>
            </w:pPr>
            <w:r>
              <w:rPr>
                <w:rFonts w:hint="eastAsia"/>
                <w:color w:val="auto"/>
                <w:highlight w:val="none"/>
              </w:rPr>
              <w:t>5</w:t>
            </w:r>
          </w:p>
        </w:tc>
        <w:tc>
          <w:tcPr>
            <w:tcW w:w="1523" w:type="dxa"/>
            <w:vAlign w:val="center"/>
          </w:tcPr>
          <w:p w14:paraId="239E4EA6">
            <w:pPr>
              <w:spacing w:line="360" w:lineRule="auto"/>
              <w:jc w:val="center"/>
              <w:rPr>
                <w:rFonts w:ascii="宋体" w:hAnsi="宋体" w:eastAsia="宋体" w:cs="宋体"/>
                <w:color w:val="auto"/>
                <w:szCs w:val="21"/>
                <w:highlight w:val="none"/>
              </w:rPr>
            </w:pPr>
            <w:r>
              <w:rPr>
                <w:rStyle w:val="224"/>
                <w:rFonts w:hint="eastAsia" w:ascii="宋体" w:hAnsi="宋体" w:eastAsia="宋体" w:cs="宋体"/>
                <w:b/>
                <w:bCs/>
                <w:color w:val="auto"/>
                <w:szCs w:val="21"/>
                <w:highlight w:val="none"/>
              </w:rPr>
              <w:t>服务质量保证措施</w:t>
            </w:r>
          </w:p>
        </w:tc>
        <w:tc>
          <w:tcPr>
            <w:tcW w:w="680" w:type="dxa"/>
            <w:vAlign w:val="center"/>
          </w:tcPr>
          <w:p w14:paraId="5EBB8D0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095" w:type="dxa"/>
            <w:vAlign w:val="center"/>
          </w:tcPr>
          <w:p w14:paraId="6DB27BE3">
            <w:pPr>
              <w:pStyle w:val="69"/>
              <w:spacing w:line="360" w:lineRule="auto"/>
              <w:rPr>
                <w:rFonts w:ascii="宋体" w:hAnsi="宋体" w:cs="宋体"/>
                <w:color w:val="auto"/>
                <w:szCs w:val="21"/>
                <w:highlight w:val="none"/>
              </w:rPr>
            </w:pPr>
            <w:r>
              <w:rPr>
                <w:rFonts w:hint="eastAsia" w:ascii="宋体" w:hAnsi="宋体" w:cs="宋体"/>
                <w:bCs/>
                <w:color w:val="auto"/>
                <w:szCs w:val="21"/>
                <w:highlight w:val="none"/>
                <w:lang w:val="zh-CN"/>
              </w:rPr>
              <w:t>结合本项目实际情况，</w:t>
            </w:r>
            <w:r>
              <w:rPr>
                <w:rFonts w:hint="eastAsia" w:ascii="宋体" w:hAnsi="宋体" w:cs="宋体"/>
                <w:bCs/>
                <w:color w:val="auto"/>
                <w:szCs w:val="21"/>
                <w:highlight w:val="none"/>
              </w:rPr>
              <w:t>制定</w:t>
            </w:r>
            <w:r>
              <w:rPr>
                <w:rFonts w:hint="eastAsia" w:ascii="宋体" w:hAnsi="宋体" w:cs="宋体"/>
                <w:bCs/>
                <w:color w:val="auto"/>
                <w:szCs w:val="21"/>
                <w:highlight w:val="none"/>
                <w:lang w:val="zh-CN"/>
              </w:rPr>
              <w:t>服务质量保证措施</w:t>
            </w:r>
          </w:p>
        </w:tc>
      </w:tr>
      <w:tr w14:paraId="4BC6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1ED98CF">
            <w:pPr>
              <w:spacing w:line="360" w:lineRule="auto"/>
              <w:jc w:val="center"/>
              <w:rPr>
                <w:color w:val="auto"/>
                <w:highlight w:val="none"/>
              </w:rPr>
            </w:pPr>
            <w:r>
              <w:rPr>
                <w:rFonts w:hint="eastAsia"/>
                <w:color w:val="auto"/>
                <w:highlight w:val="none"/>
              </w:rPr>
              <w:t>6</w:t>
            </w:r>
          </w:p>
        </w:tc>
        <w:tc>
          <w:tcPr>
            <w:tcW w:w="1523" w:type="dxa"/>
            <w:vAlign w:val="center"/>
          </w:tcPr>
          <w:p w14:paraId="138884F1">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lang w:val="zh-CN"/>
              </w:rPr>
              <w:t>拟投入本项目检测的相关设备</w:t>
            </w:r>
          </w:p>
        </w:tc>
        <w:tc>
          <w:tcPr>
            <w:tcW w:w="680" w:type="dxa"/>
            <w:vAlign w:val="center"/>
          </w:tcPr>
          <w:p w14:paraId="6FD10762">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6095" w:type="dxa"/>
            <w:vAlign w:val="center"/>
          </w:tcPr>
          <w:p w14:paraId="7160C4D4">
            <w:pPr>
              <w:widowControl/>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根据投入的具有符合检测要求的仪器设备</w:t>
            </w:r>
          </w:p>
          <w:p w14:paraId="6FE27AC1">
            <w:pPr>
              <w:widowControl/>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①检测设备数量（</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01EBE324">
            <w:pPr>
              <w:widowControl/>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②先进程度（</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48B90DA1">
            <w:pPr>
              <w:widowControl/>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③检测能力（</w:t>
            </w:r>
            <w:r>
              <w:rPr>
                <w:rFonts w:hint="eastAsia" w:ascii="宋体" w:hAnsi="宋体" w:eastAsia="宋体" w:cs="宋体"/>
                <w:color w:val="auto"/>
                <w:szCs w:val="21"/>
                <w:highlight w:val="none"/>
              </w:rPr>
              <w:t>0-2分</w:t>
            </w:r>
            <w:r>
              <w:rPr>
                <w:rFonts w:hint="eastAsia" w:ascii="宋体" w:hAnsi="宋体" w:eastAsia="宋体" w:cs="宋体"/>
                <w:color w:val="auto"/>
                <w:szCs w:val="21"/>
                <w:highlight w:val="none"/>
                <w:lang w:val="zh-CN"/>
              </w:rPr>
              <w:t>）</w:t>
            </w:r>
          </w:p>
          <w:p w14:paraId="511C41DD">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注：以提供仪器设备的发票、</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zh-CN"/>
              </w:rPr>
              <w:t>图片及校准证书等</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val="zh-CN"/>
              </w:rPr>
              <w:t>复印件为准。</w:t>
            </w:r>
          </w:p>
        </w:tc>
      </w:tr>
      <w:tr w14:paraId="3362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9EC4ECF">
            <w:pPr>
              <w:spacing w:line="360" w:lineRule="auto"/>
              <w:jc w:val="center"/>
              <w:rPr>
                <w:color w:val="auto"/>
                <w:highlight w:val="none"/>
              </w:rPr>
            </w:pPr>
            <w:r>
              <w:rPr>
                <w:rFonts w:hint="eastAsia"/>
                <w:color w:val="auto"/>
                <w:highlight w:val="none"/>
              </w:rPr>
              <w:t>7</w:t>
            </w:r>
          </w:p>
        </w:tc>
        <w:tc>
          <w:tcPr>
            <w:tcW w:w="1523" w:type="dxa"/>
            <w:vAlign w:val="center"/>
          </w:tcPr>
          <w:p w14:paraId="4B2E172F">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拟投入本项目人员</w:t>
            </w:r>
          </w:p>
        </w:tc>
        <w:tc>
          <w:tcPr>
            <w:tcW w:w="680" w:type="dxa"/>
            <w:vAlign w:val="center"/>
          </w:tcPr>
          <w:p w14:paraId="5EEF8335">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6095" w:type="dxa"/>
            <w:vAlign w:val="center"/>
          </w:tcPr>
          <w:p w14:paraId="2E3B256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p w14:paraId="3A526B7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zh-CN"/>
              </w:rPr>
              <w:t>拟派项目实施服务人员情况，实验室专业检测分析人员每提供1人得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分；外业数据采集人员每提供1人得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分，本项最高得</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分。</w:t>
            </w:r>
            <w:r>
              <w:rPr>
                <w:rFonts w:hint="eastAsia" w:ascii="宋体" w:hAnsi="宋体" w:eastAsia="宋体" w:cs="宋体"/>
                <w:b/>
                <w:bCs/>
                <w:snapToGrid w:val="0"/>
                <w:color w:val="auto"/>
                <w:kern w:val="0"/>
                <w:szCs w:val="21"/>
                <w:highlight w:val="none"/>
              </w:rPr>
              <w:t>（采样人员不得与检测人员（技术人员）及项目负责人重复，提供上岗证明复印件及社保机构出具的由本单位或分公司为其缴纳的近3个月的社保证明，否则不得分。）</w:t>
            </w:r>
          </w:p>
        </w:tc>
      </w:tr>
      <w:tr w14:paraId="1C26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4" w:type="dxa"/>
            <w:vAlign w:val="center"/>
          </w:tcPr>
          <w:p w14:paraId="1FBD3E70">
            <w:pPr>
              <w:spacing w:line="360" w:lineRule="auto"/>
              <w:jc w:val="center"/>
              <w:rPr>
                <w:color w:val="auto"/>
                <w:highlight w:val="none"/>
              </w:rPr>
            </w:pPr>
            <w:r>
              <w:rPr>
                <w:rFonts w:hint="eastAsia"/>
                <w:color w:val="auto"/>
                <w:highlight w:val="none"/>
              </w:rPr>
              <w:t>8</w:t>
            </w:r>
          </w:p>
        </w:tc>
        <w:tc>
          <w:tcPr>
            <w:tcW w:w="1523" w:type="dxa"/>
            <w:vAlign w:val="center"/>
          </w:tcPr>
          <w:p w14:paraId="410D53CA">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安全保障措施</w:t>
            </w:r>
          </w:p>
        </w:tc>
        <w:tc>
          <w:tcPr>
            <w:tcW w:w="680" w:type="dxa"/>
            <w:vAlign w:val="center"/>
          </w:tcPr>
          <w:p w14:paraId="5E24C76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095" w:type="dxa"/>
            <w:vAlign w:val="center"/>
          </w:tcPr>
          <w:p w14:paraId="26049874">
            <w:pPr>
              <w:pStyle w:val="69"/>
              <w:spacing w:line="360" w:lineRule="auto"/>
              <w:rPr>
                <w:rFonts w:ascii="宋体" w:hAnsi="宋体" w:cs="宋体"/>
                <w:color w:val="auto"/>
                <w:szCs w:val="21"/>
                <w:highlight w:val="none"/>
              </w:rPr>
            </w:pPr>
            <w:r>
              <w:rPr>
                <w:rFonts w:hint="eastAsia" w:ascii="宋体" w:hAnsi="宋体" w:cs="宋体"/>
                <w:bCs/>
                <w:color w:val="auto"/>
                <w:szCs w:val="21"/>
                <w:highlight w:val="none"/>
              </w:rPr>
              <w:t>服务过程中样品、人身等安全保证措施</w:t>
            </w:r>
          </w:p>
        </w:tc>
      </w:tr>
      <w:tr w14:paraId="14D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96B4494">
            <w:pPr>
              <w:spacing w:line="360" w:lineRule="auto"/>
              <w:jc w:val="center"/>
              <w:rPr>
                <w:color w:val="auto"/>
                <w:highlight w:val="none"/>
              </w:rPr>
            </w:pPr>
            <w:r>
              <w:rPr>
                <w:rFonts w:hint="eastAsia"/>
                <w:color w:val="auto"/>
                <w:highlight w:val="none"/>
              </w:rPr>
              <w:t>9</w:t>
            </w:r>
          </w:p>
        </w:tc>
        <w:tc>
          <w:tcPr>
            <w:tcW w:w="1523" w:type="dxa"/>
            <w:vAlign w:val="center"/>
          </w:tcPr>
          <w:p w14:paraId="4CF93A29">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保密措施</w:t>
            </w:r>
          </w:p>
        </w:tc>
        <w:tc>
          <w:tcPr>
            <w:tcW w:w="680" w:type="dxa"/>
            <w:vAlign w:val="center"/>
          </w:tcPr>
          <w:p w14:paraId="065AD0B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095" w:type="dxa"/>
            <w:vAlign w:val="center"/>
          </w:tcPr>
          <w:p w14:paraId="746C6741">
            <w:pPr>
              <w:pStyle w:val="69"/>
              <w:spacing w:line="360" w:lineRule="auto"/>
              <w:rPr>
                <w:rFonts w:ascii="宋体" w:hAnsi="宋体" w:cs="宋体"/>
                <w:color w:val="auto"/>
                <w:szCs w:val="21"/>
                <w:highlight w:val="none"/>
              </w:rPr>
            </w:pPr>
            <w:r>
              <w:rPr>
                <w:rFonts w:hint="eastAsia" w:ascii="宋体" w:hAnsi="宋体" w:cs="宋体"/>
                <w:bCs/>
                <w:color w:val="auto"/>
                <w:szCs w:val="21"/>
                <w:highlight w:val="none"/>
                <w:lang w:val="zh-CN"/>
              </w:rPr>
              <w:t>保密措施，保证</w:t>
            </w:r>
            <w:r>
              <w:rPr>
                <w:rFonts w:hint="eastAsia" w:ascii="宋体" w:hAnsi="宋体" w:cs="宋体"/>
                <w:bCs/>
                <w:color w:val="auto"/>
                <w:szCs w:val="21"/>
                <w:highlight w:val="none"/>
              </w:rPr>
              <w:t>相关</w:t>
            </w:r>
            <w:r>
              <w:rPr>
                <w:rFonts w:hint="eastAsia" w:ascii="宋体" w:hAnsi="宋体" w:cs="宋体"/>
                <w:bCs/>
                <w:color w:val="auto"/>
                <w:szCs w:val="21"/>
                <w:highlight w:val="none"/>
                <w:lang w:val="zh-CN"/>
              </w:rPr>
              <w:t>信息、</w:t>
            </w:r>
            <w:r>
              <w:rPr>
                <w:rFonts w:hint="eastAsia" w:ascii="宋体" w:hAnsi="宋体" w:cs="宋体"/>
                <w:bCs/>
                <w:color w:val="auto"/>
                <w:szCs w:val="21"/>
                <w:highlight w:val="none"/>
              </w:rPr>
              <w:t>数据安全。</w:t>
            </w:r>
          </w:p>
        </w:tc>
      </w:tr>
      <w:tr w14:paraId="1AC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68B0444">
            <w:pPr>
              <w:spacing w:line="360" w:lineRule="auto"/>
              <w:jc w:val="center"/>
              <w:rPr>
                <w:color w:val="auto"/>
                <w:highlight w:val="none"/>
              </w:rPr>
            </w:pPr>
            <w:r>
              <w:rPr>
                <w:rFonts w:hint="eastAsia"/>
                <w:color w:val="auto"/>
                <w:highlight w:val="none"/>
              </w:rPr>
              <w:t>10</w:t>
            </w:r>
          </w:p>
        </w:tc>
        <w:tc>
          <w:tcPr>
            <w:tcW w:w="1523" w:type="dxa"/>
            <w:vAlign w:val="center"/>
          </w:tcPr>
          <w:p w14:paraId="34F70A81">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lang w:val="zh-CN"/>
              </w:rPr>
              <w:t>增值服务</w:t>
            </w:r>
          </w:p>
        </w:tc>
        <w:tc>
          <w:tcPr>
            <w:tcW w:w="680" w:type="dxa"/>
            <w:vAlign w:val="center"/>
          </w:tcPr>
          <w:p w14:paraId="4884B3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6095" w:type="dxa"/>
            <w:vAlign w:val="center"/>
          </w:tcPr>
          <w:p w14:paraId="66897C5A">
            <w:pPr>
              <w:spacing w:line="360" w:lineRule="auto"/>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针对本项目实际需求，能提供以下服务：</w:t>
            </w:r>
            <w:r>
              <w:rPr>
                <w:rFonts w:hint="eastAsia" w:ascii="宋体" w:hAnsi="宋体" w:eastAsia="宋体" w:cs="宋体"/>
                <w:bCs/>
                <w:color w:val="auto"/>
                <w:szCs w:val="21"/>
                <w:highlight w:val="none"/>
                <w:lang w:val="zh-CN"/>
              </w:rPr>
              <w:br w:type="textWrapping"/>
            </w:r>
            <w:r>
              <w:rPr>
                <w:rFonts w:hint="eastAsia" w:ascii="宋体" w:hAnsi="宋体" w:eastAsia="宋体" w:cs="宋体"/>
                <w:bCs/>
                <w:color w:val="auto"/>
                <w:szCs w:val="21"/>
                <w:highlight w:val="none"/>
                <w:lang w:val="zh-CN"/>
              </w:rPr>
              <w:t>①提供抽检结果分析报告（</w:t>
            </w:r>
            <w:r>
              <w:rPr>
                <w:rFonts w:hint="eastAsia" w:ascii="宋体" w:hAnsi="宋体" w:eastAsia="宋体" w:cs="宋体"/>
                <w:bCs/>
                <w:color w:val="auto"/>
                <w:szCs w:val="21"/>
                <w:highlight w:val="none"/>
              </w:rPr>
              <w:t>0-2分</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zh-CN"/>
              </w:rPr>
              <w:br w:type="textWrapping"/>
            </w:r>
            <w:r>
              <w:rPr>
                <w:rFonts w:hint="eastAsia" w:ascii="宋体" w:hAnsi="宋体" w:eastAsia="宋体" w:cs="宋体"/>
                <w:bCs/>
                <w:color w:val="auto"/>
                <w:szCs w:val="21"/>
                <w:highlight w:val="none"/>
                <w:lang w:val="zh-CN"/>
              </w:rPr>
              <w:t>②提供检验报告整理汇编（</w:t>
            </w:r>
            <w:r>
              <w:rPr>
                <w:rFonts w:hint="eastAsia" w:ascii="宋体" w:hAnsi="宋体" w:eastAsia="宋体" w:cs="宋体"/>
                <w:bCs/>
                <w:color w:val="auto"/>
                <w:szCs w:val="21"/>
                <w:highlight w:val="none"/>
              </w:rPr>
              <w:t>0-2分</w:t>
            </w:r>
            <w:r>
              <w:rPr>
                <w:rFonts w:hint="eastAsia" w:ascii="宋体" w:hAnsi="宋体" w:eastAsia="宋体" w:cs="宋体"/>
                <w:bCs/>
                <w:color w:val="auto"/>
                <w:szCs w:val="21"/>
                <w:highlight w:val="none"/>
                <w:lang w:val="zh-CN"/>
              </w:rPr>
              <w:t>）</w:t>
            </w:r>
          </w:p>
          <w:p w14:paraId="6DF63910">
            <w:pPr>
              <w:pStyle w:val="21"/>
              <w:spacing w:line="360" w:lineRule="auto"/>
              <w:ind w:firstLine="0"/>
              <w:rPr>
                <w:rFonts w:ascii="宋体" w:hAnsi="宋体" w:cs="宋体"/>
                <w:bCs/>
                <w:color w:val="auto"/>
                <w:szCs w:val="21"/>
                <w:highlight w:val="none"/>
                <w:lang w:val="zh-CN"/>
              </w:rPr>
            </w:pPr>
            <w:r>
              <w:rPr>
                <w:rFonts w:hint="eastAsia" w:ascii="宋体" w:hAnsi="宋体" w:cs="宋体"/>
                <w:bCs/>
                <w:color w:val="auto"/>
                <w:szCs w:val="21"/>
                <w:highlight w:val="none"/>
                <w:lang w:val="zh-CN"/>
              </w:rPr>
              <w:t>③提供抽检工作宣传视频（</w:t>
            </w:r>
            <w:r>
              <w:rPr>
                <w:rFonts w:hint="eastAsia" w:ascii="宋体" w:hAnsi="宋体" w:cs="宋体"/>
                <w:bCs/>
                <w:color w:val="auto"/>
                <w:szCs w:val="21"/>
                <w:highlight w:val="none"/>
              </w:rPr>
              <w:t>0-2分</w:t>
            </w:r>
            <w:r>
              <w:rPr>
                <w:rFonts w:hint="eastAsia" w:ascii="宋体" w:hAnsi="宋体" w:cs="宋体"/>
                <w:bCs/>
                <w:color w:val="auto"/>
                <w:szCs w:val="21"/>
                <w:highlight w:val="none"/>
                <w:lang w:val="zh-CN"/>
              </w:rPr>
              <w:t>）</w:t>
            </w:r>
          </w:p>
          <w:p w14:paraId="0781F466">
            <w:pPr>
              <w:pStyle w:val="21"/>
              <w:spacing w:line="360" w:lineRule="auto"/>
              <w:ind w:firstLine="0"/>
              <w:rPr>
                <w:rFonts w:ascii="宋体" w:hAnsi="宋体" w:cs="宋体"/>
                <w:color w:val="auto"/>
                <w:szCs w:val="21"/>
                <w:highlight w:val="none"/>
              </w:rPr>
            </w:pPr>
            <w:r>
              <w:rPr>
                <w:rFonts w:hint="eastAsia" w:ascii="宋体" w:hAnsi="宋体" w:cs="宋体"/>
                <w:bCs/>
                <w:color w:val="auto"/>
                <w:szCs w:val="21"/>
                <w:highlight w:val="none"/>
              </w:rPr>
              <w:t>注：提供以往服务范例为准，</w:t>
            </w:r>
            <w:r>
              <w:rPr>
                <w:rFonts w:hint="eastAsia" w:ascii="宋体" w:hAnsi="宋体" w:cs="宋体"/>
                <w:color w:val="auto"/>
                <w:szCs w:val="21"/>
                <w:highlight w:val="none"/>
              </w:rPr>
              <w:t>供应商应在响应文件中提供相应证明。</w:t>
            </w:r>
          </w:p>
        </w:tc>
      </w:tr>
      <w:tr w14:paraId="343C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78511D1">
            <w:pPr>
              <w:spacing w:line="360" w:lineRule="auto"/>
              <w:jc w:val="center"/>
              <w:rPr>
                <w:color w:val="auto"/>
                <w:highlight w:val="none"/>
              </w:rPr>
            </w:pPr>
            <w:r>
              <w:rPr>
                <w:rFonts w:hint="eastAsia"/>
                <w:color w:val="auto"/>
                <w:highlight w:val="none"/>
              </w:rPr>
              <w:t>11</w:t>
            </w:r>
          </w:p>
        </w:tc>
        <w:tc>
          <w:tcPr>
            <w:tcW w:w="1523" w:type="dxa"/>
            <w:vAlign w:val="center"/>
          </w:tcPr>
          <w:p w14:paraId="6572CF60">
            <w:pPr>
              <w:spacing w:line="360" w:lineRule="auto"/>
              <w:jc w:val="center"/>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rPr>
              <w:t>服务响应能力</w:t>
            </w:r>
          </w:p>
        </w:tc>
        <w:tc>
          <w:tcPr>
            <w:tcW w:w="680" w:type="dxa"/>
            <w:vAlign w:val="center"/>
          </w:tcPr>
          <w:p w14:paraId="031D9CC4">
            <w:pPr>
              <w:spacing w:line="360" w:lineRule="auto"/>
              <w:jc w:val="center"/>
              <w:rPr>
                <w:rFonts w:ascii="宋体" w:hAnsi="宋体" w:eastAsia="宋体" w:cs="宋体"/>
                <w:color w:val="auto"/>
                <w:szCs w:val="21"/>
                <w:highlight w:val="none"/>
              </w:rPr>
            </w:pPr>
            <w:r>
              <w:rPr>
                <w:rFonts w:hint="eastAsia" w:eastAsia="宋体" w:cs="宋体"/>
                <w:color w:val="auto"/>
                <w:szCs w:val="21"/>
                <w:highlight w:val="none"/>
              </w:rPr>
              <w:t>3</w:t>
            </w:r>
            <w:r>
              <w:rPr>
                <w:rFonts w:hint="eastAsia" w:ascii="宋体" w:hAnsi="宋体" w:eastAsia="宋体" w:cs="宋体"/>
                <w:color w:val="auto"/>
                <w:szCs w:val="21"/>
                <w:highlight w:val="none"/>
              </w:rPr>
              <w:t>分</w:t>
            </w:r>
          </w:p>
        </w:tc>
        <w:tc>
          <w:tcPr>
            <w:tcW w:w="6095" w:type="dxa"/>
            <w:vAlign w:val="center"/>
          </w:tcPr>
          <w:p w14:paraId="42AB8BA0">
            <w:pPr>
              <w:tabs>
                <w:tab w:val="left" w:pos="108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实验室（以检验检测机构资质认定证书地址为准）开车到达采购单位所需时间在</w:t>
            </w:r>
            <w:r>
              <w:rPr>
                <w:rFonts w:hint="eastAsia" w:cs="宋体"/>
                <w:color w:val="auto"/>
                <w:szCs w:val="21"/>
                <w:highlight w:val="none"/>
              </w:rPr>
              <w:t>1</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3</w:t>
            </w:r>
            <w:r>
              <w:rPr>
                <w:rFonts w:hint="eastAsia" w:ascii="宋体" w:hAnsi="宋体" w:eastAsia="宋体" w:cs="宋体"/>
                <w:color w:val="auto"/>
                <w:szCs w:val="21"/>
                <w:highlight w:val="none"/>
              </w:rPr>
              <w:t>分，在</w:t>
            </w:r>
            <w:r>
              <w:rPr>
                <w:rFonts w:hint="eastAsia" w:cs="宋体"/>
                <w:color w:val="auto"/>
                <w:szCs w:val="21"/>
                <w:highlight w:val="none"/>
              </w:rPr>
              <w:t>2</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1</w:t>
            </w:r>
            <w:r>
              <w:rPr>
                <w:rFonts w:hint="eastAsia" w:ascii="宋体" w:hAnsi="宋体" w:eastAsia="宋体" w:cs="宋体"/>
                <w:color w:val="auto"/>
                <w:szCs w:val="21"/>
                <w:highlight w:val="none"/>
              </w:rPr>
              <w:t xml:space="preserve">分，其余不得分；                                 </w:t>
            </w:r>
          </w:p>
          <w:p w14:paraId="30C6BDDB">
            <w:pPr>
              <w:widowControl/>
              <w:snapToGrid w:val="0"/>
              <w:spacing w:line="360" w:lineRule="auto"/>
              <w:jc w:val="left"/>
              <w:rPr>
                <w:rFonts w:ascii="宋体" w:hAnsi="宋体" w:eastAsia="宋体" w:cs="宋体"/>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val="zh-CN"/>
              </w:rPr>
              <w:t>①</w:t>
            </w:r>
            <w:r>
              <w:rPr>
                <w:rFonts w:hint="eastAsia" w:ascii="宋体" w:hAnsi="宋体" w:eastAsia="宋体" w:cs="宋体"/>
                <w:b/>
                <w:bCs/>
                <w:color w:val="auto"/>
                <w:szCs w:val="21"/>
                <w:highlight w:val="none"/>
              </w:rPr>
              <w:t>提供检验检测机构资质认定证书原件扫描件并加盖公章。</w:t>
            </w:r>
            <w:r>
              <w:rPr>
                <w:rFonts w:hint="eastAsia" w:ascii="宋体" w:hAnsi="宋体" w:eastAsia="宋体" w:cs="宋体"/>
                <w:b/>
                <w:bCs/>
                <w:color w:val="auto"/>
                <w:szCs w:val="21"/>
                <w:highlight w:val="none"/>
                <w:lang w:val="zh-CN"/>
              </w:rPr>
              <w:t>②</w:t>
            </w:r>
            <w:r>
              <w:rPr>
                <w:rFonts w:hint="eastAsia" w:ascii="宋体" w:hAnsi="宋体" w:eastAsia="宋体" w:cs="宋体"/>
                <w:b/>
                <w:bCs/>
                <w:color w:val="auto"/>
                <w:szCs w:val="21"/>
                <w:highlight w:val="none"/>
              </w:rPr>
              <w:t>响应时间以高德地图驾车预计时间为参考，需提供高德地图截图</w:t>
            </w:r>
            <w:bookmarkStart w:id="178" w:name="_GoBack"/>
            <w:bookmarkEnd w:id="178"/>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证明材料①②两者缺一不可，未提供或提供不完整的不得分。</w:t>
            </w:r>
          </w:p>
        </w:tc>
      </w:tr>
      <w:tr w14:paraId="530E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C4F413F">
            <w:pPr>
              <w:spacing w:line="360" w:lineRule="auto"/>
              <w:jc w:val="center"/>
              <w:rPr>
                <w:color w:val="auto"/>
                <w:highlight w:val="none"/>
              </w:rPr>
            </w:pPr>
            <w:r>
              <w:rPr>
                <w:rFonts w:hint="eastAsia"/>
                <w:color w:val="auto"/>
                <w:highlight w:val="none"/>
              </w:rPr>
              <w:t>12</w:t>
            </w:r>
          </w:p>
        </w:tc>
        <w:tc>
          <w:tcPr>
            <w:tcW w:w="1523" w:type="dxa"/>
            <w:vAlign w:val="center"/>
          </w:tcPr>
          <w:p w14:paraId="4D00012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680" w:type="dxa"/>
            <w:vAlign w:val="center"/>
          </w:tcPr>
          <w:p w14:paraId="20D97422">
            <w:pPr>
              <w:spacing w:line="360" w:lineRule="auto"/>
              <w:jc w:val="center"/>
              <w:rPr>
                <w:rFonts w:eastAsia="宋体" w:cs="宋体"/>
                <w:color w:val="auto"/>
                <w:szCs w:val="21"/>
                <w:highlight w:val="none"/>
              </w:rPr>
            </w:pPr>
            <w:r>
              <w:rPr>
                <w:rFonts w:hint="eastAsia" w:eastAsia="宋体" w:cs="宋体"/>
                <w:color w:val="auto"/>
                <w:szCs w:val="21"/>
                <w:highlight w:val="none"/>
              </w:rPr>
              <w:t>4</w:t>
            </w:r>
            <w:r>
              <w:rPr>
                <w:rFonts w:hint="eastAsia" w:ascii="宋体" w:hAnsi="宋体" w:eastAsia="宋体" w:cs="宋体"/>
                <w:color w:val="auto"/>
                <w:szCs w:val="21"/>
                <w:highlight w:val="none"/>
              </w:rPr>
              <w:t>分</w:t>
            </w:r>
          </w:p>
        </w:tc>
        <w:tc>
          <w:tcPr>
            <w:tcW w:w="6095" w:type="dxa"/>
            <w:vAlign w:val="center"/>
          </w:tcPr>
          <w:p w14:paraId="6B561BD2">
            <w:pPr>
              <w:tabs>
                <w:tab w:val="left" w:pos="108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1、后续服务方案（0-2分）</w:t>
            </w:r>
          </w:p>
          <w:p w14:paraId="11B74DD9">
            <w:pPr>
              <w:tabs>
                <w:tab w:val="left" w:pos="1080"/>
              </w:tabs>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2、供应商提出的对采购项目有建设性的承诺</w:t>
            </w:r>
            <w:r>
              <w:rPr>
                <w:rFonts w:hint="eastAsia" w:eastAsia="宋体" w:cs="宋体"/>
                <w:color w:val="auto"/>
                <w:szCs w:val="21"/>
                <w:highlight w:val="none"/>
              </w:rPr>
              <w:t>（0-2</w:t>
            </w:r>
            <w:r>
              <w:rPr>
                <w:rFonts w:hint="eastAsia" w:ascii="宋体" w:hAnsi="宋体" w:eastAsia="宋体" w:cs="宋体"/>
                <w:color w:val="auto"/>
                <w:szCs w:val="21"/>
                <w:highlight w:val="none"/>
              </w:rPr>
              <w:t>分）</w:t>
            </w:r>
          </w:p>
        </w:tc>
      </w:tr>
    </w:tbl>
    <w:p w14:paraId="340B973E">
      <w:pPr>
        <w:spacing w:line="360" w:lineRule="auto"/>
        <w:ind w:firstLine="424" w:firstLineChars="202"/>
        <w:rPr>
          <w:rFonts w:ascii="宋体" w:hAnsi="宋体"/>
          <w:color w:val="auto"/>
          <w:szCs w:val="21"/>
          <w:highlight w:val="none"/>
        </w:rPr>
      </w:pPr>
    </w:p>
    <w:p w14:paraId="07E69B30">
      <w:pPr>
        <w:spacing w:line="360" w:lineRule="auto"/>
        <w:ind w:firstLine="424" w:firstLineChars="202"/>
        <w:rPr>
          <w:rFonts w:ascii="宋体" w:hAnsi="宋体"/>
          <w:color w:val="auto"/>
          <w:szCs w:val="21"/>
          <w:highlight w:val="none"/>
        </w:rPr>
      </w:pPr>
      <w:r>
        <w:rPr>
          <w:rFonts w:ascii="宋体" w:hAnsi="宋体"/>
          <w:color w:val="auto"/>
          <w:szCs w:val="21"/>
          <w:highlight w:val="none"/>
        </w:rPr>
        <w:t>标三技术资信分值（</w:t>
      </w:r>
      <w:r>
        <w:rPr>
          <w:rFonts w:hint="eastAsia" w:ascii="宋体" w:hAnsi="宋体"/>
          <w:color w:val="auto"/>
          <w:szCs w:val="21"/>
          <w:highlight w:val="none"/>
        </w:rPr>
        <w:t>80分）</w:t>
      </w: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5"/>
        <w:gridCol w:w="1386"/>
        <w:gridCol w:w="1078"/>
        <w:gridCol w:w="5807"/>
      </w:tblGrid>
      <w:tr w14:paraId="2E3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3" w:type="pct"/>
            <w:noWrap/>
            <w:vAlign w:val="center"/>
          </w:tcPr>
          <w:p w14:paraId="32D88E3F">
            <w:pPr>
              <w:widowControl/>
              <w:spacing w:line="360" w:lineRule="auto"/>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序号</w:t>
            </w:r>
          </w:p>
        </w:tc>
        <w:tc>
          <w:tcPr>
            <w:tcW w:w="765" w:type="pct"/>
            <w:noWrap/>
            <w:vAlign w:val="center"/>
          </w:tcPr>
          <w:p w14:paraId="13D30B9D">
            <w:pPr>
              <w:widowControl/>
              <w:spacing w:line="360" w:lineRule="auto"/>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评审内容</w:t>
            </w:r>
          </w:p>
        </w:tc>
        <w:tc>
          <w:tcPr>
            <w:tcW w:w="595" w:type="pct"/>
            <w:vAlign w:val="center"/>
          </w:tcPr>
          <w:p w14:paraId="06A97925">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分值</w:t>
            </w:r>
          </w:p>
        </w:tc>
        <w:tc>
          <w:tcPr>
            <w:tcW w:w="3205" w:type="pct"/>
            <w:noWrap/>
            <w:vAlign w:val="center"/>
          </w:tcPr>
          <w:p w14:paraId="5E72B666">
            <w:pPr>
              <w:widowControl/>
              <w:spacing w:line="360" w:lineRule="auto"/>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评分标准</w:t>
            </w:r>
          </w:p>
        </w:tc>
      </w:tr>
      <w:tr w14:paraId="115F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3" w:type="pct"/>
            <w:noWrap/>
            <w:vAlign w:val="center"/>
          </w:tcPr>
          <w:p w14:paraId="36E0122B">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1</w:t>
            </w:r>
          </w:p>
        </w:tc>
        <w:tc>
          <w:tcPr>
            <w:tcW w:w="765" w:type="pct"/>
            <w:noWrap/>
            <w:vAlign w:val="center"/>
          </w:tcPr>
          <w:p w14:paraId="1CCD390F">
            <w:pPr>
              <w:snapToGrid w:val="0"/>
              <w:spacing w:line="360" w:lineRule="auto"/>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企业实力</w:t>
            </w:r>
          </w:p>
        </w:tc>
        <w:tc>
          <w:tcPr>
            <w:tcW w:w="595" w:type="pct"/>
            <w:vAlign w:val="center"/>
          </w:tcPr>
          <w:p w14:paraId="31E294BE">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4分</w:t>
            </w:r>
          </w:p>
        </w:tc>
        <w:tc>
          <w:tcPr>
            <w:tcW w:w="3205" w:type="pct"/>
            <w:noWrap/>
            <w:vAlign w:val="center"/>
          </w:tcPr>
          <w:p w14:paraId="76C30FB3">
            <w:pPr>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（1）投标人取得相关行政主管部门颁发的相应领域检验检测资质且在有效期内的，获批国家级质检中心的，得2分；获批省级质检中心的得1分；获批市级质检中心，得0.5分；本项最高得2分。</w:t>
            </w:r>
          </w:p>
          <w:p w14:paraId="7BD6F974">
            <w:pPr>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（2）近3年参与国内相关机构组织的相关产品实验室能力验证，每次评价为满意的得0.5分，本项累计最高不超过2分。</w:t>
            </w:r>
          </w:p>
          <w:p w14:paraId="371C1C7B">
            <w:pPr>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注：提供相关证明材料复印件并加盖公章。</w:t>
            </w:r>
          </w:p>
        </w:tc>
      </w:tr>
      <w:tr w14:paraId="1230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3" w:type="pct"/>
            <w:noWrap/>
            <w:vAlign w:val="center"/>
          </w:tcPr>
          <w:p w14:paraId="56F8AD7B">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2</w:t>
            </w:r>
          </w:p>
        </w:tc>
        <w:tc>
          <w:tcPr>
            <w:tcW w:w="765" w:type="pct"/>
            <w:noWrap/>
            <w:vAlign w:val="center"/>
          </w:tcPr>
          <w:p w14:paraId="31EE50D1">
            <w:pPr>
              <w:spacing w:line="360" w:lineRule="auto"/>
              <w:jc w:val="center"/>
              <w:rPr>
                <w:rFonts w:cs="宋体" w:asciiTheme="minorEastAsia" w:hAnsiTheme="minorEastAsia"/>
                <w:color w:val="auto"/>
                <w:szCs w:val="21"/>
                <w:highlight w:val="none"/>
              </w:rPr>
            </w:pPr>
            <w:r>
              <w:rPr>
                <w:rFonts w:hint="eastAsia" w:ascii="宋体" w:hAnsi="宋体" w:eastAsia="宋体" w:cs="宋体"/>
                <w:b/>
                <w:bCs/>
                <w:color w:val="auto"/>
                <w:szCs w:val="21"/>
                <w:highlight w:val="none"/>
              </w:rPr>
              <w:t>类似业绩</w:t>
            </w:r>
          </w:p>
        </w:tc>
        <w:tc>
          <w:tcPr>
            <w:tcW w:w="595" w:type="pct"/>
            <w:vAlign w:val="center"/>
          </w:tcPr>
          <w:p w14:paraId="79EB7144">
            <w:pPr>
              <w:spacing w:line="360" w:lineRule="auto"/>
              <w:jc w:val="center"/>
              <w:rPr>
                <w:rFonts w:asciiTheme="minorEastAsia" w:hAnsiTheme="minorEastAsia"/>
                <w:color w:val="auto"/>
                <w:szCs w:val="21"/>
                <w:highlight w:val="none"/>
              </w:rPr>
            </w:pPr>
            <w:r>
              <w:rPr>
                <w:rFonts w:hint="eastAsia" w:ascii="宋体" w:hAnsi="宋体" w:eastAsia="宋体" w:cs="宋体"/>
                <w:color w:val="auto"/>
                <w:szCs w:val="21"/>
                <w:highlight w:val="none"/>
              </w:rPr>
              <w:t>2分</w:t>
            </w:r>
          </w:p>
        </w:tc>
        <w:tc>
          <w:tcPr>
            <w:tcW w:w="3205" w:type="pct"/>
            <w:noWrap/>
            <w:vAlign w:val="center"/>
          </w:tcPr>
          <w:p w14:paraId="579E0902">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供应商提供自2021年至今类似项目业绩，每提供一份业绩合同（以合同复印件为准）得1分，</w:t>
            </w:r>
            <w:r>
              <w:rPr>
                <w:rFonts w:hint="eastAsia" w:asciiTheme="minorEastAsia" w:hAnsiTheme="minorEastAsia"/>
                <w:color w:val="auto"/>
                <w:szCs w:val="21"/>
                <w:highlight w:val="none"/>
              </w:rPr>
              <w:t>加满2分为止</w:t>
            </w:r>
            <w:r>
              <w:rPr>
                <w:rFonts w:hint="eastAsia" w:ascii="宋体" w:hAnsi="宋体" w:eastAsia="宋体" w:cs="宋体"/>
                <w:color w:val="auto"/>
                <w:szCs w:val="21"/>
                <w:highlight w:val="none"/>
              </w:rPr>
              <w:t>。</w:t>
            </w:r>
          </w:p>
          <w:p w14:paraId="30326D0D">
            <w:pPr>
              <w:spacing w:line="360" w:lineRule="auto"/>
              <w:jc w:val="left"/>
              <w:rPr>
                <w:rFonts w:cs="宋体" w:asciiTheme="minorEastAsia" w:hAnsiTheme="minorEastAsia"/>
                <w:color w:val="auto"/>
                <w:szCs w:val="21"/>
                <w:highlight w:val="none"/>
              </w:rPr>
            </w:pPr>
            <w:r>
              <w:rPr>
                <w:rFonts w:hint="eastAsia" w:ascii="宋体" w:hAnsi="宋体" w:eastAsia="宋体" w:cs="宋体"/>
                <w:color w:val="auto"/>
                <w:szCs w:val="21"/>
                <w:highlight w:val="none"/>
              </w:rPr>
              <w:t>注：以合同签订时间为准，</w:t>
            </w:r>
            <w:r>
              <w:rPr>
                <w:rFonts w:hint="eastAsia" w:asciiTheme="minorEastAsia" w:hAnsiTheme="minorEastAsia"/>
                <w:b/>
                <w:bCs/>
                <w:color w:val="auto"/>
                <w:szCs w:val="21"/>
                <w:highlight w:val="none"/>
              </w:rPr>
              <w:t>投标文件中放置合同及中标通知书原件扫描件加盖投标单位电子公章，未提供的不予计分。</w:t>
            </w:r>
          </w:p>
        </w:tc>
      </w:tr>
      <w:tr w14:paraId="4862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3" w:type="pct"/>
            <w:noWrap/>
            <w:vAlign w:val="center"/>
          </w:tcPr>
          <w:p w14:paraId="1297366F">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3</w:t>
            </w:r>
          </w:p>
        </w:tc>
        <w:tc>
          <w:tcPr>
            <w:tcW w:w="765" w:type="pct"/>
            <w:noWrap/>
            <w:vAlign w:val="center"/>
          </w:tcPr>
          <w:p w14:paraId="0F05E64F">
            <w:pPr>
              <w:pStyle w:val="42"/>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项目实施方案</w:t>
            </w:r>
          </w:p>
        </w:tc>
        <w:tc>
          <w:tcPr>
            <w:tcW w:w="595" w:type="pct"/>
            <w:vAlign w:val="center"/>
          </w:tcPr>
          <w:p w14:paraId="2525D09B">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10分</w:t>
            </w:r>
          </w:p>
        </w:tc>
        <w:tc>
          <w:tcPr>
            <w:tcW w:w="3205" w:type="pct"/>
            <w:noWrap/>
            <w:vAlign w:val="center"/>
          </w:tcPr>
          <w:p w14:paraId="3C396C3A">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项目工作计划方案（0-2分）</w:t>
            </w:r>
          </w:p>
          <w:p w14:paraId="7B147477">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项目抽检工作方案</w:t>
            </w:r>
          </w:p>
          <w:p w14:paraId="61435612">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抽样安排（0-2分）</w:t>
            </w:r>
          </w:p>
          <w:p w14:paraId="565708C5">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样品物流安排（0-2分）</w:t>
            </w:r>
          </w:p>
          <w:p w14:paraId="60D3F5BC">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检验工作安排（0-2分）</w:t>
            </w:r>
          </w:p>
          <w:p w14:paraId="0C70743B">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检毕样品处置安排（0-2分）</w:t>
            </w:r>
          </w:p>
        </w:tc>
      </w:tr>
      <w:tr w14:paraId="2379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3" w:type="pct"/>
            <w:noWrap/>
            <w:vAlign w:val="center"/>
          </w:tcPr>
          <w:p w14:paraId="3DDE4E9B">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4</w:t>
            </w:r>
          </w:p>
        </w:tc>
        <w:tc>
          <w:tcPr>
            <w:tcW w:w="765" w:type="pct"/>
            <w:noWrap/>
            <w:vAlign w:val="center"/>
          </w:tcPr>
          <w:p w14:paraId="6411F68E">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质量保障措施</w:t>
            </w:r>
          </w:p>
        </w:tc>
        <w:tc>
          <w:tcPr>
            <w:tcW w:w="595" w:type="pct"/>
            <w:vAlign w:val="center"/>
          </w:tcPr>
          <w:p w14:paraId="4BABAD7C">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10分</w:t>
            </w:r>
          </w:p>
        </w:tc>
        <w:tc>
          <w:tcPr>
            <w:tcW w:w="3205" w:type="pct"/>
            <w:noWrap/>
            <w:vAlign w:val="center"/>
          </w:tcPr>
          <w:p w14:paraId="60006956">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是否具有完善的质量控制方案（0-2分）</w:t>
            </w:r>
          </w:p>
          <w:p w14:paraId="0597E4E9">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安全检验工作制度（0-2分）</w:t>
            </w:r>
          </w:p>
          <w:p w14:paraId="269739F1">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检验责任追究制度（0-2分）</w:t>
            </w:r>
          </w:p>
          <w:p w14:paraId="5F1ED9CF">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检验档案管理制度（0-2分）</w:t>
            </w:r>
          </w:p>
          <w:p w14:paraId="5D4C096F">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实验室信息化管理（0-2分）</w:t>
            </w:r>
          </w:p>
        </w:tc>
      </w:tr>
      <w:tr w14:paraId="316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433" w:type="pct"/>
            <w:noWrap/>
            <w:vAlign w:val="center"/>
          </w:tcPr>
          <w:p w14:paraId="2C6022A4">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5</w:t>
            </w:r>
          </w:p>
        </w:tc>
        <w:tc>
          <w:tcPr>
            <w:tcW w:w="765" w:type="pct"/>
            <w:noWrap/>
            <w:vAlign w:val="center"/>
          </w:tcPr>
          <w:p w14:paraId="20937E49">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服务质量保证</w:t>
            </w:r>
          </w:p>
        </w:tc>
        <w:tc>
          <w:tcPr>
            <w:tcW w:w="595" w:type="pct"/>
            <w:vAlign w:val="center"/>
          </w:tcPr>
          <w:p w14:paraId="4ACC37A0">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6分</w:t>
            </w:r>
          </w:p>
        </w:tc>
        <w:tc>
          <w:tcPr>
            <w:tcW w:w="3205" w:type="pct"/>
            <w:noWrap/>
            <w:vAlign w:val="center"/>
          </w:tcPr>
          <w:p w14:paraId="008E19B3">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包括服务及时率、抽检有效性、业务培训、质量分析、工作纪律管理制度、应急突发事件的处理预案等，综合评分0-6分。 </w:t>
            </w:r>
          </w:p>
        </w:tc>
      </w:tr>
      <w:tr w14:paraId="074F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3" w:type="pct"/>
            <w:noWrap/>
            <w:vAlign w:val="center"/>
          </w:tcPr>
          <w:p w14:paraId="1437AF26">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6</w:t>
            </w:r>
          </w:p>
        </w:tc>
        <w:tc>
          <w:tcPr>
            <w:tcW w:w="765" w:type="pct"/>
            <w:noWrap/>
            <w:vAlign w:val="center"/>
          </w:tcPr>
          <w:p w14:paraId="2A8FCF60">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检测能力覆盖范围</w:t>
            </w:r>
          </w:p>
        </w:tc>
        <w:tc>
          <w:tcPr>
            <w:tcW w:w="595" w:type="pct"/>
            <w:vAlign w:val="center"/>
          </w:tcPr>
          <w:p w14:paraId="7073E9C5">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分</w:t>
            </w:r>
          </w:p>
        </w:tc>
        <w:tc>
          <w:tcPr>
            <w:tcW w:w="3205" w:type="pct"/>
            <w:noWrap/>
            <w:vAlign w:val="center"/>
          </w:tcPr>
          <w:p w14:paraId="56A11628">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供应商自身具有满足本项目确定的产品和检测项目明细的全项检验能力。具备全项检验能力的，得2</w:t>
            </w:r>
            <w:r>
              <w:rPr>
                <w:rFonts w:hint="eastAsia" w:cs="宋体" w:asciiTheme="minorEastAsia" w:hAnsiTheme="minorEastAsia"/>
                <w:color w:val="auto"/>
                <w:kern w:val="0"/>
                <w:szCs w:val="21"/>
                <w:highlight w:val="none"/>
                <w:lang w:val="en-US" w:eastAsia="zh-CN"/>
              </w:rPr>
              <w:t>4</w:t>
            </w:r>
            <w:r>
              <w:rPr>
                <w:rFonts w:hint="eastAsia" w:cs="宋体" w:asciiTheme="minorEastAsia" w:hAnsiTheme="minorEastAsia"/>
                <w:color w:val="auto"/>
                <w:kern w:val="0"/>
                <w:szCs w:val="21"/>
                <w:highlight w:val="none"/>
              </w:rPr>
              <w:t>分；不具备能力的，每个产品扣3分；7个产品及以上不具备检验能力的，本项得0分。</w:t>
            </w:r>
          </w:p>
          <w:p w14:paraId="176FE659">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注：（1）产品中涉及的检验依据和检测项目能力不全的，视同不具备该产品检测能力；</w:t>
            </w:r>
          </w:p>
          <w:p w14:paraId="5615D2D4">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（2）资质认定证书应当为省级及以上相关部门颁发的CMA资质证书，资料中还需提供资质认定证书相对应的产品检测项目附表证明文件并加盖公章，不提供者不得分。</w:t>
            </w:r>
          </w:p>
        </w:tc>
      </w:tr>
      <w:tr w14:paraId="6228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3" w:type="pct"/>
            <w:noWrap/>
            <w:vAlign w:val="center"/>
          </w:tcPr>
          <w:p w14:paraId="6A92F659">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7</w:t>
            </w:r>
          </w:p>
        </w:tc>
        <w:tc>
          <w:tcPr>
            <w:tcW w:w="765" w:type="pct"/>
            <w:noWrap/>
            <w:vAlign w:val="center"/>
          </w:tcPr>
          <w:p w14:paraId="5BC34FE6">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人员配置</w:t>
            </w:r>
          </w:p>
        </w:tc>
        <w:tc>
          <w:tcPr>
            <w:tcW w:w="595" w:type="pct"/>
            <w:vAlign w:val="center"/>
          </w:tcPr>
          <w:p w14:paraId="40F7F1D1">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tc>
        <w:tc>
          <w:tcPr>
            <w:tcW w:w="3205" w:type="pct"/>
            <w:noWrap/>
            <w:vAlign w:val="center"/>
          </w:tcPr>
          <w:p w14:paraId="6012E7C6">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拥有承担本项目所需的专业技术人员及抽样人员：</w:t>
            </w:r>
          </w:p>
          <w:p w14:paraId="571445D9">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（1）项目负责人：具有10年（含）以上检验工作经历并具有高级技术职称的，得4分；具有3年至10年检验工作经历并具有中级技术职称的，得2分。本项累计最高不超过4分。</w:t>
            </w:r>
          </w:p>
          <w:p w14:paraId="410E52E2">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（2）项目检验人员：获得中级（含）以上技术职称人员数量高于10人（含）的，得4分；数量高于5人（含）的，得2分；数量不足5人的，得0分。本项累计最高不超过4分。</w:t>
            </w:r>
          </w:p>
          <w:p w14:paraId="59F6A016">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（3）项目抽样人员：</w:t>
            </w:r>
            <w:r>
              <w:rPr>
                <w:rFonts w:hint="eastAsia" w:ascii="宋体" w:hAnsi="宋体" w:eastAsia="宋体" w:cs="宋体"/>
                <w:color w:val="auto"/>
                <w:szCs w:val="21"/>
                <w:highlight w:val="none"/>
                <w:lang w:val="zh-CN"/>
              </w:rPr>
              <w:t>每提供1人得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本项累计最高不超过4分</w:t>
            </w:r>
            <w:r>
              <w:rPr>
                <w:rFonts w:hint="eastAsia" w:cs="宋体" w:asciiTheme="minorEastAsia" w:hAnsiTheme="minorEastAsia"/>
                <w:color w:val="auto"/>
                <w:kern w:val="0"/>
                <w:szCs w:val="21"/>
                <w:highlight w:val="none"/>
              </w:rPr>
              <w:t>。</w:t>
            </w:r>
          </w:p>
          <w:p w14:paraId="5CE8C297">
            <w:pPr>
              <w:snapToGrid w:val="0"/>
              <w:spacing w:line="360" w:lineRule="auto"/>
              <w:rPr>
                <w:rFonts w:cs="宋体" w:asciiTheme="minorEastAsia" w:hAnsiTheme="minorEastAsia"/>
                <w:color w:val="auto"/>
                <w:kern w:val="0"/>
                <w:szCs w:val="21"/>
                <w:highlight w:val="none"/>
                <w:lang w:val="zh-CN"/>
              </w:rPr>
            </w:pPr>
            <w:r>
              <w:rPr>
                <w:rFonts w:hint="eastAsia" w:cs="宋体" w:asciiTheme="minorEastAsia" w:hAnsiTheme="minorEastAsia"/>
                <w:color w:val="auto"/>
                <w:kern w:val="0"/>
                <w:szCs w:val="21"/>
                <w:highlight w:val="none"/>
                <w:lang w:val="zh-CN"/>
              </w:rPr>
              <w:t>注：</w:t>
            </w:r>
            <w:r>
              <w:rPr>
                <w:rFonts w:hint="eastAsia" w:cs="宋体" w:asciiTheme="minorEastAsia" w:hAnsiTheme="minorEastAsia"/>
                <w:color w:val="auto"/>
                <w:kern w:val="0"/>
                <w:szCs w:val="21"/>
                <w:highlight w:val="none"/>
              </w:rPr>
              <w:t>提供相关证明材料，人员名单及岗位配置，相关证书复印件和投标人为其缴纳的近6个月社保证明并加盖公章。</w:t>
            </w:r>
          </w:p>
        </w:tc>
      </w:tr>
      <w:tr w14:paraId="059A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33" w:type="pct"/>
            <w:noWrap/>
            <w:vAlign w:val="center"/>
          </w:tcPr>
          <w:p w14:paraId="4CC75209">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8</w:t>
            </w:r>
          </w:p>
        </w:tc>
        <w:tc>
          <w:tcPr>
            <w:tcW w:w="765" w:type="pct"/>
            <w:noWrap/>
            <w:vAlign w:val="center"/>
          </w:tcPr>
          <w:p w14:paraId="1CD1081A">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设备配置</w:t>
            </w:r>
          </w:p>
        </w:tc>
        <w:tc>
          <w:tcPr>
            <w:tcW w:w="595" w:type="pct"/>
            <w:vAlign w:val="center"/>
          </w:tcPr>
          <w:p w14:paraId="4EA1726D">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5分</w:t>
            </w:r>
          </w:p>
        </w:tc>
        <w:tc>
          <w:tcPr>
            <w:tcW w:w="3205" w:type="pct"/>
            <w:noWrap/>
            <w:vAlign w:val="center"/>
          </w:tcPr>
          <w:p w14:paraId="161089D9">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投标人配备满足本项目标段内产品检测的仪器设备0-3分</w:t>
            </w:r>
          </w:p>
          <w:p w14:paraId="2D08B168">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运输设备或设施和抽样过程记录设备0-2分</w:t>
            </w:r>
          </w:p>
          <w:p w14:paraId="1A0AC81F">
            <w:pPr>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注：提供相关设备清单、购置发票（或租赁协议）清晰复印件或原件扫描件。</w:t>
            </w:r>
          </w:p>
        </w:tc>
      </w:tr>
      <w:tr w14:paraId="4058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3" w:type="pct"/>
            <w:noWrap/>
            <w:vAlign w:val="center"/>
          </w:tcPr>
          <w:p w14:paraId="60A48C7C">
            <w:pPr>
              <w:spacing w:line="360" w:lineRule="auto"/>
              <w:jc w:val="center"/>
              <w:rPr>
                <w:rFonts w:cs="宋体" w:asciiTheme="minorEastAsia" w:hAnsiTheme="minorEastAsia"/>
                <w:bCs/>
                <w:iCs/>
                <w:color w:val="auto"/>
                <w:szCs w:val="21"/>
                <w:highlight w:val="none"/>
              </w:rPr>
            </w:pPr>
            <w:r>
              <w:rPr>
                <w:rFonts w:hint="eastAsia" w:cs="宋体" w:asciiTheme="minorEastAsia" w:hAnsiTheme="minorEastAsia"/>
                <w:bCs/>
                <w:iCs/>
                <w:color w:val="auto"/>
                <w:szCs w:val="21"/>
                <w:highlight w:val="none"/>
              </w:rPr>
              <w:t>9</w:t>
            </w:r>
          </w:p>
        </w:tc>
        <w:tc>
          <w:tcPr>
            <w:tcW w:w="765" w:type="pct"/>
            <w:noWrap/>
            <w:vAlign w:val="center"/>
          </w:tcPr>
          <w:p w14:paraId="459F2CA9">
            <w:pPr>
              <w:snapToGrid w:val="0"/>
              <w:spacing w:line="360"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响应服务</w:t>
            </w:r>
          </w:p>
        </w:tc>
        <w:tc>
          <w:tcPr>
            <w:tcW w:w="595" w:type="pct"/>
            <w:vAlign w:val="center"/>
          </w:tcPr>
          <w:p w14:paraId="415E8342">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3分</w:t>
            </w:r>
          </w:p>
        </w:tc>
        <w:tc>
          <w:tcPr>
            <w:tcW w:w="3205" w:type="pct"/>
            <w:noWrap/>
            <w:vAlign w:val="center"/>
          </w:tcPr>
          <w:p w14:paraId="6F730969">
            <w:pPr>
              <w:tabs>
                <w:tab w:val="left" w:pos="1080"/>
              </w:tabs>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实验室（以检验检测机构资质认定证书地址为准）开车到达采购单位所需时间在</w:t>
            </w:r>
            <w:r>
              <w:rPr>
                <w:rFonts w:hint="eastAsia" w:cs="宋体"/>
                <w:color w:val="auto"/>
                <w:szCs w:val="21"/>
                <w:highlight w:val="none"/>
              </w:rPr>
              <w:t>1</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3</w:t>
            </w:r>
            <w:r>
              <w:rPr>
                <w:rFonts w:hint="eastAsia" w:ascii="宋体" w:hAnsi="宋体" w:eastAsia="宋体" w:cs="宋体"/>
                <w:color w:val="auto"/>
                <w:szCs w:val="21"/>
                <w:highlight w:val="none"/>
              </w:rPr>
              <w:t>分，在</w:t>
            </w:r>
            <w:r>
              <w:rPr>
                <w:rFonts w:hint="eastAsia" w:cs="宋体"/>
                <w:color w:val="auto"/>
                <w:szCs w:val="21"/>
                <w:highlight w:val="none"/>
              </w:rPr>
              <w:t>2</w:t>
            </w:r>
            <w:r>
              <w:rPr>
                <w:rFonts w:hint="eastAsia" w:ascii="宋体" w:hAnsi="宋体" w:eastAsia="宋体" w:cs="宋体"/>
                <w:color w:val="auto"/>
                <w:szCs w:val="21"/>
                <w:highlight w:val="none"/>
              </w:rPr>
              <w:t>小时以内的得</w:t>
            </w:r>
            <w:r>
              <w:rPr>
                <w:rFonts w:hint="eastAsia" w:eastAsia="宋体" w:cs="宋体"/>
                <w:color w:val="auto"/>
                <w:szCs w:val="21"/>
                <w:highlight w:val="none"/>
              </w:rPr>
              <w:t>1</w:t>
            </w:r>
            <w:r>
              <w:rPr>
                <w:rFonts w:hint="eastAsia" w:ascii="宋体" w:hAnsi="宋体" w:eastAsia="宋体" w:cs="宋体"/>
                <w:color w:val="auto"/>
                <w:szCs w:val="21"/>
                <w:highlight w:val="none"/>
              </w:rPr>
              <w:t xml:space="preserve">分，其余不得分；                                 </w:t>
            </w:r>
          </w:p>
          <w:p w14:paraId="54B6DAE1">
            <w:pPr>
              <w:snapToGrid w:val="0"/>
              <w:spacing w:line="360" w:lineRule="auto"/>
              <w:rPr>
                <w:rFonts w:cs="宋体" w:asciiTheme="minorEastAsia" w:hAnsiTheme="minorEastAsia"/>
                <w:color w:val="auto"/>
                <w:kern w:val="0"/>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val="zh-CN"/>
              </w:rPr>
              <w:t>①</w:t>
            </w:r>
            <w:r>
              <w:rPr>
                <w:rFonts w:hint="eastAsia" w:ascii="宋体" w:hAnsi="宋体" w:eastAsia="宋体" w:cs="宋体"/>
                <w:b/>
                <w:bCs/>
                <w:color w:val="auto"/>
                <w:szCs w:val="21"/>
                <w:highlight w:val="none"/>
              </w:rPr>
              <w:t>提供检验检测机构资质认定证书原件扫描件并加盖公章。</w:t>
            </w:r>
            <w:r>
              <w:rPr>
                <w:rFonts w:hint="eastAsia" w:ascii="宋体" w:hAnsi="宋体" w:eastAsia="宋体" w:cs="宋体"/>
                <w:b/>
                <w:bCs/>
                <w:color w:val="auto"/>
                <w:szCs w:val="21"/>
                <w:highlight w:val="none"/>
                <w:lang w:val="zh-CN"/>
              </w:rPr>
              <w:t>②</w:t>
            </w:r>
            <w:r>
              <w:rPr>
                <w:rFonts w:hint="eastAsia" w:ascii="宋体" w:hAnsi="宋体" w:eastAsia="宋体" w:cs="宋体"/>
                <w:b/>
                <w:bCs/>
                <w:color w:val="auto"/>
                <w:szCs w:val="21"/>
                <w:highlight w:val="none"/>
              </w:rPr>
              <w:t>响应时间以高德地图驾车预计时间为参考，需提供高德地图截图。</w:t>
            </w:r>
            <w:r>
              <w:rPr>
                <w:rFonts w:hint="eastAsia" w:ascii="宋体" w:hAnsi="宋体" w:eastAsia="宋体" w:cs="宋体"/>
                <w:b/>
                <w:bCs/>
                <w:color w:val="auto"/>
                <w:szCs w:val="21"/>
                <w:highlight w:val="none"/>
                <w:lang w:val="zh-CN"/>
              </w:rPr>
              <w:t>证明材料①②两者缺一不可，未提供或提供不完整的不得分。</w:t>
            </w:r>
          </w:p>
        </w:tc>
      </w:tr>
      <w:tr w14:paraId="68B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noWrap/>
            <w:vAlign w:val="center"/>
          </w:tcPr>
          <w:p w14:paraId="760401A0">
            <w:pPr>
              <w:spacing w:line="360" w:lineRule="auto"/>
              <w:jc w:val="center"/>
              <w:rPr>
                <w:rFonts w:cs="宋体" w:asciiTheme="minorEastAsia" w:hAnsiTheme="minorEastAsia"/>
                <w:bCs/>
                <w:iCs/>
                <w:color w:val="auto"/>
                <w:szCs w:val="21"/>
                <w:highlight w:val="none"/>
              </w:rPr>
            </w:pPr>
            <w:r>
              <w:rPr>
                <w:rFonts w:hint="eastAsia"/>
                <w:color w:val="auto"/>
                <w:highlight w:val="none"/>
              </w:rPr>
              <w:t>10</w:t>
            </w:r>
          </w:p>
        </w:tc>
        <w:tc>
          <w:tcPr>
            <w:tcW w:w="1386" w:type="dxa"/>
            <w:noWrap/>
            <w:vAlign w:val="center"/>
          </w:tcPr>
          <w:p w14:paraId="4279B4B7">
            <w:pPr>
              <w:spacing w:line="360" w:lineRule="auto"/>
              <w:jc w:val="center"/>
              <w:rPr>
                <w:rFonts w:cs="宋体" w:asciiTheme="minorEastAsia" w:hAnsiTheme="minorEastAsia"/>
                <w:color w:val="auto"/>
                <w:kern w:val="0"/>
                <w:szCs w:val="21"/>
                <w:highlight w:val="none"/>
              </w:rPr>
            </w:pPr>
            <w:r>
              <w:rPr>
                <w:rFonts w:hint="eastAsia" w:ascii="宋体" w:hAnsi="宋体" w:eastAsia="宋体" w:cs="宋体"/>
                <w:color w:val="auto"/>
                <w:szCs w:val="21"/>
                <w:highlight w:val="none"/>
              </w:rPr>
              <w:t>售后服务</w:t>
            </w:r>
          </w:p>
        </w:tc>
        <w:tc>
          <w:tcPr>
            <w:tcW w:w="1079" w:type="dxa"/>
            <w:vAlign w:val="center"/>
          </w:tcPr>
          <w:p w14:paraId="3FB707AF">
            <w:pPr>
              <w:spacing w:line="360" w:lineRule="auto"/>
              <w:jc w:val="center"/>
              <w:rPr>
                <w:rFonts w:asciiTheme="minorEastAsia" w:hAnsiTheme="minorEastAsia"/>
                <w:color w:val="auto"/>
                <w:szCs w:val="21"/>
                <w:highlight w:val="none"/>
              </w:rPr>
            </w:pPr>
            <w:r>
              <w:rPr>
                <w:rFonts w:hint="eastAsia" w:eastAsia="宋体" w:cs="宋体"/>
                <w:color w:val="auto"/>
                <w:szCs w:val="21"/>
                <w:highlight w:val="none"/>
              </w:rPr>
              <w:t>4</w:t>
            </w:r>
            <w:r>
              <w:rPr>
                <w:rFonts w:hint="eastAsia" w:ascii="宋体" w:hAnsi="宋体" w:eastAsia="宋体" w:cs="宋体"/>
                <w:color w:val="auto"/>
                <w:szCs w:val="21"/>
                <w:highlight w:val="none"/>
              </w:rPr>
              <w:t>分</w:t>
            </w:r>
          </w:p>
        </w:tc>
        <w:tc>
          <w:tcPr>
            <w:tcW w:w="5805" w:type="dxa"/>
            <w:noWrap/>
            <w:vAlign w:val="center"/>
          </w:tcPr>
          <w:p w14:paraId="627C389E">
            <w:pPr>
              <w:tabs>
                <w:tab w:val="left" w:pos="108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1、后续服务方案（0-2分）</w:t>
            </w:r>
          </w:p>
          <w:p w14:paraId="372DBCAC">
            <w:pPr>
              <w:tabs>
                <w:tab w:val="left" w:pos="1080"/>
              </w:tabs>
              <w:spacing w:line="360" w:lineRule="auto"/>
              <w:rPr>
                <w:rFonts w:cs="宋体" w:asciiTheme="minorEastAsia" w:hAnsiTheme="minorEastAsia"/>
                <w:color w:val="auto"/>
                <w:kern w:val="0"/>
                <w:szCs w:val="21"/>
                <w:highlight w:val="none"/>
              </w:rPr>
            </w:pPr>
            <w:r>
              <w:rPr>
                <w:rFonts w:hint="eastAsia" w:ascii="宋体" w:hAnsi="宋体" w:eastAsia="宋体" w:cs="宋体"/>
                <w:color w:val="auto"/>
                <w:szCs w:val="21"/>
                <w:highlight w:val="none"/>
              </w:rPr>
              <w:t>2、供应商提出的对采购项目有建设性的承诺</w:t>
            </w:r>
            <w:r>
              <w:rPr>
                <w:rFonts w:hint="eastAsia" w:eastAsia="宋体" w:cs="宋体"/>
                <w:color w:val="auto"/>
                <w:szCs w:val="21"/>
                <w:highlight w:val="none"/>
              </w:rPr>
              <w:t>（0-2</w:t>
            </w:r>
            <w:r>
              <w:rPr>
                <w:rFonts w:hint="eastAsia" w:ascii="宋体" w:hAnsi="宋体" w:eastAsia="宋体" w:cs="宋体"/>
                <w:color w:val="auto"/>
                <w:szCs w:val="21"/>
                <w:highlight w:val="none"/>
              </w:rPr>
              <w:t>分）</w:t>
            </w:r>
          </w:p>
        </w:tc>
      </w:tr>
    </w:tbl>
    <w:p w14:paraId="4984F2A5">
      <w:pPr>
        <w:spacing w:line="360" w:lineRule="auto"/>
        <w:ind w:firstLine="424" w:firstLineChars="202"/>
        <w:rPr>
          <w:rFonts w:ascii="宋体" w:hAnsi="宋体"/>
          <w:color w:val="auto"/>
          <w:szCs w:val="21"/>
          <w:highlight w:val="none"/>
        </w:rPr>
      </w:pPr>
    </w:p>
    <w:p w14:paraId="5F0820DE">
      <w:pPr>
        <w:spacing w:line="360" w:lineRule="auto"/>
        <w:ind w:firstLine="424" w:firstLineChars="202"/>
        <w:rPr>
          <w:rFonts w:ascii="宋体" w:hAnsi="宋体"/>
          <w:color w:val="auto"/>
          <w:kern w:val="0"/>
          <w:szCs w:val="21"/>
          <w:highlight w:val="none"/>
        </w:rPr>
      </w:pPr>
      <w:r>
        <w:rPr>
          <w:rFonts w:hint="eastAsia" w:ascii="宋体" w:hAnsi="宋体"/>
          <w:color w:val="auto"/>
          <w:kern w:val="0"/>
          <w:szCs w:val="21"/>
          <w:highlight w:val="none"/>
        </w:rPr>
        <w:t>二、价格部分20分</w:t>
      </w:r>
    </w:p>
    <w:p w14:paraId="65991E10">
      <w:pPr>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评标基准价：</w:t>
      </w:r>
      <w:r>
        <w:rPr>
          <w:rFonts w:hint="eastAsia" w:ascii="宋体" w:hAnsi="宋体"/>
          <w:color w:val="auto"/>
          <w:szCs w:val="21"/>
          <w:highlight w:val="none"/>
        </w:rPr>
        <w:t>价格分采用低价优先法计算，</w:t>
      </w:r>
      <w:r>
        <w:rPr>
          <w:rFonts w:hint="eastAsia" w:ascii="宋体" w:hAnsi="宋体"/>
          <w:color w:val="auto"/>
          <w:kern w:val="0"/>
          <w:szCs w:val="21"/>
          <w:highlight w:val="none"/>
        </w:rPr>
        <w:t>以有效投标供应商的最低投标</w:t>
      </w:r>
      <w:r>
        <w:rPr>
          <w:rFonts w:hint="eastAsia" w:ascii="宋体" w:hAnsi="宋体"/>
          <w:color w:val="auto"/>
          <w:kern w:val="0"/>
          <w:szCs w:val="21"/>
          <w:highlight w:val="none"/>
          <w:lang w:val="en-US" w:eastAsia="zh-CN"/>
        </w:rPr>
        <w:t>报价折扣率</w:t>
      </w:r>
      <w:r>
        <w:rPr>
          <w:rFonts w:hint="eastAsia" w:ascii="宋体" w:hAnsi="宋体"/>
          <w:color w:val="auto"/>
          <w:kern w:val="0"/>
          <w:szCs w:val="21"/>
          <w:highlight w:val="none"/>
        </w:rPr>
        <w:t>为评标基准价，其价格分为满分。</w:t>
      </w:r>
    </w:p>
    <w:p w14:paraId="1E931C28">
      <w:pPr>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其他投标供应商的价格分统一按照下列公式计算：</w:t>
      </w:r>
    </w:p>
    <w:p w14:paraId="034FBE66">
      <w:pPr>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投标报价得分=(评标基准价／投标报价)×20%×100</w:t>
      </w:r>
    </w:p>
    <w:p w14:paraId="41B105F5">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根据财政部87号令第六十条规定，评标委员会认为投标供应商的报价</w:t>
      </w:r>
      <w:r>
        <w:rPr>
          <w:rFonts w:hint="eastAsia" w:ascii="宋体" w:hAnsi="宋体"/>
          <w:b/>
          <w:bCs/>
          <w:color w:val="auto"/>
          <w:szCs w:val="21"/>
          <w:highlight w:val="none"/>
          <w:lang w:val="en-US" w:eastAsia="zh-CN"/>
        </w:rPr>
        <w:t>折扣率</w:t>
      </w:r>
      <w:r>
        <w:rPr>
          <w:rFonts w:hint="eastAsia" w:ascii="宋体" w:hAnsi="宋体"/>
          <w:b/>
          <w:bCs/>
          <w:color w:val="auto"/>
          <w:szCs w:val="21"/>
          <w:highlight w:val="none"/>
        </w:rPr>
        <w:t>明显低于其他通过符合性审查投标供应商的报价</w:t>
      </w:r>
      <w:r>
        <w:rPr>
          <w:rFonts w:hint="eastAsia" w:ascii="宋体" w:hAnsi="宋体"/>
          <w:b/>
          <w:bCs/>
          <w:color w:val="auto"/>
          <w:szCs w:val="21"/>
          <w:highlight w:val="none"/>
          <w:lang w:val="en-US" w:eastAsia="zh-CN"/>
        </w:rPr>
        <w:t>折扣率</w:t>
      </w:r>
      <w:r>
        <w:rPr>
          <w:rFonts w:hint="eastAsia" w:ascii="宋体" w:hAnsi="宋体"/>
          <w:b/>
          <w:bCs/>
          <w:color w:val="auto"/>
          <w:szCs w:val="21"/>
          <w:highlight w:val="none"/>
        </w:rPr>
        <w:t>，有可能影响产品质量或者不能诚信履约的，应当要求其在评标现场合理的时间内通过政采云平台提供线上说明，必要时提交相关证明材料。投标供应商不能在规定时间内合理说明原因并提供证明材料的，评标委员会应当将该投标供应商的投标文件作无效处理，并在评审报告中说明。</w:t>
      </w:r>
    </w:p>
    <w:p w14:paraId="298D69D0">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FC4A094">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对于专门面向中小企业的项目，对小型或微型企业的投标报价不给予价格的扣除。</w:t>
      </w:r>
    </w:p>
    <w:p w14:paraId="03E6B5E2">
      <w:pPr>
        <w:autoSpaceDE w:val="0"/>
        <w:autoSpaceDN w:val="0"/>
        <w:snapToGrid w:val="0"/>
        <w:spacing w:line="360" w:lineRule="auto"/>
        <w:textAlignment w:val="bottom"/>
        <w:rPr>
          <w:rFonts w:hAnsi="宋体"/>
          <w:b/>
          <w:color w:val="auto"/>
          <w:sz w:val="36"/>
          <w:szCs w:val="36"/>
          <w:highlight w:val="none"/>
        </w:rPr>
      </w:pPr>
      <w:bookmarkStart w:id="144" w:name="_Toc22132"/>
      <w:bookmarkStart w:id="145" w:name="_Toc32443"/>
    </w:p>
    <w:p w14:paraId="5A15B1DD">
      <w:pPr>
        <w:autoSpaceDE w:val="0"/>
        <w:autoSpaceDN w:val="0"/>
        <w:snapToGrid w:val="0"/>
        <w:spacing w:line="360" w:lineRule="auto"/>
        <w:textAlignment w:val="bottom"/>
        <w:rPr>
          <w:rFonts w:hAnsi="宋体"/>
          <w:b/>
          <w:color w:val="auto"/>
          <w:sz w:val="36"/>
          <w:szCs w:val="36"/>
          <w:highlight w:val="none"/>
        </w:rPr>
      </w:pPr>
    </w:p>
    <w:p w14:paraId="409DF88F">
      <w:pPr>
        <w:autoSpaceDE w:val="0"/>
        <w:autoSpaceDN w:val="0"/>
        <w:snapToGrid w:val="0"/>
        <w:spacing w:line="360" w:lineRule="auto"/>
        <w:textAlignment w:val="bottom"/>
        <w:rPr>
          <w:rFonts w:hAnsi="宋体"/>
          <w:b/>
          <w:color w:val="auto"/>
          <w:sz w:val="36"/>
          <w:szCs w:val="36"/>
          <w:highlight w:val="none"/>
        </w:rPr>
      </w:pPr>
    </w:p>
    <w:p w14:paraId="2B056F4A">
      <w:pPr>
        <w:autoSpaceDE w:val="0"/>
        <w:autoSpaceDN w:val="0"/>
        <w:snapToGrid w:val="0"/>
        <w:spacing w:line="360" w:lineRule="auto"/>
        <w:textAlignment w:val="bottom"/>
        <w:rPr>
          <w:rFonts w:hAnsi="宋体"/>
          <w:b/>
          <w:color w:val="auto"/>
          <w:sz w:val="36"/>
          <w:szCs w:val="36"/>
          <w:highlight w:val="none"/>
        </w:rPr>
      </w:pPr>
    </w:p>
    <w:p w14:paraId="08C3F901">
      <w:pPr>
        <w:autoSpaceDE w:val="0"/>
        <w:autoSpaceDN w:val="0"/>
        <w:snapToGrid w:val="0"/>
        <w:spacing w:line="360" w:lineRule="auto"/>
        <w:textAlignment w:val="bottom"/>
        <w:rPr>
          <w:rFonts w:hAnsi="宋体"/>
          <w:b/>
          <w:color w:val="auto"/>
          <w:sz w:val="36"/>
          <w:szCs w:val="36"/>
          <w:highlight w:val="none"/>
        </w:rPr>
      </w:pPr>
    </w:p>
    <w:p w14:paraId="5573F768">
      <w:pPr>
        <w:autoSpaceDE w:val="0"/>
        <w:autoSpaceDN w:val="0"/>
        <w:snapToGrid w:val="0"/>
        <w:spacing w:line="360" w:lineRule="auto"/>
        <w:textAlignment w:val="bottom"/>
        <w:rPr>
          <w:rFonts w:hAnsi="宋体"/>
          <w:b/>
          <w:color w:val="auto"/>
          <w:sz w:val="36"/>
          <w:szCs w:val="36"/>
          <w:highlight w:val="none"/>
        </w:rPr>
      </w:pPr>
    </w:p>
    <w:p w14:paraId="26023F2A">
      <w:pPr>
        <w:autoSpaceDE w:val="0"/>
        <w:autoSpaceDN w:val="0"/>
        <w:snapToGrid w:val="0"/>
        <w:spacing w:line="360" w:lineRule="auto"/>
        <w:textAlignment w:val="bottom"/>
        <w:rPr>
          <w:rFonts w:hAnsi="宋体"/>
          <w:b/>
          <w:color w:val="auto"/>
          <w:sz w:val="36"/>
          <w:szCs w:val="36"/>
          <w:highlight w:val="none"/>
        </w:rPr>
      </w:pPr>
    </w:p>
    <w:p w14:paraId="28F8AAA6">
      <w:pPr>
        <w:autoSpaceDE w:val="0"/>
        <w:autoSpaceDN w:val="0"/>
        <w:snapToGrid w:val="0"/>
        <w:spacing w:line="360" w:lineRule="auto"/>
        <w:textAlignment w:val="bottom"/>
        <w:rPr>
          <w:rFonts w:hAnsi="宋体"/>
          <w:b/>
          <w:color w:val="auto"/>
          <w:sz w:val="36"/>
          <w:szCs w:val="36"/>
          <w:highlight w:val="none"/>
        </w:rPr>
      </w:pPr>
    </w:p>
    <w:p w14:paraId="629157CC">
      <w:pPr>
        <w:autoSpaceDE w:val="0"/>
        <w:autoSpaceDN w:val="0"/>
        <w:snapToGrid w:val="0"/>
        <w:spacing w:line="360" w:lineRule="auto"/>
        <w:textAlignment w:val="bottom"/>
        <w:rPr>
          <w:rFonts w:hAnsi="宋体"/>
          <w:b/>
          <w:color w:val="auto"/>
          <w:sz w:val="36"/>
          <w:szCs w:val="36"/>
          <w:highlight w:val="none"/>
        </w:rPr>
      </w:pPr>
    </w:p>
    <w:p w14:paraId="2CC0BAE5">
      <w:pPr>
        <w:autoSpaceDE w:val="0"/>
        <w:autoSpaceDN w:val="0"/>
        <w:snapToGrid w:val="0"/>
        <w:spacing w:line="360" w:lineRule="auto"/>
        <w:textAlignment w:val="bottom"/>
        <w:rPr>
          <w:rFonts w:hAnsi="宋体"/>
          <w:b/>
          <w:color w:val="auto"/>
          <w:sz w:val="36"/>
          <w:szCs w:val="36"/>
          <w:highlight w:val="none"/>
        </w:rPr>
      </w:pPr>
    </w:p>
    <w:p w14:paraId="555AA495">
      <w:pPr>
        <w:autoSpaceDE w:val="0"/>
        <w:autoSpaceDN w:val="0"/>
        <w:snapToGrid w:val="0"/>
        <w:spacing w:line="360" w:lineRule="auto"/>
        <w:textAlignment w:val="bottom"/>
        <w:rPr>
          <w:rFonts w:hAnsi="宋体"/>
          <w:b/>
          <w:color w:val="auto"/>
          <w:sz w:val="36"/>
          <w:szCs w:val="36"/>
          <w:highlight w:val="none"/>
        </w:rPr>
      </w:pPr>
    </w:p>
    <w:p w14:paraId="7F3C9F4A">
      <w:pPr>
        <w:autoSpaceDE w:val="0"/>
        <w:autoSpaceDN w:val="0"/>
        <w:snapToGrid w:val="0"/>
        <w:spacing w:line="360" w:lineRule="auto"/>
        <w:textAlignment w:val="bottom"/>
        <w:rPr>
          <w:rFonts w:hAnsi="宋体"/>
          <w:b/>
          <w:color w:val="auto"/>
          <w:sz w:val="36"/>
          <w:szCs w:val="36"/>
          <w:highlight w:val="none"/>
        </w:rPr>
      </w:pPr>
    </w:p>
    <w:p w14:paraId="004EB06B">
      <w:pPr>
        <w:autoSpaceDE w:val="0"/>
        <w:autoSpaceDN w:val="0"/>
        <w:snapToGrid w:val="0"/>
        <w:spacing w:line="360" w:lineRule="auto"/>
        <w:textAlignment w:val="bottom"/>
        <w:rPr>
          <w:rFonts w:hAnsi="宋体"/>
          <w:b/>
          <w:color w:val="auto"/>
          <w:sz w:val="36"/>
          <w:szCs w:val="36"/>
          <w:highlight w:val="none"/>
        </w:rPr>
      </w:pPr>
    </w:p>
    <w:p w14:paraId="157DEEA7">
      <w:pPr>
        <w:autoSpaceDE w:val="0"/>
        <w:autoSpaceDN w:val="0"/>
        <w:snapToGrid w:val="0"/>
        <w:spacing w:line="360" w:lineRule="auto"/>
        <w:textAlignment w:val="bottom"/>
        <w:rPr>
          <w:rFonts w:hAnsi="宋体"/>
          <w:b/>
          <w:color w:val="auto"/>
          <w:sz w:val="36"/>
          <w:szCs w:val="36"/>
          <w:highlight w:val="none"/>
        </w:rPr>
      </w:pPr>
    </w:p>
    <w:p w14:paraId="1AA120D6">
      <w:pPr>
        <w:jc w:val="center"/>
        <w:outlineLvl w:val="0"/>
        <w:rPr>
          <w:rFonts w:hAnsi="宋体"/>
          <w:b/>
          <w:color w:val="auto"/>
          <w:sz w:val="36"/>
          <w:szCs w:val="36"/>
          <w:highlight w:val="none"/>
        </w:rPr>
      </w:pPr>
      <w:bookmarkStart w:id="146" w:name="_Toc118715101"/>
      <w:r>
        <w:rPr>
          <w:rFonts w:hint="eastAsia" w:hAnsi="宋体"/>
          <w:b/>
          <w:color w:val="auto"/>
          <w:sz w:val="36"/>
          <w:szCs w:val="36"/>
          <w:highlight w:val="none"/>
        </w:rPr>
        <w:t>第五</w:t>
      </w:r>
      <w:r>
        <w:rPr>
          <w:rFonts w:hint="eastAsia" w:hAnsi="宋体"/>
          <w:b/>
          <w:color w:val="auto"/>
          <w:sz w:val="36"/>
          <w:szCs w:val="36"/>
          <w:highlight w:val="none"/>
          <w:lang w:val="en-US" w:eastAsia="zh-CN"/>
        </w:rPr>
        <w:t>章</w:t>
      </w:r>
      <w:r>
        <w:rPr>
          <w:rFonts w:hint="eastAsia" w:hAnsi="宋体"/>
          <w:b/>
          <w:color w:val="auto"/>
          <w:sz w:val="36"/>
          <w:szCs w:val="36"/>
          <w:highlight w:val="none"/>
        </w:rPr>
        <w:t xml:space="preserve"> 合同主要条款</w:t>
      </w:r>
      <w:bookmarkEnd w:id="144"/>
      <w:bookmarkEnd w:id="146"/>
    </w:p>
    <w:p w14:paraId="486EA77C">
      <w:pPr>
        <w:widowControl/>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（合同按采购文件及中标供应商投标文件的内容制定，以下仅为部分主要条款）</w:t>
      </w:r>
    </w:p>
    <w:p w14:paraId="101B1A52">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合同编号：</w:t>
      </w:r>
    </w:p>
    <w:p w14:paraId="1C1796B8">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确认书号：</w:t>
      </w:r>
    </w:p>
    <w:p w14:paraId="620046E4">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甲方（采购人）： </w:t>
      </w:r>
    </w:p>
    <w:p w14:paraId="33C8D4F9">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乙方（供应商）： </w:t>
      </w:r>
    </w:p>
    <w:p w14:paraId="663EBD1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甲乙双方根据</w:t>
      </w:r>
      <w:r>
        <w:rPr>
          <w:rFonts w:hint="eastAsia" w:cs="宋体" w:asciiTheme="minorEastAsia" w:hAnsiTheme="minorEastAsia"/>
          <w:color w:val="auto"/>
          <w:kern w:val="0"/>
          <w:szCs w:val="21"/>
          <w:highlight w:val="none"/>
          <w:u w:val="single"/>
        </w:rPr>
        <w:t xml:space="preserve">    （填写采购代理机构名称）   </w:t>
      </w:r>
      <w:r>
        <w:rPr>
          <w:rFonts w:hint="eastAsia" w:cs="宋体" w:asciiTheme="minorEastAsia" w:hAnsiTheme="minorEastAsia"/>
          <w:color w:val="auto"/>
          <w:kern w:val="0"/>
          <w:szCs w:val="21"/>
          <w:highlight w:val="none"/>
        </w:rPr>
        <w:t>项目编号为的</w:t>
      </w:r>
      <w:r>
        <w:rPr>
          <w:rFonts w:hint="eastAsia" w:cs="宋体" w:asciiTheme="minorEastAsia" w:hAnsiTheme="minorEastAsia"/>
          <w:color w:val="auto"/>
          <w:kern w:val="0"/>
          <w:szCs w:val="21"/>
          <w:highlight w:val="none"/>
          <w:u w:val="single"/>
        </w:rPr>
        <w:t>（标项及名称）</w:t>
      </w:r>
      <w:r>
        <w:rPr>
          <w:rFonts w:hint="eastAsia" w:cs="宋体" w:asciiTheme="minorEastAsia" w:hAnsiTheme="minorEastAsia"/>
          <w:color w:val="auto"/>
          <w:kern w:val="0"/>
          <w:szCs w:val="21"/>
          <w:highlight w:val="none"/>
        </w:rPr>
        <w:t>项目的政府采购交易结果，签署本合同。</w:t>
      </w:r>
    </w:p>
    <w:p w14:paraId="141F47C0">
      <w:pPr>
        <w:keepNext w:val="0"/>
        <w:keepLines w:val="0"/>
        <w:pageBreakBefore w:val="0"/>
        <w:widowControl/>
        <w:numPr>
          <w:ilvl w:val="0"/>
          <w:numId w:val="15"/>
        </w:numPr>
        <w:kinsoku/>
        <w:wordWrap/>
        <w:overflowPunct/>
        <w:topLinePunct w:val="0"/>
        <w:autoSpaceDE/>
        <w:autoSpaceDN/>
        <w:bidi w:val="0"/>
        <w:adjustRightInd/>
        <w:snapToGrid w:val="0"/>
        <w:spacing w:line="370" w:lineRule="exact"/>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服务内容及标准</w:t>
      </w:r>
    </w:p>
    <w:p w14:paraId="7F6FB46A">
      <w:pPr>
        <w:keepNext w:val="0"/>
        <w:keepLines w:val="0"/>
        <w:pageBreakBefore w:val="0"/>
        <w:widowControl/>
        <w:kinsoku/>
        <w:wordWrap/>
        <w:overflowPunct/>
        <w:topLinePunct w:val="0"/>
        <w:autoSpaceDE/>
        <w:autoSpaceDN/>
        <w:bidi w:val="0"/>
        <w:adjustRightInd/>
        <w:snapToGrid w:val="0"/>
        <w:spacing w:line="370" w:lineRule="exact"/>
        <w:ind w:left="48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（按采购需求及投标文件的内容填写）</w:t>
      </w:r>
    </w:p>
    <w:p w14:paraId="6F56791C">
      <w:pPr>
        <w:keepNext w:val="0"/>
        <w:keepLines w:val="0"/>
        <w:pageBreakBefore w:val="0"/>
        <w:widowControl/>
        <w:numPr>
          <w:ilvl w:val="0"/>
          <w:numId w:val="15"/>
        </w:numPr>
        <w:kinsoku/>
        <w:wordWrap/>
        <w:overflowPunct/>
        <w:topLinePunct w:val="0"/>
        <w:autoSpaceDE/>
        <w:autoSpaceDN/>
        <w:bidi w:val="0"/>
        <w:adjustRightInd/>
        <w:snapToGrid w:val="0"/>
        <w:spacing w:line="370" w:lineRule="exact"/>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服务价格</w:t>
      </w:r>
    </w:p>
    <w:p w14:paraId="3E386A31">
      <w:pPr>
        <w:keepNext w:val="0"/>
        <w:keepLines w:val="0"/>
        <w:pageBreakBefore w:val="0"/>
        <w:widowControl/>
        <w:kinsoku/>
        <w:wordWrap/>
        <w:overflowPunct/>
        <w:topLinePunct w:val="0"/>
        <w:autoSpaceDE/>
        <w:autoSpaceDN/>
        <w:bidi w:val="0"/>
        <w:adjustRightInd/>
        <w:snapToGrid w:val="0"/>
        <w:spacing w:line="370" w:lineRule="exact"/>
        <w:ind w:left="48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（有服务分项的，需报分项价格和总价）</w:t>
      </w:r>
    </w:p>
    <w:p w14:paraId="280F7F91">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三、技术资料</w:t>
      </w:r>
    </w:p>
    <w:p w14:paraId="6A1B1EC9">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1.乙方应按采购文件规定的时间向甲方提供与本项目有关的技术资料。</w:t>
      </w:r>
    </w:p>
    <w:p w14:paraId="1DA66ED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245608">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四、知识产权</w:t>
      </w:r>
    </w:p>
    <w:p w14:paraId="0E303F6E">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1、乙方应保证所提供的货物与服务均不会侵犯任何第三方的知识产权。</w:t>
      </w:r>
    </w:p>
    <w:p w14:paraId="7E00216C">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2、乙方保证所交付的服务的所有权完全属于乙方且无任何抵押、查封等产权瑕疵。</w:t>
      </w:r>
    </w:p>
    <w:p w14:paraId="61C82BEC">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五、转包或分包</w:t>
      </w:r>
    </w:p>
    <w:p w14:paraId="01723CC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不允许转包。</w:t>
      </w:r>
    </w:p>
    <w:p w14:paraId="25580EE1">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允许分包部分。</w:t>
      </w:r>
    </w:p>
    <w:p w14:paraId="383C26D2">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如乙方将项目转包或将不允许分包部分进行了分包，甲方有权解除合同，并追究乙方的违约责任。</w:t>
      </w:r>
    </w:p>
    <w:p w14:paraId="1BEADA77">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六、样品</w:t>
      </w:r>
    </w:p>
    <w:p w14:paraId="4BD4837D">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样品检测完毕后归采购人所有</w:t>
      </w:r>
    </w:p>
    <w:p w14:paraId="3BB5583C">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七、项目服务期限及实施地点</w:t>
      </w:r>
    </w:p>
    <w:p w14:paraId="4547C56F">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1.服务期限：</w:t>
      </w:r>
    </w:p>
    <w:p w14:paraId="4A5F205B">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2.实施地点：</w:t>
      </w:r>
    </w:p>
    <w:p w14:paraId="2370B02D">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八、付款</w:t>
      </w:r>
    </w:p>
    <w:p w14:paraId="4C66454E">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付款方式：</w:t>
      </w:r>
    </w:p>
    <w:p w14:paraId="5EC0C9CE">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九、税费</w:t>
      </w:r>
    </w:p>
    <w:p w14:paraId="156635E3">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本合同执行中相关的一切税费均由乙方负担。</w:t>
      </w:r>
    </w:p>
    <w:p w14:paraId="6F699203">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十、违约责任</w:t>
      </w:r>
    </w:p>
    <w:p w14:paraId="236AB24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1.甲方无正当理由拒绝验收项目的，甲方向乙方偿付拒收合同总价的百分之五违约金。</w:t>
      </w:r>
    </w:p>
    <w:p w14:paraId="2FB4D8AF">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2.甲方无故逾期验收和办理合同款项支付手续的,甲方应按逾期付款总额每日万分之五向乙方支付违约金。</w:t>
      </w:r>
    </w:p>
    <w:p w14:paraId="152F0776">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37FD4C3">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4.乙方所履行的服务质量或服务数量不符合合同规定及采购文件规定的，甲方有权中止接受服务，单方面解除合同，且相关损失由乙方承担。</w:t>
      </w:r>
    </w:p>
    <w:p w14:paraId="79289A3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5.解除合同应按《浙江省合同管理办法》向财政备案。</w:t>
      </w:r>
    </w:p>
    <w:p w14:paraId="0C543270">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十</w:t>
      </w:r>
      <w:r>
        <w:rPr>
          <w:rFonts w:hint="eastAsia" w:cs="宋体" w:asciiTheme="minorEastAsia" w:hAnsiTheme="minorEastAsia"/>
          <w:b/>
          <w:bCs/>
          <w:color w:val="auto"/>
          <w:kern w:val="0"/>
          <w:szCs w:val="21"/>
          <w:highlight w:val="none"/>
          <w:lang w:val="en-US" w:eastAsia="zh-CN"/>
        </w:rPr>
        <w:t>一</w:t>
      </w:r>
      <w:r>
        <w:rPr>
          <w:rFonts w:hint="eastAsia" w:cs="宋体" w:asciiTheme="minorEastAsia" w:hAnsiTheme="minorEastAsia"/>
          <w:b/>
          <w:bCs/>
          <w:color w:val="auto"/>
          <w:kern w:val="0"/>
          <w:szCs w:val="21"/>
          <w:highlight w:val="none"/>
        </w:rPr>
        <w:t>、不可抗力事件处理</w:t>
      </w:r>
    </w:p>
    <w:p w14:paraId="2402B2EC">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1.在合同有效期内，任何一方因不可抗力事件导致不能履行合同，则合同履行期可延长，其延长期与不可抗力影响期相同。</w:t>
      </w:r>
    </w:p>
    <w:p w14:paraId="5BF06206">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2.不可抗力事件发生后，应立即通知对方，并寄送有关权威机构出具的证明。</w:t>
      </w:r>
    </w:p>
    <w:p w14:paraId="2C26ADCB">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3.不可抗力事件延续120天以上，双方应通过友好协商，确定是否继续履行合同。</w:t>
      </w:r>
    </w:p>
    <w:p w14:paraId="3319C22E">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十</w:t>
      </w:r>
      <w:r>
        <w:rPr>
          <w:rFonts w:hint="eastAsia" w:cs="宋体" w:asciiTheme="minorEastAsia" w:hAnsiTheme="minorEastAsia"/>
          <w:b/>
          <w:bCs/>
          <w:color w:val="auto"/>
          <w:kern w:val="0"/>
          <w:szCs w:val="21"/>
          <w:highlight w:val="none"/>
          <w:lang w:val="en-US" w:eastAsia="zh-CN"/>
        </w:rPr>
        <w:t>二</w:t>
      </w:r>
      <w:r>
        <w:rPr>
          <w:rFonts w:hint="eastAsia" w:cs="宋体" w:asciiTheme="minorEastAsia" w:hAnsiTheme="minorEastAsia"/>
          <w:b/>
          <w:bCs/>
          <w:color w:val="auto"/>
          <w:kern w:val="0"/>
          <w:szCs w:val="21"/>
          <w:highlight w:val="none"/>
        </w:rPr>
        <w:t>、诉讼</w:t>
      </w:r>
    </w:p>
    <w:p w14:paraId="4415F2F5">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双方在执行合同中所发生的一切争议，应通过协商解决。如协商不成，可向甲方所在地法院起诉。</w:t>
      </w:r>
    </w:p>
    <w:p w14:paraId="00302C64">
      <w:pPr>
        <w:keepNext w:val="0"/>
        <w:keepLines w:val="0"/>
        <w:pageBreakBefore w:val="0"/>
        <w:widowControl/>
        <w:kinsoku/>
        <w:wordWrap/>
        <w:overflowPunct/>
        <w:topLinePunct w:val="0"/>
        <w:autoSpaceDE/>
        <w:autoSpaceDN/>
        <w:bidi w:val="0"/>
        <w:adjustRightInd/>
        <w:snapToGrid w:val="0"/>
        <w:spacing w:line="370" w:lineRule="exact"/>
        <w:ind w:firstLine="422" w:firstLineChars="200"/>
        <w:textAlignment w:val="auto"/>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十</w:t>
      </w:r>
      <w:r>
        <w:rPr>
          <w:rFonts w:hint="eastAsia" w:cs="宋体" w:asciiTheme="minorEastAsia" w:hAnsiTheme="minorEastAsia"/>
          <w:b/>
          <w:bCs/>
          <w:color w:val="auto"/>
          <w:kern w:val="0"/>
          <w:szCs w:val="21"/>
          <w:highlight w:val="none"/>
          <w:lang w:val="en-US" w:eastAsia="zh-CN"/>
        </w:rPr>
        <w:t>三</w:t>
      </w:r>
      <w:r>
        <w:rPr>
          <w:rFonts w:hint="eastAsia" w:cs="宋体" w:asciiTheme="minorEastAsia" w:hAnsiTheme="minorEastAsia"/>
          <w:b/>
          <w:bCs/>
          <w:color w:val="auto"/>
          <w:kern w:val="0"/>
          <w:szCs w:val="21"/>
          <w:highlight w:val="none"/>
        </w:rPr>
        <w:t>、合同生效及其他</w:t>
      </w:r>
    </w:p>
    <w:p w14:paraId="07D29900">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1.合同经甲、乙双方签名并加盖单位公章后生效。</w:t>
      </w:r>
    </w:p>
    <w:p w14:paraId="33C43DF8">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2.采购文件、投标文件与本合同具有同等法律效力。</w:t>
      </w:r>
    </w:p>
    <w:p w14:paraId="0026417D">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3.本合同未尽事宜，遵照《合同法》有关条文执行。</w:t>
      </w:r>
    </w:p>
    <w:p w14:paraId="558EFA14">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4.本合同一式五份，具有同等法律效力，甲、乙双方各执二份，采购代理机构一份。</w:t>
      </w:r>
    </w:p>
    <w:p w14:paraId="5AFFA097">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hint="eastAsia" w:cs="宋体" w:asciiTheme="minorEastAsia" w:hAnsiTheme="minorEastAsia"/>
          <w:color w:val="auto"/>
          <w:kern w:val="0"/>
          <w:szCs w:val="21"/>
          <w:highlight w:val="none"/>
        </w:rPr>
      </w:pPr>
    </w:p>
    <w:p w14:paraId="4F88E679">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甲方（盖章）：                                   </w:t>
      </w:r>
    </w:p>
    <w:p w14:paraId="5F86AD93">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地址：                                   </w:t>
      </w:r>
    </w:p>
    <w:p w14:paraId="6E0CE580">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法定（授权）代表人：                   </w:t>
      </w:r>
    </w:p>
    <w:p w14:paraId="5BBD5B09">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签名日期：     年   月   日           </w:t>
      </w:r>
    </w:p>
    <w:p w14:paraId="26A6A44D">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p>
    <w:p w14:paraId="5D636EB3">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乙方（盖章）：</w:t>
      </w:r>
    </w:p>
    <w:p w14:paraId="6707AE5C">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地址： </w:t>
      </w:r>
    </w:p>
    <w:p w14:paraId="236B846D">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开户行：</w:t>
      </w:r>
    </w:p>
    <w:p w14:paraId="7E3FA640">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开户账号：</w:t>
      </w:r>
    </w:p>
    <w:p w14:paraId="6698CF28">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法定（授权）代表人：</w:t>
      </w:r>
    </w:p>
    <w:p w14:paraId="5E34032C">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签名日期：      年   月   日</w:t>
      </w:r>
    </w:p>
    <w:p w14:paraId="60F1ED09">
      <w:pPr>
        <w:rPr>
          <w:color w:val="auto"/>
          <w:highlight w:val="none"/>
        </w:rPr>
      </w:pPr>
    </w:p>
    <w:p w14:paraId="76F5CE72">
      <w:pPr>
        <w:pStyle w:val="42"/>
        <w:snapToGrid w:val="0"/>
        <w:spacing w:beforeLines="50" w:afterLines="50" w:line="500" w:lineRule="exact"/>
        <w:jc w:val="center"/>
        <w:rPr>
          <w:rFonts w:hAnsi="宋体"/>
          <w:color w:val="auto"/>
          <w:sz w:val="24"/>
          <w:szCs w:val="24"/>
          <w:highlight w:val="none"/>
        </w:rPr>
      </w:pPr>
      <w:r>
        <w:rPr>
          <w:rFonts w:hint="eastAsia" w:hAnsi="宋体"/>
          <w:color w:val="auto"/>
          <w:sz w:val="24"/>
          <w:highlight w:val="none"/>
        </w:rPr>
        <w:t xml:space="preserve">                   </w:t>
      </w:r>
    </w:p>
    <w:p w14:paraId="3802506E">
      <w:pPr>
        <w:pStyle w:val="2"/>
        <w:spacing w:line="360" w:lineRule="auto"/>
        <w:rPr>
          <w:rFonts w:hAnsi="宋体" w:cs="宋体"/>
          <w:b/>
          <w:bCs/>
          <w:color w:val="auto"/>
          <w:highlight w:val="none"/>
        </w:rPr>
      </w:pPr>
      <w:bookmarkStart w:id="147" w:name="_Toc118715102"/>
      <w:bookmarkStart w:id="148" w:name="_Toc107927552"/>
      <w:bookmarkStart w:id="149" w:name="_Toc107927472"/>
      <w:r>
        <w:rPr>
          <w:rFonts w:hint="eastAsia" w:hAnsi="宋体" w:cs="宋体"/>
          <w:b/>
          <w:bCs/>
          <w:color w:val="auto"/>
          <w:highlight w:val="none"/>
        </w:rPr>
        <w:t>第六章  投标文件格式</w:t>
      </w:r>
      <w:bookmarkEnd w:id="127"/>
      <w:bookmarkEnd w:id="128"/>
      <w:bookmarkEnd w:id="129"/>
      <w:bookmarkEnd w:id="130"/>
      <w:bookmarkEnd w:id="131"/>
      <w:bookmarkEnd w:id="132"/>
      <w:bookmarkEnd w:id="145"/>
      <w:bookmarkEnd w:id="147"/>
      <w:bookmarkEnd w:id="148"/>
      <w:bookmarkEnd w:id="149"/>
      <w:bookmarkStart w:id="150" w:name="_Toc339302147"/>
      <w:bookmarkStart w:id="151" w:name="_Toc340321931"/>
      <w:bookmarkStart w:id="152" w:name="_Toc340322186"/>
      <w:bookmarkStart w:id="153" w:name="_Toc180555954"/>
      <w:bookmarkStart w:id="154" w:name="_Toc489481899"/>
      <w:bookmarkStart w:id="155" w:name="_Toc32609"/>
    </w:p>
    <w:tbl>
      <w:tblPr>
        <w:tblStyle w:val="79"/>
        <w:tblpPr w:leftFromText="180" w:rightFromText="180" w:vertAnchor="page" w:horzAnchor="margin" w:tblpY="3571"/>
        <w:tblW w:w="0" w:type="auto"/>
        <w:tblInd w:w="0" w:type="dxa"/>
        <w:tblLayout w:type="fixed"/>
        <w:tblCellMar>
          <w:top w:w="0" w:type="dxa"/>
          <w:left w:w="108" w:type="dxa"/>
          <w:bottom w:w="0" w:type="dxa"/>
          <w:right w:w="108" w:type="dxa"/>
        </w:tblCellMar>
      </w:tblPr>
      <w:tblGrid>
        <w:gridCol w:w="815"/>
        <w:gridCol w:w="1703"/>
        <w:gridCol w:w="3544"/>
        <w:gridCol w:w="1417"/>
        <w:gridCol w:w="1560"/>
      </w:tblGrid>
      <w:tr w14:paraId="1974C657">
        <w:tblPrEx>
          <w:tblCellMar>
            <w:top w:w="0" w:type="dxa"/>
            <w:left w:w="108" w:type="dxa"/>
            <w:bottom w:w="0" w:type="dxa"/>
            <w:right w:w="108" w:type="dxa"/>
          </w:tblCellMar>
        </w:tblPrEx>
        <w:trPr>
          <w:trHeight w:val="812"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66B49560">
            <w:pPr>
              <w:widowControl/>
              <w:spacing w:after="120" w:line="360" w:lineRule="auto"/>
              <w:ind w:left="-854" w:firstLine="854"/>
              <w:jc w:val="center"/>
              <w:rPr>
                <w:rFonts w:ascii="宋体" w:hAnsi="宋体" w:cs="宋体"/>
                <w:color w:val="auto"/>
                <w:kern w:val="0"/>
                <w:sz w:val="18"/>
                <w:szCs w:val="18"/>
                <w:highlight w:val="none"/>
              </w:rPr>
            </w:pPr>
            <w:r>
              <w:rPr>
                <w:rFonts w:hint="eastAsia" w:ascii="宋体" w:hAnsi="宋体" w:cs="宋体"/>
                <w:color w:val="auto"/>
                <w:kern w:val="0"/>
                <w:szCs w:val="16"/>
                <w:highlight w:val="none"/>
              </w:rPr>
              <w:t>序号</w:t>
            </w:r>
          </w:p>
        </w:tc>
        <w:tc>
          <w:tcPr>
            <w:tcW w:w="1703" w:type="dxa"/>
            <w:tcBorders>
              <w:top w:val="single" w:color="000000" w:sz="4" w:space="0"/>
              <w:left w:val="nil"/>
              <w:bottom w:val="single" w:color="000000" w:sz="4" w:space="0"/>
              <w:right w:val="single" w:color="auto" w:sz="4" w:space="0"/>
            </w:tcBorders>
            <w:vAlign w:val="center"/>
          </w:tcPr>
          <w:p w14:paraId="2F99A169">
            <w:pPr>
              <w:widowControl/>
              <w:spacing w:after="120" w:line="360" w:lineRule="auto"/>
              <w:jc w:val="center"/>
              <w:rPr>
                <w:rFonts w:ascii="宋体" w:hAnsi="宋体" w:cs="宋体"/>
                <w:color w:val="auto"/>
                <w:kern w:val="0"/>
                <w:sz w:val="18"/>
                <w:szCs w:val="18"/>
                <w:highlight w:val="none"/>
              </w:rPr>
            </w:pPr>
            <w:r>
              <w:rPr>
                <w:rFonts w:hint="eastAsia" w:ascii="宋体" w:hAnsi="宋体" w:cs="宋体"/>
                <w:color w:val="auto"/>
                <w:kern w:val="0"/>
                <w:szCs w:val="16"/>
                <w:highlight w:val="none"/>
              </w:rPr>
              <w:t>评审内容</w:t>
            </w:r>
          </w:p>
        </w:tc>
        <w:tc>
          <w:tcPr>
            <w:tcW w:w="3544" w:type="dxa"/>
            <w:tcBorders>
              <w:top w:val="single" w:color="000000" w:sz="4" w:space="0"/>
              <w:left w:val="single" w:color="auto" w:sz="4" w:space="0"/>
              <w:bottom w:val="single" w:color="000000" w:sz="4" w:space="0"/>
              <w:right w:val="single" w:color="000000" w:sz="4" w:space="0"/>
            </w:tcBorders>
            <w:vAlign w:val="center"/>
          </w:tcPr>
          <w:p w14:paraId="7874F004">
            <w:pPr>
              <w:spacing w:after="120" w:line="360" w:lineRule="auto"/>
              <w:jc w:val="center"/>
              <w:rPr>
                <w:rFonts w:ascii="宋体" w:hAnsi="宋体" w:cs="宋体"/>
                <w:color w:val="auto"/>
                <w:kern w:val="0"/>
                <w:sz w:val="18"/>
                <w:szCs w:val="18"/>
                <w:highlight w:val="none"/>
              </w:rPr>
            </w:pPr>
            <w:r>
              <w:rPr>
                <w:rFonts w:hint="eastAsia" w:ascii="宋体" w:hAnsi="宋体" w:cs="宋体"/>
                <w:color w:val="auto"/>
                <w:kern w:val="0"/>
                <w:szCs w:val="16"/>
                <w:highlight w:val="none"/>
              </w:rPr>
              <w:t>评审标准</w:t>
            </w:r>
          </w:p>
        </w:tc>
        <w:tc>
          <w:tcPr>
            <w:tcW w:w="1417" w:type="dxa"/>
            <w:tcBorders>
              <w:top w:val="single" w:color="000000" w:sz="4" w:space="0"/>
              <w:left w:val="nil"/>
              <w:bottom w:val="single" w:color="000000" w:sz="4" w:space="0"/>
              <w:right w:val="single" w:color="000000" w:sz="4" w:space="0"/>
            </w:tcBorders>
            <w:vAlign w:val="center"/>
          </w:tcPr>
          <w:p w14:paraId="163308CA">
            <w:pPr>
              <w:widowControl/>
              <w:spacing w:after="120" w:line="360" w:lineRule="auto"/>
              <w:jc w:val="center"/>
              <w:rPr>
                <w:rFonts w:ascii="宋体" w:hAnsi="宋体" w:cs="宋体"/>
                <w:color w:val="auto"/>
                <w:kern w:val="0"/>
                <w:sz w:val="18"/>
                <w:szCs w:val="18"/>
                <w:highlight w:val="none"/>
              </w:rPr>
            </w:pPr>
            <w:r>
              <w:rPr>
                <w:rFonts w:hint="eastAsia" w:ascii="宋体" w:hAnsi="宋体" w:cs="宋体"/>
                <w:color w:val="auto"/>
                <w:kern w:val="0"/>
                <w:szCs w:val="16"/>
                <w:highlight w:val="none"/>
              </w:rPr>
              <w:t>评审分值</w:t>
            </w:r>
          </w:p>
        </w:tc>
        <w:tc>
          <w:tcPr>
            <w:tcW w:w="1560" w:type="dxa"/>
            <w:tcBorders>
              <w:top w:val="single" w:color="000000" w:sz="4" w:space="0"/>
              <w:left w:val="nil"/>
              <w:bottom w:val="single" w:color="000000" w:sz="4" w:space="0"/>
              <w:right w:val="single" w:color="000000" w:sz="4" w:space="0"/>
            </w:tcBorders>
            <w:vAlign w:val="center"/>
          </w:tcPr>
          <w:p w14:paraId="76B071AC">
            <w:pPr>
              <w:widowControl/>
              <w:spacing w:after="120" w:line="360" w:lineRule="auto"/>
              <w:jc w:val="center"/>
              <w:rPr>
                <w:rFonts w:ascii="宋体" w:hAnsi="宋体" w:cs="宋体"/>
                <w:color w:val="auto"/>
                <w:kern w:val="0"/>
                <w:sz w:val="18"/>
                <w:szCs w:val="18"/>
                <w:highlight w:val="none"/>
              </w:rPr>
            </w:pPr>
            <w:r>
              <w:rPr>
                <w:rFonts w:hint="eastAsia" w:ascii="宋体" w:hAnsi="宋体" w:cs="宋体"/>
                <w:color w:val="auto"/>
                <w:kern w:val="0"/>
                <w:szCs w:val="16"/>
                <w:highlight w:val="none"/>
              </w:rPr>
              <w:t>对应页码范围</w:t>
            </w:r>
          </w:p>
        </w:tc>
      </w:tr>
      <w:tr w14:paraId="2FF267BA">
        <w:tblPrEx>
          <w:tblCellMar>
            <w:top w:w="0" w:type="dxa"/>
            <w:left w:w="108" w:type="dxa"/>
            <w:bottom w:w="0" w:type="dxa"/>
            <w:right w:w="108" w:type="dxa"/>
          </w:tblCellMar>
        </w:tblPrEx>
        <w:trPr>
          <w:trHeight w:val="1064"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53933F64">
            <w:pPr>
              <w:pStyle w:val="432"/>
              <w:spacing w:line="360" w:lineRule="auto"/>
              <w:jc w:val="center"/>
              <w:rPr>
                <w:rFonts w:cs="宋体"/>
                <w:color w:val="auto"/>
                <w:sz w:val="21"/>
                <w:szCs w:val="21"/>
                <w:highlight w:val="none"/>
              </w:rPr>
            </w:pPr>
          </w:p>
        </w:tc>
        <w:tc>
          <w:tcPr>
            <w:tcW w:w="1703" w:type="dxa"/>
            <w:tcBorders>
              <w:top w:val="single" w:color="000000" w:sz="4" w:space="0"/>
              <w:left w:val="nil"/>
              <w:bottom w:val="single" w:color="000000" w:sz="4" w:space="0"/>
              <w:right w:val="single" w:color="auto" w:sz="4" w:space="0"/>
            </w:tcBorders>
            <w:vAlign w:val="center"/>
          </w:tcPr>
          <w:p w14:paraId="1016E2A2">
            <w:pPr>
              <w:pStyle w:val="432"/>
              <w:spacing w:line="360" w:lineRule="auto"/>
              <w:jc w:val="center"/>
              <w:rPr>
                <w:rFonts w:cs="宋体"/>
                <w:color w:val="auto"/>
                <w:sz w:val="21"/>
                <w:szCs w:val="21"/>
                <w:highlight w:val="none"/>
              </w:rPr>
            </w:pPr>
          </w:p>
        </w:tc>
        <w:tc>
          <w:tcPr>
            <w:tcW w:w="3544" w:type="dxa"/>
            <w:tcBorders>
              <w:top w:val="single" w:color="000000" w:sz="4" w:space="0"/>
              <w:left w:val="single" w:color="auto" w:sz="4" w:space="0"/>
              <w:bottom w:val="single" w:color="000000" w:sz="4" w:space="0"/>
              <w:right w:val="single" w:color="000000" w:sz="4" w:space="0"/>
            </w:tcBorders>
            <w:vAlign w:val="center"/>
          </w:tcPr>
          <w:p w14:paraId="0A44899A">
            <w:pPr>
              <w:pStyle w:val="432"/>
              <w:spacing w:line="360" w:lineRule="auto"/>
              <w:jc w:val="center"/>
              <w:rPr>
                <w:rFonts w:cs="宋体"/>
                <w:color w:val="auto"/>
                <w:sz w:val="21"/>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2E8508CB">
            <w:pPr>
              <w:widowControl/>
              <w:snapToGrid w:val="0"/>
              <w:spacing w:line="360" w:lineRule="auto"/>
              <w:jc w:val="center"/>
              <w:rPr>
                <w:rFonts w:ascii="宋体" w:hAnsi="宋体" w:cs="宋体"/>
                <w:color w:val="auto"/>
                <w:kern w:val="0"/>
                <w:szCs w:val="21"/>
                <w:highlight w:val="none"/>
              </w:rPr>
            </w:pPr>
          </w:p>
        </w:tc>
        <w:tc>
          <w:tcPr>
            <w:tcW w:w="1560" w:type="dxa"/>
            <w:tcBorders>
              <w:top w:val="single" w:color="000000" w:sz="4" w:space="0"/>
              <w:left w:val="nil"/>
              <w:bottom w:val="single" w:color="000000" w:sz="4" w:space="0"/>
              <w:right w:val="single" w:color="000000" w:sz="4" w:space="0"/>
            </w:tcBorders>
            <w:vAlign w:val="center"/>
          </w:tcPr>
          <w:p w14:paraId="712B537E">
            <w:pPr>
              <w:widowControl/>
              <w:spacing w:after="120" w:line="360" w:lineRule="auto"/>
              <w:jc w:val="center"/>
              <w:rPr>
                <w:rFonts w:ascii="宋体" w:hAnsi="宋体" w:cs="宋体"/>
                <w:color w:val="auto"/>
                <w:kern w:val="0"/>
                <w:szCs w:val="21"/>
                <w:highlight w:val="none"/>
              </w:rPr>
            </w:pPr>
          </w:p>
        </w:tc>
      </w:tr>
      <w:tr w14:paraId="57761D73">
        <w:tblPrEx>
          <w:tblCellMar>
            <w:top w:w="0" w:type="dxa"/>
            <w:left w:w="108" w:type="dxa"/>
            <w:bottom w:w="0" w:type="dxa"/>
            <w:right w:w="108" w:type="dxa"/>
          </w:tblCellMar>
        </w:tblPrEx>
        <w:trPr>
          <w:trHeight w:val="1246"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3DE7F891">
            <w:pPr>
              <w:pStyle w:val="432"/>
              <w:spacing w:line="360" w:lineRule="auto"/>
              <w:jc w:val="center"/>
              <w:rPr>
                <w:rFonts w:cs="宋体"/>
                <w:color w:val="auto"/>
                <w:sz w:val="21"/>
                <w:szCs w:val="21"/>
                <w:highlight w:val="none"/>
              </w:rPr>
            </w:pPr>
          </w:p>
        </w:tc>
        <w:tc>
          <w:tcPr>
            <w:tcW w:w="1703" w:type="dxa"/>
            <w:tcBorders>
              <w:top w:val="single" w:color="000000" w:sz="4" w:space="0"/>
              <w:left w:val="nil"/>
              <w:bottom w:val="single" w:color="000000" w:sz="4" w:space="0"/>
              <w:right w:val="single" w:color="auto" w:sz="4" w:space="0"/>
            </w:tcBorders>
            <w:vAlign w:val="center"/>
          </w:tcPr>
          <w:p w14:paraId="3C43DCF6">
            <w:pPr>
              <w:pStyle w:val="432"/>
              <w:spacing w:line="360" w:lineRule="auto"/>
              <w:jc w:val="center"/>
              <w:rPr>
                <w:rFonts w:cs="宋体"/>
                <w:color w:val="auto"/>
                <w:sz w:val="21"/>
                <w:szCs w:val="21"/>
                <w:highlight w:val="none"/>
              </w:rPr>
            </w:pPr>
          </w:p>
        </w:tc>
        <w:tc>
          <w:tcPr>
            <w:tcW w:w="3544" w:type="dxa"/>
            <w:tcBorders>
              <w:top w:val="single" w:color="000000" w:sz="4" w:space="0"/>
              <w:left w:val="single" w:color="auto" w:sz="4" w:space="0"/>
              <w:bottom w:val="single" w:color="000000" w:sz="4" w:space="0"/>
              <w:right w:val="single" w:color="000000" w:sz="4" w:space="0"/>
            </w:tcBorders>
            <w:vAlign w:val="center"/>
          </w:tcPr>
          <w:p w14:paraId="6BFDE583">
            <w:pPr>
              <w:pStyle w:val="432"/>
              <w:spacing w:line="360" w:lineRule="auto"/>
              <w:jc w:val="center"/>
              <w:rPr>
                <w:rFonts w:cs="宋体"/>
                <w:color w:val="auto"/>
                <w:sz w:val="21"/>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3A407476">
            <w:pPr>
              <w:spacing w:line="360" w:lineRule="auto"/>
              <w:jc w:val="center"/>
              <w:rPr>
                <w:rFonts w:ascii="宋体" w:hAnsi="宋体" w:cs="宋体"/>
                <w:color w:val="auto"/>
                <w:szCs w:val="21"/>
                <w:highlight w:val="none"/>
              </w:rPr>
            </w:pPr>
          </w:p>
        </w:tc>
        <w:tc>
          <w:tcPr>
            <w:tcW w:w="1560" w:type="dxa"/>
            <w:tcBorders>
              <w:top w:val="single" w:color="000000" w:sz="4" w:space="0"/>
              <w:left w:val="nil"/>
              <w:bottom w:val="single" w:color="000000" w:sz="4" w:space="0"/>
              <w:right w:val="single" w:color="000000" w:sz="4" w:space="0"/>
            </w:tcBorders>
            <w:vAlign w:val="center"/>
          </w:tcPr>
          <w:p w14:paraId="1B543B18">
            <w:pPr>
              <w:widowControl/>
              <w:spacing w:line="360" w:lineRule="auto"/>
              <w:jc w:val="center"/>
              <w:rPr>
                <w:rFonts w:ascii="宋体" w:hAnsi="宋体" w:cs="宋体"/>
                <w:color w:val="auto"/>
                <w:kern w:val="0"/>
                <w:szCs w:val="21"/>
                <w:highlight w:val="none"/>
              </w:rPr>
            </w:pPr>
          </w:p>
        </w:tc>
      </w:tr>
      <w:tr w14:paraId="02FE4C51">
        <w:tblPrEx>
          <w:tblCellMar>
            <w:top w:w="0" w:type="dxa"/>
            <w:left w:w="108" w:type="dxa"/>
            <w:bottom w:w="0" w:type="dxa"/>
            <w:right w:w="108" w:type="dxa"/>
          </w:tblCellMar>
        </w:tblPrEx>
        <w:trPr>
          <w:trHeight w:val="1083"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1C4588ED">
            <w:pPr>
              <w:pStyle w:val="432"/>
              <w:spacing w:line="360" w:lineRule="auto"/>
              <w:jc w:val="center"/>
              <w:rPr>
                <w:rFonts w:cs="宋体"/>
                <w:color w:val="auto"/>
                <w:sz w:val="21"/>
                <w:szCs w:val="21"/>
                <w:highlight w:val="none"/>
              </w:rPr>
            </w:pPr>
          </w:p>
        </w:tc>
        <w:tc>
          <w:tcPr>
            <w:tcW w:w="1703" w:type="dxa"/>
            <w:tcBorders>
              <w:top w:val="single" w:color="000000" w:sz="4" w:space="0"/>
              <w:left w:val="nil"/>
              <w:bottom w:val="single" w:color="000000" w:sz="4" w:space="0"/>
              <w:right w:val="single" w:color="auto" w:sz="4" w:space="0"/>
            </w:tcBorders>
            <w:vAlign w:val="center"/>
          </w:tcPr>
          <w:p w14:paraId="56771C4F">
            <w:pPr>
              <w:pStyle w:val="432"/>
              <w:spacing w:line="360" w:lineRule="auto"/>
              <w:jc w:val="center"/>
              <w:rPr>
                <w:rFonts w:cs="宋体"/>
                <w:color w:val="auto"/>
                <w:sz w:val="21"/>
                <w:szCs w:val="21"/>
                <w:highlight w:val="none"/>
              </w:rPr>
            </w:pPr>
          </w:p>
        </w:tc>
        <w:tc>
          <w:tcPr>
            <w:tcW w:w="3544" w:type="dxa"/>
            <w:tcBorders>
              <w:top w:val="single" w:color="000000" w:sz="4" w:space="0"/>
              <w:left w:val="single" w:color="auto" w:sz="4" w:space="0"/>
              <w:bottom w:val="single" w:color="000000" w:sz="4" w:space="0"/>
              <w:right w:val="single" w:color="000000" w:sz="4" w:space="0"/>
            </w:tcBorders>
            <w:vAlign w:val="center"/>
          </w:tcPr>
          <w:p w14:paraId="210909D3">
            <w:pPr>
              <w:pStyle w:val="432"/>
              <w:spacing w:line="360" w:lineRule="auto"/>
              <w:jc w:val="center"/>
              <w:rPr>
                <w:rFonts w:cs="宋体"/>
                <w:color w:val="auto"/>
                <w:sz w:val="21"/>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69D9B88E">
            <w:pPr>
              <w:spacing w:line="360" w:lineRule="auto"/>
              <w:jc w:val="center"/>
              <w:rPr>
                <w:rFonts w:ascii="宋体" w:hAnsi="宋体" w:cs="宋体"/>
                <w:color w:val="auto"/>
                <w:szCs w:val="21"/>
                <w:highlight w:val="none"/>
              </w:rPr>
            </w:pPr>
          </w:p>
        </w:tc>
        <w:tc>
          <w:tcPr>
            <w:tcW w:w="1560" w:type="dxa"/>
            <w:tcBorders>
              <w:top w:val="single" w:color="000000" w:sz="4" w:space="0"/>
              <w:left w:val="nil"/>
              <w:bottom w:val="single" w:color="000000" w:sz="4" w:space="0"/>
              <w:right w:val="single" w:color="000000" w:sz="4" w:space="0"/>
            </w:tcBorders>
            <w:vAlign w:val="center"/>
          </w:tcPr>
          <w:p w14:paraId="2F2D80A0">
            <w:pPr>
              <w:widowControl/>
              <w:spacing w:line="360" w:lineRule="auto"/>
              <w:jc w:val="center"/>
              <w:rPr>
                <w:rFonts w:ascii="宋体" w:hAnsi="宋体" w:cs="宋体"/>
                <w:color w:val="auto"/>
                <w:kern w:val="0"/>
                <w:szCs w:val="21"/>
                <w:highlight w:val="none"/>
              </w:rPr>
            </w:pPr>
          </w:p>
        </w:tc>
      </w:tr>
      <w:tr w14:paraId="37DBADC0">
        <w:tblPrEx>
          <w:tblCellMar>
            <w:top w:w="0" w:type="dxa"/>
            <w:left w:w="108" w:type="dxa"/>
            <w:bottom w:w="0" w:type="dxa"/>
            <w:right w:w="108" w:type="dxa"/>
          </w:tblCellMar>
        </w:tblPrEx>
        <w:trPr>
          <w:trHeight w:val="1108"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1D667663">
            <w:pPr>
              <w:pStyle w:val="432"/>
              <w:spacing w:line="360" w:lineRule="auto"/>
              <w:jc w:val="center"/>
              <w:rPr>
                <w:rFonts w:cs="宋体"/>
                <w:color w:val="auto"/>
                <w:sz w:val="21"/>
                <w:szCs w:val="21"/>
                <w:highlight w:val="none"/>
              </w:rPr>
            </w:pPr>
          </w:p>
        </w:tc>
        <w:tc>
          <w:tcPr>
            <w:tcW w:w="1703" w:type="dxa"/>
            <w:tcBorders>
              <w:top w:val="single" w:color="000000" w:sz="4" w:space="0"/>
              <w:left w:val="nil"/>
              <w:bottom w:val="single" w:color="000000" w:sz="4" w:space="0"/>
              <w:right w:val="single" w:color="auto" w:sz="4" w:space="0"/>
            </w:tcBorders>
            <w:vAlign w:val="center"/>
          </w:tcPr>
          <w:p w14:paraId="4429A374">
            <w:pPr>
              <w:pStyle w:val="432"/>
              <w:spacing w:line="360" w:lineRule="auto"/>
              <w:jc w:val="center"/>
              <w:rPr>
                <w:rFonts w:cs="宋体"/>
                <w:color w:val="auto"/>
                <w:sz w:val="21"/>
                <w:szCs w:val="21"/>
                <w:highlight w:val="none"/>
              </w:rPr>
            </w:pPr>
          </w:p>
        </w:tc>
        <w:tc>
          <w:tcPr>
            <w:tcW w:w="3544" w:type="dxa"/>
            <w:tcBorders>
              <w:top w:val="single" w:color="000000" w:sz="4" w:space="0"/>
              <w:left w:val="single" w:color="auto" w:sz="4" w:space="0"/>
              <w:bottom w:val="single" w:color="000000" w:sz="4" w:space="0"/>
              <w:right w:val="single" w:color="000000" w:sz="4" w:space="0"/>
            </w:tcBorders>
            <w:vAlign w:val="center"/>
          </w:tcPr>
          <w:p w14:paraId="6BE1F0E3">
            <w:pPr>
              <w:pStyle w:val="432"/>
              <w:spacing w:line="360" w:lineRule="auto"/>
              <w:jc w:val="center"/>
              <w:rPr>
                <w:rFonts w:cs="宋体"/>
                <w:color w:val="auto"/>
                <w:sz w:val="21"/>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4F7CC512">
            <w:pPr>
              <w:spacing w:line="360" w:lineRule="auto"/>
              <w:jc w:val="center"/>
              <w:rPr>
                <w:rFonts w:ascii="宋体" w:hAnsi="宋体" w:cs="宋体"/>
                <w:color w:val="auto"/>
                <w:szCs w:val="21"/>
                <w:highlight w:val="none"/>
              </w:rPr>
            </w:pPr>
          </w:p>
        </w:tc>
        <w:tc>
          <w:tcPr>
            <w:tcW w:w="1560" w:type="dxa"/>
            <w:tcBorders>
              <w:top w:val="single" w:color="000000" w:sz="4" w:space="0"/>
              <w:left w:val="nil"/>
              <w:bottom w:val="single" w:color="000000" w:sz="4" w:space="0"/>
              <w:right w:val="single" w:color="000000" w:sz="4" w:space="0"/>
            </w:tcBorders>
            <w:vAlign w:val="center"/>
          </w:tcPr>
          <w:p w14:paraId="384B75E4">
            <w:pPr>
              <w:widowControl/>
              <w:spacing w:line="360" w:lineRule="auto"/>
              <w:jc w:val="center"/>
              <w:rPr>
                <w:rFonts w:ascii="宋体" w:hAnsi="宋体" w:cs="宋体"/>
                <w:color w:val="auto"/>
                <w:kern w:val="0"/>
                <w:szCs w:val="21"/>
                <w:highlight w:val="none"/>
              </w:rPr>
            </w:pPr>
          </w:p>
        </w:tc>
      </w:tr>
      <w:tr w14:paraId="0D5D546C">
        <w:tblPrEx>
          <w:tblCellMar>
            <w:top w:w="0" w:type="dxa"/>
            <w:left w:w="108" w:type="dxa"/>
            <w:bottom w:w="0" w:type="dxa"/>
            <w:right w:w="108" w:type="dxa"/>
          </w:tblCellMar>
        </w:tblPrEx>
        <w:trPr>
          <w:trHeight w:val="1079" w:hRule="atLeast"/>
        </w:trPr>
        <w:tc>
          <w:tcPr>
            <w:tcW w:w="815" w:type="dxa"/>
            <w:tcBorders>
              <w:top w:val="single" w:color="000000" w:sz="4" w:space="0"/>
              <w:left w:val="single" w:color="000000" w:sz="4" w:space="0"/>
              <w:bottom w:val="single" w:color="000000" w:sz="4" w:space="0"/>
              <w:right w:val="single" w:color="000000" w:sz="4" w:space="0"/>
            </w:tcBorders>
            <w:vAlign w:val="center"/>
          </w:tcPr>
          <w:p w14:paraId="463ECC1F">
            <w:pPr>
              <w:pStyle w:val="432"/>
              <w:spacing w:line="360" w:lineRule="auto"/>
              <w:jc w:val="center"/>
              <w:rPr>
                <w:rFonts w:cs="宋体"/>
                <w:color w:val="auto"/>
                <w:sz w:val="21"/>
                <w:szCs w:val="21"/>
                <w:highlight w:val="none"/>
              </w:rPr>
            </w:pPr>
          </w:p>
        </w:tc>
        <w:tc>
          <w:tcPr>
            <w:tcW w:w="1703" w:type="dxa"/>
            <w:tcBorders>
              <w:top w:val="single" w:color="000000" w:sz="4" w:space="0"/>
              <w:left w:val="nil"/>
              <w:bottom w:val="single" w:color="000000" w:sz="4" w:space="0"/>
              <w:right w:val="single" w:color="auto" w:sz="4" w:space="0"/>
            </w:tcBorders>
            <w:vAlign w:val="center"/>
          </w:tcPr>
          <w:p w14:paraId="38418DC5">
            <w:pPr>
              <w:pStyle w:val="432"/>
              <w:spacing w:line="360" w:lineRule="auto"/>
              <w:jc w:val="center"/>
              <w:rPr>
                <w:rFonts w:cs="宋体"/>
                <w:color w:val="auto"/>
                <w:sz w:val="21"/>
                <w:szCs w:val="21"/>
                <w:highlight w:val="none"/>
              </w:rPr>
            </w:pPr>
          </w:p>
        </w:tc>
        <w:tc>
          <w:tcPr>
            <w:tcW w:w="3544" w:type="dxa"/>
            <w:tcBorders>
              <w:top w:val="single" w:color="000000" w:sz="4" w:space="0"/>
              <w:left w:val="single" w:color="auto" w:sz="4" w:space="0"/>
              <w:bottom w:val="single" w:color="000000" w:sz="4" w:space="0"/>
              <w:right w:val="single" w:color="000000" w:sz="4" w:space="0"/>
            </w:tcBorders>
            <w:vAlign w:val="center"/>
          </w:tcPr>
          <w:p w14:paraId="024ADE2A">
            <w:pPr>
              <w:pStyle w:val="432"/>
              <w:spacing w:line="360" w:lineRule="auto"/>
              <w:jc w:val="center"/>
              <w:rPr>
                <w:rFonts w:cs="宋体"/>
                <w:color w:val="auto"/>
                <w:sz w:val="21"/>
                <w:szCs w:val="21"/>
                <w:highlight w:val="none"/>
              </w:rPr>
            </w:pPr>
          </w:p>
        </w:tc>
        <w:tc>
          <w:tcPr>
            <w:tcW w:w="1417" w:type="dxa"/>
            <w:tcBorders>
              <w:top w:val="single" w:color="000000" w:sz="4" w:space="0"/>
              <w:left w:val="nil"/>
              <w:bottom w:val="single" w:color="000000" w:sz="4" w:space="0"/>
              <w:right w:val="single" w:color="000000" w:sz="4" w:space="0"/>
            </w:tcBorders>
            <w:vAlign w:val="center"/>
          </w:tcPr>
          <w:p w14:paraId="1AC24DFF">
            <w:pPr>
              <w:spacing w:line="360" w:lineRule="auto"/>
              <w:jc w:val="center"/>
              <w:rPr>
                <w:rFonts w:ascii="宋体" w:hAnsi="宋体" w:cs="宋体"/>
                <w:color w:val="auto"/>
                <w:szCs w:val="21"/>
                <w:highlight w:val="none"/>
              </w:rPr>
            </w:pPr>
          </w:p>
        </w:tc>
        <w:tc>
          <w:tcPr>
            <w:tcW w:w="1560" w:type="dxa"/>
            <w:tcBorders>
              <w:top w:val="single" w:color="000000" w:sz="4" w:space="0"/>
              <w:left w:val="nil"/>
              <w:bottom w:val="single" w:color="000000" w:sz="4" w:space="0"/>
              <w:right w:val="single" w:color="000000" w:sz="4" w:space="0"/>
            </w:tcBorders>
            <w:vAlign w:val="center"/>
          </w:tcPr>
          <w:p w14:paraId="096FB7DB">
            <w:pPr>
              <w:widowControl/>
              <w:spacing w:line="360" w:lineRule="auto"/>
              <w:jc w:val="center"/>
              <w:rPr>
                <w:rFonts w:ascii="宋体" w:hAnsi="宋体" w:cs="宋体"/>
                <w:color w:val="auto"/>
                <w:kern w:val="0"/>
                <w:szCs w:val="21"/>
                <w:highlight w:val="none"/>
              </w:rPr>
            </w:pPr>
          </w:p>
        </w:tc>
      </w:tr>
    </w:tbl>
    <w:p w14:paraId="48A360FF">
      <w:pPr>
        <w:pStyle w:val="5"/>
        <w:spacing w:line="360" w:lineRule="auto"/>
        <w:ind w:firstLine="0"/>
        <w:rPr>
          <w:rFonts w:ascii="宋体" w:hAnsi="宋体" w:cs="宋体"/>
          <w:b/>
          <w:color w:val="auto"/>
          <w:kern w:val="0"/>
          <w:sz w:val="21"/>
          <w:szCs w:val="21"/>
          <w:highlight w:val="none"/>
        </w:rPr>
      </w:pPr>
      <w:bookmarkStart w:id="156" w:name="_Toc452965651"/>
      <w:bookmarkStart w:id="157" w:name="_Toc54978902"/>
      <w:r>
        <w:rPr>
          <w:rFonts w:hint="eastAsia" w:ascii="宋体" w:hAnsi="宋体" w:cs="宋体"/>
          <w:b/>
          <w:color w:val="auto"/>
          <w:kern w:val="0"/>
          <w:sz w:val="21"/>
          <w:szCs w:val="21"/>
          <w:highlight w:val="none"/>
        </w:rPr>
        <w:t>附件1 ：评分索引表</w:t>
      </w:r>
      <w:bookmarkEnd w:id="156"/>
      <w:bookmarkEnd w:id="157"/>
    </w:p>
    <w:p w14:paraId="528B3A92">
      <w:pPr>
        <w:widowControl/>
        <w:spacing w:line="360" w:lineRule="auto"/>
        <w:rPr>
          <w:rFonts w:ascii="宋体" w:hAnsi="宋体"/>
          <w:color w:val="auto"/>
          <w:kern w:val="0"/>
          <w:szCs w:val="21"/>
          <w:highlight w:val="none"/>
        </w:rPr>
      </w:pPr>
    </w:p>
    <w:p w14:paraId="2B9C5175">
      <w:pPr>
        <w:widowControl/>
        <w:spacing w:line="360" w:lineRule="auto"/>
        <w:rPr>
          <w:rFonts w:ascii="宋体" w:hAnsi="宋体"/>
          <w:color w:val="auto"/>
          <w:kern w:val="0"/>
          <w:szCs w:val="21"/>
          <w:highlight w:val="none"/>
        </w:rPr>
      </w:pPr>
    </w:p>
    <w:p w14:paraId="3BF197E6">
      <w:pPr>
        <w:widowControl/>
        <w:spacing w:line="360" w:lineRule="auto"/>
        <w:rPr>
          <w:rFonts w:ascii="宋体" w:hAnsi="宋体"/>
          <w:color w:val="auto"/>
          <w:kern w:val="0"/>
          <w:szCs w:val="21"/>
          <w:highlight w:val="none"/>
        </w:rPr>
      </w:pPr>
    </w:p>
    <w:p w14:paraId="40E0D327">
      <w:pPr>
        <w:widowControl/>
        <w:spacing w:line="360" w:lineRule="auto"/>
        <w:rPr>
          <w:rFonts w:ascii="宋体" w:hAnsi="宋体"/>
          <w:color w:val="auto"/>
          <w:kern w:val="0"/>
          <w:szCs w:val="21"/>
          <w:highlight w:val="none"/>
        </w:rPr>
      </w:pPr>
    </w:p>
    <w:p w14:paraId="09A6ECDA">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注：本表可根据实际自行扩展。</w:t>
      </w:r>
    </w:p>
    <w:p w14:paraId="126937DD">
      <w:pPr>
        <w:widowControl/>
        <w:spacing w:line="360" w:lineRule="auto"/>
        <w:rPr>
          <w:rFonts w:ascii="宋体" w:hAnsi="宋体"/>
          <w:color w:val="auto"/>
          <w:kern w:val="0"/>
          <w:szCs w:val="21"/>
          <w:highlight w:val="none"/>
        </w:rPr>
      </w:pPr>
    </w:p>
    <w:p w14:paraId="606291FC">
      <w:pPr>
        <w:widowControl/>
        <w:spacing w:line="360" w:lineRule="auto"/>
        <w:rPr>
          <w:rFonts w:ascii="宋体" w:hAnsi="宋体"/>
          <w:color w:val="auto"/>
          <w:kern w:val="0"/>
          <w:szCs w:val="21"/>
          <w:highlight w:val="none"/>
        </w:rPr>
      </w:pPr>
    </w:p>
    <w:p w14:paraId="0BA64E8E">
      <w:pPr>
        <w:widowControl/>
        <w:spacing w:line="360" w:lineRule="auto"/>
        <w:rPr>
          <w:rFonts w:ascii="宋体" w:hAnsi="宋体"/>
          <w:color w:val="auto"/>
          <w:kern w:val="0"/>
          <w:szCs w:val="21"/>
          <w:highlight w:val="none"/>
        </w:rPr>
      </w:pPr>
    </w:p>
    <w:p w14:paraId="2210486A">
      <w:pPr>
        <w:widowControl/>
        <w:spacing w:line="360" w:lineRule="auto"/>
        <w:rPr>
          <w:rFonts w:ascii="宋体" w:hAnsi="宋体"/>
          <w:color w:val="auto"/>
          <w:kern w:val="0"/>
          <w:szCs w:val="21"/>
          <w:highlight w:val="none"/>
        </w:rPr>
      </w:pPr>
    </w:p>
    <w:p w14:paraId="0647EF59">
      <w:pPr>
        <w:widowControl/>
        <w:spacing w:line="360" w:lineRule="auto"/>
        <w:rPr>
          <w:rFonts w:ascii="宋体" w:hAnsi="宋体"/>
          <w:color w:val="auto"/>
          <w:kern w:val="0"/>
          <w:szCs w:val="21"/>
          <w:highlight w:val="none"/>
        </w:rPr>
      </w:pPr>
    </w:p>
    <w:p w14:paraId="23BCAE52">
      <w:pPr>
        <w:widowControl/>
        <w:spacing w:line="360" w:lineRule="auto"/>
        <w:rPr>
          <w:rFonts w:ascii="宋体" w:hAnsi="宋体"/>
          <w:color w:val="auto"/>
          <w:kern w:val="0"/>
          <w:szCs w:val="21"/>
          <w:highlight w:val="none"/>
        </w:rPr>
      </w:pPr>
    </w:p>
    <w:p w14:paraId="31BD107B">
      <w:pPr>
        <w:widowControl/>
        <w:spacing w:line="360" w:lineRule="auto"/>
        <w:rPr>
          <w:rFonts w:ascii="宋体" w:hAnsi="宋体"/>
          <w:color w:val="auto"/>
          <w:kern w:val="0"/>
          <w:szCs w:val="21"/>
          <w:highlight w:val="none"/>
        </w:rPr>
      </w:pPr>
    </w:p>
    <w:p w14:paraId="3DEC1301">
      <w:pPr>
        <w:widowControl/>
        <w:spacing w:line="360" w:lineRule="auto"/>
        <w:rPr>
          <w:rFonts w:ascii="宋体" w:hAnsi="宋体"/>
          <w:color w:val="auto"/>
          <w:kern w:val="0"/>
          <w:szCs w:val="21"/>
          <w:highlight w:val="none"/>
        </w:rPr>
      </w:pPr>
    </w:p>
    <w:p w14:paraId="3895FE0A">
      <w:pPr>
        <w:widowControl/>
        <w:spacing w:line="360" w:lineRule="auto"/>
        <w:rPr>
          <w:rFonts w:ascii="宋体" w:hAnsi="宋体"/>
          <w:color w:val="auto"/>
          <w:szCs w:val="21"/>
          <w:highlight w:val="none"/>
        </w:rPr>
      </w:pPr>
    </w:p>
    <w:p w14:paraId="7959AEFA">
      <w:pPr>
        <w:pStyle w:val="5"/>
        <w:spacing w:line="360" w:lineRule="auto"/>
        <w:ind w:firstLine="0"/>
        <w:rPr>
          <w:rFonts w:ascii="宋体" w:hAnsi="宋体" w:cs="宋体"/>
          <w:bCs/>
          <w:color w:val="auto"/>
          <w:kern w:val="0"/>
          <w:sz w:val="21"/>
          <w:szCs w:val="21"/>
          <w:highlight w:val="none"/>
        </w:rPr>
      </w:pPr>
      <w:bookmarkStart w:id="158" w:name="_Toc489481898"/>
      <w:bookmarkStart w:id="159" w:name="_Toc7504"/>
      <w:bookmarkStart w:id="160" w:name="_Toc513456153"/>
      <w:bookmarkStart w:id="161" w:name="_Toc2165"/>
      <w:r>
        <w:rPr>
          <w:rFonts w:hint="eastAsia" w:ascii="宋体" w:hAnsi="宋体" w:cs="宋体"/>
          <w:bCs/>
          <w:color w:val="auto"/>
          <w:kern w:val="0"/>
          <w:sz w:val="21"/>
          <w:szCs w:val="21"/>
          <w:highlight w:val="none"/>
        </w:rPr>
        <w:br w:type="page"/>
      </w:r>
      <w:r>
        <w:rPr>
          <w:rFonts w:hint="eastAsia" w:ascii="宋体" w:hAnsi="宋体" w:cs="宋体"/>
          <w:b/>
          <w:color w:val="auto"/>
          <w:kern w:val="0"/>
          <w:sz w:val="21"/>
          <w:szCs w:val="21"/>
          <w:highlight w:val="none"/>
        </w:rPr>
        <w:t>附件2：</w:t>
      </w:r>
      <w:bookmarkEnd w:id="158"/>
      <w:bookmarkEnd w:id="159"/>
      <w:bookmarkEnd w:id="160"/>
      <w:bookmarkEnd w:id="161"/>
      <w:r>
        <w:rPr>
          <w:rFonts w:hint="eastAsia" w:ascii="宋体" w:hAnsi="宋体" w:cs="宋体"/>
          <w:b/>
          <w:color w:val="auto"/>
          <w:kern w:val="0"/>
          <w:sz w:val="21"/>
          <w:szCs w:val="21"/>
          <w:highlight w:val="none"/>
          <w:lang w:val="zh-CN"/>
        </w:rPr>
        <w:t>投标函</w:t>
      </w:r>
    </w:p>
    <w:p w14:paraId="4B67EB3D">
      <w:pPr>
        <w:snapToGrid w:val="0"/>
        <w:spacing w:beforeLines="50" w:after="50" w:line="360" w:lineRule="auto"/>
        <w:jc w:val="center"/>
        <w:rPr>
          <w:rFonts w:ascii="宋体" w:hAnsi="宋体"/>
          <w:b/>
          <w:color w:val="auto"/>
          <w:szCs w:val="21"/>
          <w:highlight w:val="none"/>
        </w:rPr>
      </w:pPr>
      <w:r>
        <w:rPr>
          <w:rFonts w:hint="eastAsia" w:ascii="宋体" w:hAnsi="宋体"/>
          <w:b/>
          <w:color w:val="auto"/>
          <w:szCs w:val="21"/>
          <w:highlight w:val="none"/>
          <w:lang w:val="zh-CN"/>
        </w:rPr>
        <w:t>投标函</w:t>
      </w:r>
    </w:p>
    <w:p w14:paraId="13AF2ED3">
      <w:pPr>
        <w:spacing w:line="360" w:lineRule="auto"/>
        <w:jc w:val="center"/>
        <w:rPr>
          <w:rFonts w:ascii="宋体" w:hAnsi="宋体"/>
          <w:color w:val="auto"/>
          <w:szCs w:val="21"/>
          <w:highlight w:val="none"/>
        </w:rPr>
      </w:pPr>
    </w:p>
    <w:p w14:paraId="465F4AA9">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14:paraId="67CFB8F4">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项目的采购公告（项目编号：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（全名）经正式授权并代表投标供应商</w:t>
      </w:r>
      <w:r>
        <w:rPr>
          <w:rFonts w:hint="eastAsia" w:ascii="宋体" w:hAnsi="宋体"/>
          <w:color w:val="auto"/>
          <w:szCs w:val="21"/>
          <w:highlight w:val="none"/>
          <w:u w:val="single"/>
        </w:rPr>
        <w:t xml:space="preserve">                       </w:t>
      </w:r>
      <w:r>
        <w:rPr>
          <w:rFonts w:hint="eastAsia" w:ascii="宋体" w:hAnsi="宋体"/>
          <w:color w:val="auto"/>
          <w:szCs w:val="21"/>
          <w:highlight w:val="none"/>
        </w:rPr>
        <w:t>（投标供应商名称）提交投标文件。</w:t>
      </w:r>
    </w:p>
    <w:p w14:paraId="4EA0A78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14:paraId="209A059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1.投标供应商已详细审查全部“采购文件”，包括修改文件（如有的话）以及全部参考资料和有关附件，已经了解我方对于采购文件、采购过程、采购结果有依法进行询问、质疑、投诉的权利及相关渠道和要求。</w:t>
      </w:r>
    </w:p>
    <w:p w14:paraId="572D05B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2.投标供应商在投标之前已经与贵方进行了充分的沟通，完全理解并接受采购文件的各项规定和要求，对采购文件的合理性、合法性不再有异议。</w:t>
      </w:r>
    </w:p>
    <w:p w14:paraId="7FBC329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3.本投标有效期自开标之日起 ______个日。</w:t>
      </w:r>
    </w:p>
    <w:p w14:paraId="5950B5A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4.如中标，本投标文件至本项目合同履行完毕止均保持有效，本投标供应商将按“采购文件”及政府采购法律、法规的规定履行合同责任和义务。</w:t>
      </w:r>
    </w:p>
    <w:p w14:paraId="253438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5.投标供应商同意按照贵方要求提供与投标有关的一切数据或资料。</w:t>
      </w:r>
    </w:p>
    <w:p w14:paraId="6DE4198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14:paraId="2027973B">
      <w:pPr>
        <w:snapToGrid w:val="0"/>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邮编：__________   电话：______________</w:t>
      </w:r>
    </w:p>
    <w:p w14:paraId="7DE39AE6">
      <w:pPr>
        <w:snapToGrid w:val="0"/>
        <w:spacing w:line="360" w:lineRule="auto"/>
        <w:rPr>
          <w:rFonts w:ascii="宋体" w:hAnsi="宋体"/>
          <w:color w:val="auto"/>
          <w:szCs w:val="21"/>
          <w:highlight w:val="none"/>
        </w:rPr>
      </w:pPr>
      <w:r>
        <w:rPr>
          <w:rFonts w:hint="eastAsia" w:ascii="宋体" w:hAnsi="宋体"/>
          <w:color w:val="auto"/>
          <w:szCs w:val="21"/>
          <w:highlight w:val="none"/>
        </w:rPr>
        <w:t>传真：______________投标供应商代表姓名：___________  职务：_____________</w:t>
      </w:r>
    </w:p>
    <w:p w14:paraId="3C13BE91">
      <w:pPr>
        <w:snapToGrid w:val="0"/>
        <w:spacing w:line="360" w:lineRule="auto"/>
        <w:rPr>
          <w:rFonts w:ascii="宋体" w:hAnsi="宋体"/>
          <w:color w:val="auto"/>
          <w:szCs w:val="21"/>
          <w:highlight w:val="none"/>
        </w:rPr>
      </w:pPr>
      <w:r>
        <w:rPr>
          <w:rFonts w:hint="eastAsia" w:ascii="宋体" w:hAnsi="宋体"/>
          <w:color w:val="auto"/>
          <w:szCs w:val="21"/>
          <w:highlight w:val="none"/>
        </w:rPr>
        <w:t>投标供应商名称(公章):___________________</w:t>
      </w:r>
    </w:p>
    <w:p w14:paraId="7C805D38">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98E317E">
      <w:pPr>
        <w:snapToGrid w:val="0"/>
        <w:spacing w:line="360" w:lineRule="auto"/>
        <w:rPr>
          <w:rFonts w:ascii="宋体" w:hAnsi="宋体"/>
          <w:color w:val="auto"/>
          <w:szCs w:val="21"/>
          <w:highlight w:val="none"/>
        </w:rPr>
      </w:pPr>
      <w:r>
        <w:rPr>
          <w:rFonts w:hint="eastAsia" w:ascii="宋体" w:hAnsi="宋体"/>
          <w:color w:val="auto"/>
          <w:szCs w:val="21"/>
          <w:highlight w:val="none"/>
        </w:rPr>
        <w:t>授权代表签字:___________                      日期:_____年___月___日</w:t>
      </w:r>
    </w:p>
    <w:p w14:paraId="2843FDCE">
      <w:pPr>
        <w:pStyle w:val="5"/>
        <w:spacing w:line="360" w:lineRule="auto"/>
        <w:ind w:firstLine="0"/>
        <w:rPr>
          <w:rFonts w:ascii="宋体" w:hAnsi="宋体" w:cs="宋体"/>
          <w:bCs/>
          <w:color w:val="auto"/>
          <w:kern w:val="0"/>
          <w:sz w:val="21"/>
          <w:szCs w:val="21"/>
          <w:highlight w:val="none"/>
        </w:rPr>
      </w:pPr>
    </w:p>
    <w:p w14:paraId="1C708539">
      <w:pPr>
        <w:pStyle w:val="5"/>
        <w:spacing w:line="360" w:lineRule="auto"/>
        <w:ind w:firstLine="0"/>
        <w:rPr>
          <w:rFonts w:ascii="宋体" w:hAnsi="宋体" w:cs="宋体"/>
          <w:b/>
          <w:color w:val="auto"/>
          <w:kern w:val="0"/>
          <w:sz w:val="21"/>
          <w:szCs w:val="21"/>
          <w:highlight w:val="none"/>
        </w:rPr>
      </w:pPr>
      <w:bookmarkStart w:id="162" w:name="_Toc54978903"/>
    </w:p>
    <w:p w14:paraId="48063A1A">
      <w:pPr>
        <w:pStyle w:val="5"/>
        <w:spacing w:line="360" w:lineRule="auto"/>
        <w:ind w:firstLine="0"/>
        <w:rPr>
          <w:rFonts w:ascii="宋体" w:hAnsi="宋体" w:cs="宋体"/>
          <w:b/>
          <w:color w:val="auto"/>
          <w:kern w:val="0"/>
          <w:sz w:val="21"/>
          <w:szCs w:val="21"/>
          <w:highlight w:val="none"/>
        </w:rPr>
      </w:pPr>
    </w:p>
    <w:p w14:paraId="775C3C2D">
      <w:pPr>
        <w:pStyle w:val="5"/>
        <w:spacing w:line="360" w:lineRule="auto"/>
        <w:ind w:firstLine="0"/>
        <w:rPr>
          <w:rFonts w:ascii="宋体" w:hAnsi="宋体" w:cs="宋体"/>
          <w:b/>
          <w:color w:val="auto"/>
          <w:kern w:val="0"/>
          <w:sz w:val="21"/>
          <w:szCs w:val="21"/>
          <w:highlight w:val="none"/>
        </w:rPr>
      </w:pPr>
    </w:p>
    <w:p w14:paraId="0DF57B22">
      <w:pPr>
        <w:pStyle w:val="64"/>
        <w:spacing w:line="360" w:lineRule="auto"/>
        <w:rPr>
          <w:color w:val="auto"/>
          <w:highlight w:val="none"/>
        </w:rPr>
      </w:pPr>
    </w:p>
    <w:p w14:paraId="5F64B809">
      <w:pPr>
        <w:spacing w:line="360" w:lineRule="auto"/>
        <w:rPr>
          <w:color w:val="auto"/>
          <w:highlight w:val="none"/>
        </w:rPr>
      </w:pPr>
    </w:p>
    <w:p w14:paraId="75A42F9F">
      <w:pPr>
        <w:spacing w:line="360" w:lineRule="auto"/>
        <w:rPr>
          <w:color w:val="auto"/>
          <w:highlight w:val="none"/>
        </w:rPr>
      </w:pPr>
    </w:p>
    <w:p w14:paraId="3FDA0283">
      <w:pPr>
        <w:spacing w:line="360" w:lineRule="auto"/>
        <w:rPr>
          <w:color w:val="auto"/>
          <w:highlight w:val="none"/>
        </w:rPr>
      </w:pPr>
    </w:p>
    <w:p w14:paraId="47830BE7">
      <w:pPr>
        <w:spacing w:line="360" w:lineRule="auto"/>
        <w:rPr>
          <w:color w:val="auto"/>
          <w:highlight w:val="none"/>
        </w:rPr>
      </w:pPr>
    </w:p>
    <w:p w14:paraId="7119CEB4">
      <w:pPr>
        <w:spacing w:line="360" w:lineRule="auto"/>
        <w:rPr>
          <w:color w:val="auto"/>
          <w:highlight w:val="none"/>
        </w:rPr>
      </w:pPr>
    </w:p>
    <w:p w14:paraId="05885C4A">
      <w:pPr>
        <w:pStyle w:val="5"/>
        <w:spacing w:line="360" w:lineRule="auto"/>
        <w:ind w:firstLine="0"/>
        <w:rPr>
          <w:rFonts w:ascii="宋体" w:hAnsi="宋体" w:cs="宋体"/>
          <w:b/>
          <w:color w:val="auto"/>
          <w:kern w:val="0"/>
          <w:sz w:val="21"/>
          <w:szCs w:val="21"/>
          <w:highlight w:val="none"/>
        </w:rPr>
      </w:pPr>
    </w:p>
    <w:p w14:paraId="39C5A14C">
      <w:pPr>
        <w:pStyle w:val="5"/>
        <w:spacing w:line="360" w:lineRule="auto"/>
        <w:ind w:firstLine="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w:t>
      </w:r>
      <w:bookmarkEnd w:id="150"/>
      <w:bookmarkEnd w:id="151"/>
      <w:bookmarkEnd w:id="152"/>
      <w:bookmarkEnd w:id="153"/>
      <w:bookmarkEnd w:id="154"/>
      <w:bookmarkEnd w:id="155"/>
      <w:r>
        <w:rPr>
          <w:rFonts w:hint="eastAsia" w:ascii="宋体" w:hAnsi="宋体" w:cs="宋体"/>
          <w:b/>
          <w:color w:val="auto"/>
          <w:kern w:val="0"/>
          <w:sz w:val="21"/>
          <w:szCs w:val="21"/>
          <w:highlight w:val="none"/>
        </w:rPr>
        <w:t>3：法定代表人授权委托书</w:t>
      </w:r>
      <w:bookmarkEnd w:id="162"/>
    </w:p>
    <w:p w14:paraId="4E2F05D5">
      <w:pPr>
        <w:pStyle w:val="5"/>
        <w:spacing w:line="360" w:lineRule="auto"/>
        <w:ind w:firstLine="240"/>
        <w:rPr>
          <w:rFonts w:ascii="宋体" w:hAnsi="宋体" w:cs="宋体"/>
          <w:color w:val="auto"/>
          <w:sz w:val="21"/>
          <w:szCs w:val="21"/>
          <w:highlight w:val="none"/>
        </w:rPr>
      </w:pPr>
    </w:p>
    <w:p w14:paraId="20FAE480">
      <w:pPr>
        <w:tabs>
          <w:tab w:val="left" w:pos="358"/>
          <w:tab w:val="left" w:pos="420"/>
        </w:tabs>
        <w:spacing w:line="360" w:lineRule="auto"/>
        <w:jc w:val="center"/>
        <w:rPr>
          <w:rFonts w:ascii="宋体" w:hAnsi="宋体"/>
          <w:b/>
          <w:color w:val="auto"/>
          <w:szCs w:val="21"/>
          <w:highlight w:val="none"/>
        </w:rPr>
      </w:pPr>
      <w:r>
        <w:rPr>
          <w:rFonts w:hint="eastAsia" w:ascii="宋体" w:hAnsi="宋体"/>
          <w:b/>
          <w:color w:val="auto"/>
          <w:szCs w:val="21"/>
          <w:highlight w:val="none"/>
        </w:rPr>
        <w:t>法定代表人授权委托书</w:t>
      </w:r>
    </w:p>
    <w:p w14:paraId="64137C23">
      <w:pPr>
        <w:spacing w:line="360" w:lineRule="auto"/>
        <w:jc w:val="center"/>
        <w:rPr>
          <w:rFonts w:ascii="宋体" w:hAnsi="宋体"/>
          <w:color w:val="auto"/>
          <w:szCs w:val="21"/>
          <w:highlight w:val="none"/>
        </w:rPr>
      </w:pPr>
    </w:p>
    <w:p w14:paraId="0CDE6EC6">
      <w:pPr>
        <w:spacing w:line="360" w:lineRule="auto"/>
        <w:rPr>
          <w:rFonts w:ascii="宋体" w:hAnsi="宋体"/>
          <w:color w:val="auto"/>
          <w:szCs w:val="21"/>
          <w:highlight w:val="none"/>
        </w:rPr>
      </w:pPr>
    </w:p>
    <w:p w14:paraId="3F4756A4">
      <w:pPr>
        <w:spacing w:line="360" w:lineRule="auto"/>
        <w:rPr>
          <w:rFonts w:ascii="宋体" w:hAnsi="宋体"/>
          <w:color w:val="auto"/>
          <w:szCs w:val="21"/>
          <w:highlight w:val="none"/>
        </w:rPr>
      </w:pPr>
      <w:r>
        <w:rPr>
          <w:rFonts w:hint="eastAsia" w:ascii="宋体" w:hAnsi="宋体"/>
          <w:color w:val="auto"/>
          <w:szCs w:val="21"/>
          <w:highlight w:val="none"/>
        </w:rPr>
        <w:t>致：__________(招标采购单位名称)</w:t>
      </w:r>
    </w:p>
    <w:p w14:paraId="3C25B567">
      <w:pPr>
        <w:pStyle w:val="33"/>
        <w:spacing w:before="0" w:after="0"/>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（投标供应商名称）的法定代表人，现授权委托本单位在职职工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（姓名）以我方的名义参加</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采购人名称）___________(编号及项目名称)的投标活动，并代表我方全权办理针对上述项目的投标、开标、评标、签约等具体事务和签署相关文件。</w:t>
      </w:r>
    </w:p>
    <w:p w14:paraId="119C7CA2">
      <w:pPr>
        <w:pStyle w:val="33"/>
        <w:spacing w:before="0" w:after="0"/>
        <w:rPr>
          <w:rFonts w:hAnsi="宋体" w:cs="宋体"/>
          <w:color w:val="auto"/>
          <w:sz w:val="21"/>
          <w:szCs w:val="21"/>
          <w:highlight w:val="none"/>
        </w:rPr>
      </w:pPr>
      <w:r>
        <w:rPr>
          <w:rFonts w:hint="eastAsia" w:hAnsi="宋体" w:cs="宋体"/>
          <w:color w:val="auto"/>
          <w:sz w:val="21"/>
          <w:szCs w:val="21"/>
          <w:highlight w:val="none"/>
        </w:rPr>
        <w:t>我方对被授权人的签名事项负全部责任。</w:t>
      </w:r>
    </w:p>
    <w:p w14:paraId="1A4C2BF1">
      <w:pPr>
        <w:pStyle w:val="33"/>
        <w:spacing w:before="0" w:after="0"/>
        <w:ind w:firstLine="420" w:firstLineChars="200"/>
        <w:rPr>
          <w:rFonts w:hAnsi="宋体" w:cs="宋体"/>
          <w:color w:val="auto"/>
          <w:sz w:val="21"/>
          <w:szCs w:val="21"/>
          <w:highlight w:val="none"/>
        </w:rPr>
      </w:pPr>
      <w:r>
        <w:rPr>
          <w:rFonts w:hint="eastAsia" w:hAnsi="宋体" w:cs="宋体"/>
          <w:color w:val="auto"/>
          <w:sz w:val="21"/>
          <w:szCs w:val="21"/>
          <w:highlight w:val="none"/>
        </w:rPr>
        <w:t>在撤销授权的书面通知以前，本授权书一直有效。被授权人在授权书有效期内签署的所有文件不因授权的撤销而失效。</w:t>
      </w:r>
    </w:p>
    <w:p w14:paraId="0805ACBF">
      <w:pPr>
        <w:pStyle w:val="33"/>
        <w:spacing w:before="0" w:after="0"/>
        <w:rPr>
          <w:rFonts w:hAnsi="宋体" w:cs="宋体"/>
          <w:color w:val="auto"/>
          <w:sz w:val="21"/>
          <w:szCs w:val="21"/>
          <w:highlight w:val="none"/>
        </w:rPr>
      </w:pPr>
      <w:r>
        <w:rPr>
          <w:rFonts w:hint="eastAsia" w:hAnsi="宋体" w:cs="宋体"/>
          <w:color w:val="auto"/>
          <w:sz w:val="21"/>
          <w:szCs w:val="21"/>
          <w:highlight w:val="none"/>
        </w:rPr>
        <w:t>被授权人无转委托权。特此委托。</w:t>
      </w:r>
    </w:p>
    <w:p w14:paraId="13060635">
      <w:pPr>
        <w:pStyle w:val="33"/>
        <w:spacing w:before="0" w:after="0"/>
        <w:rPr>
          <w:rFonts w:hAnsi="宋体" w:cs="宋体"/>
          <w:color w:val="auto"/>
          <w:sz w:val="21"/>
          <w:szCs w:val="21"/>
          <w:highlight w:val="none"/>
        </w:rPr>
      </w:pPr>
    </w:p>
    <w:p w14:paraId="50A86AA0">
      <w:pPr>
        <w:pStyle w:val="33"/>
        <w:spacing w:before="0" w:after="0"/>
        <w:ind w:firstLine="0"/>
        <w:rPr>
          <w:rFonts w:hAnsi="宋体" w:cs="宋体"/>
          <w:color w:val="auto"/>
          <w:sz w:val="21"/>
          <w:szCs w:val="21"/>
          <w:highlight w:val="none"/>
        </w:rPr>
      </w:pPr>
      <w:r>
        <w:rPr>
          <w:rFonts w:hint="eastAsia" w:hAnsi="宋体" w:cs="宋体"/>
          <w:color w:val="auto"/>
          <w:sz w:val="21"/>
          <w:szCs w:val="21"/>
          <w:highlight w:val="none"/>
        </w:rPr>
        <w:t xml:space="preserve">被授权人签名：___________        </w:t>
      </w:r>
    </w:p>
    <w:p w14:paraId="590B5C12">
      <w:pPr>
        <w:pStyle w:val="33"/>
        <w:spacing w:before="0" w:after="0"/>
        <w:ind w:firstLine="457" w:firstLineChars="218"/>
        <w:rPr>
          <w:rFonts w:hAnsi="宋体" w:cs="宋体"/>
          <w:color w:val="auto"/>
          <w:sz w:val="21"/>
          <w:szCs w:val="21"/>
          <w:highlight w:val="none"/>
        </w:rPr>
      </w:pPr>
      <w:r>
        <w:rPr>
          <w:rFonts w:hint="eastAsia" w:hAnsi="宋体" w:cs="宋体"/>
          <w:color w:val="auto"/>
          <w:sz w:val="21"/>
          <w:szCs w:val="21"/>
          <w:highlight w:val="none"/>
        </w:rPr>
        <w:t xml:space="preserve">职务：___________     联系号码：             </w:t>
      </w:r>
    </w:p>
    <w:p w14:paraId="562DA8A4">
      <w:pPr>
        <w:pStyle w:val="33"/>
        <w:spacing w:before="0" w:after="0"/>
        <w:ind w:firstLine="457" w:firstLineChars="218"/>
        <w:rPr>
          <w:rFonts w:hAnsi="宋体" w:cs="宋体"/>
          <w:color w:val="auto"/>
          <w:sz w:val="21"/>
          <w:szCs w:val="21"/>
          <w:highlight w:val="none"/>
        </w:rPr>
      </w:pPr>
      <w:r>
        <w:rPr>
          <w:rFonts w:hint="eastAsia" w:hAnsi="宋体" w:cs="宋体"/>
          <w:color w:val="auto"/>
          <w:sz w:val="21"/>
          <w:szCs w:val="21"/>
          <w:highlight w:val="none"/>
        </w:rPr>
        <w:t>被授权人身份证号码：___________________</w:t>
      </w:r>
    </w:p>
    <w:p w14:paraId="643F3227">
      <w:pPr>
        <w:pStyle w:val="33"/>
        <w:spacing w:before="0" w:after="0"/>
        <w:ind w:firstLine="457" w:firstLineChars="218"/>
        <w:rPr>
          <w:rFonts w:hAnsi="宋体" w:cs="宋体"/>
          <w:color w:val="auto"/>
          <w:sz w:val="21"/>
          <w:szCs w:val="21"/>
          <w:highlight w:val="none"/>
        </w:rPr>
      </w:pPr>
      <w:r>
        <w:rPr>
          <w:rFonts w:hint="eastAsia" w:hAnsi="宋体" w:cs="宋体"/>
          <w:color w:val="auto"/>
          <w:sz w:val="21"/>
          <w:szCs w:val="21"/>
          <w:highlight w:val="none"/>
        </w:rPr>
        <w:t>法定代表人签名：____________</w:t>
      </w:r>
    </w:p>
    <w:p w14:paraId="31246D7C">
      <w:pPr>
        <w:pStyle w:val="33"/>
        <w:spacing w:before="0" w:after="0"/>
        <w:ind w:firstLine="457" w:firstLineChars="218"/>
        <w:rPr>
          <w:rFonts w:hAnsi="宋体" w:cs="宋体"/>
          <w:color w:val="auto"/>
          <w:sz w:val="21"/>
          <w:szCs w:val="21"/>
          <w:highlight w:val="none"/>
        </w:rPr>
      </w:pPr>
      <w:r>
        <w:rPr>
          <w:rFonts w:hint="eastAsia" w:hAnsi="宋体" w:cs="宋体"/>
          <w:color w:val="auto"/>
          <w:sz w:val="21"/>
          <w:szCs w:val="21"/>
          <w:highlight w:val="none"/>
        </w:rPr>
        <w:t>身份证号码：___________________</w:t>
      </w:r>
    </w:p>
    <w:p w14:paraId="1CF413B3">
      <w:pPr>
        <w:pStyle w:val="33"/>
        <w:spacing w:before="0" w:after="0"/>
        <w:ind w:firstLine="457" w:firstLineChars="218"/>
        <w:rPr>
          <w:rFonts w:hAnsi="宋体" w:cs="宋体"/>
          <w:color w:val="auto"/>
          <w:sz w:val="21"/>
          <w:szCs w:val="21"/>
          <w:highlight w:val="none"/>
        </w:rPr>
      </w:pPr>
      <w:r>
        <w:rPr>
          <w:rFonts w:hint="eastAsia" w:hAnsi="宋体" w:cs="宋体"/>
          <w:color w:val="auto"/>
          <w:sz w:val="21"/>
          <w:szCs w:val="21"/>
          <w:highlight w:val="none"/>
        </w:rPr>
        <w:t>职务：____________     联系号码：</w:t>
      </w:r>
    </w:p>
    <w:p w14:paraId="2073E79D">
      <w:pPr>
        <w:pStyle w:val="33"/>
        <w:spacing w:before="0" w:after="0"/>
        <w:ind w:firstLine="420" w:firstLineChars="200"/>
        <w:rPr>
          <w:rFonts w:hAnsi="宋体" w:cs="宋体"/>
          <w:color w:val="auto"/>
          <w:sz w:val="21"/>
          <w:szCs w:val="21"/>
          <w:highlight w:val="none"/>
        </w:rPr>
      </w:pPr>
    </w:p>
    <w:p w14:paraId="5E2CB96C">
      <w:pPr>
        <w:pStyle w:val="33"/>
        <w:spacing w:before="0" w:after="0"/>
        <w:ind w:firstLine="420" w:firstLineChars="200"/>
        <w:rPr>
          <w:rFonts w:hAnsi="宋体" w:cs="宋体"/>
          <w:color w:val="auto"/>
          <w:sz w:val="21"/>
          <w:szCs w:val="21"/>
          <w:highlight w:val="none"/>
        </w:rPr>
      </w:pPr>
    </w:p>
    <w:p w14:paraId="126B152F">
      <w:pPr>
        <w:pStyle w:val="33"/>
        <w:spacing w:before="0" w:after="0"/>
        <w:ind w:firstLine="4000" w:firstLineChars="1905"/>
        <w:rPr>
          <w:rFonts w:hAnsi="宋体" w:cs="宋体"/>
          <w:color w:val="auto"/>
          <w:sz w:val="21"/>
          <w:szCs w:val="21"/>
          <w:highlight w:val="none"/>
        </w:rPr>
      </w:pPr>
      <w:r>
        <w:rPr>
          <w:rFonts w:hint="eastAsia" w:hAnsi="宋体" w:cs="宋体"/>
          <w:color w:val="auto"/>
          <w:sz w:val="21"/>
          <w:szCs w:val="21"/>
          <w:highlight w:val="none"/>
        </w:rPr>
        <w:t>投标供应商公章：</w:t>
      </w:r>
    </w:p>
    <w:p w14:paraId="74CD46E1">
      <w:pPr>
        <w:pStyle w:val="33"/>
        <w:spacing w:before="0" w:after="0"/>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日期：     年    月   日</w:t>
      </w:r>
    </w:p>
    <w:p w14:paraId="7F3C971E">
      <w:pPr>
        <w:widowControl/>
        <w:spacing w:line="360" w:lineRule="auto"/>
        <w:ind w:firstLine="300"/>
        <w:rPr>
          <w:rFonts w:ascii="宋体" w:hAnsi="宋体"/>
          <w:b/>
          <w:bCs/>
          <w:color w:val="auto"/>
          <w:kern w:val="0"/>
          <w:szCs w:val="21"/>
          <w:highlight w:val="none"/>
        </w:rPr>
      </w:pPr>
    </w:p>
    <w:p w14:paraId="0F7B29D8">
      <w:pPr>
        <w:widowControl/>
        <w:spacing w:line="360" w:lineRule="auto"/>
        <w:ind w:firstLine="300"/>
        <w:rPr>
          <w:rFonts w:ascii="宋体" w:hAnsi="宋体"/>
          <w:b/>
          <w:bCs/>
          <w:color w:val="auto"/>
          <w:kern w:val="0"/>
          <w:szCs w:val="21"/>
          <w:highlight w:val="none"/>
        </w:rPr>
      </w:pPr>
    </w:p>
    <w:p w14:paraId="68AFCF02">
      <w:pPr>
        <w:widowControl/>
        <w:spacing w:line="360" w:lineRule="auto"/>
        <w:ind w:firstLine="300"/>
        <w:rPr>
          <w:rFonts w:ascii="宋体" w:hAnsi="宋体"/>
          <w:b/>
          <w:bCs/>
          <w:color w:val="auto"/>
          <w:kern w:val="0"/>
          <w:szCs w:val="21"/>
          <w:highlight w:val="none"/>
        </w:rPr>
      </w:pPr>
    </w:p>
    <w:p w14:paraId="169261EB">
      <w:pPr>
        <w:spacing w:line="360" w:lineRule="auto"/>
        <w:rPr>
          <w:color w:val="auto"/>
          <w:highlight w:val="none"/>
        </w:rPr>
      </w:pPr>
    </w:p>
    <w:p w14:paraId="4E02E69B">
      <w:pPr>
        <w:pStyle w:val="5"/>
        <w:spacing w:line="360" w:lineRule="auto"/>
        <w:ind w:firstLine="0"/>
        <w:rPr>
          <w:rFonts w:ascii="宋体" w:hAnsi="宋体" w:cs="宋体"/>
          <w:b/>
          <w:color w:val="auto"/>
          <w:kern w:val="0"/>
          <w:sz w:val="21"/>
          <w:szCs w:val="21"/>
          <w:highlight w:val="none"/>
        </w:rPr>
      </w:pPr>
      <w:bookmarkStart w:id="163" w:name="_Toc340322187"/>
      <w:bookmarkStart w:id="164" w:name="_Toc15240"/>
      <w:bookmarkStart w:id="165" w:name="_Toc339302148"/>
      <w:bookmarkStart w:id="166" w:name="_Toc489481900"/>
      <w:bookmarkStart w:id="167" w:name="_Toc340321932"/>
      <w:bookmarkStart w:id="168" w:name="_Toc513456154"/>
    </w:p>
    <w:p w14:paraId="765CBFD8">
      <w:pPr>
        <w:pStyle w:val="5"/>
        <w:spacing w:line="360" w:lineRule="auto"/>
        <w:ind w:firstLine="0"/>
        <w:rPr>
          <w:rFonts w:ascii="宋体" w:hAnsi="宋体" w:cs="宋体"/>
          <w:b/>
          <w:color w:val="auto"/>
          <w:kern w:val="0"/>
          <w:sz w:val="21"/>
          <w:szCs w:val="21"/>
          <w:highlight w:val="none"/>
        </w:rPr>
      </w:pPr>
    </w:p>
    <w:p w14:paraId="0ED06948">
      <w:pPr>
        <w:pStyle w:val="5"/>
        <w:spacing w:line="360" w:lineRule="auto"/>
        <w:ind w:firstLine="0"/>
        <w:rPr>
          <w:rFonts w:ascii="宋体" w:hAnsi="宋体" w:cs="宋体"/>
          <w:b/>
          <w:color w:val="auto"/>
          <w:kern w:val="0"/>
          <w:sz w:val="21"/>
          <w:szCs w:val="21"/>
          <w:highlight w:val="none"/>
        </w:rPr>
      </w:pPr>
    </w:p>
    <w:p w14:paraId="1BA50E8B">
      <w:pPr>
        <w:pStyle w:val="5"/>
        <w:spacing w:line="360" w:lineRule="auto"/>
        <w:ind w:firstLine="0"/>
        <w:rPr>
          <w:rFonts w:ascii="宋体" w:hAnsi="宋体" w:cs="宋体"/>
          <w:b/>
          <w:color w:val="auto"/>
          <w:kern w:val="0"/>
          <w:sz w:val="21"/>
          <w:szCs w:val="21"/>
          <w:highlight w:val="none"/>
        </w:rPr>
      </w:pPr>
    </w:p>
    <w:p w14:paraId="1717BF32">
      <w:pPr>
        <w:pStyle w:val="5"/>
        <w:spacing w:line="360" w:lineRule="auto"/>
        <w:ind w:firstLine="0"/>
        <w:rPr>
          <w:rFonts w:ascii="宋体" w:hAnsi="宋体" w:cs="宋体"/>
          <w:b/>
          <w:color w:val="auto"/>
          <w:kern w:val="0"/>
          <w:sz w:val="21"/>
          <w:szCs w:val="21"/>
          <w:highlight w:val="none"/>
        </w:rPr>
      </w:pPr>
    </w:p>
    <w:p w14:paraId="51063AF0">
      <w:pPr>
        <w:pStyle w:val="5"/>
        <w:spacing w:line="360" w:lineRule="auto"/>
        <w:ind w:firstLine="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w:t>
      </w:r>
      <w:bookmarkEnd w:id="163"/>
      <w:bookmarkEnd w:id="164"/>
      <w:bookmarkEnd w:id="165"/>
      <w:bookmarkEnd w:id="166"/>
      <w:bookmarkEnd w:id="167"/>
      <w:bookmarkEnd w:id="168"/>
      <w:r>
        <w:rPr>
          <w:rFonts w:hint="eastAsia" w:ascii="宋体" w:hAnsi="宋体" w:cs="宋体"/>
          <w:b/>
          <w:color w:val="auto"/>
          <w:kern w:val="0"/>
          <w:sz w:val="21"/>
          <w:szCs w:val="21"/>
          <w:highlight w:val="none"/>
        </w:rPr>
        <w:t>4：供应商市场行为信誉情况承诺书</w:t>
      </w:r>
    </w:p>
    <w:p w14:paraId="55DE9013">
      <w:pPr>
        <w:tabs>
          <w:tab w:val="left" w:pos="358"/>
          <w:tab w:val="left" w:pos="420"/>
        </w:tabs>
        <w:spacing w:line="360" w:lineRule="auto"/>
        <w:jc w:val="center"/>
        <w:rPr>
          <w:rFonts w:ascii="宋体" w:hAnsi="宋体"/>
          <w:bCs/>
          <w:color w:val="auto"/>
          <w:szCs w:val="21"/>
          <w:highlight w:val="none"/>
        </w:rPr>
      </w:pPr>
    </w:p>
    <w:p w14:paraId="6FBA83E2">
      <w:pPr>
        <w:tabs>
          <w:tab w:val="left" w:pos="358"/>
          <w:tab w:val="left" w:pos="420"/>
        </w:tabs>
        <w:spacing w:line="360" w:lineRule="auto"/>
        <w:jc w:val="center"/>
        <w:rPr>
          <w:rFonts w:ascii="宋体" w:hAnsi="宋体"/>
          <w:b/>
          <w:color w:val="auto"/>
          <w:szCs w:val="21"/>
          <w:highlight w:val="none"/>
        </w:rPr>
      </w:pPr>
      <w:r>
        <w:rPr>
          <w:rFonts w:hint="eastAsia" w:ascii="宋体" w:hAnsi="宋体"/>
          <w:b/>
          <w:color w:val="auto"/>
          <w:szCs w:val="21"/>
          <w:highlight w:val="none"/>
        </w:rPr>
        <w:t>供应商市场行为信誉情况承诺书</w:t>
      </w:r>
    </w:p>
    <w:tbl>
      <w:tblPr>
        <w:tblStyle w:val="7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866"/>
        <w:gridCol w:w="188"/>
        <w:gridCol w:w="1735"/>
        <w:gridCol w:w="1083"/>
        <w:gridCol w:w="2481"/>
        <w:gridCol w:w="1564"/>
      </w:tblGrid>
      <w:tr w14:paraId="130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08" w:type="dxa"/>
            <w:gridSpan w:val="3"/>
            <w:vAlign w:val="center"/>
          </w:tcPr>
          <w:p w14:paraId="716A34DF">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投（竞）标供应商名称</w:t>
            </w:r>
          </w:p>
        </w:tc>
        <w:tc>
          <w:tcPr>
            <w:tcW w:w="2818" w:type="dxa"/>
            <w:gridSpan w:val="2"/>
            <w:vAlign w:val="center"/>
          </w:tcPr>
          <w:p w14:paraId="1762932D">
            <w:pPr>
              <w:spacing w:line="360" w:lineRule="auto"/>
              <w:rPr>
                <w:rFonts w:ascii="宋体" w:hAnsi="宋体" w:cs="宋体"/>
                <w:color w:val="auto"/>
                <w:szCs w:val="21"/>
                <w:highlight w:val="none"/>
              </w:rPr>
            </w:pPr>
          </w:p>
        </w:tc>
        <w:tc>
          <w:tcPr>
            <w:tcW w:w="2481" w:type="dxa"/>
            <w:vAlign w:val="center"/>
          </w:tcPr>
          <w:p w14:paraId="2094BDC4">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企业资质等级</w:t>
            </w:r>
          </w:p>
          <w:p w14:paraId="2ADFBABA">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（如 有）</w:t>
            </w:r>
          </w:p>
        </w:tc>
        <w:tc>
          <w:tcPr>
            <w:tcW w:w="1564" w:type="dxa"/>
            <w:vAlign w:val="center"/>
          </w:tcPr>
          <w:p w14:paraId="620EC901">
            <w:pPr>
              <w:spacing w:line="360" w:lineRule="auto"/>
              <w:rPr>
                <w:rFonts w:ascii="宋体" w:hAnsi="宋体" w:cs="宋体"/>
                <w:color w:val="auto"/>
                <w:szCs w:val="21"/>
                <w:highlight w:val="none"/>
              </w:rPr>
            </w:pPr>
          </w:p>
        </w:tc>
      </w:tr>
      <w:tr w14:paraId="3657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08" w:type="dxa"/>
            <w:gridSpan w:val="3"/>
            <w:vAlign w:val="center"/>
          </w:tcPr>
          <w:p w14:paraId="67935FC2">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企 业 地 址</w:t>
            </w:r>
          </w:p>
        </w:tc>
        <w:tc>
          <w:tcPr>
            <w:tcW w:w="2818" w:type="dxa"/>
            <w:gridSpan w:val="2"/>
            <w:vAlign w:val="center"/>
          </w:tcPr>
          <w:p w14:paraId="79EAAF77">
            <w:pPr>
              <w:spacing w:line="360" w:lineRule="auto"/>
              <w:rPr>
                <w:rFonts w:ascii="宋体" w:hAnsi="宋体" w:cs="宋体"/>
                <w:color w:val="auto"/>
                <w:szCs w:val="21"/>
                <w:highlight w:val="none"/>
              </w:rPr>
            </w:pPr>
          </w:p>
        </w:tc>
        <w:tc>
          <w:tcPr>
            <w:tcW w:w="2481" w:type="dxa"/>
            <w:vAlign w:val="center"/>
          </w:tcPr>
          <w:p w14:paraId="7E871133">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联 系 电 话</w:t>
            </w:r>
          </w:p>
        </w:tc>
        <w:tc>
          <w:tcPr>
            <w:tcW w:w="1564" w:type="dxa"/>
            <w:vAlign w:val="center"/>
          </w:tcPr>
          <w:p w14:paraId="6FEBC743">
            <w:pPr>
              <w:spacing w:line="360" w:lineRule="auto"/>
              <w:rPr>
                <w:rFonts w:ascii="宋体" w:hAnsi="宋体" w:cs="宋体"/>
                <w:color w:val="auto"/>
                <w:szCs w:val="21"/>
                <w:highlight w:val="none"/>
              </w:rPr>
            </w:pPr>
          </w:p>
        </w:tc>
      </w:tr>
      <w:tr w14:paraId="237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08" w:type="dxa"/>
            <w:gridSpan w:val="3"/>
            <w:vAlign w:val="center"/>
          </w:tcPr>
          <w:p w14:paraId="010E6170">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拟投（竞）标项目名称</w:t>
            </w:r>
          </w:p>
        </w:tc>
        <w:tc>
          <w:tcPr>
            <w:tcW w:w="2818" w:type="dxa"/>
            <w:gridSpan w:val="2"/>
            <w:vAlign w:val="center"/>
          </w:tcPr>
          <w:p w14:paraId="5FCB16BC">
            <w:pPr>
              <w:spacing w:line="360" w:lineRule="auto"/>
              <w:rPr>
                <w:rFonts w:ascii="宋体" w:hAnsi="宋体" w:cs="宋体"/>
                <w:color w:val="auto"/>
                <w:szCs w:val="21"/>
                <w:highlight w:val="none"/>
              </w:rPr>
            </w:pPr>
          </w:p>
        </w:tc>
        <w:tc>
          <w:tcPr>
            <w:tcW w:w="2481" w:type="dxa"/>
            <w:vAlign w:val="center"/>
          </w:tcPr>
          <w:p w14:paraId="0A61A2D1">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拟投标项目负责人姓名及资质</w:t>
            </w:r>
          </w:p>
        </w:tc>
        <w:tc>
          <w:tcPr>
            <w:tcW w:w="1564" w:type="dxa"/>
            <w:vAlign w:val="center"/>
          </w:tcPr>
          <w:p w14:paraId="6292FC69">
            <w:pPr>
              <w:spacing w:line="360" w:lineRule="auto"/>
              <w:rPr>
                <w:rFonts w:ascii="宋体" w:hAnsi="宋体" w:cs="宋体"/>
                <w:color w:val="auto"/>
                <w:szCs w:val="21"/>
                <w:highlight w:val="none"/>
              </w:rPr>
            </w:pPr>
          </w:p>
        </w:tc>
      </w:tr>
      <w:tr w14:paraId="6391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54" w:type="dxa"/>
            <w:vMerge w:val="restart"/>
            <w:vAlign w:val="center"/>
          </w:tcPr>
          <w:p w14:paraId="682F1C27">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供应商</w:t>
            </w:r>
          </w:p>
          <w:p w14:paraId="5E88C45C">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市场</w:t>
            </w:r>
          </w:p>
          <w:p w14:paraId="6D578D29">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行为</w:t>
            </w:r>
          </w:p>
          <w:p w14:paraId="7B2C5564">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信用</w:t>
            </w:r>
          </w:p>
          <w:p w14:paraId="252899B5">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情况</w:t>
            </w:r>
          </w:p>
        </w:tc>
        <w:tc>
          <w:tcPr>
            <w:tcW w:w="2789" w:type="dxa"/>
            <w:gridSpan w:val="3"/>
            <w:vAlign w:val="center"/>
          </w:tcPr>
          <w:p w14:paraId="47302C52">
            <w:pPr>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有无不良行为受到记录公告，正在公告期内的情况</w:t>
            </w:r>
          </w:p>
        </w:tc>
        <w:tc>
          <w:tcPr>
            <w:tcW w:w="5128" w:type="dxa"/>
            <w:gridSpan w:val="3"/>
            <w:vAlign w:val="center"/>
          </w:tcPr>
          <w:p w14:paraId="3668BFAC">
            <w:pPr>
              <w:spacing w:line="360" w:lineRule="auto"/>
              <w:rPr>
                <w:rFonts w:ascii="宋体" w:hAnsi="宋体" w:cs="宋体"/>
                <w:color w:val="auto"/>
                <w:szCs w:val="21"/>
                <w:highlight w:val="none"/>
              </w:rPr>
            </w:pPr>
          </w:p>
        </w:tc>
      </w:tr>
      <w:tr w14:paraId="6498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54" w:type="dxa"/>
            <w:vMerge w:val="continue"/>
            <w:vAlign w:val="center"/>
          </w:tcPr>
          <w:p w14:paraId="28A9ED35">
            <w:pPr>
              <w:spacing w:before="100" w:beforeAutospacing="1" w:after="100" w:afterAutospacing="1" w:line="360" w:lineRule="auto"/>
              <w:jc w:val="center"/>
              <w:rPr>
                <w:rFonts w:ascii="宋体" w:hAnsi="宋体" w:cs="宋体"/>
                <w:color w:val="auto"/>
                <w:szCs w:val="21"/>
                <w:highlight w:val="none"/>
              </w:rPr>
            </w:pPr>
          </w:p>
        </w:tc>
        <w:tc>
          <w:tcPr>
            <w:tcW w:w="2789" w:type="dxa"/>
            <w:gridSpan w:val="3"/>
            <w:vAlign w:val="center"/>
          </w:tcPr>
          <w:p w14:paraId="38A306FC">
            <w:pPr>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申请报名前三年内，在经营活动中有无重大违法犯罪记录</w:t>
            </w:r>
          </w:p>
        </w:tc>
        <w:tc>
          <w:tcPr>
            <w:tcW w:w="5128" w:type="dxa"/>
            <w:gridSpan w:val="3"/>
            <w:vAlign w:val="center"/>
          </w:tcPr>
          <w:p w14:paraId="63793A86">
            <w:pPr>
              <w:spacing w:line="360" w:lineRule="auto"/>
              <w:rPr>
                <w:rFonts w:ascii="宋体" w:hAnsi="宋体" w:cs="宋体"/>
                <w:color w:val="auto"/>
                <w:szCs w:val="21"/>
                <w:highlight w:val="none"/>
              </w:rPr>
            </w:pPr>
          </w:p>
        </w:tc>
      </w:tr>
      <w:tr w14:paraId="0308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54" w:type="dxa"/>
            <w:vMerge w:val="continue"/>
            <w:vAlign w:val="center"/>
          </w:tcPr>
          <w:p w14:paraId="25AF721D">
            <w:pPr>
              <w:spacing w:line="360" w:lineRule="auto"/>
              <w:rPr>
                <w:rFonts w:ascii="宋体" w:hAnsi="宋体" w:cs="宋体"/>
                <w:color w:val="auto"/>
                <w:szCs w:val="21"/>
                <w:highlight w:val="none"/>
              </w:rPr>
            </w:pPr>
          </w:p>
        </w:tc>
        <w:tc>
          <w:tcPr>
            <w:tcW w:w="2789" w:type="dxa"/>
            <w:gridSpan w:val="3"/>
            <w:vAlign w:val="center"/>
          </w:tcPr>
          <w:p w14:paraId="0854AF68">
            <w:pPr>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有无失信记录</w:t>
            </w:r>
          </w:p>
        </w:tc>
        <w:tc>
          <w:tcPr>
            <w:tcW w:w="5128" w:type="dxa"/>
            <w:gridSpan w:val="3"/>
            <w:vAlign w:val="center"/>
          </w:tcPr>
          <w:p w14:paraId="69AC9D9B">
            <w:pPr>
              <w:spacing w:line="360" w:lineRule="auto"/>
              <w:rPr>
                <w:rFonts w:ascii="宋体" w:hAnsi="宋体" w:cs="宋体"/>
                <w:color w:val="auto"/>
                <w:szCs w:val="21"/>
                <w:highlight w:val="none"/>
              </w:rPr>
            </w:pPr>
          </w:p>
        </w:tc>
      </w:tr>
      <w:tr w14:paraId="1A4E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54" w:type="dxa"/>
            <w:vMerge w:val="continue"/>
            <w:vAlign w:val="center"/>
          </w:tcPr>
          <w:p w14:paraId="4A4BCAE4">
            <w:pPr>
              <w:spacing w:before="100" w:beforeAutospacing="1" w:after="100" w:afterAutospacing="1" w:line="360" w:lineRule="auto"/>
              <w:jc w:val="center"/>
              <w:rPr>
                <w:rFonts w:ascii="宋体" w:hAnsi="宋体" w:cs="宋体"/>
                <w:color w:val="auto"/>
                <w:szCs w:val="21"/>
                <w:highlight w:val="none"/>
              </w:rPr>
            </w:pPr>
          </w:p>
        </w:tc>
        <w:tc>
          <w:tcPr>
            <w:tcW w:w="2789" w:type="dxa"/>
            <w:gridSpan w:val="3"/>
            <w:vAlign w:val="center"/>
          </w:tcPr>
          <w:p w14:paraId="711A38B7">
            <w:pPr>
              <w:spacing w:before="100" w:beforeAutospacing="1" w:after="100" w:afterAutospacing="1" w:line="360" w:lineRule="auto"/>
              <w:rPr>
                <w:rFonts w:ascii="宋体" w:hAnsi="宋体" w:cs="宋体"/>
                <w:color w:val="auto"/>
                <w:szCs w:val="21"/>
                <w:highlight w:val="none"/>
              </w:rPr>
            </w:pPr>
          </w:p>
        </w:tc>
        <w:tc>
          <w:tcPr>
            <w:tcW w:w="5128" w:type="dxa"/>
            <w:gridSpan w:val="3"/>
            <w:vAlign w:val="center"/>
          </w:tcPr>
          <w:p w14:paraId="14F1D551">
            <w:pPr>
              <w:spacing w:line="360" w:lineRule="auto"/>
              <w:rPr>
                <w:rFonts w:ascii="宋体" w:hAnsi="宋体" w:cs="宋体"/>
                <w:color w:val="auto"/>
                <w:szCs w:val="21"/>
                <w:highlight w:val="none"/>
              </w:rPr>
            </w:pPr>
          </w:p>
        </w:tc>
      </w:tr>
      <w:tr w14:paraId="30A4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54" w:type="dxa"/>
            <w:vMerge w:val="continue"/>
            <w:vAlign w:val="center"/>
          </w:tcPr>
          <w:p w14:paraId="3DA0F6E4">
            <w:pPr>
              <w:spacing w:line="360" w:lineRule="auto"/>
              <w:rPr>
                <w:rFonts w:ascii="宋体" w:hAnsi="宋体" w:cs="宋体"/>
                <w:color w:val="auto"/>
                <w:szCs w:val="21"/>
                <w:highlight w:val="none"/>
              </w:rPr>
            </w:pPr>
          </w:p>
        </w:tc>
        <w:tc>
          <w:tcPr>
            <w:tcW w:w="2789" w:type="dxa"/>
            <w:gridSpan w:val="3"/>
            <w:vAlign w:val="center"/>
          </w:tcPr>
          <w:p w14:paraId="196ABAC8">
            <w:pPr>
              <w:spacing w:before="100" w:beforeAutospacing="1" w:after="100" w:afterAutospacing="1" w:line="360" w:lineRule="auto"/>
              <w:rPr>
                <w:rFonts w:ascii="宋体" w:hAnsi="宋体" w:cs="宋体"/>
                <w:color w:val="auto"/>
                <w:szCs w:val="21"/>
                <w:highlight w:val="none"/>
              </w:rPr>
            </w:pPr>
          </w:p>
        </w:tc>
        <w:tc>
          <w:tcPr>
            <w:tcW w:w="5128" w:type="dxa"/>
            <w:gridSpan w:val="3"/>
            <w:vAlign w:val="center"/>
          </w:tcPr>
          <w:p w14:paraId="1C07D733">
            <w:pPr>
              <w:spacing w:line="360" w:lineRule="auto"/>
              <w:rPr>
                <w:rFonts w:ascii="宋体" w:hAnsi="宋体" w:cs="宋体"/>
                <w:color w:val="auto"/>
                <w:szCs w:val="21"/>
                <w:highlight w:val="none"/>
              </w:rPr>
            </w:pPr>
          </w:p>
        </w:tc>
      </w:tr>
      <w:tr w14:paraId="116C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920" w:type="dxa"/>
            <w:gridSpan w:val="2"/>
            <w:vAlign w:val="center"/>
          </w:tcPr>
          <w:p w14:paraId="16DDDF96">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投标供应商</w:t>
            </w:r>
          </w:p>
          <w:p w14:paraId="60C9167B">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声 明</w:t>
            </w:r>
          </w:p>
        </w:tc>
        <w:tc>
          <w:tcPr>
            <w:tcW w:w="7051" w:type="dxa"/>
            <w:gridSpan w:val="5"/>
          </w:tcPr>
          <w:p w14:paraId="1FE2A6E2">
            <w:pPr>
              <w:pStyle w:val="33"/>
              <w:ind w:firstLine="411" w:firstLineChars="196"/>
              <w:rPr>
                <w:rFonts w:hAnsi="宋体" w:cs="宋体"/>
                <w:color w:val="auto"/>
                <w:sz w:val="21"/>
                <w:szCs w:val="21"/>
                <w:highlight w:val="none"/>
              </w:rPr>
            </w:pPr>
            <w:r>
              <w:rPr>
                <w:rFonts w:hint="eastAsia" w:hAnsi="宋体" w:cs="宋体"/>
                <w:color w:val="auto"/>
                <w:sz w:val="21"/>
                <w:szCs w:val="21"/>
                <w:highlight w:val="none"/>
              </w:rPr>
              <w:t>以上内容是本企业市场行为信用的真实反映，如有不实，愿取消本项目投标资格。</w:t>
            </w:r>
          </w:p>
          <w:p w14:paraId="11CFF118">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bCs/>
                <w:color w:val="auto"/>
                <w:szCs w:val="21"/>
                <w:highlight w:val="none"/>
              </w:rPr>
              <w:t>法定代表人或被授权人</w:t>
            </w:r>
            <w:r>
              <w:rPr>
                <w:rFonts w:hint="eastAsia" w:ascii="宋体" w:hAnsi="宋体" w:cs="宋体"/>
                <w:color w:val="auto"/>
                <w:szCs w:val="21"/>
                <w:highlight w:val="none"/>
              </w:rPr>
              <w:t>签名：</w:t>
            </w:r>
          </w:p>
          <w:p w14:paraId="3912FB19">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(单位公章)</w:t>
            </w:r>
          </w:p>
          <w:p w14:paraId="2594546B">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 期：    年  月   日</w:t>
            </w:r>
          </w:p>
        </w:tc>
      </w:tr>
    </w:tbl>
    <w:p w14:paraId="376D58D6">
      <w:pPr>
        <w:spacing w:line="360" w:lineRule="auto"/>
        <w:rPr>
          <w:rFonts w:ascii="宋体" w:hAnsi="宋体"/>
          <w:bCs/>
          <w:color w:val="auto"/>
          <w:szCs w:val="21"/>
          <w:highlight w:val="none"/>
        </w:rPr>
      </w:pPr>
      <w:r>
        <w:rPr>
          <w:rFonts w:hint="eastAsia" w:ascii="宋体" w:hAnsi="宋体"/>
          <w:bCs/>
          <w:color w:val="auto"/>
          <w:szCs w:val="21"/>
          <w:highlight w:val="none"/>
        </w:rPr>
        <w:t>注：1.本表格须如实填写；</w:t>
      </w:r>
    </w:p>
    <w:p w14:paraId="2146231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2.本表格作为投（竞）标文件的技术资信部分内容放入投（竞）标文件中；</w:t>
      </w:r>
    </w:p>
    <w:p w14:paraId="5324EA2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3.本表格由供应商自己填写，若无表中所列情况，则在相应栏中写“无”，若有，须按具体次数分别说明（包括处罚时间、事由、处罚主体等）。</w:t>
      </w:r>
    </w:p>
    <w:p w14:paraId="5B382BBD">
      <w:pPr>
        <w:pStyle w:val="5"/>
        <w:spacing w:line="360" w:lineRule="auto"/>
        <w:ind w:firstLine="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附件5：投标人基本情况</w:t>
      </w:r>
    </w:p>
    <w:p w14:paraId="325309A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投标人情况介绍</w:t>
      </w:r>
    </w:p>
    <w:tbl>
      <w:tblPr>
        <w:tblStyle w:val="79"/>
        <w:tblW w:w="0" w:type="auto"/>
        <w:jc w:val="center"/>
        <w:tblLayout w:type="fixed"/>
        <w:tblCellMar>
          <w:top w:w="0" w:type="dxa"/>
          <w:left w:w="28" w:type="dxa"/>
          <w:bottom w:w="0" w:type="dxa"/>
          <w:right w:w="28" w:type="dxa"/>
        </w:tblCellMar>
      </w:tblPr>
      <w:tblGrid>
        <w:gridCol w:w="2487"/>
        <w:gridCol w:w="2154"/>
        <w:gridCol w:w="2760"/>
        <w:gridCol w:w="2140"/>
      </w:tblGrid>
      <w:tr w14:paraId="12F1DFB7">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0D2EEE87">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投标人全称</w:t>
            </w:r>
          </w:p>
        </w:tc>
        <w:tc>
          <w:tcPr>
            <w:tcW w:w="2154" w:type="dxa"/>
            <w:tcBorders>
              <w:top w:val="single" w:color="auto" w:sz="6" w:space="0"/>
              <w:left w:val="single" w:color="auto" w:sz="6" w:space="0"/>
              <w:bottom w:val="single" w:color="auto" w:sz="6" w:space="0"/>
              <w:right w:val="single" w:color="auto" w:sz="6" w:space="0"/>
            </w:tcBorders>
            <w:vAlign w:val="center"/>
          </w:tcPr>
          <w:p w14:paraId="201B2208">
            <w:pPr>
              <w:widowControl/>
              <w:autoSpaceDE w:val="0"/>
              <w:autoSpaceDN w:val="0"/>
              <w:spacing w:line="360" w:lineRule="auto"/>
              <w:jc w:val="center"/>
              <w:textAlignment w:val="bottom"/>
              <w:rPr>
                <w:rFonts w:ascii="宋体" w:hAnsi="宋体" w:cs="宋体"/>
                <w:b/>
                <w:color w:val="auto"/>
                <w:szCs w:val="21"/>
                <w:highlight w:val="none"/>
              </w:rPr>
            </w:pPr>
          </w:p>
        </w:tc>
        <w:tc>
          <w:tcPr>
            <w:tcW w:w="2760" w:type="dxa"/>
            <w:tcBorders>
              <w:top w:val="single" w:color="auto" w:sz="6" w:space="0"/>
              <w:left w:val="single" w:color="auto" w:sz="6" w:space="0"/>
              <w:bottom w:val="single" w:color="auto" w:sz="6" w:space="0"/>
              <w:right w:val="single" w:color="auto" w:sz="6" w:space="0"/>
            </w:tcBorders>
            <w:vAlign w:val="center"/>
          </w:tcPr>
          <w:p w14:paraId="1198CE8E">
            <w:pPr>
              <w:widowControl/>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法人代表</w:t>
            </w:r>
          </w:p>
        </w:tc>
        <w:tc>
          <w:tcPr>
            <w:tcW w:w="2140" w:type="dxa"/>
            <w:tcBorders>
              <w:top w:val="single" w:color="auto" w:sz="6" w:space="0"/>
              <w:left w:val="single" w:color="auto" w:sz="6" w:space="0"/>
              <w:bottom w:val="single" w:color="auto" w:sz="6" w:space="0"/>
              <w:right w:val="single" w:color="auto" w:sz="6" w:space="0"/>
            </w:tcBorders>
            <w:vAlign w:val="center"/>
          </w:tcPr>
          <w:p w14:paraId="3855CF74">
            <w:pPr>
              <w:widowControl/>
              <w:autoSpaceDE w:val="0"/>
              <w:autoSpaceDN w:val="0"/>
              <w:spacing w:line="360" w:lineRule="auto"/>
              <w:jc w:val="center"/>
              <w:textAlignment w:val="bottom"/>
              <w:rPr>
                <w:rFonts w:ascii="宋体" w:hAnsi="宋体" w:cs="宋体"/>
                <w:b/>
                <w:color w:val="auto"/>
                <w:szCs w:val="21"/>
                <w:highlight w:val="none"/>
              </w:rPr>
            </w:pPr>
          </w:p>
        </w:tc>
      </w:tr>
      <w:tr w14:paraId="741F79D8">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4FCBC494">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企业资质等级</w:t>
            </w:r>
          </w:p>
        </w:tc>
        <w:tc>
          <w:tcPr>
            <w:tcW w:w="2154" w:type="dxa"/>
            <w:tcBorders>
              <w:top w:val="single" w:color="auto" w:sz="6" w:space="0"/>
              <w:left w:val="single" w:color="auto" w:sz="6" w:space="0"/>
              <w:bottom w:val="single" w:color="auto" w:sz="6" w:space="0"/>
              <w:right w:val="single" w:color="auto" w:sz="6" w:space="0"/>
            </w:tcBorders>
            <w:vAlign w:val="center"/>
          </w:tcPr>
          <w:p w14:paraId="301A83F5">
            <w:pPr>
              <w:widowControl/>
              <w:autoSpaceDE w:val="0"/>
              <w:autoSpaceDN w:val="0"/>
              <w:spacing w:line="360" w:lineRule="auto"/>
              <w:jc w:val="center"/>
              <w:textAlignment w:val="bottom"/>
              <w:rPr>
                <w:rFonts w:ascii="宋体" w:hAnsi="宋体" w:cs="宋体"/>
                <w:b/>
                <w:color w:val="auto"/>
                <w:szCs w:val="21"/>
                <w:highlight w:val="none"/>
              </w:rPr>
            </w:pPr>
          </w:p>
        </w:tc>
        <w:tc>
          <w:tcPr>
            <w:tcW w:w="2760" w:type="dxa"/>
            <w:tcBorders>
              <w:top w:val="single" w:color="auto" w:sz="6" w:space="0"/>
              <w:left w:val="single" w:color="auto" w:sz="6" w:space="0"/>
              <w:bottom w:val="single" w:color="auto" w:sz="6" w:space="0"/>
              <w:right w:val="single" w:color="auto" w:sz="6" w:space="0"/>
            </w:tcBorders>
            <w:vAlign w:val="center"/>
          </w:tcPr>
          <w:p w14:paraId="6610B5B5">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营业执照编号</w:t>
            </w:r>
          </w:p>
        </w:tc>
        <w:tc>
          <w:tcPr>
            <w:tcW w:w="2140" w:type="dxa"/>
            <w:tcBorders>
              <w:top w:val="single" w:color="auto" w:sz="6" w:space="0"/>
              <w:left w:val="single" w:color="auto" w:sz="6" w:space="0"/>
              <w:bottom w:val="single" w:color="auto" w:sz="6" w:space="0"/>
              <w:right w:val="single" w:color="auto" w:sz="6" w:space="0"/>
            </w:tcBorders>
            <w:vAlign w:val="center"/>
          </w:tcPr>
          <w:p w14:paraId="309DE0FC">
            <w:pPr>
              <w:widowControl/>
              <w:autoSpaceDE w:val="0"/>
              <w:autoSpaceDN w:val="0"/>
              <w:spacing w:line="360" w:lineRule="auto"/>
              <w:jc w:val="center"/>
              <w:textAlignment w:val="bottom"/>
              <w:rPr>
                <w:rFonts w:ascii="宋体" w:hAnsi="宋体" w:cs="宋体"/>
                <w:b/>
                <w:color w:val="auto"/>
                <w:szCs w:val="21"/>
                <w:highlight w:val="none"/>
              </w:rPr>
            </w:pPr>
          </w:p>
        </w:tc>
      </w:tr>
      <w:tr w14:paraId="4DCA5856">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4856D91D">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单位性质</w:t>
            </w:r>
          </w:p>
        </w:tc>
        <w:tc>
          <w:tcPr>
            <w:tcW w:w="2154" w:type="dxa"/>
            <w:tcBorders>
              <w:top w:val="single" w:color="auto" w:sz="6" w:space="0"/>
              <w:left w:val="single" w:color="auto" w:sz="6" w:space="0"/>
              <w:bottom w:val="single" w:color="auto" w:sz="6" w:space="0"/>
              <w:right w:val="single" w:color="auto" w:sz="6" w:space="0"/>
            </w:tcBorders>
            <w:vAlign w:val="center"/>
          </w:tcPr>
          <w:p w14:paraId="6A19EC88">
            <w:pPr>
              <w:widowControl/>
              <w:autoSpaceDE w:val="0"/>
              <w:autoSpaceDN w:val="0"/>
              <w:spacing w:line="360" w:lineRule="auto"/>
              <w:jc w:val="center"/>
              <w:textAlignment w:val="bottom"/>
              <w:rPr>
                <w:rFonts w:ascii="宋体" w:hAnsi="宋体" w:cs="宋体"/>
                <w:b/>
                <w:color w:val="auto"/>
                <w:szCs w:val="21"/>
                <w:highlight w:val="none"/>
              </w:rPr>
            </w:pPr>
          </w:p>
        </w:tc>
        <w:tc>
          <w:tcPr>
            <w:tcW w:w="2760" w:type="dxa"/>
            <w:tcBorders>
              <w:top w:val="single" w:color="auto" w:sz="6" w:space="0"/>
              <w:left w:val="single" w:color="auto" w:sz="6" w:space="0"/>
              <w:bottom w:val="single" w:color="auto" w:sz="6" w:space="0"/>
              <w:right w:val="single" w:color="auto" w:sz="6" w:space="0"/>
            </w:tcBorders>
            <w:vAlign w:val="center"/>
          </w:tcPr>
          <w:p w14:paraId="564A93B7">
            <w:pPr>
              <w:widowControl/>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隶属</w:t>
            </w:r>
          </w:p>
        </w:tc>
        <w:tc>
          <w:tcPr>
            <w:tcW w:w="2140" w:type="dxa"/>
            <w:tcBorders>
              <w:top w:val="single" w:color="auto" w:sz="6" w:space="0"/>
              <w:left w:val="single" w:color="auto" w:sz="6" w:space="0"/>
              <w:bottom w:val="single" w:color="auto" w:sz="6" w:space="0"/>
              <w:right w:val="single" w:color="auto" w:sz="6" w:space="0"/>
            </w:tcBorders>
            <w:vAlign w:val="center"/>
          </w:tcPr>
          <w:p w14:paraId="42C1B861">
            <w:pPr>
              <w:widowControl/>
              <w:autoSpaceDE w:val="0"/>
              <w:autoSpaceDN w:val="0"/>
              <w:spacing w:line="360" w:lineRule="auto"/>
              <w:jc w:val="center"/>
              <w:textAlignment w:val="bottom"/>
              <w:rPr>
                <w:rFonts w:ascii="宋体" w:hAnsi="宋体" w:cs="宋体"/>
                <w:b/>
                <w:color w:val="auto"/>
                <w:szCs w:val="21"/>
                <w:highlight w:val="none"/>
              </w:rPr>
            </w:pPr>
          </w:p>
        </w:tc>
      </w:tr>
      <w:tr w14:paraId="3BE7FBBC">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64843DF6">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主要业务</w:t>
            </w:r>
          </w:p>
        </w:tc>
        <w:tc>
          <w:tcPr>
            <w:tcW w:w="2154" w:type="dxa"/>
            <w:tcBorders>
              <w:top w:val="single" w:color="auto" w:sz="6" w:space="0"/>
              <w:left w:val="single" w:color="auto" w:sz="6" w:space="0"/>
              <w:bottom w:val="single" w:color="auto" w:sz="6" w:space="0"/>
              <w:right w:val="single" w:color="auto" w:sz="6" w:space="0"/>
            </w:tcBorders>
            <w:vAlign w:val="center"/>
          </w:tcPr>
          <w:p w14:paraId="7EEB53BD">
            <w:pPr>
              <w:widowControl/>
              <w:autoSpaceDE w:val="0"/>
              <w:autoSpaceDN w:val="0"/>
              <w:spacing w:line="360" w:lineRule="auto"/>
              <w:jc w:val="center"/>
              <w:textAlignment w:val="bottom"/>
              <w:rPr>
                <w:rFonts w:ascii="宋体" w:hAnsi="宋体" w:cs="宋体"/>
                <w:b/>
                <w:color w:val="auto"/>
                <w:szCs w:val="21"/>
                <w:highlight w:val="none"/>
              </w:rPr>
            </w:pPr>
          </w:p>
        </w:tc>
        <w:tc>
          <w:tcPr>
            <w:tcW w:w="2760" w:type="dxa"/>
            <w:tcBorders>
              <w:top w:val="single" w:color="auto" w:sz="6" w:space="0"/>
              <w:left w:val="single" w:color="auto" w:sz="6" w:space="0"/>
              <w:bottom w:val="single" w:color="auto" w:sz="6" w:space="0"/>
              <w:right w:val="single" w:color="auto" w:sz="6" w:space="0"/>
            </w:tcBorders>
            <w:vAlign w:val="center"/>
          </w:tcPr>
          <w:p w14:paraId="2357364A">
            <w:pPr>
              <w:widowControl/>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固定资产净值(万元)</w:t>
            </w:r>
          </w:p>
        </w:tc>
        <w:tc>
          <w:tcPr>
            <w:tcW w:w="2140" w:type="dxa"/>
            <w:tcBorders>
              <w:top w:val="single" w:color="auto" w:sz="6" w:space="0"/>
              <w:left w:val="single" w:color="auto" w:sz="6" w:space="0"/>
              <w:bottom w:val="single" w:color="auto" w:sz="6" w:space="0"/>
              <w:right w:val="single" w:color="auto" w:sz="6" w:space="0"/>
            </w:tcBorders>
            <w:vAlign w:val="center"/>
          </w:tcPr>
          <w:p w14:paraId="02191898">
            <w:pPr>
              <w:widowControl/>
              <w:autoSpaceDE w:val="0"/>
              <w:autoSpaceDN w:val="0"/>
              <w:spacing w:line="360" w:lineRule="auto"/>
              <w:jc w:val="center"/>
              <w:textAlignment w:val="bottom"/>
              <w:rPr>
                <w:rFonts w:ascii="宋体" w:hAnsi="宋体" w:cs="宋体"/>
                <w:b/>
                <w:color w:val="auto"/>
                <w:szCs w:val="21"/>
                <w:highlight w:val="none"/>
              </w:rPr>
            </w:pPr>
          </w:p>
        </w:tc>
      </w:tr>
      <w:tr w14:paraId="011CD85A">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4DFDF72A">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现有职工总人数</w:t>
            </w:r>
          </w:p>
        </w:tc>
        <w:tc>
          <w:tcPr>
            <w:tcW w:w="2154" w:type="dxa"/>
            <w:tcBorders>
              <w:top w:val="single" w:color="auto" w:sz="6" w:space="0"/>
              <w:left w:val="single" w:color="auto" w:sz="6" w:space="0"/>
              <w:bottom w:val="single" w:color="auto" w:sz="6" w:space="0"/>
              <w:right w:val="single" w:color="auto" w:sz="6" w:space="0"/>
            </w:tcBorders>
            <w:vAlign w:val="center"/>
          </w:tcPr>
          <w:p w14:paraId="55D41F36">
            <w:pPr>
              <w:widowControl/>
              <w:autoSpaceDE w:val="0"/>
              <w:autoSpaceDN w:val="0"/>
              <w:spacing w:line="360" w:lineRule="auto"/>
              <w:jc w:val="center"/>
              <w:textAlignment w:val="bottom"/>
              <w:rPr>
                <w:rFonts w:ascii="宋体" w:hAnsi="宋体" w:cs="宋体"/>
                <w:b/>
                <w:color w:val="auto"/>
                <w:szCs w:val="21"/>
                <w:highlight w:val="none"/>
              </w:rPr>
            </w:pPr>
          </w:p>
        </w:tc>
        <w:tc>
          <w:tcPr>
            <w:tcW w:w="2760" w:type="dxa"/>
            <w:tcBorders>
              <w:top w:val="single" w:color="auto" w:sz="6" w:space="0"/>
              <w:left w:val="single" w:color="auto" w:sz="6" w:space="0"/>
              <w:bottom w:val="single" w:color="auto" w:sz="6" w:space="0"/>
              <w:right w:val="single" w:color="auto" w:sz="6" w:space="0"/>
            </w:tcBorders>
            <w:vAlign w:val="center"/>
          </w:tcPr>
          <w:p w14:paraId="159DDCF8">
            <w:pPr>
              <w:widowControl/>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单位成立日期</w:t>
            </w:r>
          </w:p>
        </w:tc>
        <w:tc>
          <w:tcPr>
            <w:tcW w:w="2140" w:type="dxa"/>
            <w:tcBorders>
              <w:top w:val="single" w:color="auto" w:sz="6" w:space="0"/>
              <w:left w:val="single" w:color="auto" w:sz="6" w:space="0"/>
              <w:bottom w:val="single" w:color="auto" w:sz="6" w:space="0"/>
              <w:right w:val="single" w:color="auto" w:sz="6" w:space="0"/>
            </w:tcBorders>
            <w:vAlign w:val="center"/>
          </w:tcPr>
          <w:p w14:paraId="23456B20">
            <w:pPr>
              <w:widowControl/>
              <w:autoSpaceDE w:val="0"/>
              <w:autoSpaceDN w:val="0"/>
              <w:spacing w:line="360" w:lineRule="auto"/>
              <w:jc w:val="center"/>
              <w:textAlignment w:val="bottom"/>
              <w:rPr>
                <w:rFonts w:ascii="宋体" w:hAnsi="宋体" w:cs="宋体"/>
                <w:b/>
                <w:color w:val="auto"/>
                <w:szCs w:val="21"/>
                <w:highlight w:val="none"/>
              </w:rPr>
            </w:pPr>
          </w:p>
        </w:tc>
      </w:tr>
      <w:tr w14:paraId="3D9CEDFB">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2EF60351">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bCs/>
                <w:color w:val="auto"/>
                <w:kern w:val="0"/>
                <w:szCs w:val="21"/>
                <w:highlight w:val="none"/>
              </w:rPr>
              <w:t>或负责人</w:t>
            </w:r>
            <w:r>
              <w:rPr>
                <w:rFonts w:hint="eastAsia" w:ascii="宋体" w:hAnsi="宋体" w:cs="宋体"/>
                <w:color w:val="auto"/>
                <w:szCs w:val="21"/>
                <w:highlight w:val="none"/>
              </w:rPr>
              <w:t>)</w:t>
            </w:r>
          </w:p>
        </w:tc>
        <w:tc>
          <w:tcPr>
            <w:tcW w:w="7054" w:type="dxa"/>
            <w:gridSpan w:val="3"/>
            <w:tcBorders>
              <w:top w:val="single" w:color="auto" w:sz="6" w:space="0"/>
              <w:left w:val="single" w:color="auto" w:sz="6" w:space="0"/>
              <w:bottom w:val="single" w:color="auto" w:sz="6" w:space="0"/>
              <w:right w:val="single" w:color="auto" w:sz="6" w:space="0"/>
            </w:tcBorders>
          </w:tcPr>
          <w:p w14:paraId="498E3818">
            <w:pPr>
              <w:widowControl/>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1.姓名：      2.职务：       3.职称：</w:t>
            </w:r>
          </w:p>
        </w:tc>
      </w:tr>
      <w:tr w14:paraId="73D182D5">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727ACE63">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联系方式</w:t>
            </w:r>
          </w:p>
        </w:tc>
        <w:tc>
          <w:tcPr>
            <w:tcW w:w="7054" w:type="dxa"/>
            <w:gridSpan w:val="3"/>
            <w:tcBorders>
              <w:top w:val="single" w:color="auto" w:sz="6" w:space="0"/>
              <w:left w:val="single" w:color="auto" w:sz="6" w:space="0"/>
              <w:bottom w:val="single" w:color="auto" w:sz="6" w:space="0"/>
              <w:right w:val="single" w:color="auto" w:sz="6" w:space="0"/>
            </w:tcBorders>
          </w:tcPr>
          <w:p w14:paraId="525F3B0C">
            <w:pPr>
              <w:widowControl/>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1.地址：</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2.邮编：</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3.电话：</w:t>
            </w:r>
            <w:r>
              <w:rPr>
                <w:rFonts w:hint="eastAsia" w:ascii="宋体" w:hAnsi="宋体" w:cs="宋体"/>
                <w:b/>
                <w:color w:val="auto"/>
                <w:szCs w:val="21"/>
                <w:highlight w:val="none"/>
              </w:rPr>
              <w:t xml:space="preserve"> </w:t>
            </w:r>
          </w:p>
          <w:p w14:paraId="345EBB24">
            <w:pPr>
              <w:widowControl/>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4.传真：</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5. 联系人：</w:t>
            </w:r>
            <w:r>
              <w:rPr>
                <w:rFonts w:hint="eastAsia" w:ascii="宋体" w:hAnsi="宋体" w:cs="宋体"/>
                <w:b/>
                <w:color w:val="auto"/>
                <w:szCs w:val="21"/>
                <w:highlight w:val="none"/>
              </w:rPr>
              <w:t xml:space="preserve"> </w:t>
            </w:r>
          </w:p>
        </w:tc>
      </w:tr>
      <w:tr w14:paraId="6476A469">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53D0D9BD">
            <w:pPr>
              <w:widowControl/>
              <w:autoSpaceDE w:val="0"/>
              <w:autoSpaceDN w:val="0"/>
              <w:spacing w:line="360" w:lineRule="auto"/>
              <w:ind w:left="113"/>
              <w:jc w:val="center"/>
              <w:textAlignment w:val="bottom"/>
              <w:rPr>
                <w:rFonts w:ascii="宋体" w:hAnsi="宋体" w:cs="宋体"/>
                <w:color w:val="auto"/>
                <w:szCs w:val="21"/>
                <w:highlight w:val="none"/>
              </w:rPr>
            </w:pPr>
            <w:r>
              <w:rPr>
                <w:rFonts w:hint="eastAsia" w:ascii="宋体" w:hAnsi="宋体" w:cs="宋体"/>
                <w:color w:val="auto"/>
                <w:szCs w:val="21"/>
                <w:highlight w:val="none"/>
              </w:rPr>
              <w:t>开户银行</w:t>
            </w:r>
          </w:p>
        </w:tc>
        <w:tc>
          <w:tcPr>
            <w:tcW w:w="7054" w:type="dxa"/>
            <w:gridSpan w:val="3"/>
            <w:tcBorders>
              <w:top w:val="single" w:color="auto" w:sz="6" w:space="0"/>
              <w:left w:val="single" w:color="auto" w:sz="6" w:space="0"/>
              <w:bottom w:val="single" w:color="auto" w:sz="6" w:space="0"/>
              <w:right w:val="single" w:color="auto" w:sz="6" w:space="0"/>
            </w:tcBorders>
          </w:tcPr>
          <w:p w14:paraId="74139683">
            <w:pPr>
              <w:widowControl/>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1.名称：</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w:t>
            </w:r>
          </w:p>
          <w:p w14:paraId="48FECB49">
            <w:pPr>
              <w:widowControl/>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2.账号：</w:t>
            </w:r>
            <w:r>
              <w:rPr>
                <w:rFonts w:hint="eastAsia" w:ascii="宋体" w:hAnsi="宋体" w:cs="宋体"/>
                <w:b/>
                <w:color w:val="auto"/>
                <w:szCs w:val="21"/>
                <w:highlight w:val="none"/>
              </w:rPr>
              <w:t xml:space="preserve"> </w:t>
            </w:r>
          </w:p>
        </w:tc>
      </w:tr>
    </w:tbl>
    <w:p w14:paraId="47830BCF">
      <w:pPr>
        <w:widowControl/>
        <w:autoSpaceDE w:val="0"/>
        <w:autoSpaceDN w:val="0"/>
        <w:spacing w:before="240"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注: 在本表后应附投标人营业执照和资质证书的复印件(并加盖单位公章)。</w:t>
      </w:r>
    </w:p>
    <w:p w14:paraId="467D8E6B">
      <w:pPr>
        <w:widowControl/>
        <w:autoSpaceDE w:val="0"/>
        <w:autoSpaceDN w:val="0"/>
        <w:spacing w:before="240" w:line="360" w:lineRule="auto"/>
        <w:textAlignment w:val="bottom"/>
        <w:rPr>
          <w:rFonts w:ascii="宋体" w:hAnsi="宋体" w:cs="宋体"/>
          <w:color w:val="auto"/>
          <w:szCs w:val="21"/>
          <w:highlight w:val="none"/>
        </w:rPr>
      </w:pPr>
    </w:p>
    <w:p w14:paraId="5ADD09C7">
      <w:pPr>
        <w:tabs>
          <w:tab w:val="left" w:pos="2310"/>
        </w:tabs>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投标单位名称:（盖章）</w:t>
      </w:r>
    </w:p>
    <w:p w14:paraId="2AADE5DA">
      <w:pPr>
        <w:spacing w:line="360" w:lineRule="auto"/>
        <w:ind w:firstLine="525" w:firstLineChars="250"/>
        <w:rPr>
          <w:rFonts w:ascii="宋体" w:hAnsi="宋体" w:cs="宋体"/>
          <w:color w:val="auto"/>
          <w:szCs w:val="21"/>
          <w:highlight w:val="none"/>
        </w:rPr>
      </w:pPr>
    </w:p>
    <w:p w14:paraId="4F568D9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法定代表人或授权委托人:（盖章或签字）</w:t>
      </w:r>
    </w:p>
    <w:p w14:paraId="0B9C0F73">
      <w:pPr>
        <w:spacing w:line="360" w:lineRule="auto"/>
        <w:ind w:firstLine="525" w:firstLineChars="250"/>
        <w:rPr>
          <w:rFonts w:ascii="宋体" w:hAnsi="宋体" w:cs="宋体"/>
          <w:color w:val="auto"/>
          <w:szCs w:val="21"/>
          <w:highlight w:val="none"/>
        </w:rPr>
      </w:pPr>
    </w:p>
    <w:p w14:paraId="65C8411D">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日  期:</w:t>
      </w:r>
    </w:p>
    <w:p w14:paraId="720E8627">
      <w:pPr>
        <w:spacing w:line="360" w:lineRule="auto"/>
        <w:rPr>
          <w:color w:val="auto"/>
          <w:highlight w:val="none"/>
        </w:rPr>
      </w:pPr>
    </w:p>
    <w:p w14:paraId="1FF8F6F7">
      <w:pPr>
        <w:spacing w:line="360" w:lineRule="auto"/>
        <w:rPr>
          <w:color w:val="auto"/>
          <w:highlight w:val="none"/>
        </w:rPr>
      </w:pPr>
    </w:p>
    <w:p w14:paraId="3DCB956A">
      <w:pPr>
        <w:spacing w:line="360" w:lineRule="auto"/>
        <w:rPr>
          <w:color w:val="auto"/>
          <w:highlight w:val="none"/>
        </w:rPr>
      </w:pPr>
    </w:p>
    <w:p w14:paraId="54AFFE8A">
      <w:pPr>
        <w:spacing w:line="360" w:lineRule="auto"/>
        <w:rPr>
          <w:color w:val="auto"/>
          <w:highlight w:val="none"/>
        </w:rPr>
      </w:pPr>
    </w:p>
    <w:p w14:paraId="4BBC999D">
      <w:pPr>
        <w:spacing w:line="360" w:lineRule="auto"/>
        <w:rPr>
          <w:color w:val="auto"/>
          <w:highlight w:val="none"/>
        </w:rPr>
      </w:pPr>
    </w:p>
    <w:p w14:paraId="69440DB6">
      <w:pPr>
        <w:spacing w:line="360" w:lineRule="auto"/>
        <w:rPr>
          <w:color w:val="auto"/>
          <w:highlight w:val="none"/>
        </w:rPr>
      </w:pPr>
    </w:p>
    <w:p w14:paraId="2A45F93F">
      <w:pPr>
        <w:spacing w:line="360" w:lineRule="auto"/>
        <w:rPr>
          <w:color w:val="auto"/>
          <w:highlight w:val="none"/>
        </w:rPr>
      </w:pPr>
    </w:p>
    <w:p w14:paraId="18F763F3">
      <w:pPr>
        <w:spacing w:line="360" w:lineRule="auto"/>
        <w:rPr>
          <w:color w:val="auto"/>
          <w:highlight w:val="none"/>
        </w:rPr>
      </w:pPr>
    </w:p>
    <w:p w14:paraId="7F9607A8">
      <w:pPr>
        <w:spacing w:line="360" w:lineRule="auto"/>
        <w:rPr>
          <w:color w:val="auto"/>
          <w:highlight w:val="none"/>
        </w:rPr>
      </w:pPr>
    </w:p>
    <w:p w14:paraId="027C5E99">
      <w:pPr>
        <w:pStyle w:val="5"/>
        <w:spacing w:line="360" w:lineRule="auto"/>
        <w:ind w:firstLine="0"/>
        <w:rPr>
          <w:rFonts w:ascii="宋体" w:hAnsi="宋体" w:cs="宋体"/>
          <w:b/>
          <w:color w:val="auto"/>
          <w:kern w:val="0"/>
          <w:sz w:val="21"/>
          <w:szCs w:val="21"/>
          <w:highlight w:val="none"/>
        </w:rPr>
      </w:pPr>
      <w:bookmarkStart w:id="169" w:name="_Toc54978904"/>
    </w:p>
    <w:bookmarkEnd w:id="169"/>
    <w:p w14:paraId="10E855A8">
      <w:pPr>
        <w:spacing w:line="360" w:lineRule="auto"/>
        <w:ind w:firstLine="210" w:firstLineChars="100"/>
        <w:jc w:val="center"/>
        <w:rPr>
          <w:rFonts w:ascii="宋体" w:hAnsi="宋体"/>
          <w:color w:val="auto"/>
          <w:szCs w:val="21"/>
          <w:highlight w:val="none"/>
        </w:rPr>
        <w:sectPr>
          <w:headerReference r:id="rId5" w:type="default"/>
          <w:footerReference r:id="rId6" w:type="default"/>
          <w:pgSz w:w="11906" w:h="16838"/>
          <w:pgMar w:top="1440" w:right="1440" w:bottom="1440" w:left="1440" w:header="851" w:footer="992" w:gutter="0"/>
          <w:cols w:space="720" w:num="1"/>
          <w:docGrid w:linePitch="312" w:charSpace="0"/>
        </w:sectPr>
      </w:pPr>
    </w:p>
    <w:p w14:paraId="41414DCF">
      <w:pPr>
        <w:spacing w:line="360" w:lineRule="auto"/>
        <w:rPr>
          <w:rFonts w:ascii="宋体" w:hAnsi="宋体"/>
          <w:b/>
          <w:bCs/>
          <w:color w:val="auto"/>
          <w:szCs w:val="21"/>
          <w:highlight w:val="none"/>
          <w:lang w:val="zh-CN"/>
        </w:rPr>
      </w:pPr>
      <w:r>
        <w:rPr>
          <w:rFonts w:hint="eastAsia" w:ascii="宋体" w:hAnsi="宋体"/>
          <w:b/>
          <w:bCs/>
          <w:color w:val="auto"/>
          <w:szCs w:val="21"/>
          <w:highlight w:val="none"/>
        </w:rPr>
        <w:t>附件6：</w:t>
      </w:r>
      <w:r>
        <w:rPr>
          <w:rFonts w:hint="eastAsia" w:ascii="宋体" w:hAnsi="宋体"/>
          <w:b/>
          <w:bCs/>
          <w:color w:val="auto"/>
          <w:szCs w:val="21"/>
          <w:highlight w:val="none"/>
          <w:lang w:val="zh-CN"/>
        </w:rPr>
        <w:t>商务及技术响应表</w:t>
      </w:r>
    </w:p>
    <w:p w14:paraId="7D5FA601">
      <w:pPr>
        <w:snapToGrid w:val="0"/>
        <w:spacing w:before="50" w:after="5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商务响应表</w:t>
      </w:r>
    </w:p>
    <w:p w14:paraId="6E25C9EC">
      <w:pPr>
        <w:ind w:firstLine="480"/>
        <w:rPr>
          <w:rFonts w:ascii="宋体"/>
          <w:bCs/>
          <w:color w:val="auto"/>
          <w:sz w:val="24"/>
          <w:highlight w:val="none"/>
        </w:rPr>
      </w:pPr>
      <w:r>
        <w:rPr>
          <w:rFonts w:hint="eastAsia" w:ascii="宋体"/>
          <w:color w:val="auto"/>
          <w:sz w:val="24"/>
          <w:highlight w:val="none"/>
        </w:rPr>
        <w:t xml:space="preserve">项目名称：                                             </w:t>
      </w:r>
      <w:r>
        <w:rPr>
          <w:rFonts w:hint="eastAsia" w:ascii="宋体" w:hAnsi="宋体"/>
          <w:color w:val="auto"/>
          <w:sz w:val="24"/>
          <w:highlight w:val="none"/>
        </w:rPr>
        <w:t>项目编号：</w:t>
      </w:r>
      <w:r>
        <w:rPr>
          <w:rFonts w:hint="eastAsia" w:ascii="宋体" w:hAnsi="宋体" w:cs="宋体"/>
          <w:color w:val="auto"/>
          <w:sz w:val="24"/>
          <w:highlight w:val="none"/>
        </w:rPr>
        <w:t xml:space="preserve">          </w:t>
      </w:r>
    </w:p>
    <w:tbl>
      <w:tblPr>
        <w:tblStyle w:val="7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1485"/>
        <w:gridCol w:w="1899"/>
        <w:gridCol w:w="1926"/>
        <w:gridCol w:w="1185"/>
        <w:gridCol w:w="1670"/>
      </w:tblGrid>
      <w:tr w14:paraId="10058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858" w:type="dxa"/>
            <w:tcBorders>
              <w:top w:val="single" w:color="auto" w:sz="4" w:space="0"/>
              <w:left w:val="single" w:color="auto" w:sz="4" w:space="0"/>
              <w:bottom w:val="single" w:color="auto" w:sz="4" w:space="0"/>
              <w:right w:val="single" w:color="auto" w:sz="4" w:space="0"/>
            </w:tcBorders>
            <w:vAlign w:val="center"/>
          </w:tcPr>
          <w:p w14:paraId="64262C78">
            <w:pPr>
              <w:snapToGrid w:val="0"/>
              <w:spacing w:before="50" w:after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3C9A3754">
            <w:pPr>
              <w:snapToGrid w:val="0"/>
              <w:spacing w:before="50" w:after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1899" w:type="dxa"/>
            <w:tcBorders>
              <w:top w:val="single" w:color="auto" w:sz="4" w:space="0"/>
              <w:left w:val="single" w:color="auto" w:sz="4" w:space="0"/>
              <w:bottom w:val="single" w:color="auto" w:sz="4" w:space="0"/>
              <w:right w:val="single" w:color="auto" w:sz="4" w:space="0"/>
            </w:tcBorders>
            <w:vAlign w:val="center"/>
          </w:tcPr>
          <w:p w14:paraId="384F06B4">
            <w:pPr>
              <w:snapToGrid w:val="0"/>
              <w:spacing w:before="50" w:afterLines="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926" w:type="dxa"/>
            <w:tcBorders>
              <w:top w:val="single" w:color="auto" w:sz="4" w:space="0"/>
              <w:left w:val="single" w:color="auto" w:sz="4" w:space="0"/>
              <w:bottom w:val="single" w:color="auto" w:sz="4" w:space="0"/>
              <w:right w:val="single" w:color="auto" w:sz="4" w:space="0"/>
            </w:tcBorders>
            <w:vAlign w:val="center"/>
          </w:tcPr>
          <w:p w14:paraId="0D7600AB">
            <w:pPr>
              <w:snapToGrid w:val="0"/>
              <w:spacing w:before="50" w:afterLines="50"/>
              <w:rPr>
                <w:rFonts w:ascii="宋体" w:hAnsi="宋体" w:cs="宋体"/>
                <w:color w:val="auto"/>
                <w:sz w:val="24"/>
                <w:highlight w:val="none"/>
              </w:rPr>
            </w:pPr>
            <w:r>
              <w:rPr>
                <w:rFonts w:hint="eastAsia" w:ascii="宋体" w:hAnsi="宋体" w:cs="宋体"/>
                <w:color w:val="auto"/>
                <w:sz w:val="24"/>
                <w:highlight w:val="none"/>
              </w:rPr>
              <w:t>投标文件响应</w:t>
            </w:r>
          </w:p>
        </w:tc>
        <w:tc>
          <w:tcPr>
            <w:tcW w:w="1185" w:type="dxa"/>
            <w:tcBorders>
              <w:top w:val="single" w:color="auto" w:sz="4" w:space="0"/>
              <w:left w:val="single" w:color="auto" w:sz="4" w:space="0"/>
              <w:bottom w:val="single" w:color="auto" w:sz="4" w:space="0"/>
              <w:right w:val="single" w:color="auto" w:sz="4" w:space="0"/>
            </w:tcBorders>
            <w:vAlign w:val="center"/>
          </w:tcPr>
          <w:p w14:paraId="7E149BAC">
            <w:pPr>
              <w:snapToGrid w:val="0"/>
              <w:spacing w:before="50" w:afterLines="50"/>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1670" w:type="dxa"/>
            <w:tcBorders>
              <w:top w:val="single" w:color="auto" w:sz="4" w:space="0"/>
              <w:left w:val="single" w:color="auto" w:sz="4" w:space="0"/>
              <w:bottom w:val="single" w:color="auto" w:sz="4" w:space="0"/>
              <w:right w:val="single" w:color="auto" w:sz="4" w:space="0"/>
            </w:tcBorders>
            <w:vAlign w:val="center"/>
          </w:tcPr>
          <w:p w14:paraId="1D8F61F1">
            <w:pPr>
              <w:snapToGrid w:val="0"/>
              <w:spacing w:beforeLines="50"/>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0981A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58" w:type="dxa"/>
            <w:tcBorders>
              <w:top w:val="single" w:color="auto" w:sz="4" w:space="0"/>
              <w:left w:val="single" w:color="auto" w:sz="4" w:space="0"/>
              <w:bottom w:val="single" w:color="auto" w:sz="4" w:space="0"/>
              <w:right w:val="single" w:color="auto" w:sz="4" w:space="0"/>
            </w:tcBorders>
            <w:vAlign w:val="center"/>
          </w:tcPr>
          <w:p w14:paraId="4DE70CBB">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485" w:type="dxa"/>
            <w:tcBorders>
              <w:top w:val="single" w:color="auto" w:sz="4" w:space="0"/>
              <w:left w:val="single" w:color="auto" w:sz="4" w:space="0"/>
              <w:bottom w:val="single" w:color="auto" w:sz="4" w:space="0"/>
              <w:right w:val="single" w:color="auto" w:sz="4" w:space="0"/>
            </w:tcBorders>
            <w:vAlign w:val="center"/>
          </w:tcPr>
          <w:p w14:paraId="23A3F168">
            <w:pPr>
              <w:spacing w:line="400" w:lineRule="exact"/>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51CEF71F">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3946A9A3">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1AA8EDED">
            <w:pPr>
              <w:snapToGrid w:val="0"/>
              <w:spacing w:beforeLines="50"/>
              <w:ind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29F39617">
            <w:pPr>
              <w:snapToGrid w:val="0"/>
              <w:spacing w:beforeLines="50"/>
              <w:ind w:firstLine="480"/>
              <w:jc w:val="center"/>
              <w:rPr>
                <w:rFonts w:ascii="宋体" w:hAnsi="宋体" w:cs="宋体"/>
                <w:color w:val="auto"/>
                <w:sz w:val="24"/>
                <w:highlight w:val="none"/>
              </w:rPr>
            </w:pPr>
          </w:p>
        </w:tc>
      </w:tr>
      <w:tr w14:paraId="38A17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58" w:type="dxa"/>
            <w:tcBorders>
              <w:top w:val="single" w:color="auto" w:sz="4" w:space="0"/>
              <w:left w:val="single" w:color="auto" w:sz="4" w:space="0"/>
              <w:bottom w:val="single" w:color="auto" w:sz="4" w:space="0"/>
              <w:right w:val="single" w:color="auto" w:sz="4" w:space="0"/>
            </w:tcBorders>
            <w:vAlign w:val="center"/>
          </w:tcPr>
          <w:p w14:paraId="1F37A950">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485" w:type="dxa"/>
            <w:tcBorders>
              <w:top w:val="single" w:color="auto" w:sz="4" w:space="0"/>
              <w:left w:val="single" w:color="auto" w:sz="4" w:space="0"/>
              <w:bottom w:val="single" w:color="auto" w:sz="4" w:space="0"/>
              <w:right w:val="single" w:color="auto" w:sz="4" w:space="0"/>
            </w:tcBorders>
            <w:vAlign w:val="center"/>
          </w:tcPr>
          <w:p w14:paraId="39449DC8">
            <w:pPr>
              <w:spacing w:line="400" w:lineRule="exact"/>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39E7768B">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647B5F34">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694D202A">
            <w:pPr>
              <w:snapToGrid w:val="0"/>
              <w:spacing w:beforeLines="50"/>
              <w:ind w:left="43"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2E46ACDF">
            <w:pPr>
              <w:snapToGrid w:val="0"/>
              <w:spacing w:beforeLines="50"/>
              <w:ind w:left="43" w:firstLine="480"/>
              <w:jc w:val="center"/>
              <w:rPr>
                <w:rFonts w:ascii="宋体" w:hAnsi="宋体" w:cs="宋体"/>
                <w:color w:val="auto"/>
                <w:sz w:val="24"/>
                <w:highlight w:val="none"/>
              </w:rPr>
            </w:pPr>
          </w:p>
        </w:tc>
      </w:tr>
      <w:tr w14:paraId="048B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58" w:type="dxa"/>
            <w:tcBorders>
              <w:top w:val="single" w:color="auto" w:sz="4" w:space="0"/>
              <w:left w:val="single" w:color="auto" w:sz="4" w:space="0"/>
              <w:bottom w:val="single" w:color="auto" w:sz="4" w:space="0"/>
              <w:right w:val="single" w:color="auto" w:sz="4" w:space="0"/>
            </w:tcBorders>
            <w:vAlign w:val="center"/>
          </w:tcPr>
          <w:p w14:paraId="137C7B9D">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485" w:type="dxa"/>
            <w:tcBorders>
              <w:top w:val="single" w:color="auto" w:sz="4" w:space="0"/>
              <w:left w:val="single" w:color="auto" w:sz="4" w:space="0"/>
              <w:bottom w:val="single" w:color="auto" w:sz="4" w:space="0"/>
              <w:right w:val="single" w:color="auto" w:sz="4" w:space="0"/>
            </w:tcBorders>
            <w:vAlign w:val="center"/>
          </w:tcPr>
          <w:p w14:paraId="4AB89ED6">
            <w:pPr>
              <w:spacing w:line="400" w:lineRule="exact"/>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522880E2">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36C8EF8E">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73B8BE58">
            <w:pPr>
              <w:snapToGrid w:val="0"/>
              <w:spacing w:beforeLines="50"/>
              <w:ind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4F881B87">
            <w:pPr>
              <w:snapToGrid w:val="0"/>
              <w:spacing w:beforeLines="50"/>
              <w:ind w:firstLine="480"/>
              <w:jc w:val="center"/>
              <w:rPr>
                <w:rFonts w:ascii="宋体" w:hAnsi="宋体" w:cs="宋体"/>
                <w:color w:val="auto"/>
                <w:sz w:val="24"/>
                <w:highlight w:val="none"/>
              </w:rPr>
            </w:pPr>
          </w:p>
        </w:tc>
      </w:tr>
      <w:tr w14:paraId="0CF9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58" w:type="dxa"/>
            <w:tcBorders>
              <w:top w:val="single" w:color="auto" w:sz="4" w:space="0"/>
              <w:left w:val="single" w:color="auto" w:sz="4" w:space="0"/>
              <w:bottom w:val="single" w:color="auto" w:sz="4" w:space="0"/>
              <w:right w:val="single" w:color="auto" w:sz="4" w:space="0"/>
            </w:tcBorders>
            <w:vAlign w:val="center"/>
          </w:tcPr>
          <w:p w14:paraId="0E6CA7D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485" w:type="dxa"/>
            <w:tcBorders>
              <w:top w:val="single" w:color="auto" w:sz="4" w:space="0"/>
              <w:left w:val="single" w:color="auto" w:sz="4" w:space="0"/>
              <w:bottom w:val="single" w:color="auto" w:sz="4" w:space="0"/>
              <w:right w:val="single" w:color="auto" w:sz="4" w:space="0"/>
            </w:tcBorders>
            <w:vAlign w:val="center"/>
          </w:tcPr>
          <w:p w14:paraId="1AC17EE7">
            <w:pPr>
              <w:spacing w:line="400" w:lineRule="exact"/>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2168E617">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6D8F2B28">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1ADF79F">
            <w:pPr>
              <w:snapToGrid w:val="0"/>
              <w:spacing w:beforeLines="50"/>
              <w:ind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53B83FCC">
            <w:pPr>
              <w:snapToGrid w:val="0"/>
              <w:spacing w:beforeLines="50"/>
              <w:ind w:firstLine="480"/>
              <w:jc w:val="center"/>
              <w:rPr>
                <w:rFonts w:ascii="宋体" w:hAnsi="宋体" w:cs="宋体"/>
                <w:color w:val="auto"/>
                <w:sz w:val="24"/>
                <w:highlight w:val="none"/>
              </w:rPr>
            </w:pPr>
          </w:p>
        </w:tc>
      </w:tr>
      <w:tr w14:paraId="39F2D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858" w:type="dxa"/>
            <w:tcBorders>
              <w:top w:val="single" w:color="auto" w:sz="4" w:space="0"/>
              <w:left w:val="single" w:color="auto" w:sz="4" w:space="0"/>
              <w:bottom w:val="single" w:color="auto" w:sz="4" w:space="0"/>
              <w:right w:val="single" w:color="auto" w:sz="4" w:space="0"/>
            </w:tcBorders>
            <w:vAlign w:val="center"/>
          </w:tcPr>
          <w:p w14:paraId="11361CE8">
            <w:pPr>
              <w:snapToGrid w:val="0"/>
              <w:jc w:val="center"/>
              <w:rPr>
                <w:rFonts w:ascii="宋体" w:hAnsi="宋体" w:cs="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00CC011">
            <w:pPr>
              <w:snapToGrid w:val="0"/>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5A91E085">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3A6DBBBA">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73868D6">
            <w:pPr>
              <w:snapToGrid w:val="0"/>
              <w:spacing w:beforeLines="50"/>
              <w:ind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0E8A3B63">
            <w:pPr>
              <w:snapToGrid w:val="0"/>
              <w:spacing w:beforeLines="50"/>
              <w:ind w:firstLine="480"/>
              <w:jc w:val="center"/>
              <w:rPr>
                <w:rFonts w:ascii="宋体" w:hAnsi="宋体" w:cs="宋体"/>
                <w:color w:val="auto"/>
                <w:sz w:val="24"/>
                <w:highlight w:val="none"/>
              </w:rPr>
            </w:pPr>
          </w:p>
        </w:tc>
      </w:tr>
      <w:tr w14:paraId="70A4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858" w:type="dxa"/>
            <w:tcBorders>
              <w:top w:val="single" w:color="auto" w:sz="4" w:space="0"/>
              <w:left w:val="single" w:color="auto" w:sz="4" w:space="0"/>
              <w:bottom w:val="single" w:color="auto" w:sz="4" w:space="0"/>
              <w:right w:val="single" w:color="auto" w:sz="4" w:space="0"/>
            </w:tcBorders>
            <w:vAlign w:val="center"/>
          </w:tcPr>
          <w:p w14:paraId="79686390">
            <w:pPr>
              <w:snapToGrid w:val="0"/>
              <w:jc w:val="center"/>
              <w:rPr>
                <w:rFonts w:ascii="宋体" w:hAnsi="宋体" w:cs="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31AAEA5">
            <w:pPr>
              <w:snapToGrid w:val="0"/>
              <w:jc w:val="center"/>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tcPr>
          <w:p w14:paraId="07E1F72A">
            <w:pPr>
              <w:snapToGrid w:val="0"/>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25083E12">
            <w:pPr>
              <w:snapToGrid w:val="0"/>
              <w:spacing w:beforeLines="50"/>
              <w:ind w:firstLine="480"/>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CF05A6B">
            <w:pPr>
              <w:snapToGrid w:val="0"/>
              <w:spacing w:beforeLines="50"/>
              <w:ind w:firstLine="480"/>
              <w:jc w:val="center"/>
              <w:rPr>
                <w:rFonts w:ascii="宋体" w:hAnsi="宋体" w:cs="宋体"/>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tcPr>
          <w:p w14:paraId="6EF06EEC">
            <w:pPr>
              <w:snapToGrid w:val="0"/>
              <w:spacing w:beforeLines="50"/>
              <w:ind w:firstLine="480"/>
              <w:jc w:val="center"/>
              <w:rPr>
                <w:rFonts w:ascii="宋体" w:hAnsi="宋体" w:cs="宋体"/>
                <w:color w:val="auto"/>
                <w:sz w:val="24"/>
                <w:highlight w:val="none"/>
              </w:rPr>
            </w:pPr>
          </w:p>
        </w:tc>
      </w:tr>
    </w:tbl>
    <w:p w14:paraId="101974E9">
      <w:pPr>
        <w:snapToGrid w:val="0"/>
        <w:spacing w:beforeLines="50" w:line="360" w:lineRule="auto"/>
        <w:ind w:firstLine="480"/>
        <w:rPr>
          <w:rFonts w:ascii="宋体" w:hAnsi="宋体" w:cs="宋体"/>
          <w:color w:val="auto"/>
          <w:sz w:val="24"/>
          <w:highlight w:val="none"/>
        </w:rPr>
      </w:pPr>
    </w:p>
    <w:p w14:paraId="6543BB11">
      <w:pPr>
        <w:snapToGrid w:val="0"/>
        <w:spacing w:beforeLines="50" w:line="360" w:lineRule="auto"/>
        <w:ind w:firstLine="480"/>
        <w:rPr>
          <w:rFonts w:ascii="宋体" w:hAnsi="宋体" w:cs="宋体"/>
          <w:color w:val="auto"/>
          <w:sz w:val="24"/>
          <w:highlight w:val="none"/>
        </w:rPr>
      </w:pPr>
    </w:p>
    <w:p w14:paraId="50CB3A0F">
      <w:pPr>
        <w:spacing w:line="360" w:lineRule="auto"/>
        <w:ind w:right="-21" w:rightChars="-10" w:firstLine="4800" w:firstLineChars="2000"/>
        <w:rPr>
          <w:rFonts w:ascii="宋体" w:hAnsi="宋体"/>
          <w:color w:val="auto"/>
          <w:sz w:val="24"/>
          <w:highlight w:val="none"/>
        </w:rPr>
      </w:pPr>
      <w:r>
        <w:rPr>
          <w:rFonts w:hint="eastAsia" w:ascii="宋体" w:hAnsi="宋体"/>
          <w:color w:val="auto"/>
          <w:sz w:val="24"/>
          <w:highlight w:val="none"/>
        </w:rPr>
        <w:t>投标人（盖章）：</w:t>
      </w:r>
    </w:p>
    <w:p w14:paraId="47E6C402">
      <w:pPr>
        <w:spacing w:line="360" w:lineRule="auto"/>
        <w:ind w:right="-21" w:rightChars="-10" w:firstLine="480"/>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法定代表人或授权代表人签字（签字或盖章）：</w:t>
      </w:r>
    </w:p>
    <w:p w14:paraId="4AE36109">
      <w:pPr>
        <w:spacing w:line="360" w:lineRule="auto"/>
        <w:ind w:firstLine="4800" w:firstLineChars="2000"/>
        <w:rPr>
          <w:color w:val="auto"/>
          <w:kern w:val="0"/>
          <w:szCs w:val="21"/>
          <w:highlight w:val="none"/>
        </w:rPr>
      </w:pPr>
      <w:r>
        <w:rPr>
          <w:rFonts w:hint="eastAsia" w:ascii="宋体" w:hAnsi="宋体"/>
          <w:color w:val="auto"/>
          <w:sz w:val="24"/>
          <w:highlight w:val="none"/>
        </w:rPr>
        <w:t>日    期：</w:t>
      </w:r>
    </w:p>
    <w:p w14:paraId="16ECB56D">
      <w:pPr>
        <w:snapToGrid w:val="0"/>
        <w:spacing w:beforeLines="50" w:after="50"/>
        <w:rPr>
          <w:rFonts w:ascii="宋体" w:hAnsi="宋体" w:cs="宋体"/>
          <w:b/>
          <w:color w:val="auto"/>
          <w:sz w:val="28"/>
          <w:szCs w:val="28"/>
          <w:highlight w:val="none"/>
        </w:rPr>
      </w:pPr>
      <w:r>
        <w:rPr>
          <w:rFonts w:hAnsi="宋体" w:cs="宋体"/>
          <w:b/>
          <w:color w:val="auto"/>
          <w:sz w:val="28"/>
          <w:szCs w:val="28"/>
          <w:highlight w:val="none"/>
        </w:rPr>
        <w:br w:type="page"/>
      </w:r>
    </w:p>
    <w:p w14:paraId="28641115">
      <w:pPr>
        <w:snapToGrid w:val="0"/>
        <w:spacing w:beforeLines="50" w:after="50"/>
        <w:ind w:firstLine="3250" w:firstLineChars="900"/>
        <w:rPr>
          <w:rFonts w:ascii="宋体" w:hAnsi="宋体" w:cs="宋体"/>
          <w:b/>
          <w:color w:val="auto"/>
          <w:sz w:val="28"/>
          <w:szCs w:val="28"/>
          <w:highlight w:val="none"/>
        </w:rPr>
      </w:pPr>
      <w:r>
        <w:rPr>
          <w:rFonts w:hint="eastAsia" w:ascii="宋体" w:hAnsi="宋体" w:cs="宋体"/>
          <w:b/>
          <w:color w:val="auto"/>
          <w:spacing w:val="40"/>
          <w:kern w:val="0"/>
          <w:sz w:val="28"/>
          <w:szCs w:val="28"/>
          <w:highlight w:val="none"/>
        </w:rPr>
        <w:t>技术响应表</w:t>
      </w:r>
    </w:p>
    <w:p w14:paraId="00BC2DD2">
      <w:pPr>
        <w:ind w:firstLine="480"/>
        <w:rPr>
          <w:rFonts w:ascii="宋体"/>
          <w:bCs/>
          <w:color w:val="auto"/>
          <w:szCs w:val="21"/>
          <w:highlight w:val="none"/>
        </w:rPr>
      </w:pPr>
      <w:r>
        <w:rPr>
          <w:rFonts w:hint="eastAsia" w:ascii="宋体"/>
          <w:color w:val="auto"/>
          <w:szCs w:val="21"/>
          <w:highlight w:val="none"/>
        </w:rPr>
        <w:t xml:space="preserve">项目名称：                                             </w:t>
      </w:r>
      <w:r>
        <w:rPr>
          <w:rFonts w:hint="eastAsia" w:ascii="宋体" w:hAnsi="宋体"/>
          <w:color w:val="auto"/>
          <w:szCs w:val="21"/>
          <w:highlight w:val="none"/>
        </w:rPr>
        <w:t>项目编号：</w:t>
      </w:r>
      <w:r>
        <w:rPr>
          <w:rFonts w:hint="eastAsia" w:ascii="宋体" w:hAnsi="宋体" w:cs="宋体"/>
          <w:color w:val="auto"/>
          <w:szCs w:val="21"/>
          <w:highlight w:val="none"/>
        </w:rPr>
        <w:t xml:space="preserve">         </w:t>
      </w:r>
    </w:p>
    <w:tbl>
      <w:tblPr>
        <w:tblStyle w:val="7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320"/>
        <w:gridCol w:w="1824"/>
        <w:gridCol w:w="1756"/>
        <w:gridCol w:w="1535"/>
        <w:gridCol w:w="1490"/>
      </w:tblGrid>
      <w:tr w14:paraId="13644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098" w:type="dxa"/>
            <w:tcBorders>
              <w:top w:val="single" w:color="auto" w:sz="4" w:space="0"/>
              <w:left w:val="single" w:color="auto" w:sz="4" w:space="0"/>
              <w:bottom w:val="single" w:color="auto" w:sz="4" w:space="0"/>
              <w:right w:val="single" w:color="auto" w:sz="4" w:space="0"/>
            </w:tcBorders>
            <w:vAlign w:val="center"/>
          </w:tcPr>
          <w:p w14:paraId="50E5B216">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7B68EE85">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824" w:type="dxa"/>
            <w:tcBorders>
              <w:top w:val="single" w:color="auto" w:sz="4" w:space="0"/>
              <w:left w:val="single" w:color="auto" w:sz="4" w:space="0"/>
              <w:bottom w:val="single" w:color="auto" w:sz="4" w:space="0"/>
              <w:right w:val="single" w:color="auto" w:sz="4" w:space="0"/>
            </w:tcBorders>
            <w:vAlign w:val="center"/>
          </w:tcPr>
          <w:p w14:paraId="23F1E489">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756" w:type="dxa"/>
            <w:tcBorders>
              <w:top w:val="single" w:color="auto" w:sz="4" w:space="0"/>
              <w:left w:val="single" w:color="auto" w:sz="4" w:space="0"/>
              <w:bottom w:val="single" w:color="auto" w:sz="4" w:space="0"/>
              <w:right w:val="single" w:color="auto" w:sz="4" w:space="0"/>
            </w:tcBorders>
            <w:vAlign w:val="center"/>
          </w:tcPr>
          <w:p w14:paraId="5E66DF9D">
            <w:pPr>
              <w:snapToGrid w:val="0"/>
              <w:spacing w:before="50" w:afterLines="50"/>
              <w:rPr>
                <w:rFonts w:ascii="宋体" w:hAnsi="宋体" w:cs="宋体"/>
                <w:color w:val="auto"/>
                <w:szCs w:val="21"/>
                <w:highlight w:val="none"/>
              </w:rPr>
            </w:pPr>
            <w:r>
              <w:rPr>
                <w:rFonts w:hint="eastAsia" w:ascii="宋体" w:hAnsi="宋体" w:cs="宋体"/>
                <w:color w:val="auto"/>
                <w:szCs w:val="21"/>
                <w:highlight w:val="none"/>
              </w:rPr>
              <w:t>投标文件响应</w:t>
            </w:r>
          </w:p>
        </w:tc>
        <w:tc>
          <w:tcPr>
            <w:tcW w:w="1535" w:type="dxa"/>
            <w:tcBorders>
              <w:top w:val="single" w:color="auto" w:sz="4" w:space="0"/>
              <w:left w:val="single" w:color="auto" w:sz="4" w:space="0"/>
              <w:bottom w:val="single" w:color="auto" w:sz="4" w:space="0"/>
              <w:right w:val="single" w:color="auto" w:sz="4" w:space="0"/>
            </w:tcBorders>
            <w:vAlign w:val="center"/>
          </w:tcPr>
          <w:p w14:paraId="27CEC6F0">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1490" w:type="dxa"/>
            <w:tcBorders>
              <w:top w:val="single" w:color="auto" w:sz="4" w:space="0"/>
              <w:left w:val="single" w:color="auto" w:sz="4" w:space="0"/>
              <w:bottom w:val="single" w:color="auto" w:sz="4" w:space="0"/>
              <w:right w:val="single" w:color="auto" w:sz="4" w:space="0"/>
            </w:tcBorders>
            <w:vAlign w:val="center"/>
          </w:tcPr>
          <w:p w14:paraId="495D38E0">
            <w:pPr>
              <w:snapToGrid w:val="0"/>
              <w:spacing w:beforeLines="50"/>
              <w:rPr>
                <w:rFonts w:ascii="宋体" w:hAnsi="宋体" w:cs="宋体"/>
                <w:color w:val="auto"/>
                <w:szCs w:val="21"/>
                <w:highlight w:val="none"/>
              </w:rPr>
            </w:pPr>
            <w:r>
              <w:rPr>
                <w:rFonts w:hint="eastAsia" w:ascii="宋体" w:hAnsi="宋体" w:cs="宋体"/>
                <w:color w:val="auto"/>
                <w:szCs w:val="21"/>
                <w:highlight w:val="none"/>
              </w:rPr>
              <w:t>投标人的承诺或说明</w:t>
            </w:r>
          </w:p>
        </w:tc>
      </w:tr>
      <w:tr w14:paraId="39CDE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1098" w:type="dxa"/>
            <w:tcBorders>
              <w:top w:val="single" w:color="auto" w:sz="4" w:space="0"/>
              <w:left w:val="single" w:color="auto" w:sz="4" w:space="0"/>
              <w:bottom w:val="single" w:color="auto" w:sz="4" w:space="0"/>
              <w:right w:val="single" w:color="auto" w:sz="4" w:space="0"/>
            </w:tcBorders>
            <w:vAlign w:val="center"/>
          </w:tcPr>
          <w:p w14:paraId="0154DAED">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320" w:type="dxa"/>
            <w:tcBorders>
              <w:top w:val="single" w:color="auto" w:sz="4" w:space="0"/>
              <w:left w:val="single" w:color="auto" w:sz="4" w:space="0"/>
              <w:bottom w:val="single" w:color="auto" w:sz="4" w:space="0"/>
              <w:right w:val="single" w:color="auto" w:sz="4" w:space="0"/>
            </w:tcBorders>
          </w:tcPr>
          <w:p w14:paraId="17A24388">
            <w:pPr>
              <w:snapToGrid w:val="0"/>
              <w:rPr>
                <w:rFonts w:ascii="宋体" w:hAnsi="宋体" w:cs="宋体"/>
                <w:color w:val="auto"/>
                <w:szCs w:val="21"/>
                <w:highlight w:val="none"/>
              </w:rPr>
            </w:pPr>
          </w:p>
        </w:tc>
        <w:tc>
          <w:tcPr>
            <w:tcW w:w="1824" w:type="dxa"/>
            <w:tcBorders>
              <w:top w:val="single" w:color="auto" w:sz="4" w:space="0"/>
              <w:left w:val="single" w:color="auto" w:sz="4" w:space="0"/>
              <w:bottom w:val="single" w:color="auto" w:sz="4" w:space="0"/>
              <w:right w:val="single" w:color="auto" w:sz="4" w:space="0"/>
            </w:tcBorders>
          </w:tcPr>
          <w:p w14:paraId="23F0C9E9">
            <w:pPr>
              <w:snapToGrid w:val="0"/>
              <w:rPr>
                <w:rFonts w:ascii="宋体" w:hAnsi="宋体" w:cs="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30D50B19">
            <w:pPr>
              <w:snapToGrid w:val="0"/>
              <w:spacing w:beforeLines="50"/>
              <w:ind w:firstLine="480"/>
              <w:jc w:val="center"/>
              <w:rPr>
                <w:rFonts w:ascii="宋体" w:hAnsi="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3C62B5FF">
            <w:pPr>
              <w:snapToGrid w:val="0"/>
              <w:spacing w:beforeLines="50"/>
              <w:ind w:firstLine="480"/>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tcPr>
          <w:p w14:paraId="0199BBB9">
            <w:pPr>
              <w:snapToGrid w:val="0"/>
              <w:spacing w:beforeLines="50"/>
              <w:ind w:firstLine="480"/>
              <w:jc w:val="center"/>
              <w:rPr>
                <w:rFonts w:ascii="宋体" w:hAnsi="宋体" w:cs="宋体"/>
                <w:color w:val="auto"/>
                <w:szCs w:val="21"/>
                <w:highlight w:val="none"/>
              </w:rPr>
            </w:pPr>
          </w:p>
        </w:tc>
      </w:tr>
      <w:tr w14:paraId="447DE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098" w:type="dxa"/>
            <w:tcBorders>
              <w:top w:val="single" w:color="auto" w:sz="4" w:space="0"/>
              <w:left w:val="single" w:color="auto" w:sz="4" w:space="0"/>
              <w:bottom w:val="single" w:color="auto" w:sz="4" w:space="0"/>
              <w:right w:val="single" w:color="auto" w:sz="4" w:space="0"/>
            </w:tcBorders>
            <w:vAlign w:val="center"/>
          </w:tcPr>
          <w:p w14:paraId="61F6A325">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320" w:type="dxa"/>
            <w:tcBorders>
              <w:top w:val="single" w:color="auto" w:sz="4" w:space="0"/>
              <w:left w:val="single" w:color="auto" w:sz="4" w:space="0"/>
              <w:bottom w:val="single" w:color="auto" w:sz="4" w:space="0"/>
              <w:right w:val="single" w:color="auto" w:sz="4" w:space="0"/>
            </w:tcBorders>
          </w:tcPr>
          <w:p w14:paraId="29D44929">
            <w:pPr>
              <w:snapToGrid w:val="0"/>
              <w:rPr>
                <w:rFonts w:ascii="宋体" w:hAnsi="宋体" w:cs="宋体"/>
                <w:color w:val="auto"/>
                <w:szCs w:val="21"/>
                <w:highlight w:val="none"/>
              </w:rPr>
            </w:pPr>
          </w:p>
        </w:tc>
        <w:tc>
          <w:tcPr>
            <w:tcW w:w="1824" w:type="dxa"/>
            <w:tcBorders>
              <w:top w:val="single" w:color="auto" w:sz="4" w:space="0"/>
              <w:left w:val="single" w:color="auto" w:sz="4" w:space="0"/>
              <w:bottom w:val="single" w:color="auto" w:sz="4" w:space="0"/>
              <w:right w:val="single" w:color="auto" w:sz="4" w:space="0"/>
            </w:tcBorders>
          </w:tcPr>
          <w:p w14:paraId="0635EFAB">
            <w:pPr>
              <w:snapToGrid w:val="0"/>
              <w:rPr>
                <w:rFonts w:ascii="宋体" w:hAnsi="宋体" w:cs="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4EF280EF">
            <w:pPr>
              <w:snapToGrid w:val="0"/>
              <w:spacing w:beforeLines="50"/>
              <w:ind w:firstLine="480"/>
              <w:jc w:val="center"/>
              <w:rPr>
                <w:rFonts w:ascii="宋体" w:hAnsi="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2020DE1D">
            <w:pPr>
              <w:snapToGrid w:val="0"/>
              <w:spacing w:beforeLines="50"/>
              <w:ind w:left="43" w:firstLine="480"/>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tcPr>
          <w:p w14:paraId="7DEA3A80">
            <w:pPr>
              <w:snapToGrid w:val="0"/>
              <w:spacing w:beforeLines="50"/>
              <w:ind w:left="43" w:firstLine="480"/>
              <w:jc w:val="center"/>
              <w:rPr>
                <w:rFonts w:ascii="宋体" w:hAnsi="宋体" w:cs="宋体"/>
                <w:color w:val="auto"/>
                <w:szCs w:val="21"/>
                <w:highlight w:val="none"/>
              </w:rPr>
            </w:pPr>
          </w:p>
        </w:tc>
      </w:tr>
      <w:tr w14:paraId="7B72F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098" w:type="dxa"/>
            <w:tcBorders>
              <w:top w:val="single" w:color="auto" w:sz="4" w:space="0"/>
              <w:left w:val="single" w:color="auto" w:sz="4" w:space="0"/>
              <w:bottom w:val="single" w:color="auto" w:sz="4" w:space="0"/>
              <w:right w:val="single" w:color="auto" w:sz="4" w:space="0"/>
            </w:tcBorders>
            <w:vAlign w:val="center"/>
          </w:tcPr>
          <w:p w14:paraId="4C47CCB7">
            <w:pPr>
              <w:snapToGrid w:val="0"/>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367F0F56">
            <w:pPr>
              <w:snapToGrid w:val="0"/>
              <w:rPr>
                <w:rFonts w:ascii="宋体" w:hAnsi="宋体" w:cs="宋体"/>
                <w:color w:val="auto"/>
                <w:szCs w:val="21"/>
                <w:highlight w:val="none"/>
              </w:rPr>
            </w:pPr>
          </w:p>
        </w:tc>
        <w:tc>
          <w:tcPr>
            <w:tcW w:w="1824" w:type="dxa"/>
            <w:tcBorders>
              <w:top w:val="single" w:color="auto" w:sz="4" w:space="0"/>
              <w:left w:val="single" w:color="auto" w:sz="4" w:space="0"/>
              <w:bottom w:val="single" w:color="auto" w:sz="4" w:space="0"/>
              <w:right w:val="single" w:color="auto" w:sz="4" w:space="0"/>
            </w:tcBorders>
          </w:tcPr>
          <w:p w14:paraId="00D78D35">
            <w:pPr>
              <w:snapToGrid w:val="0"/>
              <w:rPr>
                <w:rFonts w:ascii="宋体" w:hAnsi="宋体" w:cs="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26C27671">
            <w:pPr>
              <w:snapToGrid w:val="0"/>
              <w:spacing w:beforeLines="50"/>
              <w:ind w:firstLine="480"/>
              <w:jc w:val="center"/>
              <w:rPr>
                <w:rFonts w:ascii="宋体" w:hAnsi="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754E6A1E">
            <w:pPr>
              <w:snapToGrid w:val="0"/>
              <w:spacing w:beforeLines="50"/>
              <w:ind w:firstLine="480"/>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tcPr>
          <w:p w14:paraId="3027B5ED">
            <w:pPr>
              <w:snapToGrid w:val="0"/>
              <w:spacing w:beforeLines="50"/>
              <w:ind w:firstLine="480"/>
              <w:jc w:val="center"/>
              <w:rPr>
                <w:rFonts w:ascii="宋体" w:hAnsi="宋体" w:cs="宋体"/>
                <w:color w:val="auto"/>
                <w:szCs w:val="21"/>
                <w:highlight w:val="none"/>
              </w:rPr>
            </w:pPr>
          </w:p>
        </w:tc>
      </w:tr>
      <w:tr w14:paraId="467D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8" w:type="dxa"/>
            <w:tcBorders>
              <w:top w:val="single" w:color="auto" w:sz="4" w:space="0"/>
              <w:left w:val="single" w:color="auto" w:sz="4" w:space="0"/>
              <w:bottom w:val="single" w:color="auto" w:sz="4" w:space="0"/>
              <w:right w:val="single" w:color="auto" w:sz="4" w:space="0"/>
            </w:tcBorders>
            <w:vAlign w:val="center"/>
          </w:tcPr>
          <w:p w14:paraId="15B413AB">
            <w:pPr>
              <w:snapToGrid w:val="0"/>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41D65B05">
            <w:pPr>
              <w:snapToGrid w:val="0"/>
              <w:rPr>
                <w:rFonts w:ascii="宋体" w:hAnsi="宋体" w:cs="宋体"/>
                <w:color w:val="auto"/>
                <w:szCs w:val="21"/>
                <w:highlight w:val="none"/>
              </w:rPr>
            </w:pPr>
          </w:p>
        </w:tc>
        <w:tc>
          <w:tcPr>
            <w:tcW w:w="1824" w:type="dxa"/>
            <w:tcBorders>
              <w:top w:val="single" w:color="auto" w:sz="4" w:space="0"/>
              <w:left w:val="single" w:color="auto" w:sz="4" w:space="0"/>
              <w:bottom w:val="single" w:color="auto" w:sz="4" w:space="0"/>
              <w:right w:val="single" w:color="auto" w:sz="4" w:space="0"/>
            </w:tcBorders>
          </w:tcPr>
          <w:p w14:paraId="7178534B">
            <w:pPr>
              <w:snapToGrid w:val="0"/>
              <w:rPr>
                <w:rFonts w:ascii="宋体" w:hAnsi="宋体" w:cs="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18B3F0B1">
            <w:pPr>
              <w:snapToGrid w:val="0"/>
              <w:spacing w:beforeLines="50"/>
              <w:ind w:firstLine="480"/>
              <w:jc w:val="center"/>
              <w:rPr>
                <w:rFonts w:ascii="宋体" w:hAnsi="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12DB34F3">
            <w:pPr>
              <w:snapToGrid w:val="0"/>
              <w:spacing w:beforeLines="50"/>
              <w:ind w:firstLine="480"/>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tcPr>
          <w:p w14:paraId="1B76F498">
            <w:pPr>
              <w:snapToGrid w:val="0"/>
              <w:spacing w:beforeLines="50"/>
              <w:ind w:firstLine="480"/>
              <w:jc w:val="center"/>
              <w:rPr>
                <w:rFonts w:ascii="宋体" w:hAnsi="宋体" w:cs="宋体"/>
                <w:color w:val="auto"/>
                <w:szCs w:val="21"/>
                <w:highlight w:val="none"/>
              </w:rPr>
            </w:pPr>
          </w:p>
        </w:tc>
      </w:tr>
      <w:tr w14:paraId="57DE2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98" w:type="dxa"/>
            <w:tcBorders>
              <w:top w:val="single" w:color="auto" w:sz="4" w:space="0"/>
              <w:left w:val="single" w:color="auto" w:sz="4" w:space="0"/>
              <w:bottom w:val="single" w:color="auto" w:sz="4" w:space="0"/>
              <w:right w:val="single" w:color="auto" w:sz="4" w:space="0"/>
            </w:tcBorders>
            <w:vAlign w:val="center"/>
          </w:tcPr>
          <w:p w14:paraId="10400986">
            <w:pPr>
              <w:snapToGrid w:val="0"/>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22D720F7">
            <w:pPr>
              <w:snapToGrid w:val="0"/>
              <w:rPr>
                <w:rFonts w:ascii="宋体" w:hAnsi="宋体" w:cs="宋体"/>
                <w:color w:val="auto"/>
                <w:szCs w:val="21"/>
                <w:highlight w:val="none"/>
              </w:rPr>
            </w:pPr>
            <w:r>
              <w:rPr>
                <w:rFonts w:hint="eastAsia" w:ascii="宋体" w:hAnsi="宋体" w:cs="宋体"/>
                <w:color w:val="auto"/>
                <w:szCs w:val="21"/>
                <w:highlight w:val="none"/>
              </w:rPr>
              <w:t>.......</w:t>
            </w:r>
          </w:p>
        </w:tc>
        <w:tc>
          <w:tcPr>
            <w:tcW w:w="1824" w:type="dxa"/>
            <w:tcBorders>
              <w:top w:val="single" w:color="auto" w:sz="4" w:space="0"/>
              <w:left w:val="single" w:color="auto" w:sz="4" w:space="0"/>
              <w:bottom w:val="single" w:color="auto" w:sz="4" w:space="0"/>
              <w:right w:val="single" w:color="auto" w:sz="4" w:space="0"/>
            </w:tcBorders>
          </w:tcPr>
          <w:p w14:paraId="7EBC06E4">
            <w:pPr>
              <w:snapToGrid w:val="0"/>
              <w:rPr>
                <w:rFonts w:ascii="宋体" w:hAnsi="宋体" w:cs="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51C18049">
            <w:pPr>
              <w:snapToGrid w:val="0"/>
              <w:spacing w:beforeLines="50"/>
              <w:ind w:firstLine="480"/>
              <w:jc w:val="center"/>
              <w:rPr>
                <w:rFonts w:ascii="宋体" w:hAnsi="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55075BC5">
            <w:pPr>
              <w:snapToGrid w:val="0"/>
              <w:spacing w:beforeLines="50"/>
              <w:ind w:firstLine="480"/>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tcPr>
          <w:p w14:paraId="1C0AC080">
            <w:pPr>
              <w:snapToGrid w:val="0"/>
              <w:spacing w:beforeLines="50"/>
              <w:ind w:firstLine="480"/>
              <w:jc w:val="center"/>
              <w:rPr>
                <w:rFonts w:ascii="宋体" w:hAnsi="宋体" w:cs="宋体"/>
                <w:color w:val="auto"/>
                <w:szCs w:val="21"/>
                <w:highlight w:val="none"/>
              </w:rPr>
            </w:pPr>
          </w:p>
        </w:tc>
      </w:tr>
    </w:tbl>
    <w:p w14:paraId="0F2144E8">
      <w:pPr>
        <w:pStyle w:val="74"/>
        <w:widowControl w:val="0"/>
        <w:snapToGrid w:val="0"/>
        <w:spacing w:before="50" w:after="50"/>
        <w:jc w:val="both"/>
        <w:rPr>
          <w:color w:val="auto"/>
          <w:spacing w:val="20"/>
          <w:kern w:val="2"/>
          <w:sz w:val="21"/>
          <w:szCs w:val="21"/>
          <w:highlight w:val="none"/>
        </w:rPr>
      </w:pPr>
      <w:r>
        <w:rPr>
          <w:rFonts w:hint="eastAsia"/>
          <w:color w:val="auto"/>
          <w:kern w:val="2"/>
          <w:sz w:val="21"/>
          <w:szCs w:val="21"/>
          <w:highlight w:val="none"/>
        </w:rPr>
        <w:t>注：投标人应根据投标人的技术指标、对照招标文件要求在“偏离情况”栏注明“正偏离”、“负偏离”或“无偏离”。</w:t>
      </w:r>
    </w:p>
    <w:p w14:paraId="05B60BEC">
      <w:pPr>
        <w:snapToGrid w:val="0"/>
        <w:spacing w:before="50" w:after="50"/>
        <w:ind w:firstLine="560"/>
        <w:rPr>
          <w:rFonts w:ascii="宋体" w:hAnsi="宋体" w:cs="宋体"/>
          <w:color w:val="auto"/>
          <w:spacing w:val="20"/>
          <w:szCs w:val="21"/>
          <w:highlight w:val="none"/>
        </w:rPr>
      </w:pPr>
    </w:p>
    <w:p w14:paraId="6127707C">
      <w:pPr>
        <w:spacing w:line="360" w:lineRule="auto"/>
        <w:ind w:right="-21" w:rightChars="-10" w:firstLine="4200" w:firstLineChars="2000"/>
        <w:rPr>
          <w:rFonts w:ascii="宋体" w:hAnsi="宋体"/>
          <w:color w:val="auto"/>
          <w:szCs w:val="21"/>
          <w:highlight w:val="none"/>
        </w:rPr>
      </w:pPr>
      <w:r>
        <w:rPr>
          <w:rFonts w:hint="eastAsia" w:ascii="宋体" w:hAnsi="宋体"/>
          <w:color w:val="auto"/>
          <w:szCs w:val="21"/>
          <w:highlight w:val="none"/>
        </w:rPr>
        <w:t xml:space="preserve">投标人（盖章）：        </w:t>
      </w:r>
    </w:p>
    <w:p w14:paraId="464544DF">
      <w:pPr>
        <w:spacing w:line="360" w:lineRule="auto"/>
        <w:ind w:right="-21" w:rightChars="-10" w:firstLine="48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法定代表人或授权代表人签字（签字或盖章）：</w:t>
      </w:r>
    </w:p>
    <w:p w14:paraId="62000A3C">
      <w:pPr>
        <w:spacing w:line="360" w:lineRule="auto"/>
        <w:ind w:firstLine="4200" w:firstLineChars="2000"/>
        <w:rPr>
          <w:color w:val="auto"/>
          <w:kern w:val="0"/>
          <w:szCs w:val="21"/>
          <w:highlight w:val="none"/>
        </w:rPr>
      </w:pPr>
      <w:r>
        <w:rPr>
          <w:rFonts w:hint="eastAsia" w:ascii="宋体" w:hAnsi="宋体"/>
          <w:color w:val="auto"/>
          <w:szCs w:val="21"/>
          <w:highlight w:val="none"/>
        </w:rPr>
        <w:t>日    期：</w:t>
      </w:r>
    </w:p>
    <w:p w14:paraId="35E9401F">
      <w:pPr>
        <w:spacing w:line="360" w:lineRule="auto"/>
        <w:rPr>
          <w:rFonts w:ascii="宋体" w:hAnsi="宋体"/>
          <w:b/>
          <w:bCs/>
          <w:color w:val="auto"/>
          <w:szCs w:val="21"/>
          <w:highlight w:val="none"/>
        </w:rPr>
        <w:sectPr>
          <w:pgSz w:w="11906" w:h="16838"/>
          <w:pgMar w:top="1440" w:right="1440" w:bottom="1440" w:left="1440" w:header="851" w:footer="992" w:gutter="0"/>
          <w:cols w:space="720" w:num="1"/>
          <w:docGrid w:linePitch="312" w:charSpace="0"/>
        </w:sectPr>
      </w:pPr>
    </w:p>
    <w:p w14:paraId="65B0909A">
      <w:pPr>
        <w:spacing w:line="360" w:lineRule="auto"/>
        <w:rPr>
          <w:rFonts w:ascii="宋体" w:hAnsi="宋体"/>
          <w:color w:val="auto"/>
          <w:szCs w:val="21"/>
          <w:highlight w:val="none"/>
        </w:rPr>
      </w:pPr>
      <w:r>
        <w:rPr>
          <w:rFonts w:hint="eastAsia" w:ascii="宋体" w:hAnsi="宋体"/>
          <w:b/>
          <w:bCs/>
          <w:color w:val="auto"/>
          <w:szCs w:val="21"/>
          <w:highlight w:val="none"/>
        </w:rPr>
        <w:t>附件7：同类项目业绩表</w:t>
      </w:r>
      <w:r>
        <w:rPr>
          <w:rFonts w:hint="eastAsia" w:ascii="宋体" w:hAnsi="宋体"/>
          <w:color w:val="auto"/>
          <w:szCs w:val="21"/>
          <w:highlight w:val="none"/>
        </w:rPr>
        <w:t xml:space="preserve"> </w:t>
      </w:r>
    </w:p>
    <w:p w14:paraId="438AB31E">
      <w:pPr>
        <w:pStyle w:val="6"/>
        <w:spacing w:line="360" w:lineRule="auto"/>
        <w:jc w:val="center"/>
        <w:rPr>
          <w:b/>
          <w:bCs/>
          <w:color w:val="auto"/>
          <w:szCs w:val="21"/>
          <w:highlight w:val="none"/>
        </w:rPr>
      </w:pPr>
      <w:r>
        <w:rPr>
          <w:rFonts w:hint="eastAsia"/>
          <w:b/>
          <w:bCs/>
          <w:color w:val="auto"/>
          <w:szCs w:val="21"/>
          <w:highlight w:val="none"/>
        </w:rPr>
        <w:t>同类项目业绩表</w:t>
      </w:r>
    </w:p>
    <w:p w14:paraId="7FCB4531">
      <w:pPr>
        <w:pStyle w:val="5"/>
        <w:spacing w:line="360" w:lineRule="auto"/>
        <w:rPr>
          <w:rFonts w:ascii="宋体" w:hAnsi="宋体" w:cs="宋体"/>
          <w:color w:val="auto"/>
          <w:sz w:val="21"/>
          <w:szCs w:val="21"/>
          <w:highlight w:val="none"/>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229"/>
        <w:gridCol w:w="1860"/>
      </w:tblGrid>
      <w:tr w14:paraId="28CF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03AB41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242" w:type="dxa"/>
            <w:vAlign w:val="center"/>
          </w:tcPr>
          <w:p w14:paraId="7C08213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项目时间</w:t>
            </w:r>
          </w:p>
        </w:tc>
        <w:tc>
          <w:tcPr>
            <w:tcW w:w="1380" w:type="dxa"/>
            <w:vAlign w:val="center"/>
          </w:tcPr>
          <w:p w14:paraId="3226661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 xml:space="preserve">项目名称 </w:t>
            </w:r>
          </w:p>
        </w:tc>
        <w:tc>
          <w:tcPr>
            <w:tcW w:w="966" w:type="dxa"/>
            <w:vAlign w:val="center"/>
          </w:tcPr>
          <w:p w14:paraId="01496AC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金额</w:t>
            </w:r>
          </w:p>
        </w:tc>
        <w:tc>
          <w:tcPr>
            <w:tcW w:w="1242" w:type="dxa"/>
            <w:vAlign w:val="center"/>
          </w:tcPr>
          <w:p w14:paraId="505EAC3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实施情况</w:t>
            </w:r>
          </w:p>
        </w:tc>
        <w:tc>
          <w:tcPr>
            <w:tcW w:w="1229" w:type="dxa"/>
            <w:vAlign w:val="center"/>
          </w:tcPr>
          <w:p w14:paraId="32F1DA4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采购方单位名称</w:t>
            </w:r>
          </w:p>
        </w:tc>
        <w:tc>
          <w:tcPr>
            <w:tcW w:w="1860" w:type="dxa"/>
            <w:vAlign w:val="center"/>
          </w:tcPr>
          <w:p w14:paraId="7B55294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联系人姓名</w:t>
            </w:r>
          </w:p>
          <w:p w14:paraId="5A000C3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联系方式</w:t>
            </w:r>
          </w:p>
        </w:tc>
      </w:tr>
      <w:tr w14:paraId="05E6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vAlign w:val="center"/>
          </w:tcPr>
          <w:p w14:paraId="0353C84A">
            <w:pPr>
              <w:spacing w:line="360" w:lineRule="auto"/>
              <w:jc w:val="center"/>
              <w:rPr>
                <w:rFonts w:ascii="宋体" w:hAnsi="宋体" w:cs="宋体"/>
                <w:color w:val="auto"/>
                <w:szCs w:val="21"/>
                <w:highlight w:val="none"/>
              </w:rPr>
            </w:pPr>
          </w:p>
        </w:tc>
        <w:tc>
          <w:tcPr>
            <w:tcW w:w="1242" w:type="dxa"/>
          </w:tcPr>
          <w:p w14:paraId="4B6BC18C">
            <w:pPr>
              <w:spacing w:line="360" w:lineRule="auto"/>
              <w:jc w:val="center"/>
              <w:rPr>
                <w:rFonts w:ascii="宋体" w:hAnsi="宋体" w:cs="宋体"/>
                <w:color w:val="auto"/>
                <w:szCs w:val="21"/>
                <w:highlight w:val="none"/>
              </w:rPr>
            </w:pPr>
          </w:p>
        </w:tc>
        <w:tc>
          <w:tcPr>
            <w:tcW w:w="1380" w:type="dxa"/>
            <w:vAlign w:val="center"/>
          </w:tcPr>
          <w:p w14:paraId="7F89A7F3">
            <w:pPr>
              <w:spacing w:line="360" w:lineRule="auto"/>
              <w:jc w:val="center"/>
              <w:rPr>
                <w:rFonts w:ascii="宋体" w:hAnsi="宋体" w:cs="宋体"/>
                <w:color w:val="auto"/>
                <w:szCs w:val="21"/>
                <w:highlight w:val="none"/>
              </w:rPr>
            </w:pPr>
          </w:p>
        </w:tc>
        <w:tc>
          <w:tcPr>
            <w:tcW w:w="966" w:type="dxa"/>
            <w:vAlign w:val="center"/>
          </w:tcPr>
          <w:p w14:paraId="348062FF">
            <w:pPr>
              <w:spacing w:line="360" w:lineRule="auto"/>
              <w:jc w:val="center"/>
              <w:rPr>
                <w:rFonts w:ascii="宋体" w:hAnsi="宋体" w:cs="宋体"/>
                <w:color w:val="auto"/>
                <w:szCs w:val="21"/>
                <w:highlight w:val="none"/>
              </w:rPr>
            </w:pPr>
          </w:p>
        </w:tc>
        <w:tc>
          <w:tcPr>
            <w:tcW w:w="1242" w:type="dxa"/>
            <w:vAlign w:val="center"/>
          </w:tcPr>
          <w:p w14:paraId="3E61604B">
            <w:pPr>
              <w:spacing w:line="360" w:lineRule="auto"/>
              <w:jc w:val="center"/>
              <w:rPr>
                <w:rFonts w:ascii="宋体" w:hAnsi="宋体" w:cs="宋体"/>
                <w:color w:val="auto"/>
                <w:szCs w:val="21"/>
                <w:highlight w:val="none"/>
              </w:rPr>
            </w:pPr>
          </w:p>
        </w:tc>
        <w:tc>
          <w:tcPr>
            <w:tcW w:w="1229" w:type="dxa"/>
            <w:vAlign w:val="center"/>
          </w:tcPr>
          <w:p w14:paraId="2C9DCBD1">
            <w:pPr>
              <w:spacing w:line="360" w:lineRule="auto"/>
              <w:jc w:val="center"/>
              <w:rPr>
                <w:rFonts w:ascii="宋体" w:hAnsi="宋体" w:cs="宋体"/>
                <w:color w:val="auto"/>
                <w:szCs w:val="21"/>
                <w:highlight w:val="none"/>
              </w:rPr>
            </w:pPr>
          </w:p>
        </w:tc>
        <w:tc>
          <w:tcPr>
            <w:tcW w:w="1860" w:type="dxa"/>
            <w:vAlign w:val="center"/>
          </w:tcPr>
          <w:p w14:paraId="41819BC2">
            <w:pPr>
              <w:spacing w:line="360" w:lineRule="auto"/>
              <w:jc w:val="center"/>
              <w:rPr>
                <w:rFonts w:ascii="宋体" w:hAnsi="宋体" w:cs="宋体"/>
                <w:color w:val="auto"/>
                <w:szCs w:val="21"/>
                <w:highlight w:val="none"/>
              </w:rPr>
            </w:pPr>
          </w:p>
        </w:tc>
      </w:tr>
      <w:tr w14:paraId="2F2A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vAlign w:val="center"/>
          </w:tcPr>
          <w:p w14:paraId="013D9670">
            <w:pPr>
              <w:spacing w:line="360" w:lineRule="auto"/>
              <w:jc w:val="center"/>
              <w:rPr>
                <w:rFonts w:ascii="宋体" w:hAnsi="宋体" w:cs="宋体"/>
                <w:color w:val="auto"/>
                <w:szCs w:val="21"/>
                <w:highlight w:val="none"/>
              </w:rPr>
            </w:pPr>
          </w:p>
        </w:tc>
        <w:tc>
          <w:tcPr>
            <w:tcW w:w="1242" w:type="dxa"/>
          </w:tcPr>
          <w:p w14:paraId="7ADA7E6A">
            <w:pPr>
              <w:spacing w:line="360" w:lineRule="auto"/>
              <w:jc w:val="center"/>
              <w:rPr>
                <w:rFonts w:ascii="宋体" w:hAnsi="宋体" w:cs="宋体"/>
                <w:color w:val="auto"/>
                <w:szCs w:val="21"/>
                <w:highlight w:val="none"/>
              </w:rPr>
            </w:pPr>
          </w:p>
        </w:tc>
        <w:tc>
          <w:tcPr>
            <w:tcW w:w="1380" w:type="dxa"/>
            <w:vAlign w:val="center"/>
          </w:tcPr>
          <w:p w14:paraId="49336DB8">
            <w:pPr>
              <w:spacing w:line="360" w:lineRule="auto"/>
              <w:jc w:val="center"/>
              <w:rPr>
                <w:rFonts w:ascii="宋体" w:hAnsi="宋体" w:cs="宋体"/>
                <w:color w:val="auto"/>
                <w:szCs w:val="21"/>
                <w:highlight w:val="none"/>
              </w:rPr>
            </w:pPr>
          </w:p>
        </w:tc>
        <w:tc>
          <w:tcPr>
            <w:tcW w:w="966" w:type="dxa"/>
            <w:vAlign w:val="center"/>
          </w:tcPr>
          <w:p w14:paraId="5F3EC401">
            <w:pPr>
              <w:spacing w:line="360" w:lineRule="auto"/>
              <w:jc w:val="center"/>
              <w:rPr>
                <w:rFonts w:ascii="宋体" w:hAnsi="宋体" w:cs="宋体"/>
                <w:color w:val="auto"/>
                <w:szCs w:val="21"/>
                <w:highlight w:val="none"/>
              </w:rPr>
            </w:pPr>
          </w:p>
        </w:tc>
        <w:tc>
          <w:tcPr>
            <w:tcW w:w="1242" w:type="dxa"/>
            <w:vAlign w:val="center"/>
          </w:tcPr>
          <w:p w14:paraId="355B2FC2">
            <w:pPr>
              <w:spacing w:line="360" w:lineRule="auto"/>
              <w:jc w:val="center"/>
              <w:rPr>
                <w:rFonts w:ascii="宋体" w:hAnsi="宋体" w:cs="宋体"/>
                <w:color w:val="auto"/>
                <w:szCs w:val="21"/>
                <w:highlight w:val="none"/>
              </w:rPr>
            </w:pPr>
          </w:p>
        </w:tc>
        <w:tc>
          <w:tcPr>
            <w:tcW w:w="1229" w:type="dxa"/>
            <w:vAlign w:val="center"/>
          </w:tcPr>
          <w:p w14:paraId="2DE95D9B">
            <w:pPr>
              <w:spacing w:line="360" w:lineRule="auto"/>
              <w:jc w:val="center"/>
              <w:rPr>
                <w:rFonts w:ascii="宋体" w:hAnsi="宋体" w:cs="宋体"/>
                <w:color w:val="auto"/>
                <w:szCs w:val="21"/>
                <w:highlight w:val="none"/>
              </w:rPr>
            </w:pPr>
          </w:p>
        </w:tc>
        <w:tc>
          <w:tcPr>
            <w:tcW w:w="1860" w:type="dxa"/>
            <w:vAlign w:val="center"/>
          </w:tcPr>
          <w:p w14:paraId="2C7703AB">
            <w:pPr>
              <w:spacing w:line="360" w:lineRule="auto"/>
              <w:jc w:val="center"/>
              <w:rPr>
                <w:rFonts w:ascii="宋体" w:hAnsi="宋体" w:cs="宋体"/>
                <w:color w:val="auto"/>
                <w:szCs w:val="21"/>
                <w:highlight w:val="none"/>
              </w:rPr>
            </w:pPr>
          </w:p>
        </w:tc>
      </w:tr>
      <w:tr w14:paraId="007C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vAlign w:val="center"/>
          </w:tcPr>
          <w:p w14:paraId="402BF1EB">
            <w:pPr>
              <w:spacing w:line="360" w:lineRule="auto"/>
              <w:jc w:val="center"/>
              <w:rPr>
                <w:rFonts w:ascii="宋体" w:hAnsi="宋体" w:cs="宋体"/>
                <w:color w:val="auto"/>
                <w:szCs w:val="21"/>
                <w:highlight w:val="none"/>
              </w:rPr>
            </w:pPr>
          </w:p>
        </w:tc>
        <w:tc>
          <w:tcPr>
            <w:tcW w:w="1242" w:type="dxa"/>
          </w:tcPr>
          <w:p w14:paraId="45A6307A">
            <w:pPr>
              <w:spacing w:line="360" w:lineRule="auto"/>
              <w:jc w:val="center"/>
              <w:rPr>
                <w:rFonts w:ascii="宋体" w:hAnsi="宋体" w:cs="宋体"/>
                <w:color w:val="auto"/>
                <w:szCs w:val="21"/>
                <w:highlight w:val="none"/>
              </w:rPr>
            </w:pPr>
          </w:p>
        </w:tc>
        <w:tc>
          <w:tcPr>
            <w:tcW w:w="1380" w:type="dxa"/>
            <w:vAlign w:val="center"/>
          </w:tcPr>
          <w:p w14:paraId="2D0A6889">
            <w:pPr>
              <w:spacing w:line="360" w:lineRule="auto"/>
              <w:jc w:val="center"/>
              <w:rPr>
                <w:rFonts w:ascii="宋体" w:hAnsi="宋体" w:cs="宋体"/>
                <w:color w:val="auto"/>
                <w:szCs w:val="21"/>
                <w:highlight w:val="none"/>
              </w:rPr>
            </w:pPr>
          </w:p>
        </w:tc>
        <w:tc>
          <w:tcPr>
            <w:tcW w:w="966" w:type="dxa"/>
            <w:vAlign w:val="center"/>
          </w:tcPr>
          <w:p w14:paraId="19B049F3">
            <w:pPr>
              <w:spacing w:line="360" w:lineRule="auto"/>
              <w:jc w:val="center"/>
              <w:rPr>
                <w:rFonts w:ascii="宋体" w:hAnsi="宋体" w:cs="宋体"/>
                <w:color w:val="auto"/>
                <w:szCs w:val="21"/>
                <w:highlight w:val="none"/>
              </w:rPr>
            </w:pPr>
          </w:p>
        </w:tc>
        <w:tc>
          <w:tcPr>
            <w:tcW w:w="1242" w:type="dxa"/>
            <w:vAlign w:val="center"/>
          </w:tcPr>
          <w:p w14:paraId="49D27089">
            <w:pPr>
              <w:spacing w:line="360" w:lineRule="auto"/>
              <w:jc w:val="center"/>
              <w:rPr>
                <w:rFonts w:ascii="宋体" w:hAnsi="宋体" w:cs="宋体"/>
                <w:color w:val="auto"/>
                <w:szCs w:val="21"/>
                <w:highlight w:val="none"/>
              </w:rPr>
            </w:pPr>
          </w:p>
        </w:tc>
        <w:tc>
          <w:tcPr>
            <w:tcW w:w="1229" w:type="dxa"/>
            <w:vAlign w:val="center"/>
          </w:tcPr>
          <w:p w14:paraId="67498DC2">
            <w:pPr>
              <w:spacing w:line="360" w:lineRule="auto"/>
              <w:jc w:val="center"/>
              <w:rPr>
                <w:rFonts w:ascii="宋体" w:hAnsi="宋体" w:cs="宋体"/>
                <w:color w:val="auto"/>
                <w:szCs w:val="21"/>
                <w:highlight w:val="none"/>
              </w:rPr>
            </w:pPr>
          </w:p>
        </w:tc>
        <w:tc>
          <w:tcPr>
            <w:tcW w:w="1860" w:type="dxa"/>
            <w:vAlign w:val="center"/>
          </w:tcPr>
          <w:p w14:paraId="4D9EFC28">
            <w:pPr>
              <w:spacing w:line="360" w:lineRule="auto"/>
              <w:jc w:val="center"/>
              <w:rPr>
                <w:rFonts w:ascii="宋体" w:hAnsi="宋体" w:cs="宋体"/>
                <w:color w:val="auto"/>
                <w:szCs w:val="21"/>
                <w:highlight w:val="none"/>
              </w:rPr>
            </w:pPr>
          </w:p>
        </w:tc>
      </w:tr>
      <w:tr w14:paraId="08E0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14:paraId="1BEECADF">
            <w:pPr>
              <w:spacing w:line="360" w:lineRule="auto"/>
              <w:jc w:val="center"/>
              <w:rPr>
                <w:rFonts w:ascii="宋体" w:hAnsi="宋体" w:cs="宋体"/>
                <w:color w:val="auto"/>
                <w:szCs w:val="21"/>
                <w:highlight w:val="none"/>
              </w:rPr>
            </w:pPr>
          </w:p>
        </w:tc>
        <w:tc>
          <w:tcPr>
            <w:tcW w:w="1242" w:type="dxa"/>
          </w:tcPr>
          <w:p w14:paraId="2942AAD3">
            <w:pPr>
              <w:spacing w:line="360" w:lineRule="auto"/>
              <w:jc w:val="center"/>
              <w:rPr>
                <w:rFonts w:ascii="宋体" w:hAnsi="宋体" w:cs="宋体"/>
                <w:color w:val="auto"/>
                <w:szCs w:val="21"/>
                <w:highlight w:val="none"/>
              </w:rPr>
            </w:pPr>
          </w:p>
        </w:tc>
        <w:tc>
          <w:tcPr>
            <w:tcW w:w="1380" w:type="dxa"/>
            <w:vAlign w:val="center"/>
          </w:tcPr>
          <w:p w14:paraId="72C3F71B">
            <w:pPr>
              <w:spacing w:line="360" w:lineRule="auto"/>
              <w:jc w:val="center"/>
              <w:rPr>
                <w:rFonts w:ascii="宋体" w:hAnsi="宋体" w:cs="宋体"/>
                <w:color w:val="auto"/>
                <w:szCs w:val="21"/>
                <w:highlight w:val="none"/>
              </w:rPr>
            </w:pPr>
          </w:p>
        </w:tc>
        <w:tc>
          <w:tcPr>
            <w:tcW w:w="966" w:type="dxa"/>
            <w:vAlign w:val="center"/>
          </w:tcPr>
          <w:p w14:paraId="6577C8DA">
            <w:pPr>
              <w:spacing w:line="360" w:lineRule="auto"/>
              <w:jc w:val="center"/>
              <w:rPr>
                <w:rFonts w:ascii="宋体" w:hAnsi="宋体" w:cs="宋体"/>
                <w:color w:val="auto"/>
                <w:szCs w:val="21"/>
                <w:highlight w:val="none"/>
              </w:rPr>
            </w:pPr>
          </w:p>
        </w:tc>
        <w:tc>
          <w:tcPr>
            <w:tcW w:w="1242" w:type="dxa"/>
            <w:vAlign w:val="center"/>
          </w:tcPr>
          <w:p w14:paraId="0B14D022">
            <w:pPr>
              <w:spacing w:line="360" w:lineRule="auto"/>
              <w:jc w:val="center"/>
              <w:rPr>
                <w:rFonts w:ascii="宋体" w:hAnsi="宋体" w:cs="宋体"/>
                <w:color w:val="auto"/>
                <w:szCs w:val="21"/>
                <w:highlight w:val="none"/>
              </w:rPr>
            </w:pPr>
          </w:p>
        </w:tc>
        <w:tc>
          <w:tcPr>
            <w:tcW w:w="1229" w:type="dxa"/>
            <w:vAlign w:val="center"/>
          </w:tcPr>
          <w:p w14:paraId="604A33F1">
            <w:pPr>
              <w:spacing w:line="360" w:lineRule="auto"/>
              <w:jc w:val="center"/>
              <w:rPr>
                <w:rFonts w:ascii="宋体" w:hAnsi="宋体" w:cs="宋体"/>
                <w:color w:val="auto"/>
                <w:szCs w:val="21"/>
                <w:highlight w:val="none"/>
              </w:rPr>
            </w:pPr>
          </w:p>
        </w:tc>
        <w:tc>
          <w:tcPr>
            <w:tcW w:w="1860" w:type="dxa"/>
            <w:vAlign w:val="center"/>
          </w:tcPr>
          <w:p w14:paraId="2D1CB666">
            <w:pPr>
              <w:spacing w:line="360" w:lineRule="auto"/>
              <w:jc w:val="center"/>
              <w:rPr>
                <w:rFonts w:ascii="宋体" w:hAnsi="宋体" w:cs="宋体"/>
                <w:color w:val="auto"/>
                <w:szCs w:val="21"/>
                <w:highlight w:val="none"/>
              </w:rPr>
            </w:pPr>
          </w:p>
        </w:tc>
      </w:tr>
      <w:tr w14:paraId="14FE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vAlign w:val="center"/>
          </w:tcPr>
          <w:p w14:paraId="64FD050F">
            <w:pPr>
              <w:spacing w:line="360" w:lineRule="auto"/>
              <w:jc w:val="center"/>
              <w:rPr>
                <w:rFonts w:ascii="宋体" w:hAnsi="宋体" w:cs="宋体"/>
                <w:color w:val="auto"/>
                <w:szCs w:val="21"/>
                <w:highlight w:val="none"/>
              </w:rPr>
            </w:pPr>
          </w:p>
        </w:tc>
        <w:tc>
          <w:tcPr>
            <w:tcW w:w="1242" w:type="dxa"/>
          </w:tcPr>
          <w:p w14:paraId="1D9AA1AF">
            <w:pPr>
              <w:spacing w:line="360" w:lineRule="auto"/>
              <w:jc w:val="center"/>
              <w:rPr>
                <w:rFonts w:ascii="宋体" w:hAnsi="宋体" w:cs="宋体"/>
                <w:color w:val="auto"/>
                <w:szCs w:val="21"/>
                <w:highlight w:val="none"/>
              </w:rPr>
            </w:pPr>
          </w:p>
        </w:tc>
        <w:tc>
          <w:tcPr>
            <w:tcW w:w="1380" w:type="dxa"/>
            <w:vAlign w:val="center"/>
          </w:tcPr>
          <w:p w14:paraId="71DDA1BB">
            <w:pPr>
              <w:spacing w:line="360" w:lineRule="auto"/>
              <w:jc w:val="center"/>
              <w:rPr>
                <w:rFonts w:ascii="宋体" w:hAnsi="宋体" w:cs="宋体"/>
                <w:color w:val="auto"/>
                <w:szCs w:val="21"/>
                <w:highlight w:val="none"/>
              </w:rPr>
            </w:pPr>
          </w:p>
        </w:tc>
        <w:tc>
          <w:tcPr>
            <w:tcW w:w="966" w:type="dxa"/>
            <w:vAlign w:val="center"/>
          </w:tcPr>
          <w:p w14:paraId="3C45D8EF">
            <w:pPr>
              <w:spacing w:line="360" w:lineRule="auto"/>
              <w:jc w:val="center"/>
              <w:rPr>
                <w:rFonts w:ascii="宋体" w:hAnsi="宋体" w:cs="宋体"/>
                <w:color w:val="auto"/>
                <w:szCs w:val="21"/>
                <w:highlight w:val="none"/>
              </w:rPr>
            </w:pPr>
          </w:p>
        </w:tc>
        <w:tc>
          <w:tcPr>
            <w:tcW w:w="1242" w:type="dxa"/>
            <w:vAlign w:val="center"/>
          </w:tcPr>
          <w:p w14:paraId="3BB2C02B">
            <w:pPr>
              <w:spacing w:line="360" w:lineRule="auto"/>
              <w:jc w:val="center"/>
              <w:rPr>
                <w:rFonts w:ascii="宋体" w:hAnsi="宋体" w:cs="宋体"/>
                <w:color w:val="auto"/>
                <w:szCs w:val="21"/>
                <w:highlight w:val="none"/>
              </w:rPr>
            </w:pPr>
          </w:p>
        </w:tc>
        <w:tc>
          <w:tcPr>
            <w:tcW w:w="1229" w:type="dxa"/>
            <w:vAlign w:val="center"/>
          </w:tcPr>
          <w:p w14:paraId="3348EB00">
            <w:pPr>
              <w:spacing w:line="360" w:lineRule="auto"/>
              <w:jc w:val="center"/>
              <w:rPr>
                <w:rFonts w:ascii="宋体" w:hAnsi="宋体" w:cs="宋体"/>
                <w:color w:val="auto"/>
                <w:szCs w:val="21"/>
                <w:highlight w:val="none"/>
              </w:rPr>
            </w:pPr>
          </w:p>
        </w:tc>
        <w:tc>
          <w:tcPr>
            <w:tcW w:w="1860" w:type="dxa"/>
            <w:vAlign w:val="center"/>
          </w:tcPr>
          <w:p w14:paraId="2AAFA32D">
            <w:pPr>
              <w:spacing w:line="360" w:lineRule="auto"/>
              <w:jc w:val="center"/>
              <w:rPr>
                <w:rFonts w:ascii="宋体" w:hAnsi="宋体" w:cs="宋体"/>
                <w:color w:val="auto"/>
                <w:szCs w:val="21"/>
                <w:highlight w:val="none"/>
              </w:rPr>
            </w:pPr>
          </w:p>
        </w:tc>
      </w:tr>
      <w:tr w14:paraId="74CD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vAlign w:val="center"/>
          </w:tcPr>
          <w:p w14:paraId="0801A11C">
            <w:pPr>
              <w:spacing w:line="360" w:lineRule="auto"/>
              <w:jc w:val="center"/>
              <w:rPr>
                <w:rFonts w:ascii="宋体" w:hAnsi="宋体" w:cs="宋体"/>
                <w:color w:val="auto"/>
                <w:szCs w:val="21"/>
                <w:highlight w:val="none"/>
              </w:rPr>
            </w:pPr>
          </w:p>
        </w:tc>
        <w:tc>
          <w:tcPr>
            <w:tcW w:w="1242" w:type="dxa"/>
          </w:tcPr>
          <w:p w14:paraId="22F7EE05">
            <w:pPr>
              <w:spacing w:line="360" w:lineRule="auto"/>
              <w:jc w:val="center"/>
              <w:rPr>
                <w:rFonts w:ascii="宋体" w:hAnsi="宋体" w:cs="宋体"/>
                <w:color w:val="auto"/>
                <w:szCs w:val="21"/>
                <w:highlight w:val="none"/>
              </w:rPr>
            </w:pPr>
          </w:p>
        </w:tc>
        <w:tc>
          <w:tcPr>
            <w:tcW w:w="1380" w:type="dxa"/>
            <w:vAlign w:val="center"/>
          </w:tcPr>
          <w:p w14:paraId="4D4DFD01">
            <w:pPr>
              <w:spacing w:line="360" w:lineRule="auto"/>
              <w:jc w:val="center"/>
              <w:rPr>
                <w:rFonts w:ascii="宋体" w:hAnsi="宋体" w:cs="宋体"/>
                <w:color w:val="auto"/>
                <w:szCs w:val="21"/>
                <w:highlight w:val="none"/>
              </w:rPr>
            </w:pPr>
          </w:p>
        </w:tc>
        <w:tc>
          <w:tcPr>
            <w:tcW w:w="966" w:type="dxa"/>
            <w:vAlign w:val="center"/>
          </w:tcPr>
          <w:p w14:paraId="68590D6A">
            <w:pPr>
              <w:spacing w:line="360" w:lineRule="auto"/>
              <w:jc w:val="center"/>
              <w:rPr>
                <w:rFonts w:ascii="宋体" w:hAnsi="宋体" w:cs="宋体"/>
                <w:color w:val="auto"/>
                <w:szCs w:val="21"/>
                <w:highlight w:val="none"/>
              </w:rPr>
            </w:pPr>
          </w:p>
        </w:tc>
        <w:tc>
          <w:tcPr>
            <w:tcW w:w="1242" w:type="dxa"/>
            <w:vAlign w:val="center"/>
          </w:tcPr>
          <w:p w14:paraId="7B2AD758">
            <w:pPr>
              <w:spacing w:line="360" w:lineRule="auto"/>
              <w:jc w:val="center"/>
              <w:rPr>
                <w:rFonts w:ascii="宋体" w:hAnsi="宋体" w:cs="宋体"/>
                <w:color w:val="auto"/>
                <w:szCs w:val="21"/>
                <w:highlight w:val="none"/>
              </w:rPr>
            </w:pPr>
          </w:p>
        </w:tc>
        <w:tc>
          <w:tcPr>
            <w:tcW w:w="1229" w:type="dxa"/>
            <w:vAlign w:val="center"/>
          </w:tcPr>
          <w:p w14:paraId="7D2BEF7A">
            <w:pPr>
              <w:spacing w:line="360" w:lineRule="auto"/>
              <w:jc w:val="center"/>
              <w:rPr>
                <w:rFonts w:ascii="宋体" w:hAnsi="宋体" w:cs="宋体"/>
                <w:color w:val="auto"/>
                <w:szCs w:val="21"/>
                <w:highlight w:val="none"/>
              </w:rPr>
            </w:pPr>
          </w:p>
        </w:tc>
        <w:tc>
          <w:tcPr>
            <w:tcW w:w="1860" w:type="dxa"/>
            <w:vAlign w:val="center"/>
          </w:tcPr>
          <w:p w14:paraId="43FF2C41">
            <w:pPr>
              <w:spacing w:line="360" w:lineRule="auto"/>
              <w:jc w:val="center"/>
              <w:rPr>
                <w:rFonts w:ascii="宋体" w:hAnsi="宋体" w:cs="宋体"/>
                <w:color w:val="auto"/>
                <w:szCs w:val="21"/>
                <w:highlight w:val="none"/>
              </w:rPr>
            </w:pPr>
          </w:p>
        </w:tc>
      </w:tr>
      <w:tr w14:paraId="2D07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vAlign w:val="center"/>
          </w:tcPr>
          <w:p w14:paraId="143D5789">
            <w:pPr>
              <w:spacing w:line="360" w:lineRule="auto"/>
              <w:jc w:val="center"/>
              <w:rPr>
                <w:rFonts w:ascii="宋体" w:hAnsi="宋体" w:cs="宋体"/>
                <w:color w:val="auto"/>
                <w:szCs w:val="21"/>
                <w:highlight w:val="none"/>
              </w:rPr>
            </w:pPr>
          </w:p>
        </w:tc>
        <w:tc>
          <w:tcPr>
            <w:tcW w:w="1242" w:type="dxa"/>
          </w:tcPr>
          <w:p w14:paraId="4DBDC615">
            <w:pPr>
              <w:spacing w:line="360" w:lineRule="auto"/>
              <w:jc w:val="center"/>
              <w:rPr>
                <w:rFonts w:ascii="宋体" w:hAnsi="宋体" w:cs="宋体"/>
                <w:color w:val="auto"/>
                <w:szCs w:val="21"/>
                <w:highlight w:val="none"/>
              </w:rPr>
            </w:pPr>
          </w:p>
        </w:tc>
        <w:tc>
          <w:tcPr>
            <w:tcW w:w="1380" w:type="dxa"/>
            <w:vAlign w:val="center"/>
          </w:tcPr>
          <w:p w14:paraId="263C802B">
            <w:pPr>
              <w:spacing w:line="360" w:lineRule="auto"/>
              <w:jc w:val="center"/>
              <w:rPr>
                <w:rFonts w:ascii="宋体" w:hAnsi="宋体" w:cs="宋体"/>
                <w:color w:val="auto"/>
                <w:szCs w:val="21"/>
                <w:highlight w:val="none"/>
              </w:rPr>
            </w:pPr>
          </w:p>
        </w:tc>
        <w:tc>
          <w:tcPr>
            <w:tcW w:w="966" w:type="dxa"/>
            <w:vAlign w:val="center"/>
          </w:tcPr>
          <w:p w14:paraId="03852507">
            <w:pPr>
              <w:spacing w:line="360" w:lineRule="auto"/>
              <w:jc w:val="center"/>
              <w:rPr>
                <w:rFonts w:ascii="宋体" w:hAnsi="宋体" w:cs="宋体"/>
                <w:color w:val="auto"/>
                <w:szCs w:val="21"/>
                <w:highlight w:val="none"/>
              </w:rPr>
            </w:pPr>
          </w:p>
        </w:tc>
        <w:tc>
          <w:tcPr>
            <w:tcW w:w="1242" w:type="dxa"/>
            <w:vAlign w:val="center"/>
          </w:tcPr>
          <w:p w14:paraId="742D479D">
            <w:pPr>
              <w:spacing w:line="360" w:lineRule="auto"/>
              <w:jc w:val="center"/>
              <w:rPr>
                <w:rFonts w:ascii="宋体" w:hAnsi="宋体" w:cs="宋体"/>
                <w:color w:val="auto"/>
                <w:szCs w:val="21"/>
                <w:highlight w:val="none"/>
              </w:rPr>
            </w:pPr>
          </w:p>
        </w:tc>
        <w:tc>
          <w:tcPr>
            <w:tcW w:w="1229" w:type="dxa"/>
            <w:vAlign w:val="center"/>
          </w:tcPr>
          <w:p w14:paraId="341C6C2A">
            <w:pPr>
              <w:spacing w:line="360" w:lineRule="auto"/>
              <w:jc w:val="center"/>
              <w:rPr>
                <w:rFonts w:ascii="宋体" w:hAnsi="宋体" w:cs="宋体"/>
                <w:color w:val="auto"/>
                <w:szCs w:val="21"/>
                <w:highlight w:val="none"/>
              </w:rPr>
            </w:pPr>
          </w:p>
        </w:tc>
        <w:tc>
          <w:tcPr>
            <w:tcW w:w="1860" w:type="dxa"/>
            <w:vAlign w:val="center"/>
          </w:tcPr>
          <w:p w14:paraId="6C9EA3DE">
            <w:pPr>
              <w:spacing w:line="360" w:lineRule="auto"/>
              <w:jc w:val="center"/>
              <w:rPr>
                <w:rFonts w:ascii="宋体" w:hAnsi="宋体" w:cs="宋体"/>
                <w:color w:val="auto"/>
                <w:szCs w:val="21"/>
                <w:highlight w:val="none"/>
              </w:rPr>
            </w:pPr>
          </w:p>
        </w:tc>
      </w:tr>
      <w:tr w14:paraId="0D58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vAlign w:val="center"/>
          </w:tcPr>
          <w:p w14:paraId="2D3EE37B">
            <w:pPr>
              <w:spacing w:line="360" w:lineRule="auto"/>
              <w:jc w:val="center"/>
              <w:rPr>
                <w:rFonts w:ascii="宋体" w:hAnsi="宋体" w:cs="宋体"/>
                <w:color w:val="auto"/>
                <w:szCs w:val="21"/>
                <w:highlight w:val="none"/>
              </w:rPr>
            </w:pPr>
          </w:p>
        </w:tc>
        <w:tc>
          <w:tcPr>
            <w:tcW w:w="1242" w:type="dxa"/>
          </w:tcPr>
          <w:p w14:paraId="5CD9ADE4">
            <w:pPr>
              <w:spacing w:line="360" w:lineRule="auto"/>
              <w:jc w:val="center"/>
              <w:rPr>
                <w:rFonts w:ascii="宋体" w:hAnsi="宋体" w:cs="宋体"/>
                <w:color w:val="auto"/>
                <w:szCs w:val="21"/>
                <w:highlight w:val="none"/>
              </w:rPr>
            </w:pPr>
          </w:p>
        </w:tc>
        <w:tc>
          <w:tcPr>
            <w:tcW w:w="1380" w:type="dxa"/>
            <w:vAlign w:val="center"/>
          </w:tcPr>
          <w:p w14:paraId="0C37BDC4">
            <w:pPr>
              <w:spacing w:line="360" w:lineRule="auto"/>
              <w:jc w:val="center"/>
              <w:rPr>
                <w:rFonts w:ascii="宋体" w:hAnsi="宋体" w:cs="宋体"/>
                <w:color w:val="auto"/>
                <w:szCs w:val="21"/>
                <w:highlight w:val="none"/>
              </w:rPr>
            </w:pPr>
          </w:p>
        </w:tc>
        <w:tc>
          <w:tcPr>
            <w:tcW w:w="966" w:type="dxa"/>
            <w:vAlign w:val="center"/>
          </w:tcPr>
          <w:p w14:paraId="451690F8">
            <w:pPr>
              <w:spacing w:line="360" w:lineRule="auto"/>
              <w:jc w:val="center"/>
              <w:rPr>
                <w:rFonts w:ascii="宋体" w:hAnsi="宋体" w:cs="宋体"/>
                <w:color w:val="auto"/>
                <w:szCs w:val="21"/>
                <w:highlight w:val="none"/>
              </w:rPr>
            </w:pPr>
          </w:p>
        </w:tc>
        <w:tc>
          <w:tcPr>
            <w:tcW w:w="1242" w:type="dxa"/>
            <w:vAlign w:val="center"/>
          </w:tcPr>
          <w:p w14:paraId="254D648A">
            <w:pPr>
              <w:spacing w:line="360" w:lineRule="auto"/>
              <w:jc w:val="center"/>
              <w:rPr>
                <w:rFonts w:ascii="宋体" w:hAnsi="宋体" w:cs="宋体"/>
                <w:color w:val="auto"/>
                <w:szCs w:val="21"/>
                <w:highlight w:val="none"/>
              </w:rPr>
            </w:pPr>
          </w:p>
        </w:tc>
        <w:tc>
          <w:tcPr>
            <w:tcW w:w="1229" w:type="dxa"/>
            <w:vAlign w:val="center"/>
          </w:tcPr>
          <w:p w14:paraId="525B3D3D">
            <w:pPr>
              <w:spacing w:line="360" w:lineRule="auto"/>
              <w:jc w:val="center"/>
              <w:rPr>
                <w:rFonts w:ascii="宋体" w:hAnsi="宋体" w:cs="宋体"/>
                <w:color w:val="auto"/>
                <w:szCs w:val="21"/>
                <w:highlight w:val="none"/>
              </w:rPr>
            </w:pPr>
          </w:p>
        </w:tc>
        <w:tc>
          <w:tcPr>
            <w:tcW w:w="1860" w:type="dxa"/>
            <w:vAlign w:val="center"/>
          </w:tcPr>
          <w:p w14:paraId="1992B0EA">
            <w:pPr>
              <w:spacing w:line="360" w:lineRule="auto"/>
              <w:jc w:val="center"/>
              <w:rPr>
                <w:rFonts w:ascii="宋体" w:hAnsi="宋体" w:cs="宋体"/>
                <w:color w:val="auto"/>
                <w:szCs w:val="21"/>
                <w:highlight w:val="none"/>
              </w:rPr>
            </w:pPr>
          </w:p>
        </w:tc>
      </w:tr>
      <w:tr w14:paraId="4DFC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vAlign w:val="center"/>
          </w:tcPr>
          <w:p w14:paraId="3AA6DBFA">
            <w:pPr>
              <w:spacing w:line="360" w:lineRule="auto"/>
              <w:jc w:val="center"/>
              <w:rPr>
                <w:rFonts w:ascii="宋体" w:hAnsi="宋体" w:cs="宋体"/>
                <w:color w:val="auto"/>
                <w:szCs w:val="21"/>
                <w:highlight w:val="none"/>
              </w:rPr>
            </w:pPr>
          </w:p>
        </w:tc>
        <w:tc>
          <w:tcPr>
            <w:tcW w:w="1242" w:type="dxa"/>
          </w:tcPr>
          <w:p w14:paraId="20FCF3CB">
            <w:pPr>
              <w:spacing w:line="360" w:lineRule="auto"/>
              <w:jc w:val="center"/>
              <w:rPr>
                <w:rFonts w:ascii="宋体" w:hAnsi="宋体" w:cs="宋体"/>
                <w:color w:val="auto"/>
                <w:szCs w:val="21"/>
                <w:highlight w:val="none"/>
              </w:rPr>
            </w:pPr>
          </w:p>
        </w:tc>
        <w:tc>
          <w:tcPr>
            <w:tcW w:w="1380" w:type="dxa"/>
            <w:vAlign w:val="center"/>
          </w:tcPr>
          <w:p w14:paraId="1EC94AAA">
            <w:pPr>
              <w:spacing w:line="360" w:lineRule="auto"/>
              <w:jc w:val="center"/>
              <w:rPr>
                <w:rFonts w:ascii="宋体" w:hAnsi="宋体" w:cs="宋体"/>
                <w:color w:val="auto"/>
                <w:szCs w:val="21"/>
                <w:highlight w:val="none"/>
              </w:rPr>
            </w:pPr>
          </w:p>
        </w:tc>
        <w:tc>
          <w:tcPr>
            <w:tcW w:w="966" w:type="dxa"/>
            <w:vAlign w:val="center"/>
          </w:tcPr>
          <w:p w14:paraId="15CCBED8">
            <w:pPr>
              <w:spacing w:line="360" w:lineRule="auto"/>
              <w:jc w:val="center"/>
              <w:rPr>
                <w:rFonts w:ascii="宋体" w:hAnsi="宋体" w:cs="宋体"/>
                <w:color w:val="auto"/>
                <w:szCs w:val="21"/>
                <w:highlight w:val="none"/>
              </w:rPr>
            </w:pPr>
          </w:p>
        </w:tc>
        <w:tc>
          <w:tcPr>
            <w:tcW w:w="1242" w:type="dxa"/>
            <w:vAlign w:val="center"/>
          </w:tcPr>
          <w:p w14:paraId="3B308AF9">
            <w:pPr>
              <w:spacing w:line="360" w:lineRule="auto"/>
              <w:jc w:val="center"/>
              <w:rPr>
                <w:rFonts w:ascii="宋体" w:hAnsi="宋体" w:cs="宋体"/>
                <w:color w:val="auto"/>
                <w:szCs w:val="21"/>
                <w:highlight w:val="none"/>
              </w:rPr>
            </w:pPr>
          </w:p>
        </w:tc>
        <w:tc>
          <w:tcPr>
            <w:tcW w:w="1229" w:type="dxa"/>
            <w:vAlign w:val="center"/>
          </w:tcPr>
          <w:p w14:paraId="1C7F59F1">
            <w:pPr>
              <w:spacing w:line="360" w:lineRule="auto"/>
              <w:jc w:val="center"/>
              <w:rPr>
                <w:rFonts w:ascii="宋体" w:hAnsi="宋体" w:cs="宋体"/>
                <w:color w:val="auto"/>
                <w:szCs w:val="21"/>
                <w:highlight w:val="none"/>
              </w:rPr>
            </w:pPr>
          </w:p>
        </w:tc>
        <w:tc>
          <w:tcPr>
            <w:tcW w:w="1860" w:type="dxa"/>
            <w:vAlign w:val="center"/>
          </w:tcPr>
          <w:p w14:paraId="7FB0C2E8">
            <w:pPr>
              <w:spacing w:line="360" w:lineRule="auto"/>
              <w:jc w:val="center"/>
              <w:rPr>
                <w:rFonts w:ascii="宋体" w:hAnsi="宋体" w:cs="宋体"/>
                <w:color w:val="auto"/>
                <w:szCs w:val="21"/>
                <w:highlight w:val="none"/>
              </w:rPr>
            </w:pPr>
          </w:p>
        </w:tc>
      </w:tr>
    </w:tbl>
    <w:p w14:paraId="75B9F4B2">
      <w:pPr>
        <w:spacing w:line="360" w:lineRule="auto"/>
        <w:rPr>
          <w:rFonts w:ascii="宋体" w:hAnsi="宋体"/>
          <w:color w:val="auto"/>
          <w:szCs w:val="21"/>
          <w:highlight w:val="none"/>
        </w:rPr>
      </w:pPr>
    </w:p>
    <w:p w14:paraId="5C5FFB8B">
      <w:pPr>
        <w:spacing w:line="360" w:lineRule="auto"/>
        <w:rPr>
          <w:rFonts w:ascii="宋体" w:hAnsi="宋体"/>
          <w:b/>
          <w:bCs/>
          <w:color w:val="auto"/>
          <w:szCs w:val="21"/>
          <w:highlight w:val="none"/>
        </w:rPr>
      </w:pPr>
      <w:r>
        <w:rPr>
          <w:rFonts w:hint="eastAsia" w:ascii="宋体" w:hAnsi="宋体"/>
          <w:b/>
          <w:bCs/>
          <w:color w:val="auto"/>
          <w:szCs w:val="21"/>
          <w:highlight w:val="none"/>
        </w:rPr>
        <w:t>注：提供合同扫描件并加盖CA签章。</w:t>
      </w:r>
    </w:p>
    <w:p w14:paraId="5DF2B389">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    </w:t>
      </w:r>
    </w:p>
    <w:p w14:paraId="21EE5F12">
      <w:pPr>
        <w:spacing w:line="360" w:lineRule="auto"/>
        <w:rPr>
          <w:rFonts w:ascii="宋体" w:hAnsi="宋体"/>
          <w:color w:val="auto"/>
          <w:szCs w:val="21"/>
          <w:highlight w:val="none"/>
        </w:rPr>
      </w:pPr>
    </w:p>
    <w:p w14:paraId="0FD9AA2B">
      <w:pPr>
        <w:spacing w:line="360" w:lineRule="auto"/>
        <w:rPr>
          <w:rFonts w:ascii="宋体" w:hAnsi="宋体"/>
          <w:color w:val="auto"/>
          <w:szCs w:val="21"/>
          <w:highlight w:val="none"/>
        </w:rPr>
      </w:pPr>
    </w:p>
    <w:p w14:paraId="3DAB854C">
      <w:pPr>
        <w:spacing w:line="360" w:lineRule="auto"/>
        <w:rPr>
          <w:rFonts w:ascii="宋体" w:hAnsi="宋体"/>
          <w:color w:val="auto"/>
          <w:szCs w:val="21"/>
          <w:highlight w:val="none"/>
        </w:rPr>
      </w:pPr>
    </w:p>
    <w:p w14:paraId="35F20BD8">
      <w:pPr>
        <w:spacing w:line="360" w:lineRule="auto"/>
        <w:rPr>
          <w:rFonts w:ascii="宋体" w:hAnsi="宋体"/>
          <w:color w:val="auto"/>
          <w:szCs w:val="21"/>
          <w:highlight w:val="none"/>
        </w:rPr>
      </w:pPr>
    </w:p>
    <w:p w14:paraId="21C048A9">
      <w:pPr>
        <w:spacing w:line="360" w:lineRule="auto"/>
        <w:rPr>
          <w:rFonts w:ascii="宋体" w:hAnsi="宋体"/>
          <w:color w:val="auto"/>
          <w:szCs w:val="21"/>
          <w:highlight w:val="none"/>
        </w:rPr>
      </w:pPr>
    </w:p>
    <w:p w14:paraId="059296B3">
      <w:pPr>
        <w:tabs>
          <w:tab w:val="left" w:pos="2310"/>
        </w:tabs>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投标供应商:（盖章）</w:t>
      </w:r>
    </w:p>
    <w:p w14:paraId="33F8FF90">
      <w:pPr>
        <w:spacing w:line="360" w:lineRule="auto"/>
        <w:ind w:firstLine="525" w:firstLineChars="250"/>
        <w:rPr>
          <w:rFonts w:ascii="宋体" w:hAnsi="宋体"/>
          <w:color w:val="auto"/>
          <w:szCs w:val="21"/>
          <w:highlight w:val="none"/>
        </w:rPr>
      </w:pPr>
    </w:p>
    <w:p w14:paraId="663A9202">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法定代表人或委托代理人:（盖章或签字）</w:t>
      </w:r>
    </w:p>
    <w:p w14:paraId="391A4857">
      <w:pPr>
        <w:spacing w:line="360" w:lineRule="auto"/>
        <w:ind w:firstLine="525" w:firstLineChars="250"/>
        <w:rPr>
          <w:rFonts w:ascii="宋体" w:hAnsi="宋体"/>
          <w:color w:val="auto"/>
          <w:szCs w:val="21"/>
          <w:highlight w:val="none"/>
        </w:rPr>
      </w:pPr>
    </w:p>
    <w:p w14:paraId="6E82ACD5">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日  期:</w:t>
      </w:r>
    </w:p>
    <w:p w14:paraId="4C465DC1">
      <w:pPr>
        <w:spacing w:line="360" w:lineRule="auto"/>
        <w:rPr>
          <w:rFonts w:ascii="宋体" w:hAnsi="宋体" w:cs="Arial"/>
          <w:b/>
          <w:bCs/>
          <w:color w:val="auto"/>
          <w:szCs w:val="21"/>
          <w:highlight w:val="none"/>
        </w:rPr>
      </w:pPr>
      <w:r>
        <w:rPr>
          <w:rFonts w:hint="eastAsia" w:ascii="宋体" w:hAnsi="宋体" w:cs="Arial"/>
          <w:b/>
          <w:bCs/>
          <w:color w:val="auto"/>
          <w:szCs w:val="21"/>
          <w:highlight w:val="none"/>
        </w:rPr>
        <w:t>注：</w:t>
      </w:r>
      <w:r>
        <w:rPr>
          <w:rFonts w:ascii="宋体" w:hAnsi="宋体" w:cs="Arial"/>
          <w:b/>
          <w:bCs/>
          <w:color w:val="auto"/>
          <w:szCs w:val="21"/>
          <w:highlight w:val="none"/>
        </w:rPr>
        <w:t>此表仅提供了表格形式，</w:t>
      </w:r>
      <w:r>
        <w:rPr>
          <w:rFonts w:hint="eastAsia" w:ascii="宋体" w:hAnsi="宋体" w:cs="Arial"/>
          <w:b/>
          <w:bCs/>
          <w:color w:val="auto"/>
          <w:szCs w:val="21"/>
          <w:highlight w:val="none"/>
        </w:rPr>
        <w:t>投标供应商</w:t>
      </w:r>
      <w:r>
        <w:rPr>
          <w:rFonts w:ascii="宋体" w:hAnsi="宋体" w:cs="Arial"/>
          <w:b/>
          <w:bCs/>
          <w:color w:val="auto"/>
          <w:szCs w:val="21"/>
          <w:highlight w:val="none"/>
        </w:rPr>
        <w:t>可按此表格格式进行扩展。</w:t>
      </w:r>
    </w:p>
    <w:p w14:paraId="44F74BA8">
      <w:pPr>
        <w:pStyle w:val="33"/>
        <w:ind w:left="6" w:leftChars="3" w:firstLine="0"/>
        <w:rPr>
          <w:rFonts w:hAnsi="宋体" w:cs="宋体"/>
          <w:color w:val="auto"/>
          <w:sz w:val="21"/>
          <w:szCs w:val="21"/>
          <w:highlight w:val="none"/>
        </w:rPr>
      </w:pPr>
    </w:p>
    <w:p w14:paraId="0DBFE735">
      <w:pPr>
        <w:pStyle w:val="33"/>
        <w:ind w:left="6" w:leftChars="3" w:firstLine="0"/>
        <w:rPr>
          <w:rFonts w:hAnsi="宋体" w:cs="宋体"/>
          <w:color w:val="auto"/>
          <w:sz w:val="21"/>
          <w:szCs w:val="21"/>
          <w:highlight w:val="none"/>
        </w:rPr>
      </w:pPr>
    </w:p>
    <w:p w14:paraId="34762431">
      <w:pPr>
        <w:pStyle w:val="33"/>
        <w:ind w:left="6" w:leftChars="3" w:firstLine="0"/>
        <w:rPr>
          <w:rFonts w:hAnsi="宋体" w:cs="宋体"/>
          <w:color w:val="auto"/>
          <w:sz w:val="21"/>
          <w:szCs w:val="21"/>
          <w:highlight w:val="none"/>
        </w:rPr>
      </w:pPr>
    </w:p>
    <w:p w14:paraId="507B403A">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附件8： </w:t>
      </w:r>
      <w:r>
        <w:rPr>
          <w:rFonts w:ascii="宋体" w:hAnsi="宋体"/>
          <w:b/>
          <w:bCs/>
          <w:color w:val="auto"/>
          <w:szCs w:val="21"/>
          <w:highlight w:val="none"/>
        </w:rPr>
        <w:t>项目组成人员表（格式）</w:t>
      </w:r>
    </w:p>
    <w:p w14:paraId="170808B2">
      <w:pPr>
        <w:spacing w:line="360" w:lineRule="auto"/>
        <w:jc w:val="center"/>
        <w:rPr>
          <w:b/>
          <w:bCs/>
          <w:color w:val="auto"/>
          <w:szCs w:val="21"/>
          <w:highlight w:val="none"/>
        </w:rPr>
      </w:pPr>
      <w:r>
        <w:rPr>
          <w:b/>
          <w:bCs/>
          <w:color w:val="auto"/>
          <w:szCs w:val="21"/>
          <w:highlight w:val="none"/>
        </w:rPr>
        <w:t>项目负责人简历表</w:t>
      </w:r>
    </w:p>
    <w:p w14:paraId="2F5C673B">
      <w:pPr>
        <w:spacing w:line="360" w:lineRule="auto"/>
        <w:jc w:val="center"/>
        <w:rPr>
          <w:b/>
          <w:bCs/>
          <w:color w:val="auto"/>
          <w:szCs w:val="21"/>
          <w:highlight w:val="none"/>
        </w:rPr>
      </w:pPr>
    </w:p>
    <w:p w14:paraId="4E8F4DF5">
      <w:pPr>
        <w:spacing w:line="360" w:lineRule="auto"/>
        <w:rPr>
          <w:rFonts w:ascii="宋体" w:hAnsi="宋体" w:eastAsia="宋体"/>
          <w:b/>
          <w:color w:val="auto"/>
          <w:szCs w:val="21"/>
          <w:highlight w:val="none"/>
          <w:u w:val="single"/>
        </w:rPr>
      </w:pPr>
      <w:r>
        <w:rPr>
          <w:rFonts w:ascii="宋体" w:hAnsi="宋体" w:eastAsia="宋体"/>
          <w:b/>
          <w:color w:val="auto"/>
          <w:szCs w:val="21"/>
          <w:highlight w:val="none"/>
        </w:rPr>
        <w:t>投标人：（电子签章）_________________</w:t>
      </w:r>
      <w:r>
        <w:rPr>
          <w:rFonts w:hint="eastAsia" w:ascii="宋体" w:hAnsi="宋体" w:eastAsia="宋体"/>
          <w:color w:val="auto"/>
          <w:szCs w:val="21"/>
          <w:highlight w:val="none"/>
        </w:rPr>
        <w:t>项目</w:t>
      </w:r>
      <w:r>
        <w:rPr>
          <w:rFonts w:ascii="宋体" w:hAnsi="宋体" w:eastAsia="宋体"/>
          <w:color w:val="auto"/>
          <w:szCs w:val="21"/>
          <w:highlight w:val="none"/>
        </w:rPr>
        <w:t>编号：</w:t>
      </w:r>
      <w:r>
        <w:rPr>
          <w:rFonts w:hint="eastAsia" w:ascii="宋体" w:hAnsi="宋体" w:eastAsia="宋体"/>
          <w:b/>
          <w:color w:val="auto"/>
          <w:szCs w:val="21"/>
          <w:highlight w:val="none"/>
          <w:u w:val="single"/>
        </w:rPr>
        <w:t xml:space="preserve">                 </w:t>
      </w:r>
    </w:p>
    <w:tbl>
      <w:tblPr>
        <w:tblStyle w:val="7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577"/>
        <w:gridCol w:w="662"/>
        <w:gridCol w:w="468"/>
        <w:gridCol w:w="851"/>
        <w:gridCol w:w="9"/>
        <w:gridCol w:w="416"/>
        <w:gridCol w:w="641"/>
        <w:gridCol w:w="68"/>
        <w:gridCol w:w="709"/>
        <w:gridCol w:w="189"/>
        <w:gridCol w:w="1194"/>
      </w:tblGrid>
      <w:tr w14:paraId="3EAF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14:paraId="3E2E0029">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姓名</w:t>
            </w:r>
          </w:p>
        </w:tc>
        <w:tc>
          <w:tcPr>
            <w:tcW w:w="1242" w:type="dxa"/>
            <w:tcBorders>
              <w:top w:val="single" w:color="auto" w:sz="4" w:space="0"/>
              <w:left w:val="single" w:color="auto" w:sz="4" w:space="0"/>
              <w:bottom w:val="single" w:color="auto" w:sz="4" w:space="0"/>
              <w:right w:val="single" w:color="auto" w:sz="4" w:space="0"/>
            </w:tcBorders>
            <w:vAlign w:val="center"/>
          </w:tcPr>
          <w:p w14:paraId="316CD109">
            <w:pPr>
              <w:spacing w:line="360" w:lineRule="auto"/>
              <w:jc w:val="center"/>
              <w:rPr>
                <w:rFonts w:ascii="宋体" w:hAnsi="宋体" w:eastAsia="宋体"/>
                <w:color w:val="auto"/>
                <w:szCs w:val="21"/>
                <w:highlight w:val="none"/>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7FC92E0">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性别</w:t>
            </w:r>
          </w:p>
        </w:tc>
        <w:tc>
          <w:tcPr>
            <w:tcW w:w="702" w:type="dxa"/>
            <w:tcBorders>
              <w:top w:val="single" w:color="auto" w:sz="4" w:space="0"/>
              <w:left w:val="single" w:color="auto" w:sz="4" w:space="0"/>
              <w:bottom w:val="single" w:color="auto" w:sz="4" w:space="0"/>
              <w:right w:val="single" w:color="auto" w:sz="4" w:space="0"/>
            </w:tcBorders>
            <w:vAlign w:val="center"/>
          </w:tcPr>
          <w:p w14:paraId="003DD8B6">
            <w:pPr>
              <w:spacing w:line="360" w:lineRule="auto"/>
              <w:jc w:val="center"/>
              <w:rPr>
                <w:rFonts w:ascii="宋体" w:hAnsi="宋体" w:eastAsia="宋体"/>
                <w:color w:val="auto"/>
                <w:szCs w:val="21"/>
                <w:highlight w:val="none"/>
              </w:rPr>
            </w:pP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7B13D10D">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年龄</w:t>
            </w: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5EDB412B">
            <w:pPr>
              <w:spacing w:line="360" w:lineRule="auto"/>
              <w:jc w:val="center"/>
              <w:rPr>
                <w:rFonts w:ascii="宋体" w:hAnsi="宋体" w:eastAsia="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4B2E711">
            <w:pPr>
              <w:spacing w:line="360" w:lineRule="auto"/>
              <w:ind w:right="-97" w:rightChars="-46"/>
              <w:jc w:val="center"/>
              <w:rPr>
                <w:rFonts w:ascii="宋体" w:hAnsi="宋体" w:eastAsia="宋体"/>
                <w:color w:val="auto"/>
                <w:szCs w:val="21"/>
                <w:highlight w:val="none"/>
              </w:rPr>
            </w:pPr>
            <w:r>
              <w:rPr>
                <w:rFonts w:ascii="宋体" w:hAnsi="宋体" w:eastAsia="宋体"/>
                <w:color w:val="auto"/>
                <w:szCs w:val="21"/>
                <w:highlight w:val="none"/>
              </w:rPr>
              <w:t>学历</w:t>
            </w: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5AFCD4D6">
            <w:pPr>
              <w:spacing w:line="360" w:lineRule="auto"/>
              <w:jc w:val="center"/>
              <w:rPr>
                <w:rFonts w:ascii="宋体" w:hAnsi="宋体" w:eastAsia="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B9BA070">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职称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0BA422E5">
            <w:pPr>
              <w:spacing w:line="360" w:lineRule="auto"/>
              <w:jc w:val="center"/>
              <w:rPr>
                <w:rFonts w:ascii="宋体" w:hAnsi="宋体" w:eastAsia="宋体"/>
                <w:color w:val="auto"/>
                <w:szCs w:val="21"/>
                <w:highlight w:val="none"/>
              </w:rPr>
            </w:pPr>
          </w:p>
        </w:tc>
      </w:tr>
      <w:tr w14:paraId="6120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14:paraId="4A346E00">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职务</w:t>
            </w:r>
          </w:p>
        </w:tc>
        <w:tc>
          <w:tcPr>
            <w:tcW w:w="1242" w:type="dxa"/>
            <w:tcBorders>
              <w:top w:val="single" w:color="auto" w:sz="4" w:space="0"/>
              <w:left w:val="single" w:color="auto" w:sz="4" w:space="0"/>
              <w:bottom w:val="single" w:color="auto" w:sz="4" w:space="0"/>
              <w:right w:val="single" w:color="auto" w:sz="4" w:space="0"/>
            </w:tcBorders>
            <w:vAlign w:val="center"/>
          </w:tcPr>
          <w:p w14:paraId="388DACB2">
            <w:pPr>
              <w:spacing w:line="360" w:lineRule="auto"/>
              <w:jc w:val="center"/>
              <w:rPr>
                <w:rFonts w:ascii="宋体" w:hAnsi="宋体" w:eastAsia="宋体"/>
                <w:color w:val="auto"/>
                <w:szCs w:val="21"/>
                <w:highlight w:val="none"/>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14:paraId="34A3C2F9">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参加工作</w:t>
            </w:r>
          </w:p>
          <w:p w14:paraId="1714AFE8">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时间</w:t>
            </w:r>
          </w:p>
        </w:tc>
        <w:tc>
          <w:tcPr>
            <w:tcW w:w="1808" w:type="dxa"/>
            <w:gridSpan w:val="4"/>
            <w:tcBorders>
              <w:top w:val="single" w:color="auto" w:sz="4" w:space="0"/>
              <w:left w:val="single" w:color="auto" w:sz="4" w:space="0"/>
              <w:bottom w:val="single" w:color="auto" w:sz="4" w:space="0"/>
              <w:right w:val="single" w:color="auto" w:sz="4" w:space="0"/>
            </w:tcBorders>
          </w:tcPr>
          <w:p w14:paraId="31DBB965">
            <w:pPr>
              <w:tabs>
                <w:tab w:val="left" w:pos="632"/>
              </w:tabs>
              <w:spacing w:line="360" w:lineRule="auto"/>
              <w:jc w:val="center"/>
              <w:rPr>
                <w:rFonts w:ascii="宋体" w:hAnsi="宋体" w:eastAsia="宋体"/>
                <w:color w:val="auto"/>
                <w:szCs w:val="21"/>
                <w:highlight w:val="none"/>
              </w:rPr>
            </w:pPr>
            <w:r>
              <w:rPr>
                <w:rFonts w:ascii="宋体" w:hAnsi="宋体" w:eastAsia="宋体"/>
                <w:color w:val="auto"/>
                <w:szCs w:val="21"/>
                <w:highlight w:val="none"/>
              </w:rPr>
              <w:t>年  月  日</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20380D5D">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从事类似</w:t>
            </w:r>
          </w:p>
          <w:p w14:paraId="4E209E43">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工作年限</w:t>
            </w:r>
          </w:p>
        </w:tc>
        <w:tc>
          <w:tcPr>
            <w:tcW w:w="2801" w:type="dxa"/>
            <w:gridSpan w:val="5"/>
            <w:tcBorders>
              <w:top w:val="single" w:color="auto" w:sz="4" w:space="0"/>
              <w:left w:val="single" w:color="auto" w:sz="4" w:space="0"/>
              <w:bottom w:val="single" w:color="auto" w:sz="4" w:space="0"/>
              <w:right w:val="single" w:color="auto" w:sz="4" w:space="0"/>
            </w:tcBorders>
            <w:vAlign w:val="center"/>
          </w:tcPr>
          <w:p w14:paraId="5668470E">
            <w:pPr>
              <w:spacing w:line="360" w:lineRule="auto"/>
              <w:jc w:val="center"/>
              <w:rPr>
                <w:rFonts w:ascii="宋体" w:hAnsi="宋体" w:eastAsia="宋体"/>
                <w:color w:val="auto"/>
                <w:szCs w:val="21"/>
                <w:highlight w:val="none"/>
              </w:rPr>
            </w:pPr>
          </w:p>
        </w:tc>
      </w:tr>
      <w:tr w14:paraId="61F8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288" w:type="dxa"/>
            <w:gridSpan w:val="18"/>
            <w:tcBorders>
              <w:top w:val="single" w:color="auto" w:sz="4" w:space="0"/>
              <w:left w:val="single" w:color="auto" w:sz="4" w:space="0"/>
              <w:bottom w:val="single" w:color="auto" w:sz="4" w:space="0"/>
              <w:right w:val="single" w:color="auto" w:sz="4" w:space="0"/>
            </w:tcBorders>
            <w:vAlign w:val="center"/>
          </w:tcPr>
          <w:p w14:paraId="48443552">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近三年负责完成的类似主要项目情况</w:t>
            </w:r>
          </w:p>
        </w:tc>
      </w:tr>
      <w:tr w14:paraId="088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7" w:type="dxa"/>
            <w:tcBorders>
              <w:top w:val="single" w:color="auto" w:sz="4" w:space="0"/>
              <w:left w:val="single" w:color="auto" w:sz="4" w:space="0"/>
              <w:bottom w:val="single" w:color="auto" w:sz="4" w:space="0"/>
              <w:right w:val="single" w:color="auto" w:sz="4" w:space="0"/>
            </w:tcBorders>
            <w:vAlign w:val="center"/>
          </w:tcPr>
          <w:p w14:paraId="18AE57CB">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序号</w:t>
            </w:r>
          </w:p>
        </w:tc>
        <w:tc>
          <w:tcPr>
            <w:tcW w:w="1791" w:type="dxa"/>
            <w:gridSpan w:val="3"/>
            <w:tcBorders>
              <w:top w:val="single" w:color="auto" w:sz="4" w:space="0"/>
              <w:left w:val="single" w:color="auto" w:sz="4" w:space="0"/>
              <w:bottom w:val="single" w:color="auto" w:sz="4" w:space="0"/>
              <w:right w:val="single" w:color="auto" w:sz="4" w:space="0"/>
            </w:tcBorders>
            <w:vAlign w:val="center"/>
          </w:tcPr>
          <w:p w14:paraId="69E6A61F">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14:paraId="480A1069">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项目名称</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83955A8">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项目内容</w:t>
            </w:r>
          </w:p>
        </w:tc>
        <w:tc>
          <w:tcPr>
            <w:tcW w:w="1328" w:type="dxa"/>
            <w:gridSpan w:val="3"/>
            <w:tcBorders>
              <w:top w:val="single" w:color="auto" w:sz="4" w:space="0"/>
              <w:left w:val="single" w:color="auto" w:sz="4" w:space="0"/>
              <w:bottom w:val="single" w:color="auto" w:sz="4" w:space="0"/>
              <w:right w:val="single" w:color="auto" w:sz="4" w:space="0"/>
            </w:tcBorders>
            <w:vAlign w:val="center"/>
          </w:tcPr>
          <w:p w14:paraId="3A2C5C70">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委托日期</w:t>
            </w:r>
          </w:p>
        </w:tc>
        <w:tc>
          <w:tcPr>
            <w:tcW w:w="1057" w:type="dxa"/>
            <w:gridSpan w:val="2"/>
            <w:tcBorders>
              <w:top w:val="single" w:color="auto" w:sz="4" w:space="0"/>
              <w:left w:val="single" w:color="auto" w:sz="4" w:space="0"/>
              <w:right w:val="single" w:color="auto" w:sz="4" w:space="0"/>
            </w:tcBorders>
            <w:vAlign w:val="center"/>
          </w:tcPr>
          <w:p w14:paraId="53DA0108">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项目评估金额</w:t>
            </w:r>
          </w:p>
        </w:tc>
        <w:tc>
          <w:tcPr>
            <w:tcW w:w="966" w:type="dxa"/>
            <w:gridSpan w:val="3"/>
            <w:tcBorders>
              <w:top w:val="single" w:color="auto" w:sz="4" w:space="0"/>
              <w:left w:val="single" w:color="auto" w:sz="4" w:space="0"/>
              <w:right w:val="single" w:color="auto" w:sz="4" w:space="0"/>
            </w:tcBorders>
            <w:vAlign w:val="center"/>
          </w:tcPr>
          <w:p w14:paraId="253E9993">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联系人</w:t>
            </w:r>
          </w:p>
        </w:tc>
        <w:tc>
          <w:tcPr>
            <w:tcW w:w="1194" w:type="dxa"/>
            <w:tcBorders>
              <w:top w:val="single" w:color="auto" w:sz="4" w:space="0"/>
              <w:left w:val="single" w:color="auto" w:sz="4" w:space="0"/>
              <w:right w:val="single" w:color="auto" w:sz="4" w:space="0"/>
            </w:tcBorders>
            <w:vAlign w:val="center"/>
          </w:tcPr>
          <w:p w14:paraId="08F3F2D6">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联系电话</w:t>
            </w:r>
          </w:p>
        </w:tc>
      </w:tr>
      <w:tr w14:paraId="3D89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477" w:type="dxa"/>
            <w:tcBorders>
              <w:top w:val="single" w:color="auto" w:sz="4" w:space="0"/>
              <w:left w:val="single" w:color="auto" w:sz="4" w:space="0"/>
              <w:bottom w:val="single" w:color="auto" w:sz="4" w:space="0"/>
              <w:right w:val="single" w:color="auto" w:sz="4" w:space="0"/>
            </w:tcBorders>
            <w:vAlign w:val="center"/>
          </w:tcPr>
          <w:p w14:paraId="6657BB43">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791" w:type="dxa"/>
            <w:gridSpan w:val="3"/>
            <w:tcBorders>
              <w:top w:val="single" w:color="auto" w:sz="4" w:space="0"/>
              <w:left w:val="single" w:color="auto" w:sz="4" w:space="0"/>
              <w:bottom w:val="single" w:color="auto" w:sz="4" w:space="0"/>
              <w:right w:val="single" w:color="auto" w:sz="4" w:space="0"/>
            </w:tcBorders>
            <w:vAlign w:val="center"/>
          </w:tcPr>
          <w:p w14:paraId="1EAC4AB4">
            <w:pPr>
              <w:spacing w:line="360" w:lineRule="auto"/>
              <w:jc w:val="center"/>
              <w:rPr>
                <w:rFonts w:ascii="宋体" w:hAnsi="宋体" w:eastAsia="宋体"/>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14:paraId="75455F22">
            <w:pPr>
              <w:spacing w:line="360" w:lineRule="auto"/>
              <w:jc w:val="center"/>
              <w:rPr>
                <w:rFonts w:ascii="宋体" w:hAnsi="宋体" w:eastAsia="宋体"/>
                <w:color w:val="auto"/>
                <w:szCs w:val="21"/>
                <w:highlight w:val="none"/>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1BD8258">
            <w:pPr>
              <w:spacing w:line="360" w:lineRule="auto"/>
              <w:jc w:val="center"/>
              <w:rPr>
                <w:rFonts w:ascii="宋体" w:hAnsi="宋体" w:eastAsia="宋体"/>
                <w:color w:val="auto"/>
                <w:szCs w:val="21"/>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14:paraId="4B9DC0DB">
            <w:pPr>
              <w:spacing w:line="360" w:lineRule="auto"/>
              <w:jc w:val="center"/>
              <w:rPr>
                <w:rFonts w:ascii="宋体" w:hAnsi="宋体" w:eastAsia="宋体"/>
                <w:color w:val="auto"/>
                <w:szCs w:val="21"/>
                <w:highlight w:val="none"/>
              </w:rPr>
            </w:pPr>
          </w:p>
        </w:tc>
        <w:tc>
          <w:tcPr>
            <w:tcW w:w="1057" w:type="dxa"/>
            <w:gridSpan w:val="2"/>
            <w:tcBorders>
              <w:left w:val="single" w:color="auto" w:sz="4" w:space="0"/>
              <w:right w:val="single" w:color="auto" w:sz="4" w:space="0"/>
            </w:tcBorders>
            <w:vAlign w:val="center"/>
          </w:tcPr>
          <w:p w14:paraId="74328C87">
            <w:pPr>
              <w:spacing w:line="360" w:lineRule="auto"/>
              <w:jc w:val="center"/>
              <w:rPr>
                <w:rFonts w:ascii="宋体" w:hAnsi="宋体" w:eastAsia="宋体"/>
                <w:color w:val="auto"/>
                <w:szCs w:val="21"/>
                <w:highlight w:val="none"/>
              </w:rPr>
            </w:pPr>
          </w:p>
        </w:tc>
        <w:tc>
          <w:tcPr>
            <w:tcW w:w="966" w:type="dxa"/>
            <w:gridSpan w:val="3"/>
            <w:tcBorders>
              <w:left w:val="single" w:color="auto" w:sz="4" w:space="0"/>
              <w:right w:val="single" w:color="auto" w:sz="4" w:space="0"/>
            </w:tcBorders>
            <w:vAlign w:val="center"/>
          </w:tcPr>
          <w:p w14:paraId="2DBFD5AE">
            <w:pPr>
              <w:spacing w:line="360" w:lineRule="auto"/>
              <w:jc w:val="center"/>
              <w:rPr>
                <w:rFonts w:ascii="宋体" w:hAnsi="宋体" w:eastAsia="宋体"/>
                <w:color w:val="auto"/>
                <w:szCs w:val="21"/>
                <w:highlight w:val="none"/>
              </w:rPr>
            </w:pPr>
          </w:p>
        </w:tc>
        <w:tc>
          <w:tcPr>
            <w:tcW w:w="1194" w:type="dxa"/>
            <w:tcBorders>
              <w:left w:val="single" w:color="auto" w:sz="4" w:space="0"/>
              <w:right w:val="single" w:color="auto" w:sz="4" w:space="0"/>
            </w:tcBorders>
            <w:vAlign w:val="center"/>
          </w:tcPr>
          <w:p w14:paraId="0E08B22A">
            <w:pPr>
              <w:spacing w:line="360" w:lineRule="auto"/>
              <w:jc w:val="center"/>
              <w:rPr>
                <w:rFonts w:ascii="宋体" w:hAnsi="宋体" w:eastAsia="宋体"/>
                <w:color w:val="auto"/>
                <w:szCs w:val="21"/>
                <w:highlight w:val="none"/>
              </w:rPr>
            </w:pPr>
          </w:p>
        </w:tc>
      </w:tr>
      <w:tr w14:paraId="775D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14:paraId="250BE0A1">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2</w:t>
            </w:r>
          </w:p>
        </w:tc>
        <w:tc>
          <w:tcPr>
            <w:tcW w:w="1791" w:type="dxa"/>
            <w:gridSpan w:val="3"/>
            <w:tcBorders>
              <w:top w:val="single" w:color="auto" w:sz="4" w:space="0"/>
              <w:left w:val="single" w:color="auto" w:sz="4" w:space="0"/>
              <w:bottom w:val="single" w:color="auto" w:sz="4" w:space="0"/>
              <w:right w:val="single" w:color="auto" w:sz="4" w:space="0"/>
            </w:tcBorders>
            <w:vAlign w:val="center"/>
          </w:tcPr>
          <w:p w14:paraId="5890D66A">
            <w:pPr>
              <w:spacing w:line="360" w:lineRule="auto"/>
              <w:jc w:val="center"/>
              <w:rPr>
                <w:rFonts w:ascii="宋体" w:hAnsi="宋体" w:eastAsia="宋体"/>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14:paraId="77FCFD17">
            <w:pPr>
              <w:spacing w:line="360" w:lineRule="auto"/>
              <w:jc w:val="center"/>
              <w:rPr>
                <w:rFonts w:ascii="宋体" w:hAnsi="宋体" w:eastAsia="宋体"/>
                <w:color w:val="auto"/>
                <w:szCs w:val="21"/>
                <w:highlight w:val="none"/>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E1D0245">
            <w:pPr>
              <w:spacing w:line="360" w:lineRule="auto"/>
              <w:jc w:val="center"/>
              <w:rPr>
                <w:rFonts w:ascii="宋体" w:hAnsi="宋体" w:eastAsia="宋体"/>
                <w:color w:val="auto"/>
                <w:szCs w:val="21"/>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14:paraId="327E6B62">
            <w:pPr>
              <w:spacing w:line="360" w:lineRule="auto"/>
              <w:jc w:val="center"/>
              <w:rPr>
                <w:rFonts w:ascii="宋体" w:hAnsi="宋体" w:eastAsia="宋体"/>
                <w:color w:val="auto"/>
                <w:szCs w:val="21"/>
                <w:highlight w:val="none"/>
              </w:rPr>
            </w:pPr>
          </w:p>
        </w:tc>
        <w:tc>
          <w:tcPr>
            <w:tcW w:w="1057" w:type="dxa"/>
            <w:gridSpan w:val="2"/>
            <w:tcBorders>
              <w:left w:val="single" w:color="auto" w:sz="4" w:space="0"/>
              <w:right w:val="single" w:color="auto" w:sz="4" w:space="0"/>
            </w:tcBorders>
            <w:vAlign w:val="center"/>
          </w:tcPr>
          <w:p w14:paraId="6746B09A">
            <w:pPr>
              <w:spacing w:line="360" w:lineRule="auto"/>
              <w:jc w:val="center"/>
              <w:rPr>
                <w:rFonts w:ascii="宋体" w:hAnsi="宋体" w:eastAsia="宋体"/>
                <w:color w:val="auto"/>
                <w:szCs w:val="21"/>
                <w:highlight w:val="none"/>
              </w:rPr>
            </w:pPr>
          </w:p>
        </w:tc>
        <w:tc>
          <w:tcPr>
            <w:tcW w:w="966" w:type="dxa"/>
            <w:gridSpan w:val="3"/>
            <w:tcBorders>
              <w:left w:val="single" w:color="auto" w:sz="4" w:space="0"/>
              <w:right w:val="single" w:color="auto" w:sz="4" w:space="0"/>
            </w:tcBorders>
            <w:vAlign w:val="center"/>
          </w:tcPr>
          <w:p w14:paraId="03AFC382">
            <w:pPr>
              <w:spacing w:line="360" w:lineRule="auto"/>
              <w:jc w:val="center"/>
              <w:rPr>
                <w:rFonts w:ascii="宋体" w:hAnsi="宋体" w:eastAsia="宋体"/>
                <w:color w:val="auto"/>
                <w:szCs w:val="21"/>
                <w:highlight w:val="none"/>
              </w:rPr>
            </w:pPr>
          </w:p>
        </w:tc>
        <w:tc>
          <w:tcPr>
            <w:tcW w:w="1194" w:type="dxa"/>
            <w:tcBorders>
              <w:left w:val="single" w:color="auto" w:sz="4" w:space="0"/>
              <w:right w:val="single" w:color="auto" w:sz="4" w:space="0"/>
            </w:tcBorders>
            <w:vAlign w:val="center"/>
          </w:tcPr>
          <w:p w14:paraId="47A00AB1">
            <w:pPr>
              <w:spacing w:line="360" w:lineRule="auto"/>
              <w:jc w:val="center"/>
              <w:rPr>
                <w:rFonts w:ascii="宋体" w:hAnsi="宋体" w:eastAsia="宋体"/>
                <w:color w:val="auto"/>
                <w:szCs w:val="21"/>
                <w:highlight w:val="none"/>
              </w:rPr>
            </w:pPr>
          </w:p>
        </w:tc>
      </w:tr>
      <w:tr w14:paraId="5B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14:paraId="7A06C25A">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3</w:t>
            </w:r>
          </w:p>
        </w:tc>
        <w:tc>
          <w:tcPr>
            <w:tcW w:w="1791" w:type="dxa"/>
            <w:gridSpan w:val="3"/>
            <w:tcBorders>
              <w:top w:val="single" w:color="auto" w:sz="4" w:space="0"/>
              <w:left w:val="single" w:color="auto" w:sz="4" w:space="0"/>
              <w:bottom w:val="single" w:color="auto" w:sz="4" w:space="0"/>
              <w:right w:val="single" w:color="auto" w:sz="4" w:space="0"/>
            </w:tcBorders>
            <w:vAlign w:val="center"/>
          </w:tcPr>
          <w:p w14:paraId="646042E5">
            <w:pPr>
              <w:spacing w:line="360" w:lineRule="auto"/>
              <w:jc w:val="center"/>
              <w:rPr>
                <w:rFonts w:ascii="宋体" w:hAnsi="宋体" w:eastAsia="宋体"/>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14:paraId="4E326909">
            <w:pPr>
              <w:spacing w:line="360" w:lineRule="auto"/>
              <w:jc w:val="center"/>
              <w:rPr>
                <w:rFonts w:ascii="宋体" w:hAnsi="宋体" w:eastAsia="宋体"/>
                <w:color w:val="auto"/>
                <w:szCs w:val="21"/>
                <w:highlight w:val="none"/>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F34EDC2">
            <w:pPr>
              <w:spacing w:line="360" w:lineRule="auto"/>
              <w:jc w:val="center"/>
              <w:rPr>
                <w:rFonts w:ascii="宋体" w:hAnsi="宋体" w:eastAsia="宋体"/>
                <w:color w:val="auto"/>
                <w:szCs w:val="21"/>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14:paraId="37F98EFC">
            <w:pPr>
              <w:spacing w:line="360" w:lineRule="auto"/>
              <w:jc w:val="center"/>
              <w:rPr>
                <w:rFonts w:ascii="宋体" w:hAnsi="宋体" w:eastAsia="宋体"/>
                <w:color w:val="auto"/>
                <w:szCs w:val="21"/>
                <w:highlight w:val="none"/>
              </w:rPr>
            </w:pPr>
          </w:p>
        </w:tc>
        <w:tc>
          <w:tcPr>
            <w:tcW w:w="1057" w:type="dxa"/>
            <w:gridSpan w:val="2"/>
            <w:tcBorders>
              <w:left w:val="single" w:color="auto" w:sz="4" w:space="0"/>
              <w:right w:val="single" w:color="auto" w:sz="4" w:space="0"/>
            </w:tcBorders>
            <w:vAlign w:val="center"/>
          </w:tcPr>
          <w:p w14:paraId="260E1BFA">
            <w:pPr>
              <w:spacing w:line="360" w:lineRule="auto"/>
              <w:jc w:val="center"/>
              <w:rPr>
                <w:rFonts w:ascii="宋体" w:hAnsi="宋体" w:eastAsia="宋体"/>
                <w:color w:val="auto"/>
                <w:szCs w:val="21"/>
                <w:highlight w:val="none"/>
              </w:rPr>
            </w:pPr>
          </w:p>
        </w:tc>
        <w:tc>
          <w:tcPr>
            <w:tcW w:w="966" w:type="dxa"/>
            <w:gridSpan w:val="3"/>
            <w:tcBorders>
              <w:left w:val="single" w:color="auto" w:sz="4" w:space="0"/>
              <w:right w:val="single" w:color="auto" w:sz="4" w:space="0"/>
            </w:tcBorders>
            <w:vAlign w:val="center"/>
          </w:tcPr>
          <w:p w14:paraId="0C903961">
            <w:pPr>
              <w:spacing w:line="360" w:lineRule="auto"/>
              <w:jc w:val="center"/>
              <w:rPr>
                <w:rFonts w:ascii="宋体" w:hAnsi="宋体" w:eastAsia="宋体"/>
                <w:color w:val="auto"/>
                <w:szCs w:val="21"/>
                <w:highlight w:val="none"/>
              </w:rPr>
            </w:pPr>
          </w:p>
        </w:tc>
        <w:tc>
          <w:tcPr>
            <w:tcW w:w="1194" w:type="dxa"/>
            <w:tcBorders>
              <w:left w:val="single" w:color="auto" w:sz="4" w:space="0"/>
              <w:right w:val="single" w:color="auto" w:sz="4" w:space="0"/>
            </w:tcBorders>
            <w:vAlign w:val="center"/>
          </w:tcPr>
          <w:p w14:paraId="064A25EA">
            <w:pPr>
              <w:spacing w:line="360" w:lineRule="auto"/>
              <w:jc w:val="center"/>
              <w:rPr>
                <w:rFonts w:ascii="宋体" w:hAnsi="宋体" w:eastAsia="宋体"/>
                <w:color w:val="auto"/>
                <w:szCs w:val="21"/>
                <w:highlight w:val="none"/>
              </w:rPr>
            </w:pPr>
          </w:p>
        </w:tc>
      </w:tr>
    </w:tbl>
    <w:p w14:paraId="1E1FEE05">
      <w:pPr>
        <w:pStyle w:val="42"/>
        <w:spacing w:line="360" w:lineRule="auto"/>
        <w:ind w:hanging="142"/>
        <w:rPr>
          <w:rFonts w:hAnsi="宋体"/>
          <w:b/>
          <w:color w:val="auto"/>
          <w:szCs w:val="21"/>
          <w:highlight w:val="none"/>
        </w:rPr>
      </w:pPr>
      <w:r>
        <w:rPr>
          <w:rFonts w:hAnsi="宋体"/>
          <w:b/>
          <w:color w:val="auto"/>
          <w:szCs w:val="21"/>
          <w:highlight w:val="none"/>
        </w:rPr>
        <w:t>注：1.如有技术等级或职称证书，需将证书扫描件附于表后；</w:t>
      </w:r>
    </w:p>
    <w:p w14:paraId="601F66AC">
      <w:pPr>
        <w:pStyle w:val="42"/>
        <w:spacing w:line="360" w:lineRule="auto"/>
        <w:ind w:hanging="142"/>
        <w:rPr>
          <w:rFonts w:hAnsi="宋体"/>
          <w:b/>
          <w:color w:val="auto"/>
          <w:szCs w:val="21"/>
          <w:highlight w:val="none"/>
        </w:rPr>
      </w:pPr>
      <w:r>
        <w:rPr>
          <w:rFonts w:hAnsi="宋体"/>
          <w:b/>
          <w:color w:val="auto"/>
          <w:szCs w:val="21"/>
          <w:highlight w:val="none"/>
        </w:rPr>
        <w:t xml:space="preserve">    2.在投标文件中需提供相关证书扫描件。</w:t>
      </w:r>
    </w:p>
    <w:p w14:paraId="707E9AA7">
      <w:pPr>
        <w:pStyle w:val="42"/>
        <w:spacing w:line="360" w:lineRule="auto"/>
        <w:ind w:firstLine="282" w:firstLineChars="134"/>
        <w:rPr>
          <w:rFonts w:hAnsi="宋体"/>
          <w:b/>
          <w:color w:val="auto"/>
          <w:szCs w:val="21"/>
          <w:highlight w:val="none"/>
        </w:rPr>
      </w:pPr>
      <w:r>
        <w:rPr>
          <w:rFonts w:hAnsi="宋体"/>
          <w:b/>
          <w:color w:val="auto"/>
          <w:szCs w:val="21"/>
          <w:highlight w:val="none"/>
        </w:rPr>
        <w:t>3.此表在不改变格式内容的情况下，可自行制作。</w:t>
      </w:r>
    </w:p>
    <w:p w14:paraId="505528A5">
      <w:pPr>
        <w:spacing w:line="360" w:lineRule="auto"/>
        <w:jc w:val="center"/>
        <w:rPr>
          <w:rFonts w:ascii="宋体" w:hAnsi="宋体" w:eastAsia="宋体"/>
          <w:b/>
          <w:bCs/>
          <w:color w:val="auto"/>
          <w:szCs w:val="21"/>
          <w:highlight w:val="none"/>
        </w:rPr>
      </w:pPr>
    </w:p>
    <w:p w14:paraId="51F34883">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项目组成主要成员表</w:t>
      </w:r>
    </w:p>
    <w:p w14:paraId="2D629967">
      <w:pPr>
        <w:spacing w:line="360" w:lineRule="auto"/>
        <w:rPr>
          <w:rFonts w:ascii="宋体" w:hAnsi="宋体" w:eastAsia="宋体"/>
          <w:b/>
          <w:color w:val="auto"/>
          <w:szCs w:val="21"/>
          <w:highlight w:val="none"/>
          <w:u w:val="single"/>
        </w:rPr>
      </w:pPr>
      <w:r>
        <w:rPr>
          <w:rFonts w:ascii="宋体" w:hAnsi="宋体" w:eastAsia="宋体"/>
          <w:b/>
          <w:color w:val="auto"/>
          <w:szCs w:val="21"/>
          <w:highlight w:val="none"/>
        </w:rPr>
        <w:t>投标人：（电子签章）_________________</w:t>
      </w:r>
      <w:r>
        <w:rPr>
          <w:rFonts w:hint="eastAsia" w:ascii="宋体" w:hAnsi="宋体" w:eastAsia="宋体"/>
          <w:color w:val="auto"/>
          <w:szCs w:val="21"/>
          <w:highlight w:val="none"/>
        </w:rPr>
        <w:t>项目</w:t>
      </w:r>
      <w:r>
        <w:rPr>
          <w:rFonts w:ascii="宋体" w:hAnsi="宋体" w:eastAsia="宋体"/>
          <w:color w:val="auto"/>
          <w:szCs w:val="21"/>
          <w:highlight w:val="none"/>
        </w:rPr>
        <w:t>编号：</w:t>
      </w:r>
      <w:r>
        <w:rPr>
          <w:rFonts w:hint="eastAsia" w:ascii="宋体" w:hAnsi="宋体" w:eastAsia="宋体"/>
          <w:b/>
          <w:color w:val="auto"/>
          <w:szCs w:val="21"/>
          <w:highlight w:val="none"/>
          <w:u w:val="single"/>
        </w:rPr>
        <w:t xml:space="preserve">                 </w:t>
      </w:r>
    </w:p>
    <w:tbl>
      <w:tblPr>
        <w:tblStyle w:val="7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33"/>
        <w:gridCol w:w="992"/>
        <w:gridCol w:w="1985"/>
        <w:gridCol w:w="992"/>
        <w:gridCol w:w="1418"/>
        <w:gridCol w:w="934"/>
      </w:tblGrid>
      <w:tr w14:paraId="02AC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14:paraId="3441F17C">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序号</w:t>
            </w:r>
          </w:p>
        </w:tc>
        <w:tc>
          <w:tcPr>
            <w:tcW w:w="1933" w:type="dxa"/>
            <w:tcBorders>
              <w:top w:val="single" w:color="auto" w:sz="4" w:space="0"/>
              <w:left w:val="single" w:color="auto" w:sz="4" w:space="0"/>
              <w:bottom w:val="single" w:color="auto" w:sz="4" w:space="0"/>
              <w:right w:val="single" w:color="auto" w:sz="4" w:space="0"/>
            </w:tcBorders>
            <w:vAlign w:val="center"/>
          </w:tcPr>
          <w:p w14:paraId="5FD9BCB9">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7E1F5701">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性别</w:t>
            </w:r>
          </w:p>
        </w:tc>
        <w:tc>
          <w:tcPr>
            <w:tcW w:w="1985" w:type="dxa"/>
            <w:tcBorders>
              <w:top w:val="single" w:color="auto" w:sz="4" w:space="0"/>
              <w:left w:val="single" w:color="auto" w:sz="4" w:space="0"/>
              <w:bottom w:val="single" w:color="auto" w:sz="4" w:space="0"/>
              <w:right w:val="single" w:color="auto" w:sz="4" w:space="0"/>
            </w:tcBorders>
            <w:vAlign w:val="center"/>
          </w:tcPr>
          <w:p w14:paraId="730C5B0A">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技术等级或职称</w:t>
            </w:r>
          </w:p>
        </w:tc>
        <w:tc>
          <w:tcPr>
            <w:tcW w:w="992" w:type="dxa"/>
            <w:tcBorders>
              <w:top w:val="single" w:color="auto" w:sz="4" w:space="0"/>
              <w:left w:val="single" w:color="auto" w:sz="4" w:space="0"/>
              <w:bottom w:val="single" w:color="auto" w:sz="4" w:space="0"/>
              <w:right w:val="single" w:color="auto" w:sz="4" w:space="0"/>
            </w:tcBorders>
            <w:vAlign w:val="center"/>
          </w:tcPr>
          <w:p w14:paraId="44C7EB52">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岗位</w:t>
            </w:r>
          </w:p>
        </w:tc>
        <w:tc>
          <w:tcPr>
            <w:tcW w:w="1418" w:type="dxa"/>
            <w:tcBorders>
              <w:top w:val="single" w:color="auto" w:sz="4" w:space="0"/>
              <w:left w:val="single" w:color="auto" w:sz="4" w:space="0"/>
              <w:bottom w:val="single" w:color="auto" w:sz="4" w:space="0"/>
              <w:right w:val="single" w:color="auto" w:sz="4" w:space="0"/>
            </w:tcBorders>
            <w:vAlign w:val="center"/>
          </w:tcPr>
          <w:p w14:paraId="7C1C674E">
            <w:pPr>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从事该岗位时间</w:t>
            </w:r>
          </w:p>
        </w:tc>
        <w:tc>
          <w:tcPr>
            <w:tcW w:w="934" w:type="dxa"/>
            <w:tcBorders>
              <w:top w:val="single" w:color="auto" w:sz="4" w:space="0"/>
              <w:left w:val="single" w:color="auto" w:sz="4" w:space="0"/>
              <w:bottom w:val="single" w:color="auto" w:sz="4" w:space="0"/>
              <w:right w:val="single" w:color="auto" w:sz="4" w:space="0"/>
            </w:tcBorders>
            <w:vAlign w:val="center"/>
          </w:tcPr>
          <w:p w14:paraId="6E7D996C">
            <w:pPr>
              <w:tabs>
                <w:tab w:val="left" w:pos="510"/>
              </w:tabs>
              <w:spacing w:line="360" w:lineRule="auto"/>
              <w:jc w:val="center"/>
              <w:rPr>
                <w:rFonts w:ascii="宋体" w:hAnsi="宋体" w:eastAsia="宋体"/>
                <w:b/>
                <w:color w:val="auto"/>
                <w:szCs w:val="21"/>
                <w:highlight w:val="none"/>
              </w:rPr>
            </w:pPr>
            <w:r>
              <w:rPr>
                <w:rFonts w:ascii="宋体" w:hAnsi="宋体" w:eastAsia="宋体"/>
                <w:b/>
                <w:color w:val="auto"/>
                <w:szCs w:val="21"/>
                <w:highlight w:val="none"/>
              </w:rPr>
              <w:t>备注</w:t>
            </w:r>
          </w:p>
        </w:tc>
      </w:tr>
      <w:tr w14:paraId="593D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14:paraId="213A7324">
            <w:pPr>
              <w:spacing w:line="360" w:lineRule="auto"/>
              <w:jc w:val="center"/>
              <w:rPr>
                <w:rFonts w:ascii="宋体" w:hAnsi="宋体" w:eastAsia="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802E396">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A3AC2B7">
            <w:pPr>
              <w:spacing w:line="360" w:lineRule="auto"/>
              <w:jc w:val="center"/>
              <w:rPr>
                <w:rFonts w:ascii="宋体" w:hAnsi="宋体" w:eastAsia="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3B070C6">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C03A5D8">
            <w:pPr>
              <w:spacing w:line="360" w:lineRule="auto"/>
              <w:jc w:val="center"/>
              <w:rPr>
                <w:rFonts w:ascii="宋体" w:hAnsi="宋体" w:eastAsia="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705C220">
            <w:pPr>
              <w:spacing w:line="360" w:lineRule="auto"/>
              <w:jc w:val="center"/>
              <w:rPr>
                <w:rFonts w:ascii="宋体" w:hAnsi="宋体" w:eastAsia="宋体"/>
                <w:color w:val="auto"/>
                <w:szCs w:val="21"/>
                <w:highlight w:val="none"/>
              </w:rPr>
            </w:pPr>
          </w:p>
        </w:tc>
        <w:tc>
          <w:tcPr>
            <w:tcW w:w="934" w:type="dxa"/>
            <w:tcBorders>
              <w:top w:val="single" w:color="auto" w:sz="4" w:space="0"/>
              <w:left w:val="single" w:color="auto" w:sz="4" w:space="0"/>
              <w:right w:val="single" w:color="auto" w:sz="4" w:space="0"/>
            </w:tcBorders>
            <w:vAlign w:val="center"/>
          </w:tcPr>
          <w:p w14:paraId="3D5650AE">
            <w:pPr>
              <w:spacing w:line="360" w:lineRule="auto"/>
              <w:jc w:val="center"/>
              <w:rPr>
                <w:rFonts w:ascii="宋体" w:hAnsi="宋体" w:eastAsia="宋体"/>
                <w:b/>
                <w:color w:val="auto"/>
                <w:szCs w:val="21"/>
                <w:highlight w:val="none"/>
              </w:rPr>
            </w:pPr>
          </w:p>
        </w:tc>
      </w:tr>
      <w:tr w14:paraId="1A4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14:paraId="2A826558">
            <w:pPr>
              <w:spacing w:line="360" w:lineRule="auto"/>
              <w:jc w:val="center"/>
              <w:rPr>
                <w:rFonts w:ascii="宋体" w:hAnsi="宋体" w:eastAsia="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5C115CE">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9452EDC">
            <w:pPr>
              <w:spacing w:line="360" w:lineRule="auto"/>
              <w:jc w:val="center"/>
              <w:rPr>
                <w:rFonts w:ascii="宋体" w:hAnsi="宋体" w:eastAsia="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54D2949">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E1B5922">
            <w:pPr>
              <w:spacing w:line="360" w:lineRule="auto"/>
              <w:jc w:val="center"/>
              <w:rPr>
                <w:rFonts w:ascii="宋体" w:hAnsi="宋体" w:eastAsia="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11D8350">
            <w:pPr>
              <w:spacing w:line="360" w:lineRule="auto"/>
              <w:jc w:val="center"/>
              <w:rPr>
                <w:rFonts w:ascii="宋体" w:hAnsi="宋体" w:eastAsia="宋体"/>
                <w:color w:val="auto"/>
                <w:szCs w:val="21"/>
                <w:highlight w:val="none"/>
              </w:rPr>
            </w:pPr>
          </w:p>
        </w:tc>
        <w:tc>
          <w:tcPr>
            <w:tcW w:w="934" w:type="dxa"/>
            <w:tcBorders>
              <w:left w:val="single" w:color="auto" w:sz="4" w:space="0"/>
              <w:right w:val="single" w:color="auto" w:sz="4" w:space="0"/>
            </w:tcBorders>
            <w:vAlign w:val="center"/>
          </w:tcPr>
          <w:p w14:paraId="4EA69618">
            <w:pPr>
              <w:spacing w:line="360" w:lineRule="auto"/>
              <w:jc w:val="center"/>
              <w:rPr>
                <w:rFonts w:ascii="宋体" w:hAnsi="宋体" w:eastAsia="宋体"/>
                <w:color w:val="auto"/>
                <w:szCs w:val="21"/>
                <w:highlight w:val="none"/>
              </w:rPr>
            </w:pPr>
          </w:p>
        </w:tc>
      </w:tr>
      <w:tr w14:paraId="46F4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14:paraId="2B074694">
            <w:pPr>
              <w:spacing w:line="360" w:lineRule="auto"/>
              <w:jc w:val="center"/>
              <w:rPr>
                <w:rFonts w:ascii="宋体" w:hAnsi="宋体" w:eastAsia="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021F5DA">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D39427">
            <w:pPr>
              <w:spacing w:line="360" w:lineRule="auto"/>
              <w:jc w:val="center"/>
              <w:rPr>
                <w:rFonts w:ascii="宋体" w:hAnsi="宋体" w:eastAsia="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6348AF3">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8D6B345">
            <w:pPr>
              <w:spacing w:line="360" w:lineRule="auto"/>
              <w:jc w:val="center"/>
              <w:rPr>
                <w:rFonts w:ascii="宋体" w:hAnsi="宋体" w:eastAsia="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EA111EF">
            <w:pPr>
              <w:spacing w:line="360" w:lineRule="auto"/>
              <w:jc w:val="center"/>
              <w:rPr>
                <w:rFonts w:ascii="宋体" w:hAnsi="宋体" w:eastAsia="宋体"/>
                <w:color w:val="auto"/>
                <w:szCs w:val="21"/>
                <w:highlight w:val="none"/>
              </w:rPr>
            </w:pPr>
          </w:p>
        </w:tc>
        <w:tc>
          <w:tcPr>
            <w:tcW w:w="934" w:type="dxa"/>
            <w:tcBorders>
              <w:left w:val="single" w:color="auto" w:sz="4" w:space="0"/>
              <w:right w:val="single" w:color="auto" w:sz="4" w:space="0"/>
            </w:tcBorders>
            <w:vAlign w:val="center"/>
          </w:tcPr>
          <w:p w14:paraId="0BB4F75A">
            <w:pPr>
              <w:spacing w:line="360" w:lineRule="auto"/>
              <w:jc w:val="center"/>
              <w:rPr>
                <w:rFonts w:ascii="宋体" w:hAnsi="宋体" w:eastAsia="宋体"/>
                <w:color w:val="auto"/>
                <w:szCs w:val="21"/>
                <w:highlight w:val="none"/>
              </w:rPr>
            </w:pPr>
          </w:p>
        </w:tc>
      </w:tr>
      <w:tr w14:paraId="598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14:paraId="4CA1497C">
            <w:pPr>
              <w:spacing w:line="360" w:lineRule="auto"/>
              <w:jc w:val="center"/>
              <w:rPr>
                <w:rFonts w:ascii="宋体" w:hAnsi="宋体" w:eastAsia="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3A3A1DD">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27D5F40">
            <w:pPr>
              <w:spacing w:line="360" w:lineRule="auto"/>
              <w:jc w:val="center"/>
              <w:rPr>
                <w:rFonts w:ascii="宋体" w:hAnsi="宋体" w:eastAsia="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A8713C2">
            <w:pPr>
              <w:spacing w:line="360" w:lineRule="auto"/>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352DBB">
            <w:pPr>
              <w:spacing w:line="360" w:lineRule="auto"/>
              <w:jc w:val="center"/>
              <w:rPr>
                <w:rFonts w:ascii="宋体" w:hAnsi="宋体" w:eastAsia="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EB407ED">
            <w:pPr>
              <w:spacing w:line="360" w:lineRule="auto"/>
              <w:jc w:val="center"/>
              <w:rPr>
                <w:rFonts w:ascii="宋体" w:hAnsi="宋体" w:eastAsia="宋体"/>
                <w:color w:val="auto"/>
                <w:szCs w:val="21"/>
                <w:highlight w:val="none"/>
              </w:rPr>
            </w:pPr>
          </w:p>
        </w:tc>
        <w:tc>
          <w:tcPr>
            <w:tcW w:w="934" w:type="dxa"/>
            <w:tcBorders>
              <w:left w:val="single" w:color="auto" w:sz="4" w:space="0"/>
              <w:right w:val="single" w:color="auto" w:sz="4" w:space="0"/>
            </w:tcBorders>
            <w:vAlign w:val="center"/>
          </w:tcPr>
          <w:p w14:paraId="7E3FB382">
            <w:pPr>
              <w:spacing w:line="360" w:lineRule="auto"/>
              <w:jc w:val="center"/>
              <w:rPr>
                <w:rFonts w:ascii="宋体" w:hAnsi="宋体" w:eastAsia="宋体"/>
                <w:color w:val="auto"/>
                <w:szCs w:val="21"/>
                <w:highlight w:val="none"/>
              </w:rPr>
            </w:pPr>
          </w:p>
        </w:tc>
      </w:tr>
    </w:tbl>
    <w:p w14:paraId="07A25BEC">
      <w:pPr>
        <w:pStyle w:val="42"/>
        <w:wordWrap w:val="0"/>
        <w:spacing w:line="360" w:lineRule="auto"/>
        <w:rPr>
          <w:rFonts w:hAnsi="宋体"/>
          <w:b/>
          <w:color w:val="auto"/>
          <w:szCs w:val="21"/>
          <w:highlight w:val="none"/>
        </w:rPr>
      </w:pPr>
      <w:r>
        <w:rPr>
          <w:rFonts w:hAnsi="宋体"/>
          <w:b/>
          <w:color w:val="auto"/>
          <w:szCs w:val="21"/>
          <w:highlight w:val="none"/>
        </w:rPr>
        <w:t>注：1.如有技术等级或职称证书，需将证书扫描件附于表后；</w:t>
      </w:r>
    </w:p>
    <w:p w14:paraId="2EC0FEB2">
      <w:pPr>
        <w:pStyle w:val="42"/>
        <w:wordWrap w:val="0"/>
        <w:spacing w:line="360" w:lineRule="auto"/>
        <w:ind w:firstLine="422" w:firstLineChars="200"/>
        <w:rPr>
          <w:rFonts w:hAnsi="宋体"/>
          <w:b/>
          <w:color w:val="auto"/>
          <w:szCs w:val="21"/>
          <w:highlight w:val="none"/>
        </w:rPr>
      </w:pPr>
      <w:r>
        <w:rPr>
          <w:rFonts w:hAnsi="宋体"/>
          <w:b/>
          <w:color w:val="auto"/>
          <w:szCs w:val="21"/>
          <w:highlight w:val="none"/>
        </w:rPr>
        <w:t>2.在投标文件中需提供相关证书扫描件。</w:t>
      </w:r>
    </w:p>
    <w:p w14:paraId="1CE5A889">
      <w:pPr>
        <w:pStyle w:val="42"/>
        <w:wordWrap w:val="0"/>
        <w:spacing w:line="360" w:lineRule="auto"/>
        <w:ind w:firstLine="422" w:firstLineChars="200"/>
        <w:rPr>
          <w:rFonts w:hAnsi="宋体"/>
          <w:b/>
          <w:color w:val="auto"/>
          <w:szCs w:val="21"/>
          <w:highlight w:val="none"/>
        </w:rPr>
      </w:pPr>
      <w:r>
        <w:rPr>
          <w:rFonts w:hAnsi="宋体"/>
          <w:b/>
          <w:color w:val="auto"/>
          <w:szCs w:val="21"/>
          <w:highlight w:val="none"/>
        </w:rPr>
        <w:t>3.此表在不改变格式内容的情况下，可自行制作。</w:t>
      </w:r>
    </w:p>
    <w:p w14:paraId="1AA7D52F">
      <w:pPr>
        <w:pStyle w:val="33"/>
        <w:ind w:firstLine="0"/>
        <w:rPr>
          <w:rFonts w:hAnsi="宋体" w:cs="宋体"/>
          <w:color w:val="auto"/>
          <w:sz w:val="21"/>
          <w:szCs w:val="21"/>
          <w:highlight w:val="none"/>
        </w:rPr>
      </w:pPr>
    </w:p>
    <w:p w14:paraId="39C1FDB6">
      <w:pPr>
        <w:pStyle w:val="33"/>
        <w:ind w:firstLine="0"/>
        <w:rPr>
          <w:rFonts w:hAnsi="宋体" w:cs="宋体"/>
          <w:color w:val="auto"/>
          <w:sz w:val="21"/>
          <w:szCs w:val="21"/>
          <w:highlight w:val="none"/>
        </w:rPr>
      </w:pPr>
    </w:p>
    <w:p w14:paraId="4B3ED31A">
      <w:pPr>
        <w:pStyle w:val="33"/>
        <w:ind w:firstLine="0"/>
        <w:rPr>
          <w:rFonts w:hAnsi="宋体" w:cs="宋体"/>
          <w:color w:val="auto"/>
          <w:sz w:val="21"/>
          <w:szCs w:val="21"/>
          <w:highlight w:val="none"/>
        </w:rPr>
      </w:pPr>
    </w:p>
    <w:p w14:paraId="6C25A4D1">
      <w:pPr>
        <w:pStyle w:val="5"/>
        <w:spacing w:line="360" w:lineRule="auto"/>
        <w:ind w:firstLine="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附件9：开标一览表（报价表）</w:t>
      </w:r>
    </w:p>
    <w:p w14:paraId="12F1D511">
      <w:pPr>
        <w:spacing w:line="360" w:lineRule="auto"/>
        <w:jc w:val="center"/>
        <w:rPr>
          <w:color w:val="auto"/>
          <w:szCs w:val="21"/>
          <w:highlight w:val="none"/>
        </w:rPr>
      </w:pPr>
      <w:r>
        <w:rPr>
          <w:rFonts w:hint="eastAsia"/>
          <w:b/>
          <w:bCs/>
          <w:color w:val="auto"/>
          <w:szCs w:val="21"/>
          <w:highlight w:val="none"/>
        </w:rPr>
        <w:t xml:space="preserve">开标一览表（报价表）                            </w:t>
      </w:r>
    </w:p>
    <w:p w14:paraId="03B927DE">
      <w:pPr>
        <w:spacing w:line="360" w:lineRule="auto"/>
        <w:rPr>
          <w:rFonts w:ascii="宋体" w:hAnsi="宋体"/>
          <w:color w:val="auto"/>
          <w:szCs w:val="21"/>
          <w:highlight w:val="none"/>
        </w:rPr>
      </w:pPr>
    </w:p>
    <w:p w14:paraId="53466902">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p w14:paraId="6713B79E">
      <w:pPr>
        <w:spacing w:line="360" w:lineRule="auto"/>
        <w:rPr>
          <w:rFonts w:ascii="宋体" w:hAnsi="宋体"/>
          <w:color w:val="auto"/>
          <w:szCs w:val="21"/>
          <w:highlight w:val="none"/>
        </w:rPr>
      </w:pPr>
      <w:r>
        <w:rPr>
          <w:rFonts w:hint="eastAsia" w:ascii="宋体" w:hAnsi="宋体"/>
          <w:color w:val="auto"/>
          <w:szCs w:val="21"/>
          <w:highlight w:val="none"/>
        </w:rPr>
        <w:t xml:space="preserve">编号： </w:t>
      </w:r>
    </w:p>
    <w:tbl>
      <w:tblPr>
        <w:tblStyle w:val="79"/>
        <w:tblW w:w="80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99"/>
        <w:gridCol w:w="2665"/>
        <w:gridCol w:w="1356"/>
        <w:gridCol w:w="1843"/>
        <w:gridCol w:w="1035"/>
      </w:tblGrid>
      <w:tr w14:paraId="5B85C8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1199" w:type="dxa"/>
            <w:vAlign w:val="center"/>
          </w:tcPr>
          <w:p w14:paraId="5AAE5EA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65" w:type="dxa"/>
            <w:tcBorders>
              <w:right w:val="single" w:color="auto" w:sz="4" w:space="0"/>
            </w:tcBorders>
            <w:vAlign w:val="center"/>
          </w:tcPr>
          <w:p w14:paraId="66D5206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356" w:type="dxa"/>
            <w:tcBorders>
              <w:left w:val="single" w:color="auto" w:sz="4" w:space="0"/>
              <w:right w:val="single" w:color="auto" w:sz="4" w:space="0"/>
            </w:tcBorders>
            <w:vAlign w:val="center"/>
          </w:tcPr>
          <w:p w14:paraId="6D729F9D">
            <w:pPr>
              <w:widowControl/>
              <w:snapToGrid w:val="0"/>
              <w:spacing w:line="360" w:lineRule="auto"/>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val="en-US" w:eastAsia="zh-CN"/>
              </w:rPr>
              <w:t>统一折扣率</w:t>
            </w:r>
          </w:p>
        </w:tc>
        <w:tc>
          <w:tcPr>
            <w:tcW w:w="1843" w:type="dxa"/>
            <w:tcBorders>
              <w:left w:val="single" w:color="auto" w:sz="4" w:space="0"/>
              <w:right w:val="single" w:color="auto" w:sz="4" w:space="0"/>
            </w:tcBorders>
            <w:vAlign w:val="center"/>
          </w:tcPr>
          <w:p w14:paraId="340323D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1035" w:type="dxa"/>
            <w:tcBorders>
              <w:left w:val="single" w:color="auto" w:sz="4" w:space="0"/>
            </w:tcBorders>
            <w:vAlign w:val="center"/>
          </w:tcPr>
          <w:p w14:paraId="54010C6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3DD172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01" w:hRule="atLeast"/>
          <w:jc w:val="center"/>
        </w:trPr>
        <w:tc>
          <w:tcPr>
            <w:tcW w:w="1199" w:type="dxa"/>
            <w:vAlign w:val="center"/>
          </w:tcPr>
          <w:p w14:paraId="5FBC265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p w14:paraId="07841E58">
            <w:pPr>
              <w:snapToGrid w:val="0"/>
              <w:spacing w:line="360" w:lineRule="auto"/>
              <w:jc w:val="center"/>
              <w:rPr>
                <w:rFonts w:ascii="宋体" w:hAnsi="宋体" w:cs="宋体"/>
                <w:color w:val="auto"/>
                <w:szCs w:val="21"/>
                <w:highlight w:val="none"/>
              </w:rPr>
            </w:pPr>
          </w:p>
        </w:tc>
        <w:tc>
          <w:tcPr>
            <w:tcW w:w="2665" w:type="dxa"/>
            <w:tcBorders>
              <w:right w:val="single" w:color="auto" w:sz="4" w:space="0"/>
            </w:tcBorders>
            <w:vAlign w:val="center"/>
          </w:tcPr>
          <w:p w14:paraId="3D36DD50">
            <w:pPr>
              <w:snapToGrid w:val="0"/>
              <w:spacing w:line="360" w:lineRule="auto"/>
              <w:rPr>
                <w:rFonts w:ascii="宋体" w:hAnsi="宋体" w:cs="宋体"/>
                <w:color w:val="auto"/>
                <w:szCs w:val="21"/>
                <w:highlight w:val="none"/>
              </w:rPr>
            </w:pPr>
          </w:p>
        </w:tc>
        <w:tc>
          <w:tcPr>
            <w:tcW w:w="1356" w:type="dxa"/>
            <w:tcBorders>
              <w:left w:val="single" w:color="auto" w:sz="4" w:space="0"/>
              <w:right w:val="single" w:color="auto" w:sz="4" w:space="0"/>
            </w:tcBorders>
            <w:vAlign w:val="center"/>
          </w:tcPr>
          <w:p w14:paraId="3B530B77">
            <w:pPr>
              <w:snapToGrid w:val="0"/>
              <w:spacing w:line="360" w:lineRule="auto"/>
              <w:jc w:val="center"/>
              <w:rPr>
                <w:rFonts w:ascii="宋体" w:hAnsi="宋体" w:cs="宋体"/>
                <w:color w:val="auto"/>
                <w:szCs w:val="21"/>
                <w:highlight w:val="none"/>
              </w:rPr>
            </w:pPr>
          </w:p>
        </w:tc>
        <w:tc>
          <w:tcPr>
            <w:tcW w:w="1843" w:type="dxa"/>
            <w:tcBorders>
              <w:left w:val="single" w:color="auto" w:sz="4" w:space="0"/>
              <w:right w:val="single" w:color="auto" w:sz="4" w:space="0"/>
            </w:tcBorders>
            <w:vAlign w:val="center"/>
          </w:tcPr>
          <w:p w14:paraId="23009128">
            <w:pPr>
              <w:snapToGrid w:val="0"/>
              <w:spacing w:line="360" w:lineRule="auto"/>
              <w:jc w:val="center"/>
              <w:rPr>
                <w:rFonts w:ascii="宋体" w:hAnsi="宋体" w:cs="宋体"/>
                <w:color w:val="auto"/>
                <w:szCs w:val="21"/>
                <w:highlight w:val="none"/>
              </w:rPr>
            </w:pPr>
          </w:p>
        </w:tc>
        <w:tc>
          <w:tcPr>
            <w:tcW w:w="1035" w:type="dxa"/>
            <w:tcBorders>
              <w:left w:val="single" w:color="auto" w:sz="4" w:space="0"/>
            </w:tcBorders>
            <w:vAlign w:val="center"/>
          </w:tcPr>
          <w:p w14:paraId="04EC680D">
            <w:pPr>
              <w:snapToGrid w:val="0"/>
              <w:spacing w:line="360" w:lineRule="auto"/>
              <w:jc w:val="center"/>
              <w:rPr>
                <w:rFonts w:ascii="宋体" w:hAnsi="宋体" w:cs="宋体"/>
                <w:color w:val="auto"/>
                <w:szCs w:val="21"/>
                <w:highlight w:val="none"/>
              </w:rPr>
            </w:pPr>
          </w:p>
        </w:tc>
      </w:tr>
    </w:tbl>
    <w:p w14:paraId="0B13FF0B">
      <w:pPr>
        <w:snapToGrid w:val="0"/>
        <w:spacing w:line="360" w:lineRule="auto"/>
        <w:jc w:val="left"/>
        <w:rPr>
          <w:rFonts w:ascii="宋体" w:hAnsi="宋体"/>
          <w:color w:val="auto"/>
          <w:szCs w:val="21"/>
          <w:highlight w:val="none"/>
        </w:rPr>
      </w:pPr>
    </w:p>
    <w:p w14:paraId="77796E5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 xml:space="preserve">: </w:t>
      </w:r>
    </w:p>
    <w:p w14:paraId="025266D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1.报价一经涂改，应在涂改处加盖单位公章或者由法定代表人(或负责人)或授权委托人签字或盖章，否则其投标作无效标处理。</w:t>
      </w:r>
    </w:p>
    <w:p w14:paraId="1BEDC7A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2.本表的商务报价内容不能出现在商务技术文件中。</w:t>
      </w:r>
    </w:p>
    <w:p w14:paraId="7352F720">
      <w:pPr>
        <w:snapToGrid w:val="0"/>
        <w:spacing w:line="360" w:lineRule="auto"/>
        <w:rPr>
          <w:rFonts w:ascii="宋体" w:hAnsi="宋体"/>
          <w:color w:val="auto"/>
          <w:szCs w:val="21"/>
          <w:highlight w:val="none"/>
        </w:rPr>
      </w:pPr>
    </w:p>
    <w:p w14:paraId="24433D2D">
      <w:pPr>
        <w:tabs>
          <w:tab w:val="left" w:pos="2310"/>
        </w:tabs>
        <w:spacing w:line="360" w:lineRule="auto"/>
        <w:ind w:firstLine="625" w:firstLineChars="250"/>
        <w:rPr>
          <w:rFonts w:ascii="宋体" w:hAnsi="宋体" w:cs="宋体"/>
          <w:color w:val="auto"/>
          <w:szCs w:val="21"/>
          <w:highlight w:val="none"/>
        </w:rPr>
      </w:pPr>
      <w:r>
        <w:rPr>
          <w:rFonts w:hint="eastAsia" w:ascii="宋体" w:hAnsi="宋体"/>
          <w:color w:val="auto"/>
          <w:spacing w:val="20"/>
          <w:szCs w:val="21"/>
          <w:highlight w:val="none"/>
        </w:rPr>
        <w:t>投标单位名称</w:t>
      </w:r>
      <w:r>
        <w:rPr>
          <w:rFonts w:hint="eastAsia" w:ascii="宋体" w:hAnsi="宋体" w:cs="宋体"/>
          <w:color w:val="auto"/>
          <w:szCs w:val="21"/>
          <w:highlight w:val="none"/>
        </w:rPr>
        <w:t>:（公章）</w:t>
      </w:r>
    </w:p>
    <w:p w14:paraId="0A09C4FE">
      <w:pPr>
        <w:tabs>
          <w:tab w:val="left" w:pos="2310"/>
        </w:tabs>
        <w:spacing w:line="360" w:lineRule="auto"/>
        <w:ind w:firstLine="525" w:firstLineChars="250"/>
        <w:rPr>
          <w:rFonts w:ascii="宋体" w:hAnsi="宋体"/>
          <w:color w:val="auto"/>
          <w:szCs w:val="21"/>
          <w:highlight w:val="none"/>
        </w:rPr>
      </w:pPr>
      <w:r>
        <w:rPr>
          <w:rFonts w:hint="eastAsia" w:ascii="宋体" w:hAnsi="宋体" w:cs="宋体"/>
          <w:color w:val="auto"/>
          <w:szCs w:val="21"/>
          <w:highlight w:val="none"/>
        </w:rPr>
        <w:t>法定代表人或授权委托人：（签字或盖章）</w:t>
      </w:r>
      <w:r>
        <w:rPr>
          <w:rFonts w:ascii="宋体" w:hAnsi="宋体"/>
          <w:color w:val="auto"/>
          <w:szCs w:val="21"/>
          <w:highlight w:val="none"/>
        </w:rPr>
        <w:t xml:space="preserve">            </w:t>
      </w:r>
    </w:p>
    <w:p w14:paraId="17A4848F">
      <w:pPr>
        <w:spacing w:line="360" w:lineRule="auto"/>
        <w:ind w:firstLine="630" w:firstLineChars="300"/>
        <w:rPr>
          <w:rFonts w:ascii="宋体" w:hAnsi="宋体"/>
          <w:b/>
          <w:color w:val="auto"/>
          <w:szCs w:val="21"/>
          <w:highlight w:val="none"/>
        </w:rPr>
      </w:pPr>
      <w:r>
        <w:rPr>
          <w:rFonts w:hint="eastAsia" w:ascii="宋体" w:hAnsi="宋体" w:cs="宋体"/>
          <w:color w:val="auto"/>
          <w:szCs w:val="21"/>
          <w:highlight w:val="none"/>
        </w:rPr>
        <w:t>日期：    年   月   日</w:t>
      </w:r>
    </w:p>
    <w:p w14:paraId="038E294D">
      <w:pPr>
        <w:spacing w:line="360" w:lineRule="auto"/>
        <w:rPr>
          <w:color w:val="auto"/>
          <w:highlight w:val="none"/>
        </w:rPr>
      </w:pPr>
    </w:p>
    <w:p w14:paraId="3C29D30D">
      <w:pPr>
        <w:spacing w:line="360" w:lineRule="auto"/>
        <w:ind w:firstLine="210" w:firstLineChars="100"/>
        <w:rPr>
          <w:rFonts w:ascii="宋体" w:hAnsi="宋体"/>
          <w:color w:val="auto"/>
          <w:szCs w:val="21"/>
          <w:highlight w:val="none"/>
        </w:rPr>
      </w:pPr>
      <w:bookmarkStart w:id="170" w:name="_Toc180555957"/>
      <w:bookmarkStart w:id="171" w:name="_Toc248065077"/>
      <w:bookmarkStart w:id="172" w:name="_Toc340321936"/>
      <w:bookmarkStart w:id="173" w:name="_Toc340322191"/>
      <w:bookmarkStart w:id="174" w:name="_Toc498451765"/>
      <w:bookmarkStart w:id="175" w:name="_Toc226337799"/>
      <w:bookmarkStart w:id="176" w:name="_Toc15277"/>
      <w:r>
        <w:rPr>
          <w:rFonts w:hint="eastAsia" w:ascii="宋体" w:hAnsi="宋体"/>
          <w:color w:val="auto"/>
          <w:szCs w:val="21"/>
          <w:highlight w:val="none"/>
        </w:rPr>
        <w:br w:type="page"/>
      </w:r>
      <w:bookmarkEnd w:id="170"/>
      <w:bookmarkEnd w:id="171"/>
      <w:bookmarkEnd w:id="172"/>
      <w:bookmarkEnd w:id="173"/>
      <w:bookmarkEnd w:id="174"/>
      <w:bookmarkEnd w:id="175"/>
      <w:bookmarkEnd w:id="176"/>
    </w:p>
    <w:p w14:paraId="481AC34F">
      <w:pPr>
        <w:spacing w:line="360" w:lineRule="auto"/>
        <w:jc w:val="left"/>
        <w:rPr>
          <w:rFonts w:ascii="宋体" w:hAnsi="宋体" w:eastAsia="宋体" w:cs="宋体"/>
          <w:b/>
          <w:bCs/>
          <w:color w:val="auto"/>
          <w:szCs w:val="21"/>
          <w:highlight w:val="none"/>
        </w:rPr>
      </w:pPr>
    </w:p>
    <w:p w14:paraId="7700BC5D">
      <w:pPr>
        <w:spacing w:line="360" w:lineRule="auto"/>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附件1</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中小企业声明函（二选一）</w:t>
      </w:r>
    </w:p>
    <w:p w14:paraId="1355D670">
      <w:pPr>
        <w:spacing w:line="360" w:lineRule="auto"/>
        <w:jc w:val="left"/>
        <w:rPr>
          <w:rFonts w:ascii="宋体" w:hAnsi="宋体" w:cs="宋体"/>
          <w:b/>
          <w:color w:val="auto"/>
          <w:szCs w:val="21"/>
          <w:highlight w:val="none"/>
        </w:rPr>
      </w:pPr>
    </w:p>
    <w:p w14:paraId="5420F36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中小企业声明函（货物）</w:t>
      </w:r>
    </w:p>
    <w:p w14:paraId="1C257C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 （财库﹝2020﹞46 号）的规定，本公司（联合体）参加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14:paraId="12EEA74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 ，属于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043018A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 ，属于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3052B5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56318C4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4FB631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971569E">
      <w:pPr>
        <w:spacing w:line="360" w:lineRule="auto"/>
        <w:ind w:right="420" w:firstLine="5145" w:firstLineChars="2450"/>
        <w:jc w:val="left"/>
        <w:rPr>
          <w:rFonts w:ascii="宋体" w:hAnsi="宋体" w:cs="宋体"/>
          <w:color w:val="auto"/>
          <w:szCs w:val="21"/>
          <w:highlight w:val="none"/>
        </w:rPr>
      </w:pPr>
    </w:p>
    <w:p w14:paraId="79868444">
      <w:pPr>
        <w:spacing w:line="360" w:lineRule="auto"/>
        <w:ind w:right="420" w:firstLine="5145" w:firstLineChars="2450"/>
        <w:rPr>
          <w:rFonts w:ascii="宋体" w:hAnsi="宋体" w:cs="宋体"/>
          <w:color w:val="auto"/>
          <w:szCs w:val="21"/>
          <w:highlight w:val="none"/>
        </w:rPr>
      </w:pPr>
      <w:r>
        <w:rPr>
          <w:rFonts w:hint="eastAsia" w:ascii="宋体" w:hAnsi="宋体" w:cs="宋体"/>
          <w:color w:val="auto"/>
          <w:szCs w:val="21"/>
          <w:highlight w:val="none"/>
        </w:rPr>
        <w:t xml:space="preserve">企业名称（盖章）： </w:t>
      </w:r>
    </w:p>
    <w:p w14:paraId="7BAB4357">
      <w:pPr>
        <w:spacing w:line="360" w:lineRule="auto"/>
        <w:ind w:right="420" w:firstLine="5250" w:firstLineChars="2500"/>
        <w:rPr>
          <w:rFonts w:ascii="宋体" w:hAnsi="宋体" w:cs="宋体"/>
          <w:color w:val="auto"/>
          <w:szCs w:val="21"/>
          <w:highlight w:val="none"/>
        </w:rPr>
      </w:pPr>
      <w:r>
        <w:rPr>
          <w:rFonts w:hint="eastAsia" w:ascii="宋体" w:hAnsi="宋体" w:cs="宋体"/>
          <w:color w:val="auto"/>
          <w:szCs w:val="21"/>
          <w:highlight w:val="none"/>
        </w:rPr>
        <w:t>日期：   年     月     日</w:t>
      </w:r>
    </w:p>
    <w:p w14:paraId="7EE1AFC5">
      <w:pPr>
        <w:spacing w:line="360" w:lineRule="auto"/>
        <w:jc w:val="center"/>
        <w:rPr>
          <w:rFonts w:ascii="宋体" w:hAnsi="宋体" w:cs="宋体"/>
          <w:b/>
          <w:color w:val="auto"/>
          <w:szCs w:val="21"/>
          <w:highlight w:val="none"/>
        </w:rPr>
      </w:pPr>
    </w:p>
    <w:p w14:paraId="156A2ED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中小企业声明函（工程、服务）</w:t>
      </w:r>
    </w:p>
    <w:p w14:paraId="1598958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 （财库﹝2020﹞46 号）的规定，本公司（联合体）参加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1F9D330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 ，属于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5CE0912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 ，属于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577199E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448320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396DDDE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146DE6E">
      <w:pPr>
        <w:spacing w:line="360" w:lineRule="auto"/>
        <w:ind w:right="420" w:firstLine="5145" w:firstLineChars="2450"/>
        <w:jc w:val="left"/>
        <w:rPr>
          <w:rFonts w:ascii="宋体" w:hAnsi="宋体" w:cs="宋体"/>
          <w:color w:val="auto"/>
          <w:szCs w:val="21"/>
          <w:highlight w:val="none"/>
        </w:rPr>
      </w:pPr>
    </w:p>
    <w:p w14:paraId="3C79F877">
      <w:pPr>
        <w:spacing w:line="360" w:lineRule="auto"/>
        <w:ind w:right="420" w:firstLine="5145" w:firstLineChars="2450"/>
        <w:rPr>
          <w:rFonts w:ascii="宋体" w:hAnsi="宋体" w:cs="宋体"/>
          <w:color w:val="auto"/>
          <w:szCs w:val="21"/>
          <w:highlight w:val="none"/>
        </w:rPr>
      </w:pPr>
      <w:r>
        <w:rPr>
          <w:rFonts w:hint="eastAsia" w:ascii="宋体" w:hAnsi="宋体" w:cs="宋体"/>
          <w:color w:val="auto"/>
          <w:szCs w:val="21"/>
          <w:highlight w:val="none"/>
        </w:rPr>
        <w:t xml:space="preserve">企业名称（盖章）： </w:t>
      </w:r>
    </w:p>
    <w:p w14:paraId="5236D660">
      <w:pPr>
        <w:spacing w:line="360" w:lineRule="auto"/>
        <w:ind w:right="420" w:firstLine="4830" w:firstLineChars="2300"/>
        <w:rPr>
          <w:rFonts w:ascii="宋体" w:hAnsi="宋体" w:cs="宋体"/>
          <w:color w:val="auto"/>
          <w:szCs w:val="21"/>
          <w:highlight w:val="none"/>
        </w:rPr>
      </w:pPr>
      <w:r>
        <w:rPr>
          <w:rFonts w:hint="eastAsia" w:ascii="宋体" w:hAnsi="宋体" w:cs="宋体"/>
          <w:color w:val="auto"/>
          <w:szCs w:val="21"/>
          <w:highlight w:val="none"/>
        </w:rPr>
        <w:t>日期：   年     月     日</w:t>
      </w:r>
    </w:p>
    <w:p w14:paraId="365219AE">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190ACC1A">
      <w:pPr>
        <w:spacing w:line="360" w:lineRule="auto"/>
        <w:rPr>
          <w:rFonts w:ascii="宋体" w:hAnsi="宋体" w:cs="宋体"/>
          <w:b/>
          <w:color w:val="auto"/>
          <w:szCs w:val="21"/>
          <w:highlight w:val="none"/>
        </w:rPr>
      </w:pPr>
      <w:r>
        <w:rPr>
          <w:rFonts w:hint="eastAsia" w:ascii="宋体" w:hAnsi="宋体" w:cs="宋体"/>
          <w:b/>
          <w:color w:val="auto"/>
          <w:szCs w:val="21"/>
          <w:highlight w:val="none"/>
        </w:rPr>
        <w:t>1、投标供应商提供的中小企业声明函与实际情况不符的，视为投标供应商提供虚假材料投标，投标无效。</w:t>
      </w:r>
    </w:p>
    <w:p w14:paraId="55A277F7">
      <w:pPr>
        <w:spacing w:line="360" w:lineRule="auto"/>
        <w:rPr>
          <w:rFonts w:ascii="宋体" w:hAnsi="宋体" w:cs="宋体"/>
          <w:color w:val="auto"/>
          <w:szCs w:val="21"/>
          <w:highlight w:val="none"/>
        </w:rPr>
      </w:pPr>
      <w:r>
        <w:rPr>
          <w:rFonts w:hint="eastAsia" w:ascii="宋体" w:hAnsi="宋体" w:cs="宋体"/>
          <w:b/>
          <w:color w:val="auto"/>
          <w:szCs w:val="21"/>
          <w:highlight w:val="none"/>
        </w:rPr>
        <w:t>2、根据《政府采购促进中小企业发展管理办法》的通知（财库〔2020〕46号）规定，</w:t>
      </w:r>
      <w:r>
        <w:rPr>
          <w:rFonts w:hint="eastAsia" w:ascii="宋体" w:hAnsi="宋体" w:cs="宋体"/>
          <w:color w:val="auto"/>
          <w:szCs w:val="21"/>
          <w:highlight w:val="none"/>
        </w:rPr>
        <w:t>中标、成交供应商享受中小企业扶持政策的，采购代理机构将随中标、成交结果公开中标、成交供应商的《中小企业声明函》。</w:t>
      </w:r>
    </w:p>
    <w:p w14:paraId="3E15A6E4">
      <w:pPr>
        <w:spacing w:line="360" w:lineRule="auto"/>
        <w:rPr>
          <w:rFonts w:ascii="宋体" w:hAnsi="宋体" w:cs="宋体"/>
          <w:color w:val="auto"/>
          <w:szCs w:val="21"/>
          <w:highlight w:val="none"/>
        </w:rPr>
      </w:pPr>
      <w:r>
        <w:rPr>
          <w:rFonts w:hint="eastAsia" w:ascii="宋体" w:hAnsi="宋体" w:cs="宋体"/>
          <w:color w:val="auto"/>
          <w:szCs w:val="21"/>
          <w:highlight w:val="none"/>
        </w:rPr>
        <w:t>3、符合《关于促进残疾人就业政府采购政策的通知》（财库〔2017〕141号）规定的条件并提供提供《残疾人福利性单位声明函》（附件15）的残疾人福利性单位视同小微企业；根据《关于政府采购支持监狱企业发展有关问题的通知》（财库[2014]68号）的规定，投标供应商提供由省级以上监狱管理局、戒毒管理局（含新疆生产建设兵团）出具的属于监狱企业证明文件的，视同为小微企业。</w:t>
      </w:r>
    </w:p>
    <w:p w14:paraId="15E749AD">
      <w:pPr>
        <w:pageBreakBefore/>
        <w:spacing w:line="360" w:lineRule="auto"/>
        <w:rPr>
          <w:rFonts w:ascii="宋体" w:hAnsi="宋体" w:cs="宋体"/>
          <w:b/>
          <w:color w:val="auto"/>
          <w:spacing w:val="6"/>
          <w:szCs w:val="21"/>
          <w:highlight w:val="none"/>
        </w:rPr>
      </w:pPr>
      <w:r>
        <w:rPr>
          <w:rFonts w:hint="eastAsia" w:ascii="宋体" w:hAnsi="宋体" w:cs="宋体"/>
          <w:b/>
          <w:color w:val="auto"/>
          <w:spacing w:val="6"/>
          <w:szCs w:val="21"/>
          <w:highlight w:val="none"/>
        </w:rPr>
        <w:t>附件12：残疾人福利性单位声明函</w:t>
      </w:r>
    </w:p>
    <w:p w14:paraId="73663BDC">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14:paraId="33C698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48E55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63E95D97">
      <w:pPr>
        <w:spacing w:line="360" w:lineRule="auto"/>
        <w:ind w:firstLine="420" w:firstLineChars="200"/>
        <w:rPr>
          <w:rFonts w:ascii="宋体" w:hAnsi="宋体" w:cs="宋体"/>
          <w:color w:val="auto"/>
          <w:szCs w:val="21"/>
          <w:highlight w:val="none"/>
        </w:rPr>
      </w:pPr>
    </w:p>
    <w:p w14:paraId="385F3285">
      <w:pPr>
        <w:spacing w:line="360" w:lineRule="auto"/>
        <w:ind w:firstLine="420" w:firstLineChars="200"/>
        <w:rPr>
          <w:rFonts w:ascii="宋体" w:hAnsi="宋体" w:cs="宋体"/>
          <w:color w:val="auto"/>
          <w:szCs w:val="21"/>
          <w:highlight w:val="none"/>
        </w:rPr>
      </w:pPr>
    </w:p>
    <w:p w14:paraId="2C5C104E">
      <w:pPr>
        <w:spacing w:line="360" w:lineRule="auto"/>
        <w:ind w:right="420" w:firstLine="5145" w:firstLineChars="2450"/>
        <w:rPr>
          <w:rFonts w:ascii="宋体" w:hAnsi="宋体" w:cs="宋体"/>
          <w:color w:val="auto"/>
          <w:szCs w:val="21"/>
          <w:highlight w:val="none"/>
        </w:rPr>
      </w:pPr>
      <w:r>
        <w:rPr>
          <w:rFonts w:hint="eastAsia" w:ascii="宋体" w:hAnsi="宋体" w:cs="宋体"/>
          <w:color w:val="auto"/>
          <w:szCs w:val="21"/>
          <w:highlight w:val="none"/>
        </w:rPr>
        <w:t xml:space="preserve">声明单位（盖章）： </w:t>
      </w:r>
    </w:p>
    <w:p w14:paraId="2F6EA9C5">
      <w:pPr>
        <w:spacing w:line="360" w:lineRule="auto"/>
        <w:ind w:right="420" w:firstLine="4830" w:firstLineChars="2300"/>
        <w:rPr>
          <w:rFonts w:ascii="宋体" w:hAnsi="宋体" w:cs="宋体"/>
          <w:color w:val="auto"/>
          <w:szCs w:val="21"/>
          <w:highlight w:val="none"/>
        </w:rPr>
      </w:pPr>
      <w:r>
        <w:rPr>
          <w:rFonts w:hint="eastAsia" w:ascii="宋体" w:hAnsi="宋体" w:cs="宋体"/>
          <w:color w:val="auto"/>
          <w:szCs w:val="21"/>
          <w:highlight w:val="none"/>
        </w:rPr>
        <w:t>日期：   年     月     日</w:t>
      </w:r>
    </w:p>
    <w:p w14:paraId="40C111B9">
      <w:pPr>
        <w:tabs>
          <w:tab w:val="left" w:pos="4860"/>
        </w:tabs>
        <w:spacing w:line="360" w:lineRule="auto"/>
        <w:ind w:right="1560" w:firstLine="624"/>
        <w:jc w:val="center"/>
        <w:rPr>
          <w:rFonts w:ascii="宋体" w:hAnsi="宋体" w:cs="宋体"/>
          <w:b/>
          <w:bCs/>
          <w:color w:val="auto"/>
          <w:spacing w:val="6"/>
          <w:szCs w:val="21"/>
          <w:highlight w:val="none"/>
        </w:rPr>
      </w:pPr>
    </w:p>
    <w:p w14:paraId="013ED021">
      <w:pPr>
        <w:tabs>
          <w:tab w:val="left" w:pos="4860"/>
        </w:tabs>
        <w:spacing w:line="360" w:lineRule="auto"/>
        <w:ind w:right="140"/>
        <w:jc w:val="left"/>
        <w:rPr>
          <w:rFonts w:ascii="宋体" w:hAnsi="宋体" w:cs="宋体"/>
          <w:b/>
          <w:color w:val="auto"/>
          <w:szCs w:val="21"/>
          <w:highlight w:val="none"/>
        </w:rPr>
      </w:pPr>
      <w:r>
        <w:rPr>
          <w:rFonts w:hint="eastAsia" w:ascii="宋体" w:hAnsi="宋体" w:cs="宋体"/>
          <w:b/>
          <w:color w:val="auto"/>
          <w:szCs w:val="21"/>
          <w:highlight w:val="none"/>
        </w:rPr>
        <w:t>备注说明：</w:t>
      </w:r>
    </w:p>
    <w:p w14:paraId="39B2D352">
      <w:pPr>
        <w:spacing w:line="360" w:lineRule="auto"/>
        <w:rPr>
          <w:rFonts w:ascii="宋体" w:hAnsi="宋体"/>
          <w:color w:val="auto"/>
          <w:sz w:val="18"/>
          <w:szCs w:val="18"/>
          <w:highlight w:val="none"/>
        </w:rPr>
      </w:pPr>
      <w:r>
        <w:rPr>
          <w:rFonts w:hint="eastAsia" w:ascii="宋体" w:hAnsi="宋体"/>
          <w:color w:val="auto"/>
          <w:sz w:val="18"/>
          <w:szCs w:val="18"/>
          <w:highlight w:val="none"/>
        </w:rPr>
        <w:t>1、如中标，将在中标公示中将此残疾人福利性单位声明函予以公示，接受社会监督；</w:t>
      </w:r>
    </w:p>
    <w:p w14:paraId="45DE54D7">
      <w:pPr>
        <w:spacing w:line="360" w:lineRule="auto"/>
        <w:rPr>
          <w:rFonts w:ascii="宋体" w:hAnsi="宋体"/>
          <w:color w:val="auto"/>
          <w:sz w:val="18"/>
          <w:szCs w:val="18"/>
          <w:highlight w:val="none"/>
        </w:rPr>
      </w:pPr>
      <w:r>
        <w:rPr>
          <w:rFonts w:hint="eastAsia" w:ascii="宋体" w:hAnsi="宋体"/>
          <w:color w:val="auto"/>
          <w:sz w:val="18"/>
          <w:szCs w:val="18"/>
          <w:highlight w:val="none"/>
        </w:rPr>
        <w:t>2、供应商提供的《残疾人福利性单位声明函》与事实不符的，依照《政府采购法》第七十七条第一款的规定追究法律责任。</w:t>
      </w:r>
    </w:p>
    <w:p w14:paraId="5F7F571C">
      <w:pPr>
        <w:spacing w:line="360" w:lineRule="auto"/>
        <w:rPr>
          <w:rFonts w:ascii="宋体" w:hAnsi="宋体" w:cs="仿宋"/>
          <w:bCs/>
          <w:color w:val="auto"/>
          <w:sz w:val="18"/>
          <w:szCs w:val="18"/>
          <w:highlight w:val="none"/>
        </w:rPr>
      </w:pPr>
      <w:r>
        <w:rPr>
          <w:rFonts w:ascii="宋体" w:hAnsi="宋体"/>
          <w:bCs/>
          <w:color w:val="auto"/>
          <w:sz w:val="18"/>
          <w:szCs w:val="18"/>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宋体" w:hAnsi="宋体"/>
          <w:bCs/>
          <w:color w:val="auto"/>
          <w:sz w:val="18"/>
          <w:szCs w:val="18"/>
          <w:highlight w:val="none"/>
          <w:lang w:eastAsia="zh-CN"/>
        </w:rPr>
        <w:t>576813833</w:t>
      </w:r>
      <w:r>
        <w:rPr>
          <w:rFonts w:ascii="宋体" w:hAnsi="宋体"/>
          <w:bCs/>
          <w:color w:val="auto"/>
          <w:sz w:val="18"/>
          <w:szCs w:val="18"/>
          <w:highlight w:val="none"/>
        </w:rPr>
        <w:t>@qq.com邮箱，如未如实填写，将有可能影响你的投标文件评审（政府采购活动现场确认声明书格式见附表）。</w:t>
      </w:r>
    </w:p>
    <w:p w14:paraId="45E71D33">
      <w:pPr>
        <w:pStyle w:val="464"/>
        <w:numPr>
          <w:ilvl w:val="0"/>
          <w:numId w:val="0"/>
        </w:numPr>
        <w:adjustRightInd/>
        <w:snapToGrid w:val="0"/>
        <w:spacing w:line="360" w:lineRule="auto"/>
        <w:rPr>
          <w:rFonts w:hint="default" w:ascii="仿宋" w:hAnsi="仿宋" w:eastAsia="仿宋" w:cs="仿宋"/>
          <w:b/>
          <w:bCs/>
          <w:color w:val="auto"/>
          <w:sz w:val="24"/>
          <w:szCs w:val="24"/>
          <w:highlight w:val="none"/>
        </w:rPr>
      </w:pPr>
    </w:p>
    <w:p w14:paraId="58319608">
      <w:pPr>
        <w:pStyle w:val="464"/>
        <w:numPr>
          <w:ilvl w:val="0"/>
          <w:numId w:val="0"/>
        </w:numPr>
        <w:adjustRightInd/>
        <w:snapToGrid w:val="0"/>
        <w:spacing w:line="360" w:lineRule="auto"/>
        <w:rPr>
          <w:rFonts w:hint="default" w:ascii="仿宋" w:hAnsi="仿宋" w:eastAsia="仿宋" w:cs="仿宋"/>
          <w:b/>
          <w:bCs/>
          <w:color w:val="auto"/>
          <w:sz w:val="24"/>
          <w:szCs w:val="24"/>
          <w:highlight w:val="none"/>
        </w:rPr>
      </w:pPr>
    </w:p>
    <w:p w14:paraId="53A1F451">
      <w:pPr>
        <w:pStyle w:val="464"/>
        <w:numPr>
          <w:ilvl w:val="0"/>
          <w:numId w:val="0"/>
        </w:numPr>
        <w:adjustRightInd/>
        <w:snapToGrid w:val="0"/>
        <w:spacing w:line="360" w:lineRule="auto"/>
        <w:rPr>
          <w:rFonts w:hint="default" w:ascii="仿宋" w:hAnsi="仿宋" w:eastAsia="仿宋" w:cs="仿宋"/>
          <w:b/>
          <w:bCs/>
          <w:color w:val="auto"/>
          <w:sz w:val="24"/>
          <w:szCs w:val="24"/>
          <w:highlight w:val="none"/>
        </w:rPr>
      </w:pPr>
    </w:p>
    <w:p w14:paraId="4CFCAC08">
      <w:pPr>
        <w:pStyle w:val="464"/>
        <w:numPr>
          <w:ilvl w:val="0"/>
          <w:numId w:val="0"/>
        </w:numPr>
        <w:adjustRightInd/>
        <w:snapToGrid w:val="0"/>
        <w:spacing w:line="360" w:lineRule="auto"/>
        <w:rPr>
          <w:rFonts w:hint="default" w:ascii="仿宋" w:hAnsi="仿宋" w:eastAsia="仿宋" w:cs="仿宋"/>
          <w:b/>
          <w:bCs/>
          <w:color w:val="auto"/>
          <w:sz w:val="24"/>
          <w:szCs w:val="24"/>
          <w:highlight w:val="none"/>
        </w:rPr>
      </w:pPr>
    </w:p>
    <w:p w14:paraId="7AE09DC1">
      <w:pPr>
        <w:pStyle w:val="464"/>
        <w:numPr>
          <w:ilvl w:val="0"/>
          <w:numId w:val="0"/>
        </w:numPr>
        <w:adjustRightInd/>
        <w:snapToGrid w:val="0"/>
        <w:spacing w:line="360" w:lineRule="auto"/>
        <w:rPr>
          <w:rFonts w:hint="default" w:ascii="仿宋" w:hAnsi="仿宋" w:eastAsia="仿宋" w:cs="仿宋"/>
          <w:b/>
          <w:bCs/>
          <w:color w:val="auto"/>
          <w:sz w:val="24"/>
          <w:szCs w:val="24"/>
          <w:highlight w:val="none"/>
        </w:rPr>
      </w:pPr>
    </w:p>
    <w:p w14:paraId="2F0E7043">
      <w:pPr>
        <w:pStyle w:val="464"/>
        <w:numPr>
          <w:ilvl w:val="0"/>
          <w:numId w:val="0"/>
        </w:numPr>
        <w:adjustRightInd/>
        <w:snapToGrid w:val="0"/>
        <w:spacing w:line="360" w:lineRule="auto"/>
        <w:rPr>
          <w:rFonts w:hint="default" w:hAnsi="宋体" w:cs="宋体"/>
          <w:b/>
          <w:bCs/>
          <w:color w:val="auto"/>
          <w:sz w:val="24"/>
          <w:szCs w:val="24"/>
          <w:highlight w:val="none"/>
        </w:rPr>
      </w:pPr>
    </w:p>
    <w:p w14:paraId="57EE095B">
      <w:pPr>
        <w:pStyle w:val="464"/>
        <w:numPr>
          <w:ilvl w:val="0"/>
          <w:numId w:val="0"/>
        </w:numPr>
        <w:adjustRightInd/>
        <w:snapToGrid w:val="0"/>
        <w:spacing w:line="360" w:lineRule="auto"/>
        <w:rPr>
          <w:rFonts w:hint="default" w:hAnsi="宋体" w:cs="宋体"/>
          <w:b/>
          <w:bCs/>
          <w:color w:val="auto"/>
          <w:sz w:val="24"/>
          <w:szCs w:val="24"/>
          <w:highlight w:val="none"/>
        </w:rPr>
      </w:pPr>
    </w:p>
    <w:p w14:paraId="18B7C767">
      <w:pPr>
        <w:pStyle w:val="464"/>
        <w:numPr>
          <w:ilvl w:val="0"/>
          <w:numId w:val="0"/>
        </w:numPr>
        <w:adjustRightInd/>
        <w:snapToGrid w:val="0"/>
        <w:spacing w:line="360" w:lineRule="auto"/>
        <w:rPr>
          <w:rFonts w:hint="default" w:hAnsi="宋体" w:cs="宋体"/>
          <w:b/>
          <w:bCs/>
          <w:color w:val="auto"/>
          <w:sz w:val="24"/>
          <w:szCs w:val="24"/>
          <w:highlight w:val="none"/>
        </w:rPr>
      </w:pPr>
    </w:p>
    <w:p w14:paraId="00CAE189">
      <w:pPr>
        <w:pStyle w:val="464"/>
        <w:numPr>
          <w:ilvl w:val="0"/>
          <w:numId w:val="0"/>
        </w:numPr>
        <w:adjustRightInd/>
        <w:snapToGrid w:val="0"/>
        <w:spacing w:line="360" w:lineRule="auto"/>
        <w:rPr>
          <w:rFonts w:hint="default" w:hAnsi="宋体" w:cs="宋体"/>
          <w:b/>
          <w:bCs/>
          <w:color w:val="auto"/>
          <w:sz w:val="24"/>
          <w:szCs w:val="24"/>
          <w:highlight w:val="none"/>
        </w:rPr>
      </w:pPr>
    </w:p>
    <w:p w14:paraId="5FA2752C">
      <w:pPr>
        <w:pStyle w:val="464"/>
        <w:numPr>
          <w:ilvl w:val="0"/>
          <w:numId w:val="0"/>
        </w:numPr>
        <w:adjustRightInd/>
        <w:snapToGrid w:val="0"/>
        <w:spacing w:line="360" w:lineRule="auto"/>
        <w:rPr>
          <w:rFonts w:hint="default" w:hAnsi="宋体" w:cs="宋体"/>
          <w:b/>
          <w:bCs/>
          <w:color w:val="auto"/>
          <w:sz w:val="24"/>
          <w:szCs w:val="24"/>
          <w:highlight w:val="none"/>
        </w:rPr>
      </w:pPr>
    </w:p>
    <w:p w14:paraId="30DA3C31">
      <w:pPr>
        <w:pStyle w:val="464"/>
        <w:numPr>
          <w:ilvl w:val="0"/>
          <w:numId w:val="0"/>
        </w:numPr>
        <w:adjustRightInd/>
        <w:snapToGrid w:val="0"/>
        <w:spacing w:line="360" w:lineRule="auto"/>
        <w:rPr>
          <w:rFonts w:hint="default" w:hAnsi="宋体" w:cs="宋体"/>
          <w:b/>
          <w:bCs/>
          <w:color w:val="auto"/>
          <w:sz w:val="24"/>
          <w:szCs w:val="24"/>
          <w:highlight w:val="none"/>
        </w:rPr>
      </w:pPr>
    </w:p>
    <w:p w14:paraId="29924672">
      <w:pPr>
        <w:pStyle w:val="464"/>
        <w:numPr>
          <w:ilvl w:val="0"/>
          <w:numId w:val="0"/>
        </w:numPr>
        <w:adjustRightInd/>
        <w:snapToGrid w:val="0"/>
        <w:spacing w:line="360" w:lineRule="auto"/>
        <w:rPr>
          <w:rFonts w:hint="default" w:hAnsi="宋体" w:cs="宋体"/>
          <w:b/>
          <w:bCs/>
          <w:color w:val="auto"/>
          <w:sz w:val="24"/>
          <w:szCs w:val="24"/>
          <w:highlight w:val="none"/>
        </w:rPr>
      </w:pPr>
    </w:p>
    <w:p w14:paraId="5F548D85">
      <w:pPr>
        <w:pStyle w:val="464"/>
        <w:numPr>
          <w:ilvl w:val="0"/>
          <w:numId w:val="0"/>
        </w:numPr>
        <w:adjustRightInd/>
        <w:snapToGrid w:val="0"/>
        <w:spacing w:line="360" w:lineRule="auto"/>
        <w:rPr>
          <w:rFonts w:hint="default" w:hAnsi="宋体" w:cs="宋体"/>
          <w:b/>
          <w:bCs/>
          <w:color w:val="auto"/>
          <w:sz w:val="24"/>
          <w:szCs w:val="24"/>
          <w:highlight w:val="none"/>
        </w:rPr>
      </w:pPr>
    </w:p>
    <w:p w14:paraId="539F6612">
      <w:pPr>
        <w:pStyle w:val="464"/>
        <w:numPr>
          <w:ilvl w:val="0"/>
          <w:numId w:val="0"/>
        </w:numPr>
        <w:adjustRightInd/>
        <w:snapToGrid w:val="0"/>
        <w:spacing w:line="360" w:lineRule="auto"/>
        <w:rPr>
          <w:rFonts w:hint="default" w:hAnsi="宋体" w:cs="宋体"/>
          <w:b/>
          <w:bCs/>
          <w:color w:val="auto"/>
          <w:sz w:val="24"/>
          <w:szCs w:val="24"/>
          <w:highlight w:val="none"/>
        </w:rPr>
      </w:pPr>
      <w:r>
        <w:rPr>
          <w:rFonts w:hAnsi="宋体" w:cs="宋体"/>
          <w:b/>
          <w:bCs/>
          <w:color w:val="auto"/>
          <w:sz w:val="24"/>
          <w:szCs w:val="24"/>
          <w:highlight w:val="none"/>
        </w:rPr>
        <w:t xml:space="preserve">附表：               </w:t>
      </w:r>
    </w:p>
    <w:p w14:paraId="71EAC6BF">
      <w:pPr>
        <w:pStyle w:val="464"/>
        <w:numPr>
          <w:ilvl w:val="0"/>
          <w:numId w:val="0"/>
        </w:numPr>
        <w:adjustRightInd/>
        <w:snapToGrid w:val="0"/>
        <w:spacing w:line="360" w:lineRule="auto"/>
        <w:jc w:val="center"/>
        <w:rPr>
          <w:rFonts w:hint="default" w:hAnsi="宋体" w:cs="宋体"/>
          <w:b/>
          <w:bCs/>
          <w:color w:val="auto"/>
          <w:sz w:val="24"/>
          <w:szCs w:val="24"/>
          <w:highlight w:val="none"/>
        </w:rPr>
      </w:pPr>
      <w:r>
        <w:rPr>
          <w:rFonts w:hAnsi="宋体" w:cs="宋体"/>
          <w:b/>
          <w:bCs/>
          <w:color w:val="auto"/>
          <w:sz w:val="24"/>
          <w:szCs w:val="24"/>
          <w:highlight w:val="none"/>
        </w:rPr>
        <w:t>政府采购活动现场确认声明书</w:t>
      </w:r>
    </w:p>
    <w:p w14:paraId="34453136">
      <w:pPr>
        <w:pStyle w:val="464"/>
        <w:numPr>
          <w:ilvl w:val="0"/>
          <w:numId w:val="0"/>
        </w:numPr>
        <w:adjustRightInd/>
        <w:snapToGrid w:val="0"/>
        <w:spacing w:line="360" w:lineRule="auto"/>
        <w:rPr>
          <w:rFonts w:hint="default" w:hAnsi="宋体" w:cs="宋体"/>
          <w:b/>
          <w:color w:val="auto"/>
          <w:szCs w:val="21"/>
          <w:highlight w:val="none"/>
        </w:rPr>
      </w:pPr>
      <w:r>
        <w:rPr>
          <w:rFonts w:hAnsi="宋体" w:cs="宋体"/>
          <w:color w:val="auto"/>
          <w:szCs w:val="21"/>
          <w:highlight w:val="none"/>
        </w:rPr>
        <w:t>东方经纬项目管理有限公司：</w:t>
      </w:r>
    </w:p>
    <w:p w14:paraId="0F73B6DD">
      <w:pPr>
        <w:pStyle w:val="464"/>
        <w:numPr>
          <w:ilvl w:val="0"/>
          <w:numId w:val="0"/>
        </w:numPr>
        <w:adjustRightInd/>
        <w:snapToGrid w:val="0"/>
        <w:spacing w:line="360" w:lineRule="auto"/>
        <w:rPr>
          <w:rFonts w:hint="default" w:hAnsi="宋体" w:cs="宋体"/>
          <w:color w:val="auto"/>
          <w:spacing w:val="6"/>
          <w:szCs w:val="21"/>
          <w:highlight w:val="none"/>
        </w:rPr>
      </w:pPr>
      <w:r>
        <w:rPr>
          <w:rFonts w:hAnsi="宋体" w:cs="宋体"/>
          <w:color w:val="auto"/>
          <w:spacing w:val="6"/>
          <w:szCs w:val="21"/>
          <w:highlight w:val="none"/>
        </w:rPr>
        <w:t>本人</w:t>
      </w:r>
      <w:r>
        <w:rPr>
          <w:rFonts w:hAnsi="宋体" w:cs="宋体"/>
          <w:color w:val="auto"/>
          <w:spacing w:val="6"/>
          <w:szCs w:val="21"/>
          <w:highlight w:val="none"/>
          <w:u w:val="single"/>
        </w:rPr>
        <w:t xml:space="preserve">      </w:t>
      </w:r>
      <w:r>
        <w:rPr>
          <w:rFonts w:hAnsi="宋体" w:cs="宋体"/>
          <w:color w:val="auto"/>
          <w:spacing w:val="6"/>
          <w:szCs w:val="21"/>
          <w:highlight w:val="none"/>
        </w:rPr>
        <w:t>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w:t>
      </w:r>
      <w:r>
        <w:rPr>
          <w:rFonts w:hAnsi="宋体" w:cs="宋体"/>
          <w:i/>
          <w:iCs/>
          <w:color w:val="auto"/>
          <w:spacing w:val="6"/>
          <w:szCs w:val="21"/>
          <w:highlight w:val="none"/>
          <w:u w:val="single"/>
        </w:rPr>
        <w:t xml:space="preserve">     </w:t>
      </w:r>
      <w:r>
        <w:rPr>
          <w:rFonts w:hAnsi="宋体" w:cs="宋体"/>
          <w:color w:val="auto"/>
          <w:spacing w:val="6"/>
          <w:szCs w:val="21"/>
          <w:highlight w:val="none"/>
          <w:u w:val="single"/>
        </w:rPr>
        <w:t>（姓名）</w:t>
      </w:r>
      <w:r>
        <w:rPr>
          <w:rFonts w:hAnsi="宋体" w:cs="宋体"/>
          <w:color w:val="auto"/>
          <w:spacing w:val="6"/>
          <w:szCs w:val="21"/>
          <w:highlight w:val="none"/>
        </w:rPr>
        <w:t>合法授权参加</w:t>
      </w:r>
      <w:r>
        <w:rPr>
          <w:rFonts w:hAnsi="宋体" w:cs="宋体"/>
          <w:color w:val="auto"/>
          <w:spacing w:val="6"/>
          <w:szCs w:val="21"/>
          <w:highlight w:val="none"/>
          <w:u w:val="single"/>
        </w:rPr>
        <w:t xml:space="preserve">                </w:t>
      </w:r>
      <w:r>
        <w:rPr>
          <w:rFonts w:hAnsi="宋体" w:cs="宋体"/>
          <w:color w:val="auto"/>
          <w:spacing w:val="6"/>
          <w:szCs w:val="21"/>
          <w:highlight w:val="none"/>
        </w:rPr>
        <w:t>（项目编号：</w:t>
      </w:r>
      <w:r>
        <w:rPr>
          <w:rFonts w:hAnsi="宋体" w:cs="宋体"/>
          <w:color w:val="auto"/>
          <w:spacing w:val="6"/>
          <w:szCs w:val="21"/>
          <w:highlight w:val="none"/>
          <w:u w:val="single"/>
        </w:rPr>
        <w:t xml:space="preserve">            </w:t>
      </w:r>
      <w:r>
        <w:rPr>
          <w:rFonts w:hAnsi="宋体" w:cs="宋体"/>
          <w:color w:val="auto"/>
          <w:spacing w:val="6"/>
          <w:szCs w:val="21"/>
          <w:highlight w:val="none"/>
        </w:rPr>
        <w:t xml:space="preserve">）政府采购活动，经与本单位法人代表（负责人）联系确认，现就有关公平竞争事项郑重声明如下： </w:t>
      </w:r>
    </w:p>
    <w:p w14:paraId="1593A4E3">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一、本单位与采购人之间 </w:t>
      </w:r>
    </w:p>
    <w:p w14:paraId="033297D5">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□不存在利害关系;</w:t>
      </w:r>
    </w:p>
    <w:p w14:paraId="1170FD0F">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48EBB36B">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0271C3B">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4A7DB5A">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spacing w:val="6"/>
          <w:szCs w:val="21"/>
          <w:highlight w:val="none"/>
        </w:rPr>
        <w:t>二、</w:t>
      </w:r>
      <w:r>
        <w:rPr>
          <w:rFonts w:ascii="宋体" w:hAnsi="宋体" w:cs="宋体"/>
          <w:color w:val="auto"/>
          <w:kern w:val="0"/>
          <w:szCs w:val="21"/>
          <w:highlight w:val="none"/>
        </w:rPr>
        <w:t xml:space="preserve">现已清楚知道参加本项目采购活动的其他所有供应商名称，本单位 </w:t>
      </w:r>
    </w:p>
    <w:p w14:paraId="2DB32628">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□与其他所有供应商之间均不存在利害关系 </w:t>
      </w:r>
    </w:p>
    <w:p w14:paraId="6D0594F3">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 xml:space="preserve">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C5EF45E">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A.法定代表人或负责人或实际控制人是同一人</w:t>
      </w:r>
    </w:p>
    <w:p w14:paraId="2C9C8788">
      <w:pPr>
        <w:pStyle w:val="464"/>
        <w:numPr>
          <w:ilvl w:val="0"/>
          <w:numId w:val="0"/>
        </w:numPr>
        <w:adjustRightInd/>
        <w:snapToGrid w:val="0"/>
        <w:spacing w:line="360" w:lineRule="auto"/>
        <w:rPr>
          <w:rFonts w:hint="default" w:hAnsi="宋体" w:cs="宋体"/>
          <w:color w:val="auto"/>
          <w:spacing w:val="6"/>
          <w:szCs w:val="21"/>
          <w:highlight w:val="none"/>
        </w:rPr>
      </w:pPr>
      <w:r>
        <w:rPr>
          <w:rFonts w:hAnsi="宋体" w:cs="宋体"/>
          <w:color w:val="auto"/>
          <w:szCs w:val="21"/>
          <w:highlight w:val="none"/>
        </w:rPr>
        <w:t>B.法定代表人或负责人或实际控制人是夫妻关系</w:t>
      </w:r>
    </w:p>
    <w:p w14:paraId="575E43A2">
      <w:pPr>
        <w:pStyle w:val="464"/>
        <w:numPr>
          <w:ilvl w:val="0"/>
          <w:numId w:val="0"/>
        </w:numPr>
        <w:adjustRightInd/>
        <w:snapToGrid w:val="0"/>
        <w:spacing w:line="360" w:lineRule="auto"/>
        <w:rPr>
          <w:rFonts w:hint="default" w:hAnsi="宋体" w:cs="宋体"/>
          <w:color w:val="auto"/>
          <w:spacing w:val="6"/>
          <w:szCs w:val="21"/>
          <w:highlight w:val="none"/>
        </w:rPr>
      </w:pPr>
      <w:r>
        <w:rPr>
          <w:rFonts w:hAnsi="宋体" w:cs="宋体"/>
          <w:color w:val="auto"/>
          <w:szCs w:val="21"/>
          <w:highlight w:val="none"/>
        </w:rPr>
        <w:t>C.法定代表人或负责人或实际控制人是直系血亲关系</w:t>
      </w:r>
    </w:p>
    <w:p w14:paraId="650A70C1">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D.法定代表人或负责人或实际控制人存在三代以内旁系血亲关系</w:t>
      </w:r>
    </w:p>
    <w:p w14:paraId="7BB4E313">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E.法定代表人或负责人或实际控制人存在近姻亲关系</w:t>
      </w:r>
    </w:p>
    <w:p w14:paraId="506A4599">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F.法定代表人或负责人或实际控制人存在股份控制或实际控制关系</w:t>
      </w:r>
      <w:bookmarkStart w:id="177" w:name="_Toc11926"/>
    </w:p>
    <w:p w14:paraId="07AC2FB7">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G.存在共同直接或间接投资设立子公司、联营企业和合营企业情况</w:t>
      </w:r>
      <w:bookmarkEnd w:id="177"/>
    </w:p>
    <w:p w14:paraId="697151EB">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H.存在分级代理或代销关系、同一生产制造商关系、管理关系、重要业务（占主营业务收入50%以上）或重要财务往来关系（如融资）等其他实质性控制关系</w:t>
      </w:r>
    </w:p>
    <w:p w14:paraId="06F97388">
      <w:pPr>
        <w:pStyle w:val="464"/>
        <w:numPr>
          <w:ilvl w:val="0"/>
          <w:numId w:val="0"/>
        </w:numPr>
        <w:adjustRightInd/>
        <w:snapToGrid w:val="0"/>
        <w:spacing w:line="360" w:lineRule="auto"/>
        <w:rPr>
          <w:rFonts w:hint="default" w:hAnsi="宋体" w:cs="宋体"/>
          <w:color w:val="auto"/>
          <w:spacing w:val="6"/>
          <w:szCs w:val="21"/>
          <w:highlight w:val="none"/>
        </w:rPr>
      </w:pPr>
      <w:r>
        <w:rPr>
          <w:rFonts w:hAnsi="宋体" w:cs="宋体"/>
          <w:color w:val="auto"/>
          <w:szCs w:val="21"/>
          <w:highlight w:val="none"/>
        </w:rPr>
        <w:t>I.其他利害关系情况</w:t>
      </w:r>
      <w:r>
        <w:rPr>
          <w:rFonts w:hAnsi="宋体" w:cs="宋体"/>
          <w:color w:val="auto"/>
          <w:szCs w:val="21"/>
          <w:highlight w:val="none"/>
          <w:u w:val="single"/>
        </w:rPr>
        <w:t xml:space="preserve">                              </w:t>
      </w:r>
      <w:r>
        <w:rPr>
          <w:rFonts w:hAnsi="宋体" w:cs="宋体"/>
          <w:color w:val="auto"/>
          <w:szCs w:val="21"/>
          <w:highlight w:val="none"/>
        </w:rPr>
        <w:t>。</w:t>
      </w:r>
    </w:p>
    <w:p w14:paraId="37F74102">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szCs w:val="21"/>
          <w:highlight w:val="none"/>
        </w:rPr>
        <w:t>三、现已清楚知道并</w:t>
      </w:r>
      <w:r>
        <w:rPr>
          <w:rFonts w:ascii="宋体" w:hAnsi="宋体" w:cs="宋体"/>
          <w:color w:val="auto"/>
          <w:kern w:val="0"/>
          <w:szCs w:val="21"/>
          <w:highlight w:val="none"/>
        </w:rPr>
        <w:t>严格遵守政府采购法律法规和现场纪律。</w:t>
      </w:r>
    </w:p>
    <w:p w14:paraId="574A7686">
      <w:pPr>
        <w:pStyle w:val="465"/>
        <w:widowControl/>
        <w:snapToGrid w:val="0"/>
        <w:spacing w:line="360" w:lineRule="auto"/>
        <w:rPr>
          <w:rFonts w:hint="default" w:ascii="宋体" w:hAnsi="宋体" w:cs="宋体"/>
          <w:color w:val="auto"/>
          <w:kern w:val="0"/>
          <w:szCs w:val="21"/>
          <w:highlight w:val="none"/>
        </w:rPr>
      </w:pPr>
      <w:r>
        <w:rPr>
          <w:rFonts w:ascii="宋体" w:hAnsi="宋体" w:cs="宋体"/>
          <w:color w:val="auto"/>
          <w:kern w:val="0"/>
          <w:szCs w:val="21"/>
          <w:highlight w:val="none"/>
        </w:rPr>
        <w:t>四、我发现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00607870">
      <w:pPr>
        <w:pStyle w:val="464"/>
        <w:numPr>
          <w:ilvl w:val="0"/>
          <w:numId w:val="0"/>
        </w:numPr>
        <w:adjustRightInd/>
        <w:snapToGrid w:val="0"/>
        <w:spacing w:line="360" w:lineRule="auto"/>
        <w:rPr>
          <w:rFonts w:hint="default" w:hAnsi="宋体" w:cs="宋体"/>
          <w:color w:val="auto"/>
          <w:szCs w:val="21"/>
          <w:highlight w:val="none"/>
        </w:rPr>
      </w:pPr>
    </w:p>
    <w:p w14:paraId="611753FA">
      <w:pPr>
        <w:pStyle w:val="464"/>
        <w:numPr>
          <w:ilvl w:val="0"/>
          <w:numId w:val="0"/>
        </w:numPr>
        <w:adjustRightInd/>
        <w:snapToGrid w:val="0"/>
        <w:spacing w:line="360" w:lineRule="auto"/>
        <w:rPr>
          <w:rFonts w:hint="default" w:hAnsi="宋体" w:cs="宋体"/>
          <w:color w:val="auto"/>
          <w:szCs w:val="21"/>
          <w:highlight w:val="none"/>
        </w:rPr>
      </w:pPr>
      <w:r>
        <w:rPr>
          <w:rFonts w:hAnsi="宋体" w:cs="宋体"/>
          <w:color w:val="auto"/>
          <w:szCs w:val="21"/>
          <w:highlight w:val="none"/>
        </w:rPr>
        <w:t>（供应商代表签名）：                                   202</w:t>
      </w:r>
      <w:r>
        <w:rPr>
          <w:rFonts w:hint="eastAsia" w:hAnsi="宋体" w:cs="宋体"/>
          <w:color w:val="auto"/>
          <w:szCs w:val="21"/>
          <w:highlight w:val="none"/>
          <w:lang w:val="en-US" w:eastAsia="zh-CN"/>
        </w:rPr>
        <w:t>5</w:t>
      </w:r>
      <w:r>
        <w:rPr>
          <w:rFonts w:hAnsi="宋体" w:cs="宋体"/>
          <w:color w:val="auto"/>
          <w:szCs w:val="21"/>
          <w:highlight w:val="none"/>
        </w:rPr>
        <w:t>年  月   日</w:t>
      </w:r>
    </w:p>
    <w:p w14:paraId="78F3BD90">
      <w:pPr>
        <w:pStyle w:val="464"/>
        <w:numPr>
          <w:ilvl w:val="0"/>
          <w:numId w:val="0"/>
        </w:numPr>
        <w:adjustRightInd/>
        <w:snapToGrid w:val="0"/>
        <w:spacing w:line="360" w:lineRule="auto"/>
        <w:rPr>
          <w:rFonts w:hint="default" w:ascii="仿宋" w:hAnsi="仿宋" w:eastAsia="仿宋" w:cs="仿宋"/>
          <w:color w:val="auto"/>
          <w:sz w:val="24"/>
          <w:szCs w:val="24"/>
          <w:highlight w:val="none"/>
        </w:rPr>
      </w:pPr>
    </w:p>
    <w:p w14:paraId="0D979712">
      <w:pPr>
        <w:pStyle w:val="464"/>
        <w:numPr>
          <w:ilvl w:val="0"/>
          <w:numId w:val="0"/>
        </w:numPr>
        <w:adjustRightInd/>
        <w:snapToGrid w:val="0"/>
        <w:spacing w:line="360" w:lineRule="auto"/>
        <w:rPr>
          <w:rFonts w:hint="default" w:ascii="仿宋" w:hAnsi="仿宋" w:eastAsia="仿宋" w:cs="仿宋"/>
          <w:color w:val="auto"/>
          <w:sz w:val="24"/>
          <w:szCs w:val="24"/>
          <w:highlight w:val="none"/>
        </w:rPr>
        <w:sectPr>
          <w:pgSz w:w="11906" w:h="16838"/>
          <w:pgMar w:top="1440" w:right="1440" w:bottom="1440" w:left="1440" w:header="851" w:footer="850" w:gutter="0"/>
          <w:cols w:space="720" w:num="1"/>
          <w:docGrid w:linePitch="312" w:charSpace="0"/>
        </w:sectPr>
      </w:pPr>
    </w:p>
    <w:tbl>
      <w:tblPr>
        <w:tblStyle w:val="79"/>
        <w:tblW w:w="0" w:type="auto"/>
        <w:tblInd w:w="-176" w:type="dxa"/>
        <w:tblLayout w:type="fixed"/>
        <w:tblCellMar>
          <w:top w:w="0" w:type="dxa"/>
          <w:left w:w="108" w:type="dxa"/>
          <w:bottom w:w="0" w:type="dxa"/>
          <w:right w:w="108" w:type="dxa"/>
        </w:tblCellMar>
      </w:tblPr>
      <w:tblGrid>
        <w:gridCol w:w="2003"/>
        <w:gridCol w:w="1512"/>
        <w:gridCol w:w="1723"/>
        <w:gridCol w:w="1740"/>
        <w:gridCol w:w="1330"/>
        <w:gridCol w:w="1570"/>
        <w:gridCol w:w="1600"/>
        <w:gridCol w:w="1072"/>
        <w:gridCol w:w="1388"/>
        <w:gridCol w:w="1133"/>
        <w:gridCol w:w="6"/>
      </w:tblGrid>
      <w:tr w14:paraId="747C7CFC">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vAlign w:val="bottom"/>
          </w:tcPr>
          <w:p w14:paraId="235A82DC">
            <w:pPr>
              <w:widowControl/>
              <w:wordWrap w:val="0"/>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highlight w:val="none"/>
              </w:rPr>
              <w:t>中小微行业划型标准规定（根据工信部联企业〔</w:t>
            </w:r>
            <w:r>
              <w:rPr>
                <w:rFonts w:ascii="宋体" w:hAnsi="宋体" w:cs="宋体"/>
                <w:b/>
                <w:bCs/>
                <w:color w:val="auto"/>
                <w:kern w:val="0"/>
                <w:highlight w:val="none"/>
              </w:rPr>
              <w:t>2011</w:t>
            </w:r>
            <w:r>
              <w:rPr>
                <w:rFonts w:hint="eastAsia" w:ascii="宋体" w:hAnsi="宋体" w:cs="宋体"/>
                <w:b/>
                <w:bCs/>
                <w:color w:val="auto"/>
                <w:kern w:val="0"/>
                <w:highlight w:val="none"/>
              </w:rPr>
              <w:t>〕</w:t>
            </w:r>
            <w:r>
              <w:rPr>
                <w:rFonts w:ascii="宋体" w:hAnsi="宋体" w:cs="宋体"/>
                <w:b/>
                <w:bCs/>
                <w:color w:val="auto"/>
                <w:kern w:val="0"/>
                <w:highlight w:val="none"/>
              </w:rPr>
              <w:t>300</w:t>
            </w:r>
            <w:r>
              <w:rPr>
                <w:rFonts w:hint="eastAsia" w:ascii="宋体" w:hAnsi="宋体" w:cs="宋体"/>
                <w:b/>
                <w:bCs/>
                <w:color w:val="auto"/>
                <w:kern w:val="0"/>
                <w:highlight w:val="none"/>
              </w:rPr>
              <w:t>号制定）</w:t>
            </w:r>
          </w:p>
        </w:tc>
      </w:tr>
      <w:tr w14:paraId="4F5F3A8C">
        <w:tblPrEx>
          <w:tblCellMar>
            <w:top w:w="0" w:type="dxa"/>
            <w:left w:w="108" w:type="dxa"/>
            <w:bottom w:w="0" w:type="dxa"/>
            <w:right w:w="108" w:type="dxa"/>
          </w:tblCellMar>
        </w:tblPrEx>
        <w:trPr>
          <w:gridAfter w:val="1"/>
          <w:wAfter w:w="6" w:type="dxa"/>
          <w:trHeight w:val="371"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7EDC8B44">
            <w:pPr>
              <w:widowControl/>
              <w:wordWrap w:val="0"/>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行业</w:t>
            </w:r>
          </w:p>
        </w:tc>
        <w:tc>
          <w:tcPr>
            <w:tcW w:w="4975" w:type="dxa"/>
            <w:gridSpan w:val="3"/>
            <w:tcBorders>
              <w:top w:val="single" w:color="auto" w:sz="8" w:space="0"/>
              <w:left w:val="nil"/>
              <w:bottom w:val="single" w:color="auto" w:sz="4" w:space="0"/>
              <w:right w:val="single" w:color="000000" w:sz="8" w:space="0"/>
            </w:tcBorders>
            <w:vAlign w:val="bottom"/>
          </w:tcPr>
          <w:p w14:paraId="19452253">
            <w:pPr>
              <w:widowControl/>
              <w:wordWrap w:val="0"/>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中型企业</w:t>
            </w:r>
          </w:p>
        </w:tc>
        <w:tc>
          <w:tcPr>
            <w:tcW w:w="4500" w:type="dxa"/>
            <w:gridSpan w:val="3"/>
            <w:tcBorders>
              <w:top w:val="single" w:color="auto" w:sz="8" w:space="0"/>
              <w:left w:val="nil"/>
              <w:bottom w:val="single" w:color="auto" w:sz="4" w:space="0"/>
              <w:right w:val="single" w:color="000000" w:sz="8" w:space="0"/>
            </w:tcBorders>
            <w:vAlign w:val="bottom"/>
          </w:tcPr>
          <w:p w14:paraId="2BF97265">
            <w:pPr>
              <w:widowControl/>
              <w:wordWrap w:val="0"/>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小型企业</w:t>
            </w:r>
          </w:p>
        </w:tc>
        <w:tc>
          <w:tcPr>
            <w:tcW w:w="3593" w:type="dxa"/>
            <w:gridSpan w:val="3"/>
            <w:tcBorders>
              <w:top w:val="single" w:color="auto" w:sz="8" w:space="0"/>
              <w:left w:val="nil"/>
              <w:bottom w:val="single" w:color="auto" w:sz="4" w:space="0"/>
              <w:right w:val="single" w:color="000000" w:sz="8" w:space="0"/>
            </w:tcBorders>
            <w:vAlign w:val="bottom"/>
          </w:tcPr>
          <w:p w14:paraId="711729C2">
            <w:pPr>
              <w:widowControl/>
              <w:wordWrap w:val="0"/>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微型企业</w:t>
            </w:r>
          </w:p>
        </w:tc>
      </w:tr>
      <w:tr w14:paraId="40EBC0A2">
        <w:tblPrEx>
          <w:tblCellMar>
            <w:top w:w="0" w:type="dxa"/>
            <w:left w:w="108" w:type="dxa"/>
            <w:bottom w:w="0" w:type="dxa"/>
            <w:right w:w="108" w:type="dxa"/>
          </w:tblCellMar>
        </w:tblPrEx>
        <w:trPr>
          <w:gridAfter w:val="1"/>
          <w:wAfter w:w="6" w:type="dxa"/>
          <w:trHeight w:val="0"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5AE8DBB4">
            <w:pPr>
              <w:widowControl/>
              <w:wordWrap w:val="0"/>
              <w:spacing w:line="360" w:lineRule="auto"/>
              <w:jc w:val="left"/>
              <w:rPr>
                <w:rFonts w:ascii="宋体" w:hAnsi="宋体" w:cs="宋体"/>
                <w:b/>
                <w:bCs/>
                <w:color w:val="auto"/>
                <w:kern w:val="0"/>
                <w:highlight w:val="none"/>
              </w:rPr>
            </w:pPr>
          </w:p>
        </w:tc>
        <w:tc>
          <w:tcPr>
            <w:tcW w:w="1512" w:type="dxa"/>
            <w:tcBorders>
              <w:top w:val="nil"/>
              <w:left w:val="nil"/>
              <w:bottom w:val="single" w:color="auto" w:sz="4" w:space="0"/>
              <w:right w:val="single" w:color="auto" w:sz="4" w:space="0"/>
            </w:tcBorders>
            <w:vAlign w:val="bottom"/>
          </w:tcPr>
          <w:p w14:paraId="4F7F7C92">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23" w:type="dxa"/>
            <w:tcBorders>
              <w:top w:val="nil"/>
              <w:left w:val="nil"/>
              <w:bottom w:val="single" w:color="auto" w:sz="4" w:space="0"/>
              <w:right w:val="single" w:color="auto" w:sz="4" w:space="0"/>
            </w:tcBorders>
            <w:vAlign w:val="bottom"/>
          </w:tcPr>
          <w:p w14:paraId="3B4C0F5F">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9E33296">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740" w:type="dxa"/>
            <w:tcBorders>
              <w:top w:val="nil"/>
              <w:left w:val="nil"/>
              <w:bottom w:val="single" w:color="auto" w:sz="4" w:space="0"/>
              <w:right w:val="single" w:color="auto" w:sz="8" w:space="0"/>
            </w:tcBorders>
            <w:vAlign w:val="bottom"/>
          </w:tcPr>
          <w:p w14:paraId="3E94DAC2">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2EF32889">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330" w:type="dxa"/>
            <w:tcBorders>
              <w:top w:val="nil"/>
              <w:left w:val="nil"/>
              <w:bottom w:val="single" w:color="auto" w:sz="4" w:space="0"/>
              <w:right w:val="single" w:color="auto" w:sz="4" w:space="0"/>
            </w:tcBorders>
            <w:vAlign w:val="bottom"/>
          </w:tcPr>
          <w:p w14:paraId="1E21F188">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570" w:type="dxa"/>
            <w:tcBorders>
              <w:top w:val="nil"/>
              <w:left w:val="nil"/>
              <w:bottom w:val="single" w:color="auto" w:sz="4" w:space="0"/>
              <w:right w:val="single" w:color="auto" w:sz="4" w:space="0"/>
            </w:tcBorders>
            <w:vAlign w:val="bottom"/>
          </w:tcPr>
          <w:p w14:paraId="1DA51EA2">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E38E636">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00" w:type="dxa"/>
            <w:tcBorders>
              <w:top w:val="nil"/>
              <w:left w:val="nil"/>
              <w:bottom w:val="single" w:color="auto" w:sz="4" w:space="0"/>
              <w:right w:val="single" w:color="auto" w:sz="8" w:space="0"/>
            </w:tcBorders>
            <w:vAlign w:val="bottom"/>
          </w:tcPr>
          <w:p w14:paraId="47B66876">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5CE1C489">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072" w:type="dxa"/>
            <w:tcBorders>
              <w:top w:val="nil"/>
              <w:left w:val="nil"/>
              <w:bottom w:val="single" w:color="auto" w:sz="4" w:space="0"/>
              <w:right w:val="single" w:color="auto" w:sz="4" w:space="0"/>
            </w:tcBorders>
            <w:vAlign w:val="bottom"/>
          </w:tcPr>
          <w:p w14:paraId="247093EB">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388" w:type="dxa"/>
            <w:tcBorders>
              <w:top w:val="nil"/>
              <w:left w:val="nil"/>
              <w:bottom w:val="single" w:color="auto" w:sz="4" w:space="0"/>
              <w:right w:val="single" w:color="auto" w:sz="4" w:space="0"/>
            </w:tcBorders>
            <w:vAlign w:val="bottom"/>
          </w:tcPr>
          <w:p w14:paraId="7B82BA56">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133" w:type="dxa"/>
            <w:tcBorders>
              <w:top w:val="nil"/>
              <w:left w:val="nil"/>
              <w:bottom w:val="single" w:color="auto" w:sz="4" w:space="0"/>
              <w:right w:val="single" w:color="auto" w:sz="8" w:space="0"/>
            </w:tcBorders>
            <w:vAlign w:val="bottom"/>
          </w:tcPr>
          <w:p w14:paraId="5700F573">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6A2DE4BB">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271FEF4E">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14:paraId="746B5A8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723" w:type="dxa"/>
            <w:tcBorders>
              <w:top w:val="nil"/>
              <w:left w:val="nil"/>
              <w:bottom w:val="single" w:color="auto" w:sz="4" w:space="0"/>
              <w:right w:val="single" w:color="auto" w:sz="4" w:space="0"/>
            </w:tcBorders>
            <w:vAlign w:val="center"/>
          </w:tcPr>
          <w:p w14:paraId="3D16FD3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740" w:type="dxa"/>
            <w:tcBorders>
              <w:top w:val="nil"/>
              <w:left w:val="nil"/>
              <w:bottom w:val="single" w:color="auto" w:sz="4" w:space="0"/>
              <w:right w:val="single" w:color="auto" w:sz="8" w:space="0"/>
            </w:tcBorders>
            <w:vAlign w:val="center"/>
          </w:tcPr>
          <w:p w14:paraId="42AE9E4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301AAC0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570" w:type="dxa"/>
            <w:tcBorders>
              <w:top w:val="nil"/>
              <w:left w:val="nil"/>
              <w:bottom w:val="single" w:color="auto" w:sz="4" w:space="0"/>
              <w:right w:val="single" w:color="auto" w:sz="4" w:space="0"/>
            </w:tcBorders>
            <w:vAlign w:val="center"/>
          </w:tcPr>
          <w:p w14:paraId="5667C39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600" w:type="dxa"/>
            <w:tcBorders>
              <w:top w:val="nil"/>
              <w:left w:val="nil"/>
              <w:bottom w:val="single" w:color="auto" w:sz="4" w:space="0"/>
              <w:right w:val="single" w:color="auto" w:sz="8" w:space="0"/>
            </w:tcBorders>
            <w:vAlign w:val="center"/>
          </w:tcPr>
          <w:p w14:paraId="75EC605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487C2A9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88" w:type="dxa"/>
            <w:tcBorders>
              <w:top w:val="nil"/>
              <w:left w:val="nil"/>
              <w:bottom w:val="single" w:color="auto" w:sz="4" w:space="0"/>
              <w:right w:val="single" w:color="auto" w:sz="4" w:space="0"/>
            </w:tcBorders>
            <w:vAlign w:val="center"/>
          </w:tcPr>
          <w:p w14:paraId="27F4E37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133" w:type="dxa"/>
            <w:tcBorders>
              <w:top w:val="nil"/>
              <w:left w:val="nil"/>
              <w:bottom w:val="single" w:color="auto" w:sz="4" w:space="0"/>
              <w:right w:val="single" w:color="auto" w:sz="8" w:space="0"/>
            </w:tcBorders>
            <w:vAlign w:val="center"/>
          </w:tcPr>
          <w:p w14:paraId="4C1CA35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22B39FCB">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1B387BF8">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14:paraId="5A291D1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3" w:type="dxa"/>
            <w:tcBorders>
              <w:top w:val="nil"/>
              <w:left w:val="nil"/>
              <w:bottom w:val="single" w:color="auto" w:sz="4" w:space="0"/>
              <w:right w:val="single" w:color="auto" w:sz="4" w:space="0"/>
            </w:tcBorders>
            <w:vAlign w:val="center"/>
          </w:tcPr>
          <w:p w14:paraId="7203B56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740" w:type="dxa"/>
            <w:tcBorders>
              <w:top w:val="nil"/>
              <w:left w:val="nil"/>
              <w:bottom w:val="single" w:color="auto" w:sz="4" w:space="0"/>
              <w:right w:val="single" w:color="auto" w:sz="8" w:space="0"/>
            </w:tcBorders>
            <w:vAlign w:val="center"/>
          </w:tcPr>
          <w:p w14:paraId="7500B67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0408FB0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70" w:type="dxa"/>
            <w:tcBorders>
              <w:top w:val="nil"/>
              <w:left w:val="nil"/>
              <w:bottom w:val="single" w:color="auto" w:sz="4" w:space="0"/>
              <w:right w:val="single" w:color="auto" w:sz="4" w:space="0"/>
            </w:tcBorders>
            <w:vAlign w:val="center"/>
          </w:tcPr>
          <w:p w14:paraId="5D869C4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600" w:type="dxa"/>
            <w:tcBorders>
              <w:top w:val="nil"/>
              <w:left w:val="nil"/>
              <w:bottom w:val="single" w:color="auto" w:sz="4" w:space="0"/>
              <w:right w:val="single" w:color="auto" w:sz="8" w:space="0"/>
            </w:tcBorders>
            <w:vAlign w:val="center"/>
          </w:tcPr>
          <w:p w14:paraId="402C96D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4F47B1A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388" w:type="dxa"/>
            <w:tcBorders>
              <w:top w:val="nil"/>
              <w:left w:val="nil"/>
              <w:bottom w:val="single" w:color="auto" w:sz="4" w:space="0"/>
              <w:right w:val="single" w:color="auto" w:sz="4" w:space="0"/>
            </w:tcBorders>
            <w:vAlign w:val="center"/>
          </w:tcPr>
          <w:p w14:paraId="407749C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133" w:type="dxa"/>
            <w:tcBorders>
              <w:top w:val="nil"/>
              <w:left w:val="nil"/>
              <w:bottom w:val="single" w:color="auto" w:sz="4" w:space="0"/>
              <w:right w:val="single" w:color="auto" w:sz="8" w:space="0"/>
            </w:tcBorders>
            <w:vAlign w:val="center"/>
          </w:tcPr>
          <w:p w14:paraId="3D0BEBF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11521AA2">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59D10B3C">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14:paraId="281B7DA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723" w:type="dxa"/>
            <w:tcBorders>
              <w:top w:val="nil"/>
              <w:left w:val="nil"/>
              <w:bottom w:val="single" w:color="auto" w:sz="4" w:space="0"/>
              <w:right w:val="single" w:color="auto" w:sz="4" w:space="0"/>
            </w:tcBorders>
            <w:vAlign w:val="center"/>
          </w:tcPr>
          <w:p w14:paraId="71EA933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740" w:type="dxa"/>
            <w:tcBorders>
              <w:top w:val="nil"/>
              <w:left w:val="nil"/>
              <w:bottom w:val="single" w:color="auto" w:sz="4" w:space="0"/>
              <w:right w:val="single" w:color="auto" w:sz="8" w:space="0"/>
            </w:tcBorders>
            <w:vAlign w:val="center"/>
          </w:tcPr>
          <w:p w14:paraId="6E45E8C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330" w:type="dxa"/>
            <w:tcBorders>
              <w:top w:val="nil"/>
              <w:left w:val="nil"/>
              <w:bottom w:val="single" w:color="auto" w:sz="4" w:space="0"/>
              <w:right w:val="single" w:color="auto" w:sz="4" w:space="0"/>
            </w:tcBorders>
            <w:vAlign w:val="center"/>
          </w:tcPr>
          <w:p w14:paraId="55E452A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570" w:type="dxa"/>
            <w:tcBorders>
              <w:top w:val="nil"/>
              <w:left w:val="nil"/>
              <w:bottom w:val="single" w:color="auto" w:sz="4" w:space="0"/>
              <w:right w:val="single" w:color="auto" w:sz="4" w:space="0"/>
            </w:tcBorders>
            <w:vAlign w:val="center"/>
          </w:tcPr>
          <w:p w14:paraId="1B36CDA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600" w:type="dxa"/>
            <w:tcBorders>
              <w:top w:val="nil"/>
              <w:left w:val="nil"/>
              <w:bottom w:val="single" w:color="auto" w:sz="4" w:space="0"/>
              <w:right w:val="single" w:color="auto" w:sz="8" w:space="0"/>
            </w:tcBorders>
            <w:vAlign w:val="center"/>
          </w:tcPr>
          <w:p w14:paraId="79CB28D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072" w:type="dxa"/>
            <w:tcBorders>
              <w:top w:val="nil"/>
              <w:left w:val="nil"/>
              <w:bottom w:val="single" w:color="auto" w:sz="4" w:space="0"/>
              <w:right w:val="single" w:color="auto" w:sz="4" w:space="0"/>
            </w:tcBorders>
            <w:vAlign w:val="center"/>
          </w:tcPr>
          <w:p w14:paraId="2E282CC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88" w:type="dxa"/>
            <w:tcBorders>
              <w:top w:val="nil"/>
              <w:left w:val="nil"/>
              <w:bottom w:val="single" w:color="auto" w:sz="4" w:space="0"/>
              <w:right w:val="single" w:color="auto" w:sz="4" w:space="0"/>
            </w:tcBorders>
            <w:vAlign w:val="center"/>
          </w:tcPr>
          <w:p w14:paraId="76E3780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133" w:type="dxa"/>
            <w:tcBorders>
              <w:top w:val="nil"/>
              <w:left w:val="nil"/>
              <w:bottom w:val="single" w:color="auto" w:sz="4" w:space="0"/>
              <w:right w:val="single" w:color="auto" w:sz="8" w:space="0"/>
            </w:tcBorders>
            <w:vAlign w:val="center"/>
          </w:tcPr>
          <w:p w14:paraId="752D51A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5B91EE71">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25539617">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14:paraId="65BE18A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3" w:type="dxa"/>
            <w:tcBorders>
              <w:top w:val="nil"/>
              <w:left w:val="nil"/>
              <w:bottom w:val="single" w:color="auto" w:sz="4" w:space="0"/>
              <w:right w:val="single" w:color="auto" w:sz="4" w:space="0"/>
            </w:tcBorders>
            <w:vAlign w:val="center"/>
          </w:tcPr>
          <w:p w14:paraId="05A64D2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740" w:type="dxa"/>
            <w:tcBorders>
              <w:top w:val="nil"/>
              <w:left w:val="nil"/>
              <w:bottom w:val="single" w:color="auto" w:sz="4" w:space="0"/>
              <w:right w:val="single" w:color="auto" w:sz="8" w:space="0"/>
            </w:tcBorders>
            <w:vAlign w:val="center"/>
          </w:tcPr>
          <w:p w14:paraId="46FFE71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07EAB5D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570" w:type="dxa"/>
            <w:tcBorders>
              <w:top w:val="nil"/>
              <w:left w:val="nil"/>
              <w:bottom w:val="single" w:color="auto" w:sz="4" w:space="0"/>
              <w:right w:val="single" w:color="auto" w:sz="4" w:space="0"/>
            </w:tcBorders>
            <w:vAlign w:val="center"/>
          </w:tcPr>
          <w:p w14:paraId="10EB078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00" w:type="dxa"/>
            <w:tcBorders>
              <w:top w:val="nil"/>
              <w:left w:val="nil"/>
              <w:bottom w:val="single" w:color="auto" w:sz="4" w:space="0"/>
              <w:right w:val="single" w:color="auto" w:sz="8" w:space="0"/>
            </w:tcBorders>
            <w:vAlign w:val="center"/>
          </w:tcPr>
          <w:p w14:paraId="3BDC217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3E901A6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388" w:type="dxa"/>
            <w:tcBorders>
              <w:top w:val="nil"/>
              <w:left w:val="nil"/>
              <w:bottom w:val="single" w:color="auto" w:sz="4" w:space="0"/>
              <w:right w:val="single" w:color="auto" w:sz="4" w:space="0"/>
            </w:tcBorders>
            <w:vAlign w:val="center"/>
          </w:tcPr>
          <w:p w14:paraId="767F0A5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133" w:type="dxa"/>
            <w:tcBorders>
              <w:top w:val="nil"/>
              <w:left w:val="nil"/>
              <w:bottom w:val="single" w:color="auto" w:sz="4" w:space="0"/>
              <w:right w:val="single" w:color="auto" w:sz="8" w:space="0"/>
            </w:tcBorders>
            <w:vAlign w:val="center"/>
          </w:tcPr>
          <w:p w14:paraId="7DE6327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711DB69F">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68136424">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14:paraId="3767294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4" w:space="0"/>
              <w:right w:val="single" w:color="auto" w:sz="4" w:space="0"/>
            </w:tcBorders>
            <w:vAlign w:val="center"/>
          </w:tcPr>
          <w:p w14:paraId="23FBFD3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740" w:type="dxa"/>
            <w:tcBorders>
              <w:top w:val="nil"/>
              <w:left w:val="nil"/>
              <w:bottom w:val="single" w:color="auto" w:sz="4" w:space="0"/>
              <w:right w:val="single" w:color="auto" w:sz="8" w:space="0"/>
            </w:tcBorders>
            <w:vAlign w:val="center"/>
          </w:tcPr>
          <w:p w14:paraId="57C2830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4063760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570" w:type="dxa"/>
            <w:tcBorders>
              <w:top w:val="nil"/>
              <w:left w:val="nil"/>
              <w:bottom w:val="single" w:color="auto" w:sz="4" w:space="0"/>
              <w:right w:val="single" w:color="auto" w:sz="4" w:space="0"/>
            </w:tcBorders>
            <w:vAlign w:val="center"/>
          </w:tcPr>
          <w:p w14:paraId="4DA4D0A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600" w:type="dxa"/>
            <w:tcBorders>
              <w:top w:val="nil"/>
              <w:left w:val="nil"/>
              <w:bottom w:val="single" w:color="auto" w:sz="4" w:space="0"/>
              <w:right w:val="single" w:color="auto" w:sz="8" w:space="0"/>
            </w:tcBorders>
            <w:vAlign w:val="center"/>
          </w:tcPr>
          <w:p w14:paraId="4A7E437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06B7B91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4051AF0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5E8F619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76DAC22C">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2C7EFF49">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14:paraId="49560DD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3" w:type="dxa"/>
            <w:tcBorders>
              <w:top w:val="nil"/>
              <w:left w:val="nil"/>
              <w:bottom w:val="single" w:color="auto" w:sz="4" w:space="0"/>
              <w:right w:val="single" w:color="auto" w:sz="4" w:space="0"/>
            </w:tcBorders>
            <w:vAlign w:val="center"/>
          </w:tcPr>
          <w:p w14:paraId="074E821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740" w:type="dxa"/>
            <w:tcBorders>
              <w:top w:val="nil"/>
              <w:left w:val="nil"/>
              <w:bottom w:val="single" w:color="auto" w:sz="4" w:space="0"/>
              <w:right w:val="single" w:color="auto" w:sz="8" w:space="0"/>
            </w:tcBorders>
            <w:vAlign w:val="center"/>
          </w:tcPr>
          <w:p w14:paraId="5B89F61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73E9AEB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70" w:type="dxa"/>
            <w:tcBorders>
              <w:top w:val="nil"/>
              <w:left w:val="nil"/>
              <w:bottom w:val="single" w:color="auto" w:sz="4" w:space="0"/>
              <w:right w:val="single" w:color="auto" w:sz="4" w:space="0"/>
            </w:tcBorders>
            <w:vAlign w:val="center"/>
          </w:tcPr>
          <w:p w14:paraId="60FD871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600" w:type="dxa"/>
            <w:tcBorders>
              <w:top w:val="nil"/>
              <w:left w:val="nil"/>
              <w:bottom w:val="single" w:color="auto" w:sz="4" w:space="0"/>
              <w:right w:val="single" w:color="auto" w:sz="8" w:space="0"/>
            </w:tcBorders>
            <w:vAlign w:val="center"/>
          </w:tcPr>
          <w:p w14:paraId="5183DB6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526BE54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388" w:type="dxa"/>
            <w:tcBorders>
              <w:top w:val="nil"/>
              <w:left w:val="nil"/>
              <w:bottom w:val="single" w:color="auto" w:sz="4" w:space="0"/>
              <w:right w:val="single" w:color="auto" w:sz="4" w:space="0"/>
            </w:tcBorders>
            <w:vAlign w:val="center"/>
          </w:tcPr>
          <w:p w14:paraId="2986CC3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133" w:type="dxa"/>
            <w:tcBorders>
              <w:top w:val="nil"/>
              <w:left w:val="nil"/>
              <w:bottom w:val="single" w:color="auto" w:sz="4" w:space="0"/>
              <w:right w:val="single" w:color="auto" w:sz="8" w:space="0"/>
            </w:tcBorders>
            <w:vAlign w:val="center"/>
          </w:tcPr>
          <w:p w14:paraId="50F0E46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10360E6A">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09E6CC45">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14:paraId="35A74F2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3" w:type="dxa"/>
            <w:tcBorders>
              <w:top w:val="nil"/>
              <w:left w:val="nil"/>
              <w:bottom w:val="single" w:color="auto" w:sz="4" w:space="0"/>
              <w:right w:val="single" w:color="auto" w:sz="4" w:space="0"/>
            </w:tcBorders>
            <w:vAlign w:val="center"/>
          </w:tcPr>
          <w:p w14:paraId="16334AF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740" w:type="dxa"/>
            <w:tcBorders>
              <w:top w:val="nil"/>
              <w:left w:val="nil"/>
              <w:bottom w:val="single" w:color="auto" w:sz="4" w:space="0"/>
              <w:right w:val="single" w:color="auto" w:sz="8" w:space="0"/>
            </w:tcBorders>
            <w:vAlign w:val="center"/>
          </w:tcPr>
          <w:p w14:paraId="71D7C11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1F9F611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2C2D9F8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600" w:type="dxa"/>
            <w:tcBorders>
              <w:top w:val="nil"/>
              <w:left w:val="nil"/>
              <w:bottom w:val="single" w:color="auto" w:sz="4" w:space="0"/>
              <w:right w:val="single" w:color="auto" w:sz="8" w:space="0"/>
            </w:tcBorders>
            <w:vAlign w:val="center"/>
          </w:tcPr>
          <w:p w14:paraId="1C45088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128CB77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388" w:type="dxa"/>
            <w:tcBorders>
              <w:top w:val="nil"/>
              <w:left w:val="nil"/>
              <w:bottom w:val="single" w:color="auto" w:sz="4" w:space="0"/>
              <w:right w:val="single" w:color="auto" w:sz="4" w:space="0"/>
            </w:tcBorders>
            <w:vAlign w:val="center"/>
          </w:tcPr>
          <w:p w14:paraId="7BCB4A0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1EB4CC6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3CFED13E">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435D53E1">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14:paraId="6E097B5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3" w:type="dxa"/>
            <w:tcBorders>
              <w:top w:val="nil"/>
              <w:left w:val="nil"/>
              <w:bottom w:val="single" w:color="auto" w:sz="4" w:space="0"/>
              <w:right w:val="single" w:color="auto" w:sz="4" w:space="0"/>
            </w:tcBorders>
            <w:vAlign w:val="center"/>
          </w:tcPr>
          <w:p w14:paraId="6695877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740" w:type="dxa"/>
            <w:tcBorders>
              <w:top w:val="nil"/>
              <w:left w:val="nil"/>
              <w:bottom w:val="single" w:color="auto" w:sz="4" w:space="0"/>
              <w:right w:val="single" w:color="auto" w:sz="8" w:space="0"/>
            </w:tcBorders>
            <w:vAlign w:val="center"/>
          </w:tcPr>
          <w:p w14:paraId="29B1CAB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51CEBBC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70" w:type="dxa"/>
            <w:tcBorders>
              <w:top w:val="nil"/>
              <w:left w:val="nil"/>
              <w:bottom w:val="single" w:color="auto" w:sz="4" w:space="0"/>
              <w:right w:val="single" w:color="auto" w:sz="4" w:space="0"/>
            </w:tcBorders>
            <w:vAlign w:val="center"/>
          </w:tcPr>
          <w:p w14:paraId="5DEBE5A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600" w:type="dxa"/>
            <w:tcBorders>
              <w:top w:val="nil"/>
              <w:left w:val="nil"/>
              <w:bottom w:val="single" w:color="auto" w:sz="4" w:space="0"/>
              <w:right w:val="single" w:color="auto" w:sz="8" w:space="0"/>
            </w:tcBorders>
            <w:vAlign w:val="center"/>
          </w:tcPr>
          <w:p w14:paraId="4A4E875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6ABCA47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388" w:type="dxa"/>
            <w:tcBorders>
              <w:top w:val="nil"/>
              <w:left w:val="nil"/>
              <w:bottom w:val="single" w:color="auto" w:sz="4" w:space="0"/>
              <w:right w:val="single" w:color="auto" w:sz="4" w:space="0"/>
            </w:tcBorders>
            <w:vAlign w:val="center"/>
          </w:tcPr>
          <w:p w14:paraId="5E931E1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0C4BA6B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3E338897">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10BC8180">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14:paraId="7CCC2D7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4" w:space="0"/>
              <w:right w:val="single" w:color="auto" w:sz="4" w:space="0"/>
            </w:tcBorders>
            <w:vAlign w:val="center"/>
          </w:tcPr>
          <w:p w14:paraId="7D40BE6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740" w:type="dxa"/>
            <w:tcBorders>
              <w:top w:val="nil"/>
              <w:left w:val="nil"/>
              <w:bottom w:val="single" w:color="auto" w:sz="4" w:space="0"/>
              <w:right w:val="single" w:color="auto" w:sz="8" w:space="0"/>
            </w:tcBorders>
            <w:vAlign w:val="center"/>
          </w:tcPr>
          <w:p w14:paraId="0B93B73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7BACCFE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6EE19D2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600" w:type="dxa"/>
            <w:tcBorders>
              <w:top w:val="nil"/>
              <w:left w:val="nil"/>
              <w:bottom w:val="single" w:color="auto" w:sz="4" w:space="0"/>
              <w:right w:val="single" w:color="auto" w:sz="8" w:space="0"/>
            </w:tcBorders>
            <w:vAlign w:val="center"/>
          </w:tcPr>
          <w:p w14:paraId="2470DF8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7E8E6D2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76E296E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774079F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745BC36E">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1CE0BFAD">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14:paraId="4530336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4" w:space="0"/>
              <w:right w:val="single" w:color="auto" w:sz="4" w:space="0"/>
            </w:tcBorders>
            <w:vAlign w:val="center"/>
          </w:tcPr>
          <w:p w14:paraId="7F73B0A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740" w:type="dxa"/>
            <w:tcBorders>
              <w:top w:val="nil"/>
              <w:left w:val="nil"/>
              <w:bottom w:val="single" w:color="auto" w:sz="4" w:space="0"/>
              <w:right w:val="single" w:color="auto" w:sz="8" w:space="0"/>
            </w:tcBorders>
            <w:vAlign w:val="center"/>
          </w:tcPr>
          <w:p w14:paraId="75C42B9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24B979E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473E2D6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600" w:type="dxa"/>
            <w:tcBorders>
              <w:top w:val="nil"/>
              <w:left w:val="nil"/>
              <w:bottom w:val="single" w:color="auto" w:sz="4" w:space="0"/>
              <w:right w:val="single" w:color="auto" w:sz="8" w:space="0"/>
            </w:tcBorders>
            <w:vAlign w:val="center"/>
          </w:tcPr>
          <w:p w14:paraId="2A34F82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059D4A5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63DCD04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7EB9ED7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1C2526AE">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51E3D169">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14:paraId="498150C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23" w:type="dxa"/>
            <w:tcBorders>
              <w:top w:val="nil"/>
              <w:left w:val="nil"/>
              <w:bottom w:val="single" w:color="auto" w:sz="4" w:space="0"/>
              <w:right w:val="single" w:color="auto" w:sz="4" w:space="0"/>
            </w:tcBorders>
            <w:vAlign w:val="center"/>
          </w:tcPr>
          <w:p w14:paraId="12A60F4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740" w:type="dxa"/>
            <w:tcBorders>
              <w:top w:val="nil"/>
              <w:left w:val="nil"/>
              <w:bottom w:val="single" w:color="auto" w:sz="4" w:space="0"/>
              <w:right w:val="single" w:color="auto" w:sz="8" w:space="0"/>
            </w:tcBorders>
            <w:vAlign w:val="center"/>
          </w:tcPr>
          <w:p w14:paraId="0B6D1CA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6DE31C0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196A013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600" w:type="dxa"/>
            <w:tcBorders>
              <w:top w:val="nil"/>
              <w:left w:val="nil"/>
              <w:bottom w:val="single" w:color="auto" w:sz="4" w:space="0"/>
              <w:right w:val="single" w:color="auto" w:sz="8" w:space="0"/>
            </w:tcBorders>
            <w:vAlign w:val="center"/>
          </w:tcPr>
          <w:p w14:paraId="0880005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1C0EE91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2663AC5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16AD479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3BE2093F">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03ED851D">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14:paraId="66560B7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4" w:space="0"/>
              <w:right w:val="single" w:color="auto" w:sz="4" w:space="0"/>
            </w:tcBorders>
            <w:vAlign w:val="center"/>
          </w:tcPr>
          <w:p w14:paraId="49C4A99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740" w:type="dxa"/>
            <w:tcBorders>
              <w:top w:val="nil"/>
              <w:left w:val="nil"/>
              <w:bottom w:val="single" w:color="auto" w:sz="4" w:space="0"/>
              <w:right w:val="single" w:color="auto" w:sz="8" w:space="0"/>
            </w:tcBorders>
            <w:vAlign w:val="center"/>
          </w:tcPr>
          <w:p w14:paraId="26FEC4E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773CD82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44B8BEF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600" w:type="dxa"/>
            <w:tcBorders>
              <w:top w:val="nil"/>
              <w:left w:val="nil"/>
              <w:bottom w:val="single" w:color="auto" w:sz="4" w:space="0"/>
              <w:right w:val="single" w:color="auto" w:sz="8" w:space="0"/>
            </w:tcBorders>
            <w:vAlign w:val="center"/>
          </w:tcPr>
          <w:p w14:paraId="4CA09C2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7C4A98B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2A4C15F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133" w:type="dxa"/>
            <w:tcBorders>
              <w:top w:val="nil"/>
              <w:left w:val="nil"/>
              <w:bottom w:val="single" w:color="auto" w:sz="4" w:space="0"/>
              <w:right w:val="single" w:color="auto" w:sz="8" w:space="0"/>
            </w:tcBorders>
            <w:vAlign w:val="center"/>
          </w:tcPr>
          <w:p w14:paraId="3B928C9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04033064">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1CB4B615">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14:paraId="273FB39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723" w:type="dxa"/>
            <w:tcBorders>
              <w:top w:val="nil"/>
              <w:left w:val="nil"/>
              <w:bottom w:val="single" w:color="auto" w:sz="4" w:space="0"/>
              <w:right w:val="single" w:color="auto" w:sz="4" w:space="0"/>
            </w:tcBorders>
            <w:vAlign w:val="center"/>
          </w:tcPr>
          <w:p w14:paraId="38770EE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740" w:type="dxa"/>
            <w:tcBorders>
              <w:top w:val="nil"/>
              <w:left w:val="nil"/>
              <w:bottom w:val="single" w:color="auto" w:sz="4" w:space="0"/>
              <w:right w:val="single" w:color="auto" w:sz="8" w:space="0"/>
            </w:tcBorders>
            <w:vAlign w:val="center"/>
          </w:tcPr>
          <w:p w14:paraId="2B21D66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330" w:type="dxa"/>
            <w:tcBorders>
              <w:top w:val="nil"/>
              <w:left w:val="nil"/>
              <w:bottom w:val="single" w:color="auto" w:sz="4" w:space="0"/>
              <w:right w:val="single" w:color="auto" w:sz="4" w:space="0"/>
            </w:tcBorders>
            <w:vAlign w:val="center"/>
          </w:tcPr>
          <w:p w14:paraId="241A2BF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570" w:type="dxa"/>
            <w:tcBorders>
              <w:top w:val="nil"/>
              <w:left w:val="nil"/>
              <w:bottom w:val="single" w:color="auto" w:sz="4" w:space="0"/>
              <w:right w:val="single" w:color="auto" w:sz="4" w:space="0"/>
            </w:tcBorders>
            <w:vAlign w:val="center"/>
          </w:tcPr>
          <w:p w14:paraId="5159711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600" w:type="dxa"/>
            <w:tcBorders>
              <w:top w:val="nil"/>
              <w:left w:val="nil"/>
              <w:bottom w:val="single" w:color="auto" w:sz="4" w:space="0"/>
              <w:right w:val="single" w:color="auto" w:sz="8" w:space="0"/>
            </w:tcBorders>
            <w:vAlign w:val="center"/>
          </w:tcPr>
          <w:p w14:paraId="374750B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072" w:type="dxa"/>
            <w:tcBorders>
              <w:top w:val="nil"/>
              <w:left w:val="nil"/>
              <w:bottom w:val="single" w:color="auto" w:sz="4" w:space="0"/>
              <w:right w:val="single" w:color="auto" w:sz="4" w:space="0"/>
            </w:tcBorders>
            <w:vAlign w:val="center"/>
          </w:tcPr>
          <w:p w14:paraId="533F4E5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88" w:type="dxa"/>
            <w:tcBorders>
              <w:top w:val="nil"/>
              <w:left w:val="nil"/>
              <w:bottom w:val="single" w:color="auto" w:sz="4" w:space="0"/>
              <w:right w:val="single" w:color="auto" w:sz="4" w:space="0"/>
            </w:tcBorders>
            <w:vAlign w:val="center"/>
          </w:tcPr>
          <w:p w14:paraId="60639C3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133" w:type="dxa"/>
            <w:tcBorders>
              <w:top w:val="nil"/>
              <w:left w:val="nil"/>
              <w:bottom w:val="single" w:color="auto" w:sz="4" w:space="0"/>
              <w:right w:val="single" w:color="auto" w:sz="8" w:space="0"/>
            </w:tcBorders>
            <w:vAlign w:val="center"/>
          </w:tcPr>
          <w:p w14:paraId="2B382F0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3F03633F">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3B51BB34">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14:paraId="10FB600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3" w:type="dxa"/>
            <w:tcBorders>
              <w:top w:val="nil"/>
              <w:left w:val="nil"/>
              <w:bottom w:val="single" w:color="auto" w:sz="4" w:space="0"/>
              <w:right w:val="single" w:color="auto" w:sz="4" w:space="0"/>
            </w:tcBorders>
            <w:vAlign w:val="center"/>
          </w:tcPr>
          <w:p w14:paraId="7CC3154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740" w:type="dxa"/>
            <w:tcBorders>
              <w:top w:val="nil"/>
              <w:left w:val="nil"/>
              <w:bottom w:val="single" w:color="auto" w:sz="4" w:space="0"/>
              <w:right w:val="single" w:color="auto" w:sz="8" w:space="0"/>
            </w:tcBorders>
            <w:vAlign w:val="center"/>
          </w:tcPr>
          <w:p w14:paraId="786AE58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4" w:space="0"/>
              <w:right w:val="single" w:color="auto" w:sz="4" w:space="0"/>
            </w:tcBorders>
            <w:vAlign w:val="center"/>
          </w:tcPr>
          <w:p w14:paraId="753DD26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70" w:type="dxa"/>
            <w:tcBorders>
              <w:top w:val="nil"/>
              <w:left w:val="nil"/>
              <w:bottom w:val="single" w:color="auto" w:sz="4" w:space="0"/>
              <w:right w:val="single" w:color="auto" w:sz="4" w:space="0"/>
            </w:tcBorders>
            <w:vAlign w:val="center"/>
          </w:tcPr>
          <w:p w14:paraId="1BDBCB3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600" w:type="dxa"/>
            <w:tcBorders>
              <w:top w:val="nil"/>
              <w:left w:val="nil"/>
              <w:bottom w:val="single" w:color="auto" w:sz="4" w:space="0"/>
              <w:right w:val="single" w:color="auto" w:sz="8" w:space="0"/>
            </w:tcBorders>
            <w:vAlign w:val="center"/>
          </w:tcPr>
          <w:p w14:paraId="49BAB04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4" w:space="0"/>
              <w:right w:val="single" w:color="auto" w:sz="4" w:space="0"/>
            </w:tcBorders>
            <w:vAlign w:val="center"/>
          </w:tcPr>
          <w:p w14:paraId="7BE0294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388" w:type="dxa"/>
            <w:tcBorders>
              <w:top w:val="nil"/>
              <w:left w:val="nil"/>
              <w:bottom w:val="single" w:color="auto" w:sz="4" w:space="0"/>
              <w:right w:val="single" w:color="auto" w:sz="4" w:space="0"/>
            </w:tcBorders>
            <w:vAlign w:val="center"/>
          </w:tcPr>
          <w:p w14:paraId="68AB668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133" w:type="dxa"/>
            <w:tcBorders>
              <w:top w:val="nil"/>
              <w:left w:val="nil"/>
              <w:bottom w:val="single" w:color="auto" w:sz="4" w:space="0"/>
              <w:right w:val="single" w:color="auto" w:sz="8" w:space="0"/>
            </w:tcBorders>
            <w:vAlign w:val="center"/>
          </w:tcPr>
          <w:p w14:paraId="2B999A8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738E6153">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4" w:space="0"/>
              <w:right w:val="single" w:color="auto" w:sz="8" w:space="0"/>
            </w:tcBorders>
            <w:vAlign w:val="bottom"/>
          </w:tcPr>
          <w:p w14:paraId="4D6E450C">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14:paraId="68B9EFE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4" w:space="0"/>
              <w:right w:val="single" w:color="auto" w:sz="4" w:space="0"/>
            </w:tcBorders>
            <w:vAlign w:val="center"/>
          </w:tcPr>
          <w:p w14:paraId="19A3FB0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740" w:type="dxa"/>
            <w:tcBorders>
              <w:top w:val="nil"/>
              <w:left w:val="nil"/>
              <w:bottom w:val="single" w:color="auto" w:sz="4" w:space="0"/>
              <w:right w:val="single" w:color="auto" w:sz="8" w:space="0"/>
            </w:tcBorders>
            <w:vAlign w:val="center"/>
          </w:tcPr>
          <w:p w14:paraId="2D78B84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330" w:type="dxa"/>
            <w:tcBorders>
              <w:top w:val="nil"/>
              <w:left w:val="nil"/>
              <w:bottom w:val="single" w:color="auto" w:sz="4" w:space="0"/>
              <w:right w:val="single" w:color="auto" w:sz="4" w:space="0"/>
            </w:tcBorders>
            <w:vAlign w:val="center"/>
          </w:tcPr>
          <w:p w14:paraId="59EC13E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4" w:space="0"/>
              <w:right w:val="single" w:color="auto" w:sz="4" w:space="0"/>
            </w:tcBorders>
            <w:vAlign w:val="center"/>
          </w:tcPr>
          <w:p w14:paraId="5FA78D8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600" w:type="dxa"/>
            <w:tcBorders>
              <w:top w:val="nil"/>
              <w:left w:val="nil"/>
              <w:bottom w:val="single" w:color="auto" w:sz="4" w:space="0"/>
              <w:right w:val="single" w:color="auto" w:sz="8" w:space="0"/>
            </w:tcBorders>
            <w:vAlign w:val="center"/>
          </w:tcPr>
          <w:p w14:paraId="6BF55C60">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072" w:type="dxa"/>
            <w:tcBorders>
              <w:top w:val="nil"/>
              <w:left w:val="nil"/>
              <w:bottom w:val="single" w:color="auto" w:sz="4" w:space="0"/>
              <w:right w:val="single" w:color="auto" w:sz="4" w:space="0"/>
            </w:tcBorders>
            <w:vAlign w:val="center"/>
          </w:tcPr>
          <w:p w14:paraId="4C3A1A7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4" w:space="0"/>
              <w:right w:val="single" w:color="auto" w:sz="4" w:space="0"/>
            </w:tcBorders>
            <w:vAlign w:val="center"/>
          </w:tcPr>
          <w:p w14:paraId="696AF11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133" w:type="dxa"/>
            <w:tcBorders>
              <w:top w:val="nil"/>
              <w:left w:val="nil"/>
              <w:bottom w:val="single" w:color="auto" w:sz="4" w:space="0"/>
              <w:right w:val="single" w:color="auto" w:sz="8" w:space="0"/>
            </w:tcBorders>
            <w:vAlign w:val="center"/>
          </w:tcPr>
          <w:p w14:paraId="4233815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077C3BC7">
        <w:tblPrEx>
          <w:tblCellMar>
            <w:top w:w="0" w:type="dxa"/>
            <w:left w:w="108" w:type="dxa"/>
            <w:bottom w:w="0" w:type="dxa"/>
            <w:right w:w="108" w:type="dxa"/>
          </w:tblCellMar>
        </w:tblPrEx>
        <w:trPr>
          <w:gridAfter w:val="1"/>
          <w:wAfter w:w="6" w:type="dxa"/>
          <w:trHeight w:val="0" w:hRule="atLeast"/>
        </w:trPr>
        <w:tc>
          <w:tcPr>
            <w:tcW w:w="2003" w:type="dxa"/>
            <w:tcBorders>
              <w:top w:val="nil"/>
              <w:left w:val="single" w:color="auto" w:sz="8" w:space="0"/>
              <w:bottom w:val="single" w:color="auto" w:sz="8" w:space="0"/>
              <w:right w:val="single" w:color="auto" w:sz="8" w:space="0"/>
            </w:tcBorders>
            <w:vAlign w:val="bottom"/>
          </w:tcPr>
          <w:p w14:paraId="5B5BB93A">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14:paraId="787595D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3" w:type="dxa"/>
            <w:tcBorders>
              <w:top w:val="nil"/>
              <w:left w:val="nil"/>
              <w:bottom w:val="single" w:color="auto" w:sz="8" w:space="0"/>
              <w:right w:val="single" w:color="auto" w:sz="4" w:space="0"/>
            </w:tcBorders>
            <w:vAlign w:val="center"/>
          </w:tcPr>
          <w:p w14:paraId="4DB2BF1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740" w:type="dxa"/>
            <w:tcBorders>
              <w:top w:val="nil"/>
              <w:left w:val="nil"/>
              <w:bottom w:val="single" w:color="auto" w:sz="8" w:space="0"/>
              <w:right w:val="single" w:color="auto" w:sz="8" w:space="0"/>
            </w:tcBorders>
            <w:vAlign w:val="center"/>
          </w:tcPr>
          <w:p w14:paraId="02A3656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330" w:type="dxa"/>
            <w:tcBorders>
              <w:top w:val="nil"/>
              <w:left w:val="nil"/>
              <w:bottom w:val="single" w:color="auto" w:sz="8" w:space="0"/>
              <w:right w:val="single" w:color="auto" w:sz="4" w:space="0"/>
            </w:tcBorders>
            <w:vAlign w:val="center"/>
          </w:tcPr>
          <w:p w14:paraId="41E6F29D">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70" w:type="dxa"/>
            <w:tcBorders>
              <w:top w:val="nil"/>
              <w:left w:val="nil"/>
              <w:bottom w:val="single" w:color="auto" w:sz="8" w:space="0"/>
              <w:right w:val="single" w:color="auto" w:sz="4" w:space="0"/>
            </w:tcBorders>
            <w:vAlign w:val="center"/>
          </w:tcPr>
          <w:p w14:paraId="6C70325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600" w:type="dxa"/>
            <w:tcBorders>
              <w:top w:val="nil"/>
              <w:left w:val="nil"/>
              <w:bottom w:val="single" w:color="auto" w:sz="8" w:space="0"/>
              <w:right w:val="single" w:color="auto" w:sz="8" w:space="0"/>
            </w:tcBorders>
            <w:vAlign w:val="center"/>
          </w:tcPr>
          <w:p w14:paraId="4FD4F854">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072" w:type="dxa"/>
            <w:tcBorders>
              <w:top w:val="nil"/>
              <w:left w:val="nil"/>
              <w:bottom w:val="single" w:color="auto" w:sz="8" w:space="0"/>
              <w:right w:val="single" w:color="auto" w:sz="4" w:space="0"/>
            </w:tcBorders>
            <w:vAlign w:val="center"/>
          </w:tcPr>
          <w:p w14:paraId="182FFE3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388" w:type="dxa"/>
            <w:tcBorders>
              <w:top w:val="nil"/>
              <w:left w:val="nil"/>
              <w:bottom w:val="single" w:color="auto" w:sz="8" w:space="0"/>
              <w:right w:val="single" w:color="auto" w:sz="4" w:space="0"/>
            </w:tcBorders>
            <w:vAlign w:val="center"/>
          </w:tcPr>
          <w:p w14:paraId="71A8019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c>
          <w:tcPr>
            <w:tcW w:w="1133" w:type="dxa"/>
            <w:tcBorders>
              <w:top w:val="nil"/>
              <w:left w:val="nil"/>
              <w:bottom w:val="single" w:color="auto" w:sz="8" w:space="0"/>
              <w:right w:val="single" w:color="auto" w:sz="8" w:space="0"/>
            </w:tcBorders>
            <w:vAlign w:val="center"/>
          </w:tcPr>
          <w:p w14:paraId="7171A1B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kern w:val="0"/>
                <w:sz w:val="20"/>
                <w:highlight w:val="none"/>
              </w:rPr>
            </w:pPr>
          </w:p>
        </w:tc>
      </w:tr>
      <w:tr w14:paraId="1F9DAA1C">
        <w:tblPrEx>
          <w:tblCellMar>
            <w:top w:w="0" w:type="dxa"/>
            <w:left w:w="108" w:type="dxa"/>
            <w:bottom w:w="0" w:type="dxa"/>
            <w:right w:w="108" w:type="dxa"/>
          </w:tblCellMar>
        </w:tblPrEx>
        <w:trPr>
          <w:trHeight w:val="1104" w:hRule="atLeast"/>
        </w:trPr>
        <w:tc>
          <w:tcPr>
            <w:tcW w:w="15077" w:type="dxa"/>
            <w:gridSpan w:val="11"/>
            <w:tcBorders>
              <w:top w:val="nil"/>
              <w:left w:val="nil"/>
              <w:bottom w:val="nil"/>
              <w:right w:val="nil"/>
            </w:tcBorders>
            <w:vAlign w:val="bottom"/>
          </w:tcPr>
          <w:p w14:paraId="35CFAAB9">
            <w:pPr>
              <w:widowControl/>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说明　</w:t>
            </w:r>
            <w:r>
              <w:rPr>
                <w:rFonts w:ascii="宋体" w:hAnsi="宋体" w:cs="宋体"/>
                <w:color w:val="auto"/>
                <w:kern w:val="0"/>
                <w:szCs w:val="21"/>
                <w:highlight w:val="none"/>
              </w:rPr>
              <w:t>1</w:t>
            </w:r>
            <w:r>
              <w:rPr>
                <w:rFonts w:hint="eastAsia" w:ascii="宋体" w:hAnsi="宋体" w:cs="宋体"/>
                <w:color w:val="auto"/>
                <w:kern w:val="0"/>
                <w:szCs w:val="21"/>
                <w:highlight w:val="none"/>
              </w:rPr>
              <w:t>、企业类型的划分以统计部门的统计数据为依据。</w:t>
            </w:r>
          </w:p>
          <w:p w14:paraId="4E56298E">
            <w:pPr>
              <w:widowControl/>
              <w:wordWrap w:val="0"/>
              <w:spacing w:line="360" w:lineRule="auto"/>
              <w:ind w:firstLine="630" w:firstLineChars="3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、个体工商户和本规定以外的行业，参照本规定进行划型。</w:t>
            </w:r>
          </w:p>
          <w:p w14:paraId="637C56ED">
            <w:pPr>
              <w:widowControl/>
              <w:wordWrap w:val="0"/>
              <w:spacing w:line="360" w:lineRule="auto"/>
              <w:ind w:firstLine="630" w:firstLineChars="300"/>
              <w:jc w:val="left"/>
              <w:rPr>
                <w:rFonts w:ascii="宋体" w:hAnsi="宋体" w:cs="宋体"/>
                <w:color w:val="auto"/>
                <w:kern w:val="0"/>
                <w:sz w:val="20"/>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、本规定的中型企业标准上限即为大型企业标准的下限。</w:t>
            </w:r>
          </w:p>
        </w:tc>
      </w:tr>
    </w:tbl>
    <w:p w14:paraId="4390A6E2">
      <w:pPr>
        <w:spacing w:after="120" w:line="360" w:lineRule="auto"/>
        <w:rPr>
          <w:rFonts w:ascii="宋体" w:hAnsi="宋体"/>
          <w:color w:val="auto"/>
          <w:szCs w:val="21"/>
          <w:highlight w:val="none"/>
        </w:rPr>
      </w:pPr>
    </w:p>
    <w:sectPr>
      <w:pgSz w:w="16838" w:h="11906" w:orient="landscape"/>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LineDraw">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720E">
    <w:pPr>
      <w:pStyle w:val="51"/>
      <w:framePr w:wrap="around" w:vAnchor="text" w:hAnchor="margin" w:xAlign="center" w:y="1"/>
      <w:rPr>
        <w:rStyle w:val="83"/>
      </w:rPr>
    </w:pPr>
    <w:r>
      <w:fldChar w:fldCharType="begin"/>
    </w:r>
    <w:r>
      <w:rPr>
        <w:rStyle w:val="83"/>
      </w:rPr>
      <w:instrText xml:space="preserve">PAGE  </w:instrText>
    </w:r>
    <w:r>
      <w:fldChar w:fldCharType="separate"/>
    </w:r>
    <w:r>
      <w:rPr>
        <w:rStyle w:val="83"/>
      </w:rPr>
      <w:t>22</w:t>
    </w:r>
    <w:r>
      <w:fldChar w:fldCharType="end"/>
    </w:r>
  </w:p>
  <w:p w14:paraId="3B19B981">
    <w:r>
      <w:rPr>
        <w:rFonts w:hint="eastAsia"/>
      </w:rPr>
      <w:t xml:space="preserve">                                               </w:t>
    </w:r>
    <w:r>
      <w:rPr>
        <w:rFonts w:hint="eastAsia" w:ascii="宋体" w:hAnsi="宋体"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F02F">
    <w:pPr>
      <w:pStyle w:val="51"/>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F6A4">
    <w:r>
      <w:rPr>
        <w:rFonts w:hint="eastAsia" w:ascii="宋体" w:hAnsi="宋体" w:cs="宋体"/>
      </w:rPr>
      <w:t xml:space="preserve"> </w:t>
    </w:r>
    <w:r>
      <w:rPr>
        <w:rFonts w:hint="eastAsia"/>
      </w:rPr>
      <w:t xml:space="preserve">                                                    </w:t>
    </w:r>
  </w:p>
  <w:p w14:paraId="770E8B9D">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1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lvl>
  </w:abstractNum>
  <w:abstractNum w:abstractNumId="1">
    <w:nsid w:val="CEDB39EB"/>
    <w:multiLevelType w:val="singleLevel"/>
    <w:tmpl w:val="CEDB39EB"/>
    <w:lvl w:ilvl="0" w:tentative="0">
      <w:start w:val="1"/>
      <w:numFmt w:val="decimal"/>
      <w:suff w:val="nothing"/>
      <w:lvlText w:val="%1、"/>
      <w:lvlJc w:val="left"/>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00000001"/>
    <w:multiLevelType w:val="multilevel"/>
    <w:tmpl w:val="00000001"/>
    <w:lvl w:ilvl="0" w:tentative="0">
      <w:start w:val="1"/>
      <w:numFmt w:val="none"/>
      <w:pStyle w:val="494"/>
      <w:suff w:val="nothing"/>
      <w:lvlText w:val="%1"/>
      <w:lvlJc w:val="left"/>
      <w:pPr>
        <w:ind w:left="0" w:firstLine="0"/>
      </w:pPr>
      <w:rPr>
        <w:rFonts w:hint="default" w:ascii="Times New Roman" w:hAnsi="Times New Roman"/>
        <w:b/>
        <w:i w:val="0"/>
        <w:sz w:val="21"/>
      </w:rPr>
    </w:lvl>
    <w:lvl w:ilvl="1" w:tentative="0">
      <w:start w:val="1"/>
      <w:numFmt w:val="decimal"/>
      <w:pStyle w:val="231"/>
      <w:suff w:val="nothing"/>
      <w:lvlText w:val="%1%2　"/>
      <w:lvlJc w:val="left"/>
      <w:pPr>
        <w:ind w:left="0" w:firstLine="0"/>
      </w:pPr>
      <w:rPr>
        <w:rFonts w:hint="eastAsia" w:ascii="黑体" w:hAnsi="Times New Roman" w:eastAsia="黑体"/>
        <w:b w:val="0"/>
        <w:i w:val="0"/>
        <w:sz w:val="21"/>
      </w:rPr>
    </w:lvl>
    <w:lvl w:ilvl="2" w:tentative="0">
      <w:start w:val="1"/>
      <w:numFmt w:val="decimal"/>
      <w:pStyle w:val="238"/>
      <w:suff w:val="nothing"/>
      <w:lvlText w:val="%1%2.%3　"/>
      <w:lvlJc w:val="left"/>
      <w:pPr>
        <w:ind w:left="3675" w:firstLine="0"/>
      </w:pPr>
      <w:rPr>
        <w:rFonts w:hint="eastAsia" w:ascii="黑体" w:hAnsi="Times New Roman" w:eastAsia="黑体"/>
        <w:b w:val="0"/>
        <w:i w:val="0"/>
        <w:sz w:val="21"/>
      </w:rPr>
    </w:lvl>
    <w:lvl w:ilvl="3" w:tentative="0">
      <w:start w:val="1"/>
      <w:numFmt w:val="decimal"/>
      <w:pStyle w:val="237"/>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43"/>
      <w:suff w:val="nothing"/>
      <w:lvlText w:val="%1%2.%3.%4.%5.%6　"/>
      <w:lvlJc w:val="left"/>
      <w:pPr>
        <w:ind w:left="0" w:firstLine="0"/>
      </w:pPr>
      <w:rPr>
        <w:rFonts w:hint="eastAsia" w:ascii="黑体" w:hAnsi="Times New Roman" w:eastAsia="黑体"/>
        <w:b w:val="0"/>
        <w:i w:val="0"/>
        <w:sz w:val="21"/>
      </w:rPr>
    </w:lvl>
    <w:lvl w:ilvl="6" w:tentative="0">
      <w:start w:val="1"/>
      <w:numFmt w:val="decimal"/>
      <w:pStyle w:val="4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2"/>
    <w:multiLevelType w:val="multilevel"/>
    <w:tmpl w:val="00000002"/>
    <w:lvl w:ilvl="0" w:tentative="0">
      <w:start w:val="1"/>
      <w:numFmt w:val="decimal"/>
      <w:pStyle w:val="20"/>
      <w:lvlText w:val="%1)"/>
      <w:lvlJc w:val="left"/>
      <w:pPr>
        <w:tabs>
          <w:tab w:val="left" w:pos="900"/>
        </w:tabs>
        <w:ind w:left="900" w:hanging="420"/>
      </w:pPr>
    </w:lvl>
    <w:lvl w:ilvl="1" w:tentative="0">
      <w:start w:val="1"/>
      <w:numFmt w:val="lowerLetter"/>
      <w:pStyle w:val="258"/>
      <w:lvlText w:val="%2)"/>
      <w:lvlJc w:val="left"/>
      <w:pPr>
        <w:tabs>
          <w:tab w:val="left" w:pos="1320"/>
        </w:tabs>
        <w:ind w:left="1320" w:hanging="420"/>
      </w:pPr>
    </w:lvl>
    <w:lvl w:ilvl="2" w:tentative="0">
      <w:start w:val="1"/>
      <w:numFmt w:val="lowerRoman"/>
      <w:pStyle w:val="259"/>
      <w:lvlText w:val="%3."/>
      <w:lvlJc w:val="right"/>
      <w:pPr>
        <w:tabs>
          <w:tab w:val="left" w:pos="1740"/>
        </w:tabs>
        <w:ind w:left="1740" w:hanging="420"/>
      </w:pPr>
    </w:lvl>
    <w:lvl w:ilvl="3" w:tentative="0">
      <w:start w:val="1"/>
      <w:numFmt w:val="decimal"/>
      <w:pStyle w:val="517"/>
      <w:lvlText w:val="%4."/>
      <w:lvlJc w:val="left"/>
      <w:pPr>
        <w:tabs>
          <w:tab w:val="left" w:pos="2160"/>
        </w:tabs>
        <w:ind w:left="2160" w:hanging="420"/>
      </w:pPr>
    </w:lvl>
    <w:lvl w:ilvl="4" w:tentative="0">
      <w:start w:val="1"/>
      <w:numFmt w:val="lowerLetter"/>
      <w:pStyle w:val="260"/>
      <w:lvlText w:val="%5)"/>
      <w:lvlJc w:val="left"/>
      <w:pPr>
        <w:tabs>
          <w:tab w:val="left" w:pos="2580"/>
        </w:tabs>
        <w:ind w:left="2580" w:hanging="420"/>
      </w:pPr>
    </w:lvl>
    <w:lvl w:ilvl="5" w:tentative="0">
      <w:start w:val="1"/>
      <w:numFmt w:val="lowerRoman"/>
      <w:pStyle w:val="364"/>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0"/>
    <w:multiLevelType w:val="singleLevel"/>
    <w:tmpl w:val="00000010"/>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6">
    <w:nsid w:val="00000011"/>
    <w:multiLevelType w:val="multilevel"/>
    <w:tmpl w:val="00000011"/>
    <w:lvl w:ilvl="0" w:tentative="0">
      <w:start w:val="1"/>
      <w:numFmt w:val="japaneseCounting"/>
      <w:pStyle w:val="297"/>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7">
    <w:nsid w:val="00000012"/>
    <w:multiLevelType w:val="multilevel"/>
    <w:tmpl w:val="00000012"/>
    <w:lvl w:ilvl="0" w:tentative="0">
      <w:start w:val="1"/>
      <w:numFmt w:val="decimal"/>
      <w:pStyle w:val="16"/>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15"/>
    <w:multiLevelType w:val="singleLevel"/>
    <w:tmpl w:val="00000015"/>
    <w:lvl w:ilvl="0" w:tentative="0">
      <w:start w:val="1"/>
      <w:numFmt w:val="bullet"/>
      <w:pStyle w:val="32"/>
      <w:lvlText w:val=""/>
      <w:lvlJc w:val="left"/>
      <w:pPr>
        <w:tabs>
          <w:tab w:val="left" w:pos="360"/>
        </w:tabs>
        <w:ind w:left="360" w:hanging="360"/>
      </w:pPr>
      <w:rPr>
        <w:rFonts w:hint="default" w:ascii="Wingdings" w:hAnsi="Wingdings"/>
      </w:rPr>
    </w:lvl>
  </w:abstractNum>
  <w:abstractNum w:abstractNumId="9">
    <w:nsid w:val="00000017"/>
    <w:multiLevelType w:val="singleLevel"/>
    <w:tmpl w:val="00000017"/>
    <w:lvl w:ilvl="0" w:tentative="0">
      <w:start w:val="1"/>
      <w:numFmt w:val="decimal"/>
      <w:pStyle w:val="45"/>
      <w:lvlText w:val="%1."/>
      <w:lvlJc w:val="left"/>
      <w:pPr>
        <w:tabs>
          <w:tab w:val="left" w:pos="780"/>
        </w:tabs>
        <w:ind w:left="780" w:hanging="360"/>
      </w:pPr>
    </w:lvl>
  </w:abstractNum>
  <w:abstractNum w:abstractNumId="10">
    <w:nsid w:val="00000019"/>
    <w:multiLevelType w:val="multilevel"/>
    <w:tmpl w:val="00000019"/>
    <w:lvl w:ilvl="0" w:tentative="0">
      <w:start w:val="1"/>
      <w:numFmt w:val="decimal"/>
      <w:pStyle w:val="285"/>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singleLevel"/>
    <w:tmpl w:val="0000001B"/>
    <w:lvl w:ilvl="0" w:tentative="0">
      <w:start w:val="1"/>
      <w:numFmt w:val="decimal"/>
      <w:pStyle w:val="34"/>
      <w:lvlText w:val="%1."/>
      <w:lvlJc w:val="left"/>
      <w:pPr>
        <w:tabs>
          <w:tab w:val="left" w:pos="1200"/>
        </w:tabs>
        <w:ind w:left="1200" w:hanging="360"/>
      </w:pPr>
    </w:lvl>
  </w:abstractNum>
  <w:abstractNum w:abstractNumId="12">
    <w:nsid w:val="036B9AF8"/>
    <w:multiLevelType w:val="singleLevel"/>
    <w:tmpl w:val="036B9AF8"/>
    <w:lvl w:ilvl="0" w:tentative="0">
      <w:start w:val="1"/>
      <w:numFmt w:val="decimal"/>
      <w:suff w:val="nothing"/>
      <w:lvlText w:val="%1）"/>
      <w:lvlJc w:val="left"/>
    </w:lvl>
  </w:abstractNum>
  <w:abstractNum w:abstractNumId="13">
    <w:nsid w:val="545A512C"/>
    <w:multiLevelType w:val="multilevel"/>
    <w:tmpl w:val="545A512C"/>
    <w:lvl w:ilvl="0" w:tentative="0">
      <w:start w:val="1"/>
      <w:numFmt w:val="chineseCountingThousand"/>
      <w:pStyle w:val="46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7F6E414B"/>
    <w:multiLevelType w:val="singleLevel"/>
    <w:tmpl w:val="7F6E414B"/>
    <w:lvl w:ilvl="0" w:tentative="0">
      <w:start w:val="1"/>
      <w:numFmt w:val="decimal"/>
      <w:suff w:val="nothing"/>
      <w:lvlText w:val="%1、"/>
      <w:lvlJc w:val="left"/>
    </w:lvl>
  </w:abstractNum>
  <w:num w:numId="1">
    <w:abstractNumId w:val="7"/>
  </w:num>
  <w:num w:numId="2">
    <w:abstractNumId w:val="5"/>
  </w:num>
  <w:num w:numId="3">
    <w:abstractNumId w:val="4"/>
  </w:num>
  <w:num w:numId="4">
    <w:abstractNumId w:val="8"/>
  </w:num>
  <w:num w:numId="5">
    <w:abstractNumId w:val="11"/>
  </w:num>
  <w:num w:numId="6">
    <w:abstractNumId w:val="9"/>
  </w:num>
  <w:num w:numId="7">
    <w:abstractNumId w:val="3"/>
  </w:num>
  <w:num w:numId="8">
    <w:abstractNumId w:val="10"/>
  </w:num>
  <w:num w:numId="9">
    <w:abstractNumId w:val="6"/>
  </w:num>
  <w:num w:numId="10">
    <w:abstractNumId w:val="13"/>
  </w:num>
  <w:num w:numId="11">
    <w:abstractNumId w:val="0"/>
  </w:num>
  <w:num w:numId="12">
    <w:abstractNumId w:val="12"/>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YjAxZTcxMjQ4MTQ1ZDM0NTA5M2VmODhkMDZiNGIifQ=="/>
  </w:docVars>
  <w:rsids>
    <w:rsidRoot w:val="006E6333"/>
    <w:rsid w:val="00010505"/>
    <w:rsid w:val="00011087"/>
    <w:rsid w:val="000263D9"/>
    <w:rsid w:val="000324C7"/>
    <w:rsid w:val="00064378"/>
    <w:rsid w:val="00065C1B"/>
    <w:rsid w:val="000A18EB"/>
    <w:rsid w:val="000A7037"/>
    <w:rsid w:val="000B0441"/>
    <w:rsid w:val="000D0057"/>
    <w:rsid w:val="000D021E"/>
    <w:rsid w:val="00113824"/>
    <w:rsid w:val="00114016"/>
    <w:rsid w:val="001366B0"/>
    <w:rsid w:val="00191813"/>
    <w:rsid w:val="001A7CE9"/>
    <w:rsid w:val="001C0BEB"/>
    <w:rsid w:val="001C0E94"/>
    <w:rsid w:val="001C33D4"/>
    <w:rsid w:val="002009B2"/>
    <w:rsid w:val="00205AC0"/>
    <w:rsid w:val="00214A0E"/>
    <w:rsid w:val="002203DE"/>
    <w:rsid w:val="00226FD3"/>
    <w:rsid w:val="00232155"/>
    <w:rsid w:val="0028239B"/>
    <w:rsid w:val="00282A4D"/>
    <w:rsid w:val="0028606D"/>
    <w:rsid w:val="0029435D"/>
    <w:rsid w:val="00296821"/>
    <w:rsid w:val="002A06DD"/>
    <w:rsid w:val="002B54E0"/>
    <w:rsid w:val="002F7395"/>
    <w:rsid w:val="0032476C"/>
    <w:rsid w:val="00343EF4"/>
    <w:rsid w:val="00351139"/>
    <w:rsid w:val="003573DC"/>
    <w:rsid w:val="00360DF4"/>
    <w:rsid w:val="00367A61"/>
    <w:rsid w:val="00372A70"/>
    <w:rsid w:val="00385677"/>
    <w:rsid w:val="003C14C5"/>
    <w:rsid w:val="003C6EA8"/>
    <w:rsid w:val="003D2A7A"/>
    <w:rsid w:val="003E55DC"/>
    <w:rsid w:val="00401BF4"/>
    <w:rsid w:val="00415E52"/>
    <w:rsid w:val="004224C5"/>
    <w:rsid w:val="00422DF8"/>
    <w:rsid w:val="00452E10"/>
    <w:rsid w:val="00471547"/>
    <w:rsid w:val="00474685"/>
    <w:rsid w:val="00480FE1"/>
    <w:rsid w:val="004847A8"/>
    <w:rsid w:val="00487E82"/>
    <w:rsid w:val="00497361"/>
    <w:rsid w:val="004B3F19"/>
    <w:rsid w:val="004C245F"/>
    <w:rsid w:val="004C3922"/>
    <w:rsid w:val="004E7A4D"/>
    <w:rsid w:val="004F2879"/>
    <w:rsid w:val="004F5600"/>
    <w:rsid w:val="0050246E"/>
    <w:rsid w:val="00506DF9"/>
    <w:rsid w:val="00516AD5"/>
    <w:rsid w:val="0054441C"/>
    <w:rsid w:val="005523FA"/>
    <w:rsid w:val="00584C86"/>
    <w:rsid w:val="005900A0"/>
    <w:rsid w:val="00592721"/>
    <w:rsid w:val="00597689"/>
    <w:rsid w:val="005A2839"/>
    <w:rsid w:val="005A3943"/>
    <w:rsid w:val="005B39D6"/>
    <w:rsid w:val="005B6FBF"/>
    <w:rsid w:val="005D2689"/>
    <w:rsid w:val="005E4C11"/>
    <w:rsid w:val="00600A09"/>
    <w:rsid w:val="00624AC7"/>
    <w:rsid w:val="00630235"/>
    <w:rsid w:val="006475E1"/>
    <w:rsid w:val="00651B7C"/>
    <w:rsid w:val="00653338"/>
    <w:rsid w:val="0065655E"/>
    <w:rsid w:val="006968A6"/>
    <w:rsid w:val="006A5C7D"/>
    <w:rsid w:val="006B3813"/>
    <w:rsid w:val="006B64F7"/>
    <w:rsid w:val="006C5DF8"/>
    <w:rsid w:val="006D312F"/>
    <w:rsid w:val="006D495D"/>
    <w:rsid w:val="006E5758"/>
    <w:rsid w:val="006E6333"/>
    <w:rsid w:val="006E734D"/>
    <w:rsid w:val="006F4382"/>
    <w:rsid w:val="0070680E"/>
    <w:rsid w:val="00707F73"/>
    <w:rsid w:val="0071401C"/>
    <w:rsid w:val="00737E3B"/>
    <w:rsid w:val="007478B2"/>
    <w:rsid w:val="00747C61"/>
    <w:rsid w:val="00754BE9"/>
    <w:rsid w:val="007567D5"/>
    <w:rsid w:val="00761547"/>
    <w:rsid w:val="00762699"/>
    <w:rsid w:val="00767B06"/>
    <w:rsid w:val="0078214C"/>
    <w:rsid w:val="007B2F42"/>
    <w:rsid w:val="007D1D54"/>
    <w:rsid w:val="007E4669"/>
    <w:rsid w:val="00805E4F"/>
    <w:rsid w:val="008142F3"/>
    <w:rsid w:val="00814F84"/>
    <w:rsid w:val="008164DA"/>
    <w:rsid w:val="008165C2"/>
    <w:rsid w:val="00826AE7"/>
    <w:rsid w:val="008356DE"/>
    <w:rsid w:val="00836213"/>
    <w:rsid w:val="00842E80"/>
    <w:rsid w:val="00844F5D"/>
    <w:rsid w:val="00846B5E"/>
    <w:rsid w:val="00853D6F"/>
    <w:rsid w:val="008874CF"/>
    <w:rsid w:val="00891EAE"/>
    <w:rsid w:val="0089700B"/>
    <w:rsid w:val="008A3ED5"/>
    <w:rsid w:val="008D6A83"/>
    <w:rsid w:val="008F0512"/>
    <w:rsid w:val="008F1A6D"/>
    <w:rsid w:val="008F75C4"/>
    <w:rsid w:val="00902C31"/>
    <w:rsid w:val="00906D39"/>
    <w:rsid w:val="00924132"/>
    <w:rsid w:val="00933C33"/>
    <w:rsid w:val="00950C9B"/>
    <w:rsid w:val="00962B76"/>
    <w:rsid w:val="00971F99"/>
    <w:rsid w:val="009745E8"/>
    <w:rsid w:val="00977966"/>
    <w:rsid w:val="00986048"/>
    <w:rsid w:val="00992688"/>
    <w:rsid w:val="009A3C86"/>
    <w:rsid w:val="009C0E66"/>
    <w:rsid w:val="009C36E8"/>
    <w:rsid w:val="009D241E"/>
    <w:rsid w:val="009D570A"/>
    <w:rsid w:val="009D5DFB"/>
    <w:rsid w:val="009E6887"/>
    <w:rsid w:val="009F6EF0"/>
    <w:rsid w:val="00A01496"/>
    <w:rsid w:val="00A23159"/>
    <w:rsid w:val="00A50338"/>
    <w:rsid w:val="00A6212D"/>
    <w:rsid w:val="00A64570"/>
    <w:rsid w:val="00A66C5C"/>
    <w:rsid w:val="00A70F50"/>
    <w:rsid w:val="00A73BAD"/>
    <w:rsid w:val="00AB796F"/>
    <w:rsid w:val="00AD3CF5"/>
    <w:rsid w:val="00AE1FE8"/>
    <w:rsid w:val="00AF5C2A"/>
    <w:rsid w:val="00B05C55"/>
    <w:rsid w:val="00B05CB2"/>
    <w:rsid w:val="00B27470"/>
    <w:rsid w:val="00B336F5"/>
    <w:rsid w:val="00B45245"/>
    <w:rsid w:val="00B54086"/>
    <w:rsid w:val="00B55D2F"/>
    <w:rsid w:val="00B72711"/>
    <w:rsid w:val="00B756A6"/>
    <w:rsid w:val="00B97B17"/>
    <w:rsid w:val="00BB7CA0"/>
    <w:rsid w:val="00BF2BA3"/>
    <w:rsid w:val="00BF656B"/>
    <w:rsid w:val="00C05EDB"/>
    <w:rsid w:val="00C109F4"/>
    <w:rsid w:val="00C12810"/>
    <w:rsid w:val="00C37E4D"/>
    <w:rsid w:val="00C452C3"/>
    <w:rsid w:val="00C45990"/>
    <w:rsid w:val="00C4713A"/>
    <w:rsid w:val="00C63828"/>
    <w:rsid w:val="00C82C40"/>
    <w:rsid w:val="00C84CEB"/>
    <w:rsid w:val="00CA4D68"/>
    <w:rsid w:val="00CA7357"/>
    <w:rsid w:val="00CB4EA5"/>
    <w:rsid w:val="00CB77C7"/>
    <w:rsid w:val="00CC0322"/>
    <w:rsid w:val="00CC1787"/>
    <w:rsid w:val="00CE32AA"/>
    <w:rsid w:val="00D03424"/>
    <w:rsid w:val="00D459CE"/>
    <w:rsid w:val="00D523B3"/>
    <w:rsid w:val="00D8378B"/>
    <w:rsid w:val="00DB0486"/>
    <w:rsid w:val="00DE519C"/>
    <w:rsid w:val="00DF0EBC"/>
    <w:rsid w:val="00DF0F82"/>
    <w:rsid w:val="00E069E1"/>
    <w:rsid w:val="00E11E00"/>
    <w:rsid w:val="00E12446"/>
    <w:rsid w:val="00E207A4"/>
    <w:rsid w:val="00E23E61"/>
    <w:rsid w:val="00E26A05"/>
    <w:rsid w:val="00E47856"/>
    <w:rsid w:val="00E53A57"/>
    <w:rsid w:val="00E831E8"/>
    <w:rsid w:val="00E85FA6"/>
    <w:rsid w:val="00E90896"/>
    <w:rsid w:val="00E9233D"/>
    <w:rsid w:val="00E950DA"/>
    <w:rsid w:val="00EA0F9E"/>
    <w:rsid w:val="00EC54CC"/>
    <w:rsid w:val="00EF558D"/>
    <w:rsid w:val="00F006B0"/>
    <w:rsid w:val="00F02FE3"/>
    <w:rsid w:val="00F11EFE"/>
    <w:rsid w:val="00F20831"/>
    <w:rsid w:val="00F2253C"/>
    <w:rsid w:val="00F263FE"/>
    <w:rsid w:val="00F429FE"/>
    <w:rsid w:val="00F60786"/>
    <w:rsid w:val="00FB0797"/>
    <w:rsid w:val="00FB2735"/>
    <w:rsid w:val="00FB32CF"/>
    <w:rsid w:val="00FB6078"/>
    <w:rsid w:val="00FD2218"/>
    <w:rsid w:val="00FF1F6A"/>
    <w:rsid w:val="017F4350"/>
    <w:rsid w:val="0460093C"/>
    <w:rsid w:val="0A442A3C"/>
    <w:rsid w:val="0F2F5224"/>
    <w:rsid w:val="118B4784"/>
    <w:rsid w:val="129504C0"/>
    <w:rsid w:val="13F51068"/>
    <w:rsid w:val="146943DE"/>
    <w:rsid w:val="19A54B21"/>
    <w:rsid w:val="1A1A212A"/>
    <w:rsid w:val="1C2E05DD"/>
    <w:rsid w:val="1CAD7018"/>
    <w:rsid w:val="1D690A4F"/>
    <w:rsid w:val="1DEB7D24"/>
    <w:rsid w:val="20D86F9A"/>
    <w:rsid w:val="21800B85"/>
    <w:rsid w:val="22E062F3"/>
    <w:rsid w:val="23666289"/>
    <w:rsid w:val="242A28CA"/>
    <w:rsid w:val="25391D45"/>
    <w:rsid w:val="27CD62DB"/>
    <w:rsid w:val="27FE272D"/>
    <w:rsid w:val="32896A3F"/>
    <w:rsid w:val="38A071A7"/>
    <w:rsid w:val="3957729A"/>
    <w:rsid w:val="39FE3206"/>
    <w:rsid w:val="3B9D177C"/>
    <w:rsid w:val="3D430E91"/>
    <w:rsid w:val="3D8B7533"/>
    <w:rsid w:val="3DEE0679"/>
    <w:rsid w:val="3EB82231"/>
    <w:rsid w:val="4122712F"/>
    <w:rsid w:val="423B7B99"/>
    <w:rsid w:val="43367252"/>
    <w:rsid w:val="43CA251C"/>
    <w:rsid w:val="486F2CE2"/>
    <w:rsid w:val="4C676BA2"/>
    <w:rsid w:val="4EB95335"/>
    <w:rsid w:val="4F917B91"/>
    <w:rsid w:val="52EE21C9"/>
    <w:rsid w:val="53642957"/>
    <w:rsid w:val="57240E56"/>
    <w:rsid w:val="57A83AC3"/>
    <w:rsid w:val="59232E69"/>
    <w:rsid w:val="59466384"/>
    <w:rsid w:val="5AB95DB4"/>
    <w:rsid w:val="5C910D7A"/>
    <w:rsid w:val="5F236D87"/>
    <w:rsid w:val="617A272D"/>
    <w:rsid w:val="64523523"/>
    <w:rsid w:val="64DF0D68"/>
    <w:rsid w:val="686F1768"/>
    <w:rsid w:val="6934020F"/>
    <w:rsid w:val="6E3E2771"/>
    <w:rsid w:val="73BD3311"/>
    <w:rsid w:val="779E42D6"/>
    <w:rsid w:val="78770683"/>
    <w:rsid w:val="7EB8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8"/>
    <w:qFormat/>
    <w:uiPriority w:val="0"/>
    <w:pPr>
      <w:pageBreakBefore/>
      <w:widowControl/>
      <w:tabs>
        <w:tab w:val="left" w:pos="478"/>
      </w:tabs>
      <w:autoSpaceDE w:val="0"/>
      <w:autoSpaceDN w:val="0"/>
      <w:spacing w:before="240" w:after="120"/>
      <w:ind w:left="478" w:hanging="960"/>
      <w:jc w:val="center"/>
      <w:outlineLvl w:val="0"/>
    </w:pPr>
    <w:rPr>
      <w:rFonts w:ascii="宋体" w:hAnsi="Times New Roman" w:eastAsia="宋体" w:cs="Times New Roman"/>
      <w:color w:val="000000"/>
      <w:kern w:val="0"/>
      <w:sz w:val="36"/>
      <w:szCs w:val="20"/>
    </w:rPr>
  </w:style>
  <w:style w:type="paragraph" w:styleId="3">
    <w:name w:val="heading 2"/>
    <w:basedOn w:val="1"/>
    <w:next w:val="1"/>
    <w:link w:val="90"/>
    <w:qFormat/>
    <w:uiPriority w:val="0"/>
    <w:pPr>
      <w:keepNext/>
      <w:keepLines/>
      <w:tabs>
        <w:tab w:val="left" w:pos="358"/>
      </w:tabs>
      <w:spacing w:before="400" w:line="360" w:lineRule="auto"/>
      <w:ind w:left="358" w:hanging="420"/>
      <w:outlineLvl w:val="1"/>
    </w:pPr>
    <w:rPr>
      <w:rFonts w:ascii="Times New Roman" w:hAnsi="Times New Roman" w:eastAsia="宋体" w:cs="Times New Roman"/>
      <w:b/>
      <w:sz w:val="32"/>
      <w:szCs w:val="20"/>
    </w:rPr>
  </w:style>
  <w:style w:type="paragraph" w:styleId="4">
    <w:name w:val="heading 3"/>
    <w:basedOn w:val="1"/>
    <w:next w:val="5"/>
    <w:link w:val="99"/>
    <w:qFormat/>
    <w:uiPriority w:val="0"/>
    <w:pPr>
      <w:keepNext/>
      <w:keepLines/>
      <w:tabs>
        <w:tab w:val="left" w:pos="778"/>
      </w:tabs>
      <w:spacing w:beforeLines="50" w:afterLines="50" w:line="360" w:lineRule="auto"/>
      <w:ind w:firstLine="138" w:firstLineChars="49"/>
      <w:outlineLvl w:val="2"/>
    </w:pPr>
    <w:rPr>
      <w:rFonts w:ascii="Arial" w:hAnsi="宋体" w:eastAsia="宋体" w:cs="Times New Roman"/>
      <w:b/>
      <w:sz w:val="28"/>
      <w:szCs w:val="20"/>
    </w:rPr>
  </w:style>
  <w:style w:type="paragraph" w:styleId="7">
    <w:name w:val="heading 4"/>
    <w:basedOn w:val="1"/>
    <w:next w:val="8"/>
    <w:link w:val="92"/>
    <w:qFormat/>
    <w:uiPriority w:val="0"/>
    <w:pPr>
      <w:keepNext/>
      <w:keepLines/>
      <w:tabs>
        <w:tab w:val="left" w:pos="1198"/>
      </w:tabs>
      <w:spacing w:before="120" w:line="360" w:lineRule="auto"/>
      <w:ind w:left="1198" w:hanging="420"/>
      <w:outlineLvl w:val="3"/>
    </w:pPr>
    <w:rPr>
      <w:rFonts w:ascii="Times New Roman" w:hAnsi="Times New Roman" w:eastAsia="宋体" w:cs="Times New Roman"/>
      <w:b/>
      <w:sz w:val="28"/>
      <w:szCs w:val="20"/>
    </w:rPr>
  </w:style>
  <w:style w:type="paragraph" w:styleId="9">
    <w:name w:val="heading 5"/>
    <w:basedOn w:val="1"/>
    <w:next w:val="8"/>
    <w:link w:val="93"/>
    <w:qFormat/>
    <w:uiPriority w:val="0"/>
    <w:pPr>
      <w:keepNext/>
      <w:keepLines/>
      <w:tabs>
        <w:tab w:val="left" w:pos="1618"/>
      </w:tabs>
      <w:spacing w:before="60" w:afterLines="100"/>
      <w:ind w:left="1618" w:hanging="420"/>
      <w:outlineLvl w:val="4"/>
    </w:pPr>
    <w:rPr>
      <w:rFonts w:ascii="Times New Roman" w:hAnsi="Times New Roman" w:eastAsia="宋体" w:cs="Times New Roman"/>
      <w:b/>
      <w:sz w:val="24"/>
      <w:szCs w:val="20"/>
    </w:rPr>
  </w:style>
  <w:style w:type="paragraph" w:styleId="10">
    <w:name w:val="heading 6"/>
    <w:basedOn w:val="1"/>
    <w:next w:val="8"/>
    <w:link w:val="94"/>
    <w:qFormat/>
    <w:uiPriority w:val="0"/>
    <w:pPr>
      <w:keepNext/>
      <w:keepLines/>
      <w:tabs>
        <w:tab w:val="left" w:pos="2038"/>
      </w:tabs>
      <w:spacing w:before="240" w:after="64" w:line="317" w:lineRule="auto"/>
      <w:ind w:left="2038" w:hanging="420"/>
      <w:outlineLvl w:val="5"/>
    </w:pPr>
    <w:rPr>
      <w:rFonts w:ascii="Arial" w:hAnsi="Arial" w:eastAsia="黑体" w:cs="Times New Roman"/>
      <w:sz w:val="24"/>
      <w:szCs w:val="20"/>
    </w:rPr>
  </w:style>
  <w:style w:type="paragraph" w:styleId="11">
    <w:name w:val="heading 7"/>
    <w:basedOn w:val="1"/>
    <w:next w:val="1"/>
    <w:link w:val="95"/>
    <w:qFormat/>
    <w:uiPriority w:val="0"/>
    <w:pPr>
      <w:keepNext/>
      <w:keepLines/>
      <w:spacing w:before="240" w:after="64" w:line="317" w:lineRule="auto"/>
      <w:outlineLvl w:val="6"/>
    </w:pPr>
    <w:rPr>
      <w:rFonts w:ascii="Times New Roman" w:hAnsi="Times New Roman" w:eastAsia="宋体" w:cs="Times New Roman"/>
      <w:b/>
      <w:sz w:val="24"/>
      <w:szCs w:val="20"/>
    </w:rPr>
  </w:style>
  <w:style w:type="paragraph" w:styleId="12">
    <w:name w:val="heading 8"/>
    <w:basedOn w:val="1"/>
    <w:next w:val="1"/>
    <w:link w:val="96"/>
    <w:qFormat/>
    <w:uiPriority w:val="0"/>
    <w:pPr>
      <w:keepNext/>
      <w:keepLines/>
      <w:spacing w:before="240" w:after="64" w:line="317" w:lineRule="auto"/>
      <w:outlineLvl w:val="7"/>
    </w:pPr>
    <w:rPr>
      <w:rFonts w:ascii="Arial" w:hAnsi="Arial" w:eastAsia="黑体" w:cs="Times New Roman"/>
      <w:sz w:val="24"/>
      <w:szCs w:val="20"/>
    </w:rPr>
  </w:style>
  <w:style w:type="paragraph" w:styleId="13">
    <w:name w:val="heading 9"/>
    <w:basedOn w:val="1"/>
    <w:next w:val="1"/>
    <w:link w:val="97"/>
    <w:qFormat/>
    <w:uiPriority w:val="0"/>
    <w:pPr>
      <w:keepNext/>
      <w:keepLines/>
      <w:spacing w:before="240" w:after="64" w:line="317" w:lineRule="auto"/>
      <w:outlineLvl w:val="8"/>
    </w:pPr>
    <w:rPr>
      <w:rFonts w:ascii="Arial" w:hAnsi="Arial" w:eastAsia="黑体" w:cs="Times New Roman"/>
      <w:szCs w:val="20"/>
    </w:rPr>
  </w:style>
  <w:style w:type="character" w:default="1" w:styleId="81">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5">
    <w:name w:val="Body Text First Indent"/>
    <w:basedOn w:val="6"/>
    <w:next w:val="1"/>
    <w:link w:val="101"/>
    <w:qFormat/>
    <w:uiPriority w:val="0"/>
    <w:pPr>
      <w:autoSpaceDE w:val="0"/>
      <w:autoSpaceDN w:val="0"/>
      <w:adjustRightInd w:val="0"/>
      <w:spacing w:after="0" w:line="300" w:lineRule="auto"/>
      <w:ind w:firstLine="476"/>
      <w:jc w:val="left"/>
    </w:pPr>
    <w:rPr>
      <w:rFonts w:ascii="Times New Roman" w:hAnsi="Times New Roman" w:eastAsia="宋体" w:cs="Times New Roman"/>
      <w:sz w:val="24"/>
      <w:szCs w:val="20"/>
    </w:rPr>
  </w:style>
  <w:style w:type="paragraph" w:styleId="6">
    <w:name w:val="Body Text"/>
    <w:basedOn w:val="1"/>
    <w:next w:val="5"/>
    <w:link w:val="100"/>
    <w:unhideWhenUsed/>
    <w:qFormat/>
    <w:uiPriority w:val="0"/>
    <w:pPr>
      <w:spacing w:after="120"/>
    </w:pPr>
  </w:style>
  <w:style w:type="paragraph" w:customStyle="1" w:styleId="8">
    <w:name w:val="正文缩进2"/>
    <w:basedOn w:val="1"/>
    <w:qFormat/>
    <w:uiPriority w:val="0"/>
    <w:pPr>
      <w:spacing w:before="60"/>
      <w:ind w:firstLine="476"/>
    </w:pPr>
    <w:rPr>
      <w:rFonts w:ascii="Times New Roman" w:hAnsi="Times New Roman" w:eastAsia="宋体" w:cs="Times New Roman"/>
      <w:sz w:val="24"/>
      <w:szCs w:val="20"/>
    </w:rPr>
  </w:style>
  <w:style w:type="paragraph" w:styleId="14">
    <w:name w:val="List 3"/>
    <w:basedOn w:val="1"/>
    <w:qFormat/>
    <w:uiPriority w:val="0"/>
    <w:pPr>
      <w:ind w:left="100" w:leftChars="400" w:hanging="200" w:hangingChars="200"/>
    </w:pPr>
    <w:rPr>
      <w:rFonts w:ascii="Times New Roman" w:hAnsi="Times New Roman" w:eastAsia="宋体" w:cs="Times New Roman"/>
      <w:szCs w:val="24"/>
    </w:rPr>
  </w:style>
  <w:style w:type="paragraph" w:styleId="15">
    <w:name w:val="toc 7"/>
    <w:basedOn w:val="1"/>
    <w:next w:val="1"/>
    <w:qFormat/>
    <w:uiPriority w:val="0"/>
    <w:pPr>
      <w:ind w:left="1260"/>
      <w:jc w:val="left"/>
    </w:pPr>
    <w:rPr>
      <w:rFonts w:ascii="Times New Roman" w:hAnsi="Times New Roman" w:eastAsia="宋体" w:cs="Times New Roman"/>
      <w:sz w:val="18"/>
      <w:szCs w:val="20"/>
    </w:rPr>
  </w:style>
  <w:style w:type="paragraph" w:styleId="16">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7">
    <w:name w:val="Note Heading"/>
    <w:basedOn w:val="1"/>
    <w:next w:val="1"/>
    <w:link w:val="102"/>
    <w:qFormat/>
    <w:uiPriority w:val="0"/>
    <w:pPr>
      <w:spacing w:line="360" w:lineRule="auto"/>
      <w:ind w:firstLine="200" w:firstLineChars="200"/>
      <w:jc w:val="center"/>
    </w:pPr>
    <w:rPr>
      <w:rFonts w:ascii="Arial" w:hAnsi="Arial" w:eastAsia="楷体_GB2312" w:cs="Arial"/>
      <w:sz w:val="28"/>
      <w:szCs w:val="24"/>
    </w:rPr>
  </w:style>
  <w:style w:type="paragraph" w:styleId="18">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9">
    <w:name w:val="E-mail Signature"/>
    <w:basedOn w:val="1"/>
    <w:link w:val="103"/>
    <w:qFormat/>
    <w:uiPriority w:val="0"/>
    <w:pPr>
      <w:spacing w:line="360" w:lineRule="auto"/>
      <w:ind w:firstLine="200" w:firstLineChars="200"/>
      <w:jc w:val="left"/>
    </w:pPr>
    <w:rPr>
      <w:rFonts w:ascii="Arial" w:hAnsi="Arial" w:eastAsia="楷体_GB2312" w:cs="Arial"/>
      <w:sz w:val="28"/>
      <w:szCs w:val="24"/>
    </w:rPr>
  </w:style>
  <w:style w:type="paragraph" w:styleId="20">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21">
    <w:name w:val="Normal Indent"/>
    <w:basedOn w:val="1"/>
    <w:link w:val="104"/>
    <w:qFormat/>
    <w:uiPriority w:val="0"/>
    <w:pPr>
      <w:ind w:firstLine="420"/>
    </w:pPr>
    <w:rPr>
      <w:rFonts w:ascii="Times New Roman" w:hAnsi="Times New Roman" w:eastAsia="宋体" w:cs="Times New Roman"/>
      <w:szCs w:val="20"/>
    </w:rPr>
  </w:style>
  <w:style w:type="paragraph" w:styleId="22">
    <w:name w:val="caption"/>
    <w:basedOn w:val="1"/>
    <w:next w:val="1"/>
    <w:link w:val="105"/>
    <w:qFormat/>
    <w:uiPriority w:val="0"/>
    <w:pPr>
      <w:spacing w:before="152" w:after="160" w:line="360" w:lineRule="auto"/>
      <w:ind w:firstLine="476"/>
    </w:pPr>
    <w:rPr>
      <w:rFonts w:ascii="Arial" w:hAnsi="Arial" w:eastAsia="黑体" w:cs="Times New Roman"/>
      <w:spacing w:val="10"/>
      <w:sz w:val="20"/>
      <w:szCs w:val="20"/>
    </w:rPr>
  </w:style>
  <w:style w:type="paragraph" w:styleId="23">
    <w:name w:val="index 5"/>
    <w:basedOn w:val="1"/>
    <w:next w:val="1"/>
    <w:qFormat/>
    <w:uiPriority w:val="0"/>
    <w:pPr>
      <w:tabs>
        <w:tab w:val="left" w:pos="5760"/>
      </w:tabs>
      <w:ind w:left="1920" w:leftChars="800"/>
      <w:jc w:val="left"/>
    </w:pPr>
    <w:rPr>
      <w:rFonts w:ascii="Times New Roman" w:hAnsi="Times New Roman" w:eastAsia="宋体" w:cs="Times New Roman"/>
      <w:sz w:val="24"/>
      <w:szCs w:val="20"/>
    </w:rPr>
  </w:style>
  <w:style w:type="paragraph" w:styleId="24">
    <w:name w:val="List Bullet"/>
    <w:basedOn w:val="1"/>
    <w:qFormat/>
    <w:uiPriority w:val="0"/>
    <w:pPr>
      <w:tabs>
        <w:tab w:val="left" w:pos="748"/>
      </w:tabs>
      <w:spacing w:line="360" w:lineRule="auto"/>
      <w:ind w:left="748" w:hanging="374"/>
    </w:pPr>
    <w:rPr>
      <w:rFonts w:ascii="Times New Roman" w:hAnsi="Times New Roman" w:eastAsia="宋体" w:cs="Times New Roman"/>
      <w:szCs w:val="20"/>
    </w:rPr>
  </w:style>
  <w:style w:type="paragraph" w:styleId="25">
    <w:name w:val="envelope address"/>
    <w:basedOn w:val="1"/>
    <w:qFormat/>
    <w:uiPriority w:val="0"/>
    <w:pPr>
      <w:snapToGrid w:val="0"/>
      <w:spacing w:line="360" w:lineRule="auto"/>
      <w:ind w:left="100" w:leftChars="1400" w:firstLine="200" w:firstLineChars="200"/>
      <w:jc w:val="left"/>
    </w:pPr>
    <w:rPr>
      <w:rFonts w:ascii="Arial" w:hAnsi="Arial" w:eastAsia="楷体_GB2312" w:cs="Arial"/>
      <w:sz w:val="24"/>
      <w:szCs w:val="24"/>
    </w:rPr>
  </w:style>
  <w:style w:type="paragraph" w:styleId="26">
    <w:name w:val="Document Map"/>
    <w:basedOn w:val="1"/>
    <w:link w:val="106"/>
    <w:qFormat/>
    <w:uiPriority w:val="0"/>
    <w:pPr>
      <w:shd w:val="clear" w:color="auto" w:fill="000080"/>
    </w:pPr>
    <w:rPr>
      <w:rFonts w:ascii="Times New Roman" w:hAnsi="Times New Roman" w:eastAsia="宋体" w:cs="Times New Roman"/>
      <w:sz w:val="24"/>
      <w:szCs w:val="20"/>
      <w:shd w:val="clear" w:color="auto" w:fill="000080"/>
    </w:rPr>
  </w:style>
  <w:style w:type="paragraph" w:styleId="2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28">
    <w:name w:val="annotation text"/>
    <w:basedOn w:val="1"/>
    <w:link w:val="107"/>
    <w:qFormat/>
    <w:uiPriority w:val="0"/>
    <w:pPr>
      <w:jc w:val="left"/>
    </w:pPr>
    <w:rPr>
      <w:rFonts w:ascii="Times New Roman" w:hAnsi="Times New Roman" w:eastAsia="宋体" w:cs="Times New Roman"/>
      <w:sz w:val="24"/>
      <w:szCs w:val="20"/>
    </w:rPr>
  </w:style>
  <w:style w:type="paragraph" w:styleId="29">
    <w:name w:val="Salutation"/>
    <w:basedOn w:val="1"/>
    <w:next w:val="1"/>
    <w:link w:val="108"/>
    <w:qFormat/>
    <w:uiPriority w:val="0"/>
    <w:pPr>
      <w:spacing w:line="360" w:lineRule="auto"/>
      <w:ind w:firstLine="200" w:firstLineChars="200"/>
      <w:jc w:val="left"/>
    </w:pPr>
    <w:rPr>
      <w:rFonts w:ascii="Arial" w:hAnsi="Arial" w:eastAsia="楷体_GB2312" w:cs="Arial"/>
      <w:sz w:val="28"/>
      <w:szCs w:val="24"/>
    </w:rPr>
  </w:style>
  <w:style w:type="paragraph" w:styleId="30">
    <w:name w:val="Body Text 3"/>
    <w:basedOn w:val="1"/>
    <w:link w:val="109"/>
    <w:qFormat/>
    <w:uiPriority w:val="0"/>
    <w:pPr>
      <w:spacing w:after="120"/>
    </w:pPr>
    <w:rPr>
      <w:rFonts w:ascii="Times New Roman" w:hAnsi="Times New Roman" w:eastAsia="宋体" w:cs="Times New Roman"/>
      <w:sz w:val="16"/>
      <w:szCs w:val="16"/>
    </w:rPr>
  </w:style>
  <w:style w:type="paragraph" w:styleId="31">
    <w:name w:val="Closing"/>
    <w:basedOn w:val="1"/>
    <w:link w:val="110"/>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2">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3">
    <w:name w:val="Body Text Indent"/>
    <w:basedOn w:val="1"/>
    <w:next w:val="21"/>
    <w:link w:val="111"/>
    <w:qFormat/>
    <w:uiPriority w:val="99"/>
    <w:pPr>
      <w:spacing w:before="120" w:after="120" w:line="360" w:lineRule="auto"/>
      <w:ind w:firstLine="525"/>
    </w:pPr>
    <w:rPr>
      <w:rFonts w:ascii="宋体" w:hAnsi="Times New Roman" w:eastAsia="宋体" w:cs="Times New Roman"/>
      <w:sz w:val="24"/>
      <w:szCs w:val="20"/>
    </w:rPr>
  </w:style>
  <w:style w:type="paragraph" w:styleId="34">
    <w:name w:val="List Number 3"/>
    <w:basedOn w:val="1"/>
    <w:qFormat/>
    <w:uiPriority w:val="0"/>
    <w:pPr>
      <w:numPr>
        <w:ilvl w:val="0"/>
        <w:numId w:val="5"/>
      </w:numPr>
    </w:pPr>
    <w:rPr>
      <w:rFonts w:ascii="Times New Roman" w:hAnsi="Times New Roman" w:eastAsia="宋体" w:cs="Times New Roman"/>
      <w:szCs w:val="24"/>
    </w:rPr>
  </w:style>
  <w:style w:type="paragraph" w:styleId="35">
    <w:name w:val="List 2"/>
    <w:basedOn w:val="1"/>
    <w:qFormat/>
    <w:uiPriority w:val="0"/>
    <w:pPr>
      <w:ind w:left="100" w:leftChars="200" w:hanging="200" w:hangingChars="200"/>
    </w:pPr>
    <w:rPr>
      <w:rFonts w:ascii="Times New Roman" w:hAnsi="Times New Roman" w:eastAsia="宋体" w:cs="Times New Roman"/>
      <w:szCs w:val="24"/>
    </w:rPr>
  </w:style>
  <w:style w:type="paragraph" w:styleId="36">
    <w:name w:val="List Continue"/>
    <w:basedOn w:val="1"/>
    <w:qFormat/>
    <w:uiPriority w:val="0"/>
    <w:pPr>
      <w:spacing w:after="120"/>
      <w:ind w:left="420" w:leftChars="200"/>
    </w:pPr>
    <w:rPr>
      <w:rFonts w:ascii="Times New Roman" w:hAnsi="Times New Roman" w:eastAsia="宋体" w:cs="Times New Roman"/>
      <w:szCs w:val="24"/>
    </w:rPr>
  </w:style>
  <w:style w:type="paragraph" w:styleId="37">
    <w:name w:val="Block Text"/>
    <w:basedOn w:val="1"/>
    <w:qFormat/>
    <w:uiPriority w:val="0"/>
    <w:pPr>
      <w:ind w:left="718" w:leftChars="342" w:right="373" w:firstLine="560" w:firstLineChars="200"/>
    </w:pPr>
    <w:rPr>
      <w:rFonts w:ascii="新宋体" w:hAnsi="Times New Roman" w:eastAsia="新宋体" w:cs="Times New Roman"/>
      <w:color w:val="000000"/>
      <w:sz w:val="28"/>
      <w:szCs w:val="21"/>
      <w:lang w:val="zh-CN"/>
    </w:rPr>
  </w:style>
  <w:style w:type="paragraph" w:styleId="38">
    <w:name w:val="List Bullet 2"/>
    <w:basedOn w:val="1"/>
    <w:qFormat/>
    <w:uiPriority w:val="0"/>
    <w:pPr>
      <w:tabs>
        <w:tab w:val="left" w:pos="840"/>
      </w:tabs>
      <w:adjustRightInd w:val="0"/>
      <w:spacing w:line="312" w:lineRule="atLeast"/>
      <w:ind w:left="1350" w:hanging="510"/>
      <w:textAlignment w:val="baseline"/>
    </w:pPr>
    <w:rPr>
      <w:rFonts w:ascii="Times New Roman" w:hAnsi="Times New Roman" w:eastAsia="宋体" w:cs="Times New Roman"/>
      <w:kern w:val="0"/>
      <w:szCs w:val="20"/>
    </w:rPr>
  </w:style>
  <w:style w:type="paragraph" w:styleId="39">
    <w:name w:val="HTML Address"/>
    <w:basedOn w:val="1"/>
    <w:link w:val="112"/>
    <w:qFormat/>
    <w:uiPriority w:val="0"/>
    <w:pPr>
      <w:spacing w:line="360" w:lineRule="auto"/>
      <w:ind w:firstLine="200" w:firstLineChars="200"/>
      <w:jc w:val="left"/>
    </w:pPr>
    <w:rPr>
      <w:rFonts w:ascii="Arial" w:hAnsi="Arial" w:eastAsia="楷体_GB2312" w:cs="Arial"/>
      <w:i/>
      <w:iCs/>
      <w:sz w:val="28"/>
      <w:szCs w:val="24"/>
    </w:rPr>
  </w:style>
  <w:style w:type="paragraph" w:styleId="40">
    <w:name w:val="toc 5"/>
    <w:basedOn w:val="1"/>
    <w:next w:val="1"/>
    <w:qFormat/>
    <w:uiPriority w:val="0"/>
    <w:pPr>
      <w:ind w:left="840"/>
      <w:jc w:val="left"/>
    </w:pPr>
    <w:rPr>
      <w:rFonts w:ascii="Times New Roman" w:hAnsi="Times New Roman" w:eastAsia="宋体" w:cs="Times New Roman"/>
      <w:sz w:val="18"/>
      <w:szCs w:val="20"/>
    </w:rPr>
  </w:style>
  <w:style w:type="paragraph" w:styleId="41">
    <w:name w:val="toc 3"/>
    <w:basedOn w:val="1"/>
    <w:next w:val="1"/>
    <w:qFormat/>
    <w:uiPriority w:val="39"/>
    <w:pPr>
      <w:tabs>
        <w:tab w:val="left" w:pos="845"/>
        <w:tab w:val="right" w:leader="dot" w:pos="9316"/>
      </w:tabs>
      <w:ind w:left="420"/>
      <w:jc w:val="left"/>
    </w:pPr>
    <w:rPr>
      <w:rFonts w:ascii="Times New Roman" w:hAnsi="Times New Roman" w:eastAsia="宋体" w:cs="Times New Roman"/>
      <w:sz w:val="20"/>
      <w:szCs w:val="20"/>
    </w:rPr>
  </w:style>
  <w:style w:type="paragraph" w:styleId="42">
    <w:name w:val="Plain Text"/>
    <w:basedOn w:val="1"/>
    <w:next w:val="43"/>
    <w:link w:val="113"/>
    <w:qFormat/>
    <w:uiPriority w:val="0"/>
    <w:rPr>
      <w:rFonts w:ascii="宋体" w:hAnsi="Courier New" w:eastAsia="宋体" w:cs="Times New Roman"/>
      <w:szCs w:val="20"/>
    </w:rPr>
  </w:style>
  <w:style w:type="paragraph" w:styleId="43">
    <w:name w:val="toc 2"/>
    <w:basedOn w:val="1"/>
    <w:next w:val="1"/>
    <w:qFormat/>
    <w:uiPriority w:val="39"/>
    <w:pPr>
      <w:tabs>
        <w:tab w:val="left" w:pos="600"/>
        <w:tab w:val="right" w:leader="dot" w:pos="9019"/>
      </w:tabs>
      <w:ind w:left="210"/>
      <w:jc w:val="left"/>
    </w:pPr>
    <w:rPr>
      <w:rFonts w:ascii="Times New Roman" w:hAnsi="Times New Roman" w:eastAsia="宋体" w:cs="Times New Roman"/>
      <w:smallCaps/>
      <w:sz w:val="20"/>
      <w:szCs w:val="20"/>
    </w:rPr>
  </w:style>
  <w:style w:type="paragraph" w:styleId="44">
    <w:name w:val="List Bullet 5"/>
    <w:basedOn w:val="1"/>
    <w:qFormat/>
    <w:uiPriority w:val="0"/>
    <w:pPr>
      <w:tabs>
        <w:tab w:val="left" w:pos="840"/>
      </w:tabs>
      <w:adjustRightInd w:val="0"/>
      <w:spacing w:line="312" w:lineRule="atLeast"/>
      <w:ind w:left="1350" w:hanging="510"/>
      <w:textAlignment w:val="baseline"/>
    </w:pPr>
    <w:rPr>
      <w:rFonts w:ascii="Times New Roman" w:hAnsi="Times New Roman" w:eastAsia="宋体" w:cs="Times New Roman"/>
      <w:kern w:val="0"/>
      <w:szCs w:val="20"/>
    </w:rPr>
  </w:style>
  <w:style w:type="paragraph" w:styleId="45">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6">
    <w:name w:val="toc 8"/>
    <w:basedOn w:val="1"/>
    <w:next w:val="1"/>
    <w:qFormat/>
    <w:uiPriority w:val="0"/>
    <w:pPr>
      <w:ind w:left="2940" w:leftChars="1400"/>
    </w:pPr>
    <w:rPr>
      <w:rFonts w:ascii="Times New Roman" w:hAnsi="Times New Roman" w:eastAsia="宋体" w:cs="Times New Roman"/>
      <w:szCs w:val="20"/>
    </w:rPr>
  </w:style>
  <w:style w:type="paragraph" w:styleId="47">
    <w:name w:val="Date"/>
    <w:basedOn w:val="1"/>
    <w:next w:val="1"/>
    <w:link w:val="114"/>
    <w:qFormat/>
    <w:uiPriority w:val="99"/>
    <w:pPr>
      <w:widowControl/>
    </w:pPr>
    <w:rPr>
      <w:rFonts w:ascii="楷体_GB2312" w:hAnsi="Times New Roman" w:eastAsia="楷体_GB2312" w:cs="Times New Roman"/>
      <w:kern w:val="0"/>
      <w:sz w:val="32"/>
      <w:szCs w:val="20"/>
    </w:rPr>
  </w:style>
  <w:style w:type="paragraph" w:styleId="48">
    <w:name w:val="Body Text Indent 2"/>
    <w:basedOn w:val="1"/>
    <w:link w:val="115"/>
    <w:qFormat/>
    <w:uiPriority w:val="0"/>
    <w:pPr>
      <w:spacing w:line="360" w:lineRule="auto"/>
      <w:ind w:left="718" w:firstLine="480" w:firstLineChars="200"/>
    </w:pPr>
    <w:rPr>
      <w:rFonts w:ascii="Arial" w:hAnsi="Arial" w:eastAsia="LineDraw" w:cs="Times New Roman"/>
      <w:sz w:val="24"/>
      <w:szCs w:val="20"/>
    </w:rPr>
  </w:style>
  <w:style w:type="paragraph" w:styleId="49">
    <w:name w:val="List Continue 5"/>
    <w:basedOn w:val="1"/>
    <w:qFormat/>
    <w:uiPriority w:val="0"/>
    <w:pPr>
      <w:spacing w:after="120" w:line="360" w:lineRule="auto"/>
      <w:ind w:left="2100" w:leftChars="1000" w:firstLine="200" w:firstLineChars="200"/>
      <w:jc w:val="left"/>
    </w:pPr>
    <w:rPr>
      <w:rFonts w:ascii="Arial" w:hAnsi="Arial" w:eastAsia="楷体_GB2312" w:cs="Arial"/>
      <w:sz w:val="28"/>
      <w:szCs w:val="24"/>
    </w:rPr>
  </w:style>
  <w:style w:type="paragraph" w:styleId="50">
    <w:name w:val="Balloon Text"/>
    <w:basedOn w:val="1"/>
    <w:link w:val="116"/>
    <w:qFormat/>
    <w:uiPriority w:val="99"/>
    <w:pPr>
      <w:adjustRightInd w:val="0"/>
      <w:spacing w:before="100" w:beforeAutospacing="1" w:after="100" w:afterAutospacing="1" w:line="400" w:lineRule="atLeast"/>
      <w:ind w:firstLine="454"/>
      <w:textAlignment w:val="baseline"/>
    </w:pPr>
    <w:rPr>
      <w:rFonts w:ascii="宋体" w:hAnsi="Times New Roman" w:eastAsia="宋体" w:cs="Times New Roman"/>
      <w:color w:val="FF0000"/>
      <w:sz w:val="24"/>
      <w:szCs w:val="20"/>
    </w:rPr>
  </w:style>
  <w:style w:type="paragraph" w:styleId="51">
    <w:name w:val="footer"/>
    <w:basedOn w:val="1"/>
    <w:link w:val="117"/>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52">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53">
    <w:name w:val="header"/>
    <w:basedOn w:val="1"/>
    <w:link w:val="118"/>
    <w:qFormat/>
    <w:uiPriority w:val="99"/>
    <w:pPr>
      <w:widowControl/>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54">
    <w:name w:val="Signature"/>
    <w:basedOn w:val="1"/>
    <w:link w:val="119"/>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39"/>
    <w:pPr>
      <w:spacing w:before="120" w:after="120"/>
      <w:jc w:val="left"/>
    </w:pPr>
    <w:rPr>
      <w:rFonts w:ascii="Times New Roman" w:hAnsi="Times New Roman" w:eastAsia="宋体" w:cs="Times New Roman"/>
      <w:b/>
      <w:caps/>
      <w:sz w:val="20"/>
      <w:szCs w:val="20"/>
    </w:rPr>
  </w:style>
  <w:style w:type="paragraph" w:styleId="56">
    <w:name w:val="List Continue 4"/>
    <w:basedOn w:val="1"/>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39"/>
    <w:pPr>
      <w:ind w:left="630"/>
      <w:jc w:val="left"/>
    </w:pPr>
    <w:rPr>
      <w:rFonts w:ascii="Times New Roman" w:hAnsi="Times New Roman" w:eastAsia="宋体" w:cs="Times New Roman"/>
      <w:sz w:val="18"/>
      <w:szCs w:val="20"/>
    </w:rPr>
  </w:style>
  <w:style w:type="paragraph" w:styleId="58">
    <w:name w:val="index heading"/>
    <w:basedOn w:val="1"/>
    <w:next w:val="59"/>
    <w:qFormat/>
    <w:uiPriority w:val="0"/>
    <w:pPr>
      <w:spacing w:after="120" w:line="360" w:lineRule="exact"/>
    </w:pPr>
    <w:rPr>
      <w:rFonts w:ascii="Times New Roman" w:hAnsi="Times New Roman" w:eastAsia="宋体" w:cs="Times New Roman"/>
      <w:szCs w:val="20"/>
    </w:rPr>
  </w:style>
  <w:style w:type="paragraph" w:styleId="59">
    <w:name w:val="index 1"/>
    <w:basedOn w:val="1"/>
    <w:next w:val="1"/>
    <w:unhideWhenUsed/>
    <w:qFormat/>
    <w:uiPriority w:val="0"/>
  </w:style>
  <w:style w:type="paragraph" w:styleId="60">
    <w:name w:val="Subtitle"/>
    <w:basedOn w:val="1"/>
    <w:link w:val="120"/>
    <w:qFormat/>
    <w:uiPriority w:val="0"/>
    <w:pPr>
      <w:adjustRightInd w:val="0"/>
      <w:spacing w:after="60" w:line="360" w:lineRule="atLeast"/>
      <w:jc w:val="center"/>
      <w:textAlignment w:val="baseline"/>
    </w:pPr>
    <w:rPr>
      <w:rFonts w:ascii="Arial" w:hAnsi="Arial" w:eastAsia="黑体" w:cs="Times New Roman"/>
      <w:i/>
      <w:kern w:val="0"/>
      <w:sz w:val="24"/>
      <w:szCs w:val="20"/>
    </w:rPr>
  </w:style>
  <w:style w:type="paragraph" w:styleId="61">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2">
    <w:name w:val="List"/>
    <w:basedOn w:val="1"/>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121"/>
    <w:qFormat/>
    <w:uiPriority w:val="0"/>
    <w:pPr>
      <w:snapToGrid w:val="0"/>
      <w:jc w:val="left"/>
    </w:pPr>
    <w:rPr>
      <w:rFonts w:ascii="Times New Roman" w:hAnsi="Times New Roman" w:eastAsia="仿宋_GB2312" w:cs="Times New Roman"/>
      <w:sz w:val="18"/>
      <w:szCs w:val="20"/>
    </w:rPr>
  </w:style>
  <w:style w:type="paragraph" w:styleId="64">
    <w:name w:val="toc 6"/>
    <w:basedOn w:val="1"/>
    <w:next w:val="1"/>
    <w:qFormat/>
    <w:uiPriority w:val="0"/>
    <w:pPr>
      <w:ind w:left="2100" w:leftChars="1000"/>
    </w:pPr>
    <w:rPr>
      <w:rFonts w:ascii="Times New Roman" w:hAnsi="Times New Roman" w:eastAsia="宋体" w:cs="Times New Roman"/>
      <w:szCs w:val="20"/>
    </w:rPr>
  </w:style>
  <w:style w:type="paragraph" w:styleId="65">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6">
    <w:name w:val="Body Text Indent 3"/>
    <w:basedOn w:val="1"/>
    <w:link w:val="122"/>
    <w:qFormat/>
    <w:uiPriority w:val="0"/>
    <w:pPr>
      <w:spacing w:line="360" w:lineRule="auto"/>
      <w:ind w:firstLine="480"/>
    </w:pPr>
    <w:rPr>
      <w:rFonts w:ascii="Arial" w:hAnsi="Arial" w:eastAsia="宋体" w:cs="Times New Roman"/>
      <w:color w:val="FF0000"/>
      <w:sz w:val="24"/>
      <w:szCs w:val="20"/>
    </w:rPr>
  </w:style>
  <w:style w:type="paragraph" w:styleId="67">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68">
    <w:name w:val="toc 9"/>
    <w:basedOn w:val="6"/>
    <w:next w:val="1"/>
    <w:qFormat/>
    <w:uiPriority w:val="0"/>
    <w:pPr>
      <w:adjustRightInd w:val="0"/>
      <w:spacing w:before="100" w:beforeAutospacing="1" w:after="100" w:afterAutospacing="1" w:line="400" w:lineRule="atLeast"/>
      <w:ind w:left="1920" w:firstLine="454"/>
      <w:jc w:val="left"/>
      <w:textAlignment w:val="baseline"/>
    </w:pPr>
    <w:rPr>
      <w:rFonts w:ascii="Times New Roman" w:hAnsi="Times New Roman" w:eastAsia="宋体" w:cs="Times New Roman"/>
      <w:kern w:val="0"/>
      <w:sz w:val="18"/>
      <w:szCs w:val="20"/>
    </w:rPr>
  </w:style>
  <w:style w:type="paragraph" w:styleId="69">
    <w:name w:val="Body Text 2"/>
    <w:basedOn w:val="1"/>
    <w:link w:val="123"/>
    <w:qFormat/>
    <w:uiPriority w:val="0"/>
    <w:pPr>
      <w:spacing w:after="120" w:line="480" w:lineRule="auto"/>
    </w:pPr>
    <w:rPr>
      <w:rFonts w:ascii="Times New Roman" w:hAnsi="Times New Roman" w:eastAsia="宋体" w:cs="Times New Roman"/>
      <w:szCs w:val="20"/>
    </w:rPr>
  </w:style>
  <w:style w:type="paragraph" w:styleId="70">
    <w:name w:val="List 4"/>
    <w:basedOn w:val="1"/>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 w:val="24"/>
      <w:szCs w:val="24"/>
    </w:rPr>
  </w:style>
  <w:style w:type="paragraph" w:styleId="73">
    <w:name w:val="HTML Preformatted"/>
    <w:basedOn w:val="1"/>
    <w:link w:val="125"/>
    <w:qFormat/>
    <w:uiPriority w:val="99"/>
    <w:pPr>
      <w:spacing w:line="360" w:lineRule="auto"/>
      <w:ind w:firstLine="200" w:firstLineChars="200"/>
      <w:jc w:val="left"/>
    </w:pPr>
    <w:rPr>
      <w:rFonts w:ascii="Courier New" w:hAnsi="Courier New" w:eastAsia="楷体_GB2312" w:cs="Times New Roman"/>
      <w:sz w:val="20"/>
      <w:szCs w:val="20"/>
    </w:rPr>
  </w:style>
  <w:style w:type="paragraph" w:styleId="74">
    <w:name w:val="Normal (Web)"/>
    <w:basedOn w:val="1"/>
    <w:link w:val="126"/>
    <w:qFormat/>
    <w:uiPriority w:val="0"/>
    <w:pPr>
      <w:widowControl/>
      <w:spacing w:before="100" w:beforeAutospacing="1" w:after="100" w:afterAutospacing="1"/>
      <w:jc w:val="left"/>
    </w:pPr>
    <w:rPr>
      <w:rFonts w:ascii="宋体" w:hAnsi="宋体" w:eastAsia="宋体" w:cs="Times New Roman"/>
      <w:kern w:val="0"/>
      <w:sz w:val="22"/>
      <w:szCs w:val="20"/>
    </w:rPr>
  </w:style>
  <w:style w:type="paragraph" w:styleId="75">
    <w:name w:val="List Continue 3"/>
    <w:basedOn w:val="1"/>
    <w:qFormat/>
    <w:uiPriority w:val="0"/>
    <w:pPr>
      <w:spacing w:after="120"/>
      <w:ind w:left="1260" w:leftChars="600"/>
    </w:pPr>
    <w:rPr>
      <w:rFonts w:ascii="Times New Roman" w:hAnsi="Times New Roman" w:eastAsia="宋体" w:cs="Times New Roman"/>
      <w:szCs w:val="24"/>
    </w:rPr>
  </w:style>
  <w:style w:type="paragraph" w:styleId="76">
    <w:name w:val="Title"/>
    <w:basedOn w:val="1"/>
    <w:next w:val="1"/>
    <w:link w:val="127"/>
    <w:qFormat/>
    <w:uiPriority w:val="0"/>
    <w:pPr>
      <w:spacing w:before="240" w:after="60" w:line="360" w:lineRule="auto"/>
      <w:ind w:firstLine="200" w:firstLineChars="200"/>
      <w:jc w:val="center"/>
      <w:outlineLvl w:val="0"/>
    </w:pPr>
    <w:rPr>
      <w:rFonts w:ascii="Arial" w:hAnsi="Arial" w:eastAsia="楷体_GB2312" w:cs="Arial"/>
      <w:b/>
      <w:bCs/>
      <w:sz w:val="32"/>
      <w:szCs w:val="32"/>
    </w:rPr>
  </w:style>
  <w:style w:type="paragraph" w:styleId="77">
    <w:name w:val="annotation subject"/>
    <w:basedOn w:val="28"/>
    <w:next w:val="28"/>
    <w:link w:val="128"/>
    <w:qFormat/>
    <w:uiPriority w:val="0"/>
    <w:rPr>
      <w:b/>
    </w:rPr>
  </w:style>
  <w:style w:type="paragraph" w:styleId="78">
    <w:name w:val="Body Text First Indent 2"/>
    <w:basedOn w:val="33"/>
    <w:link w:val="129"/>
    <w:qFormat/>
    <w:uiPriority w:val="0"/>
    <w:pPr>
      <w:spacing w:before="0" w:line="240" w:lineRule="auto"/>
      <w:ind w:left="420" w:leftChars="200" w:firstLine="420" w:firstLineChars="200"/>
    </w:pPr>
    <w:rPr>
      <w:rFonts w:ascii="Times New Roman"/>
    </w:rPr>
  </w:style>
  <w:style w:type="table" w:styleId="80">
    <w:name w:val="Table Grid"/>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qFormat/>
    <w:uiPriority w:val="0"/>
    <w:rPr>
      <w:b/>
    </w:rPr>
  </w:style>
  <w:style w:type="character" w:styleId="83">
    <w:name w:val="page number"/>
    <w:qFormat/>
    <w:uiPriority w:val="0"/>
  </w:style>
  <w:style w:type="character" w:styleId="84">
    <w:name w:val="FollowedHyperlink"/>
    <w:qFormat/>
    <w:uiPriority w:val="0"/>
    <w:rPr>
      <w:color w:val="800080"/>
      <w:u w:val="single"/>
    </w:rPr>
  </w:style>
  <w:style w:type="character" w:styleId="85">
    <w:name w:val="Emphasis"/>
    <w:qFormat/>
    <w:uiPriority w:val="0"/>
    <w:rPr>
      <w:color w:val="CC0033"/>
    </w:rPr>
  </w:style>
  <w:style w:type="character" w:styleId="86">
    <w:name w:val="line number"/>
    <w:qFormat/>
    <w:uiPriority w:val="0"/>
  </w:style>
  <w:style w:type="character" w:styleId="87">
    <w:name w:val="Hyperlink"/>
    <w:qFormat/>
    <w:uiPriority w:val="99"/>
    <w:rPr>
      <w:color w:val="0000FF"/>
      <w:u w:val="single"/>
    </w:rPr>
  </w:style>
  <w:style w:type="character" w:styleId="88">
    <w:name w:val="annotation reference"/>
    <w:qFormat/>
    <w:uiPriority w:val="0"/>
    <w:rPr>
      <w:sz w:val="21"/>
    </w:rPr>
  </w:style>
  <w:style w:type="character" w:customStyle="1" w:styleId="89">
    <w:name w:val="标题 1 Char"/>
    <w:basedOn w:val="81"/>
    <w:qFormat/>
    <w:uiPriority w:val="0"/>
    <w:rPr>
      <w:b/>
      <w:bCs/>
      <w:kern w:val="44"/>
      <w:sz w:val="44"/>
      <w:szCs w:val="44"/>
    </w:rPr>
  </w:style>
  <w:style w:type="character" w:customStyle="1" w:styleId="90">
    <w:name w:val="标题 2 Char"/>
    <w:basedOn w:val="81"/>
    <w:link w:val="3"/>
    <w:qFormat/>
    <w:uiPriority w:val="0"/>
    <w:rPr>
      <w:rFonts w:ascii="Times New Roman" w:hAnsi="Times New Roman" w:eastAsia="宋体" w:cs="Times New Roman"/>
      <w:b/>
      <w:sz w:val="32"/>
      <w:szCs w:val="20"/>
    </w:rPr>
  </w:style>
  <w:style w:type="character" w:customStyle="1" w:styleId="91">
    <w:name w:val="标题 3 Char"/>
    <w:basedOn w:val="81"/>
    <w:qFormat/>
    <w:uiPriority w:val="0"/>
    <w:rPr>
      <w:b/>
      <w:bCs/>
      <w:sz w:val="32"/>
      <w:szCs w:val="32"/>
    </w:rPr>
  </w:style>
  <w:style w:type="character" w:customStyle="1" w:styleId="92">
    <w:name w:val="标题 4 Char"/>
    <w:basedOn w:val="81"/>
    <w:link w:val="7"/>
    <w:qFormat/>
    <w:uiPriority w:val="0"/>
    <w:rPr>
      <w:rFonts w:ascii="Times New Roman" w:hAnsi="Times New Roman" w:eastAsia="宋体" w:cs="Times New Roman"/>
      <w:b/>
      <w:sz w:val="28"/>
      <w:szCs w:val="20"/>
    </w:rPr>
  </w:style>
  <w:style w:type="character" w:customStyle="1" w:styleId="93">
    <w:name w:val="标题 5 Char"/>
    <w:basedOn w:val="81"/>
    <w:link w:val="9"/>
    <w:qFormat/>
    <w:uiPriority w:val="0"/>
    <w:rPr>
      <w:rFonts w:ascii="Times New Roman" w:hAnsi="Times New Roman" w:eastAsia="宋体" w:cs="Times New Roman"/>
      <w:b/>
      <w:sz w:val="24"/>
      <w:szCs w:val="20"/>
    </w:rPr>
  </w:style>
  <w:style w:type="character" w:customStyle="1" w:styleId="94">
    <w:name w:val="标题 6 Char"/>
    <w:basedOn w:val="81"/>
    <w:link w:val="10"/>
    <w:qFormat/>
    <w:uiPriority w:val="0"/>
    <w:rPr>
      <w:rFonts w:ascii="Arial" w:hAnsi="Arial" w:eastAsia="黑体" w:cs="Times New Roman"/>
      <w:sz w:val="24"/>
      <w:szCs w:val="20"/>
    </w:rPr>
  </w:style>
  <w:style w:type="character" w:customStyle="1" w:styleId="95">
    <w:name w:val="标题 7 Char"/>
    <w:basedOn w:val="81"/>
    <w:link w:val="11"/>
    <w:qFormat/>
    <w:uiPriority w:val="0"/>
    <w:rPr>
      <w:rFonts w:ascii="Times New Roman" w:hAnsi="Times New Roman" w:eastAsia="宋体" w:cs="Times New Roman"/>
      <w:b/>
      <w:sz w:val="24"/>
      <w:szCs w:val="20"/>
    </w:rPr>
  </w:style>
  <w:style w:type="character" w:customStyle="1" w:styleId="96">
    <w:name w:val="标题 8 Char"/>
    <w:basedOn w:val="81"/>
    <w:link w:val="12"/>
    <w:qFormat/>
    <w:uiPriority w:val="0"/>
    <w:rPr>
      <w:rFonts w:ascii="Arial" w:hAnsi="Arial" w:eastAsia="黑体" w:cs="Times New Roman"/>
      <w:sz w:val="24"/>
      <w:szCs w:val="20"/>
    </w:rPr>
  </w:style>
  <w:style w:type="character" w:customStyle="1" w:styleId="97">
    <w:name w:val="标题 9 Char"/>
    <w:basedOn w:val="81"/>
    <w:link w:val="13"/>
    <w:qFormat/>
    <w:uiPriority w:val="0"/>
    <w:rPr>
      <w:rFonts w:ascii="Arial" w:hAnsi="Arial" w:eastAsia="黑体" w:cs="Times New Roman"/>
      <w:szCs w:val="20"/>
    </w:rPr>
  </w:style>
  <w:style w:type="character" w:customStyle="1" w:styleId="98">
    <w:name w:val="标题 1 Char1"/>
    <w:link w:val="2"/>
    <w:qFormat/>
    <w:uiPriority w:val="0"/>
    <w:rPr>
      <w:rFonts w:ascii="宋体" w:hAnsi="Times New Roman" w:eastAsia="宋体" w:cs="Times New Roman"/>
      <w:color w:val="000000"/>
      <w:kern w:val="0"/>
      <w:sz w:val="36"/>
      <w:szCs w:val="20"/>
    </w:rPr>
  </w:style>
  <w:style w:type="character" w:customStyle="1" w:styleId="99">
    <w:name w:val="标题 3 Char1"/>
    <w:link w:val="4"/>
    <w:qFormat/>
    <w:uiPriority w:val="0"/>
    <w:rPr>
      <w:rFonts w:ascii="Arial" w:hAnsi="宋体" w:eastAsia="宋体" w:cs="Times New Roman"/>
      <w:b/>
      <w:sz w:val="28"/>
      <w:szCs w:val="20"/>
    </w:rPr>
  </w:style>
  <w:style w:type="character" w:customStyle="1" w:styleId="100">
    <w:name w:val="正文文本 Char"/>
    <w:basedOn w:val="81"/>
    <w:link w:val="6"/>
    <w:qFormat/>
    <w:uiPriority w:val="0"/>
  </w:style>
  <w:style w:type="character" w:customStyle="1" w:styleId="101">
    <w:name w:val="正文首行缩进 Char"/>
    <w:basedOn w:val="100"/>
    <w:link w:val="5"/>
    <w:qFormat/>
    <w:uiPriority w:val="0"/>
    <w:rPr>
      <w:rFonts w:ascii="Times New Roman" w:hAnsi="Times New Roman" w:eastAsia="宋体" w:cs="Times New Roman"/>
      <w:sz w:val="24"/>
      <w:szCs w:val="20"/>
    </w:rPr>
  </w:style>
  <w:style w:type="character" w:customStyle="1" w:styleId="102">
    <w:name w:val="注释标题 Char"/>
    <w:basedOn w:val="81"/>
    <w:link w:val="17"/>
    <w:qFormat/>
    <w:uiPriority w:val="0"/>
    <w:rPr>
      <w:rFonts w:ascii="Arial" w:hAnsi="Arial" w:eastAsia="楷体_GB2312" w:cs="Arial"/>
      <w:sz w:val="28"/>
      <w:szCs w:val="24"/>
    </w:rPr>
  </w:style>
  <w:style w:type="character" w:customStyle="1" w:styleId="103">
    <w:name w:val="电子邮件签名 Char"/>
    <w:basedOn w:val="81"/>
    <w:link w:val="19"/>
    <w:qFormat/>
    <w:uiPriority w:val="0"/>
    <w:rPr>
      <w:rFonts w:ascii="Arial" w:hAnsi="Arial" w:eastAsia="楷体_GB2312" w:cs="Arial"/>
      <w:sz w:val="28"/>
      <w:szCs w:val="24"/>
    </w:rPr>
  </w:style>
  <w:style w:type="character" w:customStyle="1" w:styleId="104">
    <w:name w:val="正文缩进 Char"/>
    <w:link w:val="21"/>
    <w:qFormat/>
    <w:uiPriority w:val="0"/>
    <w:rPr>
      <w:rFonts w:ascii="Times New Roman" w:hAnsi="Times New Roman" w:eastAsia="宋体" w:cs="Times New Roman"/>
      <w:szCs w:val="20"/>
    </w:rPr>
  </w:style>
  <w:style w:type="character" w:customStyle="1" w:styleId="105">
    <w:name w:val="题注 Char"/>
    <w:link w:val="22"/>
    <w:qFormat/>
    <w:uiPriority w:val="0"/>
    <w:rPr>
      <w:rFonts w:ascii="Arial" w:hAnsi="Arial" w:eastAsia="黑体" w:cs="Times New Roman"/>
      <w:spacing w:val="10"/>
      <w:sz w:val="20"/>
      <w:szCs w:val="20"/>
    </w:rPr>
  </w:style>
  <w:style w:type="character" w:customStyle="1" w:styleId="106">
    <w:name w:val="文档结构图 Char"/>
    <w:basedOn w:val="81"/>
    <w:link w:val="26"/>
    <w:qFormat/>
    <w:uiPriority w:val="0"/>
    <w:rPr>
      <w:rFonts w:ascii="Times New Roman" w:hAnsi="Times New Roman" w:eastAsia="宋体" w:cs="Times New Roman"/>
      <w:sz w:val="24"/>
      <w:szCs w:val="20"/>
      <w:shd w:val="clear" w:color="auto" w:fill="000080"/>
    </w:rPr>
  </w:style>
  <w:style w:type="character" w:customStyle="1" w:styleId="107">
    <w:name w:val="批注文字 Char"/>
    <w:basedOn w:val="81"/>
    <w:link w:val="28"/>
    <w:qFormat/>
    <w:uiPriority w:val="0"/>
    <w:rPr>
      <w:rFonts w:ascii="Times New Roman" w:hAnsi="Times New Roman" w:eastAsia="宋体" w:cs="Times New Roman"/>
      <w:sz w:val="24"/>
      <w:szCs w:val="20"/>
    </w:rPr>
  </w:style>
  <w:style w:type="character" w:customStyle="1" w:styleId="108">
    <w:name w:val="称呼 Char"/>
    <w:basedOn w:val="81"/>
    <w:link w:val="29"/>
    <w:qFormat/>
    <w:uiPriority w:val="0"/>
    <w:rPr>
      <w:rFonts w:ascii="Arial" w:hAnsi="Arial" w:eastAsia="楷体_GB2312" w:cs="Arial"/>
      <w:sz w:val="28"/>
      <w:szCs w:val="24"/>
    </w:rPr>
  </w:style>
  <w:style w:type="character" w:customStyle="1" w:styleId="109">
    <w:name w:val="正文文本 3 Char"/>
    <w:basedOn w:val="81"/>
    <w:link w:val="30"/>
    <w:qFormat/>
    <w:uiPriority w:val="0"/>
    <w:rPr>
      <w:rFonts w:ascii="Times New Roman" w:hAnsi="Times New Roman" w:eastAsia="宋体" w:cs="Times New Roman"/>
      <w:sz w:val="16"/>
      <w:szCs w:val="16"/>
    </w:rPr>
  </w:style>
  <w:style w:type="character" w:customStyle="1" w:styleId="110">
    <w:name w:val="结束语 Char"/>
    <w:basedOn w:val="81"/>
    <w:link w:val="31"/>
    <w:qFormat/>
    <w:uiPriority w:val="0"/>
    <w:rPr>
      <w:rFonts w:ascii="Arial" w:hAnsi="Arial" w:eastAsia="楷体_GB2312" w:cs="Arial"/>
      <w:sz w:val="28"/>
      <w:szCs w:val="24"/>
    </w:rPr>
  </w:style>
  <w:style w:type="character" w:customStyle="1" w:styleId="111">
    <w:name w:val="正文文本缩进 Char"/>
    <w:basedOn w:val="81"/>
    <w:link w:val="33"/>
    <w:qFormat/>
    <w:uiPriority w:val="99"/>
    <w:rPr>
      <w:rFonts w:ascii="宋体" w:hAnsi="Times New Roman" w:eastAsia="宋体" w:cs="Times New Roman"/>
      <w:sz w:val="24"/>
      <w:szCs w:val="20"/>
    </w:rPr>
  </w:style>
  <w:style w:type="character" w:customStyle="1" w:styleId="112">
    <w:name w:val="HTML 地址 Char"/>
    <w:basedOn w:val="81"/>
    <w:link w:val="39"/>
    <w:qFormat/>
    <w:uiPriority w:val="0"/>
    <w:rPr>
      <w:rFonts w:ascii="Arial" w:hAnsi="Arial" w:eastAsia="楷体_GB2312" w:cs="Arial"/>
      <w:i/>
      <w:iCs/>
      <w:sz w:val="28"/>
      <w:szCs w:val="24"/>
    </w:rPr>
  </w:style>
  <w:style w:type="character" w:customStyle="1" w:styleId="113">
    <w:name w:val="纯文本 Char"/>
    <w:basedOn w:val="81"/>
    <w:link w:val="42"/>
    <w:qFormat/>
    <w:uiPriority w:val="99"/>
    <w:rPr>
      <w:rFonts w:ascii="宋体" w:hAnsi="Courier New" w:eastAsia="宋体" w:cs="Times New Roman"/>
      <w:szCs w:val="20"/>
    </w:rPr>
  </w:style>
  <w:style w:type="character" w:customStyle="1" w:styleId="114">
    <w:name w:val="日期 Char"/>
    <w:basedOn w:val="81"/>
    <w:link w:val="47"/>
    <w:qFormat/>
    <w:uiPriority w:val="99"/>
    <w:rPr>
      <w:rFonts w:ascii="楷体_GB2312" w:hAnsi="Times New Roman" w:eastAsia="楷体_GB2312" w:cs="Times New Roman"/>
      <w:kern w:val="0"/>
      <w:sz w:val="32"/>
      <w:szCs w:val="20"/>
    </w:rPr>
  </w:style>
  <w:style w:type="character" w:customStyle="1" w:styleId="115">
    <w:name w:val="正文文本缩进 2 Char"/>
    <w:basedOn w:val="81"/>
    <w:link w:val="48"/>
    <w:qFormat/>
    <w:uiPriority w:val="0"/>
    <w:rPr>
      <w:rFonts w:ascii="Arial" w:hAnsi="Arial" w:eastAsia="LineDraw" w:cs="Times New Roman"/>
      <w:sz w:val="24"/>
      <w:szCs w:val="20"/>
    </w:rPr>
  </w:style>
  <w:style w:type="character" w:customStyle="1" w:styleId="116">
    <w:name w:val="批注框文本 Char"/>
    <w:basedOn w:val="81"/>
    <w:link w:val="50"/>
    <w:qFormat/>
    <w:uiPriority w:val="99"/>
    <w:rPr>
      <w:rFonts w:ascii="宋体" w:hAnsi="Times New Roman" w:eastAsia="宋体" w:cs="Times New Roman"/>
      <w:color w:val="FF0000"/>
      <w:sz w:val="24"/>
      <w:szCs w:val="20"/>
    </w:rPr>
  </w:style>
  <w:style w:type="character" w:customStyle="1" w:styleId="117">
    <w:name w:val="页脚 Char"/>
    <w:basedOn w:val="81"/>
    <w:link w:val="51"/>
    <w:qFormat/>
    <w:uiPriority w:val="99"/>
    <w:rPr>
      <w:rFonts w:ascii="Times New Roman" w:hAnsi="Times New Roman" w:eastAsia="宋体" w:cs="Times New Roman"/>
      <w:sz w:val="18"/>
      <w:szCs w:val="20"/>
    </w:rPr>
  </w:style>
  <w:style w:type="character" w:customStyle="1" w:styleId="118">
    <w:name w:val="页眉 Char"/>
    <w:basedOn w:val="81"/>
    <w:link w:val="53"/>
    <w:qFormat/>
    <w:uiPriority w:val="99"/>
    <w:rPr>
      <w:rFonts w:ascii="Times New Roman" w:hAnsi="Times New Roman" w:eastAsia="宋体" w:cs="Times New Roman"/>
      <w:kern w:val="0"/>
      <w:sz w:val="18"/>
      <w:szCs w:val="20"/>
    </w:rPr>
  </w:style>
  <w:style w:type="character" w:customStyle="1" w:styleId="119">
    <w:name w:val="签名 Char"/>
    <w:basedOn w:val="81"/>
    <w:link w:val="54"/>
    <w:qFormat/>
    <w:uiPriority w:val="0"/>
    <w:rPr>
      <w:rFonts w:ascii="Times New Roman" w:hAnsi="Times New Roman" w:eastAsia="宋体" w:cs="Times New Roman"/>
      <w:szCs w:val="24"/>
    </w:rPr>
  </w:style>
  <w:style w:type="character" w:customStyle="1" w:styleId="120">
    <w:name w:val="副标题 Char"/>
    <w:basedOn w:val="81"/>
    <w:link w:val="60"/>
    <w:qFormat/>
    <w:uiPriority w:val="0"/>
    <w:rPr>
      <w:rFonts w:ascii="Arial" w:hAnsi="Arial" w:eastAsia="黑体" w:cs="Times New Roman"/>
      <w:i/>
      <w:kern w:val="0"/>
      <w:sz w:val="24"/>
      <w:szCs w:val="20"/>
    </w:rPr>
  </w:style>
  <w:style w:type="character" w:customStyle="1" w:styleId="121">
    <w:name w:val="脚注文本 Char"/>
    <w:basedOn w:val="81"/>
    <w:link w:val="63"/>
    <w:qFormat/>
    <w:uiPriority w:val="0"/>
    <w:rPr>
      <w:rFonts w:ascii="Times New Roman" w:hAnsi="Times New Roman" w:eastAsia="仿宋_GB2312" w:cs="Times New Roman"/>
      <w:sz w:val="18"/>
      <w:szCs w:val="20"/>
    </w:rPr>
  </w:style>
  <w:style w:type="character" w:customStyle="1" w:styleId="122">
    <w:name w:val="正文文本缩进 3 Char"/>
    <w:basedOn w:val="81"/>
    <w:link w:val="66"/>
    <w:qFormat/>
    <w:uiPriority w:val="0"/>
    <w:rPr>
      <w:rFonts w:ascii="Arial" w:hAnsi="Arial" w:eastAsia="宋体" w:cs="Times New Roman"/>
      <w:color w:val="FF0000"/>
      <w:sz w:val="24"/>
      <w:szCs w:val="20"/>
    </w:rPr>
  </w:style>
  <w:style w:type="character" w:customStyle="1" w:styleId="123">
    <w:name w:val="正文文本 2 Char"/>
    <w:basedOn w:val="81"/>
    <w:link w:val="69"/>
    <w:qFormat/>
    <w:uiPriority w:val="0"/>
    <w:rPr>
      <w:rFonts w:ascii="Times New Roman" w:hAnsi="Times New Roman" w:eastAsia="宋体" w:cs="Times New Roman"/>
      <w:szCs w:val="20"/>
    </w:rPr>
  </w:style>
  <w:style w:type="character" w:customStyle="1" w:styleId="124">
    <w:name w:val="信息标题 Char"/>
    <w:basedOn w:val="81"/>
    <w:link w:val="72"/>
    <w:qFormat/>
    <w:uiPriority w:val="0"/>
    <w:rPr>
      <w:rFonts w:ascii="Arial" w:hAnsi="Arial" w:eastAsia="楷体_GB2312" w:cs="Arial"/>
      <w:sz w:val="24"/>
      <w:szCs w:val="24"/>
      <w:shd w:val="pct20" w:color="auto" w:fill="auto"/>
    </w:rPr>
  </w:style>
  <w:style w:type="character" w:customStyle="1" w:styleId="125">
    <w:name w:val="HTML 预设格式 Char"/>
    <w:basedOn w:val="81"/>
    <w:link w:val="73"/>
    <w:qFormat/>
    <w:uiPriority w:val="99"/>
    <w:rPr>
      <w:rFonts w:ascii="Courier New" w:hAnsi="Courier New" w:eastAsia="楷体_GB2312" w:cs="Times New Roman"/>
      <w:sz w:val="20"/>
      <w:szCs w:val="20"/>
    </w:rPr>
  </w:style>
  <w:style w:type="character" w:customStyle="1" w:styleId="126">
    <w:name w:val="普通(网站) Char"/>
    <w:link w:val="74"/>
    <w:qFormat/>
    <w:uiPriority w:val="0"/>
    <w:rPr>
      <w:rFonts w:ascii="宋体" w:hAnsi="宋体" w:eastAsia="宋体" w:cs="Times New Roman"/>
      <w:kern w:val="0"/>
      <w:sz w:val="22"/>
      <w:szCs w:val="20"/>
    </w:rPr>
  </w:style>
  <w:style w:type="character" w:customStyle="1" w:styleId="127">
    <w:name w:val="标题 Char"/>
    <w:basedOn w:val="81"/>
    <w:link w:val="76"/>
    <w:qFormat/>
    <w:uiPriority w:val="0"/>
    <w:rPr>
      <w:rFonts w:ascii="Arial" w:hAnsi="Arial" w:eastAsia="楷体_GB2312" w:cs="Arial"/>
      <w:b/>
      <w:bCs/>
      <w:sz w:val="32"/>
      <w:szCs w:val="32"/>
    </w:rPr>
  </w:style>
  <w:style w:type="character" w:customStyle="1" w:styleId="128">
    <w:name w:val="批注主题 Char"/>
    <w:basedOn w:val="107"/>
    <w:link w:val="77"/>
    <w:qFormat/>
    <w:uiPriority w:val="0"/>
    <w:rPr>
      <w:rFonts w:ascii="Times New Roman" w:hAnsi="Times New Roman" w:eastAsia="宋体" w:cs="Times New Roman"/>
      <w:b/>
      <w:sz w:val="24"/>
      <w:szCs w:val="20"/>
    </w:rPr>
  </w:style>
  <w:style w:type="character" w:customStyle="1" w:styleId="129">
    <w:name w:val="正文首行缩进 2 Char"/>
    <w:basedOn w:val="111"/>
    <w:link w:val="78"/>
    <w:qFormat/>
    <w:uiPriority w:val="0"/>
    <w:rPr>
      <w:rFonts w:ascii="Times New Roman" w:hAnsi="Times New Roman" w:eastAsia="宋体" w:cs="Times New Roman"/>
      <w:sz w:val="24"/>
      <w:szCs w:val="20"/>
    </w:rPr>
  </w:style>
  <w:style w:type="character" w:customStyle="1" w:styleId="130">
    <w:name w:val="style91"/>
    <w:qFormat/>
    <w:uiPriority w:val="0"/>
    <w:rPr>
      <w:sz w:val="21"/>
      <w:szCs w:val="21"/>
    </w:rPr>
  </w:style>
  <w:style w:type="character" w:customStyle="1" w:styleId="131">
    <w:name w:val="title14"/>
    <w:qFormat/>
    <w:uiPriority w:val="0"/>
  </w:style>
  <w:style w:type="character" w:customStyle="1" w:styleId="132">
    <w:name w:val="ptb181"/>
    <w:qFormat/>
    <w:uiPriority w:val="0"/>
    <w:rPr>
      <w:rFonts w:ascii="Verdana" w:hAnsi="Verdana"/>
      <w:b/>
      <w:color w:val="000000"/>
      <w:sz w:val="27"/>
    </w:rPr>
  </w:style>
  <w:style w:type="character" w:customStyle="1" w:styleId="133">
    <w:name w:val="样式2 Char"/>
    <w:link w:val="134"/>
    <w:qFormat/>
    <w:uiPriority w:val="0"/>
    <w:rPr>
      <w:rFonts w:ascii="黑体" w:hAnsi="Calibri" w:eastAsia="黑体"/>
      <w:b/>
      <w:bCs/>
      <w:kern w:val="44"/>
      <w:sz w:val="32"/>
      <w:szCs w:val="32"/>
    </w:rPr>
  </w:style>
  <w:style w:type="paragraph" w:customStyle="1" w:styleId="134">
    <w:name w:val="样式2"/>
    <w:basedOn w:val="2"/>
    <w:link w:val="133"/>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hAnsi="Calibri" w:eastAsia="黑体" w:cstheme="minorBidi"/>
      <w:b/>
      <w:bCs/>
      <w:color w:val="auto"/>
      <w:kern w:val="44"/>
      <w:sz w:val="32"/>
      <w:szCs w:val="32"/>
    </w:rPr>
  </w:style>
  <w:style w:type="character" w:customStyle="1" w:styleId="135">
    <w:name w:val="普通文字 Char Char"/>
    <w:qFormat/>
    <w:uiPriority w:val="0"/>
    <w:rPr>
      <w:rFonts w:ascii="宋体" w:hAnsi="Courier New" w:eastAsia="宋体"/>
      <w:kern w:val="2"/>
      <w:sz w:val="21"/>
      <w:lang w:val="en-US" w:eastAsia="zh-CN"/>
    </w:rPr>
  </w:style>
  <w:style w:type="character" w:customStyle="1" w:styleId="136">
    <w:name w:val="Heading 2 Char"/>
    <w:qFormat/>
    <w:locked/>
    <w:uiPriority w:val="0"/>
    <w:rPr>
      <w:rFonts w:ascii="Cambria" w:hAnsi="Cambria" w:eastAsia="黑体" w:cs="Times New Roman"/>
      <w:b/>
      <w:bCs/>
      <w:sz w:val="32"/>
      <w:szCs w:val="32"/>
    </w:rPr>
  </w:style>
  <w:style w:type="character" w:customStyle="1" w:styleId="137">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138">
    <w:name w:val="ask-title2"/>
    <w:qFormat/>
    <w:uiPriority w:val="0"/>
  </w:style>
  <w:style w:type="character" w:customStyle="1" w:styleId="139">
    <w:name w:val="节 Char"/>
    <w:qFormat/>
    <w:uiPriority w:val="0"/>
    <w:rPr>
      <w:rFonts w:ascii="Arial" w:hAnsi="Arial" w:eastAsia="宋体"/>
      <w:b/>
      <w:spacing w:val="14"/>
      <w:kern w:val="24"/>
      <w:sz w:val="32"/>
      <w:lang w:val="en-US" w:eastAsia="zh-CN" w:bidi="ar-SA"/>
    </w:rPr>
  </w:style>
  <w:style w:type="character" w:customStyle="1" w:styleId="140">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141">
    <w:name w:val="Char Char24"/>
    <w:qFormat/>
    <w:uiPriority w:val="0"/>
    <w:rPr>
      <w:rFonts w:ascii="Arial" w:hAnsi="宋体"/>
      <w:b/>
      <w:kern w:val="2"/>
      <w:sz w:val="28"/>
    </w:rPr>
  </w:style>
  <w:style w:type="character" w:customStyle="1" w:styleId="142">
    <w:name w:val="ns1"/>
    <w:qFormat/>
    <w:uiPriority w:val="0"/>
    <w:rPr>
      <w:color w:val="FF0000"/>
    </w:rPr>
  </w:style>
  <w:style w:type="character" w:customStyle="1" w:styleId="143">
    <w:name w:val="pi1"/>
    <w:qFormat/>
    <w:uiPriority w:val="0"/>
    <w:rPr>
      <w:color w:val="0000FF"/>
    </w:rPr>
  </w:style>
  <w:style w:type="character" w:customStyle="1" w:styleId="144">
    <w:name w:val="main1"/>
    <w:qFormat/>
    <w:uiPriority w:val="0"/>
    <w:rPr>
      <w:rFonts w:hint="default" w:ascii="ˎ̥" w:hAnsi="ˎ̥"/>
      <w:sz w:val="21"/>
    </w:rPr>
  </w:style>
  <w:style w:type="character" w:customStyle="1" w:styleId="145">
    <w:name w:val="第三层条 Char"/>
    <w:qFormat/>
    <w:uiPriority w:val="0"/>
    <w:rPr>
      <w:rFonts w:ascii="Arial" w:hAnsi="Arial" w:eastAsia="黑体"/>
      <w:b/>
      <w:kern w:val="2"/>
      <w:sz w:val="28"/>
      <w:lang w:val="en-US" w:eastAsia="zh-CN" w:bidi="ar-SA"/>
    </w:rPr>
  </w:style>
  <w:style w:type="character" w:customStyle="1" w:styleId="146">
    <w:name w:val="正文文本样式 Char"/>
    <w:link w:val="147"/>
    <w:qFormat/>
    <w:uiPriority w:val="0"/>
    <w:rPr>
      <w:rFonts w:ascii="Arial" w:hAnsi="Arial"/>
      <w:sz w:val="24"/>
    </w:rPr>
  </w:style>
  <w:style w:type="paragraph" w:customStyle="1" w:styleId="147">
    <w:name w:val="正文文本样式"/>
    <w:link w:val="146"/>
    <w:qFormat/>
    <w:uiPriority w:val="0"/>
    <w:pPr>
      <w:spacing w:line="360" w:lineRule="auto"/>
      <w:ind w:firstLine="200" w:firstLineChars="200"/>
    </w:pPr>
    <w:rPr>
      <w:rFonts w:ascii="Arial" w:hAnsi="Arial" w:eastAsiaTheme="minorEastAsia" w:cstheme="minorBidi"/>
      <w:kern w:val="2"/>
      <w:sz w:val="24"/>
      <w:szCs w:val="22"/>
      <w:lang w:val="en-US" w:eastAsia="zh-CN" w:bidi="ar-SA"/>
    </w:rPr>
  </w:style>
  <w:style w:type="character" w:customStyle="1" w:styleId="148">
    <w:name w:val="Char Char1"/>
    <w:qFormat/>
    <w:uiPriority w:val="0"/>
    <w:rPr>
      <w:kern w:val="2"/>
      <w:sz w:val="21"/>
      <w:szCs w:val="24"/>
    </w:rPr>
  </w:style>
  <w:style w:type="character" w:customStyle="1" w:styleId="149">
    <w:name w:val="正文2 Char"/>
    <w:link w:val="150"/>
    <w:qFormat/>
    <w:locked/>
    <w:uiPriority w:val="99"/>
    <w:rPr>
      <w:sz w:val="24"/>
    </w:rPr>
  </w:style>
  <w:style w:type="paragraph" w:customStyle="1" w:styleId="150">
    <w:name w:val="正文2"/>
    <w:basedOn w:val="1"/>
    <w:link w:val="149"/>
    <w:qFormat/>
    <w:uiPriority w:val="99"/>
    <w:pPr>
      <w:spacing w:before="60" w:after="60" w:line="360" w:lineRule="auto"/>
      <w:outlineLvl w:val="7"/>
    </w:pPr>
    <w:rPr>
      <w:sz w:val="24"/>
    </w:rPr>
  </w:style>
  <w:style w:type="character" w:customStyle="1" w:styleId="151">
    <w:name w:val="t1"/>
    <w:qFormat/>
    <w:uiPriority w:val="0"/>
    <w:rPr>
      <w:color w:val="990000"/>
    </w:rPr>
  </w:style>
  <w:style w:type="character" w:customStyle="1" w:styleId="152">
    <w:name w:val="highlight"/>
    <w:qFormat/>
    <w:uiPriority w:val="0"/>
  </w:style>
  <w:style w:type="character" w:customStyle="1" w:styleId="153">
    <w:name w:val="Char Char Char Char Char Char Char Char Char"/>
    <w:link w:val="154"/>
    <w:qFormat/>
    <w:uiPriority w:val="0"/>
    <w:rPr>
      <w:rFonts w:ascii="宋体" w:eastAsia="宋体"/>
      <w:color w:val="FF0000"/>
      <w:sz w:val="24"/>
      <w:shd w:val="clear" w:color="auto" w:fill="000080"/>
    </w:rPr>
  </w:style>
  <w:style w:type="paragraph" w:customStyle="1" w:styleId="154">
    <w:name w:val="Char"/>
    <w:basedOn w:val="26"/>
    <w:link w:val="153"/>
    <w:qFormat/>
    <w:uiPriority w:val="0"/>
    <w:rPr>
      <w:rFonts w:ascii="宋体" w:hAnsiTheme="minorHAnsi" w:cstheme="minorBidi"/>
      <w:color w:val="FF0000"/>
      <w:szCs w:val="22"/>
    </w:rPr>
  </w:style>
  <w:style w:type="character" w:customStyle="1" w:styleId="155">
    <w:name w:val="样式 标题 4 + 小四 Char Char"/>
    <w:link w:val="156"/>
    <w:qFormat/>
    <w:uiPriority w:val="0"/>
    <w:rPr>
      <w:rFonts w:ascii="Arial" w:hAnsi="Arial" w:eastAsia="楷体_GB2312" w:cs="Arial"/>
      <w:b/>
      <w:bCs/>
      <w:sz w:val="24"/>
      <w:szCs w:val="28"/>
    </w:rPr>
  </w:style>
  <w:style w:type="paragraph" w:customStyle="1" w:styleId="156">
    <w:name w:val="样式 标题 4 + 小四"/>
    <w:basedOn w:val="7"/>
    <w:link w:val="155"/>
    <w:qFormat/>
    <w:uiPriority w:val="0"/>
    <w:pPr>
      <w:tabs>
        <w:tab w:val="left" w:pos="1919"/>
        <w:tab w:val="clear" w:pos="1198"/>
      </w:tabs>
      <w:spacing w:before="280" w:after="290" w:line="377" w:lineRule="auto"/>
      <w:ind w:left="1547" w:hanging="708"/>
      <w:jc w:val="left"/>
    </w:pPr>
    <w:rPr>
      <w:rFonts w:ascii="Arial" w:hAnsi="Arial" w:eastAsia="楷体_GB2312" w:cs="Arial"/>
      <w:bCs/>
      <w:sz w:val="24"/>
      <w:szCs w:val="28"/>
    </w:rPr>
  </w:style>
  <w:style w:type="character" w:customStyle="1" w:styleId="157">
    <w:name w:val="Char Char12"/>
    <w:qFormat/>
    <w:uiPriority w:val="0"/>
    <w:rPr>
      <w:sz w:val="18"/>
      <w:szCs w:val="18"/>
    </w:rPr>
  </w:style>
  <w:style w:type="character" w:customStyle="1" w:styleId="158">
    <w:name w:val="样式1 Char"/>
    <w:link w:val="159"/>
    <w:qFormat/>
    <w:uiPriority w:val="0"/>
    <w:rPr>
      <w:rFonts w:ascii="宋体" w:hAnsi="宋体" w:eastAsia="宋体"/>
      <w:b/>
      <w:bCs/>
      <w:sz w:val="44"/>
      <w:szCs w:val="24"/>
    </w:rPr>
  </w:style>
  <w:style w:type="paragraph" w:customStyle="1" w:styleId="159">
    <w:name w:val="样式1"/>
    <w:basedOn w:val="1"/>
    <w:link w:val="158"/>
    <w:qFormat/>
    <w:uiPriority w:val="0"/>
    <w:pPr>
      <w:jc w:val="center"/>
    </w:pPr>
    <w:rPr>
      <w:rFonts w:ascii="宋体" w:hAnsi="宋体" w:eastAsia="宋体"/>
      <w:b/>
      <w:bCs/>
      <w:sz w:val="44"/>
      <w:szCs w:val="24"/>
    </w:rPr>
  </w:style>
  <w:style w:type="character" w:customStyle="1" w:styleId="160">
    <w:name w:val="Char Char7"/>
    <w:qFormat/>
    <w:uiPriority w:val="0"/>
    <w:rPr>
      <w:rFonts w:ascii="Times New Roman" w:hAnsi="Times New Roman"/>
      <w:kern w:val="2"/>
      <w:sz w:val="24"/>
      <w:szCs w:val="24"/>
    </w:rPr>
  </w:style>
  <w:style w:type="character" w:customStyle="1" w:styleId="161">
    <w:name w:val="标段 Char"/>
    <w:qFormat/>
    <w:uiPriority w:val="0"/>
    <w:rPr>
      <w:rFonts w:ascii="宋体" w:hAnsi="宋体" w:eastAsia="宋体"/>
      <w:sz w:val="24"/>
      <w:szCs w:val="21"/>
      <w:u w:val="thick"/>
      <w:lang w:val="en-US" w:eastAsia="zh-CN" w:bidi="ar-SA"/>
    </w:rPr>
  </w:style>
  <w:style w:type="character" w:customStyle="1" w:styleId="162">
    <w:name w:val="font31"/>
    <w:qFormat/>
    <w:uiPriority w:val="0"/>
    <w:rPr>
      <w:rFonts w:hint="eastAsia" w:ascii="仿宋_GB2312" w:eastAsia="仿宋_GB2312"/>
      <w:color w:val="000000"/>
      <w:sz w:val="22"/>
      <w:szCs w:val="22"/>
      <w:u w:val="none"/>
    </w:rPr>
  </w:style>
  <w:style w:type="character" w:customStyle="1" w:styleId="163">
    <w:name w:val="mc2"/>
    <w:qFormat/>
    <w:uiPriority w:val="0"/>
    <w:rPr>
      <w:color w:val="0E2DCD"/>
      <w:sz w:val="21"/>
      <w:szCs w:val="21"/>
    </w:rPr>
  </w:style>
  <w:style w:type="character" w:customStyle="1" w:styleId="164">
    <w:name w:val="Heading 4 Char"/>
    <w:qFormat/>
    <w:locked/>
    <w:uiPriority w:val="0"/>
    <w:rPr>
      <w:rFonts w:ascii="Cambria" w:hAnsi="Cambria" w:eastAsia="黑体" w:cs="Times New Roman"/>
      <w:b/>
      <w:bCs/>
      <w:sz w:val="28"/>
      <w:szCs w:val="28"/>
    </w:rPr>
  </w:style>
  <w:style w:type="character" w:customStyle="1" w:styleId="165">
    <w:name w:val="特点标题 Char"/>
    <w:qFormat/>
    <w:uiPriority w:val="0"/>
    <w:rPr>
      <w:rFonts w:ascii="宋体"/>
      <w:kern w:val="2"/>
      <w:sz w:val="24"/>
    </w:rPr>
  </w:style>
  <w:style w:type="character" w:customStyle="1" w:styleId="166">
    <w:name w:val="正文缩进4"/>
    <w:qFormat/>
    <w:uiPriority w:val="0"/>
    <w:rPr>
      <w:rFonts w:eastAsia="宋体"/>
      <w:sz w:val="24"/>
      <w:lang w:val="en-US" w:eastAsia="zh-CN"/>
    </w:rPr>
  </w:style>
  <w:style w:type="character" w:customStyle="1" w:styleId="167">
    <w:name w:val="正文缩进1 Char"/>
    <w:qFormat/>
    <w:uiPriority w:val="0"/>
    <w:rPr>
      <w:rFonts w:eastAsia="宋体"/>
      <w:kern w:val="2"/>
      <w:sz w:val="21"/>
      <w:lang w:val="en-US" w:eastAsia="zh-CN"/>
    </w:rPr>
  </w:style>
  <w:style w:type="character" w:customStyle="1" w:styleId="168">
    <w:name w:val="Char Char8"/>
    <w:qFormat/>
    <w:uiPriority w:val="0"/>
    <w:rPr>
      <w:rFonts w:ascii="Times New Roman" w:hAnsi="Times New Roman"/>
      <w:kern w:val="2"/>
      <w:sz w:val="24"/>
      <w:szCs w:val="21"/>
    </w:rPr>
  </w:style>
  <w:style w:type="character" w:customStyle="1" w:styleId="169">
    <w:name w:val="HTML 预设格式 Char1"/>
    <w:semiHidden/>
    <w:qFormat/>
    <w:uiPriority w:val="99"/>
    <w:rPr>
      <w:rFonts w:ascii="Courier New" w:hAnsi="Courier New" w:cs="Courier New"/>
      <w:kern w:val="2"/>
    </w:rPr>
  </w:style>
  <w:style w:type="character" w:customStyle="1" w:styleId="170">
    <w:name w:val="tx1"/>
    <w:qFormat/>
    <w:uiPriority w:val="0"/>
    <w:rPr>
      <w:b/>
    </w:rPr>
  </w:style>
  <w:style w:type="character" w:customStyle="1" w:styleId="171">
    <w:name w:val="font3"/>
    <w:qFormat/>
    <w:uiPriority w:val="0"/>
  </w:style>
  <w:style w:type="character" w:customStyle="1" w:styleId="172">
    <w:name w:val="title_sub_blue1"/>
    <w:qFormat/>
    <w:uiPriority w:val="0"/>
    <w:rPr>
      <w:rFonts w:hint="default" w:ascii="Arial" w:hAnsi="Arial" w:cs="Arial"/>
      <w:b/>
      <w:bCs/>
      <w:color w:val="16344F"/>
      <w:spacing w:val="0"/>
      <w:sz w:val="20"/>
      <w:szCs w:val="20"/>
      <w:u w:val="none"/>
    </w:rPr>
  </w:style>
  <w:style w:type="character" w:customStyle="1" w:styleId="173">
    <w:name w:val="highlight1"/>
    <w:qFormat/>
    <w:uiPriority w:val="0"/>
    <w:rPr>
      <w:sz w:val="21"/>
    </w:rPr>
  </w:style>
  <w:style w:type="character" w:customStyle="1" w:styleId="174">
    <w:name w:val="标题 4 Char Char"/>
    <w:qFormat/>
    <w:uiPriority w:val="0"/>
    <w:rPr>
      <w:rFonts w:ascii="Arial" w:hAnsi="Arial" w:eastAsia="黑体"/>
      <w:b/>
      <w:kern w:val="2"/>
      <w:sz w:val="28"/>
      <w:lang w:val="en-US" w:eastAsia="zh-CN"/>
    </w:rPr>
  </w:style>
  <w:style w:type="character" w:customStyle="1" w:styleId="175">
    <w:name w:val="标准文本 Char Char"/>
    <w:link w:val="176"/>
    <w:qFormat/>
    <w:locked/>
    <w:uiPriority w:val="0"/>
    <w:rPr>
      <w:sz w:val="24"/>
    </w:rPr>
  </w:style>
  <w:style w:type="paragraph" w:customStyle="1" w:styleId="176">
    <w:name w:val="标准文本"/>
    <w:basedOn w:val="1"/>
    <w:link w:val="175"/>
    <w:qFormat/>
    <w:uiPriority w:val="0"/>
    <w:pPr>
      <w:spacing w:line="360" w:lineRule="auto"/>
      <w:ind w:firstLine="480" w:firstLineChars="200"/>
    </w:pPr>
    <w:rPr>
      <w:sz w:val="24"/>
    </w:rPr>
  </w:style>
  <w:style w:type="character" w:customStyle="1" w:styleId="177">
    <w:name w:val="point_normal1"/>
    <w:qFormat/>
    <w:uiPriority w:val="0"/>
    <w:rPr>
      <w:rFonts w:hint="default" w:ascii="Arial" w:hAnsi="Arial"/>
      <w:sz w:val="22"/>
    </w:rPr>
  </w:style>
  <w:style w:type="character" w:customStyle="1" w:styleId="178">
    <w:name w:val="Normal Indent Char"/>
    <w:qFormat/>
    <w:locked/>
    <w:uiPriority w:val="0"/>
    <w:rPr>
      <w:rFonts w:ascii="Times New Roman" w:hAnsi="Times New Roman"/>
    </w:rPr>
  </w:style>
  <w:style w:type="character" w:customStyle="1" w:styleId="179">
    <w:name w:val="Char Char3"/>
    <w:qFormat/>
    <w:uiPriority w:val="0"/>
    <w:rPr>
      <w:rFonts w:eastAsia="宋体"/>
      <w:kern w:val="2"/>
      <w:sz w:val="21"/>
      <w:szCs w:val="24"/>
      <w:lang w:val="en-US" w:eastAsia="zh-CN" w:bidi="ar-SA"/>
    </w:rPr>
  </w:style>
  <w:style w:type="character" w:customStyle="1" w:styleId="180">
    <w:name w:val="标题一 Char"/>
    <w:qFormat/>
    <w:uiPriority w:val="0"/>
    <w:rPr>
      <w:rFonts w:ascii="宋体" w:hAnsi="宋体" w:eastAsia="宋体"/>
      <w:b/>
      <w:sz w:val="28"/>
      <w:szCs w:val="21"/>
      <w:lang w:val="en-US" w:eastAsia="zh-CN" w:bidi="ar-SA"/>
    </w:rPr>
  </w:style>
  <w:style w:type="character" w:customStyle="1" w:styleId="181">
    <w:name w:val="title_emph1"/>
    <w:qFormat/>
    <w:uiPriority w:val="0"/>
    <w:rPr>
      <w:rFonts w:hint="default" w:ascii="Arial" w:hAnsi="Arial"/>
      <w:b/>
      <w:sz w:val="18"/>
    </w:rPr>
  </w:style>
  <w:style w:type="character" w:customStyle="1" w:styleId="182">
    <w:name w:val="unnamed51"/>
    <w:qFormat/>
    <w:uiPriority w:val="0"/>
    <w:rPr>
      <w:sz w:val="22"/>
      <w:szCs w:val="22"/>
    </w:rPr>
  </w:style>
  <w:style w:type="character" w:customStyle="1" w:styleId="183">
    <w:name w:val="自定义正文 Char"/>
    <w:link w:val="184"/>
    <w:qFormat/>
    <w:locked/>
    <w:uiPriority w:val="0"/>
    <w:rPr>
      <w:rFonts w:ascii="仿宋_GB2312" w:eastAsia="仿宋_GB2312"/>
      <w:sz w:val="24"/>
    </w:rPr>
  </w:style>
  <w:style w:type="paragraph" w:customStyle="1" w:styleId="184">
    <w:name w:val="自定义正文"/>
    <w:basedOn w:val="1"/>
    <w:link w:val="183"/>
    <w:qFormat/>
    <w:uiPriority w:val="0"/>
    <w:pPr>
      <w:spacing w:before="120" w:after="120" w:line="480" w:lineRule="exact"/>
      <w:ind w:firstLine="200" w:firstLineChars="200"/>
      <w:jc w:val="left"/>
    </w:pPr>
    <w:rPr>
      <w:rFonts w:ascii="仿宋_GB2312" w:eastAsia="仿宋_GB2312"/>
      <w:sz w:val="24"/>
    </w:rPr>
  </w:style>
  <w:style w:type="character" w:customStyle="1" w:styleId="185">
    <w:name w:val="title-blue"/>
    <w:qFormat/>
    <w:uiPriority w:val="0"/>
  </w:style>
  <w:style w:type="character" w:customStyle="1" w:styleId="186">
    <w:name w:val="text_121"/>
    <w:qFormat/>
    <w:uiPriority w:val="0"/>
    <w:rPr>
      <w:rFonts w:hint="default" w:ascii="sө" w:hAnsi="sө"/>
      <w:color w:val="000000"/>
      <w:sz w:val="15"/>
      <w:szCs w:val="15"/>
    </w:rPr>
  </w:style>
  <w:style w:type="character" w:customStyle="1" w:styleId="187">
    <w:name w:val="样式5 Char"/>
    <w:link w:val="188"/>
    <w:qFormat/>
    <w:uiPriority w:val="0"/>
    <w:rPr>
      <w:rFonts w:ascii="宋体" w:hAnsi="宋体" w:eastAsia="宋体"/>
      <w:b/>
      <w:bCs/>
      <w:color w:val="000000"/>
      <w:kern w:val="44"/>
      <w:sz w:val="28"/>
      <w:szCs w:val="32"/>
    </w:rPr>
  </w:style>
  <w:style w:type="paragraph" w:customStyle="1" w:styleId="188">
    <w:name w:val="样式5"/>
    <w:basedOn w:val="1"/>
    <w:link w:val="187"/>
    <w:qFormat/>
    <w:uiPriority w:val="0"/>
    <w:pPr>
      <w:spacing w:before="50" w:after="75"/>
      <w:outlineLvl w:val="2"/>
    </w:pPr>
    <w:rPr>
      <w:rFonts w:ascii="宋体" w:hAnsi="宋体" w:eastAsia="宋体"/>
      <w:b/>
      <w:bCs/>
      <w:color w:val="000000"/>
      <w:kern w:val="44"/>
      <w:sz w:val="28"/>
      <w:szCs w:val="32"/>
    </w:rPr>
  </w:style>
  <w:style w:type="character" w:customStyle="1" w:styleId="189">
    <w:name w:val="Footer Char"/>
    <w:qFormat/>
    <w:locked/>
    <w:uiPriority w:val="0"/>
    <w:rPr>
      <w:rFonts w:cs="Times New Roman"/>
      <w:sz w:val="18"/>
      <w:szCs w:val="18"/>
    </w:rPr>
  </w:style>
  <w:style w:type="character" w:customStyle="1" w:styleId="190">
    <w:name w:val="font21"/>
    <w:qFormat/>
    <w:uiPriority w:val="0"/>
    <w:rPr>
      <w:rFonts w:hint="default" w:ascii="Times New Roman" w:hAnsi="Times New Roman" w:cs="Times New Roman"/>
      <w:color w:val="000000"/>
      <w:sz w:val="22"/>
      <w:szCs w:val="22"/>
      <w:u w:val="none"/>
    </w:rPr>
  </w:style>
  <w:style w:type="character" w:customStyle="1" w:styleId="191">
    <w:name w:val="Header Char"/>
    <w:qFormat/>
    <w:locked/>
    <w:uiPriority w:val="0"/>
    <w:rPr>
      <w:rFonts w:cs="Times New Roman"/>
      <w:sz w:val="18"/>
      <w:szCs w:val="18"/>
    </w:rPr>
  </w:style>
  <w:style w:type="character" w:customStyle="1" w:styleId="192">
    <w:name w:val="styletemp1"/>
    <w:qFormat/>
    <w:uiPriority w:val="0"/>
    <w:rPr>
      <w:color w:val="282828"/>
      <w:spacing w:val="15"/>
      <w:sz w:val="18"/>
    </w:rPr>
  </w:style>
  <w:style w:type="character" w:customStyle="1" w:styleId="193">
    <w:name w:val="Char Char13"/>
    <w:qFormat/>
    <w:uiPriority w:val="0"/>
    <w:rPr>
      <w:rFonts w:ascii="Arial" w:hAnsi="Arial" w:eastAsia="仿宋_GB2312"/>
      <w:b/>
      <w:bCs/>
      <w:kern w:val="2"/>
      <w:sz w:val="28"/>
      <w:szCs w:val="32"/>
    </w:rPr>
  </w:style>
  <w:style w:type="character" w:customStyle="1" w:styleId="194">
    <w:name w:val="p12"/>
    <w:qFormat/>
    <w:uiPriority w:val="0"/>
  </w:style>
  <w:style w:type="character" w:customStyle="1" w:styleId="195">
    <w:name w:val="H6 Char"/>
    <w:qFormat/>
    <w:uiPriority w:val="0"/>
    <w:rPr>
      <w:rFonts w:ascii="Arial" w:hAnsi="Arial" w:eastAsia="黑体"/>
      <w:b/>
      <w:kern w:val="2"/>
      <w:sz w:val="24"/>
      <w:lang w:val="en-US" w:eastAsia="zh-CN" w:bidi="ar-SA"/>
    </w:rPr>
  </w:style>
  <w:style w:type="character" w:customStyle="1" w:styleId="196">
    <w:name w:val="标题 2字符"/>
    <w:qFormat/>
    <w:uiPriority w:val="0"/>
    <w:rPr>
      <w:b/>
      <w:kern w:val="2"/>
      <w:sz w:val="32"/>
    </w:rPr>
  </w:style>
  <w:style w:type="character" w:customStyle="1" w:styleId="197">
    <w:name w:val="正文样式 Char"/>
    <w:link w:val="198"/>
    <w:qFormat/>
    <w:uiPriority w:val="0"/>
    <w:rPr>
      <w:rFonts w:eastAsia="宋体" w:cs="宋体"/>
    </w:rPr>
  </w:style>
  <w:style w:type="paragraph" w:customStyle="1" w:styleId="198">
    <w:name w:val="正文样式"/>
    <w:basedOn w:val="1"/>
    <w:link w:val="197"/>
    <w:qFormat/>
    <w:uiPriority w:val="0"/>
    <w:pPr>
      <w:spacing w:line="360" w:lineRule="auto"/>
      <w:ind w:firstLine="200" w:firstLineChars="200"/>
    </w:pPr>
    <w:rPr>
      <w:rFonts w:eastAsia="宋体" w:cs="宋体"/>
    </w:rPr>
  </w:style>
  <w:style w:type="character" w:customStyle="1" w:styleId="199">
    <w:name w:val="TITRE1 Char"/>
    <w:qFormat/>
    <w:uiPriority w:val="0"/>
    <w:rPr>
      <w:rFonts w:eastAsia="宋体"/>
      <w:b/>
      <w:bCs/>
      <w:kern w:val="44"/>
      <w:sz w:val="44"/>
      <w:szCs w:val="44"/>
      <w:lang w:val="en-US" w:eastAsia="zh-CN" w:bidi="ar-SA"/>
    </w:rPr>
  </w:style>
  <w:style w:type="character" w:customStyle="1" w:styleId="200">
    <w:name w:val="p121"/>
    <w:qFormat/>
    <w:uiPriority w:val="0"/>
    <w:rPr>
      <w:rFonts w:hint="default"/>
      <w:sz w:val="24"/>
      <w:szCs w:val="24"/>
    </w:rPr>
  </w:style>
  <w:style w:type="character" w:customStyle="1" w:styleId="201">
    <w:name w:val="sony121"/>
    <w:qFormat/>
    <w:uiPriority w:val="0"/>
    <w:rPr>
      <w:rFonts w:hint="eastAsia" w:ascii="宋体" w:hAnsi="宋体" w:eastAsia="宋体"/>
      <w:sz w:val="18"/>
      <w:szCs w:val="18"/>
    </w:rPr>
  </w:style>
  <w:style w:type="character" w:customStyle="1" w:styleId="202">
    <w:name w:val="font51"/>
    <w:qFormat/>
    <w:uiPriority w:val="0"/>
    <w:rPr>
      <w:rFonts w:hint="eastAsia" w:ascii="宋体" w:hAnsi="宋体" w:eastAsia="宋体" w:cs="宋体"/>
      <w:b/>
      <w:color w:val="000000"/>
      <w:sz w:val="24"/>
      <w:szCs w:val="24"/>
      <w:u w:val="none"/>
    </w:rPr>
  </w:style>
  <w:style w:type="character" w:customStyle="1" w:styleId="203">
    <w:name w:val="H5 Char"/>
    <w:qFormat/>
    <w:uiPriority w:val="0"/>
    <w:rPr>
      <w:rFonts w:ascii="宋体" w:eastAsia="宋体"/>
      <w:b/>
      <w:color w:val="FF0000"/>
      <w:kern w:val="2"/>
      <w:sz w:val="24"/>
      <w:lang w:val="en-US" w:eastAsia="zh-CN"/>
    </w:rPr>
  </w:style>
  <w:style w:type="character" w:customStyle="1" w:styleId="204">
    <w:name w:val="txt_cn_121"/>
    <w:qFormat/>
    <w:uiPriority w:val="0"/>
    <w:rPr>
      <w:rFonts w:hint="default" w:ascii="Arial" w:hAnsi="Arial" w:cs="Arial"/>
      <w:color w:val="666666"/>
      <w:sz w:val="18"/>
      <w:szCs w:val="18"/>
      <w:u w:val="none"/>
    </w:rPr>
  </w:style>
  <w:style w:type="character" w:customStyle="1" w:styleId="205">
    <w:name w:val="首行缩进:  2 字符 Char Char"/>
    <w:link w:val="206"/>
    <w:qFormat/>
    <w:uiPriority w:val="0"/>
    <w:rPr>
      <w:rFonts w:eastAsia="仿宋_GB2312" w:cs="宋体"/>
      <w:sz w:val="24"/>
    </w:rPr>
  </w:style>
  <w:style w:type="paragraph" w:customStyle="1" w:styleId="206">
    <w:name w:val="首行缩进:  2 字符"/>
    <w:basedOn w:val="1"/>
    <w:next w:val="1"/>
    <w:link w:val="205"/>
    <w:qFormat/>
    <w:uiPriority w:val="0"/>
    <w:pPr>
      <w:widowControl/>
      <w:spacing w:line="440" w:lineRule="exact"/>
      <w:ind w:firstLine="480" w:firstLineChars="200"/>
      <w:jc w:val="left"/>
    </w:pPr>
    <w:rPr>
      <w:rFonts w:eastAsia="仿宋_GB2312" w:cs="宋体"/>
      <w:sz w:val="24"/>
    </w:rPr>
  </w:style>
  <w:style w:type="character" w:customStyle="1" w:styleId="207">
    <w:name w:val="b titlename wangputoptitle"/>
    <w:qFormat/>
    <w:uiPriority w:val="0"/>
  </w:style>
  <w:style w:type="character" w:customStyle="1" w:styleId="208">
    <w:name w:val="Body Text Indent Char"/>
    <w:qFormat/>
    <w:locked/>
    <w:uiPriority w:val="0"/>
    <w:rPr>
      <w:rFonts w:ascii="Times New Roman" w:hAnsi="Times New Roman"/>
      <w:sz w:val="24"/>
    </w:rPr>
  </w:style>
  <w:style w:type="character" w:customStyle="1" w:styleId="209">
    <w:name w:val="正文文本缩进字符"/>
    <w:qFormat/>
    <w:uiPriority w:val="0"/>
    <w:rPr>
      <w:rFonts w:ascii="宋体"/>
      <w:kern w:val="2"/>
      <w:sz w:val="24"/>
    </w:rPr>
  </w:style>
  <w:style w:type="character" w:customStyle="1" w:styleId="210">
    <w:name w:val="b1"/>
    <w:qFormat/>
    <w:uiPriority w:val="0"/>
    <w:rPr>
      <w:rFonts w:hint="default" w:ascii="Courier New" w:hAnsi="Courier New"/>
      <w:b/>
      <w:color w:val="FF0000"/>
      <w:u w:val="none"/>
    </w:rPr>
  </w:style>
  <w:style w:type="character" w:customStyle="1" w:styleId="211">
    <w:name w:val="m1"/>
    <w:qFormat/>
    <w:uiPriority w:val="0"/>
    <w:rPr>
      <w:color w:val="0000FF"/>
    </w:rPr>
  </w:style>
  <w:style w:type="character" w:customStyle="1" w:styleId="212">
    <w:name w:val="textfont1"/>
    <w:qFormat/>
    <w:uiPriority w:val="0"/>
    <w:rPr>
      <w:spacing w:val="31680"/>
      <w:sz w:val="26"/>
    </w:rPr>
  </w:style>
  <w:style w:type="character" w:customStyle="1" w:styleId="213">
    <w:name w:val="font01"/>
    <w:qFormat/>
    <w:uiPriority w:val="0"/>
    <w:rPr>
      <w:rFonts w:hint="default" w:ascii="Times New Roman" w:hAnsi="Times New Roman" w:cs="Times New Roman"/>
      <w:color w:val="000000"/>
      <w:sz w:val="21"/>
      <w:szCs w:val="21"/>
      <w:u w:val="none"/>
    </w:rPr>
  </w:style>
  <w:style w:type="character" w:customStyle="1" w:styleId="214">
    <w:name w:val="font41"/>
    <w:qFormat/>
    <w:uiPriority w:val="0"/>
    <w:rPr>
      <w:rFonts w:hint="eastAsia" w:ascii="宋体" w:hAnsi="宋体" w:eastAsia="宋体" w:cs="宋体"/>
      <w:color w:val="000000"/>
      <w:sz w:val="21"/>
      <w:szCs w:val="21"/>
      <w:u w:val="none"/>
    </w:rPr>
  </w:style>
  <w:style w:type="character" w:customStyle="1" w:styleId="215">
    <w:name w:val="Date Char"/>
    <w:qFormat/>
    <w:locked/>
    <w:uiPriority w:val="0"/>
    <w:rPr>
      <w:rFonts w:ascii="楷体_GB2312" w:eastAsia="楷体_GB2312" w:cs="Times New Roman"/>
      <w:sz w:val="32"/>
    </w:rPr>
  </w:style>
  <w:style w:type="character" w:customStyle="1" w:styleId="216">
    <w:name w:val="标题 1 Char Char"/>
    <w:qFormat/>
    <w:uiPriority w:val="0"/>
    <w:rPr>
      <w:rFonts w:eastAsia="宋体"/>
      <w:b/>
      <w:spacing w:val="-2"/>
      <w:sz w:val="24"/>
      <w:lang w:val="en-US" w:eastAsia="zh-CN" w:bidi="ar-SA"/>
    </w:rPr>
  </w:style>
  <w:style w:type="character" w:customStyle="1" w:styleId="217">
    <w:name w:val="文章标题 3 Char Char Char"/>
    <w:link w:val="218"/>
    <w:qFormat/>
    <w:uiPriority w:val="0"/>
    <w:rPr>
      <w:rFonts w:ascii="Arial" w:hAnsi="Arial" w:eastAsia="黑体"/>
      <w:sz w:val="28"/>
    </w:rPr>
  </w:style>
  <w:style w:type="paragraph" w:customStyle="1" w:styleId="218">
    <w:name w:val="文章标题 3 Char"/>
    <w:basedOn w:val="4"/>
    <w:next w:val="1"/>
    <w:link w:val="217"/>
    <w:qFormat/>
    <w:uiPriority w:val="0"/>
    <w:pPr>
      <w:spacing w:beforeLines="0" w:afterLines="0" w:line="413" w:lineRule="auto"/>
      <w:ind w:left="-7" w:firstLine="567" w:firstLineChars="0"/>
    </w:pPr>
    <w:rPr>
      <w:rFonts w:hAnsi="Arial" w:eastAsia="黑体" w:cstheme="minorBidi"/>
      <w:b w:val="0"/>
      <w:szCs w:val="22"/>
    </w:rPr>
  </w:style>
  <w:style w:type="character" w:customStyle="1" w:styleId="219">
    <w:name w:val="正文段 Char"/>
    <w:link w:val="220"/>
    <w:qFormat/>
    <w:uiPriority w:val="0"/>
    <w:rPr>
      <w:sz w:val="24"/>
    </w:rPr>
  </w:style>
  <w:style w:type="paragraph" w:customStyle="1" w:styleId="220">
    <w:name w:val="正文段"/>
    <w:basedOn w:val="1"/>
    <w:link w:val="219"/>
    <w:qFormat/>
    <w:uiPriority w:val="0"/>
    <w:pPr>
      <w:widowControl/>
      <w:snapToGrid w:val="0"/>
      <w:spacing w:afterLines="50"/>
      <w:ind w:firstLine="200" w:firstLineChars="200"/>
    </w:pPr>
    <w:rPr>
      <w:sz w:val="24"/>
    </w:rPr>
  </w:style>
  <w:style w:type="character" w:customStyle="1" w:styleId="221">
    <w:name w:val="标书正文:  0.74 厘米 Char"/>
    <w:link w:val="222"/>
    <w:qFormat/>
    <w:uiPriority w:val="0"/>
    <w:rPr>
      <w:rFonts w:eastAsia="宋体"/>
      <w:sz w:val="24"/>
    </w:rPr>
  </w:style>
  <w:style w:type="paragraph" w:customStyle="1" w:styleId="222">
    <w:name w:val="标书正文:  0.74 厘米"/>
    <w:basedOn w:val="1"/>
    <w:link w:val="221"/>
    <w:qFormat/>
    <w:uiPriority w:val="0"/>
    <w:pPr>
      <w:snapToGrid w:val="0"/>
      <w:spacing w:line="360" w:lineRule="auto"/>
      <w:ind w:firstLine="420"/>
    </w:pPr>
    <w:rPr>
      <w:rFonts w:eastAsia="宋体"/>
      <w:sz w:val="24"/>
    </w:rPr>
  </w:style>
  <w:style w:type="character" w:customStyle="1" w:styleId="223">
    <w:name w:val="Heading 3 Char"/>
    <w:qFormat/>
    <w:locked/>
    <w:uiPriority w:val="0"/>
    <w:rPr>
      <w:rFonts w:ascii="Times New Roman" w:hAnsi="Times New Roman" w:eastAsia="黑体" w:cs="Times New Roman"/>
      <w:b/>
      <w:bCs/>
      <w:sz w:val="32"/>
      <w:szCs w:val="32"/>
    </w:rPr>
  </w:style>
  <w:style w:type="character" w:customStyle="1" w:styleId="224">
    <w:name w:val="NormalCharacter"/>
    <w:semiHidden/>
    <w:qFormat/>
    <w:uiPriority w:val="0"/>
  </w:style>
  <w:style w:type="character" w:customStyle="1" w:styleId="225">
    <w:name w:val="Heading 1 Char"/>
    <w:qFormat/>
    <w:locked/>
    <w:uiPriority w:val="0"/>
    <w:rPr>
      <w:rFonts w:ascii="Times New Roman" w:hAnsi="Times New Roman" w:eastAsia="宋体" w:cs="Times New Roman"/>
      <w:b/>
      <w:bCs/>
      <w:kern w:val="44"/>
      <w:sz w:val="44"/>
      <w:szCs w:val="44"/>
    </w:rPr>
  </w:style>
  <w:style w:type="character" w:customStyle="1" w:styleId="226">
    <w:name w:val="标题 4 Char Char Char"/>
    <w:qFormat/>
    <w:uiPriority w:val="0"/>
    <w:rPr>
      <w:rFonts w:ascii="Arial" w:hAnsi="Arial" w:eastAsia="黑体"/>
      <w:b/>
      <w:bCs/>
      <w:kern w:val="2"/>
      <w:sz w:val="28"/>
      <w:szCs w:val="28"/>
      <w:lang w:val="en-US" w:eastAsia="zh-CN" w:bidi="ar-SA"/>
    </w:rPr>
  </w:style>
  <w:style w:type="character" w:customStyle="1" w:styleId="227">
    <w:name w:val="Char Char14"/>
    <w:qFormat/>
    <w:uiPriority w:val="0"/>
    <w:rPr>
      <w:rFonts w:ascii="Times New Roman" w:hAnsi="Times New Roman" w:eastAsia="仿宋_GB2312"/>
      <w:b/>
      <w:bCs/>
      <w:kern w:val="44"/>
      <w:sz w:val="30"/>
      <w:szCs w:val="44"/>
    </w:rPr>
  </w:style>
  <w:style w:type="character" w:customStyle="1" w:styleId="228">
    <w:name w:val="Char Char11"/>
    <w:qFormat/>
    <w:uiPriority w:val="0"/>
    <w:rPr>
      <w:sz w:val="18"/>
      <w:szCs w:val="18"/>
    </w:rPr>
  </w:style>
  <w:style w:type="character" w:customStyle="1" w:styleId="229">
    <w:name w:val="抬头 Char"/>
    <w:qFormat/>
    <w:uiPriority w:val="0"/>
    <w:rPr>
      <w:rFonts w:eastAsia="宋体"/>
      <w:sz w:val="30"/>
      <w:szCs w:val="30"/>
      <w:lang w:val="en-US" w:eastAsia="zh-CN" w:bidi="ar-SA"/>
    </w:rPr>
  </w:style>
  <w:style w:type="paragraph" w:customStyle="1" w:styleId="230">
    <w:name w:val="抬头"/>
    <w:basedOn w:val="1"/>
    <w:qFormat/>
    <w:uiPriority w:val="0"/>
    <w:pPr>
      <w:widowControl/>
      <w:topLinePunct/>
      <w:ind w:firstLine="600" w:firstLineChars="200"/>
      <w:jc w:val="center"/>
    </w:pPr>
    <w:rPr>
      <w:rFonts w:ascii="Times New Roman" w:hAnsi="Times New Roman" w:eastAsia="宋体" w:cs="Times New Roman"/>
      <w:kern w:val="0"/>
      <w:sz w:val="30"/>
      <w:szCs w:val="30"/>
    </w:rPr>
  </w:style>
  <w:style w:type="paragraph" w:customStyle="1" w:styleId="231">
    <w:name w:val="章标题"/>
    <w:next w:val="232"/>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Char Char Char Char Char Char Char"/>
    <w:basedOn w:val="1"/>
    <w:qFormat/>
    <w:uiPriority w:val="0"/>
    <w:rPr>
      <w:rFonts w:ascii="仿宋_GB2312" w:hAnsi="Times New Roman" w:eastAsia="仿宋_GB2312" w:cs="Times New Roman"/>
      <w:b/>
      <w:sz w:val="32"/>
      <w:szCs w:val="20"/>
    </w:rPr>
  </w:style>
  <w:style w:type="paragraph" w:customStyle="1" w:styleId="234">
    <w:name w:val="xl75"/>
    <w:basedOn w:val="1"/>
    <w:qFormat/>
    <w:uiPriority w:val="0"/>
    <w:pPr>
      <w:widowControl/>
      <w:spacing w:before="100" w:beforeAutospacing="1" w:after="100" w:afterAutospacing="1"/>
      <w:jc w:val="center"/>
    </w:pPr>
    <w:rPr>
      <w:rFonts w:ascii="幼圆" w:hAnsi="宋体" w:eastAsia="幼圆" w:cs="宋体"/>
      <w:b/>
      <w:bCs/>
      <w:color w:val="000000"/>
      <w:kern w:val="0"/>
      <w:sz w:val="24"/>
      <w:szCs w:val="24"/>
    </w:rPr>
  </w:style>
  <w:style w:type="paragraph" w:customStyle="1" w:styleId="235">
    <w:name w:val="文字缩进 3"/>
    <w:basedOn w:val="6"/>
    <w:qFormat/>
    <w:uiPriority w:val="0"/>
    <w:pPr>
      <w:adjustRightInd w:val="0"/>
      <w:spacing w:before="100" w:beforeAutospacing="1" w:after="100" w:afterAutospacing="1" w:line="400" w:lineRule="atLeast"/>
      <w:ind w:left="1276"/>
      <w:textAlignment w:val="baseline"/>
    </w:pPr>
    <w:rPr>
      <w:rFonts w:ascii="Times New Roman" w:hAnsi="Times New Roman" w:eastAsia="宋体" w:cs="Times New Roman"/>
      <w:kern w:val="0"/>
      <w:sz w:val="24"/>
      <w:szCs w:val="20"/>
    </w:rPr>
  </w:style>
  <w:style w:type="paragraph" w:customStyle="1" w:styleId="236">
    <w:name w:val="三级条标题"/>
    <w:basedOn w:val="237"/>
    <w:next w:val="232"/>
    <w:qFormat/>
    <w:uiPriority w:val="0"/>
    <w:pPr>
      <w:numPr>
        <w:ilvl w:val="4"/>
      </w:numPr>
      <w:outlineLvl w:val="4"/>
    </w:pPr>
  </w:style>
  <w:style w:type="paragraph" w:customStyle="1" w:styleId="237">
    <w:name w:val="二级条标题"/>
    <w:basedOn w:val="238"/>
    <w:next w:val="232"/>
    <w:qFormat/>
    <w:uiPriority w:val="0"/>
    <w:pPr>
      <w:numPr>
        <w:ilvl w:val="3"/>
      </w:numPr>
      <w:outlineLvl w:val="3"/>
    </w:pPr>
  </w:style>
  <w:style w:type="paragraph" w:customStyle="1" w:styleId="238">
    <w:name w:val="一级条标题"/>
    <w:next w:val="232"/>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239">
    <w:name w:val="font6"/>
    <w:basedOn w:val="1"/>
    <w:qFormat/>
    <w:uiPriority w:val="0"/>
    <w:pPr>
      <w:widowControl/>
      <w:adjustRightInd w:val="0"/>
      <w:spacing w:before="100" w:after="100"/>
      <w:jc w:val="left"/>
      <w:textAlignment w:val="baseline"/>
    </w:pPr>
    <w:rPr>
      <w:rFonts w:ascii="Times New Roman" w:hAnsi="Times New Roman" w:eastAsia="宋体" w:cs="Times New Roman"/>
      <w:color w:val="000000"/>
      <w:kern w:val="0"/>
      <w:szCs w:val="20"/>
    </w:rPr>
  </w:style>
  <w:style w:type="paragraph" w:customStyle="1" w:styleId="240">
    <w:name w:val="xl96"/>
    <w:basedOn w:val="1"/>
    <w:qFormat/>
    <w:uiPriority w:val="0"/>
    <w:pPr>
      <w:widowControl/>
      <w:spacing w:before="100" w:beforeAutospacing="1" w:after="100" w:afterAutospacing="1"/>
      <w:jc w:val="center"/>
      <w:textAlignment w:val="bottom"/>
    </w:pPr>
    <w:rPr>
      <w:rFonts w:ascii="幼圆" w:hAnsi="宋体" w:eastAsia="幼圆" w:cs="宋体"/>
      <w:kern w:val="0"/>
      <w:sz w:val="24"/>
      <w:szCs w:val="24"/>
    </w:rPr>
  </w:style>
  <w:style w:type="paragraph" w:styleId="241">
    <w:name w:val="List Paragraph"/>
    <w:basedOn w:val="1"/>
    <w:qFormat/>
    <w:uiPriority w:val="34"/>
    <w:pPr>
      <w:ind w:firstLine="420" w:firstLineChars="200"/>
    </w:pPr>
    <w:rPr>
      <w:rFonts w:ascii="Verdana" w:hAnsi="Verdana" w:eastAsia="微软雅黑" w:cs="Times New Roman"/>
      <w:szCs w:val="20"/>
    </w:rPr>
  </w:style>
  <w:style w:type="paragraph" w:customStyle="1" w:styleId="242">
    <w:name w:val="正文缩进 2"/>
    <w:basedOn w:val="1"/>
    <w:qFormat/>
    <w:uiPriority w:val="0"/>
    <w:pPr>
      <w:adjustRightInd w:val="0"/>
      <w:spacing w:line="400" w:lineRule="atLeast"/>
      <w:ind w:left="400" w:leftChars="400" w:firstLine="454"/>
      <w:textAlignment w:val="baseline"/>
    </w:pPr>
    <w:rPr>
      <w:rFonts w:ascii="Times New Roman" w:hAnsi="Times New Roman" w:eastAsia="宋体" w:cs="Times New Roman"/>
      <w:kern w:val="0"/>
      <w:sz w:val="24"/>
      <w:szCs w:val="20"/>
    </w:rPr>
  </w:style>
  <w:style w:type="paragraph" w:customStyle="1" w:styleId="243">
    <w:name w:val="四级条标题"/>
    <w:basedOn w:val="236"/>
    <w:next w:val="232"/>
    <w:qFormat/>
    <w:uiPriority w:val="0"/>
    <w:pPr>
      <w:numPr>
        <w:ilvl w:val="5"/>
      </w:numPr>
      <w:outlineLvl w:val="5"/>
    </w:pPr>
  </w:style>
  <w:style w:type="paragraph" w:customStyle="1" w:styleId="244">
    <w:name w:val="font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
    <w:name w:val="正文图标题"/>
    <w:next w:val="232"/>
    <w:qFormat/>
    <w:uiPriority w:val="0"/>
    <w:pPr>
      <w:jc w:val="center"/>
    </w:pPr>
    <w:rPr>
      <w:rFonts w:ascii="黑体" w:hAnsi="Times New Roman" w:eastAsia="黑体" w:cs="Times New Roman"/>
      <w:sz w:val="21"/>
      <w:lang w:val="en-US" w:eastAsia="zh-CN" w:bidi="ar-SA"/>
    </w:rPr>
  </w:style>
  <w:style w:type="paragraph" w:customStyle="1" w:styleId="24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47">
    <w:name w:val="font1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48">
    <w:name w:val="Unknown Style"/>
    <w:basedOn w:val="1"/>
    <w:next w:val="1"/>
    <w:qFormat/>
    <w:uiPriority w:val="0"/>
    <w:pPr>
      <w:widowControl/>
    </w:pPr>
    <w:rPr>
      <w:rFonts w:ascii="Times New Roman" w:hAnsi="Times New Roman" w:eastAsia="宋体" w:cs="Times New Roman"/>
      <w:color w:val="000000"/>
      <w:szCs w:val="20"/>
    </w:rPr>
  </w:style>
  <w:style w:type="paragraph" w:customStyle="1" w:styleId="249">
    <w:name w:val="文本正文2"/>
    <w:basedOn w:val="1"/>
    <w:qFormat/>
    <w:uiPriority w:val="0"/>
    <w:pPr>
      <w:spacing w:before="156" w:after="156" w:line="360" w:lineRule="auto"/>
    </w:pPr>
    <w:rPr>
      <w:rFonts w:ascii="Times New Roman" w:hAnsi="Times New Roman" w:eastAsia="宋体" w:cs="Times New Roman"/>
      <w:color w:val="000000"/>
      <w:szCs w:val="20"/>
    </w:rPr>
  </w:style>
  <w:style w:type="paragraph" w:customStyle="1" w:styleId="250">
    <w:name w:val="xl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
    <w:name w:val="样式 标题 22nd levelh22Header 2H2 + 四号 段前: 6 磅 段后: 6 磅 行距: 1..."/>
    <w:basedOn w:val="3"/>
    <w:qFormat/>
    <w:uiPriority w:val="0"/>
    <w:pPr>
      <w:tabs>
        <w:tab w:val="left" w:pos="425"/>
        <w:tab w:val="clear" w:pos="358"/>
      </w:tabs>
      <w:spacing w:before="120" w:after="120"/>
      <w:ind w:left="425" w:hanging="425"/>
    </w:pPr>
    <w:rPr>
      <w:rFonts w:ascii="Arial" w:hAnsi="Arial"/>
      <w:sz w:val="28"/>
    </w:rPr>
  </w:style>
  <w:style w:type="paragraph" w:customStyle="1" w:styleId="252">
    <w:name w:val="样式 首行缩进:  0.85 厘米"/>
    <w:basedOn w:val="1"/>
    <w:qFormat/>
    <w:uiPriority w:val="0"/>
    <w:pPr>
      <w:tabs>
        <w:tab w:val="left" w:pos="1080"/>
        <w:tab w:val="left" w:pos="1200"/>
      </w:tabs>
      <w:spacing w:beforeLines="50" w:afterLines="50" w:line="360" w:lineRule="auto"/>
      <w:ind w:left="420" w:firstLine="120"/>
      <w:jc w:val="left"/>
    </w:pPr>
    <w:rPr>
      <w:rFonts w:ascii="Arial" w:hAnsi="Times New Roman" w:eastAsia="宋体" w:cs="Times New Roman"/>
      <w:sz w:val="24"/>
      <w:szCs w:val="20"/>
    </w:rPr>
  </w:style>
  <w:style w:type="paragraph" w:customStyle="1" w:styleId="253">
    <w:name w:val="文章标题 2"/>
    <w:basedOn w:val="3"/>
    <w:next w:val="1"/>
    <w:qFormat/>
    <w:uiPriority w:val="0"/>
    <w:pPr>
      <w:spacing w:before="260" w:after="260" w:line="413" w:lineRule="auto"/>
      <w:ind w:left="0" w:firstLine="0"/>
    </w:pPr>
    <w:rPr>
      <w:rFonts w:ascii="黑体" w:hAnsi="Arial" w:eastAsia="黑体"/>
      <w:b w:val="0"/>
    </w:rPr>
  </w:style>
  <w:style w:type="paragraph" w:customStyle="1" w:styleId="254">
    <w:name w:val="样式 样式 标题 1 + 黑体 三号 + 段前: 1 行 段后: 1 行"/>
    <w:basedOn w:val="1"/>
    <w:qFormat/>
    <w:uiPriority w:val="0"/>
    <w:pPr>
      <w:keepNext/>
      <w:keepLines/>
      <w:tabs>
        <w:tab w:val="left" w:pos="1021"/>
      </w:tabs>
      <w:spacing w:beforeLines="100" w:afterLines="100" w:line="360" w:lineRule="auto"/>
      <w:ind w:firstLine="482"/>
      <w:outlineLvl w:val="0"/>
    </w:pPr>
    <w:rPr>
      <w:rFonts w:ascii="Arial" w:hAnsi="Arial" w:eastAsia="黑体" w:cs="Times New Roman"/>
      <w:b/>
      <w:spacing w:val="10"/>
      <w:kern w:val="44"/>
      <w:sz w:val="32"/>
      <w:szCs w:val="20"/>
    </w:rPr>
  </w:style>
  <w:style w:type="paragraph" w:customStyle="1" w:styleId="255">
    <w:name w:val="简单回函地址"/>
    <w:basedOn w:val="1"/>
    <w:qFormat/>
    <w:uiPriority w:val="0"/>
    <w:rPr>
      <w:rFonts w:ascii="Times New Roman" w:hAnsi="Times New Roman" w:eastAsia="宋体" w:cs="Times New Roman"/>
      <w:szCs w:val="24"/>
    </w:rPr>
  </w:style>
  <w:style w:type="paragraph" w:customStyle="1" w:styleId="256">
    <w:name w:val="正文两字缩进"/>
    <w:basedOn w:val="78"/>
    <w:qFormat/>
    <w:uiPriority w:val="0"/>
    <w:pPr>
      <w:tabs>
        <w:tab w:val="right" w:leader="dot" w:pos="8302"/>
      </w:tabs>
      <w:spacing w:beforeLines="50" w:afterLines="50" w:line="360" w:lineRule="auto"/>
      <w:ind w:left="0" w:leftChars="0" w:firstLine="480"/>
      <w:jc w:val="left"/>
    </w:pPr>
    <w:rPr>
      <w:rFonts w:ascii="宋体" w:hAnsi="宋体"/>
    </w:rPr>
  </w:style>
  <w:style w:type="paragraph" w:customStyle="1" w:styleId="257">
    <w:name w:val="章节标题1"/>
    <w:basedOn w:val="1"/>
    <w:next w:val="258"/>
    <w:qFormat/>
    <w:uiPriority w:val="0"/>
    <w:pPr>
      <w:keepNext/>
      <w:keepLines/>
      <w:tabs>
        <w:tab w:val="left" w:pos="900"/>
      </w:tabs>
      <w:spacing w:before="340" w:after="330" w:line="578" w:lineRule="auto"/>
      <w:ind w:left="900" w:hanging="420"/>
      <w:outlineLvl w:val="0"/>
    </w:pPr>
    <w:rPr>
      <w:rFonts w:ascii="Times New Roman" w:hAnsi="Times New Roman" w:eastAsia="宋体" w:cs="Times New Roman"/>
      <w:b/>
      <w:bCs/>
      <w:kern w:val="44"/>
      <w:sz w:val="36"/>
      <w:szCs w:val="44"/>
    </w:rPr>
  </w:style>
  <w:style w:type="paragraph" w:customStyle="1" w:styleId="258">
    <w:name w:val="章节标题2"/>
    <w:basedOn w:val="1"/>
    <w:next w:val="259"/>
    <w:qFormat/>
    <w:uiPriority w:val="0"/>
    <w:pPr>
      <w:keepNext/>
      <w:keepLines/>
      <w:numPr>
        <w:ilvl w:val="1"/>
        <w:numId w:val="3"/>
      </w:numPr>
      <w:spacing w:before="260" w:after="260" w:line="415" w:lineRule="auto"/>
      <w:outlineLvl w:val="1"/>
    </w:pPr>
    <w:rPr>
      <w:rFonts w:ascii="Times New Roman" w:hAnsi="Times New Roman" w:eastAsia="宋体" w:cs="Times New Roman"/>
      <w:b/>
      <w:bCs/>
      <w:sz w:val="32"/>
      <w:szCs w:val="32"/>
    </w:rPr>
  </w:style>
  <w:style w:type="paragraph" w:customStyle="1" w:styleId="259">
    <w:name w:val="章节标题3"/>
    <w:basedOn w:val="1"/>
    <w:qFormat/>
    <w:uiPriority w:val="0"/>
    <w:pPr>
      <w:keepNext/>
      <w:keepLines/>
      <w:numPr>
        <w:ilvl w:val="2"/>
        <w:numId w:val="3"/>
      </w:numPr>
      <w:spacing w:before="260" w:after="260" w:line="415" w:lineRule="auto"/>
      <w:outlineLvl w:val="2"/>
    </w:pPr>
    <w:rPr>
      <w:rFonts w:ascii="Times New Roman" w:hAnsi="Times New Roman" w:eastAsia="宋体" w:cs="Times New Roman"/>
      <w:b/>
      <w:bCs/>
      <w:sz w:val="30"/>
      <w:szCs w:val="32"/>
    </w:rPr>
  </w:style>
  <w:style w:type="paragraph" w:customStyle="1" w:styleId="260">
    <w:name w:val="章节标题5"/>
    <w:basedOn w:val="1"/>
    <w:qFormat/>
    <w:uiPriority w:val="0"/>
    <w:pPr>
      <w:keepNext/>
      <w:keepLines/>
      <w:numPr>
        <w:ilvl w:val="4"/>
        <w:numId w:val="3"/>
      </w:numPr>
      <w:spacing w:beforeLines="50" w:afterLines="50" w:line="377" w:lineRule="auto"/>
      <w:outlineLvl w:val="4"/>
    </w:pPr>
    <w:rPr>
      <w:rFonts w:ascii="Times New Roman" w:hAnsi="Times New Roman" w:eastAsia="宋体" w:cs="Times New Roman"/>
      <w:b/>
      <w:bCs/>
      <w:sz w:val="24"/>
      <w:szCs w:val="24"/>
    </w:rPr>
  </w:style>
  <w:style w:type="paragraph" w:customStyle="1" w:styleId="261">
    <w:name w:val="xl78"/>
    <w:basedOn w:val="1"/>
    <w:qFormat/>
    <w:uiPriority w:val="0"/>
    <w:pPr>
      <w:widowControl/>
      <w:shd w:val="clear" w:color="auto" w:fill="99CCFF"/>
      <w:spacing w:before="100" w:beforeAutospacing="1" w:after="100" w:afterAutospacing="1"/>
      <w:jc w:val="center"/>
    </w:pPr>
    <w:rPr>
      <w:rFonts w:ascii="Arial" w:hAnsi="Arial" w:eastAsia="宋体" w:cs="Arial"/>
      <w:color w:val="000000"/>
      <w:kern w:val="0"/>
      <w:sz w:val="24"/>
      <w:szCs w:val="24"/>
    </w:rPr>
  </w:style>
  <w:style w:type="paragraph" w:customStyle="1" w:styleId="262">
    <w:name w:val="flNote"/>
    <w:basedOn w:val="1"/>
    <w:qFormat/>
    <w:uiPriority w:val="0"/>
    <w:pPr>
      <w:adjustRightInd w:val="0"/>
      <w:spacing w:before="320" w:after="160" w:line="360" w:lineRule="auto"/>
      <w:jc w:val="center"/>
      <w:textAlignment w:val="baseline"/>
    </w:pPr>
    <w:rPr>
      <w:rFonts w:ascii="Arial" w:hAnsi="Times New Roman" w:eastAsia="黑体" w:cs="Times New Roman"/>
      <w:kern w:val="0"/>
      <w:sz w:val="30"/>
      <w:szCs w:val="20"/>
    </w:rPr>
  </w:style>
  <w:style w:type="paragraph" w:customStyle="1" w:styleId="2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4">
    <w:name w:val="Char Char Char1 Char Char Char Char"/>
    <w:basedOn w:val="1"/>
    <w:qFormat/>
    <w:uiPriority w:val="0"/>
    <w:rPr>
      <w:rFonts w:ascii="仿宋_GB2312" w:hAnsi="Times New Roman" w:eastAsia="仿宋_GB2312" w:cs="Times New Roman"/>
      <w:b/>
      <w:sz w:val="32"/>
      <w:szCs w:val="20"/>
    </w:rPr>
  </w:style>
  <w:style w:type="paragraph" w:customStyle="1" w:styleId="265">
    <w:name w:val="标题 8 +"/>
    <w:basedOn w:val="11"/>
    <w:qFormat/>
    <w:uiPriority w:val="0"/>
    <w:rPr>
      <w:kern w:val="0"/>
    </w:rPr>
  </w:style>
  <w:style w:type="paragraph" w:customStyle="1" w:styleId="266">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样式 宋体"/>
    <w:basedOn w:val="1"/>
    <w:next w:val="1"/>
    <w:qFormat/>
    <w:uiPriority w:val="0"/>
    <w:pPr>
      <w:widowControl/>
    </w:pPr>
    <w:rPr>
      <w:rFonts w:ascii="宋体" w:hAnsi="Times New Roman" w:eastAsia="宋体" w:cs="Times New Roman"/>
      <w:color w:val="000000"/>
      <w:sz w:val="24"/>
      <w:szCs w:val="20"/>
    </w:rPr>
  </w:style>
  <w:style w:type="paragraph" w:customStyle="1" w:styleId="268">
    <w:name w:val="Body text|2"/>
    <w:basedOn w:val="1"/>
    <w:qFormat/>
    <w:uiPriority w:val="0"/>
    <w:pPr>
      <w:spacing w:after="180"/>
      <w:jc w:val="center"/>
    </w:pPr>
    <w:rPr>
      <w:rFonts w:ascii="宋体" w:hAnsi="宋体" w:eastAsia="宋体" w:cs="宋体"/>
      <w:b/>
      <w:bCs/>
      <w:sz w:val="22"/>
      <w:lang w:val="zh-TW" w:eastAsia="zh-TW" w:bidi="zh-TW"/>
    </w:rPr>
  </w:style>
  <w:style w:type="paragraph" w:customStyle="1" w:styleId="2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70">
    <w:name w:val="xl85"/>
    <w:basedOn w:val="1"/>
    <w:qFormat/>
    <w:uiPriority w:val="0"/>
    <w:pPr>
      <w:widowControl/>
      <w:shd w:val="clear" w:color="auto" w:fill="C0C0C0"/>
      <w:spacing w:before="100" w:beforeAutospacing="1" w:after="100" w:afterAutospacing="1"/>
      <w:jc w:val="left"/>
    </w:pPr>
    <w:rPr>
      <w:rFonts w:ascii="Arial" w:hAnsi="Arial" w:eastAsia="宋体" w:cs="Arial"/>
      <w:color w:val="000000"/>
      <w:kern w:val="0"/>
      <w:sz w:val="24"/>
      <w:szCs w:val="24"/>
    </w:rPr>
  </w:style>
  <w:style w:type="paragraph" w:customStyle="1" w:styleId="271">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Times New Roman" w:hAnsi="Times New Roman" w:eastAsia="宋体" w:cs="Times New Roman"/>
      <w:color w:val="000000"/>
      <w:kern w:val="0"/>
      <w:szCs w:val="20"/>
    </w:rPr>
  </w:style>
  <w:style w:type="paragraph" w:customStyle="1" w:styleId="272">
    <w:name w:val="xl81"/>
    <w:basedOn w:val="1"/>
    <w:qFormat/>
    <w:uiPriority w:val="0"/>
    <w:pPr>
      <w:widowControl/>
      <w:shd w:val="clear" w:color="auto" w:fill="CCFFCC"/>
      <w:spacing w:before="100" w:beforeAutospacing="1" w:after="100" w:afterAutospacing="1"/>
      <w:jc w:val="left"/>
    </w:pPr>
    <w:rPr>
      <w:rFonts w:ascii="Arial" w:hAnsi="Arial" w:eastAsia="宋体" w:cs="Arial"/>
      <w:color w:val="000000"/>
      <w:kern w:val="0"/>
      <w:sz w:val="24"/>
      <w:szCs w:val="24"/>
    </w:rPr>
  </w:style>
  <w:style w:type="paragraph" w:customStyle="1" w:styleId="273">
    <w:name w:val="Body text|4"/>
    <w:basedOn w:val="1"/>
    <w:qFormat/>
    <w:uiPriority w:val="0"/>
    <w:pPr>
      <w:spacing w:line="211" w:lineRule="auto"/>
      <w:ind w:left="5480"/>
    </w:pPr>
    <w:rPr>
      <w:rFonts w:ascii="Times New Roman" w:hAnsi="Times New Roman" w:eastAsia="宋体" w:cs="Times New Roman"/>
      <w:i/>
      <w:iCs/>
      <w:sz w:val="24"/>
      <w:szCs w:val="20"/>
    </w:rPr>
  </w:style>
  <w:style w:type="paragraph" w:customStyle="1" w:styleId="274">
    <w:name w:val="样式 标题 2 + 宋体 小四 段前: 5 磅 段后: 5 磅 行距: 单倍行距"/>
    <w:basedOn w:val="3"/>
    <w:qFormat/>
    <w:uiPriority w:val="0"/>
    <w:pPr>
      <w:tabs>
        <w:tab w:val="left" w:pos="720"/>
        <w:tab w:val="clear" w:pos="358"/>
      </w:tabs>
      <w:adjustRightInd w:val="0"/>
      <w:spacing w:before="100" w:beforeAutospacing="1" w:after="100" w:afterAutospacing="1" w:line="240" w:lineRule="auto"/>
      <w:ind w:left="0" w:firstLine="0"/>
      <w:jc w:val="left"/>
      <w:textAlignment w:val="baseline"/>
    </w:pPr>
    <w:rPr>
      <w:rFonts w:ascii="宋体" w:hAnsi="宋体"/>
      <w:b w:val="0"/>
      <w:kern w:val="0"/>
      <w:sz w:val="28"/>
    </w:rPr>
  </w:style>
  <w:style w:type="paragraph" w:customStyle="1" w:styleId="275">
    <w:name w:val="xl88"/>
    <w:basedOn w:val="1"/>
    <w:qFormat/>
    <w:uiPriority w:val="0"/>
    <w:pPr>
      <w:widowControl/>
      <w:shd w:val="clear" w:color="auto" w:fill="C0C0C0"/>
      <w:spacing w:before="100" w:beforeAutospacing="1" w:after="100" w:afterAutospacing="1"/>
      <w:jc w:val="center"/>
    </w:pPr>
    <w:rPr>
      <w:rFonts w:ascii="Arial" w:hAnsi="Arial" w:eastAsia="宋体" w:cs="Arial"/>
      <w:color w:val="000000"/>
      <w:kern w:val="0"/>
      <w:sz w:val="24"/>
      <w:szCs w:val="24"/>
    </w:rPr>
  </w:style>
  <w:style w:type="paragraph" w:customStyle="1" w:styleId="276">
    <w:name w:val="xl33"/>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77">
    <w:name w:val="font1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78">
    <w:name w:val="Char Char Char Char Char Char Char Char Char Char"/>
    <w:basedOn w:val="26"/>
    <w:qFormat/>
    <w:uiPriority w:val="0"/>
    <w:rPr>
      <w:rFonts w:ascii="Tahoma" w:hAnsi="Tahoma"/>
    </w:rPr>
  </w:style>
  <w:style w:type="paragraph" w:customStyle="1" w:styleId="27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18"/>
    </w:rPr>
  </w:style>
  <w:style w:type="paragraph" w:customStyle="1" w:styleId="280">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
    <w:name w:val="List2"/>
    <w:basedOn w:val="1"/>
    <w:qFormat/>
    <w:uiPriority w:val="0"/>
    <w:pPr>
      <w:tabs>
        <w:tab w:val="left" w:pos="643"/>
        <w:tab w:val="left" w:pos="840"/>
      </w:tabs>
      <w:spacing w:line="360" w:lineRule="auto"/>
      <w:ind w:left="643" w:hanging="420"/>
    </w:pPr>
    <w:rPr>
      <w:rFonts w:ascii="Times New Roman" w:hAnsi="Times New Roman" w:eastAsia="宋体" w:cs="Times New Roman"/>
      <w:sz w:val="24"/>
      <w:szCs w:val="20"/>
    </w:rPr>
  </w:style>
  <w:style w:type="paragraph" w:customStyle="1" w:styleId="28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83">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284">
    <w:name w:val="xl102"/>
    <w:basedOn w:val="1"/>
    <w:qFormat/>
    <w:uiPriority w:val="0"/>
    <w:pPr>
      <w:widowControl/>
      <w:shd w:val="clear" w:color="auto" w:fill="C0C0C0"/>
      <w:spacing w:before="100" w:beforeAutospacing="1" w:after="100" w:afterAutospacing="1"/>
      <w:jc w:val="left"/>
    </w:pPr>
    <w:rPr>
      <w:rFonts w:ascii="Arial" w:hAnsi="Arial" w:eastAsia="宋体" w:cs="Arial"/>
      <w:color w:val="000000"/>
      <w:kern w:val="0"/>
      <w:sz w:val="24"/>
      <w:szCs w:val="24"/>
    </w:rPr>
  </w:style>
  <w:style w:type="paragraph" w:customStyle="1" w:styleId="285">
    <w:name w:val="序号正文"/>
    <w:basedOn w:val="1"/>
    <w:qFormat/>
    <w:uiPriority w:val="0"/>
    <w:pPr>
      <w:numPr>
        <w:ilvl w:val="0"/>
        <w:numId w:val="8"/>
      </w:numPr>
      <w:spacing w:line="300" w:lineRule="auto"/>
    </w:pPr>
    <w:rPr>
      <w:rFonts w:ascii="宋体" w:hAnsi="宋体" w:eastAsia="宋体" w:cs="Times New Roman"/>
      <w:sz w:val="24"/>
      <w:szCs w:val="20"/>
    </w:rPr>
  </w:style>
  <w:style w:type="paragraph" w:customStyle="1" w:styleId="286">
    <w:name w:val="xl95"/>
    <w:basedOn w:val="1"/>
    <w:qFormat/>
    <w:uiPriority w:val="0"/>
    <w:pPr>
      <w:widowControl/>
      <w:spacing w:before="100" w:beforeAutospacing="1" w:after="100" w:afterAutospacing="1"/>
      <w:jc w:val="center"/>
    </w:pPr>
    <w:rPr>
      <w:rFonts w:ascii="幼圆" w:hAnsi="宋体" w:eastAsia="幼圆" w:cs="宋体"/>
      <w:kern w:val="0"/>
      <w:sz w:val="24"/>
      <w:szCs w:val="24"/>
    </w:rPr>
  </w:style>
  <w:style w:type="paragraph" w:customStyle="1" w:styleId="287">
    <w:name w:val="xl112"/>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88">
    <w:name w:val="图脚"/>
    <w:basedOn w:val="1"/>
    <w:qFormat/>
    <w:uiPriority w:val="0"/>
    <w:pPr>
      <w:tabs>
        <w:tab w:val="left" w:pos="900"/>
      </w:tabs>
      <w:ind w:left="900" w:hanging="420"/>
      <w:jc w:val="center"/>
    </w:pPr>
    <w:rPr>
      <w:rFonts w:ascii="Times New Roman" w:hAnsi="Times New Roman" w:eastAsia="黑体" w:cs="Times New Roman"/>
      <w:sz w:val="24"/>
      <w:szCs w:val="20"/>
    </w:rPr>
  </w:style>
  <w:style w:type="paragraph" w:customStyle="1" w:styleId="289">
    <w:name w:val="xl71"/>
    <w:basedOn w:val="1"/>
    <w:qFormat/>
    <w:uiPriority w:val="0"/>
    <w:pPr>
      <w:widowControl/>
      <w:spacing w:before="100" w:beforeAutospacing="1" w:after="100" w:afterAutospacing="1"/>
      <w:jc w:val="left"/>
    </w:pPr>
    <w:rPr>
      <w:rFonts w:ascii="Arial" w:hAnsi="Arial" w:eastAsia="宋体" w:cs="Arial"/>
      <w:color w:val="000000"/>
      <w:kern w:val="0"/>
      <w:sz w:val="24"/>
      <w:szCs w:val="24"/>
    </w:rPr>
  </w:style>
  <w:style w:type="paragraph" w:customStyle="1" w:styleId="290">
    <w:name w:val="正文文字3"/>
    <w:basedOn w:val="1"/>
    <w:qFormat/>
    <w:uiPriority w:val="0"/>
    <w:pPr>
      <w:spacing w:before="60" w:after="60" w:line="500" w:lineRule="exact"/>
      <w:ind w:left="1020" w:firstLine="592"/>
    </w:pPr>
    <w:rPr>
      <w:rFonts w:ascii="Times New Roman" w:hAnsi="Times New Roman" w:eastAsia="宋体" w:cs="Times New Roman"/>
      <w:sz w:val="28"/>
      <w:szCs w:val="20"/>
    </w:rPr>
  </w:style>
  <w:style w:type="paragraph" w:customStyle="1" w:styleId="291">
    <w:name w:val="my标题5"/>
    <w:basedOn w:val="1"/>
    <w:qFormat/>
    <w:uiPriority w:val="0"/>
    <w:pPr>
      <w:tabs>
        <w:tab w:val="left" w:pos="992"/>
      </w:tabs>
      <w:ind w:left="992" w:hanging="992"/>
    </w:pPr>
    <w:rPr>
      <w:rFonts w:ascii="Times New Roman" w:hAnsi="Times New Roman" w:eastAsia="宋体" w:cs="Times New Roman"/>
      <w:sz w:val="24"/>
      <w:szCs w:val="20"/>
    </w:rPr>
  </w:style>
  <w:style w:type="paragraph" w:customStyle="1" w:styleId="292">
    <w:name w:val="小标题"/>
    <w:basedOn w:val="1"/>
    <w:next w:val="1"/>
    <w:qFormat/>
    <w:uiPriority w:val="0"/>
    <w:pPr>
      <w:spacing w:line="360" w:lineRule="auto"/>
      <w:ind w:firstLine="200" w:firstLineChars="200"/>
      <w:jc w:val="left"/>
    </w:pPr>
    <w:rPr>
      <w:rFonts w:ascii="宋体" w:hAnsi="宋体" w:eastAsia="宋体" w:cs="Times New Roman"/>
      <w:b/>
      <w:bCs/>
      <w:szCs w:val="24"/>
    </w:rPr>
  </w:style>
  <w:style w:type="paragraph" w:customStyle="1" w:styleId="293">
    <w:name w:val="默认段落字体 Para Char Char Char Char"/>
    <w:basedOn w:val="1"/>
    <w:qFormat/>
    <w:uiPriority w:val="0"/>
    <w:pPr>
      <w:spacing w:line="240" w:lineRule="atLeast"/>
      <w:ind w:left="420" w:firstLine="420"/>
    </w:pPr>
    <w:rPr>
      <w:rFonts w:ascii="Times New Roman" w:hAnsi="Times New Roman" w:eastAsia="宋体" w:cs="Times New Roman"/>
      <w:kern w:val="0"/>
      <w:szCs w:val="21"/>
    </w:rPr>
  </w:style>
  <w:style w:type="paragraph" w:customStyle="1" w:styleId="294">
    <w:name w:val="标题3下的宋体"/>
    <w:qFormat/>
    <w:uiPriority w:val="0"/>
    <w:pPr>
      <w:widowControl w:val="0"/>
      <w:adjustRightInd w:val="0"/>
      <w:snapToGrid w:val="0"/>
      <w:spacing w:beforeLines="20"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295">
    <w:name w:val="样式29"/>
    <w:basedOn w:val="1"/>
    <w:qFormat/>
    <w:uiPriority w:val="0"/>
    <w:pPr>
      <w:widowControl/>
      <w:spacing w:line="440" w:lineRule="exact"/>
      <w:ind w:firstLine="200" w:firstLineChars="200"/>
      <w:jc w:val="left"/>
    </w:pPr>
    <w:rPr>
      <w:rFonts w:ascii="Times New Roman" w:hAnsi="Times New Roman" w:eastAsia="宋体" w:cs="Times New Roman"/>
      <w:spacing w:val="6"/>
      <w:kern w:val="0"/>
      <w:sz w:val="24"/>
      <w:szCs w:val="20"/>
    </w:rPr>
  </w:style>
  <w:style w:type="paragraph" w:customStyle="1" w:styleId="296">
    <w:name w:val="正文文字2"/>
    <w:basedOn w:val="6"/>
    <w:qFormat/>
    <w:uiPriority w:val="0"/>
    <w:pPr>
      <w:adjustRightInd w:val="0"/>
      <w:spacing w:after="60" w:line="360" w:lineRule="atLeast"/>
      <w:ind w:left="72" w:right="72"/>
      <w:jc w:val="center"/>
      <w:textAlignment w:val="baseline"/>
    </w:pPr>
    <w:rPr>
      <w:rFonts w:ascii="Arial" w:hAnsi="Times New Roman" w:eastAsia="黑体" w:cs="Times New Roman"/>
      <w:kern w:val="0"/>
      <w:szCs w:val="20"/>
    </w:rPr>
  </w:style>
  <w:style w:type="paragraph" w:customStyle="1" w:styleId="297">
    <w:name w:val="产品正文 Char1 Char"/>
    <w:basedOn w:val="1"/>
    <w:qFormat/>
    <w:uiPriority w:val="0"/>
    <w:pPr>
      <w:numPr>
        <w:ilvl w:val="0"/>
        <w:numId w:val="9"/>
      </w:numPr>
      <w:spacing w:line="360" w:lineRule="auto"/>
      <w:ind w:left="0" w:firstLine="200" w:firstLineChars="200"/>
    </w:pPr>
    <w:rPr>
      <w:rFonts w:ascii="Times New Roman" w:hAnsi="Times New Roman" w:eastAsia="宋体" w:cs="Times New Roman"/>
      <w:bCs/>
      <w:sz w:val="18"/>
      <w:szCs w:val="18"/>
    </w:rPr>
  </w:style>
  <w:style w:type="paragraph" w:customStyle="1" w:styleId="298">
    <w:name w:val="样式 列表编号 + 段后: 0.5 行"/>
    <w:basedOn w:val="20"/>
    <w:qFormat/>
    <w:uiPriority w:val="99"/>
    <w:pPr>
      <w:tabs>
        <w:tab w:val="left" w:pos="720"/>
      </w:tabs>
      <w:ind w:left="720"/>
    </w:pPr>
  </w:style>
  <w:style w:type="paragraph" w:customStyle="1" w:styleId="299">
    <w:name w:val="纯文本2"/>
    <w:basedOn w:val="1"/>
    <w:next w:val="1"/>
    <w:qFormat/>
    <w:uiPriority w:val="0"/>
    <w:rPr>
      <w:rFonts w:ascii="宋体" w:hAnsi="Times New Roman" w:eastAsia="宋体" w:cs="Times New Roman"/>
      <w:color w:val="000000"/>
      <w:szCs w:val="20"/>
    </w:rPr>
  </w:style>
  <w:style w:type="paragraph" w:customStyle="1" w:styleId="300">
    <w:name w:val="TABLE3"/>
    <w:basedOn w:val="1"/>
    <w:next w:val="1"/>
    <w:qFormat/>
    <w:uiPriority w:val="0"/>
    <w:pPr>
      <w:jc w:val="center"/>
    </w:pPr>
    <w:rPr>
      <w:rFonts w:ascii="Times New Roman" w:hAnsi="Times New Roman" w:eastAsia="宋体" w:cs="Times New Roman"/>
      <w:sz w:val="24"/>
      <w:szCs w:val="24"/>
    </w:rPr>
  </w:style>
  <w:style w:type="paragraph" w:customStyle="1" w:styleId="301">
    <w:name w:val="普通(网站)1"/>
    <w:basedOn w:val="1"/>
    <w:next w:val="1"/>
    <w:qFormat/>
    <w:uiPriority w:val="0"/>
    <w:pPr>
      <w:widowControl/>
      <w:spacing w:before="100" w:after="100"/>
      <w:jc w:val="left"/>
    </w:pPr>
    <w:rPr>
      <w:rFonts w:ascii="宋体" w:hAnsi="Times New Roman" w:eastAsia="宋体" w:cs="Times New Roman"/>
      <w:color w:val="000000"/>
      <w:kern w:val="0"/>
      <w:sz w:val="22"/>
      <w:szCs w:val="20"/>
    </w:rPr>
  </w:style>
  <w:style w:type="paragraph" w:customStyle="1" w:styleId="302">
    <w:name w:val="Header or footer|2"/>
    <w:basedOn w:val="1"/>
    <w:qFormat/>
    <w:uiPriority w:val="0"/>
    <w:rPr>
      <w:rFonts w:ascii="Times New Roman" w:hAnsi="Times New Roman" w:eastAsia="宋体" w:cs="Times New Roman"/>
      <w:sz w:val="20"/>
      <w:szCs w:val="20"/>
      <w:lang w:val="zh-TW" w:eastAsia="zh-TW" w:bidi="zh-TW"/>
    </w:rPr>
  </w:style>
  <w:style w:type="paragraph" w:customStyle="1" w:styleId="303">
    <w:name w:val="样式 首行缩进:  2 字符"/>
    <w:basedOn w:val="1"/>
    <w:qFormat/>
    <w:uiPriority w:val="0"/>
    <w:pPr>
      <w:spacing w:after="120" w:line="360" w:lineRule="auto"/>
      <w:ind w:firstLine="480" w:firstLineChars="200"/>
    </w:pPr>
    <w:rPr>
      <w:rFonts w:ascii="Times New Roman" w:hAnsi="Times New Roman" w:eastAsia="宋体" w:cs="Times New Roman"/>
      <w:sz w:val="24"/>
      <w:szCs w:val="20"/>
    </w:rPr>
  </w:style>
  <w:style w:type="paragraph" w:customStyle="1" w:styleId="304">
    <w:name w:val="华宇段落1"/>
    <w:basedOn w:val="1"/>
    <w:qFormat/>
    <w:uiPriority w:val="0"/>
    <w:pPr>
      <w:spacing w:beforeLines="50" w:afterLines="50" w:line="360" w:lineRule="auto"/>
      <w:ind w:firstLine="480" w:firstLineChars="200"/>
    </w:pPr>
    <w:rPr>
      <w:rFonts w:ascii="Times New Roman" w:hAnsi="Times New Roman" w:eastAsia="仿宋_GB2312" w:cs="Times New Roman"/>
      <w:bCs/>
      <w:sz w:val="28"/>
      <w:szCs w:val="24"/>
    </w:rPr>
  </w:style>
  <w:style w:type="paragraph" w:customStyle="1" w:styleId="305">
    <w:name w:val="font15"/>
    <w:basedOn w:val="1"/>
    <w:qFormat/>
    <w:uiPriority w:val="0"/>
    <w:pPr>
      <w:widowControl/>
      <w:spacing w:before="100" w:beforeAutospacing="1" w:after="100" w:afterAutospacing="1"/>
      <w:jc w:val="left"/>
    </w:pPr>
    <w:rPr>
      <w:rFonts w:ascii="华文细黑" w:hAnsi="华文细黑" w:eastAsia="华文细黑" w:cs="宋体"/>
      <w:b/>
      <w:bCs/>
      <w:color w:val="000000"/>
      <w:kern w:val="0"/>
      <w:sz w:val="24"/>
      <w:szCs w:val="24"/>
    </w:rPr>
  </w:style>
  <w:style w:type="paragraph" w:customStyle="1" w:styleId="30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0"/>
      <w:szCs w:val="20"/>
    </w:rPr>
  </w:style>
  <w:style w:type="paragraph" w:customStyle="1" w:styleId="307">
    <w:name w:val="xl11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08">
    <w:name w:val="列出段落1"/>
    <w:basedOn w:val="1"/>
    <w:qFormat/>
    <w:uiPriority w:val="0"/>
    <w:pPr>
      <w:ind w:firstLine="420" w:firstLineChars="200"/>
    </w:pPr>
    <w:rPr>
      <w:rFonts w:ascii="Calibri" w:hAnsi="Calibri" w:eastAsia="宋体" w:cs="Times New Roman"/>
    </w:rPr>
  </w:style>
  <w:style w:type="paragraph" w:customStyle="1" w:styleId="309">
    <w:name w:val="列表编号 31"/>
    <w:basedOn w:val="1"/>
    <w:next w:val="1"/>
    <w:qFormat/>
    <w:uiPriority w:val="0"/>
    <w:pPr>
      <w:widowControl/>
      <w:tabs>
        <w:tab w:val="left" w:pos="482"/>
        <w:tab w:val="left" w:pos="840"/>
      </w:tabs>
      <w:spacing w:after="50"/>
      <w:ind w:left="482" w:hanging="340"/>
      <w:jc w:val="left"/>
    </w:pPr>
    <w:rPr>
      <w:rFonts w:ascii="Times New Roman" w:hAnsi="Times New Roman" w:eastAsia="宋体" w:cs="Times New Roman"/>
      <w:color w:val="000000"/>
      <w:kern w:val="0"/>
      <w:sz w:val="24"/>
      <w:szCs w:val="20"/>
    </w:rPr>
  </w:style>
  <w:style w:type="paragraph" w:customStyle="1" w:styleId="31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11">
    <w:name w:val="xl39"/>
    <w:basedOn w:val="1"/>
    <w:qFormat/>
    <w:uiPriority w:val="0"/>
    <w:pPr>
      <w:widowControl/>
      <w:spacing w:before="100" w:beforeAutospacing="1" w:after="100" w:afterAutospacing="1"/>
      <w:jc w:val="center"/>
    </w:pPr>
    <w:rPr>
      <w:rFonts w:hint="eastAsia" w:ascii="宋体" w:hAnsi="宋体" w:eastAsia="宋体" w:cs="Times New Roman"/>
      <w:kern w:val="0"/>
      <w:sz w:val="24"/>
      <w:szCs w:val="20"/>
    </w:rPr>
  </w:style>
  <w:style w:type="paragraph" w:customStyle="1" w:styleId="312">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313">
    <w:name w:val="样式 标题 2 + 段前: 1 行 段后: 1 行"/>
    <w:basedOn w:val="3"/>
    <w:qFormat/>
    <w:uiPriority w:val="0"/>
    <w:pPr>
      <w:tabs>
        <w:tab w:val="left" w:pos="840"/>
        <w:tab w:val="clear" w:pos="358"/>
      </w:tabs>
      <w:spacing w:beforeLines="100" w:afterLines="100"/>
      <w:ind w:left="840"/>
    </w:pPr>
    <w:rPr>
      <w:rFonts w:ascii="Arial" w:hAnsi="Arial" w:eastAsia="黑体"/>
      <w:spacing w:val="10"/>
      <w:sz w:val="30"/>
    </w:rPr>
  </w:style>
  <w:style w:type="paragraph" w:customStyle="1" w:styleId="314">
    <w:name w:val="Body text|5"/>
    <w:basedOn w:val="1"/>
    <w:qFormat/>
    <w:uiPriority w:val="0"/>
    <w:pPr>
      <w:spacing w:line="182" w:lineRule="auto"/>
      <w:jc w:val="center"/>
    </w:pPr>
    <w:rPr>
      <w:rFonts w:ascii="Times New Roman" w:hAnsi="Times New Roman" w:eastAsia="宋体" w:cs="Times New Roman"/>
      <w:sz w:val="42"/>
      <w:szCs w:val="42"/>
    </w:rPr>
  </w:style>
  <w:style w:type="paragraph" w:customStyle="1" w:styleId="315">
    <w:name w:val="font23"/>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16">
    <w:name w:val="正文3"/>
    <w:basedOn w:val="1"/>
    <w:qFormat/>
    <w:uiPriority w:val="0"/>
    <w:pPr>
      <w:spacing w:before="60" w:after="60" w:line="360" w:lineRule="auto"/>
      <w:outlineLvl w:val="8"/>
    </w:pPr>
    <w:rPr>
      <w:rFonts w:ascii="Times New Roman" w:hAnsi="Times New Roman" w:eastAsia="宋体" w:cs="Times New Roman"/>
      <w:sz w:val="24"/>
      <w:szCs w:val="20"/>
    </w:rPr>
  </w:style>
  <w:style w:type="paragraph" w:customStyle="1" w:styleId="317">
    <w:name w:val="Char Char1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18">
    <w:name w:val="xl91"/>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31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18"/>
    </w:rPr>
  </w:style>
  <w:style w:type="paragraph" w:customStyle="1" w:styleId="321">
    <w:name w:val="font5"/>
    <w:basedOn w:val="1"/>
    <w:qFormat/>
    <w:uiPriority w:val="0"/>
    <w:pPr>
      <w:widowControl/>
      <w:adjustRightInd w:val="0"/>
      <w:spacing w:before="100" w:after="100"/>
      <w:jc w:val="left"/>
      <w:textAlignment w:val="baseline"/>
    </w:pPr>
    <w:rPr>
      <w:rFonts w:ascii="宋体" w:hAnsi="宋体" w:eastAsia="宋体" w:cs="Times New Roman"/>
      <w:color w:val="000000"/>
      <w:kern w:val="0"/>
      <w:szCs w:val="20"/>
    </w:rPr>
  </w:style>
  <w:style w:type="paragraph" w:customStyle="1" w:styleId="32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szCs w:val="20"/>
    </w:rPr>
  </w:style>
  <w:style w:type="paragraph" w:customStyle="1" w:styleId="323">
    <w:name w:val="列表编号 21"/>
    <w:basedOn w:val="1"/>
    <w:next w:val="1"/>
    <w:qFormat/>
    <w:uiPriority w:val="0"/>
    <w:pPr>
      <w:widowControl/>
      <w:tabs>
        <w:tab w:val="left" w:pos="420"/>
        <w:tab w:val="left" w:pos="1697"/>
      </w:tabs>
      <w:spacing w:after="50"/>
      <w:ind w:left="1697" w:hanging="420"/>
      <w:jc w:val="left"/>
    </w:pPr>
    <w:rPr>
      <w:rFonts w:ascii="Times New Roman" w:hAnsi="Times New Roman" w:eastAsia="宋体" w:cs="Times New Roman"/>
      <w:color w:val="000000"/>
      <w:kern w:val="0"/>
      <w:sz w:val="24"/>
      <w:szCs w:val="20"/>
    </w:rPr>
  </w:style>
  <w:style w:type="paragraph" w:customStyle="1" w:styleId="324">
    <w:name w:val="xl76"/>
    <w:basedOn w:val="1"/>
    <w:qFormat/>
    <w:uiPriority w:val="0"/>
    <w:pPr>
      <w:widowControl/>
      <w:shd w:val="clear" w:color="auto" w:fill="99CCFF"/>
      <w:spacing w:before="100" w:beforeAutospacing="1" w:after="100" w:afterAutospacing="1"/>
      <w:jc w:val="left"/>
    </w:pPr>
    <w:rPr>
      <w:rFonts w:ascii="Arial" w:hAnsi="Arial" w:eastAsia="宋体" w:cs="Arial"/>
      <w:b/>
      <w:bCs/>
      <w:color w:val="000000"/>
      <w:kern w:val="0"/>
      <w:sz w:val="24"/>
      <w:szCs w:val="24"/>
    </w:rPr>
  </w:style>
  <w:style w:type="paragraph" w:customStyle="1" w:styleId="325">
    <w:name w:val="标题4——4"/>
    <w:basedOn w:val="7"/>
    <w:next w:val="1"/>
    <w:qFormat/>
    <w:uiPriority w:val="0"/>
    <w:pPr>
      <w:tabs>
        <w:tab w:val="clear" w:pos="1198"/>
      </w:tabs>
      <w:spacing w:beforeLines="50"/>
      <w:ind w:left="0" w:right="2" w:firstLine="0"/>
    </w:pPr>
    <w:rPr>
      <w:rFonts w:ascii="Arial" w:hAnsi="Arial" w:eastAsia="楷体_GB2312"/>
      <w:b w:val="0"/>
      <w:szCs w:val="30"/>
    </w:rPr>
  </w:style>
  <w:style w:type="paragraph" w:customStyle="1" w:styleId="326">
    <w:name w:val="文档正文"/>
    <w:basedOn w:val="1"/>
    <w:qFormat/>
    <w:uiPriority w:val="0"/>
    <w:pPr>
      <w:adjustRightInd w:val="0"/>
      <w:spacing w:line="480" w:lineRule="atLeast"/>
      <w:ind w:firstLine="567" w:firstLineChars="200"/>
    </w:pPr>
    <w:rPr>
      <w:rFonts w:hint="eastAsia" w:ascii="宋体" w:hAnsi="宋体" w:eastAsia="宋体" w:cs="Times New Roman"/>
      <w:kern w:val="0"/>
      <w:sz w:val="28"/>
      <w:szCs w:val="20"/>
    </w:rPr>
  </w:style>
  <w:style w:type="paragraph" w:customStyle="1" w:styleId="327">
    <w:name w:val="超链接1"/>
    <w:basedOn w:val="1"/>
    <w:next w:val="1"/>
    <w:qFormat/>
    <w:uiPriority w:val="0"/>
    <w:pPr>
      <w:widowControl/>
    </w:pPr>
    <w:rPr>
      <w:rFonts w:ascii="Times New Roman" w:hAnsi="Times New Roman" w:eastAsia="宋体" w:cs="Times New Roman"/>
      <w:color w:val="0000FF"/>
      <w:szCs w:val="20"/>
      <w:u w:val="single" w:color="000000"/>
    </w:rPr>
  </w:style>
  <w:style w:type="paragraph" w:customStyle="1" w:styleId="328">
    <w:name w:val="My标题1"/>
    <w:basedOn w:val="2"/>
    <w:next w:val="1"/>
    <w:qFormat/>
    <w:uiPriority w:val="0"/>
    <w:pPr>
      <w:keepNext/>
      <w:keepLines/>
      <w:pageBreakBefore w:val="0"/>
      <w:widowControl w:val="0"/>
      <w:tabs>
        <w:tab w:val="left" w:pos="425"/>
        <w:tab w:val="clear" w:pos="478"/>
      </w:tabs>
      <w:autoSpaceDE/>
      <w:autoSpaceDN/>
      <w:adjustRightInd w:val="0"/>
      <w:spacing w:before="120" w:after="360" w:line="360" w:lineRule="auto"/>
      <w:ind w:left="425" w:hanging="425"/>
      <w:jc w:val="left"/>
      <w:textAlignment w:val="baseline"/>
    </w:pPr>
    <w:rPr>
      <w:rFonts w:ascii="Arial" w:hAnsi="Arial"/>
      <w:b/>
      <w:color w:val="auto"/>
      <w:kern w:val="44"/>
      <w:sz w:val="32"/>
    </w:rPr>
  </w:style>
  <w:style w:type="paragraph" w:customStyle="1" w:styleId="329">
    <w:name w:val="character"/>
    <w:basedOn w:val="1"/>
    <w:qFormat/>
    <w:uiPriority w:val="0"/>
    <w:pPr>
      <w:ind w:firstLine="480" w:firstLineChars="200"/>
    </w:pPr>
    <w:rPr>
      <w:rFonts w:ascii="Arial" w:hAnsi="Arial" w:eastAsia="宋体" w:cs="Times New Roman"/>
      <w:sz w:val="24"/>
      <w:szCs w:val="21"/>
    </w:rPr>
  </w:style>
  <w:style w:type="paragraph" w:customStyle="1" w:styleId="330">
    <w:name w:val="样式 左 首行缩进:  0.74 厘米 段前: 5 磅 段后: 5 磅 行距: 1.5 倍行距"/>
    <w:basedOn w:val="1"/>
    <w:qFormat/>
    <w:uiPriority w:val="0"/>
    <w:pPr>
      <w:spacing w:before="100" w:after="100" w:line="360" w:lineRule="auto"/>
      <w:ind w:firstLine="420"/>
      <w:jc w:val="left"/>
    </w:pPr>
    <w:rPr>
      <w:rFonts w:ascii="Times New Roman" w:hAnsi="Times New Roman" w:eastAsia="宋体" w:cs="Times New Roman"/>
      <w:sz w:val="24"/>
      <w:szCs w:val="20"/>
    </w:rPr>
  </w:style>
  <w:style w:type="paragraph" w:customStyle="1" w:styleId="331">
    <w:name w:val="默认段落字体1 Char Char"/>
    <w:basedOn w:val="1"/>
    <w:qFormat/>
    <w:uiPriority w:val="0"/>
    <w:rPr>
      <w:rFonts w:ascii="仿宋_GB2312" w:hAnsi="Times New Roman" w:eastAsia="仿宋_GB2312" w:cs="Times New Roman"/>
      <w:b/>
      <w:sz w:val="32"/>
      <w:szCs w:val="32"/>
    </w:rPr>
  </w:style>
  <w:style w:type="paragraph" w:customStyle="1" w:styleId="332">
    <w:name w:val="表格1"/>
    <w:basedOn w:val="1"/>
    <w:qFormat/>
    <w:uiPriority w:val="0"/>
    <w:pPr>
      <w:widowControl/>
      <w:topLinePunct/>
      <w:spacing w:line="360" w:lineRule="auto"/>
    </w:pPr>
    <w:rPr>
      <w:rFonts w:ascii="楷体_GB2312" w:hAnsi="Times New Roman" w:eastAsia="楷体_GB2312" w:cs="Times New Roman"/>
      <w:kern w:val="0"/>
      <w:szCs w:val="21"/>
    </w:rPr>
  </w:style>
  <w:style w:type="paragraph" w:customStyle="1" w:styleId="3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4"/>
      <w:szCs w:val="24"/>
    </w:rPr>
  </w:style>
  <w:style w:type="paragraph" w:customStyle="1" w:styleId="334">
    <w:name w:val="样式 标题 1H1章节1l0Section HeadHeader1h1Level 1 HeadPIM 1He..."/>
    <w:basedOn w:val="2"/>
    <w:qFormat/>
    <w:uiPriority w:val="0"/>
    <w:pPr>
      <w:keepNext/>
      <w:keepLines/>
      <w:pageBreakBefore w:val="0"/>
      <w:widowControl w:val="0"/>
      <w:autoSpaceDE/>
      <w:autoSpaceDN/>
      <w:spacing w:before="340" w:after="330" w:line="576" w:lineRule="auto"/>
      <w:ind w:left="0" w:firstLine="0"/>
      <w:jc w:val="both"/>
    </w:pPr>
    <w:rPr>
      <w:rFonts w:ascii="Times New Roman"/>
      <w:b/>
      <w:color w:val="auto"/>
      <w:kern w:val="44"/>
      <w:sz w:val="44"/>
    </w:rPr>
  </w:style>
  <w:style w:type="paragraph" w:customStyle="1" w:styleId="335">
    <w:name w:val="xl46"/>
    <w:basedOn w:val="1"/>
    <w:qFormat/>
    <w:uiPriority w:val="0"/>
    <w:pPr>
      <w:widowControl/>
      <w:spacing w:before="100" w:beforeAutospacing="1" w:after="100" w:afterAutospacing="1"/>
      <w:jc w:val="center"/>
    </w:pPr>
    <w:rPr>
      <w:rFonts w:hint="eastAsia" w:ascii="黑体" w:hAnsi="宋体" w:eastAsia="黑体" w:cs="Times New Roman"/>
      <w:kern w:val="0"/>
      <w:sz w:val="36"/>
      <w:szCs w:val="36"/>
    </w:rPr>
  </w:style>
  <w:style w:type="paragraph" w:customStyle="1" w:styleId="336">
    <w:name w:val="desp"/>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 w:val="24"/>
      <w:szCs w:val="24"/>
    </w:rPr>
  </w:style>
  <w:style w:type="paragraph" w:customStyle="1" w:styleId="337">
    <w:name w:val="无列表1"/>
    <w:basedOn w:val="1"/>
    <w:next w:val="1"/>
    <w:qFormat/>
    <w:uiPriority w:val="0"/>
    <w:pPr>
      <w:widowControl/>
      <w:jc w:val="left"/>
    </w:pPr>
    <w:rPr>
      <w:rFonts w:ascii="Times New Roman" w:hAnsi="Times New Roman" w:eastAsia="宋体" w:cs="Times New Roman"/>
      <w:color w:val="000000"/>
      <w:kern w:val="0"/>
      <w:sz w:val="24"/>
      <w:szCs w:val="20"/>
    </w:rPr>
  </w:style>
  <w:style w:type="paragraph" w:customStyle="1" w:styleId="338">
    <w:name w:val="xl77"/>
    <w:basedOn w:val="1"/>
    <w:qFormat/>
    <w:uiPriority w:val="0"/>
    <w:pPr>
      <w:widowControl/>
      <w:shd w:val="clear" w:color="auto" w:fill="99CCFF"/>
      <w:spacing w:before="100" w:beforeAutospacing="1" w:after="100" w:afterAutospacing="1"/>
      <w:jc w:val="center"/>
    </w:pPr>
    <w:rPr>
      <w:rFonts w:ascii="Arial" w:hAnsi="Arial" w:eastAsia="宋体" w:cs="Arial"/>
      <w:color w:val="000000"/>
      <w:kern w:val="0"/>
      <w:sz w:val="24"/>
      <w:szCs w:val="24"/>
    </w:rPr>
  </w:style>
  <w:style w:type="paragraph" w:customStyle="1" w:styleId="339">
    <w:name w:val="样式 样式 正文首行缩进 2 + 首行缩进:  2 字符 + 首行缩进:  2 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40">
    <w:name w:val="样式 首行缩进:  0.74 厘米"/>
    <w:basedOn w:val="1"/>
    <w:qFormat/>
    <w:uiPriority w:val="0"/>
    <w:pPr>
      <w:spacing w:line="360" w:lineRule="auto"/>
      <w:ind w:firstLine="420"/>
    </w:pPr>
    <w:rPr>
      <w:rFonts w:ascii="Times New Roman" w:hAnsi="Times New Roman" w:eastAsia="宋体" w:cs="Times New Roman"/>
      <w:szCs w:val="20"/>
    </w:rPr>
  </w:style>
  <w:style w:type="paragraph" w:customStyle="1" w:styleId="34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342">
    <w:name w:val="font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
    <w:name w:val="表格2"/>
    <w:basedOn w:val="1"/>
    <w:qFormat/>
    <w:uiPriority w:val="0"/>
    <w:pPr>
      <w:keepLines/>
      <w:widowControl/>
      <w:topLinePunct/>
      <w:adjustRightInd w:val="0"/>
      <w:snapToGrid w:val="0"/>
      <w:spacing w:before="100" w:beforeAutospacing="1" w:after="100" w:afterAutospacing="1"/>
    </w:pPr>
    <w:rPr>
      <w:rFonts w:ascii="宋体" w:hAnsi="宋体" w:eastAsia="宋体" w:cs="Times New Roman"/>
      <w:kern w:val="0"/>
      <w:sz w:val="24"/>
      <w:szCs w:val="21"/>
    </w:rPr>
  </w:style>
  <w:style w:type="paragraph" w:customStyle="1" w:styleId="344">
    <w:name w:val="普通表格1"/>
    <w:basedOn w:val="1"/>
    <w:next w:val="1"/>
    <w:qFormat/>
    <w:uiPriority w:val="0"/>
    <w:pPr>
      <w:widowControl/>
      <w:jc w:val="left"/>
    </w:pPr>
    <w:rPr>
      <w:rFonts w:ascii="Times New Roman" w:hAnsi="Times New Roman" w:eastAsia="宋体" w:cs="Times New Roman"/>
      <w:color w:val="000000"/>
      <w:kern w:val="0"/>
      <w:sz w:val="24"/>
      <w:szCs w:val="20"/>
    </w:rPr>
  </w:style>
  <w:style w:type="paragraph" w:customStyle="1" w:styleId="34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346">
    <w:name w:val="Char3 Char Char Char"/>
    <w:basedOn w:val="1"/>
    <w:qFormat/>
    <w:uiPriority w:val="0"/>
    <w:pPr>
      <w:widowControl/>
      <w:spacing w:after="160" w:line="240" w:lineRule="exact"/>
      <w:ind w:firstLine="200" w:firstLineChars="200"/>
      <w:jc w:val="left"/>
    </w:pPr>
    <w:rPr>
      <w:rFonts w:ascii="Times New Roman" w:hAnsi="Times New Roman" w:eastAsia="宋体" w:cs="Times New Roman"/>
      <w:sz w:val="24"/>
      <w:szCs w:val="24"/>
    </w:rPr>
  </w:style>
  <w:style w:type="paragraph" w:customStyle="1" w:styleId="347">
    <w:name w:val="font10"/>
    <w:basedOn w:val="1"/>
    <w:qFormat/>
    <w:uiPriority w:val="0"/>
    <w:pPr>
      <w:widowControl/>
      <w:spacing w:before="100" w:beforeAutospacing="1" w:after="100" w:afterAutospacing="1"/>
      <w:jc w:val="left"/>
    </w:pPr>
    <w:rPr>
      <w:rFonts w:ascii="Arial" w:hAnsi="Arial" w:eastAsia="宋体" w:cs="Arial"/>
      <w:color w:val="000000"/>
      <w:kern w:val="0"/>
      <w:sz w:val="24"/>
      <w:szCs w:val="24"/>
    </w:rPr>
  </w:style>
  <w:style w:type="paragraph" w:customStyle="1" w:styleId="3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49">
    <w:name w:val="xl79"/>
    <w:basedOn w:val="1"/>
    <w:qFormat/>
    <w:uiPriority w:val="0"/>
    <w:pPr>
      <w:widowControl/>
      <w:shd w:val="clear" w:color="auto" w:fill="CCFFCC"/>
      <w:spacing w:before="100" w:beforeAutospacing="1" w:after="100" w:afterAutospacing="1"/>
      <w:jc w:val="left"/>
    </w:pPr>
    <w:rPr>
      <w:rFonts w:ascii="华文细黑" w:hAnsi="华文细黑" w:eastAsia="华文细黑" w:cs="宋体"/>
      <w:b/>
      <w:bCs/>
      <w:color w:val="000000"/>
      <w:kern w:val="0"/>
      <w:sz w:val="24"/>
      <w:szCs w:val="24"/>
    </w:rPr>
  </w:style>
  <w:style w:type="paragraph" w:customStyle="1" w:styleId="350">
    <w:name w:val="gb231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
    <w:name w:val="样式 行距: 1.5 倍行距 首行缩进:  2 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styleId="35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3">
    <w:name w:val="style1"/>
    <w:basedOn w:val="1"/>
    <w:qFormat/>
    <w:uiPriority w:val="0"/>
    <w:pPr>
      <w:widowControl/>
      <w:spacing w:before="100" w:beforeAutospacing="1" w:after="100" w:afterAutospacing="1" w:line="360" w:lineRule="auto"/>
      <w:ind w:firstLine="200" w:firstLineChars="200"/>
      <w:jc w:val="left"/>
    </w:pPr>
    <w:rPr>
      <w:rFonts w:ascii="宋体" w:hAnsi="宋体" w:eastAsia="宋体" w:cs="宋体"/>
      <w:color w:val="FFFFFF"/>
      <w:kern w:val="0"/>
      <w:sz w:val="28"/>
      <w:szCs w:val="24"/>
    </w:rPr>
  </w:style>
  <w:style w:type="paragraph" w:customStyle="1" w:styleId="3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355">
    <w:name w:val="xl44"/>
    <w:basedOn w:val="1"/>
    <w:qFormat/>
    <w:uiPriority w:val="0"/>
    <w:pPr>
      <w:widowControl/>
      <w:spacing w:before="100" w:beforeAutospacing="1" w:after="100" w:afterAutospacing="1"/>
      <w:jc w:val="center"/>
    </w:pPr>
    <w:rPr>
      <w:rFonts w:hint="eastAsia" w:ascii="华文新魏" w:hAnsi="宋体" w:eastAsia="华文新魏" w:cs="Times New Roman"/>
      <w:b/>
      <w:bCs/>
      <w:kern w:val="0"/>
      <w:sz w:val="32"/>
      <w:szCs w:val="32"/>
    </w:rPr>
  </w:style>
  <w:style w:type="paragraph" w:customStyle="1" w:styleId="356">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kern w:val="0"/>
      <w:sz w:val="20"/>
      <w:szCs w:val="20"/>
    </w:rPr>
  </w:style>
  <w:style w:type="paragraph" w:customStyle="1" w:styleId="357">
    <w:name w:val="正文＋小四＋缩进2字符"/>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358">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59">
    <w:name w:val="font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0">
    <w:name w:val="正文文本1"/>
    <w:basedOn w:val="1"/>
    <w:qFormat/>
    <w:uiPriority w:val="0"/>
    <w:pPr>
      <w:spacing w:after="120"/>
    </w:pPr>
    <w:rPr>
      <w:rFonts w:ascii="Times New Roman" w:hAnsi="Times New Roman" w:eastAsia="宋体" w:cs="Times New Roman"/>
      <w:szCs w:val="20"/>
    </w:rPr>
  </w:style>
  <w:style w:type="paragraph" w:customStyle="1" w:styleId="361">
    <w:name w:val="注"/>
    <w:basedOn w:val="1"/>
    <w:qFormat/>
    <w:uiPriority w:val="0"/>
    <w:pPr>
      <w:adjustRightInd w:val="0"/>
      <w:spacing w:line="360" w:lineRule="atLeast"/>
      <w:ind w:left="840" w:hanging="420"/>
      <w:textAlignment w:val="baseline"/>
    </w:pPr>
    <w:rPr>
      <w:rFonts w:ascii="Times New Roman" w:hAnsi="Times New Roman" w:eastAsia="宋体" w:cs="Times New Roman"/>
      <w:kern w:val="0"/>
      <w:szCs w:val="20"/>
    </w:rPr>
  </w:style>
  <w:style w:type="paragraph" w:customStyle="1" w:styleId="36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363">
    <w:name w:val="myp1111"/>
    <w:basedOn w:val="1"/>
    <w:next w:val="1"/>
    <w:qFormat/>
    <w:uiPriority w:val="0"/>
    <w:pPr>
      <w:widowControl/>
    </w:pPr>
    <w:rPr>
      <w:rFonts w:ascii="ˎ̥" w:hAnsi="ˎ̥" w:eastAsia="宋体" w:cs="Times New Roman"/>
      <w:color w:val="000000"/>
      <w:sz w:val="20"/>
      <w:szCs w:val="20"/>
    </w:rPr>
  </w:style>
  <w:style w:type="paragraph" w:customStyle="1" w:styleId="364">
    <w:name w:val="章节标题6"/>
    <w:basedOn w:val="1"/>
    <w:qFormat/>
    <w:uiPriority w:val="0"/>
    <w:pPr>
      <w:keepNext/>
      <w:keepLines/>
      <w:numPr>
        <w:ilvl w:val="5"/>
        <w:numId w:val="3"/>
      </w:numPr>
      <w:spacing w:before="156" w:after="156" w:line="320" w:lineRule="auto"/>
      <w:outlineLvl w:val="5"/>
    </w:pPr>
    <w:rPr>
      <w:rFonts w:ascii="Arial" w:hAnsi="Arial" w:eastAsia="黑体" w:cs="Times New Roman"/>
      <w:b/>
      <w:bCs/>
      <w:sz w:val="24"/>
      <w:szCs w:val="24"/>
    </w:rPr>
  </w:style>
  <w:style w:type="paragraph" w:customStyle="1" w:styleId="365">
    <w:name w:val="xl108"/>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366">
    <w:name w:val="文字缩进 2"/>
    <w:basedOn w:val="6"/>
    <w:qFormat/>
    <w:uiPriority w:val="0"/>
    <w:pPr>
      <w:adjustRightInd w:val="0"/>
      <w:spacing w:before="100" w:beforeAutospacing="1" w:after="100" w:afterAutospacing="1" w:line="400" w:lineRule="atLeast"/>
      <w:ind w:left="851"/>
      <w:textAlignment w:val="baseline"/>
    </w:pPr>
    <w:rPr>
      <w:rFonts w:ascii="Times New Roman" w:hAnsi="Times New Roman" w:eastAsia="宋体" w:cs="Times New Roman"/>
      <w:kern w:val="0"/>
      <w:sz w:val="24"/>
      <w:szCs w:val="20"/>
    </w:rPr>
  </w:style>
  <w:style w:type="paragraph" w:customStyle="1" w:styleId="367">
    <w:name w:val="xl101"/>
    <w:basedOn w:val="1"/>
    <w:qFormat/>
    <w:uiPriority w:val="0"/>
    <w:pPr>
      <w:widowControl/>
      <w:shd w:val="clear" w:color="auto" w:fill="CCFFCC"/>
      <w:spacing w:before="100" w:beforeAutospacing="1" w:after="100" w:afterAutospacing="1"/>
      <w:jc w:val="left"/>
    </w:pPr>
    <w:rPr>
      <w:rFonts w:ascii="Arial" w:hAnsi="Arial" w:eastAsia="宋体" w:cs="Arial"/>
      <w:color w:val="000000"/>
      <w:kern w:val="0"/>
      <w:sz w:val="24"/>
      <w:szCs w:val="24"/>
    </w:rPr>
  </w:style>
  <w:style w:type="paragraph" w:customStyle="1" w:styleId="36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369">
    <w:name w:val="font8"/>
    <w:basedOn w:val="1"/>
    <w:qFormat/>
    <w:uiPriority w:val="0"/>
    <w:pPr>
      <w:widowControl/>
      <w:adjustRightInd w:val="0"/>
      <w:spacing w:before="100" w:after="100"/>
      <w:jc w:val="left"/>
      <w:textAlignment w:val="baseline"/>
    </w:pPr>
    <w:rPr>
      <w:rFonts w:ascii="宋体" w:hAnsi="宋体" w:eastAsia="宋体" w:cs="Times New Roman"/>
      <w:b/>
      <w:color w:val="000000"/>
      <w:kern w:val="0"/>
      <w:sz w:val="20"/>
      <w:szCs w:val="20"/>
    </w:rPr>
  </w:style>
  <w:style w:type="paragraph" w:customStyle="1" w:styleId="370">
    <w:name w:val="xl10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
    <w:name w:val="排列"/>
    <w:basedOn w:val="1"/>
    <w:qFormat/>
    <w:uiPriority w:val="0"/>
    <w:pPr>
      <w:jc w:val="center"/>
    </w:pPr>
    <w:rPr>
      <w:rFonts w:ascii="楷体_GB2312" w:hAnsi="Courier New" w:eastAsia="楷体_GB2312" w:cs="Times New Roman"/>
      <w:szCs w:val="20"/>
    </w:rPr>
  </w:style>
  <w:style w:type="paragraph" w:customStyle="1" w:styleId="372">
    <w:name w:val="ss6"/>
    <w:basedOn w:val="1"/>
    <w:qFormat/>
    <w:uiPriority w:val="0"/>
    <w:pPr>
      <w:widowControl/>
      <w:spacing w:before="100" w:beforeAutospacing="1" w:after="100" w:afterAutospacing="1" w:line="330" w:lineRule="atLeast"/>
      <w:jc w:val="left"/>
    </w:pPr>
    <w:rPr>
      <w:rFonts w:hint="eastAsia" w:ascii="宋体" w:hAnsi="宋体" w:eastAsia="宋体" w:cs="Times New Roman"/>
      <w:color w:val="0072BB"/>
      <w:kern w:val="0"/>
      <w:sz w:val="18"/>
      <w:szCs w:val="18"/>
    </w:rPr>
  </w:style>
  <w:style w:type="paragraph" w:customStyle="1" w:styleId="37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7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75">
    <w:name w:val="正文文本 21"/>
    <w:basedOn w:val="1"/>
    <w:qFormat/>
    <w:uiPriority w:val="0"/>
    <w:pPr>
      <w:adjustRightInd w:val="0"/>
      <w:spacing w:after="60" w:line="360" w:lineRule="atLeast"/>
      <w:ind w:left="57" w:right="57"/>
      <w:jc w:val="center"/>
      <w:textAlignment w:val="baseline"/>
    </w:pPr>
    <w:rPr>
      <w:rFonts w:ascii="Arial" w:hAnsi="Arial" w:eastAsia="黑体" w:cs="Times New Roman"/>
      <w:kern w:val="0"/>
      <w:szCs w:val="20"/>
    </w:rPr>
  </w:style>
  <w:style w:type="paragraph" w:customStyle="1" w:styleId="376">
    <w:name w:val="表格项目符号 2"/>
    <w:basedOn w:val="1"/>
    <w:next w:val="1"/>
    <w:qFormat/>
    <w:uiPriority w:val="0"/>
    <w:pPr>
      <w:widowControl/>
      <w:tabs>
        <w:tab w:val="left" w:pos="624"/>
      </w:tabs>
      <w:snapToGrid w:val="0"/>
      <w:spacing w:line="300" w:lineRule="auto"/>
      <w:ind w:left="623" w:hanging="374"/>
    </w:pPr>
    <w:rPr>
      <w:rFonts w:ascii="Times New Roman" w:hAnsi="Times New Roman" w:eastAsia="宋体" w:cs="Times New Roman"/>
      <w:color w:val="000000"/>
      <w:szCs w:val="20"/>
    </w:rPr>
  </w:style>
  <w:style w:type="paragraph" w:customStyle="1" w:styleId="377">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Times New Roman" w:hAnsi="Times New Roman" w:eastAsia="宋体" w:cs="Times New Roman"/>
      <w:b/>
      <w:bCs/>
      <w:kern w:val="0"/>
      <w:sz w:val="20"/>
      <w:szCs w:val="20"/>
    </w:rPr>
  </w:style>
  <w:style w:type="paragraph" w:customStyle="1" w:styleId="378">
    <w:name w:val="xl74"/>
    <w:basedOn w:val="1"/>
    <w:qFormat/>
    <w:uiPriority w:val="0"/>
    <w:pPr>
      <w:widowControl/>
      <w:spacing w:before="100" w:beforeAutospacing="1" w:after="100" w:afterAutospacing="1"/>
      <w:jc w:val="center"/>
    </w:pPr>
    <w:rPr>
      <w:rFonts w:ascii="幼圆" w:hAnsi="宋体" w:eastAsia="幼圆" w:cs="宋体"/>
      <w:b/>
      <w:bCs/>
      <w:color w:val="000000"/>
      <w:kern w:val="0"/>
      <w:sz w:val="24"/>
      <w:szCs w:val="24"/>
    </w:rPr>
  </w:style>
  <w:style w:type="paragraph" w:customStyle="1" w:styleId="379">
    <w:name w:val="功能列表"/>
    <w:basedOn w:val="1"/>
    <w:qFormat/>
    <w:uiPriority w:val="0"/>
    <w:pPr>
      <w:tabs>
        <w:tab w:val="left" w:pos="720"/>
        <w:tab w:val="left" w:pos="900"/>
      </w:tabs>
      <w:spacing w:line="360" w:lineRule="auto"/>
      <w:ind w:left="900" w:hanging="420"/>
    </w:pPr>
    <w:rPr>
      <w:rFonts w:ascii="Times New Roman" w:hAnsi="Times New Roman" w:eastAsia="宋体" w:cs="Times New Roman"/>
      <w:sz w:val="24"/>
      <w:szCs w:val="20"/>
    </w:rPr>
  </w:style>
  <w:style w:type="paragraph" w:customStyle="1" w:styleId="380">
    <w:name w:val="xl100"/>
    <w:basedOn w:val="1"/>
    <w:qFormat/>
    <w:uiPriority w:val="0"/>
    <w:pPr>
      <w:widowControl/>
      <w:shd w:val="clear" w:color="auto" w:fill="99CCFF"/>
      <w:spacing w:before="100" w:beforeAutospacing="1" w:after="100" w:afterAutospacing="1"/>
      <w:jc w:val="left"/>
    </w:pPr>
    <w:rPr>
      <w:rFonts w:ascii="Arial" w:hAnsi="Arial" w:eastAsia="宋体" w:cs="Arial"/>
      <w:b/>
      <w:bCs/>
      <w:color w:val="000000"/>
      <w:kern w:val="0"/>
      <w:sz w:val="24"/>
      <w:szCs w:val="24"/>
    </w:rPr>
  </w:style>
  <w:style w:type="paragraph" w:customStyle="1" w:styleId="381">
    <w:name w:val="目录"/>
    <w:basedOn w:val="1"/>
    <w:qFormat/>
    <w:uiPriority w:val="0"/>
    <w:pPr>
      <w:widowControl/>
      <w:spacing w:line="480" w:lineRule="auto"/>
      <w:jc w:val="center"/>
    </w:pPr>
    <w:rPr>
      <w:rFonts w:ascii="宋体" w:hAnsi="Times New Roman" w:eastAsia="宋体" w:cs="Times New Roman"/>
      <w:b/>
      <w:kern w:val="0"/>
      <w:sz w:val="24"/>
      <w:szCs w:val="20"/>
    </w:rPr>
  </w:style>
  <w:style w:type="paragraph" w:customStyle="1" w:styleId="382">
    <w:name w:val="My编号1"/>
    <w:basedOn w:val="1"/>
    <w:qFormat/>
    <w:uiPriority w:val="0"/>
    <w:pPr>
      <w:adjustRightInd w:val="0"/>
      <w:spacing w:before="120" w:line="360" w:lineRule="auto"/>
      <w:textAlignment w:val="baseline"/>
    </w:pPr>
    <w:rPr>
      <w:rFonts w:ascii="Arial" w:hAnsi="Arial" w:eastAsia="宋体" w:cs="Times New Roman"/>
      <w:kern w:val="0"/>
      <w:sz w:val="24"/>
      <w:szCs w:val="20"/>
    </w:rPr>
  </w:style>
  <w:style w:type="paragraph" w:customStyle="1" w:styleId="383">
    <w:name w:val="xl82"/>
    <w:basedOn w:val="1"/>
    <w:qFormat/>
    <w:uiPriority w:val="0"/>
    <w:pPr>
      <w:widowControl/>
      <w:shd w:val="clear" w:color="auto" w:fill="CCFFCC"/>
      <w:spacing w:before="100" w:beforeAutospacing="1" w:after="100" w:afterAutospacing="1"/>
      <w:jc w:val="center"/>
    </w:pPr>
    <w:rPr>
      <w:rFonts w:ascii="Arial" w:hAnsi="Arial" w:eastAsia="宋体" w:cs="Arial"/>
      <w:color w:val="000000"/>
      <w:kern w:val="0"/>
      <w:sz w:val="24"/>
      <w:szCs w:val="24"/>
    </w:rPr>
  </w:style>
  <w:style w:type="paragraph" w:customStyle="1" w:styleId="384">
    <w:name w:val="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85">
    <w:name w:val="正文编号4"/>
    <w:basedOn w:val="1"/>
    <w:qFormat/>
    <w:uiPriority w:val="0"/>
    <w:pPr>
      <w:spacing w:before="60" w:after="60" w:line="500" w:lineRule="exact"/>
      <w:ind w:left="1404" w:hanging="432"/>
    </w:pPr>
    <w:rPr>
      <w:rFonts w:ascii="Times New Roman" w:hAnsi="Times New Roman" w:eastAsia="宋体" w:cs="Times New Roman"/>
      <w:sz w:val="28"/>
      <w:szCs w:val="20"/>
    </w:rPr>
  </w:style>
  <w:style w:type="paragraph" w:customStyle="1" w:styleId="386">
    <w:name w:val="Char3"/>
    <w:basedOn w:val="26"/>
    <w:qFormat/>
    <w:uiPriority w:val="0"/>
    <w:rPr>
      <w:rFonts w:ascii="Tahoma" w:hAnsi="Tahoma"/>
    </w:rPr>
  </w:style>
  <w:style w:type="paragraph" w:customStyle="1" w:styleId="387">
    <w:name w:val="xl109"/>
    <w:basedOn w:val="1"/>
    <w:qFormat/>
    <w:uiPriority w:val="0"/>
    <w:pPr>
      <w:widowControl/>
      <w:spacing w:before="100" w:beforeAutospacing="1" w:after="100" w:afterAutospacing="1"/>
      <w:jc w:val="center"/>
    </w:pPr>
    <w:rPr>
      <w:rFonts w:ascii="幼圆" w:hAnsi="宋体" w:eastAsia="幼圆" w:cs="宋体"/>
      <w:color w:val="000000"/>
      <w:kern w:val="0"/>
      <w:sz w:val="24"/>
      <w:szCs w:val="24"/>
    </w:rPr>
  </w:style>
  <w:style w:type="paragraph" w:customStyle="1" w:styleId="388">
    <w:name w:val="正文11"/>
    <w:basedOn w:val="1"/>
    <w:qFormat/>
    <w:uiPriority w:val="0"/>
    <w:pPr>
      <w:adjustRightInd w:val="0"/>
      <w:spacing w:before="80" w:after="80" w:line="312" w:lineRule="atLeast"/>
      <w:ind w:firstLine="425"/>
    </w:pPr>
    <w:rPr>
      <w:rFonts w:ascii="Times New Roman" w:hAnsi="Times New Roman" w:eastAsia="宋体" w:cs="Times New Roman"/>
      <w:kern w:val="0"/>
      <w:szCs w:val="20"/>
    </w:rPr>
  </w:style>
  <w:style w:type="paragraph" w:customStyle="1" w:styleId="389">
    <w:name w:val="已访问的超链接1"/>
    <w:basedOn w:val="1"/>
    <w:next w:val="1"/>
    <w:qFormat/>
    <w:uiPriority w:val="0"/>
    <w:pPr>
      <w:widowControl/>
    </w:pPr>
    <w:rPr>
      <w:rFonts w:ascii="Times New Roman" w:hAnsi="Times New Roman" w:eastAsia="宋体" w:cs="Times New Roman"/>
      <w:color w:val="800080"/>
      <w:szCs w:val="20"/>
      <w:u w:val="single" w:color="000000"/>
    </w:rPr>
  </w:style>
  <w:style w:type="paragraph" w:customStyle="1" w:styleId="390">
    <w:name w:val="正文文本 22"/>
    <w:basedOn w:val="1"/>
    <w:qFormat/>
    <w:uiPriority w:val="0"/>
    <w:pPr>
      <w:adjustRightInd w:val="0"/>
      <w:spacing w:line="300" w:lineRule="auto"/>
      <w:jc w:val="center"/>
    </w:pPr>
    <w:rPr>
      <w:rFonts w:hint="eastAsia" w:ascii="宋体" w:hAnsi="宋体" w:eastAsia="宋体" w:cs="Times New Roman"/>
      <w:sz w:val="24"/>
      <w:szCs w:val="20"/>
    </w:rPr>
  </w:style>
  <w:style w:type="paragraph" w:customStyle="1" w:styleId="391">
    <w:name w:val="框内说明"/>
    <w:basedOn w:val="1"/>
    <w:qFormat/>
    <w:uiPriority w:val="0"/>
    <w:pPr>
      <w:adjustRightInd w:val="0"/>
      <w:snapToGrid w:val="0"/>
    </w:pPr>
    <w:rPr>
      <w:rFonts w:ascii="Times New Roman" w:hAnsi="Times New Roman" w:eastAsia="宋体" w:cs="Times New Roman"/>
      <w:kern w:val="0"/>
      <w:szCs w:val="20"/>
    </w:rPr>
  </w:style>
  <w:style w:type="paragraph" w:customStyle="1" w:styleId="392">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393">
    <w:name w:val="xl107"/>
    <w:basedOn w:val="1"/>
    <w:qFormat/>
    <w:uiPriority w:val="0"/>
    <w:pPr>
      <w:widowControl/>
      <w:spacing w:before="100" w:beforeAutospacing="1" w:after="100" w:afterAutospacing="1"/>
      <w:jc w:val="left"/>
    </w:pPr>
    <w:rPr>
      <w:rFonts w:ascii="幼圆" w:hAnsi="宋体" w:eastAsia="幼圆" w:cs="宋体"/>
      <w:color w:val="000000"/>
      <w:kern w:val="0"/>
      <w:sz w:val="24"/>
      <w:szCs w:val="24"/>
    </w:rPr>
  </w:style>
  <w:style w:type="paragraph" w:customStyle="1" w:styleId="3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9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97">
    <w:name w:val="Table caption|1"/>
    <w:basedOn w:val="1"/>
    <w:qFormat/>
    <w:uiPriority w:val="0"/>
    <w:rPr>
      <w:rFonts w:ascii="宋体" w:hAnsi="宋体" w:eastAsia="宋体" w:cs="宋体"/>
      <w:sz w:val="32"/>
      <w:szCs w:val="32"/>
      <w:lang w:val="zh-TW" w:eastAsia="zh-TW" w:bidi="zh-TW"/>
    </w:rPr>
  </w:style>
  <w:style w:type="paragraph" w:customStyle="1" w:styleId="398">
    <w:name w:val="PP 行"/>
    <w:basedOn w:val="54"/>
    <w:qFormat/>
    <w:uiPriority w:val="0"/>
  </w:style>
  <w:style w:type="paragraph" w:customStyle="1" w:styleId="399">
    <w:name w:val="Char Char Char Char"/>
    <w:basedOn w:val="1"/>
    <w:qFormat/>
    <w:uiPriority w:val="0"/>
    <w:rPr>
      <w:rFonts w:ascii="仿宋_GB2312" w:hAnsi="Times New Roman" w:eastAsia="仿宋_GB2312" w:cs="Times New Roman"/>
      <w:b/>
      <w:sz w:val="32"/>
      <w:szCs w:val="20"/>
    </w:rPr>
  </w:style>
  <w:style w:type="paragraph" w:customStyle="1" w:styleId="400">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401">
    <w:name w:val="默认段落字体 Para Char Char Char Char Char Char Char"/>
    <w:basedOn w:val="1"/>
    <w:qFormat/>
    <w:uiPriority w:val="0"/>
    <w:rPr>
      <w:rFonts w:ascii="Tahoma" w:hAnsi="Tahoma" w:eastAsia="宋体" w:cs="Times New Roman"/>
      <w:b/>
      <w:sz w:val="24"/>
      <w:szCs w:val="20"/>
    </w:rPr>
  </w:style>
  <w:style w:type="paragraph" w:customStyle="1" w:styleId="402">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403">
    <w:name w:val="Char1"/>
    <w:basedOn w:val="1"/>
    <w:qFormat/>
    <w:uiPriority w:val="0"/>
    <w:rPr>
      <w:rFonts w:ascii="仿宋_GB2312" w:hAnsi="Times New Roman" w:eastAsia="仿宋_GB2312" w:cs="Times New Roman"/>
      <w:b/>
      <w:sz w:val="32"/>
      <w:szCs w:val="32"/>
    </w:rPr>
  </w:style>
  <w:style w:type="paragraph" w:customStyle="1" w:styleId="404">
    <w:name w:val="样式编号"/>
    <w:basedOn w:val="6"/>
    <w:qFormat/>
    <w:uiPriority w:val="0"/>
    <w:pPr>
      <w:widowControl/>
      <w:spacing w:afterLines="50" w:line="300" w:lineRule="auto"/>
    </w:pPr>
    <w:rPr>
      <w:rFonts w:ascii="Times New Roman" w:hAnsi="Times New Roman" w:eastAsia="仿宋_GB2312" w:cs="Times New Roman"/>
      <w:spacing w:val="-10"/>
      <w:kern w:val="0"/>
      <w:sz w:val="24"/>
      <w:szCs w:val="24"/>
    </w:rPr>
  </w:style>
  <w:style w:type="paragraph" w:customStyle="1" w:styleId="405">
    <w:name w:val="xl98"/>
    <w:basedOn w:val="1"/>
    <w:qFormat/>
    <w:uiPriority w:val="0"/>
    <w:pPr>
      <w:widowControl/>
      <w:spacing w:before="100" w:beforeAutospacing="1" w:after="100" w:afterAutospacing="1"/>
      <w:jc w:val="center"/>
    </w:pPr>
    <w:rPr>
      <w:rFonts w:ascii="幼圆" w:hAnsi="宋体" w:eastAsia="幼圆" w:cs="宋体"/>
      <w:kern w:val="0"/>
      <w:sz w:val="24"/>
      <w:szCs w:val="24"/>
    </w:rPr>
  </w:style>
  <w:style w:type="paragraph" w:customStyle="1" w:styleId="406">
    <w:name w:val="表格"/>
    <w:basedOn w:val="1"/>
    <w:qFormat/>
    <w:uiPriority w:val="0"/>
    <w:pPr>
      <w:jc w:val="left"/>
    </w:pPr>
    <w:rPr>
      <w:rFonts w:ascii="Times New Roman" w:hAnsi="Times New Roman" w:eastAsia="宋体" w:cs="Times New Roman"/>
      <w:sz w:val="18"/>
      <w:szCs w:val="20"/>
    </w:rPr>
  </w:style>
  <w:style w:type="paragraph" w:customStyle="1" w:styleId="407">
    <w:name w:val="图号"/>
    <w:basedOn w:val="1"/>
    <w:qFormat/>
    <w:uiPriority w:val="0"/>
    <w:pPr>
      <w:widowControl/>
      <w:overflowPunct w:val="0"/>
      <w:autoSpaceDE w:val="0"/>
      <w:autoSpaceDN w:val="0"/>
      <w:adjustRightInd w:val="0"/>
      <w:snapToGrid w:val="0"/>
      <w:jc w:val="right"/>
    </w:pPr>
    <w:rPr>
      <w:rFonts w:hint="eastAsia" w:ascii="宋体" w:hAnsi="Times New Roman" w:eastAsia="宋体" w:cs="Times New Roman"/>
      <w:kern w:val="0"/>
      <w:szCs w:val="20"/>
    </w:rPr>
  </w:style>
  <w:style w:type="paragraph" w:customStyle="1" w:styleId="408">
    <w:name w:val="样式 标题 2"/>
    <w:basedOn w:val="3"/>
    <w:next w:val="1"/>
    <w:qFormat/>
    <w:uiPriority w:val="0"/>
    <w:pPr>
      <w:keepLines w:val="0"/>
      <w:tabs>
        <w:tab w:val="clear" w:pos="358"/>
      </w:tabs>
      <w:spacing w:before="0" w:afterLines="50" w:line="480" w:lineRule="auto"/>
      <w:ind w:left="0" w:firstLine="0"/>
    </w:pPr>
    <w:rPr>
      <w:rFonts w:ascii="仿宋_GB2312" w:hAnsi="仿宋_GB2312" w:eastAsia="仿宋_GB2312" w:cs="Arial"/>
      <w:szCs w:val="24"/>
    </w:rPr>
  </w:style>
  <w:style w:type="paragraph" w:customStyle="1" w:styleId="409">
    <w:name w:val="My标题4"/>
    <w:basedOn w:val="4"/>
    <w:next w:val="1"/>
    <w:qFormat/>
    <w:uiPriority w:val="0"/>
    <w:pPr>
      <w:tabs>
        <w:tab w:val="left" w:pos="425"/>
        <w:tab w:val="clear" w:pos="778"/>
      </w:tabs>
      <w:spacing w:beforeLines="0" w:afterLines="0" w:line="413" w:lineRule="auto"/>
      <w:ind w:left="425" w:hanging="425" w:firstLineChars="0"/>
    </w:pPr>
    <w:rPr>
      <w:rFonts w:ascii="Times New Roman" w:hAnsi="Times New Roman"/>
      <w:b w:val="0"/>
      <w:sz w:val="24"/>
    </w:rPr>
  </w:style>
  <w:style w:type="paragraph" w:customStyle="1" w:styleId="410">
    <w:name w:val="IBM 正文"/>
    <w:basedOn w:val="1"/>
    <w:qFormat/>
    <w:uiPriority w:val="0"/>
    <w:pPr>
      <w:spacing w:line="400" w:lineRule="exact"/>
    </w:pPr>
    <w:rPr>
      <w:rFonts w:ascii="Times New Roman" w:hAnsi="Times New Roman" w:eastAsia="宋体" w:cs="Times New Roman"/>
      <w:spacing w:val="20"/>
      <w:sz w:val="24"/>
      <w:szCs w:val="20"/>
    </w:rPr>
  </w:style>
  <w:style w:type="paragraph" w:customStyle="1" w:styleId="411">
    <w:name w:val="方点"/>
    <w:basedOn w:val="1"/>
    <w:qFormat/>
    <w:uiPriority w:val="0"/>
    <w:pPr>
      <w:spacing w:beforeLines="50"/>
    </w:pPr>
    <w:rPr>
      <w:rFonts w:ascii="Times New Roman" w:hAnsi="Times New Roman" w:eastAsia="宋体" w:cs="Times New Roman"/>
      <w:b/>
      <w:bCs/>
      <w:sz w:val="24"/>
      <w:szCs w:val="20"/>
    </w:rPr>
  </w:style>
  <w:style w:type="paragraph" w:customStyle="1" w:styleId="412">
    <w:name w:val="标题3定义"/>
    <w:basedOn w:val="1"/>
    <w:qFormat/>
    <w:uiPriority w:val="0"/>
    <w:pPr>
      <w:tabs>
        <w:tab w:val="left" w:pos="360"/>
      </w:tabs>
      <w:ind w:left="360" w:hanging="360"/>
    </w:pPr>
    <w:rPr>
      <w:rFonts w:ascii="Calibri" w:hAnsi="Calibri" w:eastAsia="宋体" w:cs="Times New Roman"/>
    </w:rPr>
  </w:style>
  <w:style w:type="paragraph" w:customStyle="1" w:styleId="413">
    <w:name w:val="xl99"/>
    <w:basedOn w:val="1"/>
    <w:qFormat/>
    <w:uiPriority w:val="0"/>
    <w:pPr>
      <w:widowControl/>
      <w:spacing w:before="100" w:beforeAutospacing="1" w:after="100" w:afterAutospacing="1"/>
      <w:jc w:val="left"/>
    </w:pPr>
    <w:rPr>
      <w:rFonts w:ascii="Arial" w:hAnsi="Arial" w:eastAsia="宋体" w:cs="Arial"/>
      <w:color w:val="000000"/>
      <w:kern w:val="0"/>
      <w:sz w:val="24"/>
      <w:szCs w:val="24"/>
    </w:rPr>
  </w:style>
  <w:style w:type="paragraph" w:customStyle="1" w:styleId="414">
    <w:name w:val="样式 仿宋_GB2312 行距: 1.5 倍行距"/>
    <w:basedOn w:val="1"/>
    <w:qFormat/>
    <w:uiPriority w:val="0"/>
    <w:pPr>
      <w:spacing w:line="360" w:lineRule="auto"/>
      <w:ind w:firstLine="480" w:firstLineChars="200"/>
    </w:pPr>
    <w:rPr>
      <w:rFonts w:ascii="宋体" w:hAnsi="宋体" w:eastAsia="宋体" w:cs="Times New Roman"/>
      <w:sz w:val="24"/>
      <w:szCs w:val="20"/>
    </w:rPr>
  </w:style>
  <w:style w:type="paragraph" w:customStyle="1" w:styleId="415">
    <w:name w:val="font7"/>
    <w:basedOn w:val="1"/>
    <w:qFormat/>
    <w:uiPriority w:val="0"/>
    <w:pPr>
      <w:widowControl/>
      <w:adjustRightInd w:val="0"/>
      <w:spacing w:before="100" w:after="100"/>
      <w:jc w:val="left"/>
      <w:textAlignment w:val="baseline"/>
    </w:pPr>
    <w:rPr>
      <w:rFonts w:ascii="宋体" w:hAnsi="宋体" w:eastAsia="宋体" w:cs="Times New Roman"/>
      <w:b/>
      <w:color w:val="000000"/>
      <w:kern w:val="0"/>
      <w:sz w:val="20"/>
      <w:szCs w:val="20"/>
    </w:rPr>
  </w:style>
  <w:style w:type="paragraph" w:customStyle="1" w:styleId="416">
    <w:name w:val="My标题2"/>
    <w:basedOn w:val="3"/>
    <w:next w:val="1"/>
    <w:qFormat/>
    <w:uiPriority w:val="0"/>
    <w:pPr>
      <w:tabs>
        <w:tab w:val="left" w:pos="720"/>
        <w:tab w:val="clear" w:pos="358"/>
      </w:tabs>
      <w:adjustRightInd w:val="0"/>
      <w:spacing w:before="360" w:after="120"/>
      <w:ind w:left="567" w:hanging="567"/>
      <w:jc w:val="left"/>
      <w:textAlignment w:val="baseline"/>
    </w:pPr>
    <w:rPr>
      <w:rFonts w:ascii="Arial" w:hAnsi="Arial"/>
      <w:kern w:val="0"/>
      <w:sz w:val="24"/>
    </w:rPr>
  </w:style>
  <w:style w:type="paragraph" w:customStyle="1" w:styleId="417">
    <w:name w:val="xl10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18">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eastAsia="宋体" w:cs="Times New Roman"/>
      <w:b/>
      <w:kern w:val="0"/>
      <w:sz w:val="28"/>
      <w:szCs w:val="21"/>
    </w:rPr>
  </w:style>
  <w:style w:type="paragraph" w:customStyle="1" w:styleId="419">
    <w:name w:val="正文1"/>
    <w:basedOn w:val="1"/>
    <w:qFormat/>
    <w:uiPriority w:val="0"/>
    <w:pPr>
      <w:spacing w:before="60" w:after="60" w:line="360" w:lineRule="auto"/>
      <w:ind w:left="1080"/>
      <w:outlineLvl w:val="6"/>
    </w:pPr>
    <w:rPr>
      <w:rFonts w:ascii="Times New Roman" w:hAnsi="Times New Roman" w:eastAsia="宋体" w:cs="Times New Roman"/>
      <w:sz w:val="24"/>
      <w:szCs w:val="20"/>
    </w:rPr>
  </w:style>
  <w:style w:type="paragraph" w:customStyle="1" w:styleId="420">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cs="Times New Roman"/>
      <w:kern w:val="0"/>
      <w:sz w:val="36"/>
      <w:szCs w:val="21"/>
    </w:rPr>
  </w:style>
  <w:style w:type="paragraph" w:customStyle="1" w:styleId="421">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cs="Times New Roman"/>
      <w:b/>
      <w:bCs/>
      <w:kern w:val="0"/>
      <w:sz w:val="20"/>
      <w:szCs w:val="20"/>
    </w:rPr>
  </w:style>
  <w:style w:type="paragraph" w:customStyle="1" w:styleId="422">
    <w:name w:val="xl84"/>
    <w:basedOn w:val="1"/>
    <w:qFormat/>
    <w:uiPriority w:val="0"/>
    <w:pPr>
      <w:widowControl/>
      <w:shd w:val="clear" w:color="auto" w:fill="C0C0C0"/>
      <w:spacing w:before="100" w:beforeAutospacing="1" w:after="100" w:afterAutospacing="1"/>
      <w:jc w:val="left"/>
    </w:pPr>
    <w:rPr>
      <w:rFonts w:ascii="华文细黑" w:hAnsi="华文细黑" w:eastAsia="华文细黑" w:cs="宋体"/>
      <w:b/>
      <w:bCs/>
      <w:color w:val="000000"/>
      <w:kern w:val="0"/>
      <w:sz w:val="24"/>
      <w:szCs w:val="24"/>
    </w:rPr>
  </w:style>
  <w:style w:type="paragraph" w:customStyle="1" w:styleId="423">
    <w:name w:val="文字缩进"/>
    <w:basedOn w:val="6"/>
    <w:qFormat/>
    <w:uiPriority w:val="0"/>
    <w:pPr>
      <w:adjustRightInd w:val="0"/>
      <w:spacing w:before="100" w:beforeAutospacing="1" w:after="100" w:afterAutospacing="1" w:line="400" w:lineRule="atLeast"/>
      <w:ind w:left="425"/>
      <w:textAlignment w:val="baseline"/>
    </w:pPr>
    <w:rPr>
      <w:rFonts w:ascii="Times New Roman" w:hAnsi="Times New Roman" w:eastAsia="宋体" w:cs="Times New Roman"/>
      <w:kern w:val="0"/>
      <w:sz w:val="24"/>
      <w:szCs w:val="20"/>
    </w:rPr>
  </w:style>
  <w:style w:type="paragraph" w:customStyle="1" w:styleId="424">
    <w:name w:val="样式 仿宋_GB2312 四号 黑色 行距: 1.5 倍行距"/>
    <w:basedOn w:val="1"/>
    <w:qFormat/>
    <w:uiPriority w:val="0"/>
    <w:pPr>
      <w:suppressAutoHyphens/>
      <w:spacing w:before="156" w:line="360" w:lineRule="auto"/>
      <w:ind w:firstLine="560" w:firstLineChars="200"/>
      <w:jc w:val="left"/>
    </w:pPr>
    <w:rPr>
      <w:rFonts w:ascii="仿宋_GB2312" w:hAnsi="Times New Roman" w:eastAsia="仿宋_GB2312" w:cs="Times New Roman"/>
      <w:color w:val="000000"/>
      <w:kern w:val="1"/>
      <w:sz w:val="28"/>
      <w:szCs w:val="20"/>
      <w:lang w:eastAsia="ar-SA"/>
    </w:rPr>
  </w:style>
  <w:style w:type="paragraph" w:customStyle="1" w:styleId="4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426">
    <w:name w:val="Char Char Char Char Char Char Char Char Char Char Char Char Char Char Char Char"/>
    <w:basedOn w:val="1"/>
    <w:qFormat/>
    <w:uiPriority w:val="0"/>
    <w:rPr>
      <w:rFonts w:ascii="Tahoma" w:hAnsi="Tahoma" w:eastAsia="宋体" w:cs="Times New Roman"/>
      <w:sz w:val="24"/>
      <w:szCs w:val="20"/>
    </w:rPr>
  </w:style>
  <w:style w:type="paragraph" w:customStyle="1" w:styleId="427">
    <w:name w:val="正文文字4"/>
    <w:basedOn w:val="1"/>
    <w:qFormat/>
    <w:uiPriority w:val="0"/>
    <w:pPr>
      <w:spacing w:before="60" w:after="60" w:line="500" w:lineRule="exact"/>
      <w:ind w:left="1436" w:firstLine="592"/>
    </w:pPr>
    <w:rPr>
      <w:rFonts w:ascii="Times New Roman" w:hAnsi="Times New Roman" w:eastAsia="宋体" w:cs="Times New Roman"/>
      <w:sz w:val="28"/>
      <w:szCs w:val="20"/>
    </w:rPr>
  </w:style>
  <w:style w:type="paragraph" w:customStyle="1" w:styleId="428">
    <w:name w:val="font20"/>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429">
    <w:name w:val="文本正文"/>
    <w:basedOn w:val="1"/>
    <w:qFormat/>
    <w:uiPriority w:val="0"/>
    <w:pPr>
      <w:spacing w:before="156" w:after="156" w:line="360" w:lineRule="auto"/>
      <w:ind w:firstLine="480"/>
    </w:pPr>
    <w:rPr>
      <w:rFonts w:ascii="Times New Roman" w:hAnsi="Times New Roman" w:eastAsia="宋体" w:cs="Times New Roman"/>
      <w:color w:val="000000"/>
      <w:szCs w:val="20"/>
    </w:rPr>
  </w:style>
  <w:style w:type="paragraph" w:customStyle="1" w:styleId="43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431">
    <w:name w:val="indent"/>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 w:val="24"/>
      <w:szCs w:val="24"/>
    </w:rPr>
  </w:style>
  <w:style w:type="paragraph" w:customStyle="1" w:styleId="432">
    <w:name w:val="p0"/>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customStyle="1" w:styleId="433">
    <w:name w:val="TOC 标题1"/>
    <w:basedOn w:val="2"/>
    <w:next w:val="1"/>
    <w:qFormat/>
    <w:uiPriority w:val="39"/>
    <w:pPr>
      <w:keepNext/>
      <w:keepLines/>
      <w:pageBreakBefore w:val="0"/>
      <w:tabs>
        <w:tab w:val="clear" w:pos="478"/>
      </w:tabs>
      <w:autoSpaceDE/>
      <w:autoSpaceDN/>
      <w:spacing w:before="480" w:after="0" w:line="276" w:lineRule="auto"/>
      <w:ind w:left="0" w:firstLine="0"/>
      <w:jc w:val="left"/>
      <w:outlineLvl w:val="9"/>
    </w:pPr>
    <w:rPr>
      <w:rFonts w:ascii="Cambria" w:hAnsi="Cambria"/>
      <w:b/>
      <w:bCs/>
      <w:color w:val="365F91"/>
      <w:sz w:val="28"/>
      <w:szCs w:val="28"/>
    </w:rPr>
  </w:style>
  <w:style w:type="paragraph" w:customStyle="1" w:styleId="434">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Times New Roman" w:hAnsi="Times New Roman" w:eastAsia="宋体" w:cs="Times New Roman"/>
      <w:kern w:val="0"/>
      <w:sz w:val="24"/>
      <w:szCs w:val="20"/>
    </w:rPr>
  </w:style>
  <w:style w:type="paragraph" w:customStyle="1" w:styleId="435">
    <w:name w:val="样式 标题 1H1 + 三号"/>
    <w:basedOn w:val="2"/>
    <w:qFormat/>
    <w:uiPriority w:val="0"/>
    <w:pPr>
      <w:keepNext/>
      <w:keepLines/>
      <w:widowControl w:val="0"/>
      <w:tabs>
        <w:tab w:val="left" w:pos="425"/>
        <w:tab w:val="clear" w:pos="478"/>
      </w:tabs>
      <w:autoSpaceDE/>
      <w:autoSpaceDN/>
      <w:spacing w:before="340" w:after="330" w:line="576" w:lineRule="auto"/>
      <w:ind w:left="425" w:hanging="425"/>
      <w:jc w:val="both"/>
    </w:pPr>
    <w:rPr>
      <w:rFonts w:ascii="Times New Roman"/>
      <w:b/>
      <w:color w:val="auto"/>
      <w:kern w:val="44"/>
      <w:sz w:val="32"/>
    </w:rPr>
  </w:style>
  <w:style w:type="paragraph" w:customStyle="1" w:styleId="436">
    <w:name w:val="页码1"/>
    <w:basedOn w:val="1"/>
    <w:next w:val="1"/>
    <w:qFormat/>
    <w:uiPriority w:val="0"/>
    <w:pPr>
      <w:widowControl/>
    </w:pPr>
    <w:rPr>
      <w:rFonts w:ascii="Times New Roman" w:hAnsi="Times New Roman" w:eastAsia="宋体" w:cs="Times New Roman"/>
      <w:color w:val="000000"/>
      <w:szCs w:val="20"/>
    </w:rPr>
  </w:style>
  <w:style w:type="paragraph" w:customStyle="1" w:styleId="437">
    <w:name w:val="此正文"/>
    <w:basedOn w:val="1"/>
    <w:next w:val="1"/>
    <w:qFormat/>
    <w:uiPriority w:val="0"/>
    <w:pPr>
      <w:widowControl/>
      <w:spacing w:line="360" w:lineRule="auto"/>
      <w:ind w:firstLine="480"/>
    </w:pPr>
    <w:rPr>
      <w:rFonts w:ascii="Times New Roman" w:hAnsi="Times New Roman" w:eastAsia="宋体" w:cs="Times New Roman"/>
      <w:color w:val="000000"/>
      <w:sz w:val="24"/>
      <w:szCs w:val="20"/>
    </w:rPr>
  </w:style>
  <w:style w:type="paragraph" w:customStyle="1" w:styleId="438">
    <w:name w:val="Body text|6"/>
    <w:basedOn w:val="1"/>
    <w:qFormat/>
    <w:uiPriority w:val="0"/>
    <w:pPr>
      <w:ind w:right="1800"/>
      <w:jc w:val="right"/>
    </w:pPr>
    <w:rPr>
      <w:rFonts w:ascii="Times New Roman" w:hAnsi="Times New Roman" w:eastAsia="宋体" w:cs="Times New Roman"/>
      <w:sz w:val="13"/>
      <w:szCs w:val="13"/>
      <w:lang w:val="zh-TW" w:eastAsia="zh-TW" w:bidi="zh-TW"/>
    </w:rPr>
  </w:style>
  <w:style w:type="paragraph" w:customStyle="1" w:styleId="439">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eastAsia="宋体" w:cs="Times New Roman"/>
      <w:kern w:val="0"/>
      <w:szCs w:val="20"/>
    </w:rPr>
  </w:style>
  <w:style w:type="paragraph" w:customStyle="1" w:styleId="440">
    <w:name w:val="文档正文（外部）"/>
    <w:basedOn w:val="1"/>
    <w:qFormat/>
    <w:uiPriority w:val="0"/>
    <w:pPr>
      <w:spacing w:line="360" w:lineRule="auto"/>
    </w:pPr>
    <w:rPr>
      <w:rFonts w:ascii="Times New Roman" w:hAnsi="Times New Roman" w:eastAsia="宋体" w:cs="Times New Roman"/>
      <w:sz w:val="28"/>
      <w:szCs w:val="20"/>
    </w:rPr>
  </w:style>
  <w:style w:type="paragraph" w:customStyle="1" w:styleId="441">
    <w:name w:val="font1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2">
    <w:name w:val="font26"/>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443">
    <w:name w:val="Char Char Char Char1"/>
    <w:basedOn w:val="1"/>
    <w:qFormat/>
    <w:uiPriority w:val="0"/>
    <w:rPr>
      <w:rFonts w:ascii="Tahoma" w:hAnsi="Tahoma" w:eastAsia="宋体" w:cs="Times New Roman"/>
      <w:sz w:val="24"/>
      <w:szCs w:val="20"/>
    </w:rPr>
  </w:style>
  <w:style w:type="paragraph" w:customStyle="1" w:styleId="444">
    <w:name w:val="flType"/>
    <w:basedOn w:val="1"/>
    <w:qFormat/>
    <w:uiPriority w:val="0"/>
    <w:pPr>
      <w:adjustRightInd w:val="0"/>
      <w:spacing w:before="560" w:after="120" w:line="360" w:lineRule="auto"/>
      <w:jc w:val="center"/>
      <w:textAlignment w:val="baseline"/>
    </w:pPr>
    <w:rPr>
      <w:rFonts w:ascii="Arial" w:hAnsi="Times New Roman" w:eastAsia="黑体" w:cs="Times New Roman"/>
      <w:kern w:val="0"/>
      <w:sz w:val="28"/>
      <w:szCs w:val="20"/>
    </w:rPr>
  </w:style>
  <w:style w:type="paragraph" w:customStyle="1" w:styleId="445">
    <w:name w:val="标段"/>
    <w:basedOn w:val="1"/>
    <w:qFormat/>
    <w:uiPriority w:val="0"/>
    <w:pPr>
      <w:widowControl/>
      <w:topLinePunct/>
      <w:ind w:firstLine="200" w:firstLineChars="200"/>
      <w:outlineLvl w:val="1"/>
    </w:pPr>
    <w:rPr>
      <w:rFonts w:ascii="宋体" w:hAnsi="宋体" w:eastAsia="宋体" w:cs="Times New Roman"/>
      <w:kern w:val="0"/>
      <w:sz w:val="24"/>
      <w:szCs w:val="21"/>
      <w:u w:val="thick"/>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xl106"/>
    <w:basedOn w:val="1"/>
    <w:qFormat/>
    <w:uiPriority w:val="0"/>
    <w:pPr>
      <w:widowControl/>
      <w:spacing w:before="100" w:beforeAutospacing="1" w:after="100" w:afterAutospacing="1"/>
      <w:jc w:val="center"/>
    </w:pPr>
    <w:rPr>
      <w:rFonts w:ascii="Arial" w:hAnsi="Arial" w:eastAsia="宋体" w:cs="Arial"/>
      <w:color w:val="000000"/>
      <w:kern w:val="0"/>
      <w:sz w:val="24"/>
      <w:szCs w:val="24"/>
    </w:rPr>
  </w:style>
  <w:style w:type="paragraph" w:customStyle="1" w:styleId="448">
    <w:name w:val="xl87"/>
    <w:basedOn w:val="1"/>
    <w:qFormat/>
    <w:uiPriority w:val="0"/>
    <w:pPr>
      <w:widowControl/>
      <w:shd w:val="clear" w:color="auto" w:fill="C0C0C0"/>
      <w:spacing w:before="100" w:beforeAutospacing="1" w:after="100" w:afterAutospacing="1"/>
      <w:jc w:val="center"/>
    </w:pPr>
    <w:rPr>
      <w:rFonts w:ascii="Arial" w:hAnsi="Arial" w:eastAsia="宋体" w:cs="Arial"/>
      <w:color w:val="000000"/>
      <w:kern w:val="0"/>
      <w:sz w:val="24"/>
      <w:szCs w:val="24"/>
    </w:rPr>
  </w:style>
  <w:style w:type="paragraph" w:customStyle="1" w:styleId="449">
    <w:name w:val="Char11"/>
    <w:basedOn w:val="1"/>
    <w:qFormat/>
    <w:uiPriority w:val="0"/>
    <w:rPr>
      <w:rFonts w:ascii="仿宋_GB2312" w:hAnsi="Times New Roman" w:eastAsia="仿宋_GB2312" w:cs="Times New Roman"/>
      <w:b/>
      <w:sz w:val="32"/>
      <w:szCs w:val="20"/>
    </w:rPr>
  </w:style>
  <w:style w:type="paragraph" w:customStyle="1" w:styleId="450">
    <w:name w:val="表正文"/>
    <w:basedOn w:val="1"/>
    <w:next w:val="42"/>
    <w:qFormat/>
    <w:uiPriority w:val="0"/>
    <w:rPr>
      <w:rFonts w:ascii="宋体" w:hAnsi="Courier New" w:eastAsia="宋体" w:cs="Times New Roman"/>
      <w:szCs w:val="20"/>
    </w:rPr>
  </w:style>
  <w:style w:type="paragraph" w:customStyle="1" w:styleId="45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eastAsia="宋体" w:cs="Times New Roman"/>
      <w:b/>
      <w:bCs/>
      <w:kern w:val="0"/>
      <w:sz w:val="20"/>
      <w:szCs w:val="20"/>
    </w:rPr>
  </w:style>
  <w:style w:type="paragraph" w:customStyle="1" w:styleId="452">
    <w:name w:val="_Style 3"/>
    <w:basedOn w:val="1"/>
    <w:qFormat/>
    <w:uiPriority w:val="0"/>
    <w:pPr>
      <w:spacing w:line="360" w:lineRule="auto"/>
      <w:ind w:firstLine="420" w:firstLineChars="200"/>
    </w:pPr>
    <w:rPr>
      <w:rFonts w:ascii="Times New Roman" w:hAnsi="Times New Roman" w:eastAsia="宋体" w:cs="Times New Roman"/>
      <w:sz w:val="24"/>
      <w:szCs w:val="24"/>
    </w:rPr>
  </w:style>
  <w:style w:type="paragraph" w:customStyle="1" w:styleId="453">
    <w:name w:val="xl90"/>
    <w:basedOn w:val="1"/>
    <w:qFormat/>
    <w:uiPriority w:val="0"/>
    <w:pPr>
      <w:widowControl/>
      <w:spacing w:before="100" w:beforeAutospacing="1" w:after="100" w:afterAutospacing="1"/>
      <w:jc w:val="center"/>
    </w:pPr>
    <w:rPr>
      <w:rFonts w:ascii="幼圆" w:hAnsi="宋体" w:eastAsia="幼圆" w:cs="宋体"/>
      <w:color w:val="000000"/>
      <w:kern w:val="0"/>
      <w:sz w:val="24"/>
      <w:szCs w:val="24"/>
    </w:rPr>
  </w:style>
  <w:style w:type="paragraph" w:customStyle="1" w:styleId="454">
    <w:name w:val="无列表2"/>
    <w:basedOn w:val="1"/>
    <w:next w:val="1"/>
    <w:qFormat/>
    <w:uiPriority w:val="0"/>
    <w:pPr>
      <w:jc w:val="left"/>
    </w:pPr>
    <w:rPr>
      <w:rFonts w:ascii="Times New Roman" w:hAnsi="Times New Roman" w:eastAsia="宋体" w:cs="Times New Roman"/>
      <w:color w:val="000000"/>
      <w:kern w:val="0"/>
      <w:sz w:val="24"/>
      <w:szCs w:val="20"/>
    </w:rPr>
  </w:style>
  <w:style w:type="paragraph" w:customStyle="1" w:styleId="455">
    <w:name w:val="文章标题 1"/>
    <w:basedOn w:val="2"/>
    <w:next w:val="1"/>
    <w:qFormat/>
    <w:uiPriority w:val="0"/>
    <w:pPr>
      <w:keepNext/>
      <w:keepLines/>
      <w:widowControl w:val="0"/>
      <w:autoSpaceDE/>
      <w:autoSpaceDN/>
      <w:spacing w:before="120" w:after="480" w:line="360" w:lineRule="auto"/>
      <w:ind w:left="0" w:firstLine="0"/>
      <w:textAlignment w:val="top"/>
    </w:pPr>
    <w:rPr>
      <w:rFonts w:ascii="Times New Roman" w:eastAsia="黑体"/>
      <w:color w:val="auto"/>
      <w:kern w:val="2"/>
      <w:sz w:val="44"/>
    </w:rPr>
  </w:style>
  <w:style w:type="paragraph" w:customStyle="1" w:styleId="456">
    <w:name w:val="font1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57">
    <w:name w:val="Body text|3"/>
    <w:basedOn w:val="1"/>
    <w:qFormat/>
    <w:uiPriority w:val="0"/>
    <w:pPr>
      <w:spacing w:after="60"/>
      <w:jc w:val="right"/>
    </w:pPr>
    <w:rPr>
      <w:rFonts w:ascii="宋体" w:hAnsi="宋体" w:eastAsia="宋体" w:cs="宋体"/>
      <w:sz w:val="19"/>
      <w:szCs w:val="19"/>
      <w:lang w:val="zh-TW" w:eastAsia="zh-TW" w:bidi="zh-TW"/>
    </w:rPr>
  </w:style>
  <w:style w:type="paragraph" w:customStyle="1" w:styleId="458">
    <w:name w:val="xl80"/>
    <w:basedOn w:val="1"/>
    <w:qFormat/>
    <w:uiPriority w:val="0"/>
    <w:pPr>
      <w:widowControl/>
      <w:shd w:val="clear" w:color="auto" w:fill="CCFFCC"/>
      <w:spacing w:before="100" w:beforeAutospacing="1" w:after="100" w:afterAutospacing="1"/>
      <w:jc w:val="left"/>
    </w:pPr>
    <w:rPr>
      <w:rFonts w:ascii="Arial" w:hAnsi="Arial" w:eastAsia="宋体" w:cs="Arial"/>
      <w:color w:val="000000"/>
      <w:kern w:val="0"/>
      <w:sz w:val="24"/>
      <w:szCs w:val="24"/>
    </w:rPr>
  </w:style>
  <w:style w:type="paragraph" w:customStyle="1" w:styleId="45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460">
    <w:name w:val="Other|1"/>
    <w:basedOn w:val="1"/>
    <w:qFormat/>
    <w:uiPriority w:val="0"/>
    <w:pPr>
      <w:spacing w:line="384" w:lineRule="auto"/>
      <w:ind w:firstLine="400"/>
    </w:pPr>
    <w:rPr>
      <w:rFonts w:ascii="宋体" w:hAnsi="宋体" w:eastAsia="宋体" w:cs="宋体"/>
      <w:sz w:val="30"/>
      <w:szCs w:val="30"/>
    </w:rPr>
  </w:style>
  <w:style w:type="paragraph" w:customStyle="1" w:styleId="461">
    <w:name w:val="Char Char Char Char Char"/>
    <w:basedOn w:val="1"/>
    <w:qFormat/>
    <w:uiPriority w:val="0"/>
    <w:pPr>
      <w:tabs>
        <w:tab w:val="left" w:pos="980"/>
      </w:tabs>
      <w:ind w:left="980" w:hanging="420"/>
    </w:pPr>
    <w:rPr>
      <w:rFonts w:ascii="Tahoma" w:hAnsi="Tahoma" w:eastAsia="宋体" w:cs="Times New Roman"/>
      <w:sz w:val="24"/>
      <w:szCs w:val="20"/>
    </w:rPr>
  </w:style>
  <w:style w:type="paragraph" w:customStyle="1" w:styleId="462">
    <w:name w:val="标题6"/>
    <w:basedOn w:val="1"/>
    <w:next w:val="2"/>
    <w:qFormat/>
    <w:uiPriority w:val="0"/>
    <w:pPr>
      <w:widowControl/>
      <w:snapToGrid w:val="0"/>
      <w:spacing w:beforeLines="50" w:afterLines="50" w:line="520" w:lineRule="atLeast"/>
      <w:ind w:firstLine="200" w:firstLineChars="200"/>
    </w:pPr>
    <w:rPr>
      <w:rFonts w:ascii="Times New Roman" w:hAnsi="Times New Roman" w:eastAsia="宋体" w:cs="Times New Roman"/>
      <w:sz w:val="24"/>
      <w:szCs w:val="20"/>
    </w:rPr>
  </w:style>
  <w:style w:type="paragraph" w:customStyle="1" w:styleId="463">
    <w:name w:val="xl94"/>
    <w:basedOn w:val="1"/>
    <w:qFormat/>
    <w:uiPriority w:val="0"/>
    <w:pPr>
      <w:widowControl/>
      <w:spacing w:before="100" w:beforeAutospacing="1" w:after="100" w:afterAutospacing="1"/>
      <w:jc w:val="left"/>
    </w:pPr>
    <w:rPr>
      <w:rFonts w:ascii="幼圆" w:hAnsi="宋体" w:eastAsia="幼圆" w:cs="宋体"/>
      <w:kern w:val="0"/>
      <w:sz w:val="24"/>
      <w:szCs w:val="24"/>
    </w:rPr>
  </w:style>
  <w:style w:type="paragraph" w:customStyle="1" w:styleId="464">
    <w:name w:val="纯文本1"/>
    <w:basedOn w:val="465"/>
    <w:qFormat/>
    <w:uiPriority w:val="0"/>
    <w:pPr>
      <w:numPr>
        <w:ilvl w:val="0"/>
        <w:numId w:val="10"/>
      </w:numPr>
      <w:autoSpaceDE w:val="0"/>
      <w:autoSpaceDN w:val="0"/>
      <w:adjustRightInd w:val="0"/>
      <w:ind w:left="0" w:firstLine="0"/>
      <w:textAlignment w:val="baseline"/>
    </w:pPr>
    <w:rPr>
      <w:rFonts w:ascii="宋体" w:hAnsi="Tms Rmn"/>
      <w:kern w:val="0"/>
    </w:rPr>
  </w:style>
  <w:style w:type="paragraph" w:customStyle="1" w:styleId="46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46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67">
    <w:name w:val="xl97"/>
    <w:basedOn w:val="1"/>
    <w:qFormat/>
    <w:uiPriority w:val="0"/>
    <w:pPr>
      <w:widowControl/>
      <w:spacing w:before="100" w:beforeAutospacing="1" w:after="100" w:afterAutospacing="1"/>
      <w:jc w:val="left"/>
    </w:pPr>
    <w:rPr>
      <w:rFonts w:ascii="幼圆" w:hAnsi="宋体" w:eastAsia="幼圆" w:cs="宋体"/>
      <w:kern w:val="0"/>
      <w:sz w:val="24"/>
      <w:szCs w:val="24"/>
    </w:rPr>
  </w:style>
  <w:style w:type="paragraph" w:customStyle="1" w:styleId="46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469">
    <w:name w:val="Headings Font"/>
    <w:basedOn w:val="1"/>
    <w:next w:val="6"/>
    <w:qFormat/>
    <w:uiPriority w:val="0"/>
    <w:pPr>
      <w:keepNext/>
      <w:spacing w:line="280" w:lineRule="atLeast"/>
      <w:jc w:val="left"/>
    </w:pPr>
    <w:rPr>
      <w:rFonts w:ascii="Arial" w:hAnsi="Arial" w:eastAsia="宋体" w:cs="Times New Roman"/>
      <w:kern w:val="0"/>
      <w:sz w:val="22"/>
      <w:szCs w:val="24"/>
      <w:lang w:val="en-GB"/>
    </w:rPr>
  </w:style>
  <w:style w:type="paragraph" w:customStyle="1" w:styleId="470">
    <w:name w:val="样式 标题 3h33rd levelH3Level 3 Headsect1.2.3BOD 0l3CTHeadi..."/>
    <w:basedOn w:val="4"/>
    <w:qFormat/>
    <w:uiPriority w:val="0"/>
    <w:pPr>
      <w:tabs>
        <w:tab w:val="left" w:pos="420"/>
        <w:tab w:val="clear" w:pos="778"/>
      </w:tabs>
      <w:spacing w:beforeLines="0" w:afterLines="0"/>
      <w:ind w:left="420" w:hanging="420" w:firstLineChars="0"/>
    </w:pPr>
    <w:rPr>
      <w:rFonts w:ascii="宋体" w:eastAsia="楷体_GB2312"/>
      <w:sz w:val="24"/>
    </w:rPr>
  </w:style>
  <w:style w:type="paragraph" w:customStyle="1" w:styleId="471">
    <w:name w:val="样式3"/>
    <w:basedOn w:val="1"/>
    <w:qFormat/>
    <w:uiPriority w:val="0"/>
    <w:pPr>
      <w:ind w:left="1980"/>
    </w:pPr>
    <w:rPr>
      <w:rFonts w:ascii="Times New Roman" w:hAnsi="Times New Roman" w:eastAsia="宋体" w:cs="Times New Roman"/>
      <w:szCs w:val="20"/>
    </w:rPr>
  </w:style>
  <w:style w:type="paragraph" w:customStyle="1" w:styleId="472">
    <w:name w:val="xl93"/>
    <w:basedOn w:val="1"/>
    <w:qFormat/>
    <w:uiPriority w:val="0"/>
    <w:pPr>
      <w:widowControl/>
      <w:shd w:val="clear" w:color="auto" w:fill="99CCFF"/>
      <w:spacing w:before="100" w:beforeAutospacing="1" w:after="100" w:afterAutospacing="1"/>
      <w:jc w:val="left"/>
    </w:pPr>
    <w:rPr>
      <w:rFonts w:ascii="宋体" w:hAnsi="宋体" w:eastAsia="宋体" w:cs="宋体"/>
      <w:b/>
      <w:bCs/>
      <w:color w:val="000000"/>
      <w:kern w:val="0"/>
      <w:sz w:val="24"/>
      <w:szCs w:val="24"/>
    </w:rPr>
  </w:style>
  <w:style w:type="paragraph" w:customStyle="1" w:styleId="473">
    <w:name w:val="投标文件3"/>
    <w:basedOn w:val="1"/>
    <w:qFormat/>
    <w:uiPriority w:val="0"/>
    <w:pPr>
      <w:widowControl/>
      <w:spacing w:line="360" w:lineRule="auto"/>
    </w:pPr>
    <w:rPr>
      <w:rFonts w:ascii="宋体" w:hAnsi="Courier New" w:eastAsia="黑体" w:cs="Times New Roman"/>
      <w:b/>
      <w:sz w:val="30"/>
      <w:szCs w:val="20"/>
    </w:rPr>
  </w:style>
  <w:style w:type="paragraph" w:customStyle="1" w:styleId="47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5">
    <w:name w:val="正文文本缩进 31"/>
    <w:basedOn w:val="1"/>
    <w:next w:val="1"/>
    <w:qFormat/>
    <w:uiPriority w:val="0"/>
    <w:pPr>
      <w:widowControl/>
      <w:spacing w:line="360" w:lineRule="auto"/>
      <w:ind w:firstLine="420"/>
    </w:pPr>
    <w:rPr>
      <w:rFonts w:ascii="宋体" w:hAnsi="Times New Roman" w:eastAsia="宋体" w:cs="Times New Roman"/>
      <w:color w:val="000000"/>
      <w:sz w:val="24"/>
      <w:szCs w:val="20"/>
    </w:rPr>
  </w:style>
  <w:style w:type="paragraph" w:customStyle="1" w:styleId="476">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eastAsia="宋体" w:cs="Times New Roman"/>
      <w:b/>
      <w:color w:val="000000"/>
      <w:kern w:val="0"/>
      <w:sz w:val="20"/>
      <w:szCs w:val="20"/>
    </w:rPr>
  </w:style>
  <w:style w:type="paragraph" w:customStyle="1" w:styleId="477">
    <w:name w:val="xl89"/>
    <w:basedOn w:val="1"/>
    <w:qFormat/>
    <w:uiPriority w:val="0"/>
    <w:pPr>
      <w:widowControl/>
      <w:spacing w:before="100" w:beforeAutospacing="1" w:after="100" w:afterAutospacing="1"/>
      <w:jc w:val="left"/>
    </w:pPr>
    <w:rPr>
      <w:rFonts w:ascii="幼圆" w:hAnsi="宋体" w:eastAsia="幼圆" w:cs="宋体"/>
      <w:color w:val="000000"/>
      <w:kern w:val="0"/>
      <w:sz w:val="24"/>
      <w:szCs w:val="24"/>
    </w:rPr>
  </w:style>
  <w:style w:type="paragraph" w:customStyle="1" w:styleId="478">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Times New Roman"/>
      <w:b/>
      <w:bCs/>
      <w:kern w:val="0"/>
      <w:sz w:val="20"/>
      <w:szCs w:val="20"/>
    </w:rPr>
  </w:style>
  <w:style w:type="paragraph" w:customStyle="1" w:styleId="479">
    <w:name w:val="标准正文"/>
    <w:basedOn w:val="1"/>
    <w:next w:val="1"/>
    <w:qFormat/>
    <w:uiPriority w:val="0"/>
    <w:pPr>
      <w:widowControl/>
      <w:spacing w:after="50"/>
      <w:ind w:firstLine="200"/>
    </w:pPr>
    <w:rPr>
      <w:rFonts w:ascii="Times New Roman" w:hAnsi="Times New Roman" w:eastAsia="宋体" w:cs="Times New Roman"/>
      <w:color w:val="000000"/>
      <w:sz w:val="24"/>
      <w:szCs w:val="20"/>
    </w:rPr>
  </w:style>
  <w:style w:type="paragraph" w:customStyle="1" w:styleId="480">
    <w:name w:val="Char Char Char Char Char Char Char Char Char Char Char Char Char Char Char Char Char Char"/>
    <w:basedOn w:val="1"/>
    <w:qFormat/>
    <w:uiPriority w:val="0"/>
    <w:pPr>
      <w:spacing w:beforeLines="50" w:afterLines="100" w:line="480" w:lineRule="exact"/>
      <w:jc w:val="center"/>
    </w:pPr>
    <w:rPr>
      <w:rFonts w:ascii="Times New Roman" w:hAnsi="Times New Roman" w:eastAsia="宋体" w:cs="Times New Roman"/>
      <w:color w:val="000000"/>
      <w:sz w:val="28"/>
      <w:szCs w:val="52"/>
    </w:rPr>
  </w:style>
  <w:style w:type="paragraph" w:customStyle="1" w:styleId="481">
    <w:name w:val="Char Char Char Char Char Char Char Char Char Char1"/>
    <w:basedOn w:val="1"/>
    <w:qFormat/>
    <w:uiPriority w:val="0"/>
    <w:rPr>
      <w:rFonts w:ascii="Times New Roman" w:hAnsi="Times New Roman" w:eastAsia="宋体" w:cs="Times New Roman"/>
      <w:szCs w:val="20"/>
    </w:rPr>
  </w:style>
  <w:style w:type="paragraph" w:customStyle="1" w:styleId="482">
    <w:name w:val="2 Char Char Char Char Char Char Char"/>
    <w:basedOn w:val="1"/>
    <w:qFormat/>
    <w:uiPriority w:val="0"/>
    <w:rPr>
      <w:rFonts w:ascii="Tahoma" w:hAnsi="Tahoma" w:eastAsia="宋体" w:cs="Times New Roman"/>
      <w:sz w:val="24"/>
      <w:szCs w:val="20"/>
    </w:rPr>
  </w:style>
  <w:style w:type="paragraph" w:customStyle="1" w:styleId="483">
    <w:name w:val="纯文本11"/>
    <w:basedOn w:val="1"/>
    <w:next w:val="1"/>
    <w:qFormat/>
    <w:uiPriority w:val="0"/>
    <w:pPr>
      <w:widowControl/>
      <w:tabs>
        <w:tab w:val="left" w:pos="840"/>
      </w:tabs>
      <w:spacing w:line="360" w:lineRule="auto"/>
      <w:ind w:left="840" w:hanging="420"/>
    </w:pPr>
    <w:rPr>
      <w:rFonts w:ascii="宋体" w:hAnsi="Times New Roman" w:eastAsia="宋体" w:cs="Times New Roman"/>
      <w:color w:val="000000"/>
      <w:sz w:val="24"/>
      <w:szCs w:val="20"/>
    </w:rPr>
  </w:style>
  <w:style w:type="paragraph" w:customStyle="1" w:styleId="484">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85">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486">
    <w:name w:val="表格项目符号"/>
    <w:basedOn w:val="1"/>
    <w:next w:val="1"/>
    <w:qFormat/>
    <w:uiPriority w:val="0"/>
    <w:pPr>
      <w:widowControl/>
      <w:tabs>
        <w:tab w:val="left" w:pos="249"/>
      </w:tabs>
      <w:snapToGrid w:val="0"/>
      <w:spacing w:line="300" w:lineRule="auto"/>
      <w:ind w:left="249" w:hanging="249"/>
    </w:pPr>
    <w:rPr>
      <w:rFonts w:ascii="Times New Roman" w:hAnsi="Times New Roman" w:eastAsia="宋体" w:cs="Times New Roman"/>
      <w:color w:val="000000"/>
      <w:szCs w:val="20"/>
    </w:rPr>
  </w:style>
  <w:style w:type="paragraph" w:customStyle="1" w:styleId="487">
    <w:name w:val="样式 标题 2 + 段前: 自动 段后: 自动 行距: 1.5 倍行距"/>
    <w:basedOn w:val="3"/>
    <w:qFormat/>
    <w:uiPriority w:val="0"/>
    <w:pPr>
      <w:tabs>
        <w:tab w:val="left" w:pos="567"/>
        <w:tab w:val="clear" w:pos="358"/>
      </w:tabs>
      <w:adjustRightInd w:val="0"/>
      <w:spacing w:before="100" w:beforeAutospacing="1" w:after="100" w:afterAutospacing="1"/>
      <w:ind w:left="567" w:hanging="567"/>
      <w:jc w:val="left"/>
      <w:textAlignment w:val="baseline"/>
    </w:pPr>
    <w:rPr>
      <w:rFonts w:ascii="Arial" w:hAnsi="Arial"/>
      <w:b w:val="0"/>
      <w:kern w:val="0"/>
      <w:sz w:val="30"/>
    </w:rPr>
  </w:style>
  <w:style w:type="paragraph" w:customStyle="1" w:styleId="488">
    <w:name w:val="普通表格2"/>
    <w:basedOn w:val="1"/>
    <w:next w:val="1"/>
    <w:qFormat/>
    <w:uiPriority w:val="0"/>
    <w:pPr>
      <w:widowControl/>
      <w:jc w:val="left"/>
    </w:pPr>
    <w:rPr>
      <w:rFonts w:ascii="Times New Roman" w:hAnsi="Times New Roman" w:eastAsia="宋体" w:cs="Times New Roman"/>
      <w:color w:val="000000"/>
      <w:kern w:val="0"/>
      <w:sz w:val="24"/>
      <w:szCs w:val="20"/>
    </w:rPr>
  </w:style>
  <w:style w:type="paragraph" w:customStyle="1" w:styleId="489">
    <w:name w:val="五级条标题"/>
    <w:basedOn w:val="243"/>
    <w:next w:val="232"/>
    <w:qFormat/>
    <w:uiPriority w:val="0"/>
    <w:pPr>
      <w:numPr>
        <w:ilvl w:val="6"/>
      </w:numPr>
      <w:outlineLvl w:val="6"/>
    </w:pPr>
  </w:style>
  <w:style w:type="paragraph" w:customStyle="1" w:styleId="490">
    <w:name w:val="修订1"/>
    <w:semiHidden/>
    <w:qFormat/>
    <w:uiPriority w:val="99"/>
    <w:rPr>
      <w:rFonts w:ascii="Times New Roman" w:hAnsi="Times New Roman" w:eastAsia="宋体" w:cs="Times New Roman"/>
      <w:kern w:val="2"/>
      <w:sz w:val="24"/>
      <w:lang w:val="en-US" w:eastAsia="zh-CN" w:bidi="ar-SA"/>
    </w:rPr>
  </w:style>
  <w:style w:type="paragraph" w:customStyle="1" w:styleId="491">
    <w:name w:val="样式4"/>
    <w:basedOn w:val="33"/>
    <w:qFormat/>
    <w:uiPriority w:val="0"/>
    <w:pPr>
      <w:snapToGrid w:val="0"/>
      <w:spacing w:before="0" w:after="0"/>
      <w:ind w:firstLine="539"/>
    </w:pPr>
    <w:rPr>
      <w:rFonts w:ascii="Times New Roman"/>
    </w:rPr>
  </w:style>
  <w:style w:type="paragraph" w:customStyle="1" w:styleId="492">
    <w:name w:val="系统标题"/>
    <w:basedOn w:val="1"/>
    <w:qFormat/>
    <w:uiPriority w:val="0"/>
    <w:pPr>
      <w:tabs>
        <w:tab w:val="left" w:pos="780"/>
      </w:tabs>
      <w:ind w:left="780" w:hanging="360"/>
    </w:pPr>
    <w:rPr>
      <w:rFonts w:ascii="Times New Roman" w:hAnsi="Times New Roman" w:eastAsia="宋体" w:cs="Times New Roman"/>
      <w:szCs w:val="24"/>
    </w:rPr>
  </w:style>
  <w:style w:type="paragraph" w:customStyle="1" w:styleId="493">
    <w:name w:val="standdate"/>
    <w:basedOn w:val="51"/>
    <w:qFormat/>
    <w:uiPriority w:val="0"/>
    <w:rPr>
      <w:szCs w:val="18"/>
    </w:rPr>
  </w:style>
  <w:style w:type="paragraph" w:customStyle="1" w:styleId="494">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5">
    <w:name w:val="wtext"/>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96">
    <w:name w:val="WPSOffice手动目录 1"/>
    <w:qFormat/>
    <w:uiPriority w:val="0"/>
    <w:rPr>
      <w:rFonts w:ascii="Times New Roman" w:hAnsi="Times New Roman" w:eastAsia="宋体" w:cs="Times New Roman"/>
      <w:lang w:val="en-US" w:eastAsia="zh-CN" w:bidi="ar-SA"/>
    </w:rPr>
  </w:style>
  <w:style w:type="paragraph" w:customStyle="1" w:styleId="497">
    <w:name w:val="heading"/>
    <w:basedOn w:val="1"/>
    <w:next w:val="1"/>
    <w:qFormat/>
    <w:uiPriority w:val="0"/>
    <w:pPr>
      <w:keepNext/>
      <w:keepLines/>
      <w:spacing w:before="260" w:after="260" w:line="413" w:lineRule="auto"/>
    </w:pPr>
    <w:rPr>
      <w:rFonts w:ascii="Arial" w:hAnsi="Arial" w:eastAsia="黑体" w:cs="Times New Roman"/>
      <w:b/>
      <w:sz w:val="32"/>
      <w:szCs w:val="20"/>
    </w:rPr>
  </w:style>
  <w:style w:type="paragraph" w:customStyle="1" w:styleId="498">
    <w:name w:val="正文文字缩进3"/>
    <w:basedOn w:val="6"/>
    <w:qFormat/>
    <w:uiPriority w:val="0"/>
    <w:pPr>
      <w:adjustRightInd w:val="0"/>
      <w:spacing w:before="100" w:beforeAutospacing="1" w:after="100" w:afterAutospacing="1" w:line="400" w:lineRule="atLeast"/>
      <w:ind w:left="600" w:leftChars="600"/>
      <w:textAlignment w:val="baseline"/>
    </w:pPr>
    <w:rPr>
      <w:rFonts w:ascii="Times New Roman" w:hAnsi="Times New Roman" w:eastAsia="宋体" w:cs="Times New Roman"/>
      <w:kern w:val="0"/>
      <w:sz w:val="24"/>
      <w:szCs w:val="20"/>
    </w:rPr>
  </w:style>
  <w:style w:type="paragraph" w:customStyle="1" w:styleId="499">
    <w:name w:val="Char Char Char"/>
    <w:basedOn w:val="1"/>
    <w:qFormat/>
    <w:uiPriority w:val="0"/>
    <w:rPr>
      <w:rFonts w:ascii="Tahoma" w:hAnsi="Tahoma" w:eastAsia="宋体" w:cs="Times New Roman"/>
      <w:sz w:val="24"/>
      <w:szCs w:val="20"/>
    </w:rPr>
  </w:style>
  <w:style w:type="paragraph" w:customStyle="1" w:styleId="500">
    <w:name w:val="样式10"/>
    <w:basedOn w:val="1"/>
    <w:qFormat/>
    <w:uiPriority w:val="0"/>
    <w:pPr>
      <w:tabs>
        <w:tab w:val="left" w:pos="987"/>
      </w:tabs>
      <w:ind w:left="987" w:firstLine="199"/>
    </w:pPr>
    <w:rPr>
      <w:rFonts w:ascii="Times New Roman" w:hAnsi="Times New Roman" w:eastAsia="宋体" w:cs="Times New Roman"/>
      <w:b/>
      <w:szCs w:val="20"/>
    </w:rPr>
  </w:style>
  <w:style w:type="paragraph" w:customStyle="1" w:styleId="501">
    <w:name w:val="正文 + 12 磅"/>
    <w:basedOn w:val="21"/>
    <w:qFormat/>
    <w:uiPriority w:val="0"/>
    <w:pPr>
      <w:spacing w:line="360" w:lineRule="auto"/>
      <w:ind w:firstLine="560"/>
    </w:pPr>
    <w:rPr>
      <w:rFonts w:ascii="宋体" w:hAnsi="宋体"/>
      <w:sz w:val="24"/>
    </w:rPr>
  </w:style>
  <w:style w:type="paragraph" w:customStyle="1" w:styleId="502">
    <w:name w:val="Char2"/>
    <w:basedOn w:val="1"/>
    <w:qFormat/>
    <w:uiPriority w:val="0"/>
    <w:rPr>
      <w:rFonts w:ascii="仿宋_GB2312" w:hAnsi="Times New Roman" w:eastAsia="仿宋_GB2312" w:cs="Times New Roman"/>
      <w:b/>
      <w:sz w:val="32"/>
      <w:szCs w:val="20"/>
    </w:rPr>
  </w:style>
  <w:style w:type="paragraph" w:customStyle="1" w:styleId="503">
    <w:name w:val="正文文字1"/>
    <w:basedOn w:val="6"/>
    <w:qFormat/>
    <w:uiPriority w:val="0"/>
    <w:pPr>
      <w:adjustRightInd w:val="0"/>
      <w:spacing w:after="0" w:line="360" w:lineRule="atLeast"/>
      <w:ind w:left="72" w:right="72"/>
      <w:textAlignment w:val="baseline"/>
    </w:pPr>
    <w:rPr>
      <w:rFonts w:ascii="Times New Roman" w:hAnsi="Times New Roman" w:eastAsia="宋体" w:cs="Times New Roman"/>
      <w:kern w:val="0"/>
      <w:szCs w:val="20"/>
    </w:rPr>
  </w:style>
  <w:style w:type="paragraph" w:customStyle="1" w:styleId="504">
    <w:name w:val="Char Char1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506">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eastAsia="宋体" w:cs="Times New Roman"/>
      <w:b/>
      <w:bCs/>
      <w:color w:val="FFFFFF"/>
      <w:kern w:val="0"/>
      <w:sz w:val="20"/>
      <w:szCs w:val="20"/>
    </w:rPr>
  </w:style>
  <w:style w:type="paragraph" w:customStyle="1" w:styleId="507">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eastAsia="宋体" w:cs="Times New Roman"/>
      <w:color w:val="000000"/>
      <w:kern w:val="0"/>
      <w:szCs w:val="20"/>
    </w:rPr>
  </w:style>
  <w:style w:type="paragraph" w:customStyle="1" w:styleId="508">
    <w:name w:val="彩色列表 - 强调文字颜色 11"/>
    <w:basedOn w:val="1"/>
    <w:qFormat/>
    <w:uiPriority w:val="0"/>
    <w:pPr>
      <w:ind w:firstLine="200" w:firstLineChars="200"/>
    </w:pPr>
    <w:rPr>
      <w:rFonts w:ascii="Times New Roman" w:hAnsi="Times New Roman" w:eastAsia="宋体" w:cs="Times New Roman"/>
      <w:szCs w:val="24"/>
    </w:rPr>
  </w:style>
  <w:style w:type="paragraph" w:customStyle="1" w:styleId="509">
    <w:name w:val="Style Heading 3h3Heading 3 - oldLevel 3 HeadH3level_3PIM 3se..."/>
    <w:basedOn w:val="4"/>
    <w:qFormat/>
    <w:uiPriority w:val="0"/>
    <w:pPr>
      <w:tabs>
        <w:tab w:val="left" w:pos="1260"/>
        <w:tab w:val="clear" w:pos="778"/>
      </w:tabs>
      <w:spacing w:beforeLines="0" w:afterLines="0" w:line="413" w:lineRule="auto"/>
      <w:ind w:left="1260"/>
    </w:pPr>
    <w:rPr>
      <w:rFonts w:ascii="Times New Roman" w:hAnsi="Times New Roman"/>
      <w:sz w:val="32"/>
    </w:rPr>
  </w:style>
  <w:style w:type="paragraph" w:customStyle="1" w:styleId="510">
    <w:name w:val="标题 2-2"/>
    <w:basedOn w:val="3"/>
    <w:qFormat/>
    <w:uiPriority w:val="0"/>
    <w:pPr>
      <w:snapToGrid w:val="0"/>
      <w:spacing w:afterLines="50"/>
    </w:pPr>
    <w:rPr>
      <w:rFonts w:ascii="仿宋_GB2312" w:eastAsia="仿宋_GB2312" w:cs="宋体"/>
      <w:i/>
    </w:rPr>
  </w:style>
  <w:style w:type="paragraph" w:customStyle="1" w:styleId="511">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kern w:val="0"/>
      <w:sz w:val="20"/>
      <w:szCs w:val="20"/>
    </w:rPr>
  </w:style>
  <w:style w:type="paragraph" w:customStyle="1" w:styleId="512">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13">
    <w:name w:val="List Paragraph1"/>
    <w:basedOn w:val="1"/>
    <w:qFormat/>
    <w:uiPriority w:val="99"/>
    <w:pPr>
      <w:ind w:firstLine="420" w:firstLineChars="200"/>
    </w:pPr>
    <w:rPr>
      <w:rFonts w:ascii="Times New Roman" w:hAnsi="Times New Roman" w:eastAsia="宋体" w:cs="Times New Roman"/>
      <w:sz w:val="24"/>
      <w:szCs w:val="21"/>
    </w:rPr>
  </w:style>
  <w:style w:type="paragraph" w:customStyle="1" w:styleId="514">
    <w:name w:val="列表项目符号 21"/>
    <w:basedOn w:val="1"/>
    <w:next w:val="1"/>
    <w:qFormat/>
    <w:uiPriority w:val="0"/>
    <w:pPr>
      <w:widowControl/>
      <w:tabs>
        <w:tab w:val="left" w:pos="420"/>
      </w:tabs>
      <w:ind w:left="420" w:hanging="420"/>
    </w:pPr>
    <w:rPr>
      <w:rFonts w:ascii="Times New Roman" w:hAnsi="Times New Roman" w:eastAsia="宋体" w:cs="Times New Roman"/>
      <w:color w:val="000000"/>
      <w:szCs w:val="20"/>
    </w:rPr>
  </w:style>
  <w:style w:type="paragraph" w:customStyle="1" w:styleId="515">
    <w:name w:val="UserStyle_89"/>
    <w:basedOn w:val="1"/>
    <w:qFormat/>
    <w:uiPriority w:val="0"/>
    <w:pPr>
      <w:ind w:firstLine="420"/>
      <w:jc w:val="left"/>
    </w:pPr>
    <w:rPr>
      <w:rFonts w:ascii="Times New Roman" w:hAnsi="Times New Roman" w:eastAsia="宋体" w:cs="Times New Roman"/>
      <w:kern w:val="0"/>
      <w:sz w:val="24"/>
      <w:szCs w:val="20"/>
    </w:rPr>
  </w:style>
  <w:style w:type="paragraph" w:customStyle="1" w:styleId="516">
    <w:name w:val="无缩进正文"/>
    <w:basedOn w:val="1"/>
    <w:qFormat/>
    <w:uiPriority w:val="0"/>
    <w:pPr>
      <w:adjustRightInd w:val="0"/>
      <w:textAlignment w:val="baseline"/>
    </w:pPr>
    <w:rPr>
      <w:rFonts w:ascii="Times New Roman" w:hAnsi="Times New Roman" w:eastAsia="宋体" w:cs="Times New Roman"/>
      <w:kern w:val="0"/>
      <w:szCs w:val="20"/>
    </w:rPr>
  </w:style>
  <w:style w:type="paragraph" w:customStyle="1" w:styleId="517">
    <w:name w:val="章节标题4"/>
    <w:basedOn w:val="1"/>
    <w:qFormat/>
    <w:uiPriority w:val="0"/>
    <w:pPr>
      <w:keepNext/>
      <w:keepLines/>
      <w:numPr>
        <w:ilvl w:val="3"/>
        <w:numId w:val="3"/>
      </w:numPr>
      <w:spacing w:before="280" w:after="290" w:line="377" w:lineRule="auto"/>
      <w:outlineLvl w:val="3"/>
    </w:pPr>
    <w:rPr>
      <w:rFonts w:ascii="Times New Roman" w:hAnsi="Times New Roman" w:eastAsia="宋体" w:cs="Times New Roman"/>
      <w:b/>
      <w:bCs/>
      <w:sz w:val="28"/>
      <w:szCs w:val="28"/>
    </w:rPr>
  </w:style>
  <w:style w:type="paragraph" w:customStyle="1" w:styleId="518">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Times New Roman" w:eastAsia="宋体" w:cs="Times New Roman"/>
      <w:sz w:val="28"/>
      <w:szCs w:val="20"/>
    </w:rPr>
  </w:style>
  <w:style w:type="paragraph" w:customStyle="1" w:styleId="519">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0">
    <w:name w:val="正文文字缩进2"/>
    <w:basedOn w:val="6"/>
    <w:qFormat/>
    <w:uiPriority w:val="0"/>
    <w:pPr>
      <w:adjustRightInd w:val="0"/>
      <w:spacing w:before="100" w:beforeAutospacing="1" w:after="100" w:afterAutospacing="1" w:line="400" w:lineRule="atLeast"/>
      <w:ind w:left="400" w:leftChars="400"/>
      <w:textAlignment w:val="baseline"/>
    </w:pPr>
    <w:rPr>
      <w:rFonts w:ascii="Times New Roman" w:hAnsi="Times New Roman" w:eastAsia="宋体" w:cs="Times New Roman"/>
      <w:kern w:val="0"/>
      <w:sz w:val="24"/>
      <w:szCs w:val="20"/>
    </w:rPr>
  </w:style>
  <w:style w:type="paragraph" w:customStyle="1" w:styleId="521">
    <w:name w:val="font9"/>
    <w:basedOn w:val="1"/>
    <w:qFormat/>
    <w:uiPriority w:val="0"/>
    <w:pPr>
      <w:widowControl/>
      <w:adjustRightInd w:val="0"/>
      <w:spacing w:before="100" w:after="100"/>
      <w:jc w:val="left"/>
      <w:textAlignment w:val="baseline"/>
    </w:pPr>
    <w:rPr>
      <w:rFonts w:ascii="宋体" w:hAnsi="宋体" w:eastAsia="宋体" w:cs="Times New Roman"/>
      <w:kern w:val="0"/>
      <w:sz w:val="18"/>
      <w:szCs w:val="20"/>
    </w:rPr>
  </w:style>
  <w:style w:type="paragraph" w:customStyle="1" w:styleId="522">
    <w:name w:val="xl73"/>
    <w:basedOn w:val="1"/>
    <w:qFormat/>
    <w:uiPriority w:val="0"/>
    <w:pPr>
      <w:widowControl/>
      <w:spacing w:before="100" w:beforeAutospacing="1" w:after="100" w:afterAutospacing="1"/>
      <w:jc w:val="center"/>
    </w:pPr>
    <w:rPr>
      <w:rFonts w:ascii="幼圆" w:hAnsi="宋体" w:eastAsia="幼圆" w:cs="宋体"/>
      <w:b/>
      <w:bCs/>
      <w:color w:val="000000"/>
      <w:kern w:val="0"/>
      <w:sz w:val="24"/>
      <w:szCs w:val="24"/>
    </w:rPr>
  </w:style>
  <w:style w:type="paragraph" w:customStyle="1" w:styleId="523">
    <w:name w:val="Body text|1"/>
    <w:basedOn w:val="1"/>
    <w:qFormat/>
    <w:uiPriority w:val="0"/>
    <w:pPr>
      <w:spacing w:line="384" w:lineRule="auto"/>
      <w:ind w:firstLine="400"/>
    </w:pPr>
    <w:rPr>
      <w:rFonts w:ascii="宋体" w:hAnsi="宋体" w:eastAsia="宋体" w:cs="宋体"/>
      <w:sz w:val="30"/>
      <w:szCs w:val="30"/>
      <w:lang w:val="zh-TW" w:eastAsia="zh-TW" w:bidi="zh-TW"/>
    </w:rPr>
  </w:style>
  <w:style w:type="paragraph" w:customStyle="1" w:styleId="524">
    <w:name w:val="项目2"/>
    <w:basedOn w:val="1"/>
    <w:qFormat/>
    <w:uiPriority w:val="0"/>
    <w:pPr>
      <w:tabs>
        <w:tab w:val="left" w:pos="840"/>
      </w:tabs>
      <w:spacing w:line="360" w:lineRule="auto"/>
      <w:ind w:left="840" w:hanging="420"/>
    </w:pPr>
    <w:rPr>
      <w:rFonts w:ascii="Times New Roman" w:hAnsi="Times New Roman" w:eastAsia="宋体" w:cs="Times New Roman"/>
      <w:sz w:val="24"/>
      <w:szCs w:val="20"/>
    </w:rPr>
  </w:style>
  <w:style w:type="paragraph" w:customStyle="1" w:styleId="525">
    <w:name w:val="font12"/>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26">
    <w:name w:val="正文首行缩进 21"/>
    <w:basedOn w:val="1"/>
    <w:next w:val="1"/>
    <w:qFormat/>
    <w:uiPriority w:val="0"/>
    <w:pPr>
      <w:widowControl/>
      <w:spacing w:after="120"/>
      <w:ind w:firstLine="210"/>
    </w:pPr>
    <w:rPr>
      <w:rFonts w:ascii="Times New Roman" w:hAnsi="Times New Roman" w:eastAsia="宋体" w:cs="Times New Roman"/>
      <w:color w:val="000000"/>
      <w:szCs w:val="20"/>
    </w:rPr>
  </w:style>
  <w:style w:type="paragraph" w:customStyle="1" w:styleId="527">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8">
    <w:name w:val="xl103"/>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529">
    <w:name w:val="xl83"/>
    <w:basedOn w:val="1"/>
    <w:qFormat/>
    <w:uiPriority w:val="0"/>
    <w:pPr>
      <w:widowControl/>
      <w:shd w:val="clear" w:color="auto" w:fill="CCFFCC"/>
      <w:spacing w:before="100" w:beforeAutospacing="1" w:after="100" w:afterAutospacing="1"/>
      <w:jc w:val="center"/>
    </w:pPr>
    <w:rPr>
      <w:rFonts w:ascii="Arial" w:hAnsi="Arial" w:eastAsia="宋体" w:cs="Arial"/>
      <w:color w:val="000000"/>
      <w:kern w:val="0"/>
      <w:sz w:val="24"/>
      <w:szCs w:val="24"/>
    </w:rPr>
  </w:style>
  <w:style w:type="paragraph" w:customStyle="1" w:styleId="530">
    <w:name w:val="3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31">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32">
    <w:name w:val="font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533">
    <w:name w:val="页头专用"/>
    <w:basedOn w:val="1"/>
    <w:next w:val="1"/>
    <w:qFormat/>
    <w:uiPriority w:val="0"/>
    <w:pPr>
      <w:spacing w:line="360" w:lineRule="auto"/>
      <w:ind w:firstLine="200" w:firstLineChars="200"/>
      <w:jc w:val="left"/>
    </w:pPr>
    <w:rPr>
      <w:rFonts w:ascii="宋体" w:hAnsi="宋体" w:eastAsia="宋体" w:cs="Times New Roman"/>
      <w:b/>
      <w:sz w:val="28"/>
      <w:szCs w:val="24"/>
      <w:u w:val="single"/>
    </w:rPr>
  </w:style>
  <w:style w:type="paragraph" w:customStyle="1" w:styleId="534">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53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hAnsi="Times New Roman" w:eastAsia="宋体" w:cs="Times New Roman"/>
      <w:b/>
      <w:kern w:val="0"/>
      <w:sz w:val="24"/>
      <w:szCs w:val="20"/>
    </w:rPr>
  </w:style>
  <w:style w:type="paragraph" w:customStyle="1" w:styleId="536">
    <w:name w:val="font2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37">
    <w:name w:val="My标题3"/>
    <w:basedOn w:val="4"/>
    <w:next w:val="1"/>
    <w:qFormat/>
    <w:uiPriority w:val="0"/>
    <w:pPr>
      <w:tabs>
        <w:tab w:val="left" w:pos="1080"/>
        <w:tab w:val="clear" w:pos="778"/>
      </w:tabs>
      <w:spacing w:beforeLines="0" w:afterLines="0" w:line="413" w:lineRule="auto"/>
      <w:ind w:left="709" w:hanging="709" w:firstLineChars="0"/>
    </w:pPr>
    <w:rPr>
      <w:rFonts w:hAnsi="Arial"/>
      <w:b w:val="0"/>
      <w:sz w:val="24"/>
    </w:rPr>
  </w:style>
  <w:style w:type="paragraph" w:customStyle="1" w:styleId="538">
    <w:name w:val="正文文本缩进1"/>
    <w:basedOn w:val="1"/>
    <w:next w:val="1"/>
    <w:qFormat/>
    <w:uiPriority w:val="0"/>
    <w:pPr>
      <w:widowControl/>
      <w:spacing w:after="120"/>
      <w:ind w:left="420"/>
    </w:pPr>
    <w:rPr>
      <w:rFonts w:ascii="Times New Roman" w:hAnsi="Times New Roman" w:eastAsia="宋体" w:cs="Times New Roman"/>
      <w:color w:val="000000"/>
      <w:szCs w:val="20"/>
    </w:rPr>
  </w:style>
  <w:style w:type="paragraph" w:customStyle="1" w:styleId="539">
    <w:name w:val="xl86"/>
    <w:basedOn w:val="1"/>
    <w:qFormat/>
    <w:uiPriority w:val="0"/>
    <w:pPr>
      <w:widowControl/>
      <w:shd w:val="clear" w:color="auto" w:fill="C0C0C0"/>
      <w:spacing w:before="100" w:beforeAutospacing="1" w:after="100" w:afterAutospacing="1"/>
      <w:jc w:val="left"/>
    </w:pPr>
    <w:rPr>
      <w:rFonts w:ascii="Arial" w:hAnsi="Arial" w:eastAsia="宋体" w:cs="Arial"/>
      <w:color w:val="000000"/>
      <w:kern w:val="0"/>
      <w:sz w:val="24"/>
      <w:szCs w:val="24"/>
    </w:rPr>
  </w:style>
  <w:style w:type="paragraph" w:customStyle="1" w:styleId="540">
    <w:name w:val="文档结构图1"/>
    <w:basedOn w:val="1"/>
    <w:next w:val="1"/>
    <w:qFormat/>
    <w:uiPriority w:val="0"/>
    <w:pPr>
      <w:widowControl/>
      <w:shd w:val="clear" w:color="auto" w:fill="000080"/>
    </w:pPr>
    <w:rPr>
      <w:rFonts w:ascii="Times New Roman" w:hAnsi="Times New Roman" w:eastAsia="宋体" w:cs="Times New Roman"/>
      <w:color w:val="000000"/>
      <w:szCs w:val="20"/>
    </w:rPr>
  </w:style>
  <w:style w:type="paragraph" w:customStyle="1" w:styleId="541">
    <w:name w:val="xl9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42">
    <w:name w:val="xl72"/>
    <w:basedOn w:val="1"/>
    <w:qFormat/>
    <w:uiPriority w:val="0"/>
    <w:pPr>
      <w:widowControl/>
      <w:spacing w:before="100" w:beforeAutospacing="1" w:after="100" w:afterAutospacing="1"/>
      <w:jc w:val="center"/>
    </w:pPr>
    <w:rPr>
      <w:rFonts w:ascii="Arial" w:hAnsi="Arial" w:eastAsia="宋体" w:cs="Arial"/>
      <w:color w:val="000000"/>
      <w:kern w:val="0"/>
      <w:sz w:val="24"/>
      <w:szCs w:val="24"/>
    </w:rPr>
  </w:style>
  <w:style w:type="paragraph" w:customStyle="1" w:styleId="543">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eastAsia="宋体" w:cs="Times New Roman"/>
      <w:color w:val="000000"/>
      <w:kern w:val="0"/>
      <w:szCs w:val="20"/>
    </w:rPr>
  </w:style>
  <w:style w:type="paragraph" w:customStyle="1" w:styleId="544">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5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18"/>
    </w:rPr>
  </w:style>
  <w:style w:type="paragraph" w:customStyle="1" w:styleId="546">
    <w:name w:val="Char Char Char1"/>
    <w:basedOn w:val="1"/>
    <w:qFormat/>
    <w:uiPriority w:val="0"/>
    <w:rPr>
      <w:rFonts w:ascii="Tahoma" w:hAnsi="Tahoma" w:eastAsia="宋体" w:cs="Times New Roman"/>
      <w:sz w:val="24"/>
      <w:szCs w:val="20"/>
    </w:rPr>
  </w:style>
  <w:style w:type="paragraph" w:customStyle="1" w:styleId="547">
    <w:name w:val="标题5"/>
    <w:basedOn w:val="7"/>
    <w:next w:val="1"/>
    <w:qFormat/>
    <w:uiPriority w:val="0"/>
    <w:pPr>
      <w:keepLines w:val="0"/>
      <w:tabs>
        <w:tab w:val="clear" w:pos="1198"/>
      </w:tabs>
      <w:spacing w:beforeLines="100"/>
      <w:ind w:left="0" w:firstLine="0"/>
    </w:pPr>
    <w:rPr>
      <w:rFonts w:ascii="宋体" w:hAnsi="宋体"/>
      <w:bCs/>
      <w:sz w:val="24"/>
      <w:szCs w:val="24"/>
    </w:rPr>
  </w:style>
  <w:style w:type="paragraph" w:customStyle="1" w:styleId="548">
    <w:name w:val="Char Char Char Char Char Char Char1"/>
    <w:basedOn w:val="1"/>
    <w:qFormat/>
    <w:uiPriority w:val="0"/>
    <w:pPr>
      <w:widowControl/>
      <w:spacing w:after="160" w:line="240" w:lineRule="exact"/>
      <w:jc w:val="left"/>
    </w:pPr>
    <w:rPr>
      <w:rFonts w:ascii="Arial" w:hAnsi="Arial" w:eastAsia="Times New Roman" w:cs="Times New Roman"/>
      <w:b/>
      <w:kern w:val="0"/>
      <w:sz w:val="24"/>
      <w:szCs w:val="20"/>
      <w:lang w:eastAsia="en-US"/>
    </w:rPr>
  </w:style>
  <w:style w:type="paragraph" w:customStyle="1" w:styleId="549">
    <w:name w:val="flName"/>
    <w:basedOn w:val="262"/>
    <w:qFormat/>
    <w:uiPriority w:val="0"/>
    <w:rPr>
      <w:sz w:val="32"/>
    </w:rPr>
  </w:style>
  <w:style w:type="paragraph" w:customStyle="1" w:styleId="550">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551">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kern w:val="0"/>
      <w:sz w:val="20"/>
      <w:szCs w:val="20"/>
    </w:rPr>
  </w:style>
  <w:style w:type="paragraph" w:customStyle="1" w:styleId="552">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eastAsia="宋体" w:cs="Times New Roman"/>
      <w:b/>
      <w:color w:val="000000"/>
      <w:kern w:val="0"/>
      <w:sz w:val="20"/>
      <w:szCs w:val="20"/>
    </w:rPr>
  </w:style>
  <w:style w:type="paragraph" w:customStyle="1" w:styleId="55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554">
    <w:name w:val="正文缩进 3"/>
    <w:basedOn w:val="1"/>
    <w:qFormat/>
    <w:uiPriority w:val="0"/>
    <w:pPr>
      <w:adjustRightInd w:val="0"/>
      <w:spacing w:line="400" w:lineRule="atLeast"/>
      <w:ind w:left="600" w:leftChars="600" w:firstLine="454"/>
      <w:textAlignment w:val="baseline"/>
    </w:pPr>
    <w:rPr>
      <w:rFonts w:ascii="Times New Roman" w:hAnsi="Times New Roman" w:eastAsia="宋体" w:cs="Times New Roman"/>
      <w:kern w:val="0"/>
      <w:sz w:val="24"/>
      <w:szCs w:val="20"/>
    </w:rPr>
  </w:style>
  <w:style w:type="paragraph" w:customStyle="1" w:styleId="5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556">
    <w:name w:val="My正文"/>
    <w:basedOn w:val="1"/>
    <w:qFormat/>
    <w:uiPriority w:val="0"/>
    <w:pPr>
      <w:adjustRightInd w:val="0"/>
      <w:spacing w:before="120" w:line="360" w:lineRule="auto"/>
      <w:ind w:firstLine="567"/>
    </w:pPr>
    <w:rPr>
      <w:rFonts w:ascii="Arial" w:hAnsi="Arial" w:eastAsia="宋体" w:cs="Times New Roman"/>
      <w:kern w:val="0"/>
      <w:sz w:val="24"/>
      <w:szCs w:val="20"/>
    </w:rPr>
  </w:style>
  <w:style w:type="paragraph" w:customStyle="1" w:styleId="557">
    <w:name w:val="Normal_0"/>
    <w:qFormat/>
    <w:uiPriority w:val="0"/>
    <w:rPr>
      <w:rFonts w:ascii="Times New Roman" w:hAnsi="Times New Roman" w:eastAsia="Times New Roman" w:cs="Times New Roman"/>
      <w:sz w:val="24"/>
      <w:szCs w:val="24"/>
      <w:lang w:val="en-US" w:eastAsia="zh-CN" w:bidi="ar-SA"/>
    </w:rPr>
  </w:style>
  <w:style w:type="paragraph" w:customStyle="1" w:styleId="558">
    <w:name w:val="表格文字"/>
    <w:basedOn w:val="1"/>
    <w:next w:val="6"/>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559">
    <w:name w:val="文本正文宋体缩进"/>
    <w:basedOn w:val="1"/>
    <w:next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560">
    <w:name w:val="正文文本缩进 21"/>
    <w:basedOn w:val="1"/>
    <w:qFormat/>
    <w:uiPriority w:val="0"/>
    <w:pPr>
      <w:spacing w:after="120" w:line="480" w:lineRule="auto"/>
      <w:ind w:left="420" w:leftChars="200" w:firstLine="200" w:firstLineChars="200"/>
    </w:pPr>
    <w:rPr>
      <w:rFonts w:ascii="仿宋_GB2312" w:hAnsi="Times New Roman" w:eastAsia="仿宋_GB2312" w:cs="Times New Roman"/>
      <w:sz w:val="28"/>
      <w:szCs w:val="28"/>
    </w:rPr>
  </w:style>
  <w:style w:type="paragraph" w:customStyle="1" w:styleId="561">
    <w:name w:val="正文 New New New"/>
    <w:qFormat/>
    <w:uiPriority w:val="0"/>
    <w:pPr>
      <w:widowControl w:val="0"/>
      <w:jc w:val="both"/>
    </w:pPr>
    <w:rPr>
      <w:rFonts w:ascii="等线" w:hAnsi="等线" w:eastAsia="等线" w:cs="Times New Roman"/>
      <w:kern w:val="2"/>
      <w:sz w:val="21"/>
      <w:szCs w:val="24"/>
      <w:lang w:val="en-US" w:eastAsia="zh-CN" w:bidi="ar-SA"/>
    </w:rPr>
  </w:style>
  <w:style w:type="table" w:customStyle="1" w:styleId="562">
    <w:name w:val="网格型1"/>
    <w:basedOn w:val="79"/>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22743</Words>
  <Characters>24910</Characters>
  <Lines>388</Lines>
  <Paragraphs>109</Paragraphs>
  <TotalTime>195</TotalTime>
  <ScaleCrop>false</ScaleCrop>
  <LinksUpToDate>false</LinksUpToDate>
  <CharactersWithSpaces>25137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2022-11-03T15:40:00Z</dcterms:created>
  <dc:creator>xb21cn</dc:creator>
  <cp:lastModifiedBy>Joyce</cp:lastModifiedBy>
  <cp:lastPrinted>2025-01-08T01:07:00Z</cp:lastPrinted>
  <dcterms:modified xsi:type="dcterms:W3CDTF">2025-01-14T06:55:32Z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A4F368EA633C486598DE5D6E5CE0DB1E_13</vt:lpwstr>
  </property>
  <property fmtid="{D5CDD505-2E9C-101B-9397-08002B2CF9AE}" pid="4" name="KSOTemplateDocerSaveRecord">
    <vt:lpwstr>eyJoZGlkIjoiZmRkYjAxZTcxMjQ4MTQ1ZDM0NTA5M2VmODhkMDZiNGIiLCJ1c2VySWQiOiIzNjQ0Nzk0NzUifQ==</vt:lpwstr>
  </property>
</Properties>
</file>