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color w:val="auto"/>
          <w:sz w:val="48"/>
          <w:szCs w:val="48"/>
          <w:highlight w:val="none"/>
        </w:rPr>
      </w:pPr>
    </w:p>
    <w:p>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中国扇博物馆馆区建筑修缮及环境</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eastAsia="zh-CN"/>
        </w:rPr>
        <w:t>提升工程</w:t>
      </w:r>
      <w:r>
        <w:rPr>
          <w:rFonts w:hint="eastAsia" w:ascii="宋体" w:hAnsi="宋体" w:cs="宋体"/>
          <w:color w:val="auto"/>
          <w:sz w:val="48"/>
          <w:szCs w:val="48"/>
          <w:highlight w:val="none"/>
        </w:rPr>
        <w:t xml:space="preserve">竞争性磋商文件 </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 （电子交易）</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drawing>
          <wp:inline distT="0" distB="0" distL="114300" distR="114300">
            <wp:extent cx="1203325" cy="1596390"/>
            <wp:effectExtent l="0" t="0" r="1587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1203325" cy="1596390"/>
                    </a:xfrm>
                    <a:prstGeom prst="rect">
                      <a:avLst/>
                    </a:prstGeom>
                    <a:noFill/>
                    <a:ln>
                      <a:noFill/>
                    </a:ln>
                  </pic:spPr>
                </pic:pic>
              </a:graphicData>
            </a:graphic>
          </wp:inline>
        </w:drawing>
      </w:r>
    </w:p>
    <w:p>
      <w:pPr>
        <w:spacing w:line="360" w:lineRule="auto"/>
        <w:jc w:val="center"/>
        <w:rPr>
          <w:rFonts w:ascii="宋体" w:hAnsi="宋体" w:cs="宋体"/>
          <w:color w:val="auto"/>
          <w:sz w:val="24"/>
          <w:highlight w:val="none"/>
        </w:rPr>
      </w:pPr>
    </w:p>
    <w:p>
      <w:pPr>
        <w:snapToGrid w:val="0"/>
        <w:spacing w:line="360" w:lineRule="auto"/>
        <w:ind w:firstLine="3000" w:firstLineChars="1000"/>
        <w:rPr>
          <w:rFonts w:hint="eastAsia" w:ascii="宋体" w:hAnsi="宋体" w:eastAsia="宋体" w:cs="宋体"/>
          <w:bCs/>
          <w:color w:val="auto"/>
          <w:sz w:val="30"/>
          <w:szCs w:val="30"/>
          <w:highlight w:val="none"/>
          <w:u w:val="single"/>
          <w:lang w:eastAsia="zh-CN"/>
        </w:rPr>
      </w:pPr>
      <w:r>
        <w:rPr>
          <w:rFonts w:hint="eastAsia" w:ascii="宋体" w:hAnsi="宋体" w:cs="宋体"/>
          <w:bCs/>
          <w:color w:val="auto"/>
          <w:sz w:val="30"/>
          <w:szCs w:val="30"/>
          <w:highlight w:val="none"/>
        </w:rPr>
        <w:t>项目编号：</w:t>
      </w:r>
      <w:r>
        <w:rPr>
          <w:rFonts w:hint="eastAsia" w:ascii="宋体" w:hAnsi="宋体" w:cs="宋体"/>
          <w:bCs/>
          <w:color w:val="auto"/>
          <w:sz w:val="30"/>
          <w:szCs w:val="30"/>
          <w:highlight w:val="none"/>
          <w:lang w:eastAsia="zh-CN"/>
        </w:rPr>
        <w:t>DFJW2025-GS-001</w:t>
      </w:r>
    </w:p>
    <w:p>
      <w:pPr>
        <w:pStyle w:val="61"/>
        <w:spacing w:line="360" w:lineRule="auto"/>
        <w:ind w:firstLine="420"/>
        <w:rPr>
          <w:rFonts w:cs="宋体"/>
          <w:color w:val="auto"/>
          <w:highlight w:val="none"/>
        </w:rPr>
      </w:pPr>
    </w:p>
    <w:p>
      <w:pPr>
        <w:pStyle w:val="61"/>
        <w:spacing w:line="360" w:lineRule="auto"/>
        <w:ind w:firstLine="420"/>
        <w:rPr>
          <w:rFonts w:cs="宋体"/>
          <w:color w:val="auto"/>
          <w:highlight w:val="none"/>
        </w:rPr>
      </w:pPr>
    </w:p>
    <w:p>
      <w:pPr>
        <w:snapToGrid w:val="0"/>
        <w:spacing w:line="360" w:lineRule="auto"/>
        <w:jc w:val="center"/>
        <w:rPr>
          <w:rFonts w:ascii="宋体" w:hAnsi="宋体" w:cs="宋体"/>
          <w:bCs/>
          <w:color w:val="auto"/>
          <w:sz w:val="30"/>
          <w:szCs w:val="30"/>
          <w:highlight w:val="none"/>
        </w:rPr>
      </w:pPr>
      <w:r>
        <w:rPr>
          <w:rFonts w:hint="eastAsia" w:ascii="宋体" w:hAnsi="宋体" w:cs="宋体"/>
          <w:bCs/>
          <w:color w:val="auto"/>
          <w:sz w:val="30"/>
          <w:szCs w:val="30"/>
          <w:highlight w:val="none"/>
          <w:lang w:val="en-US" w:eastAsia="zh-CN"/>
        </w:rPr>
        <w:t xml:space="preserve">        </w:t>
      </w:r>
      <w:r>
        <w:rPr>
          <w:rFonts w:hint="eastAsia" w:ascii="宋体" w:hAnsi="宋体" w:cs="宋体"/>
          <w:bCs/>
          <w:color w:val="auto"/>
          <w:sz w:val="30"/>
          <w:szCs w:val="30"/>
          <w:highlight w:val="none"/>
        </w:rPr>
        <w:t>采购人：杭州工艺美术博物馆(杭州中国刀剪剑、</w:t>
      </w:r>
    </w:p>
    <w:p>
      <w:pPr>
        <w:snapToGrid w:val="0"/>
        <w:spacing w:line="360" w:lineRule="auto"/>
        <w:jc w:val="center"/>
        <w:rPr>
          <w:rFonts w:ascii="宋体" w:hAnsi="宋体" w:cs="宋体"/>
          <w:bCs/>
          <w:color w:val="auto"/>
          <w:sz w:val="30"/>
          <w:szCs w:val="30"/>
          <w:highlight w:val="none"/>
        </w:rPr>
      </w:pPr>
      <w:r>
        <w:rPr>
          <w:rFonts w:hint="eastAsia" w:ascii="宋体" w:hAnsi="宋体" w:cs="宋体"/>
          <w:bCs/>
          <w:color w:val="auto"/>
          <w:sz w:val="30"/>
          <w:szCs w:val="30"/>
          <w:highlight w:val="none"/>
        </w:rPr>
        <w:t>扇业、伞业博物馆）</w:t>
      </w:r>
      <w:r>
        <w:rPr>
          <w:rFonts w:hint="eastAsia" w:ascii="宋体" w:hAnsi="宋体" w:cs="宋体"/>
          <w:bCs/>
          <w:color w:val="auto"/>
          <w:sz w:val="30"/>
          <w:szCs w:val="30"/>
          <w:highlight w:val="none"/>
        </w:rPr>
        <w:br w:type="textWrapping"/>
      </w:r>
      <w:r>
        <w:rPr>
          <w:rFonts w:hint="eastAsia" w:ascii="宋体" w:hAnsi="宋体" w:cs="宋体"/>
          <w:bCs/>
          <w:color w:val="auto"/>
          <w:sz w:val="30"/>
          <w:szCs w:val="30"/>
          <w:highlight w:val="none"/>
        </w:rPr>
        <w:tab/>
      </w:r>
      <w:r>
        <w:rPr>
          <w:rFonts w:hint="eastAsia" w:ascii="宋体" w:hAnsi="宋体" w:cs="宋体"/>
          <w:bCs/>
          <w:color w:val="auto"/>
          <w:sz w:val="30"/>
          <w:szCs w:val="30"/>
          <w:highlight w:val="none"/>
        </w:rPr>
        <w:t>采购代理机构：东方经纬项目管理有限公司</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0"/>
          <w:szCs w:val="30"/>
          <w:highlight w:val="none"/>
        </w:rPr>
        <w:t>二〇二</w:t>
      </w:r>
      <w:r>
        <w:rPr>
          <w:rFonts w:hint="eastAsia" w:ascii="宋体" w:hAnsi="宋体" w:cs="宋体"/>
          <w:bCs/>
          <w:color w:val="auto"/>
          <w:sz w:val="30"/>
          <w:szCs w:val="30"/>
          <w:highlight w:val="none"/>
          <w:lang w:eastAsia="zh-CN"/>
        </w:rPr>
        <w:t>五</w:t>
      </w:r>
      <w:r>
        <w:rPr>
          <w:rFonts w:hint="eastAsia" w:ascii="宋体" w:hAnsi="宋体" w:cs="宋体"/>
          <w:bCs/>
          <w:color w:val="auto"/>
          <w:sz w:val="30"/>
          <w:szCs w:val="30"/>
          <w:highlight w:val="none"/>
        </w:rPr>
        <w:t>年</w:t>
      </w:r>
      <w:r>
        <w:rPr>
          <w:rFonts w:hint="eastAsia" w:ascii="宋体" w:hAnsi="宋体" w:cs="宋体"/>
          <w:bCs/>
          <w:color w:val="auto"/>
          <w:sz w:val="30"/>
          <w:szCs w:val="30"/>
          <w:highlight w:val="none"/>
          <w:lang w:eastAsia="zh-CN"/>
        </w:rPr>
        <w:t>一</w:t>
      </w:r>
      <w:r>
        <w:rPr>
          <w:rFonts w:hint="eastAsia" w:ascii="宋体" w:hAnsi="宋体" w:cs="宋体"/>
          <w:bCs/>
          <w:color w:val="auto"/>
          <w:sz w:val="30"/>
          <w:szCs w:val="30"/>
          <w:highlight w:val="none"/>
        </w:rPr>
        <w:t>月</w:t>
      </w:r>
      <w:r>
        <w:rPr>
          <w:rFonts w:hint="eastAsia" w:ascii="宋体" w:hAnsi="宋体" w:cs="宋体"/>
          <w:bCs/>
          <w:color w:val="auto"/>
          <w:sz w:val="30"/>
          <w:szCs w:val="30"/>
          <w:highlight w:val="none"/>
          <w:lang w:eastAsia="zh-CN"/>
        </w:rPr>
        <w:t>二十</w:t>
      </w:r>
      <w:r>
        <w:rPr>
          <w:rFonts w:hint="eastAsia" w:ascii="宋体" w:hAnsi="宋体" w:cs="宋体"/>
          <w:bCs/>
          <w:color w:val="auto"/>
          <w:sz w:val="30"/>
          <w:szCs w:val="30"/>
          <w:highlight w:val="none"/>
          <w:lang w:val="en-US" w:eastAsia="zh-CN"/>
        </w:rPr>
        <w:t>六</w:t>
      </w:r>
      <w:r>
        <w:rPr>
          <w:rFonts w:hint="eastAsia" w:ascii="宋体" w:hAnsi="宋体" w:cs="宋体"/>
          <w:bCs/>
          <w:color w:val="auto"/>
          <w:sz w:val="30"/>
          <w:szCs w:val="30"/>
          <w:highlight w:val="none"/>
        </w:rPr>
        <w:t>日</w:t>
      </w:r>
    </w:p>
    <w:p>
      <w:pPr>
        <w:spacing w:line="360" w:lineRule="auto"/>
        <w:jc w:val="center"/>
        <w:rPr>
          <w:rFonts w:ascii="宋体" w:hAnsi="宋体" w:cs="宋体"/>
          <w:color w:val="auto"/>
          <w:sz w:val="24"/>
          <w:highlight w:val="none"/>
        </w:rPr>
      </w:pP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cols w:space="720" w:num="1"/>
          <w:titlePg/>
          <w:docGrid w:linePitch="312" w:charSpace="0"/>
        </w:sect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1280" w:firstLineChars="400"/>
        <w:rPr>
          <w:rFonts w:ascii="宋体" w:hAnsi="宋体" w:cs="宋体"/>
          <w:color w:val="auto"/>
          <w:sz w:val="32"/>
          <w:szCs w:val="32"/>
          <w:highlight w:val="none"/>
        </w:rPr>
      </w:pP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jc w:val="center"/>
        <w:outlineLvl w:val="0"/>
        <w:rPr>
          <w:rFonts w:ascii="宋体" w:hAnsi="宋体" w:cs="宋体"/>
          <w:b/>
          <w:color w:val="auto"/>
          <w:sz w:val="36"/>
          <w:szCs w:val="20"/>
          <w:highlight w:val="none"/>
        </w:rPr>
      </w:pPr>
      <w:r>
        <w:rPr>
          <w:rFonts w:ascii="宋体" w:hAnsi="宋体" w:cs="宋体"/>
          <w:color w:val="auto"/>
          <w:sz w:val="24"/>
          <w:highlight w:val="none"/>
        </w:rPr>
        <w:br w:type="column"/>
      </w:r>
      <w:bookmarkEnd w:id="2"/>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中国扇博物馆馆区建筑修缮及环境提升工程</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w:t>
      </w:r>
      <w:r>
        <w:rPr>
          <w:rFonts w:hint="eastAsia" w:ascii="宋体" w:hAnsi="宋体" w:cs="宋体"/>
          <w:color w:val="auto"/>
          <w:sz w:val="24"/>
          <w:highlight w:val="none"/>
        </w:rPr>
        <w:t>）</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w:t>
      </w:r>
      <w:r>
        <w:rPr>
          <w:rStyle w:val="76"/>
          <w:rFonts w:hint="eastAsia" w:ascii="宋体" w:hAnsi="宋体" w:eastAsia="宋体" w:cs="宋体"/>
          <w:snapToGrid/>
          <w:color w:val="auto"/>
          <w:kern w:val="2"/>
          <w:sz w:val="24"/>
          <w:szCs w:val="24"/>
          <w:highlight w:val="none"/>
        </w:rPr>
        <w:t>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日14点00分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DFJW2025-GS-001</w:t>
      </w:r>
    </w:p>
    <w:p>
      <w:pPr>
        <w:snapToGrid w:val="0"/>
        <w:spacing w:line="360" w:lineRule="auto"/>
        <w:ind w:firstLine="482" w:firstLineChars="200"/>
        <w:rPr>
          <w:rFonts w:hint="eastAsia" w:ascii="宋体" w:hAnsi="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中国扇博物馆馆区建筑修缮及环境提升工程</w:t>
      </w:r>
    </w:p>
    <w:p>
      <w:pPr>
        <w:snapToGrid w:val="0"/>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color w:val="auto"/>
          <w:sz w:val="24"/>
          <w:highlight w:val="none"/>
          <w:lang w:val="en-US" w:eastAsia="zh-CN"/>
        </w:rPr>
        <w:t>2934809</w:t>
      </w:r>
    </w:p>
    <w:p>
      <w:pPr>
        <w:snapToGrid w:val="0"/>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2929538</w:t>
      </w:r>
      <w:bookmarkStart w:id="1026" w:name="_GoBack"/>
      <w:bookmarkEnd w:id="1026"/>
    </w:p>
    <w:p>
      <w:pPr>
        <w:pStyle w:val="5"/>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中国扇博物馆馆区建筑修缮及环境提升工程</w:t>
      </w:r>
      <w:r>
        <w:rPr>
          <w:rFonts w:hint="eastAsia" w:hAnsi="宋体" w:cs="宋体"/>
          <w:bCs/>
          <w:snapToGrid/>
          <w:color w:val="auto"/>
          <w:kern w:val="2"/>
          <w:sz w:val="24"/>
          <w:szCs w:val="24"/>
          <w:highlight w:val="none"/>
        </w:rPr>
        <w:t>主要内容：部分屋面漏水维修、部分墙面维修、入口卫生间改造、展厅部分空调更新、室外局部环境提升改造等内容。详见</w:t>
      </w:r>
      <w:r>
        <w:rPr>
          <w:rFonts w:hint="eastAsia" w:hAnsi="宋体" w:cs="宋体"/>
          <w:bCs/>
          <w:snapToGrid/>
          <w:color w:val="auto"/>
          <w:kern w:val="2"/>
          <w:sz w:val="24"/>
          <w:szCs w:val="24"/>
          <w:highlight w:val="none"/>
          <w:lang w:eastAsia="zh-CN"/>
        </w:rPr>
        <w:t>竞争性磋商文件</w:t>
      </w:r>
      <w:r>
        <w:rPr>
          <w:rFonts w:hint="eastAsia" w:hAnsi="宋体" w:cs="宋体"/>
          <w:bCs/>
          <w:snapToGrid/>
          <w:color w:val="auto"/>
          <w:kern w:val="2"/>
          <w:sz w:val="24"/>
          <w:szCs w:val="24"/>
          <w:highlight w:val="none"/>
        </w:rPr>
        <w:t>第三部分采购需求。</w:t>
      </w:r>
    </w:p>
    <w:p>
      <w:pPr>
        <w:pStyle w:val="128"/>
        <w:snapToGrid w:val="0"/>
        <w:spacing w:before="0"/>
        <w:ind w:firstLine="482"/>
        <w:rPr>
          <w:rFonts w:hint="default"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bCs/>
          <w:color w:val="auto"/>
          <w:highlight w:val="none"/>
          <w:lang w:val="en-US" w:eastAsia="zh-CN"/>
        </w:rPr>
        <w:t>120</w:t>
      </w:r>
      <w:r>
        <w:rPr>
          <w:rFonts w:hint="eastAsia" w:ascii="宋体" w:hAnsi="宋体" w:cs="宋体"/>
          <w:bCs/>
          <w:color w:val="auto"/>
          <w:highlight w:val="none"/>
        </w:rPr>
        <w:t>日历天。</w:t>
      </w:r>
      <w:r>
        <w:rPr>
          <w:rFonts w:hint="eastAsia" w:ascii="宋体" w:hAnsi="宋体" w:cs="宋体"/>
          <w:bCs/>
          <w:color w:val="auto"/>
          <w:highlight w:val="none"/>
          <w:lang w:val="en-US" w:eastAsia="zh-CN"/>
        </w:rPr>
        <w:t>其中馆区空调施工安排在5月1日之后施工，请供应商考虑期间工期停工影响。</w:t>
      </w:r>
    </w:p>
    <w:p>
      <w:pPr>
        <w:pStyle w:val="5"/>
        <w:spacing w:line="360" w:lineRule="auto"/>
        <w:ind w:firstLine="482" w:firstLineChars="200"/>
        <w:rPr>
          <w:rFonts w:hint="default" w:hAnsi="宋体" w:eastAsia="宋体" w:cs="宋体"/>
          <w:b/>
          <w:color w:val="auto"/>
          <w:sz w:val="24"/>
          <w:highlight w:val="none"/>
          <w:lang w:val="en-US" w:eastAsia="zh-CN"/>
        </w:rPr>
      </w:pPr>
      <w:r>
        <w:rPr>
          <w:rFonts w:hint="eastAsia" w:hAnsi="宋体" w:cs="宋体"/>
          <w:b/>
          <w:color w:val="auto"/>
          <w:sz w:val="24"/>
          <w:highlight w:val="none"/>
        </w:rPr>
        <w:t>本项目接受联合体：</w:t>
      </w:r>
    </w:p>
    <w:p>
      <w:pPr>
        <w:pStyle w:val="5"/>
        <w:spacing w:line="360" w:lineRule="auto"/>
        <w:ind w:firstLine="480" w:firstLineChars="200"/>
        <w:rPr>
          <w:rFonts w:hAnsi="宋体" w:cs="宋体"/>
          <w:color w:val="auto"/>
          <w:sz w:val="24"/>
          <w:highlight w:val="none"/>
        </w:rPr>
      </w:pPr>
      <w:sdt>
        <w:sdtPr>
          <w:rPr>
            <w:rFonts w:hint="eastAsia" w:hAnsi="宋体" w:cs="宋体"/>
            <w:color w:val="auto"/>
            <w:kern w:val="0"/>
            <w:sz w:val="24"/>
            <w:highlight w:val="none"/>
          </w:rPr>
          <w:id w:val="2035453831"/>
        </w:sdtPr>
        <w:sdtEndPr>
          <w:rPr>
            <w:rFonts w:hint="eastAsia"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color w:val="auto"/>
          <w:sz w:val="24"/>
          <w:highlight w:val="none"/>
        </w:rPr>
        <w:t>是；</w:t>
      </w:r>
    </w:p>
    <w:p>
      <w:pPr>
        <w:pStyle w:val="5"/>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1765526721"/>
        </w:sdtPr>
        <w:sdtEndPr>
          <w:rPr>
            <w:rFonts w:hint="eastAsia" w:hAnsi="宋体" w:cs="宋体"/>
            <w:color w:val="auto"/>
            <w:kern w:val="0"/>
            <w:sz w:val="24"/>
            <w:highlight w:val="none"/>
          </w:rPr>
        </w:sdtEndPr>
        <w:sdtContent>
          <w:r>
            <w:rPr>
              <w:rFonts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p>
    <w:p>
      <w:pPr>
        <w:pStyle w:val="128"/>
        <w:snapToGrid w:val="0"/>
        <w:spacing w:before="0"/>
        <w:ind w:firstLine="482"/>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二、</w:t>
      </w:r>
      <w:bookmarkStart w:id="10" w:name="_Hlk101132948"/>
      <w:r>
        <w:rPr>
          <w:rFonts w:hint="eastAsia" w:ascii="宋体" w:hAnsi="宋体" w:cs="宋体"/>
          <w:b/>
          <w:color w:val="auto"/>
          <w:sz w:val="24"/>
          <w:highlight w:val="none"/>
        </w:rPr>
        <w:t>申请人的资格要求</w:t>
      </w:r>
      <w:bookmarkEnd w:id="10"/>
      <w:r>
        <w:rPr>
          <w:rFonts w:hint="eastAsia" w:ascii="宋体" w:hAnsi="宋体" w:cs="宋体"/>
          <w:b/>
          <w:color w:val="auto"/>
          <w:sz w:val="24"/>
          <w:highlight w:val="none"/>
        </w:rPr>
        <w:t>：</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92473058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工程全部由符合政策要求的中小企业承建，提供中小企业声明函；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工程全部由符合政策要求的小微企业承建，提供中小企业声明函；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1"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1"/>
    <w:p>
      <w:pPr>
        <w:spacing w:line="360" w:lineRule="auto"/>
        <w:ind w:firstLine="480" w:firstLineChars="200"/>
        <w:rPr>
          <w:color w:val="auto"/>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ascii="宋体" w:hAnsi="宋体" w:cs="宋体"/>
          <w:color w:val="auto"/>
          <w:sz w:val="24"/>
          <w:highlight w:val="none"/>
        </w:rPr>
        <w:t>①</w:t>
      </w:r>
      <w:r>
        <w:rPr>
          <w:rFonts w:hint="eastAsia" w:ascii="宋体" w:hAnsi="宋体" w:cs="宋体"/>
          <w:color w:val="auto"/>
          <w:sz w:val="24"/>
          <w:highlight w:val="none"/>
        </w:rPr>
        <w:t>具有建筑工程施工总承包三级及以上资质；</w:t>
      </w:r>
      <w:r>
        <w:rPr>
          <w:rFonts w:ascii="宋体" w:hAnsi="宋体" w:cs="宋体"/>
          <w:color w:val="auto"/>
          <w:sz w:val="24"/>
          <w:highlight w:val="none"/>
        </w:rPr>
        <w:t>②</w:t>
      </w:r>
      <w:r>
        <w:rPr>
          <w:rFonts w:hint="eastAsia" w:ascii="宋体" w:hAnsi="宋体" w:cs="宋体"/>
          <w:color w:val="auto"/>
          <w:sz w:val="24"/>
          <w:highlight w:val="none"/>
        </w:rPr>
        <w:t>具备企业安全生产许可证。</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三、获取</w:t>
      </w:r>
      <w:r>
        <w:rPr>
          <w:rFonts w:hint="eastAsia" w:ascii="宋体" w:hAnsi="宋体" w:cs="宋体"/>
          <w:b/>
          <w:color w:val="auto"/>
          <w:sz w:val="24"/>
          <w:highlight w:val="none"/>
          <w:lang w:eastAsia="zh-CN"/>
        </w:rPr>
        <w:t>竞争性磋商文件</w:t>
      </w: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供应商登录政采云平台https://www.zcygov.cn/在线申请获取</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（进入“项目采购”应用，在获取</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菜单中选择项目，申请获取</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四、响应文件提交（上传）</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日14点00分</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outlineLvl w:val="1"/>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日14点00分</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pPr>
        <w:spacing w:line="360" w:lineRule="auto"/>
        <w:outlineLvl w:val="1"/>
        <w:rPr>
          <w:rFonts w:ascii="宋体" w:hAnsi="宋体" w:cs="宋体"/>
          <w:color w:val="auto"/>
          <w:sz w:val="24"/>
          <w:highlight w:val="none"/>
        </w:rPr>
      </w:pPr>
      <w:r>
        <w:rPr>
          <w:rFonts w:hint="eastAsia" w:ascii="宋体" w:hAnsi="宋体" w:cs="宋体"/>
          <w:b/>
          <w:color w:val="auto"/>
          <w:sz w:val="24"/>
          <w:highlight w:val="none"/>
        </w:rPr>
        <w:t xml:space="preserve">六、公告期限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七、其他补充事宜</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使自己的权益受到损害的，可以自获取</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之日或者</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公告期限届满之日（公告期限届满后获取</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的获取：使用账号登录或者使用CA登录政采云平台；进入“项目采购”应用，在获取</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菜单中选择项目，获取</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的供应商进行投标活动； ⑥对未按上述方式获取</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的供应商对该文件提出的质疑，采购人或采购代理机构将不予处理；⑦不提供</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第二部分第15点—“备份响应文件”；⑨响应文件的解密：供应商按照平台提示和</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公告期限与竞争性磋商公告的公告期限一致。</w:t>
      </w:r>
    </w:p>
    <w:p>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名称：杭州工艺美术博物馆(杭州中国刀剪剑、扇业、伞业博物馆）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地址：杭州市拱墅区小河路334号</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项目联系人（询问）：冯老师</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项目联系方式（询问）：0571-88197517</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质疑联系人：方老师</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质疑联系方式：0571-88197517</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名称：东方经纬项目管理有限公司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地址：杭州市上城区馆驿后2号泰地万新大厦1号楼9楼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项目联系人（询问）：韦百亮、陈瑞宝</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项目联系方式（询问）：15802100891</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质疑联系人：单老师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质疑联系方式：0571-56783590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称：杭州市财政局政府采购监管处 /浙江省政府采购行政裁决服务中心（杭州）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监督投诉电话：电话：0571-85252453</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政策咨询：陈先生、厉先生，0571-89580460、89580456</w:t>
      </w:r>
    </w:p>
    <w:p>
      <w:pPr>
        <w:spacing w:line="360" w:lineRule="auto"/>
        <w:ind w:firstLine="480"/>
        <w:rPr>
          <w:rFonts w:ascii="宋体" w:hAnsi="宋体" w:cs="宋体"/>
          <w:color w:val="auto"/>
          <w:sz w:val="24"/>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auto"/>
          <w:sz w:val="24"/>
          <w:highlight w:val="none"/>
        </w:rPr>
        <w:t>95763</w:t>
      </w:r>
      <w:r>
        <w:rPr>
          <w:rFonts w:hint="eastAsia" w:ascii="宋体" w:hAnsi="宋体" w:cs="宋体"/>
          <w:color w:val="auto"/>
          <w:sz w:val="24"/>
          <w:highlight w:val="none"/>
        </w:rPr>
        <w:t>获取热线服务帮助。</w:t>
      </w:r>
    </w:p>
    <w:p>
      <w:pPr>
        <w:snapToGrid w:val="0"/>
        <w:spacing w:line="360" w:lineRule="auto"/>
        <w:ind w:firstLine="480" w:firstLineChars="200"/>
        <w:rPr>
          <w:rFonts w:ascii="宋体" w:hAnsi="宋体" w:cs="宋体"/>
          <w:color w:val="auto"/>
          <w:sz w:val="24"/>
          <w:highlight w:val="none"/>
        </w:rPr>
        <w:sectPr>
          <w:footerReference r:id="rId10" w:type="first"/>
          <w:footerReference r:id="rId9" w:type="default"/>
          <w:pgSz w:w="11906" w:h="16838"/>
          <w:pgMar w:top="1440" w:right="1080" w:bottom="1440" w:left="1080" w:header="851" w:footer="992" w:gutter="0"/>
          <w:pgNumType w:start="1"/>
          <w:cols w:space="720" w:num="1"/>
          <w:titlePg/>
          <w:docGrid w:linePitch="312" w:charSpace="0"/>
        </w:sectPr>
      </w:pPr>
      <w:r>
        <w:rPr>
          <w:rFonts w:hint="eastAsia" w:ascii="宋体" w:hAnsi="宋体" w:cs="宋体"/>
          <w:color w:val="auto"/>
          <w:sz w:val="24"/>
          <w:highlight w:val="none"/>
        </w:rPr>
        <w:t>CA问题联系电话（人工）：汇信CA 400-888-4636；天谷CA 400-087-8198。</w:t>
      </w:r>
    </w:p>
    <w:p>
      <w:pPr>
        <w:pStyle w:val="34"/>
        <w:spacing w:line="360" w:lineRule="auto"/>
        <w:jc w:val="center"/>
        <w:outlineLvl w:val="0"/>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7"/>
      <w:r>
        <w:rPr>
          <w:rFonts w:hint="eastAsia" w:hAnsi="宋体" w:cs="宋体"/>
          <w:b/>
          <w:snapToGrid/>
          <w:color w:val="auto"/>
          <w:sz w:val="36"/>
          <w:szCs w:val="20"/>
          <w:highlight w:val="none"/>
        </w:rPr>
        <w:t xml:space="preserve"> 供应商须知</w:t>
      </w:r>
      <w:bookmarkEnd w:id="8"/>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pPr>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u w:val="single"/>
              </w:rPr>
              <w:t>本项目专门面向中小企业采购</w:t>
            </w:r>
            <w:r>
              <w:rPr>
                <w:rFonts w:hint="eastAsia" w:ascii="宋体" w:hAnsi="宋体" w:cs="宋体"/>
                <w:b/>
                <w:bCs/>
                <w:color w:val="auto"/>
                <w:kern w:val="0"/>
                <w:sz w:val="24"/>
                <w:highlight w:val="none"/>
              </w:rPr>
              <w:t>。</w:t>
            </w:r>
          </w:p>
          <w:p>
            <w:pPr>
              <w:spacing w:line="360" w:lineRule="auto"/>
              <w:rPr>
                <w:rFonts w:ascii="宋体" w:hAnsi="宋体" w:cs="宋体"/>
                <w:b/>
                <w:bCs/>
                <w:color w:val="auto"/>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中国扇博物馆馆区建筑修缮及环境提升工程</w:t>
            </w:r>
            <w:r>
              <w:rPr>
                <w:rFonts w:hint="eastAsia" w:ascii="宋体" w:hAnsi="宋体" w:cs="宋体"/>
                <w:color w:val="auto"/>
                <w:kern w:val="0"/>
                <w:sz w:val="24"/>
                <w:highlight w:val="none"/>
              </w:rPr>
              <w:t>，</w:t>
            </w:r>
            <w:r>
              <w:rPr>
                <w:rFonts w:hint="eastAsia" w:ascii="宋体" w:hAnsi="宋体" w:cs="宋体"/>
                <w:b/>
                <w:bCs/>
                <w:color w:val="auto"/>
                <w:sz w:val="24"/>
                <w:highlight w:val="none"/>
              </w:rPr>
              <w:t>属于</w:t>
            </w:r>
            <w:r>
              <w:rPr>
                <w:rFonts w:hint="eastAsia" w:ascii="宋体" w:hAnsi="宋体" w:cs="宋体"/>
                <w:b/>
                <w:bCs/>
                <w:color w:val="auto"/>
                <w:sz w:val="24"/>
                <w:highlight w:val="none"/>
                <w:u w:val="single"/>
              </w:rPr>
              <w:t>【建筑业】</w:t>
            </w:r>
            <w:r>
              <w:rPr>
                <w:rFonts w:hint="eastAsia" w:ascii="宋体" w:hAnsi="宋体" w:cs="宋体"/>
                <w:b/>
                <w:bCs/>
                <w:color w:val="auto"/>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sz w:val="24"/>
                <w:highlight w:val="none"/>
              </w:rPr>
              <w:t>根据工信部联企业〔2011〕300号《关于印发中小企业划型标准规定的通知》规定，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285282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9980297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时间：,地点：，联系人：，联系方式：。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kern w:val="0"/>
                <w:sz w:val="24"/>
                <w:highlight w:val="none"/>
              </w:rPr>
              <w:t>；地点：；联系人</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人。讲解演示结束后按要求解答磋商小组提问。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方式二：现场讲解演示。现场讲解地点为，讲解演示所用电脑等设备由供应商自备。现场讲解演示人员进场时提供讲解人员名单（加盖公章或授权代表签名）及身份证明，否则不得讲解演示。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第二部分11.1。</w:t>
            </w:r>
          </w:p>
          <w:p>
            <w:pPr>
              <w:spacing w:line="360" w:lineRule="auto"/>
              <w:rPr>
                <w:rFonts w:ascii="宋体" w:hAnsi="宋体" w:cs="宋体"/>
                <w:snapToGrid w:val="0"/>
                <w:color w:val="auto"/>
                <w:kern w:val="0"/>
                <w:sz w:val="24"/>
                <w:highlight w:val="none"/>
              </w:rPr>
            </w:pPr>
            <w:r>
              <w:rPr>
                <w:rFonts w:hint="eastAsia" w:ascii="宋体" w:hAnsi="宋体" w:cs="宋体"/>
                <w:color w:val="auto"/>
                <w:kern w:val="0"/>
                <w:sz w:val="24"/>
                <w:highlight w:val="none"/>
                <w:lang w:val="zh-CN"/>
              </w:rPr>
              <w:t>供应商未提供有效的资格证明文件的，视为供应商不具备竞争性磋商文件中规定的资格要求，响应文件无效。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napToGrid w:val="0"/>
              <w:spacing w:line="360" w:lineRule="auto"/>
              <w:jc w:val="center"/>
              <w:rPr>
                <w:rFonts w:ascii="宋体" w:hAnsi="宋体" w:cs="宋体"/>
                <w:color w:val="auto"/>
                <w:sz w:val="24"/>
                <w:highlight w:val="none"/>
              </w:rPr>
            </w:pPr>
          </w:p>
        </w:tc>
        <w:tc>
          <w:tcPr>
            <w:tcW w:w="2093" w:type="dxa"/>
            <w:vMerge w:val="continue"/>
            <w:vAlign w:val="center"/>
          </w:tcPr>
          <w:p>
            <w:pPr>
              <w:snapToGrid w:val="0"/>
              <w:spacing w:line="360" w:lineRule="auto"/>
              <w:jc w:val="center"/>
              <w:rPr>
                <w:rFonts w:ascii="宋体" w:hAnsi="宋体" w:cs="宋体"/>
                <w:b/>
                <w:color w:val="auto"/>
                <w:sz w:val="24"/>
                <w:highlight w:val="none"/>
              </w:rPr>
            </w:pPr>
          </w:p>
        </w:tc>
        <w:tc>
          <w:tcPr>
            <w:tcW w:w="6927"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pPr>
              <w:spacing w:line="360" w:lineRule="auto"/>
              <w:rPr>
                <w:rFonts w:hint="eastAsia" w:ascii="宋体" w:hAnsi="宋体" w:cs="宋体"/>
                <w:snapToGrid w:val="0"/>
                <w:color w:val="auto"/>
                <w:kern w:val="28"/>
                <w:sz w:val="24"/>
                <w:highlight w:val="none"/>
                <w:lang w:val="zh-CN"/>
              </w:rPr>
            </w:pPr>
            <w:r>
              <w:rPr>
                <w:rFonts w:hint="eastAsia" w:ascii="宋体" w:hAnsi="宋体" w:cs="宋体"/>
                <w:snapToGrid w:val="0"/>
                <w:color w:val="auto"/>
                <w:kern w:val="28"/>
                <w:sz w:val="24"/>
                <w:highlight w:val="none"/>
                <w:lang w:val="zh-CN"/>
              </w:rPr>
              <w:t>有关本项目实施所需的所有费用（含税费）均计入报价。</w:t>
            </w:r>
          </w:p>
          <w:p>
            <w:pPr>
              <w:spacing w:line="360" w:lineRule="auto"/>
              <w:rPr>
                <w:rFonts w:hint="eastAsia" w:ascii="宋体" w:hAnsi="宋体" w:cs="宋体"/>
                <w:snapToGrid w:val="0"/>
                <w:color w:val="auto"/>
                <w:kern w:val="28"/>
                <w:sz w:val="24"/>
                <w:highlight w:val="none"/>
                <w:lang w:val="zh-CN"/>
              </w:rPr>
            </w:pPr>
            <w:r>
              <w:rPr>
                <w:rFonts w:hint="eastAsia" w:ascii="宋体" w:hAnsi="宋体" w:cs="宋体"/>
                <w:snapToGrid w:val="0"/>
                <w:color w:val="auto"/>
                <w:kern w:val="28"/>
                <w:sz w:val="24"/>
                <w:highlight w:val="none"/>
                <w:lang w:val="zh-CN"/>
              </w:rPr>
              <w:t>注：投标人报价低于最高限价的50%（不含）以下，应在报价文件中详细阐述不影响服务质量或者诚信履约的具体理由及依据，并提供针对建筑修缮及环境提升的各项经营成本进行分析。</w:t>
            </w:r>
          </w:p>
          <w:p>
            <w:pPr>
              <w:spacing w:line="360" w:lineRule="auto"/>
              <w:rPr>
                <w:rFonts w:hint="eastAsia" w:ascii="宋体" w:hAnsi="宋体" w:cs="宋体"/>
                <w:snapToGrid w:val="0"/>
                <w:color w:val="auto"/>
                <w:kern w:val="28"/>
                <w:sz w:val="24"/>
                <w:highlight w:val="none"/>
                <w:lang w:val="zh-CN"/>
              </w:rPr>
            </w:pPr>
            <w:r>
              <w:rPr>
                <w:rFonts w:hint="eastAsia" w:ascii="宋体" w:hAnsi="宋体" w:cs="宋体"/>
                <w:snapToGrid w:val="0"/>
                <w:color w:val="auto"/>
                <w:kern w:val="28"/>
                <w:sz w:val="24"/>
                <w:highlight w:val="none"/>
              </w:rPr>
              <w:t>报价单是报价的唯一载体</w:t>
            </w:r>
            <w:r>
              <w:rPr>
                <w:rFonts w:hint="eastAsia" w:ascii="宋体" w:hAnsi="宋体" w:cs="宋体"/>
                <w:snapToGrid w:val="0"/>
                <w:color w:val="auto"/>
                <w:kern w:val="28"/>
                <w:sz w:val="24"/>
                <w:highlight w:val="none"/>
                <w:lang w:val="zh-CN"/>
              </w:rPr>
              <w:t>。响应文件中价格全部采用人民币报价。竞争性磋商文件未列明，而供应商认为必需的费用也需列入报价。提醒：验收时检测费用由采购人承担，不包含在总价中。</w:t>
            </w:r>
          </w:p>
          <w:p>
            <w:pPr>
              <w:spacing w:line="360" w:lineRule="auto"/>
              <w:rPr>
                <w:rFonts w:hint="eastAsia" w:ascii="宋体" w:hAnsi="宋体" w:cs="宋体"/>
                <w:snapToGrid w:val="0"/>
                <w:color w:val="auto"/>
                <w:kern w:val="28"/>
                <w:sz w:val="24"/>
                <w:highlight w:val="none"/>
                <w:lang w:val="zh-CN"/>
              </w:rPr>
            </w:pPr>
            <w:r>
              <w:rPr>
                <w:rFonts w:hint="eastAsia" w:ascii="宋体" w:hAnsi="宋体" w:cs="宋体"/>
                <w:snapToGrid w:val="0"/>
                <w:color w:val="auto"/>
                <w:kern w:val="28"/>
                <w:sz w:val="24"/>
                <w:highlight w:val="none"/>
                <w:lang w:val="zh-CN"/>
              </w:rPr>
              <w:t>最后报价出现下列情形的，响应文件无效：</w:t>
            </w:r>
          </w:p>
          <w:p>
            <w:pPr>
              <w:spacing w:line="360" w:lineRule="auto"/>
              <w:rPr>
                <w:rFonts w:hint="eastAsia" w:ascii="宋体" w:hAnsi="宋体" w:cs="宋体"/>
                <w:snapToGrid w:val="0"/>
                <w:color w:val="auto"/>
                <w:kern w:val="28"/>
                <w:sz w:val="24"/>
                <w:highlight w:val="none"/>
                <w:lang w:val="zh-CN"/>
              </w:rPr>
            </w:pPr>
            <w:r>
              <w:rPr>
                <w:rFonts w:hint="eastAsia" w:ascii="宋体" w:hAnsi="宋体" w:cs="宋体"/>
                <w:snapToGrid w:val="0"/>
                <w:color w:val="auto"/>
                <w:kern w:val="28"/>
                <w:sz w:val="24"/>
                <w:highlight w:val="none"/>
                <w:lang w:val="zh-CN"/>
              </w:rPr>
              <w:t>响应文件出现不是唯一的、有选择性最后报价的；</w:t>
            </w:r>
          </w:p>
          <w:p>
            <w:pPr>
              <w:spacing w:line="360" w:lineRule="auto"/>
              <w:rPr>
                <w:rFonts w:hint="eastAsia" w:ascii="宋体" w:hAnsi="宋体" w:cs="宋体"/>
                <w:snapToGrid w:val="0"/>
                <w:color w:val="auto"/>
                <w:kern w:val="28"/>
                <w:sz w:val="24"/>
                <w:highlight w:val="none"/>
                <w:lang w:val="zh-CN"/>
              </w:rPr>
            </w:pPr>
            <w:r>
              <w:rPr>
                <w:rFonts w:hint="eastAsia" w:ascii="宋体" w:hAnsi="宋体" w:cs="宋体"/>
                <w:snapToGrid w:val="0"/>
                <w:color w:val="auto"/>
                <w:kern w:val="28"/>
                <w:sz w:val="24"/>
                <w:highlight w:val="none"/>
                <w:lang w:val="zh-CN"/>
              </w:rPr>
              <w:t>最后报价超过竞争性磋商文件中规定的预算金额或者最高限价的;</w:t>
            </w:r>
          </w:p>
          <w:p>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报价明显低于其他通过符合性审查供应商的报价，有可能影响产品质量或者不能诚信履约的，未能按要求提供书面说明或者提交相关证明材料证明其报价合理性的;</w:t>
            </w:r>
          </w:p>
          <w:p>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供应商对根据修正原则修正后的报价不确认的。</w:t>
            </w:r>
          </w:p>
          <w:p>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注：</w:t>
            </w:r>
          </w:p>
          <w:p>
            <w:pPr>
              <w:pStyle w:val="24"/>
              <w:jc w:val="left"/>
              <w:rPr>
                <w:b/>
                <w:bCs/>
                <w:color w:val="auto"/>
                <w:highlight w:val="none"/>
              </w:rPr>
            </w:pPr>
            <w:r>
              <w:rPr>
                <w:rFonts w:hint="eastAsia"/>
                <w:b/>
                <w:bCs/>
                <w:color w:val="auto"/>
                <w:highlight w:val="none"/>
              </w:rPr>
              <w:t>1、对馆内</w:t>
            </w:r>
            <w:r>
              <w:rPr>
                <w:rFonts w:hint="eastAsia"/>
                <w:b/>
                <w:bCs/>
                <w:color w:val="auto"/>
                <w:highlight w:val="none"/>
                <w:lang w:val="en-US" w:eastAsia="zh-CN"/>
              </w:rPr>
              <w:t>原展柜、场景</w:t>
            </w:r>
            <w:r>
              <w:rPr>
                <w:rFonts w:hint="eastAsia"/>
                <w:b/>
                <w:bCs/>
                <w:color w:val="auto"/>
                <w:highlight w:val="none"/>
              </w:rPr>
              <w:t>防尘和保护性措施的防护，原有</w:t>
            </w:r>
            <w:r>
              <w:rPr>
                <w:rFonts w:hint="eastAsia"/>
                <w:b/>
                <w:bCs/>
                <w:color w:val="auto"/>
                <w:highlight w:val="none"/>
                <w:lang w:val="en-US" w:eastAsia="zh-CN"/>
              </w:rPr>
              <w:t>地面、</w:t>
            </w:r>
            <w:r>
              <w:rPr>
                <w:rFonts w:hint="eastAsia"/>
                <w:b/>
                <w:bCs/>
                <w:color w:val="auto"/>
                <w:highlight w:val="none"/>
              </w:rPr>
              <w:t>设施、设备进行保护。此项费用请投标单位根据实际情况勘查现场后综合考虑报价。</w:t>
            </w:r>
          </w:p>
          <w:p>
            <w:pPr>
              <w:pStyle w:val="24"/>
              <w:jc w:val="left"/>
              <w:rPr>
                <w:rFonts w:hint="eastAsia"/>
                <w:b/>
                <w:bCs/>
                <w:color w:val="auto"/>
                <w:highlight w:val="none"/>
              </w:rPr>
            </w:pPr>
            <w:r>
              <w:rPr>
                <w:rFonts w:hint="eastAsia"/>
                <w:b/>
                <w:bCs/>
                <w:color w:val="auto"/>
                <w:highlight w:val="none"/>
                <w:lang w:val="en-US" w:eastAsia="zh-CN"/>
              </w:rPr>
              <w:t>2</w:t>
            </w:r>
            <w:r>
              <w:rPr>
                <w:rFonts w:hint="eastAsia"/>
                <w:b/>
                <w:bCs/>
                <w:color w:val="auto"/>
                <w:highlight w:val="none"/>
              </w:rPr>
              <w:t>、</w:t>
            </w:r>
            <w:r>
              <w:rPr>
                <w:rFonts w:hint="eastAsia"/>
                <w:b/>
                <w:bCs/>
                <w:color w:val="auto"/>
                <w:highlight w:val="none"/>
                <w:lang w:val="en-US" w:eastAsia="zh-CN"/>
              </w:rPr>
              <w:t>该工程位于风景区和博物馆区，在施工过程要保证游客的正常出入，对现场的施工围挡、指引要满足博物馆的要求</w:t>
            </w:r>
            <w:r>
              <w:rPr>
                <w:rFonts w:hint="eastAsia"/>
                <w:b/>
                <w:bCs/>
                <w:color w:val="auto"/>
                <w:highlight w:val="none"/>
              </w:rPr>
              <w:t>。</w:t>
            </w:r>
          </w:p>
          <w:p>
            <w:pPr>
              <w:pStyle w:val="25"/>
              <w:ind w:left="0" w:leftChars="0" w:firstLine="482" w:firstLineChars="200"/>
              <w:rPr>
                <w:rFonts w:hint="default" w:eastAsia="宋体"/>
                <w:color w:val="auto"/>
                <w:highlight w:val="none"/>
                <w:lang w:val="en-US" w:eastAsia="zh-CN"/>
              </w:rPr>
            </w:pPr>
            <w:r>
              <w:rPr>
                <w:rFonts w:hint="eastAsia" w:ascii="宋体" w:hAnsi="Calibri" w:eastAsia="宋体" w:cs="Times New Roman"/>
                <w:b/>
                <w:bCs/>
                <w:snapToGrid/>
                <w:color w:val="auto"/>
                <w:kern w:val="2"/>
                <w:sz w:val="24"/>
                <w:szCs w:val="20"/>
                <w:highlight w:val="none"/>
                <w:lang w:val="en-US" w:eastAsia="zh-CN" w:bidi="ar-SA"/>
              </w:rPr>
              <w:t>3、馆区闭馆时间安排在5月1日之后进行闭馆施工，期间造价变动和工期的延长所造成的影响，请</w:t>
            </w:r>
            <w:r>
              <w:rPr>
                <w:rFonts w:hint="eastAsia" w:ascii="宋体" w:hAnsi="Calibri" w:cs="Times New Roman"/>
                <w:b/>
                <w:bCs/>
                <w:snapToGrid/>
                <w:color w:val="auto"/>
                <w:kern w:val="2"/>
                <w:sz w:val="24"/>
                <w:szCs w:val="20"/>
                <w:highlight w:val="none"/>
                <w:lang w:val="en-US" w:eastAsia="zh-CN" w:bidi="ar-SA"/>
              </w:rPr>
              <w:t>供应商</w:t>
            </w:r>
            <w:r>
              <w:rPr>
                <w:rFonts w:hint="eastAsia" w:ascii="宋体" w:hAnsi="Calibri" w:eastAsia="宋体" w:cs="Times New Roman"/>
                <w:b/>
                <w:bCs/>
                <w:snapToGrid/>
                <w:color w:val="auto"/>
                <w:kern w:val="2"/>
                <w:sz w:val="24"/>
                <w:szCs w:val="20"/>
                <w:highlight w:val="none"/>
                <w:lang w:val="en-US" w:eastAsia="zh-CN" w:bidi="ar-SA"/>
              </w:rPr>
              <w:t>综合考虑在报价内。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94" w:hRule="atLeast"/>
        </w:trPr>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pPr>
              <w:spacing w:line="360" w:lineRule="auto"/>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pPr>
              <w:pStyle w:val="34"/>
              <w:spacing w:line="360" w:lineRule="auto"/>
              <w:rPr>
                <w:rFonts w:hAnsi="宋体" w:cs="宋体"/>
                <w:color w:val="auto"/>
                <w:kern w:val="28"/>
                <w:sz w:val="24"/>
                <w:szCs w:val="24"/>
                <w:highlight w:val="none"/>
              </w:rPr>
            </w:pPr>
            <w:r>
              <w:rPr>
                <w:rFonts w:hint="eastAsia" w:hAnsi="宋体" w:cs="宋体"/>
                <w:b/>
                <w:bCs/>
                <w:color w:val="auto"/>
                <w:sz w:val="24"/>
                <w:szCs w:val="24"/>
                <w:highlight w:val="none"/>
                <w:u w:val="single"/>
              </w:rPr>
              <w:t>杭州市上城区馆驿后2号泰地万新大厦1号楼9楼</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rPr>
              <w:t>韦百亮（15802100891）</w:t>
            </w:r>
            <w:r>
              <w:rPr>
                <w:rFonts w:hint="eastAsia" w:hAnsi="宋体" w:cs="宋体"/>
                <w:color w:val="auto"/>
                <w:kern w:val="28"/>
                <w:sz w:val="24"/>
                <w:szCs w:val="24"/>
                <w:highlight w:val="none"/>
              </w:rPr>
              <w:t>。</w:t>
            </w:r>
          </w:p>
          <w:p>
            <w:pPr>
              <w:pStyle w:val="34"/>
              <w:spacing w:line="360" w:lineRule="auto"/>
              <w:rPr>
                <w:rFonts w:hAnsi="宋体" w:cs="宋体"/>
                <w:color w:val="auto"/>
                <w:kern w:val="28"/>
                <w:sz w:val="24"/>
                <w:szCs w:val="24"/>
                <w:highlight w:val="none"/>
              </w:rPr>
            </w:pPr>
            <w:r>
              <w:rPr>
                <w:rFonts w:hint="eastAsia" w:hAnsi="宋体" w:cs="宋体"/>
                <w:b/>
                <w:bCs/>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2093" w:type="dxa"/>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代理服务费</w:t>
            </w:r>
          </w:p>
        </w:tc>
        <w:tc>
          <w:tcPr>
            <w:tcW w:w="6927" w:type="dxa"/>
            <w:vAlign w:val="center"/>
          </w:tcPr>
          <w:p>
            <w:pPr>
              <w:spacing w:line="360" w:lineRule="auto"/>
              <w:rPr>
                <w:rFonts w:ascii="宋体" w:hAnsi="宋体" w:cs="宋体"/>
                <w:color w:val="auto"/>
                <w:kern w:val="0"/>
                <w:sz w:val="24"/>
                <w:highlight w:val="none"/>
              </w:rPr>
            </w:pPr>
            <w:r>
              <w:rPr>
                <w:rFonts w:hint="eastAsia" w:ascii="宋体" w:hAnsi="宋体" w:cs="宋体"/>
                <w:b/>
                <w:bCs/>
                <w:color w:val="auto"/>
                <w:sz w:val="24"/>
                <w:highlight w:val="none"/>
              </w:rPr>
              <w:t>1、</w:t>
            </w:r>
            <w:r>
              <w:rPr>
                <w:rFonts w:hint="eastAsia" w:ascii="宋体" w:hAnsi="宋体" w:cs="宋体"/>
                <w:b/>
                <w:bCs/>
                <w:color w:val="auto"/>
                <w:kern w:val="0"/>
                <w:sz w:val="24"/>
                <w:highlight w:val="none"/>
              </w:rPr>
              <w:t>成交单位须在领取成交通知书的同时，提供与线上递交的“电子加密响应文件”一致的纸质响应文件并装订成册一正三副给采购人（采购代理机构）。</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2、代理服务费金额：招标代理费按</w:t>
            </w:r>
            <w:r>
              <w:rPr>
                <w:color w:val="auto"/>
                <w:highlight w:val="none"/>
              </w:rPr>
              <w:fldChar w:fldCharType="begin"/>
            </w:r>
            <w:r>
              <w:rPr>
                <w:color w:val="auto"/>
                <w:highlight w:val="none"/>
              </w:rPr>
              <w:instrText xml:space="preserve"> HYPERLINK "http://oa.zjsct.cn/formmode/view/AddFormMode.jsp?type=0&amp;modeId=52&amp;formId=-154&amp;billid=1&amp;billid_add=1&amp;formmode_authorize=formmode_authorize&amp;moduleid=formmode&amp;authorizemodeId=17&amp;authorizefieldid=9359&amp;authorizeformmodebillId=2653" \t "_blank" \o "发改价格〔2011〕534号" </w:instrText>
            </w:r>
            <w:r>
              <w:rPr>
                <w:color w:val="auto"/>
                <w:highlight w:val="none"/>
              </w:rPr>
              <w:fldChar w:fldCharType="separate"/>
            </w:r>
            <w:r>
              <w:rPr>
                <w:rFonts w:hint="eastAsia" w:ascii="宋体" w:hAnsi="宋体" w:cs="宋体"/>
                <w:color w:val="auto"/>
                <w:kern w:val="0"/>
                <w:sz w:val="24"/>
                <w:highlight w:val="none"/>
              </w:rPr>
              <w:t>发改价格〔2011〕534号</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文</w:t>
            </w:r>
            <w:r>
              <w:rPr>
                <w:rFonts w:hint="eastAsia" w:ascii="宋体" w:hAnsi="宋体" w:cs="宋体"/>
                <w:color w:val="auto"/>
                <w:kern w:val="0"/>
                <w:sz w:val="24"/>
                <w:highlight w:val="none"/>
                <w:lang w:eastAsia="zh-CN"/>
              </w:rPr>
              <w:t>（服务类）</w:t>
            </w:r>
            <w:r>
              <w:rPr>
                <w:rFonts w:hint="eastAsia" w:ascii="宋体" w:hAnsi="宋体" w:cs="宋体"/>
                <w:color w:val="auto"/>
                <w:kern w:val="0"/>
                <w:sz w:val="24"/>
                <w:highlight w:val="none"/>
              </w:rPr>
              <w:t>标准收取；造价咨询费按《浙建价协202113号浙江省建设工程造价咨询服务项目及收费指引》相关文件标准收取。</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采购代理服务费交纳形式：汇票/支票/电汇/现金</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采购代理服务费由中标人在领取中标通知书时以人民币方式向采购代理机构支付。汇入以下账户：</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户名：东方经纬项目管理有限公司</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开户：中信银行庆春支行</w:t>
            </w:r>
          </w:p>
          <w:p>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账号：7332610182600025935</w:t>
            </w:r>
          </w:p>
        </w:tc>
      </w:tr>
    </w:tbl>
    <w:p>
      <w:pPr>
        <w:snapToGrid w:val="0"/>
        <w:spacing w:line="360" w:lineRule="auto"/>
        <w:jc w:val="center"/>
        <w:rPr>
          <w:rFonts w:ascii="宋体" w:hAnsi="宋体" w:cs="宋体"/>
          <w:b/>
          <w:color w:val="auto"/>
          <w:sz w:val="32"/>
          <w:szCs w:val="20"/>
          <w:highlight w:val="none"/>
        </w:rPr>
      </w:pPr>
    </w:p>
    <w:bookmarkEnd w:id="9"/>
    <w:p>
      <w:pPr>
        <w:widowControl/>
        <w:adjustRightInd/>
        <w:jc w:val="left"/>
        <w:rPr>
          <w:rFonts w:ascii="宋体" w:hAnsi="宋体" w:cs="宋体"/>
          <w:b/>
          <w:color w:val="auto"/>
          <w:sz w:val="32"/>
          <w:szCs w:val="20"/>
          <w:highlight w:val="none"/>
        </w:rPr>
      </w:pPr>
      <w:bookmarkStart w:id="12" w:name="第三部分"/>
      <w:bookmarkStart w:id="13" w:name="_Toc164416483"/>
      <w:r>
        <w:rPr>
          <w:rFonts w:hint="eastAsia" w:ascii="宋体" w:hAnsi="宋体" w:cs="宋体"/>
          <w:b/>
          <w:color w:val="auto"/>
          <w:sz w:val="32"/>
          <w:szCs w:val="20"/>
          <w:highlight w:val="none"/>
        </w:rPr>
        <w:br w:type="page"/>
      </w: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适用于该项目的采购邀请、响应文件提交、响应文件开启、资格审查及信用信息查询、磋商、评审、成交供应商确定、合同、验收等行为（法律、法规另有规定的，从其规定）。</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2.定义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“采购代理机构”系指竞争性磋商公告中载明的本项目的采购代理机构。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3.采购项目需要落实的政府采购政策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要求提供相关产品认证证书。</w:t>
      </w:r>
    </w:p>
    <w:p>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采购人拟采购的产品属于政府强制采购的节能产品品目清单范围的，供应商未按</w:t>
      </w:r>
      <w:r>
        <w:rPr>
          <w:rFonts w:hint="eastAsia" w:ascii="宋体" w:hAnsi="宋体" w:cs="宋体"/>
          <w:b/>
          <w:color w:val="auto"/>
          <w:sz w:val="24"/>
          <w:highlight w:val="none"/>
          <w:lang w:eastAsia="zh-CN"/>
        </w:rPr>
        <w:t>竞争性磋商文件</w:t>
      </w:r>
      <w:r>
        <w:rPr>
          <w:rFonts w:hint="eastAsia" w:ascii="宋体" w:hAnsi="宋体" w:cs="宋体"/>
          <w:b/>
          <w:color w:val="auto"/>
          <w:sz w:val="24"/>
          <w:highlight w:val="none"/>
        </w:rPr>
        <w:t>要求提供国家确定的认证机构出具的、处于有效期之内的节能产品认证证书的，响应文件无效。</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和合同，具体性能指标要求参考相关绿色建材政府采购需求标准。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4" w:name="_Hlk101132181"/>
      <w:r>
        <w:rPr>
          <w:rFonts w:hint="eastAsia" w:ascii="宋体" w:hAnsi="宋体" w:cs="宋体"/>
          <w:color w:val="auto"/>
          <w:sz w:val="24"/>
          <w:highlight w:val="none"/>
        </w:rPr>
        <w:t>联合协议或者分包意向协议约定小微企业的合同份额占到合同总金额30%以上的</w:t>
      </w:r>
      <w:bookmarkEnd w:id="14"/>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3.3.6可享受中小企业扶持政策的供应商应按照</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pStyle w:val="88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pPr>
        <w:pStyle w:val="88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4"/>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w:t>
      </w:r>
      <w:r>
        <w:rPr>
          <w:rFonts w:hint="eastAsia" w:hAnsi="宋体" w:cs="宋体"/>
          <w:color w:val="auto"/>
          <w:sz w:val="24"/>
          <w:highlight w:val="none"/>
          <w:lang w:eastAsia="zh-CN"/>
        </w:rPr>
        <w:t>竞争性磋商文件</w:t>
      </w:r>
      <w:r>
        <w:rPr>
          <w:rFonts w:hint="eastAsia" w:hAnsi="宋体" w:cs="宋体"/>
          <w:color w:val="auto"/>
          <w:sz w:val="24"/>
          <w:highlight w:val="none"/>
        </w:rPr>
        <w:t>的，可以对该文件提出质疑。</w:t>
      </w:r>
    </w:p>
    <w:p>
      <w:pPr>
        <w:pStyle w:val="34"/>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w:t>
      </w:r>
      <w:r>
        <w:rPr>
          <w:rFonts w:hint="eastAsia" w:hAnsi="宋体" w:cs="宋体"/>
          <w:color w:val="auto"/>
          <w:sz w:val="24"/>
          <w:highlight w:val="none"/>
          <w:lang w:eastAsia="zh-CN"/>
        </w:rPr>
        <w:t>竞争性磋商文件</w:t>
      </w:r>
      <w:r>
        <w:rPr>
          <w:rFonts w:hint="eastAsia" w:hAnsi="宋体" w:cs="宋体"/>
          <w:color w:val="auto"/>
          <w:sz w:val="24"/>
          <w:highlight w:val="none"/>
        </w:rPr>
        <w:t>、采购过程和成交结果使自己的权益受到损害的，可以在知道或者应知其权益受到损害之日起七个工作日内，以书面形式向采购人或者采购代理机构提出质疑，否则，采购人或者采购代理机构不予受理：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w:t>
      </w:r>
      <w:r>
        <w:rPr>
          <w:rFonts w:hint="eastAsia" w:hAnsi="宋体" w:cs="宋体"/>
          <w:snapToGrid/>
          <w:color w:val="auto"/>
          <w:kern w:val="2"/>
          <w:sz w:val="24"/>
          <w:highlight w:val="none"/>
          <w:lang w:eastAsia="zh-CN"/>
        </w:rPr>
        <w:t>竞争性磋商文件</w:t>
      </w:r>
      <w:r>
        <w:rPr>
          <w:rFonts w:hint="eastAsia" w:hAnsi="宋体" w:cs="宋体"/>
          <w:snapToGrid/>
          <w:color w:val="auto"/>
          <w:kern w:val="2"/>
          <w:sz w:val="24"/>
          <w:highlight w:val="none"/>
        </w:rPr>
        <w:t>提出质疑的，质疑期限为供应商获得</w:t>
      </w:r>
      <w:r>
        <w:rPr>
          <w:rFonts w:hint="eastAsia" w:hAnsi="宋体" w:cs="宋体"/>
          <w:snapToGrid/>
          <w:color w:val="auto"/>
          <w:kern w:val="2"/>
          <w:sz w:val="24"/>
          <w:highlight w:val="none"/>
          <w:lang w:eastAsia="zh-CN"/>
        </w:rPr>
        <w:t>竞争性磋商文件</w:t>
      </w:r>
      <w:r>
        <w:rPr>
          <w:rFonts w:hint="eastAsia" w:hAnsi="宋体" w:cs="宋体"/>
          <w:snapToGrid/>
          <w:color w:val="auto"/>
          <w:kern w:val="2"/>
          <w:sz w:val="24"/>
          <w:highlight w:val="none"/>
        </w:rPr>
        <w:t>之日或者</w:t>
      </w:r>
      <w:r>
        <w:rPr>
          <w:rFonts w:hint="eastAsia" w:hAnsi="宋体" w:cs="宋体"/>
          <w:snapToGrid/>
          <w:color w:val="auto"/>
          <w:kern w:val="2"/>
          <w:sz w:val="24"/>
          <w:highlight w:val="none"/>
          <w:lang w:eastAsia="zh-CN"/>
        </w:rPr>
        <w:t>竞争性磋商文件</w:t>
      </w:r>
      <w:r>
        <w:rPr>
          <w:rFonts w:hint="eastAsia" w:hAnsi="宋体" w:cs="宋体"/>
          <w:snapToGrid/>
          <w:color w:val="auto"/>
          <w:kern w:val="2"/>
          <w:sz w:val="24"/>
          <w:highlight w:val="none"/>
        </w:rPr>
        <w:t>公告期限届满之日起计算。</w:t>
      </w:r>
    </w:p>
    <w:p>
      <w:pPr>
        <w:pStyle w:val="34"/>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pPr>
        <w:pStyle w:val="34"/>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pPr>
        <w:pStyle w:val="34"/>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pPr>
        <w:pStyle w:val="88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pPr>
        <w:pStyle w:val="88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6"/>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pPr>
        <w:pStyle w:val="88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80" w:firstLineChars="200"/>
        <w:contextualSpacing/>
        <w:rPr>
          <w:color w:val="auto"/>
          <w:highlight w:val="none"/>
        </w:rPr>
      </w:pPr>
      <w:r>
        <w:rPr>
          <w:rFonts w:hint="eastAsia" w:asciiTheme="minorEastAsia" w:hAnsiTheme="minorEastAsia" w:eastAsiaTheme="minorEastAsia"/>
          <w:color w:val="auto"/>
          <w:highlight w:val="none"/>
        </w:rPr>
        <w:t>4.5.5</w:t>
      </w:r>
      <w:r>
        <w:rPr>
          <w:rFonts w:hint="eastAsia"/>
          <w:color w:val="auto"/>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pPr>
        <w:pStyle w:val="128"/>
        <w:snapToGrid w:val="0"/>
        <w:spacing w:before="0"/>
        <w:ind w:firstLine="360"/>
        <w:rPr>
          <w:rFonts w:ascii="宋体" w:hAnsi="宋体" w:cs="宋体"/>
          <w:color w:val="auto"/>
          <w:sz w:val="18"/>
          <w:szCs w:val="18"/>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w:t>
      </w:r>
      <w:r>
        <w:rPr>
          <w:rFonts w:hint="eastAsia" w:ascii="宋体" w:hAnsi="宋体" w:cs="宋体"/>
          <w:b/>
          <w:color w:val="auto"/>
          <w:sz w:val="32"/>
          <w:szCs w:val="20"/>
          <w:highlight w:val="none"/>
          <w:lang w:eastAsia="zh-CN"/>
        </w:rPr>
        <w:t>竞争性磋商文件</w:t>
      </w:r>
      <w:r>
        <w:rPr>
          <w:rFonts w:hint="eastAsia" w:ascii="宋体" w:hAnsi="宋体" w:cs="宋体"/>
          <w:b/>
          <w:color w:val="auto"/>
          <w:sz w:val="32"/>
          <w:szCs w:val="20"/>
          <w:highlight w:val="none"/>
        </w:rPr>
        <w:t>的构成、澄清、修改</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w:t>
      </w:r>
      <w:r>
        <w:rPr>
          <w:rFonts w:hint="eastAsia" w:hAnsi="宋体" w:cs="宋体"/>
          <w:b/>
          <w:color w:val="auto"/>
          <w:sz w:val="24"/>
          <w:szCs w:val="24"/>
          <w:highlight w:val="none"/>
          <w:lang w:eastAsia="zh-CN"/>
        </w:rPr>
        <w:t>竞争性磋商文件</w:t>
      </w:r>
      <w:r>
        <w:rPr>
          <w:rFonts w:hint="eastAsia" w:hAnsi="宋体" w:cs="宋体"/>
          <w:b/>
          <w:color w:val="auto"/>
          <w:sz w:val="24"/>
          <w:szCs w:val="24"/>
          <w:highlight w:val="none"/>
        </w:rPr>
        <w:t>的构成</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5.1 </w:t>
      </w:r>
      <w:r>
        <w:rPr>
          <w:rFonts w:hint="eastAsia" w:hAnsi="宋体" w:cs="宋体"/>
          <w:color w:val="auto"/>
          <w:sz w:val="24"/>
          <w:szCs w:val="24"/>
          <w:highlight w:val="none"/>
          <w:lang w:eastAsia="zh-CN"/>
        </w:rPr>
        <w:t>竞争性磋商文件</w:t>
      </w:r>
      <w:r>
        <w:rPr>
          <w:rFonts w:hint="eastAsia" w:hAnsi="宋体" w:cs="宋体"/>
          <w:color w:val="auto"/>
          <w:sz w:val="24"/>
          <w:szCs w:val="24"/>
          <w:highlight w:val="none"/>
        </w:rPr>
        <w:t>包括下列文件及附件：</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w:t>
      </w:r>
      <w:r>
        <w:rPr>
          <w:rFonts w:hint="eastAsia" w:ascii="宋体" w:hAnsi="宋体" w:cs="宋体"/>
          <w:bCs/>
          <w:color w:val="auto"/>
          <w:sz w:val="24"/>
          <w:highlight w:val="none"/>
          <w:lang w:eastAsia="zh-CN"/>
        </w:rPr>
        <w:t>竞争性磋商文件</w:t>
      </w:r>
      <w:r>
        <w:rPr>
          <w:rFonts w:hint="eastAsia" w:ascii="宋体" w:hAnsi="宋体" w:cs="宋体"/>
          <w:bCs/>
          <w:color w:val="auto"/>
          <w:sz w:val="24"/>
          <w:highlight w:val="none"/>
        </w:rPr>
        <w:t>的组成部分</w:t>
      </w:r>
      <w:r>
        <w:rPr>
          <w:rFonts w:hint="eastAsia" w:ascii="宋体" w:hAnsi="宋体" w:cs="宋体"/>
          <w:color w:val="auto"/>
          <w:sz w:val="24"/>
          <w:highlight w:val="none"/>
        </w:rPr>
        <w:t>。</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 xml:space="preserve">6. </w:t>
      </w:r>
      <w:r>
        <w:rPr>
          <w:rFonts w:hint="eastAsia" w:hAnsi="宋体" w:cs="宋体"/>
          <w:b/>
          <w:color w:val="auto"/>
          <w:sz w:val="24"/>
          <w:szCs w:val="24"/>
          <w:highlight w:val="none"/>
          <w:lang w:eastAsia="zh-CN"/>
        </w:rPr>
        <w:t>竞争性磋商文件</w:t>
      </w:r>
      <w:r>
        <w:rPr>
          <w:rFonts w:hint="eastAsia" w:hAnsi="宋体" w:cs="宋体"/>
          <w:b/>
          <w:color w:val="auto"/>
          <w:sz w:val="24"/>
          <w:szCs w:val="24"/>
          <w:highlight w:val="none"/>
        </w:rPr>
        <w:t>的澄清、修改</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w:t>
      </w:r>
      <w:r>
        <w:rPr>
          <w:rFonts w:hint="eastAsia" w:ascii="宋体" w:hAnsi="宋体" w:cs="宋体"/>
          <w:color w:val="auto"/>
          <w:highlight w:val="none"/>
          <w:lang w:eastAsia="zh-CN"/>
        </w:rPr>
        <w:t>竞争性磋商文件</w:t>
      </w:r>
      <w:r>
        <w:rPr>
          <w:rFonts w:hint="eastAsia" w:ascii="宋体" w:hAnsi="宋体" w:cs="宋体"/>
          <w:color w:val="auto"/>
          <w:highlight w:val="none"/>
        </w:rPr>
        <w:t>的潜在供应商，若有问题需要澄清，应于响应文件提交（上传）截止时间前，以书面形式向采购代理机构提出。</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w:t>
      </w:r>
      <w:r>
        <w:rPr>
          <w:rFonts w:hint="eastAsia" w:ascii="宋体" w:hAnsi="宋体" w:cs="宋体"/>
          <w:color w:val="auto"/>
          <w:highlight w:val="none"/>
          <w:lang w:eastAsia="zh-CN"/>
        </w:rPr>
        <w:t>竞争性磋商文件</w:t>
      </w:r>
      <w:r>
        <w:rPr>
          <w:rFonts w:hint="eastAsia" w:ascii="宋体" w:hAnsi="宋体" w:cs="宋体"/>
          <w:color w:val="auto"/>
          <w:highlight w:val="none"/>
        </w:rPr>
        <w:t>进行澄清或修改的，将同时通过电子交易平台通知已获取</w:t>
      </w:r>
      <w:r>
        <w:rPr>
          <w:rFonts w:hint="eastAsia" w:ascii="宋体" w:hAnsi="宋体" w:cs="宋体"/>
          <w:color w:val="auto"/>
          <w:highlight w:val="none"/>
          <w:lang w:eastAsia="zh-CN"/>
        </w:rPr>
        <w:t>竞争性磋商文件</w:t>
      </w:r>
      <w:r>
        <w:rPr>
          <w:rFonts w:hint="eastAsia" w:ascii="宋体" w:hAnsi="宋体" w:cs="宋体"/>
          <w:color w:val="auto"/>
          <w:highlight w:val="none"/>
        </w:rPr>
        <w:t>的潜在供应商。依法应当公告的，将按规定公告，同时视情况延长响应文件提交（上传）截止时间和响应文件开启时间。该澄清或者修改的内容为</w:t>
      </w:r>
      <w:r>
        <w:rPr>
          <w:rFonts w:hint="eastAsia" w:ascii="宋体" w:hAnsi="宋体" w:cs="宋体"/>
          <w:color w:val="auto"/>
          <w:highlight w:val="none"/>
          <w:lang w:eastAsia="zh-CN"/>
        </w:rPr>
        <w:t>竞争性磋商文件</w:t>
      </w:r>
      <w:r>
        <w:rPr>
          <w:rFonts w:hint="eastAsia" w:ascii="宋体" w:hAnsi="宋体" w:cs="宋体"/>
          <w:color w:val="auto"/>
          <w:highlight w:val="none"/>
        </w:rPr>
        <w:t>的组成部分。</w:t>
      </w:r>
    </w:p>
    <w:p>
      <w:pPr>
        <w:pStyle w:val="23"/>
        <w:rPr>
          <w:rFonts w:hAnsi="宋体" w:cs="宋体"/>
          <w:color w:val="auto"/>
          <w:sz w:val="18"/>
          <w:szCs w:val="18"/>
          <w:highlight w:val="none"/>
          <w:lang w:val="en-US"/>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 xml:space="preserve">7. </w:t>
      </w:r>
      <w:r>
        <w:rPr>
          <w:rFonts w:hint="eastAsia" w:hAnsi="宋体" w:cs="宋体"/>
          <w:b/>
          <w:color w:val="auto"/>
          <w:sz w:val="24"/>
          <w:szCs w:val="24"/>
          <w:highlight w:val="none"/>
          <w:lang w:eastAsia="zh-CN"/>
        </w:rPr>
        <w:t>竞争性磋商文件</w:t>
      </w:r>
      <w:r>
        <w:rPr>
          <w:rFonts w:hint="eastAsia" w:hAnsi="宋体" w:cs="宋体"/>
          <w:b/>
          <w:color w:val="auto"/>
          <w:sz w:val="24"/>
          <w:szCs w:val="24"/>
          <w:highlight w:val="none"/>
        </w:rPr>
        <w:t>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w:t>
      </w:r>
      <w:r>
        <w:rPr>
          <w:rFonts w:hint="eastAsia" w:ascii="宋体" w:hAnsi="宋体" w:cs="宋体"/>
          <w:snapToGrid w:val="0"/>
          <w:color w:val="auto"/>
          <w:kern w:val="28"/>
          <w:sz w:val="24"/>
          <w:highlight w:val="none"/>
          <w:lang w:eastAsia="zh-CN"/>
        </w:rPr>
        <w:t>竞争性磋商文件</w:t>
      </w:r>
      <w:r>
        <w:rPr>
          <w:rFonts w:hint="eastAsia" w:ascii="宋体" w:hAnsi="宋体" w:cs="宋体"/>
          <w:snapToGrid w:val="0"/>
          <w:color w:val="auto"/>
          <w:kern w:val="28"/>
          <w:sz w:val="24"/>
          <w:highlight w:val="none"/>
        </w:rPr>
        <w:t>的时间期限、地点、方式及</w:t>
      </w:r>
      <w:r>
        <w:rPr>
          <w:rFonts w:hint="eastAsia" w:ascii="宋体" w:hAnsi="宋体" w:cs="宋体"/>
          <w:snapToGrid w:val="0"/>
          <w:color w:val="auto"/>
          <w:kern w:val="28"/>
          <w:sz w:val="24"/>
          <w:highlight w:val="none"/>
          <w:lang w:eastAsia="zh-CN"/>
        </w:rPr>
        <w:t>竞争性磋商文件</w:t>
      </w:r>
      <w:r>
        <w:rPr>
          <w:rFonts w:hint="eastAsia" w:ascii="宋体" w:hAnsi="宋体" w:cs="宋体"/>
          <w:snapToGrid w:val="0"/>
          <w:color w:val="auto"/>
          <w:kern w:val="28"/>
          <w:sz w:val="24"/>
          <w:highlight w:val="none"/>
        </w:rPr>
        <w:t>售价。</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5" w:name="_Hlk101259339"/>
      <w:r>
        <w:rPr>
          <w:rFonts w:hint="eastAsia" w:ascii="宋体" w:hAnsi="宋体" w:cs="宋体"/>
          <w:snapToGrid w:val="0"/>
          <w:color w:val="auto"/>
          <w:kern w:val="28"/>
          <w:sz w:val="24"/>
          <w:szCs w:val="20"/>
          <w:highlight w:val="none"/>
        </w:rPr>
        <w:t>联合协议</w:t>
      </w:r>
      <w:bookmarkStart w:id="16" w:name="_Hlk101257010"/>
      <w:r>
        <w:rPr>
          <w:rFonts w:hint="eastAsia" w:ascii="宋体" w:hAnsi="宋体" w:cs="宋体"/>
          <w:snapToGrid w:val="0"/>
          <w:color w:val="auto"/>
          <w:kern w:val="28"/>
          <w:sz w:val="24"/>
          <w:szCs w:val="20"/>
          <w:highlight w:val="none"/>
        </w:rPr>
        <w:t>（如果有)</w:t>
      </w:r>
      <w:bookmarkEnd w:id="15"/>
      <w:bookmarkEnd w:id="16"/>
      <w:r>
        <w:rPr>
          <w:rFonts w:hint="eastAsia" w:ascii="宋体" w:hAnsi="宋体" w:cs="宋体"/>
          <w:snapToGrid w:val="0"/>
          <w:color w:val="auto"/>
          <w:kern w:val="28"/>
          <w:sz w:val="24"/>
          <w:szCs w:val="20"/>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落实政府采购政策需满足的资格要求；《中小企业声明函》；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供应商提供虚假材料的，响应文件无效。</w:t>
      </w:r>
    </w:p>
    <w:p>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竞争性磋商文件第六部分规定的格式进行，混乱的编排导致响应文件被误读或磋商小组查找不到有效文件是供应商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12.2供应商进行电子投标应安装客户端软件—“政采云电子交易客户端”，并按照竞争性磋商文件和电子交易平台的要求编制并加密响应文件。供应商未按规定加密的响应文件，电子交易平台将拒收并提示。</w:t>
      </w: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w:t>
      </w:r>
      <w:r>
        <w:rPr>
          <w:rFonts w:hint="eastAsia" w:ascii="宋体" w:hAnsi="宋体" w:cs="宋体"/>
          <w:color w:val="auto"/>
          <w:szCs w:val="24"/>
          <w:highlight w:val="none"/>
          <w:lang w:eastAsia="zh-CN"/>
        </w:rPr>
        <w:t>竞争性磋商文件</w:t>
      </w:r>
      <w:r>
        <w:rPr>
          <w:rFonts w:hint="eastAsia" w:ascii="宋体" w:hAnsi="宋体" w:cs="宋体"/>
          <w:color w:val="auto"/>
          <w:szCs w:val="24"/>
          <w:highlight w:val="none"/>
        </w:rPr>
        <w:t>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w:t>
      </w:r>
      <w:r>
        <w:rPr>
          <w:rFonts w:hint="eastAsia" w:ascii="宋体" w:hAnsi="宋体" w:cs="宋体"/>
          <w:b/>
          <w:color w:val="auto"/>
          <w:highlight w:val="none"/>
          <w:lang w:eastAsia="zh-CN"/>
        </w:rPr>
        <w:t>竞争性磋商文件</w:t>
      </w:r>
      <w:r>
        <w:rPr>
          <w:rFonts w:hint="eastAsia" w:ascii="宋体" w:hAnsi="宋体" w:cs="宋体"/>
          <w:b/>
          <w:color w:val="auto"/>
          <w:highlight w:val="none"/>
        </w:rPr>
        <w:t>要求签署、盖章的，其响应文件无效</w:t>
      </w:r>
      <w:r>
        <w:rPr>
          <w:rFonts w:hint="eastAsia" w:ascii="宋体" w:hAnsi="宋体" w:cs="宋体"/>
          <w:color w:val="auto"/>
          <w:szCs w:val="24"/>
          <w:highlight w:val="none"/>
        </w:rPr>
        <w:t>。</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w:t>
      </w:r>
      <w:r>
        <w:rPr>
          <w:rFonts w:hint="eastAsia" w:ascii="宋体" w:hAnsi="宋体" w:cs="宋体"/>
          <w:color w:val="auto"/>
          <w:highlight w:val="none"/>
          <w:lang w:eastAsia="zh-CN"/>
        </w:rPr>
        <w:t>竞争性磋商文件</w:t>
      </w:r>
      <w:r>
        <w:rPr>
          <w:rFonts w:hint="eastAsia" w:ascii="宋体" w:hAnsi="宋体" w:cs="宋体"/>
          <w:color w:val="auto"/>
          <w:highlight w:val="none"/>
        </w:rPr>
        <w:t>对响应文件签署、盖章的要求适用于电子签名。</w:t>
      </w:r>
    </w:p>
    <w:p>
      <w:pPr>
        <w:pStyle w:val="128"/>
        <w:snapToGrid w:val="0"/>
        <w:spacing w:before="0"/>
        <w:ind w:firstLine="0" w:firstLineChars="0"/>
        <w:rPr>
          <w:rFonts w:ascii="宋体" w:hAnsi="宋体" w:cs="宋体"/>
          <w:b/>
          <w:color w:val="auto"/>
          <w:szCs w:val="24"/>
          <w:highlight w:val="none"/>
        </w:rPr>
      </w:pPr>
    </w:p>
    <w:p>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pPr>
        <w:pStyle w:val="128"/>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28"/>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28"/>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pPr>
        <w:pStyle w:val="34"/>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pPr>
        <w:pStyle w:val="34"/>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但采购人、采购代理机构不强制或变相强制供应商提交备份响应文件。</w:t>
      </w:r>
    </w:p>
    <w:p>
      <w:pPr>
        <w:pStyle w:val="34"/>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pPr>
        <w:pStyle w:val="3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pPr>
        <w:pStyle w:val="3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lang w:eastAsia="zh-CN"/>
        </w:rPr>
        <w:t>竞争性磋商文件</w:t>
      </w:r>
      <w:r>
        <w:rPr>
          <w:rFonts w:hint="eastAsia" w:hAnsi="宋体" w:cs="宋体"/>
          <w:snapToGrid/>
          <w:color w:val="auto"/>
          <w:sz w:val="24"/>
          <w:szCs w:val="24"/>
          <w:highlight w:val="none"/>
        </w:rPr>
        <w:t>第二部分供应商须知前附表规定的备份响应文件送达地点；</w:t>
      </w:r>
      <w:r>
        <w:rPr>
          <w:rFonts w:hint="eastAsia" w:hAnsi="宋体" w:cs="宋体"/>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pPr>
        <w:pStyle w:val="34"/>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pPr>
        <w:pStyle w:val="26"/>
        <w:spacing w:line="360" w:lineRule="auto"/>
        <w:ind w:firstLine="360" w:firstLineChars="150"/>
        <w:rPr>
          <w:rFonts w:cs="宋体"/>
          <w:color w:val="auto"/>
          <w:szCs w:val="21"/>
          <w:highlight w:val="none"/>
        </w:rPr>
      </w:pPr>
      <w:r>
        <w:rPr>
          <w:rFonts w:hint="eastAsia" w:cs="宋体"/>
          <w:color w:val="auto"/>
          <w:szCs w:val="21"/>
          <w:highlight w:val="none"/>
        </w:rPr>
        <w:t>有</w:t>
      </w:r>
      <w:r>
        <w:rPr>
          <w:rFonts w:hint="eastAsia" w:cs="宋体"/>
          <w:color w:val="auto"/>
          <w:szCs w:val="21"/>
          <w:highlight w:val="none"/>
          <w:lang w:eastAsia="zh-CN"/>
        </w:rPr>
        <w:t>竞争性磋商文件</w:t>
      </w:r>
      <w:r>
        <w:rPr>
          <w:rFonts w:hint="eastAsia" w:cs="宋体"/>
          <w:color w:val="auto"/>
          <w:szCs w:val="21"/>
          <w:highlight w:val="none"/>
        </w:rPr>
        <w:t>第四部分</w:t>
      </w:r>
      <w:r>
        <w:rPr>
          <w:rFonts w:hint="eastAsia" w:cs="宋体"/>
          <w:color w:val="auto"/>
          <w:highlight w:val="none"/>
        </w:rPr>
        <w:t>4.2规定</w:t>
      </w:r>
      <w:r>
        <w:rPr>
          <w:rFonts w:hint="eastAsia" w:cs="宋体"/>
          <w:color w:val="auto"/>
          <w:szCs w:val="21"/>
          <w:highlight w:val="none"/>
        </w:rPr>
        <w:t>的情形之一的，响应文件无效：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w:t>
      </w:r>
      <w:r>
        <w:rPr>
          <w:rFonts w:hint="eastAsia" w:ascii="宋体" w:hAnsi="宋体" w:cs="宋体"/>
          <w:b/>
          <w:color w:val="auto"/>
          <w:sz w:val="24"/>
          <w:szCs w:val="21"/>
          <w:highlight w:val="none"/>
          <w:lang w:eastAsia="zh-CN"/>
        </w:rPr>
        <w:t>竞争性磋商文件</w:t>
      </w:r>
      <w:r>
        <w:rPr>
          <w:rFonts w:hint="eastAsia" w:ascii="宋体" w:hAnsi="宋体" w:cs="宋体"/>
          <w:b/>
          <w:color w:val="auto"/>
          <w:sz w:val="24"/>
          <w:szCs w:val="21"/>
          <w:highlight w:val="none"/>
        </w:rPr>
        <w:t>中载明的响应文件有效期的，响应文件无效。</w:t>
      </w:r>
    </w:p>
    <w:p>
      <w:pPr>
        <w:pStyle w:val="128"/>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pPr>
        <w:pStyle w:val="128"/>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pPr>
        <w:pStyle w:val="128"/>
        <w:spacing w:before="0"/>
        <w:ind w:firstLine="643"/>
        <w:rPr>
          <w:rFonts w:ascii="宋体" w:hAnsi="宋体" w:cs="宋体"/>
          <w:b/>
          <w:color w:val="auto"/>
          <w:sz w:val="32"/>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pPr>
        <w:pStyle w:val="555"/>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p>
    <w:p>
      <w:pPr>
        <w:pStyle w:val="555"/>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规定的时间通过电子交易平台组织响应文件开启，所有供应商均应当准时在线参加。供应商不足3家的，不得开启。</w:t>
      </w:r>
    </w:p>
    <w:p>
      <w:pPr>
        <w:pStyle w:val="555"/>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18.2响应文件开启时，电子交易平台按响应文件开启时间自动提取所有响应文件。采购代理机构依托电子交易平台发起开始解密指令，供应商按照平台提示和</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的规定在半小时内完成在线解密。</w:t>
      </w:r>
    </w:p>
    <w:p>
      <w:pPr>
        <w:pStyle w:val="555"/>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pPr>
        <w:pStyle w:val="555"/>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采购人、采购代理机构或磋商小组依据法律法规和</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的规定，对供应商的资格进行审查。</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19.2供应商未按照</w:t>
      </w:r>
      <w:r>
        <w:rPr>
          <w:rFonts w:hint="eastAsia" w:ascii="宋体" w:hAnsi="宋体" w:cs="宋体"/>
          <w:color w:val="auto"/>
          <w:kern w:val="0"/>
          <w:szCs w:val="24"/>
          <w:highlight w:val="none"/>
          <w:lang w:eastAsia="zh-CN"/>
        </w:rPr>
        <w:t>竞争性磋商文件</w:t>
      </w:r>
      <w:r>
        <w:rPr>
          <w:rFonts w:hint="eastAsia" w:ascii="宋体" w:hAnsi="宋体" w:cs="宋体"/>
          <w:color w:val="auto"/>
          <w:kern w:val="0"/>
          <w:szCs w:val="24"/>
          <w:highlight w:val="none"/>
        </w:rPr>
        <w:t>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w:t>
      </w:r>
      <w:r>
        <w:rPr>
          <w:rFonts w:hint="eastAsia" w:ascii="宋体" w:hAnsi="宋体" w:cs="宋体"/>
          <w:color w:val="auto"/>
          <w:highlight w:val="none"/>
          <w:lang w:eastAsia="zh-CN"/>
        </w:rPr>
        <w:t>竞争性磋商文件</w:t>
      </w:r>
      <w:r>
        <w:rPr>
          <w:rFonts w:hint="eastAsia" w:ascii="宋体" w:hAnsi="宋体" w:cs="宋体"/>
          <w:color w:val="auto"/>
          <w:highlight w:val="none"/>
        </w:rPr>
        <w:t>中规定的资格要求，其响应文件无效。</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3对未通过资格审查的供应商，采购人或采购代理机构告知其未通过的原因。</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4合格供应商不足3家的，不再评审。</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w:t>
      </w:r>
      <w:r>
        <w:rPr>
          <w:rFonts w:hint="eastAsia" w:ascii="宋体" w:hAnsi="宋体" w:cs="宋体"/>
          <w:color w:val="auto"/>
          <w:kern w:val="0"/>
          <w:szCs w:val="24"/>
          <w:highlight w:val="none"/>
          <w:lang w:eastAsia="zh-CN"/>
        </w:rPr>
        <w:t>竞争性磋商文件</w:t>
      </w:r>
      <w:r>
        <w:rPr>
          <w:rFonts w:hint="eastAsia" w:ascii="宋体" w:hAnsi="宋体" w:cs="宋体"/>
          <w:color w:val="auto"/>
          <w:kern w:val="0"/>
          <w:szCs w:val="24"/>
          <w:highlight w:val="none"/>
        </w:rPr>
        <w:t>一起存档。</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8"/>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sz w:val="24"/>
          <w:highlight w:val="none"/>
        </w:rPr>
        <w:t>磋商小组将根据</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和有关规定，履行评审工作职责，并按照评审方法及评分标准，全面衡量各供应商对</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的响应情况。对实质上响应</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的供应商，按照评审因素的量化指标排出推荐成交的供应商的先后顺序，并按顺序提出授标建议。</w:t>
      </w:r>
      <w:r>
        <w:rPr>
          <w:rFonts w:hint="eastAsia" w:ascii="宋体" w:hAnsi="宋体" w:cs="宋体"/>
          <w:b/>
          <w:color w:val="auto"/>
          <w:sz w:val="24"/>
          <w:highlight w:val="none"/>
        </w:rPr>
        <w:t>详见</w:t>
      </w:r>
      <w:r>
        <w:rPr>
          <w:rFonts w:hint="eastAsia" w:ascii="宋体" w:hAnsi="宋体" w:cs="宋体"/>
          <w:b/>
          <w:color w:val="auto"/>
          <w:sz w:val="24"/>
          <w:highlight w:val="none"/>
          <w:lang w:eastAsia="zh-CN"/>
        </w:rPr>
        <w:t>竞争性磋商文件</w:t>
      </w:r>
      <w:r>
        <w:rPr>
          <w:rFonts w:hint="eastAsia" w:ascii="宋体" w:hAnsi="宋体" w:cs="宋体"/>
          <w:b/>
          <w:color w:val="auto"/>
          <w:sz w:val="24"/>
          <w:highlight w:val="none"/>
        </w:rPr>
        <w:t>第四部分评审办法。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pPr>
        <w:pStyle w:val="26"/>
        <w:spacing w:line="360" w:lineRule="auto"/>
        <w:ind w:left="479" w:hanging="479" w:hangingChars="199"/>
        <w:rPr>
          <w:rFonts w:cs="宋体"/>
          <w:b/>
          <w:color w:val="auto"/>
          <w:highlight w:val="none"/>
        </w:rPr>
      </w:pPr>
      <w:r>
        <w:rPr>
          <w:rFonts w:hint="eastAsia" w:cs="宋体"/>
          <w:b/>
          <w:color w:val="auto"/>
          <w:highlight w:val="none"/>
        </w:rPr>
        <w:t>22. 确定成交供应商</w:t>
      </w:r>
    </w:p>
    <w:p>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23.1自成交供应商确定之日起1个工作日内，采购代理机构通过电子交易平台向成交供应商发出成交通知书，同时编制发布采购结果公告。采购代理机构也可以以纸质形式进行成交通知。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pPr>
        <w:pStyle w:val="26"/>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6"/>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w:t>
      </w:r>
      <w:r>
        <w:rPr>
          <w:rFonts w:hint="eastAsia" w:ascii="宋体" w:hAnsi="宋体" w:cs="宋体"/>
          <w:color w:val="auto"/>
          <w:kern w:val="0"/>
          <w:sz w:val="24"/>
          <w:highlight w:val="none"/>
          <w:lang w:eastAsia="zh-CN"/>
        </w:rPr>
        <w:t>竞争性磋商文件</w:t>
      </w:r>
      <w:r>
        <w:rPr>
          <w:rFonts w:hint="eastAsia" w:ascii="宋体" w:hAnsi="宋体" w:cs="宋体"/>
          <w:color w:val="auto"/>
          <w:kern w:val="0"/>
          <w:sz w:val="24"/>
          <w:highlight w:val="none"/>
        </w:rPr>
        <w:t>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w:t>
      </w:r>
      <w:r>
        <w:rPr>
          <w:rFonts w:hint="eastAsia" w:ascii="宋体" w:hAnsi="宋体" w:cs="宋体"/>
          <w:color w:val="auto"/>
          <w:kern w:val="0"/>
          <w:sz w:val="24"/>
          <w:highlight w:val="none"/>
          <w:lang w:eastAsia="zh-CN"/>
        </w:rPr>
        <w:t>竞争性磋商文件</w:t>
      </w:r>
      <w:r>
        <w:rPr>
          <w:rFonts w:hint="eastAsia" w:ascii="宋体" w:hAnsi="宋体" w:cs="宋体"/>
          <w:color w:val="auto"/>
          <w:kern w:val="0"/>
          <w:sz w:val="24"/>
          <w:highlight w:val="none"/>
        </w:rPr>
        <w:t>确定的事项签订政府采购合同。</w:t>
      </w:r>
    </w:p>
    <w:p>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w:t>
      </w:r>
      <w:r>
        <w:rPr>
          <w:rFonts w:hint="eastAsia" w:ascii="宋体" w:hAnsi="宋体" w:cs="宋体"/>
          <w:color w:val="auto"/>
          <w:highlight w:val="none"/>
          <w:lang w:eastAsia="zh-CN"/>
        </w:rPr>
        <w:t>竞争性磋商文件</w:t>
      </w:r>
      <w:r>
        <w:rPr>
          <w:rFonts w:hint="eastAsia" w:ascii="宋体" w:hAnsi="宋体" w:cs="宋体"/>
          <w:color w:val="auto"/>
          <w:highlight w:val="none"/>
        </w:rPr>
        <w:t>、响应文件等内容通过政府采购电子交易平台在线签订，自动备案。</w:t>
      </w:r>
    </w:p>
    <w:p>
      <w:pPr>
        <w:pStyle w:val="26"/>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拟签订的合同文本要求成交供应商提交履约保证金的，供应商应当以支票、汇票、本票或者金融机构、担保机构出具的保函等非现金形式提交。杭州市政府采购网公布的供应商履约评价为满分的供应商，采购单位应当免收履约保证金。确需收取履约保证金的，履约保证金缴纳最高比例由不超过合同金额的</w:t>
      </w:r>
      <w:r>
        <w:rPr>
          <w:rFonts w:ascii="宋体" w:hAnsi="宋体"/>
          <w:color w:val="auto"/>
          <w:sz w:val="24"/>
          <w:highlight w:val="none"/>
        </w:rPr>
        <w:t>1%</w:t>
      </w:r>
      <w:r>
        <w:rPr>
          <w:rFonts w:hint="eastAsia" w:ascii="宋体" w:hAnsi="宋体"/>
          <w:color w:val="auto"/>
          <w:sz w:val="24"/>
          <w:highlight w:val="none"/>
        </w:rPr>
        <w:t>，鼓励根据项目特点、供应商诚信等因素免收履约保证金或降低缴纳比例。采购单位鼓励供应商采取履约保函形式提供信用保证；供应商提供保函的，采购单位不得拒收。项目验收结束后应及时退还，</w:t>
      </w:r>
      <w:r>
        <w:rPr>
          <w:rFonts w:ascii="宋体" w:hAnsi="宋体"/>
          <w:color w:val="auto"/>
          <w:sz w:val="24"/>
          <w:highlight w:val="none"/>
        </w:rPr>
        <w:t>延迟退还的，应当按照合同约定和法律规定承担相应的赔偿责任</w:t>
      </w:r>
      <w:r>
        <w:rPr>
          <w:rFonts w:hint="eastAsia" w:ascii="宋体" w:hAnsi="宋体"/>
          <w:color w:val="auto"/>
          <w:sz w:val="24"/>
          <w:highlight w:val="none"/>
        </w:rPr>
        <w:t>。</w:t>
      </w:r>
    </w:p>
    <w:p>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keepNext/>
        <w:keepLines/>
        <w:tabs>
          <w:tab w:val="left" w:pos="432"/>
        </w:tabs>
        <w:adjustRightInd/>
        <w:ind w:left="431" w:hanging="431"/>
        <w:rPr>
          <w:color w:val="auto"/>
          <w:highlight w:val="none"/>
        </w:rPr>
      </w:pPr>
      <w:r>
        <w:rPr>
          <w:rFonts w:ascii="宋体" w:hAnsi="宋体"/>
          <w:b/>
          <w:bCs/>
          <w:color w:val="auto"/>
          <w:sz w:val="24"/>
          <w:szCs w:val="32"/>
          <w:highlight w:val="none"/>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pPr>
        <w:pStyle w:val="128"/>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pPr>
        <w:pStyle w:val="26"/>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pPr>
        <w:tabs>
          <w:tab w:val="left" w:pos="0"/>
        </w:tabs>
        <w:spacing w:line="360" w:lineRule="auto"/>
        <w:ind w:firstLine="480"/>
        <w:rPr>
          <w:rFonts w:ascii="宋体" w:hAnsi="宋体" w:cs="宋体"/>
          <w:color w:val="auto"/>
          <w:kern w:val="0"/>
          <w:sz w:val="24"/>
          <w:highlight w:val="none"/>
        </w:rPr>
        <w:sectPr>
          <w:pgSz w:w="11906" w:h="16838"/>
          <w:pgMar w:top="1440" w:right="1080" w:bottom="1440" w:left="1080" w:header="851" w:footer="992" w:gutter="0"/>
          <w:cols w:space="720" w:num="1"/>
          <w:titlePg/>
          <w:docGrid w:linePitch="312" w:charSpace="0"/>
        </w:sectPr>
      </w:pPr>
      <w:bookmarkStart w:id="18" w:name="_Hlt75236101"/>
      <w:bookmarkEnd w:id="18"/>
      <w:bookmarkStart w:id="19" w:name="_Hlt74729768"/>
      <w:bookmarkEnd w:id="19"/>
      <w:bookmarkStart w:id="20" w:name="_Hlt68072998"/>
      <w:bookmarkEnd w:id="20"/>
      <w:bookmarkStart w:id="21" w:name="_Hlt68073093"/>
      <w:bookmarkEnd w:id="21"/>
      <w:bookmarkStart w:id="22" w:name="_Hlt74707468"/>
      <w:bookmarkEnd w:id="22"/>
      <w:bookmarkStart w:id="23" w:name="_Hlt75236290"/>
      <w:bookmarkEnd w:id="23"/>
      <w:bookmarkStart w:id="24" w:name="_Hlt68057669"/>
      <w:bookmarkEnd w:id="24"/>
      <w:bookmarkStart w:id="25" w:name="_Hlt68072990"/>
      <w:bookmarkEnd w:id="25"/>
      <w:bookmarkStart w:id="26" w:name="_Hlt75236011"/>
      <w:bookmarkEnd w:id="26"/>
      <w:bookmarkStart w:id="27" w:name="_Hlt74714665"/>
      <w:bookmarkEnd w:id="27"/>
      <w:bookmarkStart w:id="28" w:name="_Hlt68403820"/>
      <w:bookmarkEnd w:id="28"/>
      <w:bookmarkStart w:id="29" w:name="_Hlt74730295"/>
      <w:bookmarkEnd w:id="29"/>
    </w:p>
    <w:bookmarkEnd w:id="12"/>
    <w:bookmarkEnd w:id="13"/>
    <w:p>
      <w:pPr>
        <w:pStyle w:val="34"/>
        <w:spacing w:line="360" w:lineRule="auto"/>
        <w:jc w:val="center"/>
        <w:rPr>
          <w:rFonts w:hAnsi="宋体" w:cs="宋体"/>
          <w:b/>
          <w:snapToGrid/>
          <w:color w:val="auto"/>
          <w:sz w:val="36"/>
          <w:szCs w:val="20"/>
          <w:highlight w:val="none"/>
        </w:rPr>
      </w:pPr>
      <w:bookmarkStart w:id="30" w:name="第四部分"/>
      <w:r>
        <w:rPr>
          <w:rFonts w:hint="eastAsia" w:hAnsi="宋体" w:cs="宋体"/>
          <w:b/>
          <w:snapToGrid/>
          <w:color w:val="auto"/>
          <w:sz w:val="36"/>
          <w:szCs w:val="20"/>
          <w:highlight w:val="none"/>
        </w:rPr>
        <w:t>第三部分 采购需求</w:t>
      </w:r>
    </w:p>
    <w:p>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一、工程概况</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工程地点：采购人指定地点。</w:t>
      </w:r>
    </w:p>
    <w:p>
      <w:pPr>
        <w:spacing w:line="360" w:lineRule="auto"/>
        <w:jc w:val="left"/>
        <w:rPr>
          <w:rFonts w:ascii="宋体" w:hAnsi="宋体" w:cs="仿宋_GB2312"/>
          <w:color w:val="auto"/>
          <w:sz w:val="24"/>
          <w:highlight w:val="none"/>
        </w:rPr>
      </w:pPr>
      <w:r>
        <w:rPr>
          <w:rFonts w:hint="eastAsia" w:ascii="宋体" w:hAnsi="宋体" w:cs="仿宋_GB2312"/>
          <w:b/>
          <w:bCs/>
          <w:color w:val="auto"/>
          <w:sz w:val="24"/>
          <w:highlight w:val="none"/>
        </w:rPr>
        <w:t xml:space="preserve">二、工程内容 </w:t>
      </w:r>
    </w:p>
    <w:p>
      <w:pPr>
        <w:spacing w:line="360" w:lineRule="auto"/>
        <w:ind w:left="210" w:leftChars="100"/>
        <w:jc w:val="left"/>
        <w:rPr>
          <w:rFonts w:ascii="宋体" w:hAnsi="宋体" w:cs="仿宋_GB2312"/>
          <w:b/>
          <w:bCs/>
          <w:color w:val="auto"/>
          <w:sz w:val="24"/>
          <w:highlight w:val="none"/>
        </w:rPr>
      </w:pPr>
      <w:r>
        <w:rPr>
          <w:rFonts w:hint="eastAsia" w:ascii="宋体" w:hAnsi="宋体" w:cs="仿宋_GB2312"/>
          <w:b/>
          <w:bCs/>
          <w:color w:val="auto"/>
          <w:sz w:val="24"/>
          <w:highlight w:val="none"/>
        </w:rPr>
        <w:t>1.工程名称：</w:t>
      </w:r>
    </w:p>
    <w:p>
      <w:pPr>
        <w:spacing w:line="360" w:lineRule="auto"/>
        <w:ind w:left="210" w:leftChars="100" w:firstLine="240" w:firstLineChars="100"/>
        <w:jc w:val="left"/>
        <w:rPr>
          <w:rFonts w:ascii="宋体" w:hAnsi="宋体"/>
          <w:color w:val="auto"/>
          <w:sz w:val="24"/>
          <w:highlight w:val="none"/>
        </w:rPr>
      </w:pPr>
      <w:r>
        <w:rPr>
          <w:rFonts w:hint="eastAsia" w:ascii="宋体" w:hAnsi="宋体"/>
          <w:color w:val="auto"/>
          <w:sz w:val="24"/>
          <w:highlight w:val="none"/>
          <w:lang w:eastAsia="zh-CN"/>
        </w:rPr>
        <w:t>中国扇博物馆馆区建筑修缮及环境提升工程</w:t>
      </w:r>
      <w:r>
        <w:rPr>
          <w:rFonts w:hint="eastAsia" w:ascii="宋体" w:hAnsi="宋体"/>
          <w:color w:val="auto"/>
          <w:sz w:val="24"/>
          <w:highlight w:val="none"/>
        </w:rPr>
        <w:t>。</w:t>
      </w:r>
    </w:p>
    <w:p>
      <w:pPr>
        <w:spacing w:line="360" w:lineRule="auto"/>
        <w:ind w:left="210" w:leftChars="100"/>
        <w:jc w:val="left"/>
        <w:rPr>
          <w:rFonts w:ascii="宋体" w:hAnsi="宋体" w:cs="仿宋_GB2312"/>
          <w:b/>
          <w:bCs/>
          <w:color w:val="auto"/>
          <w:sz w:val="24"/>
          <w:highlight w:val="none"/>
        </w:rPr>
      </w:pPr>
      <w:r>
        <w:rPr>
          <w:rFonts w:hint="eastAsia" w:ascii="宋体" w:hAnsi="宋体" w:cs="仿宋_GB2312"/>
          <w:b/>
          <w:bCs/>
          <w:color w:val="auto"/>
          <w:sz w:val="24"/>
          <w:highlight w:val="none"/>
        </w:rPr>
        <w:t>2.现场条件：</w:t>
      </w:r>
    </w:p>
    <w:p>
      <w:pPr>
        <w:tabs>
          <w:tab w:val="left" w:pos="231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2、现场条件</w:t>
      </w:r>
    </w:p>
    <w:p>
      <w:pPr>
        <w:tabs>
          <w:tab w:val="left" w:pos="231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（1）已具备施工条件。</w:t>
      </w:r>
    </w:p>
    <w:p>
      <w:pPr>
        <w:tabs>
          <w:tab w:val="left" w:pos="231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投标响应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pPr>
        <w:tabs>
          <w:tab w:val="left" w:pos="2310"/>
        </w:tabs>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lang w:eastAsia="zh-CN"/>
        </w:rPr>
        <w:t>成交人</w:t>
      </w:r>
      <w:r>
        <w:rPr>
          <w:rFonts w:hint="eastAsia" w:ascii="宋体" w:hAnsi="宋体"/>
          <w:b/>
          <w:color w:val="auto"/>
          <w:sz w:val="24"/>
          <w:highlight w:val="none"/>
        </w:rPr>
        <w:t>必须按照</w:t>
      </w:r>
      <w:r>
        <w:rPr>
          <w:rFonts w:hint="eastAsia" w:ascii="宋体" w:hAnsi="宋体"/>
          <w:b/>
          <w:color w:val="auto"/>
          <w:sz w:val="24"/>
          <w:highlight w:val="none"/>
          <w:lang w:eastAsia="zh-CN"/>
        </w:rPr>
        <w:t>采购人</w:t>
      </w:r>
      <w:r>
        <w:rPr>
          <w:rFonts w:hint="eastAsia" w:ascii="宋体" w:hAnsi="宋体"/>
          <w:b/>
          <w:color w:val="auto"/>
          <w:sz w:val="24"/>
          <w:highlight w:val="none"/>
        </w:rPr>
        <w:t>的施工管理规定进行施工，如需要按</w:t>
      </w:r>
      <w:r>
        <w:rPr>
          <w:rFonts w:hint="eastAsia" w:ascii="宋体" w:hAnsi="宋体"/>
          <w:b/>
          <w:color w:val="auto"/>
          <w:sz w:val="24"/>
          <w:highlight w:val="none"/>
          <w:lang w:eastAsia="zh-CN"/>
        </w:rPr>
        <w:t>采购人</w:t>
      </w:r>
      <w:r>
        <w:rPr>
          <w:rFonts w:hint="eastAsia" w:ascii="宋体" w:hAnsi="宋体"/>
          <w:b/>
          <w:color w:val="auto"/>
          <w:sz w:val="24"/>
          <w:highlight w:val="none"/>
        </w:rPr>
        <w:t>管理需要临时调整施工时间等，施工作业环境的种种不利因素，如夜间施工、垃圾装袋外运等等均需由供应商考虑，并将所需费用包含在投标响应报价中。</w:t>
      </w:r>
    </w:p>
    <w:p>
      <w:pPr>
        <w:tabs>
          <w:tab w:val="left" w:pos="2310"/>
        </w:tabs>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本项目采购人不提供住宿，由供应商自行解决，相关费用包含在报价中。</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（2）本工程供应商须制定充分、完整、详细的施工组织方案和计划，报监理、相关职能部门审核后开工，并编制应急预案一套。</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其他相关要求：供应商须满足博物馆管理的要求、遵守博物馆的施工安全管理制度以及其他相关管理制度，服从监理的管理和协调，确保施工项目的安全、高效、顺利进行，满足博物馆的日常需求，防范消防等安全事件的发生。采购人的管理部门有权对施工项目的组织和实施进行监督、检查，并提出整改要求，但此类监督检查并不解除供应商对施工项目应负的全部责任，如供应商不按要求整改或整改后仍不符合博物馆的规定，采购人可从工程进度款或履约保证金中酌情扣罚，情节严重的，可解除合同，给采购人造成的全部损失由供应商承担，并可拒绝该供应商继续参与博物馆其他项目的投标活动。</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按博物馆相关管理制度需要签订的承诺或协议将作为承包合同的附件，是承包博物馆项目须遵守的内容之一。</w:t>
      </w:r>
    </w:p>
    <w:p>
      <w:pPr>
        <w:snapToGrid w:val="0"/>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rPr>
        <w:t>以上与施工相关的管理要求所需要的费用包含在各综合单价、合价和投标响应总报价中。</w:t>
      </w:r>
    </w:p>
    <w:p>
      <w:pPr>
        <w:spacing w:line="360" w:lineRule="auto"/>
        <w:ind w:left="210" w:leftChars="100"/>
        <w:jc w:val="left"/>
        <w:rPr>
          <w:rFonts w:ascii="宋体" w:hAnsi="宋体" w:cs="仿宋_GB2312"/>
          <w:b/>
          <w:bCs/>
          <w:color w:val="auto"/>
          <w:sz w:val="24"/>
          <w:highlight w:val="none"/>
        </w:rPr>
      </w:pPr>
      <w:r>
        <w:rPr>
          <w:rFonts w:hint="eastAsia" w:ascii="宋体" w:hAnsi="宋体" w:cs="仿宋_GB2312"/>
          <w:b/>
          <w:bCs/>
          <w:color w:val="auto"/>
          <w:sz w:val="24"/>
          <w:highlight w:val="none"/>
        </w:rPr>
        <w:t>3、服务时间：</w:t>
      </w:r>
    </w:p>
    <w:p>
      <w:pPr>
        <w:tabs>
          <w:tab w:val="left" w:pos="231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按“招标公告合同履约时间”。</w:t>
      </w:r>
    </w:p>
    <w:p>
      <w:pPr>
        <w:spacing w:line="360" w:lineRule="auto"/>
        <w:ind w:left="210" w:leftChars="100"/>
        <w:jc w:val="left"/>
        <w:rPr>
          <w:rFonts w:ascii="宋体" w:hAnsi="宋体" w:cs="仿宋_GB2312"/>
          <w:b/>
          <w:bCs/>
          <w:color w:val="auto"/>
          <w:sz w:val="24"/>
          <w:highlight w:val="none"/>
        </w:rPr>
      </w:pPr>
      <w:r>
        <w:rPr>
          <w:rFonts w:hint="eastAsia" w:ascii="宋体" w:hAnsi="宋体" w:cs="仿宋_GB2312"/>
          <w:b/>
          <w:bCs/>
          <w:color w:val="auto"/>
          <w:sz w:val="24"/>
          <w:highlight w:val="none"/>
        </w:rPr>
        <w:t>4.工程质量标准：</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本项目的材料、设备、施工必须达到现行中华人民共和国及省、市、行业的一切有关法规、规范的要求，如标准及规范要求有出入则以较严格者为准，包括但不仅限于以下文件：</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《中华人民共和国民法典》、《中华人民共和国建筑法》、及其国家和工程所在地省、地区（市）的其他法律法规。</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其他相关要求：设备、材料选用时，供应商应考虑与馆区现有的和在用的各类系统的具体情况，并保持统一或兼容。</w:t>
      </w:r>
    </w:p>
    <w:p>
      <w:pPr>
        <w:snapToGrid w:val="0"/>
        <w:spacing w:line="360" w:lineRule="auto"/>
        <w:ind w:firstLine="241" w:firstLineChars="100"/>
        <w:rPr>
          <w:rFonts w:ascii="宋体" w:hAnsi="宋体"/>
          <w:b/>
          <w:color w:val="auto"/>
          <w:sz w:val="24"/>
          <w:highlight w:val="none"/>
        </w:rPr>
      </w:pPr>
      <w:r>
        <w:rPr>
          <w:rFonts w:hint="eastAsia" w:ascii="宋体" w:hAnsi="宋体" w:cs="仿宋_GB2312"/>
          <w:b/>
          <w:bCs/>
          <w:color w:val="auto"/>
          <w:sz w:val="24"/>
          <w:highlight w:val="none"/>
        </w:rPr>
        <w:t>5.</w:t>
      </w:r>
      <w:bookmarkStart w:id="31" w:name="_Toc163047102"/>
      <w:r>
        <w:rPr>
          <w:rFonts w:hint="eastAsia" w:ascii="宋体" w:hAnsi="宋体"/>
          <w:b/>
          <w:bCs/>
          <w:color w:val="auto"/>
          <w:sz w:val="24"/>
          <w:highlight w:val="none"/>
        </w:rPr>
        <w:t>工程实施的</w:t>
      </w:r>
      <w:r>
        <w:rPr>
          <w:rFonts w:hint="eastAsia" w:ascii="宋体" w:hAnsi="宋体"/>
          <w:b/>
          <w:color w:val="auto"/>
          <w:sz w:val="24"/>
          <w:highlight w:val="none"/>
        </w:rPr>
        <w:t>技术标准和规范一般规定</w:t>
      </w:r>
      <w:bookmarkEnd w:id="31"/>
      <w:r>
        <w:rPr>
          <w:rFonts w:hint="eastAsia" w:ascii="宋体" w:hAnsi="宋体"/>
          <w:b/>
          <w:color w:val="auto"/>
          <w:sz w:val="24"/>
          <w:highlight w:val="none"/>
        </w:rPr>
        <w:t>：</w:t>
      </w:r>
    </w:p>
    <w:p>
      <w:pPr>
        <w:widowControl/>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工程范围内的施工工艺、设备及材料的选择等都应具有先进性，满足项目的使用要求。全部技术指标，包括设备、材料、包装、运输、安装、调试、维修等各项目技术参数，除本技术要求另有规定外，均应符合图纸的规定。</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2、在合同履行期间，本工程所采用的标准或规范有修改或新颁，</w:t>
      </w:r>
      <w:r>
        <w:rPr>
          <w:rFonts w:hint="eastAsia" w:ascii="宋体" w:hAnsi="宋体"/>
          <w:color w:val="auto"/>
          <w:sz w:val="24"/>
          <w:highlight w:val="none"/>
          <w:lang w:eastAsia="zh-CN"/>
        </w:rPr>
        <w:t>采购人</w:t>
      </w:r>
      <w:r>
        <w:rPr>
          <w:rFonts w:hint="eastAsia" w:ascii="宋体" w:hAnsi="宋体"/>
          <w:color w:val="auto"/>
          <w:sz w:val="24"/>
          <w:highlight w:val="none"/>
        </w:rPr>
        <w:t>和设计单位认为有必要采用时，向</w:t>
      </w:r>
      <w:r>
        <w:rPr>
          <w:rFonts w:hint="eastAsia" w:ascii="宋体" w:hAnsi="宋体"/>
          <w:color w:val="auto"/>
          <w:sz w:val="24"/>
          <w:highlight w:val="none"/>
          <w:lang w:eastAsia="zh-CN"/>
        </w:rPr>
        <w:t>成交人</w:t>
      </w:r>
      <w:r>
        <w:rPr>
          <w:rFonts w:hint="eastAsia" w:ascii="宋体" w:hAnsi="宋体"/>
          <w:color w:val="auto"/>
          <w:sz w:val="24"/>
          <w:highlight w:val="none"/>
        </w:rPr>
        <w:t>发出变更指令。</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3、对本工程所采用的标准或规范的任何部分，当</w:t>
      </w:r>
      <w:r>
        <w:rPr>
          <w:rFonts w:hint="eastAsia" w:ascii="宋体" w:hAnsi="宋体"/>
          <w:color w:val="auto"/>
          <w:sz w:val="24"/>
          <w:highlight w:val="none"/>
          <w:lang w:eastAsia="zh-CN"/>
        </w:rPr>
        <w:t>成交人</w:t>
      </w:r>
      <w:r>
        <w:rPr>
          <w:rFonts w:hint="eastAsia" w:ascii="宋体" w:hAnsi="宋体"/>
          <w:color w:val="auto"/>
          <w:sz w:val="24"/>
          <w:highlight w:val="none"/>
        </w:rPr>
        <w:t>认为改用其他标准或规范，同样能够保证工程达到相同质量或更高的质量时，</w:t>
      </w:r>
      <w:r>
        <w:rPr>
          <w:rFonts w:hint="eastAsia" w:ascii="宋体" w:hAnsi="宋体"/>
          <w:color w:val="auto"/>
          <w:sz w:val="24"/>
          <w:highlight w:val="none"/>
          <w:lang w:eastAsia="zh-CN"/>
        </w:rPr>
        <w:t>成交人</w:t>
      </w:r>
      <w:r>
        <w:rPr>
          <w:rFonts w:hint="eastAsia" w:ascii="宋体" w:hAnsi="宋体"/>
          <w:color w:val="auto"/>
          <w:sz w:val="24"/>
          <w:highlight w:val="none"/>
        </w:rPr>
        <w:t>可提出申请报经采购人审批后采用，但这种批准不免除</w:t>
      </w:r>
      <w:r>
        <w:rPr>
          <w:rFonts w:hint="eastAsia" w:ascii="宋体" w:hAnsi="宋体"/>
          <w:color w:val="auto"/>
          <w:sz w:val="24"/>
          <w:highlight w:val="none"/>
          <w:lang w:eastAsia="zh-CN"/>
        </w:rPr>
        <w:t>成交人</w:t>
      </w:r>
      <w:r>
        <w:rPr>
          <w:rFonts w:hint="eastAsia" w:ascii="宋体" w:hAnsi="宋体"/>
          <w:color w:val="auto"/>
          <w:sz w:val="24"/>
          <w:highlight w:val="none"/>
        </w:rPr>
        <w:t>根据合同规定应承担的任何责任。申请报告中应对原采用的标准或规范与所建议改用的其他标准或规范之间的差异进行详细说明。获批之前</w:t>
      </w:r>
      <w:r>
        <w:rPr>
          <w:rFonts w:hint="eastAsia" w:ascii="宋体" w:hAnsi="宋体"/>
          <w:color w:val="auto"/>
          <w:sz w:val="24"/>
          <w:highlight w:val="none"/>
          <w:lang w:eastAsia="zh-CN"/>
        </w:rPr>
        <w:t>成交人</w:t>
      </w:r>
      <w:r>
        <w:rPr>
          <w:rFonts w:hint="eastAsia" w:ascii="宋体" w:hAnsi="宋体"/>
          <w:color w:val="auto"/>
          <w:sz w:val="24"/>
          <w:highlight w:val="none"/>
        </w:rPr>
        <w:t>仍应执行原采用的标准或规范。</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4、按施工图设计要求的技术标准和规范进行施工、验收。</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5、除本技术条款另有规定外，</w:t>
      </w:r>
      <w:r>
        <w:rPr>
          <w:rFonts w:hint="eastAsia" w:ascii="宋体" w:hAnsi="宋体"/>
          <w:color w:val="auto"/>
          <w:sz w:val="24"/>
          <w:highlight w:val="none"/>
          <w:lang w:eastAsia="zh-CN"/>
        </w:rPr>
        <w:t>成交人</w:t>
      </w:r>
      <w:r>
        <w:rPr>
          <w:rFonts w:hint="eastAsia" w:ascii="宋体" w:hAnsi="宋体"/>
          <w:color w:val="auto"/>
          <w:sz w:val="24"/>
          <w:highlight w:val="none"/>
        </w:rPr>
        <w:t>施工所用的材料、设备、施工工艺和工程质量的检验和验收应符合本技术条款中引用的国家和行业颁布的技术标准和规程规范规定的技术要求。</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6、当本技术条款的内容与所引用的标准和规程规范的规定有矛盾时，应以</w:t>
      </w:r>
      <w:r>
        <w:rPr>
          <w:rFonts w:hint="eastAsia" w:ascii="宋体" w:hAnsi="宋体"/>
          <w:color w:val="auto"/>
          <w:sz w:val="24"/>
          <w:highlight w:val="none"/>
          <w:lang w:eastAsia="zh-CN"/>
        </w:rPr>
        <w:t>采购人</w:t>
      </w:r>
      <w:r>
        <w:rPr>
          <w:rFonts w:hint="eastAsia" w:ascii="宋体" w:hAnsi="宋体"/>
          <w:color w:val="auto"/>
          <w:sz w:val="24"/>
          <w:highlight w:val="none"/>
        </w:rPr>
        <w:t>和设计指示为准。</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7、技术条款中有关涉及工程安全的规定，必须严格遵守国家和行业的标准，遇有矛盾时应由</w:t>
      </w:r>
      <w:r>
        <w:rPr>
          <w:rFonts w:hint="eastAsia" w:ascii="宋体" w:hAnsi="宋体"/>
          <w:color w:val="auto"/>
          <w:sz w:val="24"/>
          <w:highlight w:val="none"/>
          <w:lang w:eastAsia="zh-CN"/>
        </w:rPr>
        <w:t>采购人</w:t>
      </w:r>
      <w:r>
        <w:rPr>
          <w:rFonts w:hint="eastAsia" w:ascii="宋体" w:hAnsi="宋体"/>
          <w:color w:val="auto"/>
          <w:sz w:val="24"/>
          <w:highlight w:val="none"/>
        </w:rPr>
        <w:t>和设计按国家和行业标准的规定进行修正。</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8、在施工过程中，</w:t>
      </w:r>
      <w:r>
        <w:rPr>
          <w:rFonts w:hint="eastAsia" w:ascii="宋体" w:hAnsi="宋体"/>
          <w:color w:val="auto"/>
          <w:sz w:val="24"/>
          <w:highlight w:val="none"/>
          <w:lang w:eastAsia="zh-CN"/>
        </w:rPr>
        <w:t>采购人</w:t>
      </w:r>
      <w:r>
        <w:rPr>
          <w:rFonts w:hint="eastAsia" w:ascii="宋体" w:hAnsi="宋体"/>
          <w:color w:val="auto"/>
          <w:sz w:val="24"/>
          <w:highlight w:val="none"/>
        </w:rPr>
        <w:t>为保证工程质量和施工进度的要求，有权指示</w:t>
      </w:r>
      <w:r>
        <w:rPr>
          <w:rFonts w:hint="eastAsia" w:ascii="宋体" w:hAnsi="宋体"/>
          <w:color w:val="auto"/>
          <w:sz w:val="24"/>
          <w:highlight w:val="none"/>
          <w:lang w:eastAsia="zh-CN"/>
        </w:rPr>
        <w:t>成交人</w:t>
      </w:r>
      <w:r>
        <w:rPr>
          <w:rFonts w:hint="eastAsia" w:ascii="宋体" w:hAnsi="宋体"/>
          <w:color w:val="auto"/>
          <w:sz w:val="24"/>
          <w:highlight w:val="none"/>
        </w:rPr>
        <w:t>或批准</w:t>
      </w:r>
      <w:r>
        <w:rPr>
          <w:rFonts w:hint="eastAsia" w:ascii="宋体" w:hAnsi="宋体"/>
          <w:color w:val="auto"/>
          <w:sz w:val="24"/>
          <w:highlight w:val="none"/>
          <w:lang w:eastAsia="zh-CN"/>
        </w:rPr>
        <w:t>成交人</w:t>
      </w:r>
      <w:r>
        <w:rPr>
          <w:rFonts w:hint="eastAsia" w:ascii="宋体" w:hAnsi="宋体"/>
          <w:color w:val="auto"/>
          <w:sz w:val="24"/>
          <w:highlight w:val="none"/>
        </w:rPr>
        <w:t>采用新技术和新工艺，并增补和修改技术条款的内容。其增补和修改的内容涉及变更时，应按合同条款的规定办理。</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9、供应商在响应文件中相应列明其选用的产品及各项工作遵循的标准、规范的详细情况，供应商所提供的产品和服务，其采用的标准只有等效或优于以上标准，采购人才能接受，供应商应明确说明该标准与以上标准的主要差别，并提交该标准。</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10、供应商应全面考虑本工程的各种风险因素，在响应文件中针对本工程的安全风险点和控制点，须有针对性的措施方案阐述，并将所需费用包含在投标响应报价中。成交后，供应商应按照《危险性较大的分部分项工程安全管理规定》建设部【2018】37号令和住房城乡建设部办公厅关于实施《危险性较大的分部分项工程安全管理规定》有关问题的通知建办质〔2018〕31号要求的规定实施。</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11、提供的资料</w:t>
      </w:r>
    </w:p>
    <w:p>
      <w:pPr>
        <w:snapToGrid w:val="0"/>
        <w:spacing w:line="360" w:lineRule="auto"/>
        <w:ind w:left="420" w:leftChars="200"/>
        <w:textAlignment w:val="baseline"/>
        <w:rPr>
          <w:rFonts w:ascii="宋体" w:hAnsi="宋体"/>
          <w:color w:val="auto"/>
          <w:sz w:val="24"/>
          <w:highlight w:val="none"/>
        </w:rPr>
      </w:pPr>
      <w:r>
        <w:rPr>
          <w:rFonts w:hint="eastAsia" w:ascii="宋体" w:hAnsi="宋体"/>
          <w:color w:val="auto"/>
          <w:sz w:val="24"/>
          <w:highlight w:val="none"/>
        </w:rPr>
        <w:t>（1）供应商所有提交的图纸及技术文件应符合现行相关标准的规定。</w:t>
      </w:r>
    </w:p>
    <w:p>
      <w:pPr>
        <w:tabs>
          <w:tab w:val="left" w:pos="108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（2）只有由采购人认可的图纸及相关技术文件允许应用在工程实施过程中，在实施过程中，如出现任何修改（需要的话），需取得采购人批准。供应商应书面报告采购人审查认可。</w:t>
      </w:r>
    </w:p>
    <w:p>
      <w:pPr>
        <w:tabs>
          <w:tab w:val="left" w:pos="108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采购人将不认可与合同要求不一致的技术文件。在收到采购人的审查意见后，供应商须修改技术文件以满足采购人的需要，若发生工程延误，其责任全部在供应商。此时采购人会减少或延期交付项目的货款。</w:t>
      </w:r>
    </w:p>
    <w:p>
      <w:pPr>
        <w:tabs>
          <w:tab w:val="left" w:pos="108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（3）工程实施的过程档案资料和最终成果资料、验收资料按采购人要求移交。</w:t>
      </w:r>
    </w:p>
    <w:p>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三、招标范围和内容</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1、本工程为</w:t>
      </w:r>
      <w:r>
        <w:rPr>
          <w:rFonts w:hint="eastAsia" w:ascii="宋体" w:hAnsi="宋体"/>
          <w:color w:val="auto"/>
          <w:sz w:val="24"/>
          <w:highlight w:val="none"/>
          <w:lang w:eastAsia="zh-CN"/>
        </w:rPr>
        <w:t>中国扇博物馆馆区建筑修缮及环境提升工程</w:t>
      </w:r>
      <w:r>
        <w:rPr>
          <w:rFonts w:hint="eastAsia" w:ascii="宋体" w:hAnsi="宋体"/>
          <w:color w:val="auto"/>
          <w:sz w:val="24"/>
          <w:highlight w:val="none"/>
        </w:rPr>
        <w:t>，具体内容以采购需求为准。</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2、工程实施过程，采购人保留局部调整和变更工程内容的权力。</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3、成交单位应配合采购人进行报批事宜，并且通过相关主管部门的验收。</w:t>
      </w:r>
    </w:p>
    <w:p>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四、承包和计价方式</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1、承包方式</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包工、包料、包工期、包质量、包安全文明施工、包检测验收合格至交付使用等。</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2、计价方式</w:t>
      </w:r>
    </w:p>
    <w:p>
      <w:pPr>
        <w:snapToGrid w:val="0"/>
        <w:spacing w:line="360" w:lineRule="auto"/>
        <w:ind w:firstLine="480"/>
        <w:rPr>
          <w:rFonts w:ascii="宋体" w:hAnsi="宋体"/>
          <w:b/>
          <w:bCs/>
          <w:color w:val="auto"/>
          <w:kern w:val="0"/>
          <w:sz w:val="24"/>
          <w:highlight w:val="none"/>
        </w:rPr>
      </w:pPr>
      <w:r>
        <w:rPr>
          <w:rFonts w:hint="eastAsia" w:ascii="宋体" w:hAnsi="宋体"/>
          <w:b/>
          <w:bCs/>
          <w:color w:val="auto"/>
          <w:kern w:val="0"/>
          <w:sz w:val="24"/>
          <w:highlight w:val="none"/>
        </w:rPr>
        <w:t>采用固定综合单价计价方式。</w:t>
      </w:r>
    </w:p>
    <w:p>
      <w:pPr>
        <w:snapToGrid w:val="0"/>
        <w:spacing w:line="360" w:lineRule="auto"/>
        <w:ind w:firstLine="480"/>
        <w:rPr>
          <w:rFonts w:ascii="宋体" w:hAnsi="宋体"/>
          <w:b/>
          <w:bCs/>
          <w:color w:val="auto"/>
          <w:kern w:val="0"/>
          <w:sz w:val="24"/>
          <w:highlight w:val="none"/>
        </w:rPr>
      </w:pPr>
      <w:r>
        <w:rPr>
          <w:rFonts w:hint="eastAsia" w:ascii="宋体" w:hAnsi="宋体"/>
          <w:b/>
          <w:bCs/>
          <w:color w:val="auto"/>
          <w:kern w:val="0"/>
          <w:sz w:val="24"/>
          <w:highlight w:val="none"/>
        </w:rPr>
        <w:t>在合同执行期内综合单价固定不变，工程量按实结算。</w:t>
      </w:r>
    </w:p>
    <w:p>
      <w:pPr>
        <w:snapToGrid w:val="0"/>
        <w:spacing w:line="360" w:lineRule="auto"/>
        <w:ind w:firstLine="480"/>
        <w:rPr>
          <w:rFonts w:ascii="宋体" w:hAnsi="宋体"/>
          <w:color w:val="auto"/>
          <w:kern w:val="0"/>
          <w:sz w:val="24"/>
          <w:highlight w:val="none"/>
        </w:rPr>
      </w:pPr>
      <w:r>
        <w:rPr>
          <w:rFonts w:hint="eastAsia" w:ascii="宋体" w:hAnsi="宋体"/>
          <w:color w:val="auto"/>
          <w:kern w:val="0"/>
          <w:sz w:val="24"/>
          <w:highlight w:val="none"/>
        </w:rPr>
        <w:t>各供应商应认真踏勘现场，确立合理的施工方案并充分考虑相应的措施项目及费用，由供应商自行测算并进入报价，今后不得调整，清单里所列的技术措施项目只作为</w:t>
      </w:r>
      <w:r>
        <w:rPr>
          <w:rFonts w:hint="eastAsia" w:ascii="宋体" w:hAnsi="宋体"/>
          <w:color w:val="auto"/>
          <w:kern w:val="0"/>
          <w:sz w:val="24"/>
          <w:highlight w:val="none"/>
          <w:lang w:val="en-US" w:eastAsia="zh-CN"/>
        </w:rPr>
        <w:t>供应商</w:t>
      </w:r>
      <w:r>
        <w:rPr>
          <w:rFonts w:hint="eastAsia" w:ascii="宋体" w:hAnsi="宋体"/>
          <w:color w:val="auto"/>
          <w:kern w:val="0"/>
          <w:sz w:val="24"/>
          <w:highlight w:val="none"/>
        </w:rPr>
        <w:t>的参考，供应商可根据清单里所列的项目报价并增加其认为必要的技术措施费；若今后工程实施中发生新的措施项目但响应文件未列入的项目，视作供应商在风险费或其它项目中已考虑，今后不得调整。</w:t>
      </w:r>
    </w:p>
    <w:p>
      <w:pPr>
        <w:snapToGrid w:val="0"/>
        <w:spacing w:line="360" w:lineRule="auto"/>
        <w:ind w:firstLine="422"/>
        <w:rPr>
          <w:rFonts w:ascii="宋体" w:hAnsi="宋体"/>
          <w:b/>
          <w:color w:val="auto"/>
          <w:kern w:val="0"/>
          <w:sz w:val="24"/>
          <w:highlight w:val="none"/>
        </w:rPr>
      </w:pPr>
      <w:r>
        <w:rPr>
          <w:rFonts w:hint="eastAsia" w:ascii="宋体" w:hAnsi="宋体"/>
          <w:b/>
          <w:color w:val="auto"/>
          <w:kern w:val="0"/>
          <w:sz w:val="24"/>
          <w:highlight w:val="none"/>
        </w:rPr>
        <w:t>本工程的组织措施费用为一次性包干使用，中标后不再作调整；技术措施费用中，工程量清单中明确具体数量的按实结算，按“项”计量的部分为一次性包干使用，成交后不再作调整。</w:t>
      </w:r>
    </w:p>
    <w:p>
      <w:pPr>
        <w:snapToGrid w:val="0"/>
        <w:spacing w:line="360" w:lineRule="auto"/>
        <w:ind w:firstLine="597" w:firstLineChars="249"/>
        <w:rPr>
          <w:rFonts w:ascii="宋体" w:hAnsi="宋体"/>
          <w:color w:val="auto"/>
          <w:kern w:val="0"/>
          <w:sz w:val="24"/>
          <w:highlight w:val="none"/>
        </w:rPr>
      </w:pPr>
      <w:r>
        <w:rPr>
          <w:rFonts w:hint="eastAsia" w:ascii="宋体" w:hAnsi="宋体"/>
          <w:color w:val="auto"/>
          <w:kern w:val="0"/>
          <w:sz w:val="24"/>
          <w:highlight w:val="none"/>
        </w:rPr>
        <w:t>3、与报价相关的其他事宜见本投标文件“工程量清单”。</w:t>
      </w:r>
    </w:p>
    <w:p>
      <w:pPr>
        <w:tabs>
          <w:tab w:val="left" w:pos="1080"/>
        </w:tabs>
        <w:snapToGrid w:val="0"/>
        <w:spacing w:line="360" w:lineRule="auto"/>
        <w:ind w:firstLine="241" w:firstLineChars="100"/>
        <w:rPr>
          <w:rFonts w:ascii="宋体" w:hAnsi="宋体"/>
          <w:b/>
          <w:color w:val="auto"/>
          <w:sz w:val="24"/>
          <w:highlight w:val="none"/>
        </w:rPr>
      </w:pPr>
      <w:r>
        <w:rPr>
          <w:rFonts w:hint="eastAsia" w:ascii="宋体" w:hAnsi="宋体"/>
          <w:b/>
          <w:color w:val="auto"/>
          <w:sz w:val="24"/>
          <w:highlight w:val="none"/>
        </w:rPr>
        <w:t>五、总体</w:t>
      </w:r>
      <w:r>
        <w:rPr>
          <w:rFonts w:hint="eastAsia" w:ascii="宋体" w:hAnsi="宋体"/>
          <w:b/>
          <w:bCs/>
          <w:color w:val="auto"/>
          <w:spacing w:val="14"/>
          <w:sz w:val="24"/>
          <w:highlight w:val="none"/>
        </w:rPr>
        <w:t>技术</w:t>
      </w:r>
      <w:r>
        <w:rPr>
          <w:rFonts w:hint="eastAsia" w:ascii="宋体" w:hAnsi="宋体"/>
          <w:b/>
          <w:color w:val="auto"/>
          <w:sz w:val="24"/>
          <w:highlight w:val="none"/>
        </w:rPr>
        <w:t>要求</w:t>
      </w:r>
    </w:p>
    <w:p>
      <w:pPr>
        <w:widowControl/>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1、按施工图纸所示。</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2、工程用全部材料及设备应是全新的和质量合格的产品，均应满足设计文件的要求，并得到采购人、设计单位认可，且必须符合国家标准和相关技术规范规范，满足全年全天候工作。材料、设备进场前应向采购人和监理人提交产品说明（中文）、合格证、样品、装箱单、图纸等相关资料，并得到认可。所有由供应商采购的设备、材料，要求同类产品的不同规格尽可能采购同一个品牌（如同一品牌中没有所需规格的，与采购人协商解决）。</w:t>
      </w:r>
    </w:p>
    <w:p>
      <w:pPr>
        <w:tabs>
          <w:tab w:val="left" w:pos="108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3、设备的检验和试验</w:t>
      </w:r>
    </w:p>
    <w:p>
      <w:pPr>
        <w:tabs>
          <w:tab w:val="left" w:pos="108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（1）供应商在试验结束后应尽快提交试验报告书（不超过5个工作日提交）。</w:t>
      </w:r>
    </w:p>
    <w:p>
      <w:pPr>
        <w:tabs>
          <w:tab w:val="left" w:pos="108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（2）根据合同条款要求，所有检验和试验等费用都包括在投标响应报价中。</w:t>
      </w:r>
    </w:p>
    <w:p>
      <w:pPr>
        <w:tabs>
          <w:tab w:val="left" w:pos="108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4、设备技术参数要求（如有）</w:t>
      </w:r>
    </w:p>
    <w:p>
      <w:pPr>
        <w:tabs>
          <w:tab w:val="left" w:pos="1080"/>
        </w:tabs>
        <w:snapToGrid w:val="0"/>
        <w:spacing w:line="360" w:lineRule="auto"/>
        <w:ind w:firstLine="241" w:firstLineChars="100"/>
        <w:rPr>
          <w:rFonts w:ascii="宋体" w:hAnsi="宋体"/>
          <w:b/>
          <w:color w:val="auto"/>
          <w:sz w:val="24"/>
          <w:highlight w:val="none"/>
        </w:rPr>
      </w:pPr>
      <w:r>
        <w:rPr>
          <w:rFonts w:hint="eastAsia" w:ascii="宋体" w:hAnsi="宋体"/>
          <w:b/>
          <w:color w:val="auto"/>
          <w:sz w:val="24"/>
          <w:highlight w:val="none"/>
        </w:rPr>
        <w:t>六、保修期及维修保养等售后服务</w:t>
      </w:r>
    </w:p>
    <w:p>
      <w:pPr>
        <w:tabs>
          <w:tab w:val="left" w:pos="108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质量保修要求详见第五章合同条款及格式中的“工程质量保修书”。</w:t>
      </w:r>
    </w:p>
    <w:p>
      <w:pPr>
        <w:snapToGrid w:val="0"/>
        <w:spacing w:line="360" w:lineRule="auto"/>
        <w:ind w:firstLine="480" w:firstLineChars="200"/>
        <w:rPr>
          <w:rFonts w:ascii="宋体" w:hAnsi="宋体"/>
          <w:color w:val="auto"/>
          <w:kern w:val="0"/>
          <w:position w:val="2"/>
          <w:sz w:val="24"/>
          <w:highlight w:val="none"/>
        </w:rPr>
      </w:pPr>
      <w:r>
        <w:rPr>
          <w:rFonts w:hint="eastAsia" w:ascii="宋体" w:hAnsi="宋体"/>
          <w:color w:val="auto"/>
          <w:kern w:val="0"/>
          <w:position w:val="2"/>
          <w:sz w:val="24"/>
          <w:highlight w:val="none"/>
        </w:rPr>
        <w:t>若质量保证期内出现任何质量问题，</w:t>
      </w:r>
      <w:r>
        <w:rPr>
          <w:rFonts w:hint="eastAsia" w:ascii="宋体" w:hAnsi="宋体"/>
          <w:color w:val="auto"/>
          <w:kern w:val="0"/>
          <w:position w:val="2"/>
          <w:sz w:val="24"/>
          <w:highlight w:val="none"/>
          <w:lang w:eastAsia="zh-CN"/>
        </w:rPr>
        <w:t>成交人</w:t>
      </w:r>
      <w:r>
        <w:rPr>
          <w:rFonts w:hint="eastAsia" w:ascii="宋体" w:hAnsi="宋体"/>
          <w:color w:val="auto"/>
          <w:kern w:val="0"/>
          <w:position w:val="2"/>
          <w:sz w:val="24"/>
          <w:highlight w:val="none"/>
        </w:rPr>
        <w:t>应及时免费修复或更换，如发生较大质量问题则质量保证期从修复或更换后重新开始计算。</w:t>
      </w:r>
    </w:p>
    <w:p>
      <w:pPr>
        <w:snapToGrid w:val="0"/>
        <w:spacing w:line="360" w:lineRule="auto"/>
        <w:ind w:firstLine="480" w:firstLineChars="200"/>
        <w:rPr>
          <w:rFonts w:ascii="宋体" w:hAnsi="宋体"/>
          <w:color w:val="auto"/>
          <w:kern w:val="0"/>
          <w:position w:val="2"/>
          <w:sz w:val="24"/>
          <w:highlight w:val="none"/>
        </w:rPr>
      </w:pPr>
      <w:r>
        <w:rPr>
          <w:rFonts w:hint="eastAsia" w:ascii="宋体" w:hAnsi="宋体"/>
          <w:color w:val="auto"/>
          <w:kern w:val="0"/>
          <w:position w:val="2"/>
          <w:sz w:val="24"/>
          <w:highlight w:val="none"/>
        </w:rPr>
        <w:t>在质量保证期满后，</w:t>
      </w:r>
      <w:r>
        <w:rPr>
          <w:rFonts w:hint="eastAsia" w:ascii="宋体" w:hAnsi="宋体"/>
          <w:color w:val="auto"/>
          <w:kern w:val="0"/>
          <w:position w:val="2"/>
          <w:sz w:val="24"/>
          <w:highlight w:val="none"/>
          <w:lang w:eastAsia="zh-CN"/>
        </w:rPr>
        <w:t>成交人</w:t>
      </w:r>
      <w:r>
        <w:rPr>
          <w:rFonts w:hint="eastAsia" w:ascii="宋体" w:hAnsi="宋体"/>
          <w:color w:val="auto"/>
          <w:kern w:val="0"/>
          <w:position w:val="2"/>
          <w:sz w:val="24"/>
          <w:highlight w:val="none"/>
        </w:rPr>
        <w:t>仍应提供售后服务，负责货物的终身维护和备品的供应。</w:t>
      </w:r>
    </w:p>
    <w:p>
      <w:pPr>
        <w:tabs>
          <w:tab w:val="left" w:pos="1080"/>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由于</w:t>
      </w:r>
      <w:r>
        <w:rPr>
          <w:rFonts w:hint="eastAsia" w:ascii="宋体" w:hAnsi="宋体"/>
          <w:color w:val="auto"/>
          <w:kern w:val="0"/>
          <w:position w:val="2"/>
          <w:sz w:val="24"/>
          <w:highlight w:val="none"/>
          <w:lang w:eastAsia="zh-CN"/>
        </w:rPr>
        <w:t>成交人</w:t>
      </w:r>
      <w:r>
        <w:rPr>
          <w:rFonts w:hint="eastAsia" w:ascii="宋体" w:hAnsi="宋体"/>
          <w:color w:val="auto"/>
          <w:sz w:val="24"/>
          <w:highlight w:val="none"/>
        </w:rPr>
        <w:t>货物质量问题，而给予</w:t>
      </w:r>
      <w:r>
        <w:rPr>
          <w:rFonts w:hint="eastAsia" w:ascii="宋体" w:hAnsi="宋体"/>
          <w:color w:val="auto"/>
          <w:sz w:val="24"/>
          <w:highlight w:val="none"/>
          <w:lang w:eastAsia="zh-CN"/>
        </w:rPr>
        <w:t>采购人</w:t>
      </w:r>
      <w:r>
        <w:rPr>
          <w:rFonts w:hint="eastAsia" w:ascii="宋体" w:hAnsi="宋体"/>
          <w:color w:val="auto"/>
          <w:sz w:val="24"/>
          <w:highlight w:val="none"/>
        </w:rPr>
        <w:t>造成重大损失，</w:t>
      </w:r>
      <w:r>
        <w:rPr>
          <w:rFonts w:hint="eastAsia" w:ascii="宋体" w:hAnsi="宋体"/>
          <w:color w:val="auto"/>
          <w:kern w:val="0"/>
          <w:position w:val="2"/>
          <w:sz w:val="24"/>
          <w:highlight w:val="none"/>
          <w:lang w:eastAsia="zh-CN"/>
        </w:rPr>
        <w:t>成交人</w:t>
      </w:r>
      <w:r>
        <w:rPr>
          <w:rFonts w:hint="eastAsia" w:ascii="宋体" w:hAnsi="宋体"/>
          <w:color w:val="auto"/>
          <w:sz w:val="24"/>
          <w:highlight w:val="none"/>
        </w:rPr>
        <w:t>应作相应的赔偿。</w:t>
      </w:r>
    </w:p>
    <w:p>
      <w:pPr>
        <w:tabs>
          <w:tab w:val="left" w:pos="1080"/>
          <w:tab w:val="left" w:pos="4500"/>
        </w:tabs>
        <w:snapToGrid w:val="0"/>
        <w:spacing w:line="360" w:lineRule="auto"/>
        <w:ind w:firstLine="241" w:firstLineChars="100"/>
        <w:rPr>
          <w:rFonts w:ascii="宋体" w:hAnsi="宋体"/>
          <w:b/>
          <w:color w:val="auto"/>
          <w:spacing w:val="-4"/>
          <w:sz w:val="24"/>
          <w:highlight w:val="none"/>
        </w:rPr>
      </w:pPr>
      <w:r>
        <w:rPr>
          <w:rFonts w:hint="eastAsia" w:ascii="宋体" w:hAnsi="宋体"/>
          <w:b/>
          <w:color w:val="auto"/>
          <w:sz w:val="24"/>
          <w:highlight w:val="none"/>
        </w:rPr>
        <w:t>七、</w:t>
      </w:r>
      <w:r>
        <w:rPr>
          <w:rFonts w:hint="eastAsia" w:ascii="宋体" w:hAnsi="宋体"/>
          <w:b/>
          <w:color w:val="auto"/>
          <w:spacing w:val="-4"/>
          <w:sz w:val="24"/>
          <w:highlight w:val="none"/>
        </w:rPr>
        <w:t>采购项目相关附件-项目图纸。</w:t>
      </w:r>
    </w:p>
    <w:p>
      <w:pPr>
        <w:tabs>
          <w:tab w:val="left" w:pos="1080"/>
          <w:tab w:val="left" w:pos="4500"/>
        </w:tabs>
        <w:snapToGrid w:val="0"/>
        <w:spacing w:line="360" w:lineRule="auto"/>
        <w:ind w:firstLine="233" w:firstLineChars="100"/>
        <w:rPr>
          <w:rFonts w:hint="eastAsia" w:ascii="宋体" w:hAnsi="宋体" w:eastAsia="宋体"/>
          <w:b/>
          <w:color w:val="auto"/>
          <w:spacing w:val="-4"/>
          <w:sz w:val="24"/>
          <w:highlight w:val="none"/>
          <w:lang w:eastAsia="zh-CN"/>
        </w:rPr>
      </w:pPr>
      <w:r>
        <w:rPr>
          <w:rFonts w:hint="eastAsia" w:ascii="宋体" w:hAnsi="宋体"/>
          <w:b/>
          <w:color w:val="auto"/>
          <w:spacing w:val="-4"/>
          <w:sz w:val="24"/>
          <w:highlight w:val="none"/>
        </w:rPr>
        <w:t>八、工程量清单</w:t>
      </w:r>
      <w:r>
        <w:rPr>
          <w:rFonts w:hint="eastAsia" w:ascii="宋体" w:hAnsi="宋体"/>
          <w:b/>
          <w:color w:val="auto"/>
          <w:spacing w:val="-4"/>
          <w:sz w:val="24"/>
          <w:highlight w:val="none"/>
          <w:lang w:eastAsia="zh-CN"/>
        </w:rPr>
        <w:t>及编制说明</w:t>
      </w:r>
      <w:r>
        <w:rPr>
          <w:rFonts w:hint="eastAsia" w:ascii="宋体" w:hAnsi="宋体"/>
          <w:b/>
          <w:color w:val="auto"/>
          <w:spacing w:val="-4"/>
          <w:sz w:val="24"/>
          <w:highlight w:val="none"/>
        </w:rPr>
        <w:t>-详见附件</w:t>
      </w:r>
      <w:r>
        <w:rPr>
          <w:rFonts w:hint="eastAsia" w:ascii="宋体" w:hAnsi="宋体"/>
          <w:b/>
          <w:color w:val="auto"/>
          <w:spacing w:val="-4"/>
          <w:sz w:val="24"/>
          <w:highlight w:val="none"/>
          <w:lang w:eastAsia="zh-CN"/>
        </w:rPr>
        <w:t>。</w:t>
      </w:r>
    </w:p>
    <w:p>
      <w:pPr>
        <w:tabs>
          <w:tab w:val="left" w:pos="1080"/>
          <w:tab w:val="left" w:pos="4500"/>
        </w:tabs>
        <w:snapToGrid w:val="0"/>
        <w:spacing w:line="360" w:lineRule="auto"/>
        <w:ind w:firstLine="233" w:firstLineChars="100"/>
        <w:rPr>
          <w:rFonts w:ascii="宋体" w:hAnsi="宋体"/>
          <w:b/>
          <w:color w:val="auto"/>
          <w:spacing w:val="-4"/>
          <w:sz w:val="24"/>
          <w:highlight w:val="none"/>
        </w:rPr>
      </w:pPr>
      <w:r>
        <w:rPr>
          <w:rFonts w:hint="eastAsia" w:ascii="宋体" w:hAnsi="宋体"/>
          <w:b/>
          <w:color w:val="auto"/>
          <w:spacing w:val="-4"/>
          <w:sz w:val="24"/>
          <w:highlight w:val="none"/>
        </w:rPr>
        <w:t>九、相关说明</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投标总报价包含从项目实施到竣工验收、质量保期满需要的全部费用。供应商应根据国家、浙江省、杭州市的有关规定并结合企业的实际情况进行投标响应报价。投标响应报价是完成本投标文件规定的所有采购内容和要求的总费用。</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供应商的技术文件中或投标文件及所附采购图纸、技术规范要求中有关的施工要求所产生的费用应包括在投标响应报价中，上述要求凡采购人提供的工程量清单特征描述中未列入的，由供应商在相应的分部分项工程量清单项目的综合单价中考虑，否则视同投标响应优惠，采购人不单独列项支付。综合单价在合同实施时间保持不变，不得以任何理由予以变更，并不因设计方案优化、劳务、材料、设备、机械等成本的价格变动而作任何调整。</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（3）供应商应先到工地踏勘以充分了解工地位置、情况、道路、储存空间、装卸限制及任何其它足以影响承包价的情况，任何因忽视或误解工地情况而导致的索赔或工期延长申请将不获批准。</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（4）供应商应充分考虑停电、停水、二次搬运、施工场地不足、成品保护、重大活动引起的中断施工等情况可能引起的费用和工期。</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（5）公共费用（如交通、市容、环保、噪音、治安等费用）由供应商自行调研作为单项费用计入措施项目费中，否则视作优惠。</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（6）根据相关规范要求，部分材料设备须通过第三方检测，涉及到的检测、监测、质检费用由</w:t>
      </w:r>
      <w:r>
        <w:rPr>
          <w:rFonts w:hint="eastAsia" w:ascii="宋体" w:hAnsi="宋体"/>
          <w:color w:val="auto"/>
          <w:sz w:val="24"/>
          <w:highlight w:val="none"/>
          <w:lang w:eastAsia="zh-CN"/>
        </w:rPr>
        <w:t>成交人</w:t>
      </w:r>
      <w:r>
        <w:rPr>
          <w:rFonts w:hint="eastAsia" w:ascii="宋体" w:hAnsi="宋体"/>
          <w:color w:val="auto"/>
          <w:sz w:val="24"/>
          <w:highlight w:val="none"/>
        </w:rPr>
        <w:t>在投标响应报价中综合考虑。</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（7)竣工验收前须进行室内空气质量检测，检测单位须环保名录中，并经</w:t>
      </w:r>
      <w:r>
        <w:rPr>
          <w:rFonts w:hint="eastAsia" w:ascii="宋体" w:hAnsi="宋体"/>
          <w:color w:val="auto"/>
          <w:sz w:val="24"/>
          <w:highlight w:val="none"/>
          <w:lang w:val="en-US" w:eastAsia="zh-CN"/>
        </w:rPr>
        <w:t>采购人</w:t>
      </w:r>
      <w:r>
        <w:rPr>
          <w:rFonts w:hint="eastAsia" w:ascii="宋体" w:hAnsi="宋体"/>
          <w:color w:val="auto"/>
          <w:sz w:val="24"/>
          <w:highlight w:val="none"/>
        </w:rPr>
        <w:t>确认，</w:t>
      </w:r>
      <w:r>
        <w:rPr>
          <w:rFonts w:hint="eastAsia" w:ascii="宋体" w:hAnsi="宋体"/>
          <w:color w:val="auto"/>
          <w:sz w:val="24"/>
          <w:highlight w:val="none"/>
          <w:lang w:val="en-US" w:eastAsia="zh-CN"/>
        </w:rPr>
        <w:t>成交</w:t>
      </w:r>
      <w:r>
        <w:rPr>
          <w:rFonts w:hint="eastAsia" w:ascii="宋体" w:hAnsi="宋体"/>
          <w:color w:val="auto"/>
          <w:sz w:val="24"/>
          <w:highlight w:val="none"/>
        </w:rPr>
        <w:t>单位承担相应第三方检测费用，相关费用在投标报价中综合考虑，今后不得调整。如室内空气质量检测不合格，需进行整改，并重新检测，直至检测合格为止，相关费用由</w:t>
      </w:r>
      <w:r>
        <w:rPr>
          <w:rFonts w:hint="eastAsia" w:ascii="宋体" w:hAnsi="宋体"/>
          <w:color w:val="auto"/>
          <w:sz w:val="24"/>
          <w:highlight w:val="none"/>
          <w:lang w:val="en-US" w:eastAsia="zh-CN"/>
        </w:rPr>
        <w:t>成交</w:t>
      </w:r>
      <w:r>
        <w:rPr>
          <w:rFonts w:hint="eastAsia" w:ascii="宋体" w:hAnsi="宋体"/>
          <w:color w:val="auto"/>
          <w:sz w:val="24"/>
          <w:highlight w:val="none"/>
        </w:rPr>
        <w:t>单位承担。</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（8）本工程所有需要拆除的项目及现场要求的其他物体的拆除、清理、外运和处置，按“项”包干，结算不作调整，具体由供应商根据图纸和现场实际情况自行考虑。</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（9）竣工后的开荒保洁费用包含在投标总报价中，成交后，不另行支付。</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（10）响应文件中价格全部采用人民币报价。报价应是唯一的, 采购人将不接受有选择的报价，且该投标响应总价不受外汇汇率及其它因素的影响。</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（11）工程进度款支付：根据《浙江省财政厅关于进一步发挥政府采购政策功能全力推动经济稳进提质的通知》-【浙财采监〔2022〕3号】相关规定：</w:t>
      </w:r>
    </w:p>
    <w:p>
      <w:pPr>
        <w:snapToGrid w:val="0"/>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（1）开工后7个工作日内，采购人支付合同价的</w:t>
      </w:r>
      <w:r>
        <w:rPr>
          <w:rFonts w:hint="eastAsia" w:ascii="宋体" w:hAnsi="宋体"/>
          <w:color w:val="auto"/>
          <w:sz w:val="24"/>
          <w:highlight w:val="none"/>
          <w:lang w:val="en-US" w:eastAsia="zh-CN"/>
        </w:rPr>
        <w:t>20</w:t>
      </w:r>
      <w:r>
        <w:rPr>
          <w:rFonts w:hint="eastAsia" w:ascii="宋体" w:hAnsi="宋体"/>
          <w:color w:val="auto"/>
          <w:sz w:val="24"/>
          <w:highlight w:val="none"/>
        </w:rPr>
        <w:t>%作为预付款给成交人；</w:t>
      </w:r>
      <w:r>
        <w:rPr>
          <w:rFonts w:hint="eastAsia" w:ascii="宋体" w:hAnsi="宋体"/>
          <w:color w:val="auto"/>
          <w:sz w:val="24"/>
          <w:highlight w:val="none"/>
          <w:lang w:val="en-US" w:eastAsia="zh-CN"/>
        </w:rPr>
        <w:t>成交人提交1%的履约保证金。</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（2）工程完工</w:t>
      </w:r>
      <w:r>
        <w:rPr>
          <w:rFonts w:hint="eastAsia" w:ascii="宋体" w:hAnsi="宋体"/>
          <w:color w:val="auto"/>
          <w:sz w:val="24"/>
          <w:highlight w:val="none"/>
          <w:lang w:val="en-US" w:eastAsia="zh-CN"/>
        </w:rPr>
        <w:t>工程量完成至合同价的70%</w:t>
      </w:r>
      <w:r>
        <w:rPr>
          <w:rFonts w:hint="eastAsia" w:ascii="宋体" w:hAnsi="宋体"/>
          <w:color w:val="auto"/>
          <w:sz w:val="24"/>
          <w:highlight w:val="none"/>
        </w:rPr>
        <w:t>后支付至合同价的</w:t>
      </w:r>
      <w:r>
        <w:rPr>
          <w:rFonts w:hint="eastAsia" w:ascii="宋体" w:hAnsi="宋体"/>
          <w:color w:val="auto"/>
          <w:sz w:val="24"/>
          <w:highlight w:val="none"/>
          <w:lang w:val="en-US" w:eastAsia="zh-CN"/>
        </w:rPr>
        <w:t>50</w:t>
      </w:r>
      <w:r>
        <w:rPr>
          <w:rFonts w:hint="eastAsia" w:ascii="宋体" w:hAnsi="宋体"/>
          <w:color w:val="auto"/>
          <w:sz w:val="24"/>
          <w:highlight w:val="none"/>
        </w:rPr>
        <w:t>%；</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）竣工验收合格后，支付至合同价的8</w:t>
      </w:r>
      <w:r>
        <w:rPr>
          <w:rFonts w:hint="eastAsia" w:ascii="宋体" w:hAnsi="宋体"/>
          <w:color w:val="auto"/>
          <w:sz w:val="24"/>
          <w:highlight w:val="none"/>
          <w:lang w:val="en-US" w:eastAsia="zh-CN"/>
        </w:rPr>
        <w:t>0</w:t>
      </w:r>
      <w:r>
        <w:rPr>
          <w:rFonts w:hint="eastAsia" w:ascii="宋体" w:hAnsi="宋体"/>
          <w:color w:val="auto"/>
          <w:sz w:val="24"/>
          <w:highlight w:val="none"/>
        </w:rPr>
        <w:t>%（如工程实施过程中有较大甩项，则支付实际完成工作量的8</w:t>
      </w:r>
      <w:r>
        <w:rPr>
          <w:rFonts w:hint="eastAsia" w:ascii="宋体" w:hAnsi="宋体"/>
          <w:color w:val="auto"/>
          <w:sz w:val="24"/>
          <w:highlight w:val="none"/>
          <w:lang w:val="en-US" w:eastAsia="zh-CN"/>
        </w:rPr>
        <w:t>0</w:t>
      </w:r>
      <w:r>
        <w:rPr>
          <w:rFonts w:hint="eastAsia" w:ascii="宋体" w:hAnsi="宋体"/>
          <w:color w:val="auto"/>
          <w:sz w:val="24"/>
          <w:highlight w:val="none"/>
        </w:rPr>
        <w:t>%）；</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（4）工程决算经审计完成，</w:t>
      </w:r>
      <w:r>
        <w:rPr>
          <w:rFonts w:hint="eastAsia" w:ascii="宋体" w:hAnsi="宋体"/>
          <w:color w:val="auto"/>
          <w:sz w:val="24"/>
          <w:highlight w:val="none"/>
          <w:lang w:val="en-US" w:eastAsia="zh-CN"/>
        </w:rPr>
        <w:t>采购人</w:t>
      </w:r>
      <w:r>
        <w:rPr>
          <w:rFonts w:hint="eastAsia" w:ascii="宋体" w:hAnsi="宋体"/>
          <w:color w:val="auto"/>
          <w:sz w:val="24"/>
          <w:highlight w:val="none"/>
        </w:rPr>
        <w:t>组织进行项目总验收，验收合格，</w:t>
      </w:r>
      <w:r>
        <w:rPr>
          <w:rFonts w:hint="eastAsia" w:ascii="宋体" w:hAnsi="宋体"/>
          <w:color w:val="auto"/>
          <w:sz w:val="24"/>
          <w:highlight w:val="none"/>
          <w:lang w:val="en-US" w:eastAsia="zh-CN"/>
        </w:rPr>
        <w:t>成交人</w:t>
      </w:r>
      <w:r>
        <w:rPr>
          <w:rFonts w:hint="eastAsia" w:ascii="宋体" w:hAnsi="宋体"/>
          <w:color w:val="auto"/>
          <w:sz w:val="24"/>
          <w:highlight w:val="none"/>
        </w:rPr>
        <w:t>在缴纳审定金额的1.5%质量保证金（缺陷责任期满后无质量问题无息退还），付至审定金额的100%。</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（12）履约保证金：合同总价的1％作为履约保证金，签订合同后</w:t>
      </w:r>
      <w:r>
        <w:rPr>
          <w:rFonts w:hint="eastAsia" w:ascii="宋体" w:hAnsi="宋体"/>
          <w:color w:val="auto"/>
          <w:sz w:val="24"/>
          <w:highlight w:val="none"/>
          <w:lang w:val="en-US" w:eastAsia="zh-CN"/>
        </w:rPr>
        <w:t>7</w:t>
      </w:r>
      <w:r>
        <w:rPr>
          <w:rFonts w:hint="eastAsia" w:ascii="宋体" w:hAnsi="宋体"/>
          <w:color w:val="auto"/>
          <w:sz w:val="24"/>
          <w:highlight w:val="none"/>
        </w:rPr>
        <w:t>个工作日内由成交人交入采购人帐户（履约保证金可以以银行转账、由银行或保险公司出具的保函保单等形式），待工程竣工验收合格后及时退还履约保证金（</w:t>
      </w:r>
      <w:r>
        <w:rPr>
          <w:rFonts w:hint="eastAsia" w:ascii="宋体" w:hAnsi="宋体"/>
          <w:color w:val="auto"/>
          <w:sz w:val="24"/>
          <w:highlight w:val="none"/>
          <w:lang w:eastAsia="zh-CN"/>
        </w:rPr>
        <w:t>采购人</w:t>
      </w:r>
      <w:r>
        <w:rPr>
          <w:rFonts w:hint="eastAsia" w:ascii="宋体" w:hAnsi="宋体"/>
          <w:color w:val="auto"/>
          <w:sz w:val="24"/>
          <w:highlight w:val="none"/>
        </w:rPr>
        <w:t>逾期退还履约保证金的，</w:t>
      </w:r>
      <w:r>
        <w:rPr>
          <w:rFonts w:hint="eastAsia" w:ascii="宋体" w:hAnsi="宋体"/>
          <w:color w:val="auto"/>
          <w:sz w:val="24"/>
          <w:highlight w:val="none"/>
          <w:lang w:val="en-US" w:eastAsia="zh-CN"/>
        </w:rPr>
        <w:t>成交人</w:t>
      </w:r>
      <w:r>
        <w:rPr>
          <w:rFonts w:hint="eastAsia" w:ascii="宋体" w:hAnsi="宋体"/>
          <w:color w:val="auto"/>
          <w:sz w:val="24"/>
          <w:highlight w:val="none"/>
        </w:rPr>
        <w:t>可要求</w:t>
      </w:r>
      <w:r>
        <w:rPr>
          <w:rFonts w:hint="eastAsia" w:ascii="宋体" w:hAnsi="宋体"/>
          <w:color w:val="auto"/>
          <w:sz w:val="24"/>
          <w:highlight w:val="none"/>
          <w:lang w:val="en-US" w:eastAsia="zh-CN"/>
        </w:rPr>
        <w:t>采购人</w:t>
      </w:r>
      <w:r>
        <w:rPr>
          <w:rFonts w:hint="eastAsia" w:ascii="宋体" w:hAnsi="宋体"/>
          <w:color w:val="auto"/>
          <w:sz w:val="24"/>
          <w:highlight w:val="none"/>
        </w:rPr>
        <w:t>支付违约金，违约金按每迟延退还一日的应退还而未退还金额的 0.05 %计算，最高限额为本合同履约保证金的5%；</w:t>
      </w:r>
      <w:r>
        <w:rPr>
          <w:rFonts w:hint="eastAsia" w:ascii="宋体" w:hAnsi="宋体"/>
          <w:color w:val="auto"/>
          <w:sz w:val="24"/>
          <w:highlight w:val="none"/>
          <w:lang w:val="en-US" w:eastAsia="zh-CN"/>
        </w:rPr>
        <w:t>成交人</w:t>
      </w:r>
      <w:r>
        <w:rPr>
          <w:rFonts w:hint="eastAsia" w:ascii="宋体" w:hAnsi="宋体"/>
          <w:color w:val="auto"/>
          <w:sz w:val="24"/>
          <w:highlight w:val="none"/>
        </w:rPr>
        <w:t>不履行合同，履约保证金不予退还；如果</w:t>
      </w:r>
      <w:r>
        <w:rPr>
          <w:rFonts w:hint="eastAsia" w:ascii="宋体" w:hAnsi="宋体"/>
          <w:color w:val="auto"/>
          <w:sz w:val="24"/>
          <w:highlight w:val="none"/>
          <w:lang w:val="en-US" w:eastAsia="zh-CN"/>
        </w:rPr>
        <w:t>成交人</w:t>
      </w:r>
      <w:r>
        <w:rPr>
          <w:rFonts w:hint="eastAsia" w:ascii="宋体" w:hAnsi="宋体"/>
          <w:color w:val="auto"/>
          <w:sz w:val="24"/>
          <w:highlight w:val="none"/>
        </w:rPr>
        <w:t>未能按合同约定全面履行义务，那么</w:t>
      </w:r>
      <w:r>
        <w:rPr>
          <w:rFonts w:hint="eastAsia" w:ascii="宋体" w:hAnsi="宋体"/>
          <w:color w:val="auto"/>
          <w:sz w:val="24"/>
          <w:highlight w:val="none"/>
          <w:lang w:val="en-US" w:eastAsia="zh-CN"/>
        </w:rPr>
        <w:t>采购人</w:t>
      </w:r>
      <w:r>
        <w:rPr>
          <w:rFonts w:hint="eastAsia" w:ascii="宋体" w:hAnsi="宋体"/>
          <w:color w:val="auto"/>
          <w:sz w:val="24"/>
          <w:highlight w:val="none"/>
        </w:rPr>
        <w:t>有权从履约保证金中取得补偿或赔偿，同时不影响</w:t>
      </w:r>
      <w:r>
        <w:rPr>
          <w:rFonts w:hint="eastAsia" w:ascii="宋体" w:hAnsi="宋体"/>
          <w:color w:val="auto"/>
          <w:sz w:val="24"/>
          <w:highlight w:val="none"/>
          <w:lang w:val="en-US" w:eastAsia="zh-CN"/>
        </w:rPr>
        <w:t>采购人</w:t>
      </w:r>
      <w:r>
        <w:rPr>
          <w:rFonts w:hint="eastAsia" w:ascii="宋体" w:hAnsi="宋体"/>
          <w:color w:val="auto"/>
          <w:sz w:val="24"/>
          <w:highlight w:val="none"/>
        </w:rPr>
        <w:t>要求</w:t>
      </w:r>
      <w:r>
        <w:rPr>
          <w:rFonts w:hint="eastAsia" w:ascii="宋体" w:hAnsi="宋体"/>
          <w:color w:val="auto"/>
          <w:sz w:val="24"/>
          <w:highlight w:val="none"/>
          <w:lang w:val="en-US" w:eastAsia="zh-CN"/>
        </w:rPr>
        <w:t>成交人</w:t>
      </w:r>
      <w:r>
        <w:rPr>
          <w:rFonts w:hint="eastAsia" w:ascii="宋体" w:hAnsi="宋体"/>
          <w:color w:val="auto"/>
          <w:sz w:val="24"/>
          <w:highlight w:val="none"/>
        </w:rPr>
        <w:t>承担合同约定的超过履约保证金的违约责任的权利；</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（13）因本项目的特殊性，供应商应先到</w:t>
      </w:r>
      <w:r>
        <w:rPr>
          <w:rFonts w:hint="eastAsia" w:ascii="宋体" w:hAnsi="宋体"/>
          <w:color w:val="auto"/>
          <w:sz w:val="24"/>
          <w:highlight w:val="none"/>
          <w:u w:val="single"/>
        </w:rPr>
        <w:t>工</w:t>
      </w:r>
      <w:r>
        <w:rPr>
          <w:rFonts w:hint="eastAsia" w:ascii="宋体" w:hAnsi="宋体"/>
          <w:color w:val="auto"/>
          <w:sz w:val="24"/>
          <w:highlight w:val="none"/>
        </w:rPr>
        <w:t>地踏勘以充分了解工地位置、现状情况、及任何其它足以影响承包价的情况，任何因忽视或误解工地情况而导致的行政处罚、索赔或工期延长申请将不获批准。本项目为总价包干合同，除了清单和图纸（如有）外，可能涉及一些零星工程，请根据工地踏勘的实际情况进行综合考虑报价，应是在要求工期内完成采购范围全部工程内容的所有费用，包括完成本工程的直接费、间接费、利润、税金、风险费等，总价后期不做调整。</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14）如施工图及本文件所附工程量清单存在矛盾、不符或缺漏项的，请在答疑截止时间前向采购人或采购代理机构提出，逾期视同已全面考虑在最后报价中，成交后，除设计变更外，采购人不接受其他任何方式的调整。</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如成交，采购人不接受成交供应商因情况不明、风险考虑不足、要求变更等一切价格调整的理由。</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（15）本工程在施工期间，应注意保护好采购人周边现有成品，如有损坏，须无条件修复至采购人满意，各供应商须自行考虑相关费用并计入响应总价且一次性包干。</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（16）废弃材料不得丢弃或随意堆放在馆内，清理产生的拆除费、搬运费、交通运输费等各项费用均由供应商自行考虑并计入响应总价且一次性包干。</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（17）各供应商须全面考虑安装过程中所需的辅材用量，所需费用由供应商综合考虑在响应报价中，供应商成交后不得以任何理由提出相关费用的补偿要求。</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（18）成交单位施工人员的住宿、用餐、用水、个人生活等均自行解决，材料的堆放及停车必须服从采购人的安排。各供应商须自行考虑相关费用并计入响应总价且一次性包干。</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19）结合本文件及施工图并经现场踏勘后，供应商认为施工过程中可能发生的各项费用（垂直运输、设备租用、高空作业、施工临时设施及施工用水、用电等）均须计入响应总价。成交后，采购人不再另行支付。</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（20）工程完工后，成交人需对施工现场进行全面的清洁工作。所需费用由供应商综合考虑在响应报价中，供应商成交后不得以任何理由提出相关费用的补偿要求。</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（21）施工期间，如遇馆内重大活动、极端天气导致工程暂停的，</w:t>
      </w:r>
      <w:r>
        <w:rPr>
          <w:rFonts w:hint="eastAsia" w:ascii="宋体" w:hAnsi="宋体"/>
          <w:color w:val="auto"/>
          <w:sz w:val="24"/>
          <w:highlight w:val="none"/>
          <w:lang w:eastAsia="zh-CN"/>
        </w:rPr>
        <w:t>成交人</w:t>
      </w:r>
      <w:r>
        <w:rPr>
          <w:rFonts w:hint="eastAsia" w:ascii="宋体" w:hAnsi="宋体"/>
          <w:color w:val="auto"/>
          <w:sz w:val="24"/>
          <w:highlight w:val="none"/>
        </w:rPr>
        <w:t>需无条件配合，工期依据暂停时间自动顺延，但因此产生的其他影响或成本支出由</w:t>
      </w:r>
      <w:r>
        <w:rPr>
          <w:rFonts w:hint="eastAsia" w:ascii="宋体" w:hAnsi="宋体"/>
          <w:color w:val="auto"/>
          <w:sz w:val="24"/>
          <w:highlight w:val="none"/>
          <w:lang w:eastAsia="zh-CN"/>
        </w:rPr>
        <w:t>成交人</w:t>
      </w:r>
      <w:r>
        <w:rPr>
          <w:rFonts w:hint="eastAsia" w:ascii="宋体" w:hAnsi="宋体"/>
          <w:color w:val="auto"/>
          <w:sz w:val="24"/>
          <w:highlight w:val="none"/>
        </w:rPr>
        <w:t>自行承担。</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（22）因工程地点特殊，工程施工应保障游客出行及生活的便利性及安全，采取有效措施处理扬尘及噪音，工程施工时间服从工美馆相关管理部门的管理。</w:t>
      </w:r>
    </w:p>
    <w:p/>
    <w:p>
      <w:pPr>
        <w:snapToGrid w:val="0"/>
        <w:spacing w:line="360" w:lineRule="auto"/>
        <w:ind w:firstLine="480" w:firstLineChars="200"/>
        <w:rPr>
          <w:rFonts w:ascii="宋体" w:hAnsi="宋体"/>
          <w:color w:val="auto"/>
          <w:sz w:val="24"/>
          <w:highlight w:val="none"/>
        </w:rPr>
      </w:pPr>
    </w:p>
    <w:p>
      <w:pPr>
        <w:rPr>
          <w:rFonts w:ascii="宋体" w:hAnsi="宋体" w:cs="宋体"/>
          <w:snapToGrid w:val="0"/>
          <w:color w:val="auto"/>
          <w:kern w:val="0"/>
          <w:sz w:val="24"/>
          <w:highlight w:val="none"/>
        </w:rPr>
      </w:pPr>
    </w:p>
    <w:p>
      <w:pPr>
        <w:snapToGrid w:val="0"/>
        <w:spacing w:line="360" w:lineRule="auto"/>
        <w:jc w:val="center"/>
        <w:rPr>
          <w:rFonts w:ascii="宋体" w:hAnsi="宋体" w:cs="宋体"/>
          <w:b/>
          <w:color w:val="auto"/>
          <w:sz w:val="36"/>
          <w:szCs w:val="20"/>
          <w:highlight w:val="none"/>
        </w:rPr>
      </w:pPr>
      <w:r>
        <w:rPr>
          <w:rFonts w:hint="eastAsia" w:ascii="宋体" w:hAnsi="宋体" w:cs="宋体"/>
          <w:b/>
          <w:color w:val="auto"/>
          <w:sz w:val="24"/>
          <w:highlight w:val="none"/>
        </w:rPr>
        <w:br w:type="page"/>
      </w:r>
      <w:r>
        <w:rPr>
          <w:rFonts w:hint="eastAsia" w:ascii="宋体" w:hAnsi="宋体" w:cs="宋体"/>
          <w:b/>
          <w:color w:val="auto"/>
          <w:sz w:val="36"/>
          <w:szCs w:val="20"/>
          <w:highlight w:val="none"/>
        </w:rPr>
        <w:t>第四部分</w:t>
      </w:r>
      <w:bookmarkStart w:id="32" w:name="_Toc184312072"/>
      <w:bookmarkEnd w:id="32"/>
      <w:bookmarkStart w:id="33" w:name="_Toc184308042"/>
      <w:bookmarkEnd w:id="33"/>
      <w:bookmarkStart w:id="34" w:name="_Toc184312128"/>
      <w:bookmarkEnd w:id="34"/>
      <w:bookmarkStart w:id="35" w:name="_Toc184310331"/>
      <w:bookmarkEnd w:id="35"/>
      <w:bookmarkStart w:id="36" w:name="_Toc184314436"/>
      <w:bookmarkEnd w:id="36"/>
      <w:bookmarkStart w:id="37" w:name="_Toc184310304"/>
      <w:bookmarkEnd w:id="37"/>
      <w:bookmarkStart w:id="38" w:name="_Toc184310340"/>
      <w:bookmarkEnd w:id="38"/>
      <w:bookmarkStart w:id="39" w:name="_Toc184308048"/>
      <w:bookmarkEnd w:id="39"/>
      <w:bookmarkStart w:id="40" w:name="_Toc184312123"/>
      <w:bookmarkEnd w:id="40"/>
      <w:bookmarkStart w:id="41" w:name="_Toc184313243"/>
      <w:bookmarkEnd w:id="41"/>
      <w:bookmarkStart w:id="42" w:name="_Toc184314411"/>
      <w:bookmarkEnd w:id="42"/>
      <w:bookmarkStart w:id="43" w:name="_Toc184312082"/>
      <w:bookmarkEnd w:id="43"/>
      <w:bookmarkStart w:id="44" w:name="_Toc184312080"/>
      <w:bookmarkEnd w:id="44"/>
      <w:bookmarkStart w:id="45" w:name="_Toc184312090"/>
      <w:bookmarkEnd w:id="45"/>
      <w:bookmarkStart w:id="46" w:name="_Toc184312124"/>
      <w:bookmarkEnd w:id="46"/>
      <w:bookmarkStart w:id="47" w:name="_Toc184312115"/>
      <w:bookmarkEnd w:id="47"/>
      <w:bookmarkStart w:id="48" w:name="_Toc184308085"/>
      <w:bookmarkEnd w:id="48"/>
      <w:bookmarkStart w:id="49" w:name="_Toc184314413"/>
      <w:bookmarkEnd w:id="49"/>
      <w:bookmarkStart w:id="50" w:name="_Toc184310310"/>
      <w:bookmarkEnd w:id="50"/>
      <w:bookmarkStart w:id="51" w:name="_Toc184314454"/>
      <w:bookmarkEnd w:id="51"/>
      <w:bookmarkStart w:id="52" w:name="_Toc184314416"/>
      <w:bookmarkEnd w:id="52"/>
      <w:bookmarkStart w:id="53" w:name="_Toc184312101"/>
      <w:bookmarkEnd w:id="53"/>
      <w:bookmarkStart w:id="54" w:name="_Toc184314437"/>
      <w:bookmarkEnd w:id="54"/>
      <w:bookmarkStart w:id="55" w:name="_Toc184308073"/>
      <w:bookmarkEnd w:id="55"/>
      <w:bookmarkStart w:id="56" w:name="_Toc184308091"/>
      <w:bookmarkEnd w:id="56"/>
      <w:bookmarkStart w:id="57" w:name="_Toc184310312"/>
      <w:bookmarkEnd w:id="57"/>
      <w:bookmarkStart w:id="58" w:name="_Toc184313291"/>
      <w:bookmarkEnd w:id="58"/>
      <w:bookmarkStart w:id="59" w:name="_Toc184310276"/>
      <w:bookmarkEnd w:id="59"/>
      <w:bookmarkStart w:id="60" w:name="_Toc184308108"/>
      <w:bookmarkEnd w:id="60"/>
      <w:bookmarkStart w:id="61" w:name="_Toc184308043"/>
      <w:bookmarkEnd w:id="61"/>
      <w:bookmarkStart w:id="62" w:name="_Toc184312110"/>
      <w:bookmarkEnd w:id="62"/>
      <w:bookmarkStart w:id="63" w:name="_Toc184308056"/>
      <w:bookmarkEnd w:id="63"/>
      <w:bookmarkStart w:id="64" w:name="_Toc184312126"/>
      <w:bookmarkEnd w:id="64"/>
      <w:bookmarkStart w:id="65" w:name="_Toc184308067"/>
      <w:bookmarkEnd w:id="65"/>
      <w:bookmarkStart w:id="66" w:name="_Toc184313288"/>
      <w:bookmarkEnd w:id="66"/>
      <w:bookmarkStart w:id="67" w:name="_Toc184313276"/>
      <w:bookmarkEnd w:id="67"/>
      <w:bookmarkStart w:id="68" w:name="_Toc184313309"/>
      <w:bookmarkEnd w:id="68"/>
      <w:bookmarkStart w:id="69" w:name="_Toc184314445"/>
      <w:bookmarkEnd w:id="69"/>
      <w:bookmarkStart w:id="70" w:name="_Toc184314431"/>
      <w:bookmarkEnd w:id="70"/>
      <w:bookmarkStart w:id="71" w:name="_Toc184312118"/>
      <w:bookmarkEnd w:id="71"/>
      <w:bookmarkStart w:id="72" w:name="_Toc184312113"/>
      <w:bookmarkEnd w:id="72"/>
      <w:bookmarkStart w:id="73" w:name="_Toc184313292"/>
      <w:bookmarkEnd w:id="73"/>
      <w:bookmarkStart w:id="74" w:name="_Toc184314469"/>
      <w:bookmarkEnd w:id="74"/>
      <w:bookmarkStart w:id="75" w:name="_Toc184308101"/>
      <w:bookmarkEnd w:id="75"/>
      <w:bookmarkStart w:id="76" w:name="_Toc184314423"/>
      <w:bookmarkEnd w:id="76"/>
      <w:bookmarkStart w:id="77" w:name="_Toc184312112"/>
      <w:bookmarkEnd w:id="77"/>
      <w:bookmarkStart w:id="78" w:name="_Toc184313250"/>
      <w:bookmarkEnd w:id="78"/>
      <w:bookmarkStart w:id="79" w:name="_Toc184310290"/>
      <w:bookmarkEnd w:id="79"/>
      <w:bookmarkStart w:id="80" w:name="_Toc184308092"/>
      <w:bookmarkEnd w:id="80"/>
      <w:bookmarkStart w:id="81" w:name="_Toc184308076"/>
      <w:bookmarkEnd w:id="81"/>
      <w:bookmarkStart w:id="82" w:name="_Toc184310307"/>
      <w:bookmarkEnd w:id="82"/>
      <w:bookmarkStart w:id="83" w:name="_Toc184312070"/>
      <w:bookmarkEnd w:id="83"/>
      <w:bookmarkStart w:id="84" w:name="_Toc184310311"/>
      <w:bookmarkEnd w:id="84"/>
      <w:bookmarkStart w:id="85" w:name="_Toc184312109"/>
      <w:bookmarkEnd w:id="85"/>
      <w:bookmarkStart w:id="86" w:name="_Toc184308059"/>
      <w:bookmarkEnd w:id="86"/>
      <w:bookmarkStart w:id="87" w:name="_Toc184308088"/>
      <w:bookmarkEnd w:id="87"/>
      <w:bookmarkStart w:id="88" w:name="_Toc184313268"/>
      <w:bookmarkEnd w:id="88"/>
      <w:bookmarkStart w:id="89" w:name="_Toc184310315"/>
      <w:bookmarkEnd w:id="89"/>
      <w:bookmarkStart w:id="90" w:name="_Toc184308106"/>
      <w:bookmarkEnd w:id="90"/>
      <w:bookmarkStart w:id="91" w:name="_Toc184313295"/>
      <w:bookmarkEnd w:id="91"/>
      <w:bookmarkStart w:id="92" w:name="_Toc184313281"/>
      <w:bookmarkEnd w:id="92"/>
      <w:bookmarkStart w:id="93" w:name="_Toc184312096"/>
      <w:bookmarkEnd w:id="93"/>
      <w:bookmarkStart w:id="94" w:name="_Toc184314468"/>
      <w:bookmarkEnd w:id="94"/>
      <w:bookmarkStart w:id="95" w:name="_Toc184312133"/>
      <w:bookmarkEnd w:id="95"/>
      <w:bookmarkStart w:id="96" w:name="_Toc184310335"/>
      <w:bookmarkEnd w:id="96"/>
      <w:bookmarkStart w:id="97" w:name="_Toc184310287"/>
      <w:bookmarkEnd w:id="97"/>
      <w:bookmarkStart w:id="98" w:name="_Toc184310324"/>
      <w:bookmarkEnd w:id="98"/>
      <w:bookmarkStart w:id="99" w:name="_Toc184310325"/>
      <w:bookmarkEnd w:id="99"/>
      <w:bookmarkStart w:id="100" w:name="_Toc184314421"/>
      <w:bookmarkEnd w:id="100"/>
      <w:bookmarkStart w:id="101" w:name="_Toc184314463"/>
      <w:bookmarkEnd w:id="101"/>
      <w:bookmarkStart w:id="102" w:name="_Toc184314414"/>
      <w:bookmarkEnd w:id="102"/>
      <w:bookmarkStart w:id="103" w:name="_Toc184310273"/>
      <w:bookmarkEnd w:id="103"/>
      <w:bookmarkStart w:id="104" w:name="_Toc184310327"/>
      <w:bookmarkEnd w:id="104"/>
      <w:bookmarkStart w:id="105" w:name="_Toc184314426"/>
      <w:bookmarkEnd w:id="105"/>
      <w:bookmarkStart w:id="106" w:name="_Toc184310285"/>
      <w:bookmarkEnd w:id="106"/>
      <w:bookmarkStart w:id="107" w:name="_Toc184308098"/>
      <w:bookmarkEnd w:id="107"/>
      <w:bookmarkStart w:id="108" w:name="_Toc184310332"/>
      <w:bookmarkEnd w:id="108"/>
      <w:bookmarkStart w:id="109" w:name="_Toc184308040"/>
      <w:bookmarkEnd w:id="109"/>
      <w:bookmarkStart w:id="110" w:name="_Toc184312087"/>
      <w:bookmarkEnd w:id="110"/>
      <w:bookmarkStart w:id="111" w:name="_Toc184308081"/>
      <w:bookmarkEnd w:id="111"/>
      <w:bookmarkStart w:id="112" w:name="_Toc184310288"/>
      <w:bookmarkEnd w:id="112"/>
      <w:bookmarkStart w:id="113" w:name="_Toc184313307"/>
      <w:bookmarkEnd w:id="113"/>
      <w:bookmarkStart w:id="114" w:name="_Toc184308090"/>
      <w:bookmarkEnd w:id="114"/>
      <w:bookmarkStart w:id="115" w:name="_Toc184308074"/>
      <w:bookmarkEnd w:id="115"/>
      <w:bookmarkStart w:id="116" w:name="_Toc184313238"/>
      <w:bookmarkEnd w:id="116"/>
      <w:bookmarkStart w:id="117" w:name="_Toc184310303"/>
      <w:bookmarkEnd w:id="117"/>
      <w:bookmarkStart w:id="118" w:name="_Toc184313305"/>
      <w:bookmarkEnd w:id="118"/>
      <w:bookmarkStart w:id="119" w:name="_Toc184312102"/>
      <w:bookmarkEnd w:id="119"/>
      <w:bookmarkStart w:id="120" w:name="_Toc184308084"/>
      <w:bookmarkEnd w:id="120"/>
      <w:bookmarkStart w:id="121" w:name="_Toc184313248"/>
      <w:bookmarkEnd w:id="121"/>
      <w:bookmarkStart w:id="122" w:name="_Toc184308071"/>
      <w:bookmarkEnd w:id="122"/>
      <w:bookmarkStart w:id="123" w:name="_Toc184308051"/>
      <w:bookmarkEnd w:id="123"/>
      <w:bookmarkStart w:id="124" w:name="_Toc184314442"/>
      <w:bookmarkEnd w:id="124"/>
      <w:bookmarkStart w:id="125" w:name="_Toc184312106"/>
      <w:bookmarkEnd w:id="125"/>
      <w:bookmarkStart w:id="126" w:name="_Toc184308057"/>
      <w:bookmarkEnd w:id="126"/>
      <w:bookmarkStart w:id="127" w:name="_Toc184312094"/>
      <w:bookmarkEnd w:id="127"/>
      <w:bookmarkStart w:id="128" w:name="_Toc184313239"/>
      <w:bookmarkEnd w:id="128"/>
      <w:bookmarkStart w:id="129" w:name="_Toc184308075"/>
      <w:bookmarkEnd w:id="129"/>
      <w:bookmarkStart w:id="130" w:name="_Toc184308061"/>
      <w:bookmarkEnd w:id="130"/>
      <w:bookmarkStart w:id="131" w:name="_Toc184314455"/>
      <w:bookmarkEnd w:id="131"/>
      <w:bookmarkStart w:id="132" w:name="_Toc184313270"/>
      <w:bookmarkEnd w:id="132"/>
      <w:bookmarkStart w:id="133" w:name="_Toc184313256"/>
      <w:bookmarkEnd w:id="133"/>
      <w:bookmarkStart w:id="134" w:name="_Toc184313267"/>
      <w:bookmarkEnd w:id="134"/>
      <w:bookmarkStart w:id="135" w:name="_Toc184310342"/>
      <w:bookmarkEnd w:id="135"/>
      <w:bookmarkStart w:id="136" w:name="_Toc184312116"/>
      <w:bookmarkEnd w:id="136"/>
      <w:bookmarkStart w:id="137" w:name="_Toc184310277"/>
      <w:bookmarkEnd w:id="137"/>
      <w:bookmarkStart w:id="138" w:name="_Toc184313303"/>
      <w:bookmarkEnd w:id="138"/>
      <w:bookmarkStart w:id="139" w:name="_Toc184314453"/>
      <w:bookmarkEnd w:id="139"/>
      <w:bookmarkStart w:id="140" w:name="_Toc184313251"/>
      <w:bookmarkEnd w:id="140"/>
      <w:bookmarkStart w:id="141" w:name="_Toc184308094"/>
      <w:bookmarkEnd w:id="141"/>
      <w:bookmarkStart w:id="142" w:name="_Toc184314458"/>
      <w:bookmarkEnd w:id="142"/>
      <w:bookmarkStart w:id="143" w:name="_Toc184313241"/>
      <w:bookmarkEnd w:id="143"/>
      <w:bookmarkStart w:id="144" w:name="_Toc184314456"/>
      <w:bookmarkEnd w:id="144"/>
      <w:bookmarkStart w:id="145" w:name="_Toc184310283"/>
      <w:bookmarkEnd w:id="145"/>
      <w:bookmarkStart w:id="146" w:name="_Toc184312076"/>
      <w:bookmarkEnd w:id="146"/>
      <w:bookmarkStart w:id="147" w:name="_Toc184314440"/>
      <w:bookmarkEnd w:id="147"/>
      <w:bookmarkStart w:id="148" w:name="_Toc184313264"/>
      <w:bookmarkEnd w:id="148"/>
      <w:bookmarkStart w:id="149" w:name="_Toc184312117"/>
      <w:bookmarkEnd w:id="149"/>
      <w:bookmarkStart w:id="150" w:name="_Toc184314435"/>
      <w:bookmarkEnd w:id="150"/>
      <w:bookmarkStart w:id="151" w:name="_Toc184313247"/>
      <w:bookmarkEnd w:id="151"/>
      <w:bookmarkStart w:id="152" w:name="_Toc184310297"/>
      <w:bookmarkEnd w:id="152"/>
      <w:bookmarkStart w:id="153" w:name="_Toc184308099"/>
      <w:bookmarkEnd w:id="153"/>
      <w:bookmarkStart w:id="154" w:name="_Toc184308077"/>
      <w:bookmarkEnd w:id="154"/>
      <w:bookmarkStart w:id="155" w:name="_Toc184312093"/>
      <w:bookmarkEnd w:id="155"/>
      <w:bookmarkStart w:id="156" w:name="_Toc184314461"/>
      <w:bookmarkEnd w:id="156"/>
      <w:bookmarkStart w:id="157" w:name="_Toc184312074"/>
      <w:bookmarkEnd w:id="157"/>
      <w:bookmarkStart w:id="158" w:name="_Toc184310306"/>
      <w:bookmarkEnd w:id="158"/>
      <w:bookmarkStart w:id="159" w:name="_Toc184312125"/>
      <w:bookmarkEnd w:id="159"/>
      <w:bookmarkStart w:id="160" w:name="_Toc184314467"/>
      <w:bookmarkEnd w:id="160"/>
      <w:bookmarkStart w:id="161" w:name="_Toc184312121"/>
      <w:bookmarkEnd w:id="161"/>
      <w:bookmarkStart w:id="162" w:name="_Toc184314419"/>
      <w:bookmarkEnd w:id="162"/>
      <w:bookmarkStart w:id="163" w:name="_Toc184308070"/>
      <w:bookmarkEnd w:id="163"/>
      <w:bookmarkStart w:id="164" w:name="_Toc184310286"/>
      <w:bookmarkEnd w:id="164"/>
      <w:bookmarkStart w:id="165" w:name="_Toc184313308"/>
      <w:bookmarkEnd w:id="165"/>
      <w:bookmarkStart w:id="166" w:name="_Toc184314466"/>
      <w:bookmarkEnd w:id="166"/>
      <w:bookmarkStart w:id="167" w:name="_Toc184313252"/>
      <w:bookmarkEnd w:id="167"/>
      <w:bookmarkStart w:id="168" w:name="_Toc184314475"/>
      <w:bookmarkEnd w:id="168"/>
      <w:bookmarkStart w:id="169" w:name="_Toc184308080"/>
      <w:bookmarkEnd w:id="169"/>
      <w:bookmarkStart w:id="170" w:name="_Toc184308038"/>
      <w:bookmarkEnd w:id="170"/>
      <w:bookmarkStart w:id="171" w:name="_Toc184313296"/>
      <w:bookmarkEnd w:id="171"/>
      <w:bookmarkStart w:id="172" w:name="_Toc184313298"/>
      <w:bookmarkEnd w:id="172"/>
      <w:bookmarkStart w:id="173" w:name="_Toc184313289"/>
      <w:bookmarkEnd w:id="173"/>
      <w:bookmarkStart w:id="174" w:name="_Toc184310275"/>
      <w:bookmarkEnd w:id="174"/>
      <w:bookmarkStart w:id="175" w:name="_Toc184313297"/>
      <w:bookmarkEnd w:id="175"/>
      <w:bookmarkStart w:id="176" w:name="_Toc184313299"/>
      <w:bookmarkEnd w:id="176"/>
      <w:bookmarkStart w:id="177" w:name="_Toc184314464"/>
      <w:bookmarkEnd w:id="177"/>
      <w:bookmarkStart w:id="178" w:name="_Toc184314434"/>
      <w:bookmarkEnd w:id="178"/>
      <w:bookmarkStart w:id="179" w:name="_Toc184313269"/>
      <w:bookmarkEnd w:id="179"/>
      <w:bookmarkStart w:id="180" w:name="_Toc184312088"/>
      <w:bookmarkEnd w:id="180"/>
      <w:bookmarkStart w:id="181" w:name="_Toc184313282"/>
      <w:bookmarkEnd w:id="181"/>
      <w:bookmarkStart w:id="182" w:name="_Toc184310330"/>
      <w:bookmarkEnd w:id="182"/>
      <w:bookmarkStart w:id="183" w:name="_Toc184310334"/>
      <w:bookmarkEnd w:id="183"/>
      <w:bookmarkStart w:id="184" w:name="_Toc184308096"/>
      <w:bookmarkEnd w:id="184"/>
      <w:bookmarkStart w:id="185" w:name="_Toc184310339"/>
      <w:bookmarkEnd w:id="185"/>
      <w:bookmarkStart w:id="186" w:name="_Toc184310299"/>
      <w:bookmarkEnd w:id="186"/>
      <w:bookmarkStart w:id="187" w:name="_Toc184314474"/>
      <w:bookmarkEnd w:id="187"/>
      <w:bookmarkStart w:id="188" w:name="_Toc184313253"/>
      <w:bookmarkEnd w:id="188"/>
      <w:bookmarkStart w:id="189" w:name="_Toc184308058"/>
      <w:bookmarkEnd w:id="189"/>
      <w:bookmarkStart w:id="190" w:name="_Toc184308095"/>
      <w:bookmarkEnd w:id="190"/>
      <w:bookmarkStart w:id="191" w:name="_Toc184312095"/>
      <w:bookmarkEnd w:id="191"/>
      <w:bookmarkStart w:id="192" w:name="_Toc184312107"/>
      <w:bookmarkEnd w:id="192"/>
      <w:bookmarkStart w:id="193" w:name="_Toc184314450"/>
      <w:bookmarkEnd w:id="193"/>
      <w:bookmarkStart w:id="194" w:name="_Toc184310302"/>
      <w:bookmarkEnd w:id="194"/>
      <w:bookmarkStart w:id="195" w:name="_Toc184313278"/>
      <w:bookmarkEnd w:id="195"/>
      <w:bookmarkStart w:id="196" w:name="_Toc184310305"/>
      <w:bookmarkEnd w:id="196"/>
      <w:bookmarkStart w:id="197" w:name="_Toc184312098"/>
      <w:bookmarkEnd w:id="197"/>
      <w:bookmarkStart w:id="198" w:name="_Toc184314448"/>
      <w:bookmarkEnd w:id="198"/>
      <w:bookmarkStart w:id="199" w:name="_Toc184312122"/>
      <w:bookmarkEnd w:id="199"/>
      <w:bookmarkStart w:id="200" w:name="_Toc184308082"/>
      <w:bookmarkEnd w:id="200"/>
      <w:bookmarkStart w:id="201" w:name="_Toc184314410"/>
      <w:bookmarkEnd w:id="201"/>
      <w:bookmarkStart w:id="202" w:name="_Toc184312099"/>
      <w:bookmarkEnd w:id="202"/>
      <w:bookmarkStart w:id="203" w:name="_Toc184310314"/>
      <w:bookmarkEnd w:id="203"/>
      <w:bookmarkStart w:id="204" w:name="_Toc184308054"/>
      <w:bookmarkEnd w:id="204"/>
      <w:bookmarkStart w:id="205" w:name="_Toc184312130"/>
      <w:bookmarkEnd w:id="205"/>
      <w:bookmarkStart w:id="206" w:name="_Toc184310344"/>
      <w:bookmarkEnd w:id="206"/>
      <w:bookmarkStart w:id="207" w:name="_Toc184314465"/>
      <w:bookmarkEnd w:id="207"/>
      <w:bookmarkStart w:id="208" w:name="_Toc184308065"/>
      <w:bookmarkEnd w:id="208"/>
      <w:bookmarkStart w:id="209" w:name="_Toc184308100"/>
      <w:bookmarkEnd w:id="209"/>
      <w:bookmarkStart w:id="210" w:name="_Toc184313246"/>
      <w:bookmarkEnd w:id="210"/>
      <w:bookmarkStart w:id="211" w:name="_Toc184313255"/>
      <w:bookmarkEnd w:id="211"/>
      <w:bookmarkStart w:id="212" w:name="_Toc184308069"/>
      <w:bookmarkEnd w:id="212"/>
      <w:bookmarkStart w:id="213" w:name="_Toc184308037"/>
      <w:bookmarkEnd w:id="213"/>
      <w:bookmarkStart w:id="214" w:name="_Toc184313284"/>
      <w:bookmarkEnd w:id="214"/>
      <w:bookmarkStart w:id="215" w:name="_Toc184314439"/>
      <w:bookmarkEnd w:id="215"/>
      <w:bookmarkStart w:id="216" w:name="_Toc184312073"/>
      <w:bookmarkEnd w:id="216"/>
      <w:bookmarkStart w:id="217" w:name="_Toc184313279"/>
      <w:bookmarkEnd w:id="217"/>
      <w:bookmarkStart w:id="218" w:name="_Toc184312134"/>
      <w:bookmarkEnd w:id="218"/>
      <w:bookmarkStart w:id="219" w:name="_Toc184314427"/>
      <w:bookmarkEnd w:id="219"/>
      <w:bookmarkStart w:id="220" w:name="_Toc184308053"/>
      <w:bookmarkEnd w:id="220"/>
      <w:bookmarkStart w:id="221" w:name="_Toc184308049"/>
      <w:bookmarkEnd w:id="221"/>
      <w:bookmarkStart w:id="222" w:name="_Toc184308050"/>
      <w:bookmarkEnd w:id="222"/>
      <w:bookmarkStart w:id="223" w:name="_Toc184310326"/>
      <w:bookmarkEnd w:id="223"/>
      <w:bookmarkStart w:id="224" w:name="_Toc184308078"/>
      <w:bookmarkEnd w:id="224"/>
      <w:bookmarkStart w:id="225" w:name="_Toc184308063"/>
      <w:bookmarkEnd w:id="225"/>
      <w:bookmarkStart w:id="226" w:name="_Toc184313273"/>
      <w:bookmarkEnd w:id="226"/>
      <w:bookmarkStart w:id="227" w:name="_Toc184312114"/>
      <w:bookmarkEnd w:id="227"/>
      <w:bookmarkStart w:id="228" w:name="_Toc184310317"/>
      <w:bookmarkEnd w:id="228"/>
      <w:bookmarkStart w:id="229" w:name="_Toc184314433"/>
      <w:bookmarkEnd w:id="229"/>
      <w:bookmarkStart w:id="230" w:name="_Toc184313310"/>
      <w:bookmarkEnd w:id="230"/>
      <w:bookmarkStart w:id="231" w:name="_Toc184312131"/>
      <w:bookmarkEnd w:id="231"/>
      <w:bookmarkStart w:id="232" w:name="_Toc184313304"/>
      <w:bookmarkEnd w:id="232"/>
      <w:bookmarkStart w:id="233" w:name="_Toc184314459"/>
      <w:bookmarkEnd w:id="233"/>
      <w:bookmarkStart w:id="234" w:name="_Toc184314446"/>
      <w:bookmarkEnd w:id="234"/>
      <w:bookmarkStart w:id="235" w:name="_Toc184312084"/>
      <w:bookmarkEnd w:id="235"/>
      <w:bookmarkStart w:id="236" w:name="_Toc184310308"/>
      <w:bookmarkEnd w:id="236"/>
      <w:bookmarkStart w:id="237" w:name="_Toc184308044"/>
      <w:bookmarkEnd w:id="237"/>
      <w:bookmarkStart w:id="238" w:name="_Toc184313280"/>
      <w:bookmarkEnd w:id="238"/>
      <w:bookmarkStart w:id="239" w:name="_Toc184313290"/>
      <w:bookmarkEnd w:id="239"/>
      <w:bookmarkStart w:id="240" w:name="_Toc184312105"/>
      <w:bookmarkEnd w:id="240"/>
      <w:bookmarkStart w:id="241" w:name="_Toc184312137"/>
      <w:bookmarkEnd w:id="241"/>
      <w:bookmarkStart w:id="242" w:name="_Toc184308103"/>
      <w:bookmarkEnd w:id="242"/>
      <w:bookmarkStart w:id="243" w:name="_Toc184310337"/>
      <w:bookmarkEnd w:id="243"/>
      <w:bookmarkStart w:id="244" w:name="_Toc184314425"/>
      <w:bookmarkEnd w:id="244"/>
      <w:bookmarkStart w:id="245" w:name="_Toc184310328"/>
      <w:bookmarkEnd w:id="245"/>
      <w:bookmarkStart w:id="246" w:name="_Toc184313274"/>
      <w:bookmarkEnd w:id="246"/>
      <w:bookmarkStart w:id="247" w:name="_Toc184312075"/>
      <w:bookmarkEnd w:id="247"/>
      <w:bookmarkStart w:id="248" w:name="_Toc184312103"/>
      <w:bookmarkEnd w:id="248"/>
      <w:bookmarkStart w:id="249" w:name="_Toc184310338"/>
      <w:bookmarkEnd w:id="249"/>
      <w:bookmarkStart w:id="250" w:name="_Toc184313257"/>
      <w:bookmarkEnd w:id="250"/>
      <w:bookmarkStart w:id="251" w:name="_Toc184314417"/>
      <w:bookmarkEnd w:id="251"/>
      <w:bookmarkStart w:id="252" w:name="_Toc184314430"/>
      <w:bookmarkEnd w:id="252"/>
      <w:bookmarkStart w:id="253" w:name="_Toc184310333"/>
      <w:bookmarkEnd w:id="253"/>
      <w:bookmarkStart w:id="254" w:name="_Toc184312132"/>
      <w:bookmarkEnd w:id="254"/>
      <w:bookmarkStart w:id="255" w:name="_Toc184310294"/>
      <w:bookmarkEnd w:id="255"/>
      <w:bookmarkStart w:id="256" w:name="_Toc184314480"/>
      <w:bookmarkEnd w:id="256"/>
      <w:bookmarkStart w:id="257" w:name="_Toc184312100"/>
      <w:bookmarkEnd w:id="257"/>
      <w:bookmarkStart w:id="258" w:name="_Toc184308047"/>
      <w:bookmarkEnd w:id="258"/>
      <w:bookmarkStart w:id="259" w:name="_Toc184313285"/>
      <w:bookmarkEnd w:id="259"/>
      <w:bookmarkStart w:id="260" w:name="_Toc184314473"/>
      <w:bookmarkEnd w:id="260"/>
      <w:bookmarkStart w:id="261" w:name="_Toc184308087"/>
      <w:bookmarkEnd w:id="261"/>
      <w:bookmarkStart w:id="262" w:name="_Toc184314443"/>
      <w:bookmarkEnd w:id="262"/>
      <w:bookmarkStart w:id="263" w:name="_Toc184310293"/>
      <w:bookmarkEnd w:id="263"/>
      <w:bookmarkStart w:id="264" w:name="_Toc184314429"/>
      <w:bookmarkEnd w:id="264"/>
      <w:bookmarkStart w:id="265" w:name="_Toc184310318"/>
      <w:bookmarkEnd w:id="265"/>
      <w:bookmarkStart w:id="266" w:name="_Toc184314424"/>
      <w:bookmarkEnd w:id="266"/>
      <w:bookmarkStart w:id="267" w:name="_Toc184310322"/>
      <w:bookmarkEnd w:id="267"/>
      <w:bookmarkStart w:id="268" w:name="_Toc184312083"/>
      <w:bookmarkEnd w:id="268"/>
      <w:bookmarkStart w:id="269" w:name="_Toc184312067"/>
      <w:bookmarkEnd w:id="269"/>
      <w:bookmarkStart w:id="270" w:name="_Toc184308052"/>
      <w:bookmarkEnd w:id="270"/>
      <w:bookmarkStart w:id="271" w:name="_Toc184313293"/>
      <w:bookmarkEnd w:id="271"/>
      <w:bookmarkStart w:id="272" w:name="_Toc184310280"/>
      <w:bookmarkEnd w:id="272"/>
      <w:bookmarkStart w:id="273" w:name="_Toc184314444"/>
      <w:bookmarkEnd w:id="273"/>
      <w:bookmarkStart w:id="274" w:name="_Toc184308046"/>
      <w:bookmarkEnd w:id="274"/>
      <w:bookmarkStart w:id="275" w:name="_Toc184310281"/>
      <w:bookmarkEnd w:id="275"/>
      <w:bookmarkStart w:id="276" w:name="_Toc184313283"/>
      <w:bookmarkEnd w:id="276"/>
      <w:bookmarkStart w:id="277" w:name="_Toc184313302"/>
      <w:bookmarkEnd w:id="277"/>
      <w:bookmarkStart w:id="278" w:name="_Toc184314457"/>
      <w:bookmarkEnd w:id="278"/>
      <w:bookmarkStart w:id="279" w:name="_Toc184310274"/>
      <w:bookmarkEnd w:id="279"/>
      <w:bookmarkStart w:id="280" w:name="_Toc184314471"/>
      <w:bookmarkEnd w:id="280"/>
      <w:bookmarkStart w:id="281" w:name="_Toc184308068"/>
      <w:bookmarkEnd w:id="281"/>
      <w:bookmarkStart w:id="282" w:name="_Toc184310296"/>
      <w:bookmarkEnd w:id="282"/>
      <w:bookmarkStart w:id="283" w:name="_Toc184313258"/>
      <w:bookmarkEnd w:id="283"/>
      <w:bookmarkStart w:id="284" w:name="_Toc184314447"/>
      <w:bookmarkEnd w:id="284"/>
      <w:bookmarkStart w:id="285" w:name="_Toc184308072"/>
      <w:bookmarkEnd w:id="285"/>
      <w:bookmarkStart w:id="286" w:name="_Toc184312135"/>
      <w:bookmarkEnd w:id="286"/>
      <w:bookmarkStart w:id="287" w:name="_Toc184312081"/>
      <w:bookmarkEnd w:id="287"/>
      <w:bookmarkStart w:id="288" w:name="_Toc184313271"/>
      <w:bookmarkEnd w:id="288"/>
      <w:bookmarkStart w:id="289" w:name="_Toc184313275"/>
      <w:bookmarkEnd w:id="289"/>
      <w:bookmarkStart w:id="290" w:name="_Toc184313306"/>
      <w:bookmarkEnd w:id="290"/>
      <w:bookmarkStart w:id="291" w:name="_Toc184314462"/>
      <w:bookmarkEnd w:id="291"/>
      <w:bookmarkStart w:id="292" w:name="_Toc184308039"/>
      <w:bookmarkEnd w:id="292"/>
      <w:bookmarkStart w:id="293" w:name="_Toc184314479"/>
      <w:bookmarkEnd w:id="293"/>
      <w:bookmarkStart w:id="294" w:name="_Toc184313277"/>
      <w:bookmarkEnd w:id="294"/>
      <w:bookmarkStart w:id="295" w:name="_Toc184312097"/>
      <w:bookmarkEnd w:id="295"/>
      <w:bookmarkStart w:id="296" w:name="_Toc184310279"/>
      <w:bookmarkEnd w:id="296"/>
      <w:bookmarkStart w:id="297" w:name="_Toc184313240"/>
      <w:bookmarkEnd w:id="297"/>
      <w:bookmarkStart w:id="298" w:name="_Toc184310320"/>
      <w:bookmarkEnd w:id="298"/>
      <w:bookmarkStart w:id="299" w:name="_Toc184314481"/>
      <w:bookmarkEnd w:id="299"/>
      <w:bookmarkStart w:id="300" w:name="_Toc184313244"/>
      <w:bookmarkEnd w:id="300"/>
      <w:bookmarkStart w:id="301" w:name="_Toc184310298"/>
      <w:bookmarkEnd w:id="301"/>
      <w:bookmarkStart w:id="302" w:name="_Toc184313249"/>
      <w:bookmarkEnd w:id="302"/>
      <w:bookmarkStart w:id="303" w:name="_Toc184314482"/>
      <w:bookmarkEnd w:id="303"/>
      <w:bookmarkStart w:id="304" w:name="_Toc184312104"/>
      <w:bookmarkEnd w:id="304"/>
      <w:bookmarkStart w:id="305" w:name="_Toc184312127"/>
      <w:bookmarkEnd w:id="305"/>
      <w:bookmarkStart w:id="306" w:name="_Toc184312085"/>
      <w:bookmarkEnd w:id="306"/>
      <w:bookmarkStart w:id="307" w:name="_Toc184310291"/>
      <w:bookmarkEnd w:id="307"/>
      <w:bookmarkStart w:id="308" w:name="_Toc184314470"/>
      <w:bookmarkEnd w:id="308"/>
      <w:bookmarkStart w:id="309" w:name="_Toc184308102"/>
      <w:bookmarkEnd w:id="309"/>
      <w:bookmarkStart w:id="310" w:name="_Toc184312089"/>
      <w:bookmarkEnd w:id="310"/>
      <w:bookmarkStart w:id="311" w:name="_Toc184308079"/>
      <w:bookmarkEnd w:id="311"/>
      <w:bookmarkStart w:id="312" w:name="_Toc184312069"/>
      <w:bookmarkEnd w:id="312"/>
      <w:bookmarkStart w:id="313" w:name="_Toc184313254"/>
      <w:bookmarkEnd w:id="313"/>
      <w:bookmarkStart w:id="314" w:name="_Toc184313242"/>
      <w:bookmarkEnd w:id="314"/>
      <w:bookmarkStart w:id="315" w:name="_Toc184310319"/>
      <w:bookmarkEnd w:id="315"/>
      <w:bookmarkStart w:id="316" w:name="_Toc184308089"/>
      <w:bookmarkEnd w:id="316"/>
      <w:bookmarkStart w:id="317" w:name="_Toc184308105"/>
      <w:bookmarkEnd w:id="317"/>
      <w:bookmarkStart w:id="318" w:name="_Toc184310284"/>
      <w:bookmarkEnd w:id="318"/>
      <w:bookmarkStart w:id="319" w:name="_Toc184310336"/>
      <w:bookmarkEnd w:id="319"/>
      <w:bookmarkStart w:id="320" w:name="_Toc184314449"/>
      <w:bookmarkEnd w:id="320"/>
      <w:bookmarkStart w:id="321" w:name="_Toc184310343"/>
      <w:bookmarkEnd w:id="321"/>
      <w:bookmarkStart w:id="322" w:name="_Toc184314438"/>
      <w:bookmarkEnd w:id="322"/>
      <w:bookmarkStart w:id="323" w:name="_Toc184313286"/>
      <w:bookmarkEnd w:id="323"/>
      <w:bookmarkStart w:id="324" w:name="_Toc184314420"/>
      <w:bookmarkEnd w:id="324"/>
      <w:bookmarkStart w:id="325" w:name="_Toc184308097"/>
      <w:bookmarkEnd w:id="325"/>
      <w:bookmarkStart w:id="326" w:name="_Toc184313260"/>
      <w:bookmarkEnd w:id="326"/>
      <w:bookmarkStart w:id="327" w:name="_Toc184308062"/>
      <w:bookmarkEnd w:id="327"/>
      <w:bookmarkStart w:id="328" w:name="_Toc184314422"/>
      <w:bookmarkEnd w:id="328"/>
      <w:bookmarkStart w:id="329" w:name="_Toc184310282"/>
      <w:bookmarkEnd w:id="329"/>
      <w:bookmarkStart w:id="330" w:name="_Toc184313294"/>
      <w:bookmarkEnd w:id="330"/>
      <w:bookmarkStart w:id="331" w:name="_Toc184314460"/>
      <w:bookmarkEnd w:id="331"/>
      <w:bookmarkStart w:id="332" w:name="_Toc184312079"/>
      <w:bookmarkEnd w:id="332"/>
      <w:bookmarkStart w:id="333" w:name="_Toc184312077"/>
      <w:bookmarkEnd w:id="333"/>
      <w:bookmarkStart w:id="334" w:name="_Toc184310313"/>
      <w:bookmarkEnd w:id="334"/>
      <w:bookmarkStart w:id="335" w:name="_Toc184314418"/>
      <w:bookmarkEnd w:id="335"/>
      <w:bookmarkStart w:id="336" w:name="_Toc184312136"/>
      <w:bookmarkEnd w:id="336"/>
      <w:bookmarkStart w:id="337" w:name="_Toc184308093"/>
      <w:bookmarkEnd w:id="337"/>
      <w:bookmarkStart w:id="338" w:name="_Toc184310295"/>
      <w:bookmarkEnd w:id="338"/>
      <w:bookmarkStart w:id="339" w:name="_Toc184313245"/>
      <w:bookmarkEnd w:id="339"/>
      <w:bookmarkStart w:id="340" w:name="_Toc184313266"/>
      <w:bookmarkEnd w:id="340"/>
      <w:bookmarkStart w:id="341" w:name="_Toc184314478"/>
      <w:bookmarkEnd w:id="341"/>
      <w:bookmarkStart w:id="342" w:name="_Toc184312139"/>
      <w:bookmarkEnd w:id="342"/>
      <w:bookmarkStart w:id="343" w:name="_Toc184314452"/>
      <w:bookmarkEnd w:id="343"/>
      <w:bookmarkStart w:id="344" w:name="_Toc184312129"/>
      <w:bookmarkEnd w:id="344"/>
      <w:bookmarkStart w:id="345" w:name="_Toc184308060"/>
      <w:bookmarkEnd w:id="345"/>
      <w:bookmarkStart w:id="346" w:name="_Toc184313300"/>
      <w:bookmarkEnd w:id="346"/>
      <w:bookmarkStart w:id="347" w:name="_Toc184310278"/>
      <w:bookmarkEnd w:id="347"/>
      <w:bookmarkStart w:id="348" w:name="_Toc184312120"/>
      <w:bookmarkEnd w:id="348"/>
      <w:bookmarkStart w:id="349" w:name="_Toc184312068"/>
      <w:bookmarkEnd w:id="349"/>
      <w:bookmarkStart w:id="350" w:name="_Toc184310289"/>
      <w:bookmarkEnd w:id="350"/>
      <w:bookmarkStart w:id="351" w:name="_Toc184310292"/>
      <w:bookmarkEnd w:id="351"/>
      <w:bookmarkStart w:id="352" w:name="_Toc184313301"/>
      <w:bookmarkEnd w:id="352"/>
      <w:bookmarkStart w:id="353" w:name="_Toc184313262"/>
      <w:bookmarkEnd w:id="353"/>
      <w:bookmarkStart w:id="354" w:name="_Toc184308104"/>
      <w:bookmarkEnd w:id="354"/>
      <w:bookmarkStart w:id="355" w:name="_Toc184310316"/>
      <w:bookmarkEnd w:id="355"/>
      <w:bookmarkStart w:id="356" w:name="_Toc184308107"/>
      <w:bookmarkEnd w:id="356"/>
      <w:bookmarkStart w:id="357" w:name="_Toc184308064"/>
      <w:bookmarkEnd w:id="357"/>
      <w:bookmarkStart w:id="358" w:name="_Toc184310309"/>
      <w:bookmarkEnd w:id="358"/>
      <w:bookmarkStart w:id="359" w:name="_Toc184314476"/>
      <w:bookmarkEnd w:id="359"/>
      <w:bookmarkStart w:id="360" w:name="_Toc184310321"/>
      <w:bookmarkEnd w:id="360"/>
      <w:bookmarkStart w:id="361" w:name="_Toc184312111"/>
      <w:bookmarkEnd w:id="361"/>
      <w:bookmarkStart w:id="362" w:name="_Toc184314412"/>
      <w:bookmarkEnd w:id="362"/>
      <w:bookmarkStart w:id="363" w:name="_Toc184308066"/>
      <w:bookmarkEnd w:id="363"/>
      <w:bookmarkStart w:id="364" w:name="_Toc184314432"/>
      <w:bookmarkEnd w:id="364"/>
      <w:bookmarkStart w:id="365" w:name="_Toc184312091"/>
      <w:bookmarkEnd w:id="365"/>
      <w:bookmarkStart w:id="366" w:name="_Toc184313272"/>
      <w:bookmarkEnd w:id="366"/>
      <w:bookmarkStart w:id="367" w:name="_Toc184314477"/>
      <w:bookmarkEnd w:id="367"/>
      <w:bookmarkStart w:id="368" w:name="_Toc184313261"/>
      <w:bookmarkEnd w:id="368"/>
      <w:bookmarkStart w:id="369" w:name="_Toc184308086"/>
      <w:bookmarkEnd w:id="369"/>
      <w:bookmarkStart w:id="370" w:name="_Toc184312078"/>
      <w:bookmarkEnd w:id="370"/>
      <w:bookmarkStart w:id="371" w:name="_Toc184308045"/>
      <w:bookmarkEnd w:id="371"/>
      <w:bookmarkStart w:id="372" w:name="_Toc184312108"/>
      <w:bookmarkEnd w:id="372"/>
      <w:bookmarkStart w:id="373" w:name="_Toc184314472"/>
      <w:bookmarkEnd w:id="373"/>
      <w:bookmarkStart w:id="374" w:name="_Toc184310272"/>
      <w:bookmarkEnd w:id="374"/>
      <w:bookmarkStart w:id="375" w:name="_Toc184314428"/>
      <w:bookmarkEnd w:id="375"/>
      <w:bookmarkStart w:id="376" w:name="_Toc184310341"/>
      <w:bookmarkEnd w:id="376"/>
      <w:bookmarkStart w:id="377" w:name="_Toc184312119"/>
      <w:bookmarkEnd w:id="377"/>
      <w:bookmarkStart w:id="378" w:name="_Toc184313265"/>
      <w:bookmarkEnd w:id="378"/>
      <w:bookmarkStart w:id="379" w:name="_Toc184308055"/>
      <w:bookmarkEnd w:id="379"/>
      <w:bookmarkStart w:id="380" w:name="_Toc184310301"/>
      <w:bookmarkEnd w:id="380"/>
      <w:bookmarkStart w:id="381" w:name="_Toc184310323"/>
      <w:bookmarkEnd w:id="381"/>
      <w:bookmarkStart w:id="382" w:name="_Toc184312071"/>
      <w:bookmarkEnd w:id="382"/>
      <w:bookmarkStart w:id="383" w:name="_Toc184312086"/>
      <w:bookmarkEnd w:id="383"/>
      <w:bookmarkStart w:id="384" w:name="_Toc184312138"/>
      <w:bookmarkEnd w:id="384"/>
      <w:bookmarkStart w:id="385" w:name="_Toc184310329"/>
      <w:bookmarkEnd w:id="385"/>
      <w:bookmarkStart w:id="386" w:name="_Toc184313259"/>
      <w:bookmarkEnd w:id="386"/>
      <w:bookmarkStart w:id="387" w:name="_Toc184313263"/>
      <w:bookmarkEnd w:id="387"/>
      <w:bookmarkStart w:id="388" w:name="_Toc184310300"/>
      <w:bookmarkEnd w:id="388"/>
      <w:bookmarkStart w:id="389" w:name="_Toc184308083"/>
      <w:bookmarkEnd w:id="389"/>
      <w:bookmarkStart w:id="390" w:name="_Toc184314415"/>
      <w:bookmarkEnd w:id="390"/>
      <w:bookmarkStart w:id="391" w:name="_Toc184308041"/>
      <w:bookmarkEnd w:id="391"/>
      <w:bookmarkStart w:id="392" w:name="_Toc184312092"/>
      <w:bookmarkEnd w:id="392"/>
      <w:bookmarkStart w:id="393" w:name="_Toc184313287"/>
      <w:bookmarkEnd w:id="393"/>
      <w:bookmarkStart w:id="394" w:name="_Toc184314441"/>
      <w:bookmarkEnd w:id="394"/>
      <w:bookmarkStart w:id="395" w:name="_Toc184308036"/>
      <w:bookmarkEnd w:id="395"/>
      <w:bookmarkStart w:id="396" w:name="_Toc184314451"/>
      <w:bookmarkEnd w:id="396"/>
      <w:r>
        <w:rPr>
          <w:rFonts w:hint="eastAsia" w:ascii="宋体" w:hAnsi="宋体" w:cs="宋体"/>
          <w:b/>
          <w:color w:val="auto"/>
          <w:sz w:val="36"/>
          <w:szCs w:val="20"/>
          <w:highlight w:val="none"/>
        </w:rPr>
        <w:t xml:space="preserve"> 评审办法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2"/>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5897"/>
        <w:gridCol w:w="793"/>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序号</w:t>
            </w:r>
          </w:p>
        </w:tc>
        <w:tc>
          <w:tcPr>
            <w:tcW w:w="5897"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评审标准</w:t>
            </w:r>
          </w:p>
        </w:tc>
        <w:tc>
          <w:tcPr>
            <w:tcW w:w="793" w:type="dxa"/>
            <w:vAlign w:val="center"/>
          </w:tcPr>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权重</w:t>
            </w:r>
          </w:p>
        </w:tc>
        <w:tc>
          <w:tcPr>
            <w:tcW w:w="2133" w:type="dxa"/>
          </w:tcPr>
          <w:p>
            <w:pPr>
              <w:snapToGrid w:val="0"/>
              <w:outlineLvl w:val="0"/>
              <w:rPr>
                <w:rFonts w:ascii="宋体" w:hAnsi="宋体" w:cs="宋体"/>
                <w:bCs/>
                <w:color w:val="auto"/>
                <w:sz w:val="24"/>
                <w:highlight w:val="none"/>
              </w:rPr>
            </w:pPr>
            <w:r>
              <w:rPr>
                <w:rFonts w:hint="eastAsia" w:ascii="宋体" w:hAnsi="宋体" w:cs="宋体"/>
                <w:bCs/>
                <w:color w:val="auto"/>
                <w:sz w:val="24"/>
                <w:highlight w:val="none"/>
              </w:rPr>
              <w:t>响应文件中评审标准相应的商务技术资料目录</w:t>
            </w:r>
            <w:r>
              <w:rPr>
                <w:rFonts w:hint="eastAsia" w:ascii="宋体" w:hAnsi="宋体" w:cs="宋体"/>
                <w:color w:val="auto"/>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910" w:type="dxa"/>
            <w:shd w:val="clear" w:color="auto" w:fill="auto"/>
            <w:vAlign w:val="center"/>
          </w:tcPr>
          <w:p>
            <w:pPr>
              <w:snapToGrid w:val="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w:t>
            </w:r>
          </w:p>
        </w:tc>
        <w:tc>
          <w:tcPr>
            <w:tcW w:w="5897" w:type="dxa"/>
            <w:vAlign w:val="center"/>
          </w:tcPr>
          <w:p>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供应商自2022年1月1日（按合同签订时间为准）以来已完成的类似项目业绩，每个得1分，最高得1分。</w:t>
            </w:r>
          </w:p>
          <w:p>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注：须提供合同扫描件加盖公章，否则不得分。</w:t>
            </w:r>
          </w:p>
        </w:tc>
        <w:tc>
          <w:tcPr>
            <w:tcW w:w="793" w:type="dxa"/>
          </w:tcPr>
          <w:p>
            <w:pPr>
              <w:snapToGrid w:val="0"/>
              <w:jc w:val="center"/>
              <w:outlineLvl w:val="0"/>
              <w:rPr>
                <w:rFonts w:hint="eastAsia" w:ascii="宋体" w:hAnsi="宋体" w:cs="宋体"/>
                <w:bCs/>
                <w:color w:val="auto"/>
                <w:sz w:val="24"/>
                <w:highlight w:val="none"/>
                <w:lang w:val="en-US" w:eastAsia="zh-CN"/>
              </w:rPr>
            </w:pPr>
          </w:p>
          <w:p>
            <w:pPr>
              <w:snapToGrid w:val="0"/>
              <w:jc w:val="center"/>
              <w:outlineLvl w:val="0"/>
              <w:rPr>
                <w:rFonts w:hint="eastAsia" w:ascii="宋体" w:hAnsi="宋体" w:cs="宋体"/>
                <w:bCs/>
                <w:color w:val="auto"/>
                <w:sz w:val="24"/>
                <w:highlight w:val="none"/>
                <w:lang w:val="en-US" w:eastAsia="zh-CN"/>
              </w:rPr>
            </w:pPr>
          </w:p>
          <w:p>
            <w:pPr>
              <w:pStyle w:val="3"/>
              <w:jc w:val="center"/>
              <w:rPr>
                <w:rFonts w:hint="default"/>
                <w:lang w:val="en-US" w:eastAsia="zh-CN"/>
              </w:rPr>
            </w:pPr>
            <w:r>
              <w:rPr>
                <w:rFonts w:hint="eastAsia" w:ascii="宋体" w:hAnsi="宋体" w:cs="宋体"/>
                <w:b w:val="0"/>
                <w:bCs w:val="0"/>
                <w:color w:val="auto"/>
                <w:sz w:val="24"/>
                <w:highlight w:val="none"/>
                <w:lang w:val="en-US" w:eastAsia="zh-CN"/>
              </w:rPr>
              <w:t>1</w:t>
            </w:r>
          </w:p>
        </w:tc>
        <w:tc>
          <w:tcPr>
            <w:tcW w:w="2133" w:type="dxa"/>
            <w:vAlign w:val="center"/>
          </w:tcPr>
          <w:p>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auto"/>
            <w:vAlign w:val="center"/>
          </w:tcPr>
          <w:p>
            <w:pPr>
              <w:snapToGrid w:val="0"/>
              <w:jc w:val="center"/>
              <w:outlineLvl w:val="0"/>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w:t>
            </w:r>
          </w:p>
        </w:tc>
        <w:tc>
          <w:tcPr>
            <w:tcW w:w="5897" w:type="dxa"/>
            <w:vAlign w:val="center"/>
          </w:tcPr>
          <w:p>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供应商提供质量、环境、职业健康安全管理认证体系证书的，每项分别得1分，最高得3分。</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说明：提供有效期内证书复印件及可在国家市场监督管理总局-全国认证认可信息公共服务平台查询到的相关网页截图并加盖公章。</w:t>
            </w:r>
          </w:p>
        </w:tc>
        <w:tc>
          <w:tcPr>
            <w:tcW w:w="793" w:type="dxa"/>
          </w:tcPr>
          <w:p>
            <w:pPr>
              <w:snapToGrid w:val="0"/>
              <w:jc w:val="center"/>
              <w:outlineLvl w:val="0"/>
              <w:rPr>
                <w:rFonts w:hint="eastAsia" w:ascii="宋体" w:hAnsi="宋体" w:cs="宋体"/>
                <w:bCs/>
                <w:color w:val="auto"/>
                <w:sz w:val="24"/>
                <w:highlight w:val="none"/>
                <w:lang w:val="en-US" w:eastAsia="zh-CN"/>
              </w:rPr>
            </w:pPr>
          </w:p>
          <w:p>
            <w:pPr>
              <w:snapToGrid w:val="0"/>
              <w:jc w:val="center"/>
              <w:outlineLvl w:val="0"/>
              <w:rPr>
                <w:rFonts w:hint="eastAsia" w:ascii="宋体" w:hAnsi="宋体" w:cs="宋体"/>
                <w:bCs/>
                <w:color w:val="auto"/>
                <w:sz w:val="24"/>
                <w:highlight w:val="none"/>
                <w:lang w:val="en-US" w:eastAsia="zh-CN"/>
              </w:rPr>
            </w:pPr>
          </w:p>
          <w:p>
            <w:pPr>
              <w:snapToGrid w:val="0"/>
              <w:jc w:val="center"/>
              <w:outlineLvl w:val="0"/>
              <w:rPr>
                <w:rFonts w:hint="eastAsia" w:ascii="宋体" w:hAnsi="宋体" w:cs="宋体"/>
                <w:bCs/>
                <w:color w:val="auto"/>
                <w:sz w:val="24"/>
                <w:highlight w:val="none"/>
                <w:lang w:val="en-US" w:eastAsia="zh-CN"/>
              </w:rPr>
            </w:pPr>
          </w:p>
          <w:p>
            <w:pPr>
              <w:snapToGrid w:val="0"/>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3</w:t>
            </w:r>
          </w:p>
        </w:tc>
        <w:tc>
          <w:tcPr>
            <w:tcW w:w="2133" w:type="dxa"/>
            <w:vAlign w:val="center"/>
          </w:tcPr>
          <w:p>
            <w:pPr>
              <w:jc w:val="center"/>
              <w:rPr>
                <w:rFonts w:hint="default" w:eastAsia="宋体"/>
                <w:color w:val="auto"/>
                <w:highlight w:val="none"/>
                <w:lang w:val="en-US" w:eastAsia="zh-CN"/>
              </w:rPr>
            </w:pPr>
            <w:r>
              <w:rPr>
                <w:rFonts w:hint="eastAsia" w:ascii="宋体" w:hAnsi="宋体" w:cs="宋体"/>
                <w:color w:val="auto"/>
                <w:sz w:val="24"/>
                <w:szCs w:val="32"/>
                <w:highlight w:val="none"/>
                <w:lang w:val="en-US" w:eastAsia="zh-CN"/>
              </w:rPr>
              <w:t>体系</w:t>
            </w:r>
            <w:r>
              <w:rPr>
                <w:rFonts w:hint="eastAsia" w:ascii="宋体" w:hAnsi="宋体" w:eastAsia="宋体" w:cs="宋体"/>
                <w:color w:val="auto"/>
                <w:sz w:val="24"/>
                <w:szCs w:val="32"/>
                <w:highlight w:val="none"/>
                <w:lang w:val="en-US" w:eastAsia="zh-CN"/>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910" w:type="dxa"/>
            <w:shd w:val="clear" w:color="auto" w:fill="auto"/>
            <w:vAlign w:val="center"/>
          </w:tcPr>
          <w:p>
            <w:pPr>
              <w:snapToGrid w:val="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3</w:t>
            </w:r>
          </w:p>
        </w:tc>
        <w:tc>
          <w:tcPr>
            <w:tcW w:w="5897" w:type="dxa"/>
            <w:vAlign w:val="center"/>
          </w:tcPr>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针对进场作业时现场</w:t>
            </w:r>
            <w:r>
              <w:rPr>
                <w:rFonts w:hint="eastAsia" w:ascii="宋体" w:hAnsi="宋体" w:cs="宋体"/>
                <w:color w:val="auto"/>
                <w:sz w:val="24"/>
                <w:highlight w:val="none"/>
              </w:rPr>
              <w:t>古树修剪方案考虑周到全面、描述详尽的得5分；</w:t>
            </w:r>
            <w:r>
              <w:rPr>
                <w:rFonts w:hint="eastAsia" w:ascii="宋体" w:hAnsi="宋体" w:cs="宋体"/>
                <w:color w:val="auto"/>
                <w:sz w:val="24"/>
                <w:highlight w:val="none"/>
                <w:lang w:val="en-US" w:eastAsia="zh-CN"/>
              </w:rPr>
              <w:t>较为全面且</w:t>
            </w:r>
            <w:r>
              <w:rPr>
                <w:rFonts w:hint="eastAsia" w:ascii="宋体" w:hAnsi="宋体" w:cs="宋体"/>
                <w:color w:val="auto"/>
                <w:sz w:val="24"/>
                <w:highlight w:val="none"/>
              </w:rPr>
              <w:t>具有针对性的得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val="en-US" w:eastAsia="zh-CN"/>
              </w:rPr>
              <w:t>方案存在偏离的得1分</w:t>
            </w:r>
            <w:r>
              <w:rPr>
                <w:rFonts w:hint="eastAsia" w:ascii="宋体" w:hAnsi="宋体" w:cs="宋体"/>
                <w:color w:val="auto"/>
                <w:sz w:val="24"/>
                <w:highlight w:val="none"/>
              </w:rPr>
              <w:t>；未提供不得分。</w:t>
            </w:r>
          </w:p>
        </w:tc>
        <w:tc>
          <w:tcPr>
            <w:tcW w:w="793" w:type="dxa"/>
          </w:tcPr>
          <w:p>
            <w:pPr>
              <w:snapToGrid w:val="0"/>
              <w:jc w:val="center"/>
              <w:outlineLvl w:val="0"/>
              <w:rPr>
                <w:rFonts w:hint="eastAsia" w:ascii="宋体" w:hAnsi="宋体" w:cs="宋体"/>
                <w:bCs/>
                <w:color w:val="auto"/>
                <w:sz w:val="24"/>
                <w:highlight w:val="none"/>
                <w:lang w:val="en-US" w:eastAsia="zh-CN"/>
              </w:rPr>
            </w:pPr>
          </w:p>
          <w:p>
            <w:pPr>
              <w:snapToGrid w:val="0"/>
              <w:jc w:val="center"/>
              <w:outlineLvl w:val="0"/>
              <w:rPr>
                <w:rFonts w:hint="eastAsia" w:ascii="宋体" w:hAnsi="宋体" w:cs="宋体"/>
                <w:bCs/>
                <w:color w:val="auto"/>
                <w:sz w:val="24"/>
                <w:highlight w:val="none"/>
                <w:lang w:val="en-US" w:eastAsia="zh-CN"/>
              </w:rPr>
            </w:pPr>
          </w:p>
          <w:p>
            <w:pPr>
              <w:snapToGrid w:val="0"/>
              <w:jc w:val="center"/>
              <w:outlineLvl w:val="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5</w:t>
            </w:r>
          </w:p>
        </w:tc>
        <w:tc>
          <w:tcPr>
            <w:tcW w:w="2133" w:type="dxa"/>
          </w:tcPr>
          <w:p>
            <w:pPr>
              <w:snapToGrid w:val="0"/>
              <w:jc w:val="center"/>
              <w:outlineLvl w:val="0"/>
              <w:rPr>
                <w:rFonts w:hint="eastAsia" w:ascii="宋体" w:hAnsi="宋体" w:cs="宋体"/>
                <w:color w:val="auto"/>
                <w:sz w:val="24"/>
                <w:highlight w:val="none"/>
              </w:rPr>
            </w:pPr>
          </w:p>
          <w:p>
            <w:pPr>
              <w:snapToGrid w:val="0"/>
              <w:jc w:val="center"/>
              <w:outlineLvl w:val="0"/>
              <w:rPr>
                <w:rFonts w:hint="eastAsia" w:ascii="宋体" w:hAnsi="宋体" w:cs="宋体"/>
                <w:color w:val="auto"/>
                <w:sz w:val="24"/>
                <w:highlight w:val="none"/>
              </w:rPr>
            </w:pPr>
          </w:p>
          <w:p>
            <w:pPr>
              <w:snapToGrid w:val="0"/>
              <w:jc w:val="center"/>
              <w:outlineLvl w:val="0"/>
              <w:rPr>
                <w:rFonts w:ascii="宋体" w:hAnsi="宋体" w:cs="宋体"/>
                <w:color w:val="auto"/>
                <w:sz w:val="24"/>
                <w:highlight w:val="none"/>
              </w:rPr>
            </w:pPr>
            <w:r>
              <w:rPr>
                <w:rFonts w:hint="eastAsia" w:ascii="宋体" w:hAnsi="宋体" w:cs="宋体"/>
                <w:color w:val="auto"/>
                <w:sz w:val="24"/>
                <w:highlight w:val="none"/>
              </w:rPr>
              <w:t>古树修剪方案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auto"/>
            <w:vAlign w:val="center"/>
          </w:tcPr>
          <w:p>
            <w:pPr>
              <w:snapToGrid w:val="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4</w:t>
            </w:r>
          </w:p>
        </w:tc>
        <w:tc>
          <w:tcPr>
            <w:tcW w:w="5897" w:type="dxa"/>
            <w:vAlign w:val="center"/>
          </w:tcPr>
          <w:p>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施工期间保证正常开馆所需的围挡方案</w:t>
            </w:r>
            <w:r>
              <w:rPr>
                <w:rFonts w:hint="eastAsia" w:ascii="宋体" w:hAnsi="宋体" w:cs="宋体"/>
                <w:color w:val="auto"/>
                <w:sz w:val="24"/>
                <w:highlight w:val="none"/>
                <w:lang w:val="en-US" w:eastAsia="zh-CN"/>
              </w:rPr>
              <w:t>科学合理、全面有效的</w:t>
            </w:r>
            <w:r>
              <w:rPr>
                <w:rFonts w:hint="eastAsia" w:ascii="宋体" w:hAnsi="宋体" w:cs="宋体"/>
                <w:color w:val="auto"/>
                <w:sz w:val="24"/>
                <w:highlight w:val="none"/>
              </w:rPr>
              <w:t>得5分；</w:t>
            </w:r>
            <w:r>
              <w:rPr>
                <w:rFonts w:hint="eastAsia" w:ascii="宋体" w:hAnsi="宋体" w:cs="宋体"/>
                <w:color w:val="auto"/>
                <w:sz w:val="24"/>
                <w:highlight w:val="none"/>
                <w:lang w:val="en-US" w:eastAsia="zh-CN"/>
              </w:rPr>
              <w:t>较为合理且</w:t>
            </w:r>
            <w:r>
              <w:rPr>
                <w:rFonts w:hint="eastAsia" w:ascii="宋体" w:hAnsi="宋体" w:cs="宋体"/>
                <w:color w:val="auto"/>
                <w:sz w:val="24"/>
                <w:highlight w:val="none"/>
              </w:rPr>
              <w:t>针对性</w:t>
            </w:r>
            <w:r>
              <w:rPr>
                <w:rFonts w:hint="eastAsia" w:ascii="宋体" w:hAnsi="宋体" w:cs="宋体"/>
                <w:color w:val="auto"/>
                <w:sz w:val="24"/>
                <w:highlight w:val="none"/>
                <w:lang w:val="en-US" w:eastAsia="zh-CN"/>
              </w:rPr>
              <w:t>一般</w:t>
            </w:r>
            <w:r>
              <w:rPr>
                <w:rFonts w:hint="eastAsia" w:ascii="宋体" w:hAnsi="宋体" w:cs="宋体"/>
                <w:color w:val="auto"/>
                <w:sz w:val="24"/>
                <w:highlight w:val="none"/>
              </w:rPr>
              <w:t>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val="en-US" w:eastAsia="zh-CN"/>
              </w:rPr>
              <w:t>方案存在偏离的得1分</w:t>
            </w:r>
            <w:r>
              <w:rPr>
                <w:rFonts w:hint="eastAsia" w:ascii="宋体" w:hAnsi="宋体" w:cs="宋体"/>
                <w:color w:val="auto"/>
                <w:sz w:val="24"/>
                <w:highlight w:val="none"/>
              </w:rPr>
              <w:t>；未提供不得分。</w:t>
            </w:r>
          </w:p>
        </w:tc>
        <w:tc>
          <w:tcPr>
            <w:tcW w:w="793" w:type="dxa"/>
          </w:tcPr>
          <w:p>
            <w:pPr>
              <w:snapToGrid w:val="0"/>
              <w:jc w:val="center"/>
              <w:outlineLvl w:val="0"/>
              <w:rPr>
                <w:rFonts w:hint="eastAsia" w:ascii="宋体" w:hAnsi="宋体" w:cs="宋体"/>
                <w:bCs/>
                <w:color w:val="auto"/>
                <w:sz w:val="24"/>
                <w:highlight w:val="none"/>
                <w:lang w:val="en-US" w:eastAsia="zh-CN"/>
              </w:rPr>
            </w:pPr>
          </w:p>
          <w:p>
            <w:pPr>
              <w:snapToGrid w:val="0"/>
              <w:jc w:val="center"/>
              <w:outlineLvl w:val="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5</w:t>
            </w:r>
          </w:p>
        </w:tc>
        <w:tc>
          <w:tcPr>
            <w:tcW w:w="2133" w:type="dxa"/>
          </w:tcPr>
          <w:p>
            <w:pPr>
              <w:snapToGrid w:val="0"/>
              <w:jc w:val="center"/>
              <w:outlineLvl w:val="0"/>
              <w:rPr>
                <w:rFonts w:hint="eastAsia" w:ascii="宋体" w:hAnsi="宋体" w:cs="宋体"/>
                <w:color w:val="auto"/>
                <w:sz w:val="24"/>
                <w:highlight w:val="none"/>
              </w:rPr>
            </w:pPr>
          </w:p>
          <w:p>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围挡方案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auto"/>
            <w:vAlign w:val="center"/>
          </w:tcPr>
          <w:p>
            <w:pPr>
              <w:snapToGrid w:val="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w:t>
            </w:r>
          </w:p>
        </w:tc>
        <w:tc>
          <w:tcPr>
            <w:tcW w:w="5897" w:type="dxa"/>
            <w:vAlign w:val="center"/>
          </w:tcPr>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项目整体实施方案，整体实施方案设计及管理办法考虑周到全面、描述详尽的得5分；具有针对性的得3分；方案存在偏离的得1分；未提供不得分。</w:t>
            </w:r>
          </w:p>
        </w:tc>
        <w:tc>
          <w:tcPr>
            <w:tcW w:w="793" w:type="dxa"/>
          </w:tcPr>
          <w:p>
            <w:pPr>
              <w:snapToGrid w:val="0"/>
              <w:jc w:val="center"/>
              <w:outlineLvl w:val="0"/>
              <w:rPr>
                <w:rFonts w:ascii="宋体" w:hAnsi="宋体" w:cs="宋体"/>
                <w:bCs/>
                <w:color w:val="auto"/>
                <w:sz w:val="24"/>
                <w:highlight w:val="none"/>
              </w:rPr>
            </w:pPr>
          </w:p>
          <w:p>
            <w:pPr>
              <w:snapToGrid w:val="0"/>
              <w:jc w:val="center"/>
              <w:outlineLvl w:val="0"/>
              <w:rPr>
                <w:rFonts w:ascii="宋体" w:hAnsi="宋体" w:cs="宋体"/>
                <w:bCs/>
                <w:color w:val="auto"/>
                <w:sz w:val="24"/>
                <w:highlight w:val="none"/>
              </w:rPr>
            </w:pPr>
          </w:p>
          <w:p>
            <w:pPr>
              <w:snapToGrid w:val="0"/>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5</w:t>
            </w:r>
          </w:p>
        </w:tc>
        <w:tc>
          <w:tcPr>
            <w:tcW w:w="2133" w:type="dxa"/>
          </w:tcPr>
          <w:p>
            <w:pPr>
              <w:snapToGrid w:val="0"/>
              <w:jc w:val="center"/>
              <w:outlineLvl w:val="0"/>
              <w:rPr>
                <w:rFonts w:ascii="宋体" w:hAnsi="宋体"/>
                <w:color w:val="auto"/>
                <w:sz w:val="24"/>
                <w:highlight w:val="none"/>
              </w:rPr>
            </w:pPr>
          </w:p>
          <w:p>
            <w:pPr>
              <w:snapToGrid w:val="0"/>
              <w:jc w:val="center"/>
              <w:outlineLvl w:val="0"/>
              <w:rPr>
                <w:rFonts w:ascii="宋体" w:hAnsi="宋体" w:cs="宋体"/>
                <w:color w:val="auto"/>
                <w:sz w:val="24"/>
                <w:highlight w:val="none"/>
              </w:rPr>
            </w:pPr>
            <w:r>
              <w:rPr>
                <w:rFonts w:hint="eastAsia" w:ascii="宋体" w:hAnsi="宋体" w:cs="宋体"/>
                <w:color w:val="auto"/>
                <w:sz w:val="24"/>
                <w:highlight w:val="none"/>
              </w:rPr>
              <w:t>项目整体</w:t>
            </w:r>
          </w:p>
          <w:p>
            <w:pPr>
              <w:snapToGrid w:val="0"/>
              <w:jc w:val="center"/>
              <w:outlineLvl w:val="0"/>
              <w:rPr>
                <w:rFonts w:ascii="宋体" w:hAnsi="宋体" w:cs="宋体"/>
                <w:color w:val="auto"/>
                <w:sz w:val="24"/>
                <w:highlight w:val="none"/>
              </w:rPr>
            </w:pPr>
            <w:r>
              <w:rPr>
                <w:rFonts w:hint="eastAsia" w:ascii="宋体" w:hAnsi="宋体" w:cs="宋体"/>
                <w:color w:val="auto"/>
                <w:sz w:val="24"/>
                <w:highlight w:val="none"/>
              </w:rPr>
              <w:t>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auto"/>
            <w:vAlign w:val="center"/>
          </w:tcPr>
          <w:p>
            <w:pPr>
              <w:snapToGrid w:val="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6</w:t>
            </w:r>
          </w:p>
        </w:tc>
        <w:tc>
          <w:tcPr>
            <w:tcW w:w="5897" w:type="dxa"/>
            <w:vAlign w:val="center"/>
          </w:tcPr>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针对本项目的总体概述，分析本项目的特点、难点，以及重难点的解决方案科学合理、有效可行的得5分；较为全面合理的得3分；分析解决方案一般的得1分；未提供不得分。</w:t>
            </w:r>
          </w:p>
        </w:tc>
        <w:tc>
          <w:tcPr>
            <w:tcW w:w="793" w:type="dxa"/>
          </w:tcPr>
          <w:p>
            <w:pPr>
              <w:snapToGrid w:val="0"/>
              <w:jc w:val="center"/>
              <w:outlineLvl w:val="0"/>
              <w:rPr>
                <w:rFonts w:ascii="宋体" w:hAnsi="宋体" w:cs="宋体"/>
                <w:bCs/>
                <w:color w:val="auto"/>
                <w:sz w:val="24"/>
                <w:highlight w:val="none"/>
              </w:rPr>
            </w:pPr>
          </w:p>
          <w:p>
            <w:pPr>
              <w:snapToGrid w:val="0"/>
              <w:jc w:val="center"/>
              <w:outlineLvl w:val="0"/>
              <w:rPr>
                <w:rFonts w:ascii="宋体" w:hAnsi="宋体" w:cs="宋体"/>
                <w:bCs/>
                <w:color w:val="auto"/>
                <w:sz w:val="24"/>
                <w:highlight w:val="none"/>
              </w:rPr>
            </w:pPr>
          </w:p>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5</w:t>
            </w:r>
          </w:p>
        </w:tc>
        <w:tc>
          <w:tcPr>
            <w:tcW w:w="2133" w:type="dxa"/>
          </w:tcPr>
          <w:p>
            <w:pPr>
              <w:snapToGrid w:val="0"/>
              <w:outlineLvl w:val="0"/>
              <w:rPr>
                <w:rFonts w:ascii="宋体" w:hAnsi="宋体" w:cs="宋体"/>
                <w:color w:val="auto"/>
                <w:sz w:val="24"/>
                <w:highlight w:val="none"/>
              </w:rPr>
            </w:pPr>
          </w:p>
          <w:p>
            <w:pPr>
              <w:snapToGrid w:val="0"/>
              <w:jc w:val="center"/>
              <w:outlineLvl w:val="0"/>
              <w:rPr>
                <w:rFonts w:ascii="宋体" w:hAnsi="宋体" w:cs="宋体"/>
                <w:color w:val="auto"/>
                <w:sz w:val="24"/>
                <w:highlight w:val="none"/>
              </w:rPr>
            </w:pPr>
          </w:p>
          <w:p>
            <w:pPr>
              <w:snapToGrid w:val="0"/>
              <w:jc w:val="center"/>
              <w:outlineLvl w:val="0"/>
              <w:rPr>
                <w:rFonts w:ascii="宋体" w:hAnsi="宋体" w:cs="宋体"/>
                <w:color w:val="auto"/>
                <w:sz w:val="24"/>
                <w:highlight w:val="none"/>
              </w:rPr>
            </w:pPr>
            <w:r>
              <w:rPr>
                <w:rFonts w:hint="eastAsia" w:ascii="宋体" w:hAnsi="宋体"/>
                <w:color w:val="auto"/>
                <w:sz w:val="24"/>
                <w:highlight w:val="none"/>
              </w:rPr>
              <w:t>项目概述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10" w:type="dxa"/>
            <w:shd w:val="clear" w:color="auto" w:fill="auto"/>
            <w:vAlign w:val="center"/>
          </w:tcPr>
          <w:p>
            <w:pPr>
              <w:snapToGrid w:val="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7</w:t>
            </w:r>
          </w:p>
        </w:tc>
        <w:tc>
          <w:tcPr>
            <w:tcW w:w="5897" w:type="dxa"/>
            <w:vAlign w:val="center"/>
          </w:tcPr>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施工进度安排及工期保障措施科学合理、有</w:t>
            </w:r>
            <w:r>
              <w:rPr>
                <w:rFonts w:hint="eastAsia" w:ascii="宋体" w:hAnsi="宋体" w:cs="宋体"/>
                <w:color w:val="auto"/>
                <w:sz w:val="24"/>
                <w:highlight w:val="none"/>
                <w:lang w:val="en-US" w:eastAsia="zh-CN"/>
              </w:rPr>
              <w:t>针对性的</w:t>
            </w:r>
            <w:r>
              <w:rPr>
                <w:rFonts w:hint="eastAsia" w:ascii="宋体" w:hAnsi="宋体" w:cs="宋体"/>
                <w:color w:val="auto"/>
                <w:sz w:val="24"/>
                <w:highlight w:val="none"/>
              </w:rPr>
              <w:t>得5分；</w:t>
            </w:r>
            <w:r>
              <w:rPr>
                <w:rFonts w:hint="eastAsia" w:ascii="宋体" w:hAnsi="宋体" w:cs="宋体"/>
                <w:color w:val="auto"/>
                <w:sz w:val="24"/>
                <w:highlight w:val="none"/>
                <w:lang w:val="en-US" w:eastAsia="zh-CN"/>
              </w:rPr>
              <w:t>部分进度计划针对性的得3分；针对性一般且存在偏离的得1分；</w:t>
            </w:r>
            <w:r>
              <w:rPr>
                <w:rFonts w:hint="eastAsia" w:ascii="宋体" w:hAnsi="宋体" w:cs="宋体"/>
                <w:color w:val="auto"/>
                <w:sz w:val="24"/>
                <w:highlight w:val="none"/>
              </w:rPr>
              <w:t>未提供不得分。</w:t>
            </w:r>
          </w:p>
        </w:tc>
        <w:tc>
          <w:tcPr>
            <w:tcW w:w="793" w:type="dxa"/>
          </w:tcPr>
          <w:p>
            <w:pPr>
              <w:snapToGrid w:val="0"/>
              <w:jc w:val="center"/>
              <w:outlineLvl w:val="0"/>
              <w:rPr>
                <w:rFonts w:ascii="宋体" w:hAnsi="宋体" w:cs="宋体"/>
                <w:bCs/>
                <w:color w:val="auto"/>
                <w:sz w:val="24"/>
                <w:highlight w:val="none"/>
              </w:rPr>
            </w:pPr>
          </w:p>
          <w:p>
            <w:pPr>
              <w:snapToGrid w:val="0"/>
              <w:jc w:val="center"/>
              <w:outlineLvl w:val="0"/>
              <w:rPr>
                <w:rFonts w:ascii="宋体" w:hAnsi="宋体" w:cs="宋体"/>
                <w:bCs/>
                <w:color w:val="auto"/>
                <w:sz w:val="24"/>
                <w:highlight w:val="none"/>
              </w:rPr>
            </w:pPr>
          </w:p>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5</w:t>
            </w:r>
          </w:p>
        </w:tc>
        <w:tc>
          <w:tcPr>
            <w:tcW w:w="2133" w:type="dxa"/>
          </w:tcPr>
          <w:p>
            <w:pPr>
              <w:snapToGrid w:val="0"/>
              <w:outlineLvl w:val="0"/>
              <w:rPr>
                <w:rFonts w:ascii="宋体" w:hAnsi="宋体" w:cs="宋体"/>
                <w:color w:val="auto"/>
                <w:sz w:val="24"/>
                <w:highlight w:val="none"/>
              </w:rPr>
            </w:pPr>
          </w:p>
          <w:p>
            <w:pPr>
              <w:snapToGrid w:val="0"/>
              <w:jc w:val="center"/>
              <w:outlineLvl w:val="0"/>
              <w:rPr>
                <w:rFonts w:ascii="宋体" w:hAnsi="宋体" w:cs="宋体"/>
                <w:color w:val="auto"/>
                <w:sz w:val="24"/>
                <w:highlight w:val="none"/>
              </w:rPr>
            </w:pPr>
            <w:r>
              <w:rPr>
                <w:rFonts w:hint="eastAsia" w:ascii="宋体" w:hAnsi="宋体" w:cs="宋体"/>
                <w:color w:val="auto"/>
                <w:sz w:val="24"/>
                <w:highlight w:val="none"/>
              </w:rPr>
              <w:t>施工进度安排及工期保障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910" w:type="dxa"/>
            <w:shd w:val="clear" w:color="auto" w:fill="auto"/>
            <w:vAlign w:val="center"/>
          </w:tcPr>
          <w:p>
            <w:pPr>
              <w:snapToGrid w:val="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8</w:t>
            </w:r>
          </w:p>
        </w:tc>
        <w:tc>
          <w:tcPr>
            <w:tcW w:w="5897" w:type="dxa"/>
            <w:vAlign w:val="center"/>
          </w:tcPr>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针对本项目具体专业安排明确合理、考虑全面的得5分；较为全面的得3分；安排存在欠缺的得1分；未提供不得分。</w:t>
            </w:r>
          </w:p>
        </w:tc>
        <w:tc>
          <w:tcPr>
            <w:tcW w:w="793" w:type="dxa"/>
          </w:tcPr>
          <w:p>
            <w:pPr>
              <w:snapToGrid w:val="0"/>
              <w:jc w:val="center"/>
              <w:outlineLvl w:val="0"/>
              <w:rPr>
                <w:rFonts w:ascii="宋体" w:hAnsi="宋体" w:cs="宋体"/>
                <w:bCs/>
                <w:color w:val="auto"/>
                <w:sz w:val="24"/>
                <w:highlight w:val="none"/>
              </w:rPr>
            </w:pPr>
          </w:p>
          <w:p>
            <w:pPr>
              <w:snapToGrid w:val="0"/>
              <w:jc w:val="center"/>
              <w:outlineLvl w:val="0"/>
              <w:rPr>
                <w:rFonts w:ascii="宋体" w:hAnsi="宋体" w:cs="宋体"/>
                <w:bCs/>
                <w:color w:val="auto"/>
                <w:sz w:val="24"/>
                <w:highlight w:val="none"/>
              </w:rPr>
            </w:pPr>
          </w:p>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5</w:t>
            </w:r>
          </w:p>
        </w:tc>
        <w:tc>
          <w:tcPr>
            <w:tcW w:w="2133" w:type="dxa"/>
            <w:vMerge w:val="restart"/>
          </w:tcPr>
          <w:p>
            <w:pPr>
              <w:snapToGrid w:val="0"/>
              <w:outlineLvl w:val="0"/>
              <w:rPr>
                <w:rFonts w:ascii="宋体" w:hAnsi="宋体"/>
                <w:color w:val="auto"/>
                <w:sz w:val="24"/>
                <w:highlight w:val="none"/>
              </w:rPr>
            </w:pPr>
          </w:p>
          <w:p>
            <w:pPr>
              <w:snapToGrid w:val="0"/>
              <w:outlineLvl w:val="0"/>
              <w:rPr>
                <w:rFonts w:ascii="宋体" w:hAnsi="宋体"/>
                <w:color w:val="auto"/>
                <w:sz w:val="24"/>
                <w:highlight w:val="none"/>
              </w:rPr>
            </w:pPr>
          </w:p>
          <w:p>
            <w:pPr>
              <w:snapToGrid w:val="0"/>
              <w:jc w:val="center"/>
              <w:outlineLvl w:val="0"/>
              <w:rPr>
                <w:rFonts w:hint="eastAsia" w:ascii="宋体" w:hAnsi="宋体"/>
                <w:color w:val="auto"/>
                <w:sz w:val="24"/>
                <w:highlight w:val="none"/>
              </w:rPr>
            </w:pPr>
            <w:r>
              <w:rPr>
                <w:rFonts w:hint="eastAsia" w:ascii="宋体" w:hAnsi="宋体"/>
                <w:color w:val="auto"/>
                <w:sz w:val="24"/>
                <w:highlight w:val="none"/>
              </w:rPr>
              <w:t>保证工期和施工进度的方案</w:t>
            </w:r>
          </w:p>
          <w:p>
            <w:pPr>
              <w:snapToGrid w:val="0"/>
              <w:jc w:val="center"/>
              <w:outlineLvl w:val="0"/>
              <w:rPr>
                <w:rFonts w:ascii="宋体" w:hAnsi="宋体" w:cs="宋体"/>
                <w:color w:val="auto"/>
                <w:sz w:val="24"/>
                <w:highlight w:val="none"/>
              </w:rPr>
            </w:pPr>
            <w:r>
              <w:rPr>
                <w:rFonts w:hint="eastAsia" w:ascii="宋体" w:hAnsi="宋体"/>
                <w:color w:val="auto"/>
                <w:sz w:val="24"/>
                <w:highlight w:val="none"/>
              </w:rPr>
              <w:t>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auto"/>
            <w:vAlign w:val="center"/>
          </w:tcPr>
          <w:p>
            <w:pPr>
              <w:snapToGrid w:val="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9</w:t>
            </w:r>
          </w:p>
        </w:tc>
        <w:tc>
          <w:tcPr>
            <w:tcW w:w="5897" w:type="dxa"/>
            <w:vAlign w:val="center"/>
          </w:tcPr>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项目进场保证措施（包括人员及机械设备）科学合理、全面可行的得5分；较为全面有效的得3分；措施方案存在偏离的得1分；未提供不得分。</w:t>
            </w:r>
          </w:p>
        </w:tc>
        <w:tc>
          <w:tcPr>
            <w:tcW w:w="793" w:type="dxa"/>
          </w:tcPr>
          <w:p>
            <w:pPr>
              <w:snapToGrid w:val="0"/>
              <w:jc w:val="center"/>
              <w:outlineLvl w:val="0"/>
              <w:rPr>
                <w:rFonts w:hint="eastAsia" w:ascii="宋体" w:hAnsi="宋体" w:cs="宋体"/>
                <w:bCs/>
                <w:color w:val="auto"/>
                <w:sz w:val="24"/>
                <w:highlight w:val="none"/>
              </w:rPr>
            </w:pPr>
          </w:p>
          <w:p>
            <w:pPr>
              <w:snapToGrid w:val="0"/>
              <w:jc w:val="center"/>
              <w:outlineLvl w:val="0"/>
              <w:rPr>
                <w:rFonts w:hint="eastAsia" w:ascii="宋体" w:hAnsi="宋体" w:cs="宋体"/>
                <w:bCs/>
                <w:color w:val="auto"/>
                <w:sz w:val="24"/>
                <w:highlight w:val="none"/>
              </w:rPr>
            </w:pPr>
          </w:p>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5</w:t>
            </w:r>
          </w:p>
        </w:tc>
        <w:tc>
          <w:tcPr>
            <w:tcW w:w="2133" w:type="dxa"/>
            <w:vMerge w:val="continue"/>
          </w:tcPr>
          <w:p>
            <w:pPr>
              <w:snapToGrid w:val="0"/>
              <w:outlineLvl w:val="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auto"/>
            <w:vAlign w:val="center"/>
          </w:tcPr>
          <w:p>
            <w:pPr>
              <w:snapToGrid w:val="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5897" w:type="dxa"/>
            <w:vAlign w:val="center"/>
          </w:tcPr>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质量目标、施工质量管理体系、质量控制计划、现场质量检查措施及成品保护方案明确具体、科学合理的得5分；较为全面有效的得3分；体系安排方案存在偏离的得1分；未提供不得分。</w:t>
            </w:r>
          </w:p>
        </w:tc>
        <w:tc>
          <w:tcPr>
            <w:tcW w:w="793" w:type="dxa"/>
          </w:tcPr>
          <w:p>
            <w:pPr>
              <w:snapToGrid w:val="0"/>
              <w:jc w:val="center"/>
              <w:outlineLvl w:val="0"/>
              <w:rPr>
                <w:rFonts w:ascii="宋体" w:hAnsi="宋体" w:cs="宋体"/>
                <w:bCs/>
                <w:color w:val="auto"/>
                <w:sz w:val="24"/>
                <w:highlight w:val="none"/>
              </w:rPr>
            </w:pPr>
          </w:p>
          <w:p>
            <w:pPr>
              <w:snapToGrid w:val="0"/>
              <w:jc w:val="center"/>
              <w:outlineLvl w:val="0"/>
              <w:rPr>
                <w:rFonts w:ascii="宋体" w:hAnsi="宋体" w:cs="宋体"/>
                <w:bCs/>
                <w:color w:val="auto"/>
                <w:sz w:val="24"/>
                <w:highlight w:val="none"/>
              </w:rPr>
            </w:pPr>
          </w:p>
          <w:p>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5</w:t>
            </w:r>
          </w:p>
        </w:tc>
        <w:tc>
          <w:tcPr>
            <w:tcW w:w="2133" w:type="dxa"/>
          </w:tcPr>
          <w:p>
            <w:pPr>
              <w:snapToGrid w:val="0"/>
              <w:rPr>
                <w:rFonts w:ascii="宋体" w:hAnsi="宋体"/>
                <w:color w:val="auto"/>
                <w:sz w:val="24"/>
                <w:highlight w:val="none"/>
              </w:rPr>
            </w:pPr>
          </w:p>
          <w:p>
            <w:pPr>
              <w:snapToGrid w:val="0"/>
              <w:rPr>
                <w:rFonts w:ascii="宋体" w:hAnsi="宋体"/>
                <w:color w:val="auto"/>
                <w:sz w:val="24"/>
                <w:highlight w:val="none"/>
              </w:rPr>
            </w:pPr>
          </w:p>
          <w:p>
            <w:pPr>
              <w:snapToGrid w:val="0"/>
              <w:jc w:val="center"/>
              <w:rPr>
                <w:rFonts w:ascii="宋体" w:hAnsi="宋体" w:cs="宋体"/>
                <w:color w:val="auto"/>
                <w:highlight w:val="none"/>
              </w:rPr>
            </w:pPr>
            <w:r>
              <w:rPr>
                <w:rFonts w:hint="eastAsia" w:ascii="宋体" w:hAnsi="宋体"/>
                <w:color w:val="auto"/>
                <w:sz w:val="24"/>
                <w:highlight w:val="none"/>
              </w:rPr>
              <w:t>保证施工质量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auto"/>
            <w:vAlign w:val="center"/>
          </w:tcPr>
          <w:p>
            <w:pPr>
              <w:snapToGrid w:val="0"/>
              <w:jc w:val="center"/>
              <w:outlineLvl w:val="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p>
        </w:tc>
        <w:tc>
          <w:tcPr>
            <w:tcW w:w="5897" w:type="dxa"/>
            <w:vAlign w:val="center"/>
          </w:tcPr>
          <w:p>
            <w:pPr>
              <w:snapToGrid w:val="0"/>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为彰显人文力量，供应商在采购人进行文物搬运过程中，配合协助方案最优、科学合理的得5分；较为全面的得3分；表现一般的得1分；</w:t>
            </w:r>
            <w:r>
              <w:rPr>
                <w:rFonts w:hint="eastAsia" w:ascii="宋体" w:hAnsi="宋体" w:cs="宋体"/>
                <w:color w:val="auto"/>
                <w:sz w:val="24"/>
                <w:highlight w:val="none"/>
              </w:rPr>
              <w:t>未提供不得分。</w:t>
            </w:r>
          </w:p>
        </w:tc>
        <w:tc>
          <w:tcPr>
            <w:tcW w:w="793" w:type="dxa"/>
          </w:tcPr>
          <w:p>
            <w:pPr>
              <w:snapToGrid w:val="0"/>
              <w:jc w:val="center"/>
              <w:outlineLvl w:val="0"/>
              <w:rPr>
                <w:rFonts w:hint="eastAsia" w:ascii="宋体" w:hAnsi="宋体" w:cs="宋体"/>
                <w:bCs/>
                <w:color w:val="auto"/>
                <w:sz w:val="24"/>
                <w:highlight w:val="none"/>
                <w:lang w:val="en-US" w:eastAsia="zh-CN"/>
              </w:rPr>
            </w:pPr>
          </w:p>
          <w:p>
            <w:pPr>
              <w:snapToGrid w:val="0"/>
              <w:jc w:val="center"/>
              <w:outlineLvl w:val="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5</w:t>
            </w:r>
          </w:p>
        </w:tc>
        <w:tc>
          <w:tcPr>
            <w:tcW w:w="2133" w:type="dxa"/>
          </w:tcPr>
          <w:p>
            <w:pPr>
              <w:snapToGrid w:val="0"/>
              <w:jc w:val="center"/>
              <w:rPr>
                <w:rFonts w:hint="eastAsia" w:ascii="宋体" w:hAnsi="宋体"/>
                <w:color w:val="auto"/>
                <w:sz w:val="24"/>
                <w:highlight w:val="none"/>
                <w:lang w:val="en-US" w:eastAsia="zh-CN"/>
              </w:rPr>
            </w:pPr>
          </w:p>
          <w:p>
            <w:pPr>
              <w:snapToGrid w:val="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协助配合方案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auto"/>
            <w:vAlign w:val="center"/>
          </w:tcPr>
          <w:p>
            <w:pPr>
              <w:snapToGrid w:val="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p>
        </w:tc>
        <w:tc>
          <w:tcPr>
            <w:tcW w:w="5897" w:type="dxa"/>
            <w:vAlign w:val="center"/>
          </w:tcPr>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安全、文明保护措施全面具体、科学合理的得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分；针对性</w:t>
            </w:r>
            <w:r>
              <w:rPr>
                <w:rFonts w:hint="eastAsia" w:ascii="宋体" w:hAnsi="宋体" w:cs="宋体"/>
                <w:color w:val="auto"/>
                <w:sz w:val="24"/>
                <w:highlight w:val="none"/>
                <w:lang w:val="en-US" w:eastAsia="zh-CN"/>
              </w:rPr>
              <w:t>一般</w:t>
            </w:r>
            <w:r>
              <w:rPr>
                <w:rFonts w:hint="eastAsia" w:ascii="宋体" w:hAnsi="宋体" w:cs="宋体"/>
                <w:color w:val="auto"/>
                <w:sz w:val="24"/>
                <w:highlight w:val="none"/>
              </w:rPr>
              <w:t>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分；相关措施存在偏离的</w:t>
            </w:r>
            <w:r>
              <w:rPr>
                <w:rFonts w:hint="eastAsia" w:ascii="宋体" w:hAnsi="宋体" w:cs="宋体"/>
                <w:color w:val="auto"/>
                <w:sz w:val="24"/>
                <w:highlight w:val="none"/>
                <w:lang w:val="en-US" w:eastAsia="zh-CN"/>
              </w:rPr>
              <w:t>不得分</w:t>
            </w:r>
            <w:r>
              <w:rPr>
                <w:rFonts w:hint="eastAsia" w:ascii="宋体" w:hAnsi="宋体" w:cs="宋体"/>
                <w:color w:val="auto"/>
                <w:sz w:val="24"/>
                <w:highlight w:val="none"/>
              </w:rPr>
              <w:t>。</w:t>
            </w:r>
          </w:p>
        </w:tc>
        <w:tc>
          <w:tcPr>
            <w:tcW w:w="793" w:type="dxa"/>
          </w:tcPr>
          <w:p>
            <w:pPr>
              <w:snapToGrid w:val="0"/>
              <w:jc w:val="center"/>
              <w:outlineLvl w:val="0"/>
              <w:rPr>
                <w:rFonts w:ascii="宋体" w:hAnsi="宋体" w:cs="宋体"/>
                <w:bCs/>
                <w:color w:val="auto"/>
                <w:sz w:val="24"/>
                <w:highlight w:val="none"/>
              </w:rPr>
            </w:pPr>
          </w:p>
          <w:p>
            <w:pPr>
              <w:snapToGrid w:val="0"/>
              <w:jc w:val="center"/>
              <w:outlineLvl w:val="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4</w:t>
            </w:r>
          </w:p>
        </w:tc>
        <w:tc>
          <w:tcPr>
            <w:tcW w:w="2133" w:type="dxa"/>
            <w:vMerge w:val="restart"/>
          </w:tcPr>
          <w:p>
            <w:pPr>
              <w:snapToGrid w:val="0"/>
              <w:rPr>
                <w:rFonts w:ascii="宋体" w:hAnsi="宋体"/>
                <w:color w:val="auto"/>
                <w:sz w:val="24"/>
                <w:highlight w:val="none"/>
              </w:rPr>
            </w:pPr>
          </w:p>
          <w:p>
            <w:pPr>
              <w:snapToGrid w:val="0"/>
              <w:rPr>
                <w:rFonts w:ascii="宋体" w:hAnsi="宋体"/>
                <w:color w:val="auto"/>
                <w:sz w:val="24"/>
                <w:highlight w:val="none"/>
              </w:rPr>
            </w:pPr>
          </w:p>
          <w:p>
            <w:pPr>
              <w:snapToGrid w:val="0"/>
              <w:rPr>
                <w:rFonts w:ascii="宋体" w:hAnsi="宋体"/>
                <w:color w:val="auto"/>
                <w:sz w:val="24"/>
                <w:highlight w:val="none"/>
              </w:rPr>
            </w:pPr>
          </w:p>
          <w:p>
            <w:pPr>
              <w:snapToGrid w:val="0"/>
              <w:jc w:val="center"/>
              <w:rPr>
                <w:rFonts w:ascii="宋体" w:hAnsi="宋体" w:cs="宋体"/>
                <w:color w:val="auto"/>
                <w:highlight w:val="none"/>
              </w:rPr>
            </w:pPr>
            <w:r>
              <w:rPr>
                <w:rFonts w:hint="eastAsia" w:ascii="宋体" w:hAnsi="宋体"/>
                <w:color w:val="auto"/>
                <w:sz w:val="24"/>
                <w:highlight w:val="none"/>
              </w:rPr>
              <w:t>保证施工安全、文明的技术方案和措施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auto"/>
            <w:vAlign w:val="center"/>
          </w:tcPr>
          <w:p>
            <w:pPr>
              <w:snapToGrid w:val="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p>
        </w:tc>
        <w:tc>
          <w:tcPr>
            <w:tcW w:w="5897" w:type="dxa"/>
            <w:vAlign w:val="center"/>
          </w:tcPr>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突发事件下的应急措施方案科学合理、切实可行的得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分；较为及时有效的得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分；方案表现一般的得1分；未提供不得分。</w:t>
            </w:r>
          </w:p>
        </w:tc>
        <w:tc>
          <w:tcPr>
            <w:tcW w:w="793" w:type="dxa"/>
          </w:tcPr>
          <w:p>
            <w:pPr>
              <w:snapToGrid w:val="0"/>
              <w:jc w:val="center"/>
              <w:outlineLvl w:val="0"/>
              <w:rPr>
                <w:rFonts w:ascii="宋体" w:hAnsi="宋体" w:cs="宋体"/>
                <w:bCs/>
                <w:color w:val="auto"/>
                <w:sz w:val="24"/>
                <w:highlight w:val="none"/>
              </w:rPr>
            </w:pPr>
          </w:p>
          <w:p>
            <w:pPr>
              <w:snapToGrid w:val="0"/>
              <w:jc w:val="center"/>
              <w:outlineLvl w:val="0"/>
              <w:rPr>
                <w:rFonts w:ascii="宋体" w:hAnsi="宋体" w:cs="宋体"/>
                <w:bCs/>
                <w:color w:val="auto"/>
                <w:sz w:val="24"/>
                <w:highlight w:val="none"/>
              </w:rPr>
            </w:pPr>
          </w:p>
          <w:p>
            <w:pPr>
              <w:snapToGrid w:val="0"/>
              <w:jc w:val="center"/>
              <w:outlineLvl w:val="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3</w:t>
            </w:r>
          </w:p>
        </w:tc>
        <w:tc>
          <w:tcPr>
            <w:tcW w:w="2133" w:type="dxa"/>
            <w:vMerge w:val="continue"/>
          </w:tcPr>
          <w:p>
            <w:pPr>
              <w:snapToGrid w:val="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910" w:type="dxa"/>
            <w:shd w:val="clear" w:color="auto" w:fill="auto"/>
            <w:vAlign w:val="center"/>
          </w:tcPr>
          <w:p>
            <w:pPr>
              <w:snapToGrid w:val="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5897" w:type="dxa"/>
            <w:vAlign w:val="center"/>
          </w:tcPr>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项目组具有完备的管理组织、项目实施规范和管理制度，并能有效实施的得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分；组织规范表现一般的得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分；未提供不得分。</w:t>
            </w:r>
          </w:p>
        </w:tc>
        <w:tc>
          <w:tcPr>
            <w:tcW w:w="793" w:type="dxa"/>
          </w:tcPr>
          <w:p>
            <w:pPr>
              <w:snapToGrid w:val="0"/>
              <w:jc w:val="center"/>
              <w:outlineLvl w:val="0"/>
              <w:rPr>
                <w:rFonts w:ascii="宋体" w:hAnsi="宋体" w:cs="宋体"/>
                <w:bCs/>
                <w:color w:val="auto"/>
                <w:sz w:val="24"/>
                <w:highlight w:val="none"/>
              </w:rPr>
            </w:pPr>
          </w:p>
          <w:p>
            <w:pPr>
              <w:snapToGrid w:val="0"/>
              <w:jc w:val="center"/>
              <w:outlineLvl w:val="0"/>
              <w:rPr>
                <w:rFonts w:ascii="宋体" w:hAnsi="宋体" w:cs="宋体"/>
                <w:bCs/>
                <w:color w:val="auto"/>
                <w:sz w:val="24"/>
                <w:highlight w:val="none"/>
              </w:rPr>
            </w:pPr>
          </w:p>
          <w:p>
            <w:pPr>
              <w:snapToGrid w:val="0"/>
              <w:jc w:val="center"/>
              <w:outlineLvl w:val="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2</w:t>
            </w:r>
          </w:p>
        </w:tc>
        <w:tc>
          <w:tcPr>
            <w:tcW w:w="2133" w:type="dxa"/>
          </w:tcPr>
          <w:p>
            <w:pPr>
              <w:snapToGrid w:val="0"/>
              <w:rPr>
                <w:rFonts w:ascii="宋体" w:hAnsi="宋体"/>
                <w:color w:val="auto"/>
                <w:sz w:val="24"/>
                <w:highlight w:val="none"/>
              </w:rPr>
            </w:pPr>
          </w:p>
          <w:p>
            <w:pPr>
              <w:snapToGrid w:val="0"/>
              <w:jc w:val="center"/>
              <w:rPr>
                <w:rFonts w:hint="eastAsia" w:ascii="宋体" w:hAnsi="宋体"/>
                <w:color w:val="auto"/>
                <w:sz w:val="24"/>
                <w:highlight w:val="none"/>
              </w:rPr>
            </w:pPr>
            <w:r>
              <w:rPr>
                <w:rFonts w:hint="eastAsia" w:ascii="宋体" w:hAnsi="宋体"/>
                <w:color w:val="auto"/>
                <w:sz w:val="24"/>
                <w:highlight w:val="none"/>
              </w:rPr>
              <w:t>项目实施技术</w:t>
            </w:r>
          </w:p>
          <w:p>
            <w:pPr>
              <w:snapToGrid w:val="0"/>
              <w:jc w:val="center"/>
              <w:rPr>
                <w:rFonts w:ascii="宋体" w:hAnsi="宋体" w:cs="宋体"/>
                <w:color w:val="auto"/>
                <w:highlight w:val="none"/>
              </w:rPr>
            </w:pPr>
            <w:r>
              <w:rPr>
                <w:rFonts w:hint="eastAsia" w:ascii="宋体" w:hAnsi="宋体"/>
                <w:color w:val="auto"/>
                <w:sz w:val="24"/>
                <w:highlight w:val="none"/>
              </w:rPr>
              <w:t>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auto"/>
            <w:vAlign w:val="center"/>
          </w:tcPr>
          <w:p>
            <w:pPr>
              <w:snapToGrid w:val="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5897" w:type="dxa"/>
            <w:vAlign w:val="center"/>
          </w:tcPr>
          <w:p>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拟派项目负责人：</w:t>
            </w:r>
          </w:p>
          <w:p>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1、同时具有人社部门、住建部门颁发的专业类别为建筑工程专业二级及以上注册建造师和建筑施工企业项目负责人安全生产考核合格证（B证），提供相关人员证书复印件/扫描件，得2分；提供不全不得分。</w:t>
            </w:r>
          </w:p>
          <w:p>
            <w:pPr>
              <w:snapToGrid w:val="0"/>
              <w:spacing w:line="360" w:lineRule="auto"/>
              <w:ind w:firstLine="480" w:firstLineChars="200"/>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 xml:space="preserve">2、拟派项目负责人具有工程师及以上职称，提供相关人员职称证书，得2分；未提供不得分。   </w:t>
            </w:r>
          </w:p>
        </w:tc>
        <w:tc>
          <w:tcPr>
            <w:tcW w:w="793" w:type="dxa"/>
            <w:vAlign w:val="top"/>
          </w:tcPr>
          <w:p>
            <w:pPr>
              <w:snapToGrid w:val="0"/>
              <w:jc w:val="center"/>
              <w:outlineLvl w:val="0"/>
              <w:rPr>
                <w:rFonts w:ascii="宋体" w:hAnsi="宋体" w:cs="宋体"/>
                <w:bCs/>
                <w:color w:val="auto"/>
                <w:sz w:val="24"/>
                <w:highlight w:val="none"/>
              </w:rPr>
            </w:pPr>
          </w:p>
          <w:p>
            <w:pPr>
              <w:snapToGrid w:val="0"/>
              <w:jc w:val="center"/>
              <w:outlineLvl w:val="0"/>
              <w:rPr>
                <w:rFonts w:hint="eastAsia" w:ascii="宋体" w:hAnsi="宋体" w:cs="宋体"/>
                <w:bCs/>
                <w:color w:val="auto"/>
                <w:sz w:val="24"/>
                <w:highlight w:val="none"/>
              </w:rPr>
            </w:pPr>
          </w:p>
          <w:p>
            <w:pPr>
              <w:snapToGrid w:val="0"/>
              <w:jc w:val="center"/>
              <w:outlineLvl w:val="0"/>
              <w:rPr>
                <w:rFonts w:hint="eastAsia" w:ascii="宋体" w:hAnsi="宋体" w:cs="宋体"/>
                <w:bCs/>
                <w:color w:val="auto"/>
                <w:sz w:val="24"/>
                <w:highlight w:val="none"/>
              </w:rPr>
            </w:pPr>
          </w:p>
          <w:p>
            <w:pPr>
              <w:snapToGrid w:val="0"/>
              <w:jc w:val="center"/>
              <w:outlineLvl w:val="0"/>
              <w:rPr>
                <w:rFonts w:hint="eastAsia" w:ascii="宋体" w:hAnsi="宋体" w:cs="宋体"/>
                <w:bCs/>
                <w:color w:val="auto"/>
                <w:kern w:val="2"/>
                <w:sz w:val="24"/>
                <w:szCs w:val="24"/>
                <w:highlight w:val="none"/>
                <w:lang w:val="en-US" w:eastAsia="zh-CN" w:bidi="ar-SA"/>
              </w:rPr>
            </w:pPr>
          </w:p>
          <w:p>
            <w:pPr>
              <w:snapToGrid w:val="0"/>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4</w:t>
            </w:r>
          </w:p>
        </w:tc>
        <w:tc>
          <w:tcPr>
            <w:tcW w:w="2133" w:type="dxa"/>
          </w:tcPr>
          <w:p>
            <w:pPr>
              <w:snapToGrid w:val="0"/>
              <w:rPr>
                <w:rFonts w:hint="eastAsia" w:ascii="宋体" w:hAnsi="宋体" w:cs="宋体"/>
                <w:color w:val="auto"/>
                <w:sz w:val="24"/>
                <w:highlight w:val="none"/>
              </w:rPr>
            </w:pPr>
          </w:p>
          <w:p>
            <w:pPr>
              <w:snapToGrid w:val="0"/>
              <w:rPr>
                <w:rFonts w:hint="eastAsia" w:ascii="宋体" w:hAnsi="宋体" w:cs="宋体"/>
                <w:color w:val="auto"/>
                <w:sz w:val="24"/>
                <w:highlight w:val="none"/>
              </w:rPr>
            </w:pPr>
          </w:p>
          <w:p>
            <w:pPr>
              <w:snapToGrid w:val="0"/>
              <w:jc w:val="center"/>
              <w:rPr>
                <w:rFonts w:hint="eastAsia" w:ascii="宋体" w:hAnsi="宋体" w:cs="宋体"/>
                <w:color w:val="auto"/>
                <w:sz w:val="24"/>
                <w:highlight w:val="none"/>
              </w:rPr>
            </w:pPr>
          </w:p>
          <w:p>
            <w:pPr>
              <w:snapToGrid w:val="0"/>
              <w:jc w:val="center"/>
              <w:rPr>
                <w:rFonts w:hint="eastAsia" w:ascii="宋体" w:hAnsi="宋体" w:cs="宋体"/>
                <w:color w:val="auto"/>
                <w:sz w:val="24"/>
                <w:highlight w:val="none"/>
              </w:rPr>
            </w:pPr>
          </w:p>
          <w:p>
            <w:pPr>
              <w:snapToGrid w:val="0"/>
              <w:jc w:val="center"/>
              <w:rPr>
                <w:rFonts w:hint="eastAsia" w:ascii="宋体" w:hAnsi="宋体" w:eastAsia="宋体" w:cs="宋体"/>
                <w:color w:val="auto"/>
                <w:highlight w:val="none"/>
                <w:lang w:val="en-US" w:eastAsia="zh-CN"/>
              </w:rPr>
            </w:pPr>
            <w:r>
              <w:rPr>
                <w:rFonts w:hint="eastAsia" w:ascii="宋体" w:hAnsi="宋体" w:cs="宋体"/>
                <w:color w:val="auto"/>
                <w:sz w:val="24"/>
                <w:highlight w:val="none"/>
                <w:lang w:val="en-US" w:eastAsia="zh-CN"/>
              </w:rPr>
              <w:t>拟派项目负责人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auto"/>
            <w:vAlign w:val="center"/>
          </w:tcPr>
          <w:p>
            <w:pPr>
              <w:snapToGrid w:val="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p>
        </w:tc>
        <w:tc>
          <w:tcPr>
            <w:tcW w:w="5897" w:type="dxa"/>
            <w:vAlign w:val="center"/>
          </w:tcPr>
          <w:p>
            <w:pPr>
              <w:snapToGrid w:val="0"/>
              <w:spacing w:line="360" w:lineRule="auto"/>
              <w:ind w:firstLine="480" w:firstLineChars="200"/>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供应商提供的合理化建议合理、具有可操作性、针对性的得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分；合理化建议部分合理、操作性、针对性一般得1分；未提供的不得分。</w:t>
            </w:r>
          </w:p>
        </w:tc>
        <w:tc>
          <w:tcPr>
            <w:tcW w:w="793" w:type="dxa"/>
            <w:vAlign w:val="top"/>
          </w:tcPr>
          <w:p>
            <w:pPr>
              <w:snapToGrid w:val="0"/>
              <w:jc w:val="center"/>
              <w:outlineLvl w:val="0"/>
              <w:rPr>
                <w:rFonts w:ascii="宋体" w:hAnsi="宋体" w:cs="宋体"/>
                <w:bCs/>
                <w:color w:val="auto"/>
                <w:sz w:val="24"/>
                <w:highlight w:val="none"/>
              </w:rPr>
            </w:pPr>
          </w:p>
          <w:p>
            <w:pPr>
              <w:snapToGrid w:val="0"/>
              <w:jc w:val="center"/>
              <w:outlineLvl w:val="0"/>
              <w:rPr>
                <w:rFonts w:ascii="宋体" w:hAnsi="宋体" w:cs="宋体"/>
                <w:bCs/>
                <w:color w:val="auto"/>
                <w:sz w:val="24"/>
                <w:highlight w:val="none"/>
              </w:rPr>
            </w:pPr>
          </w:p>
          <w:p>
            <w:pPr>
              <w:snapToGrid w:val="0"/>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2</w:t>
            </w:r>
          </w:p>
        </w:tc>
        <w:tc>
          <w:tcPr>
            <w:tcW w:w="2133" w:type="dxa"/>
          </w:tcPr>
          <w:p>
            <w:pPr>
              <w:snapToGrid w:val="0"/>
              <w:jc w:val="center"/>
              <w:rPr>
                <w:rFonts w:hint="eastAsia" w:ascii="宋体" w:hAnsi="宋体" w:cs="宋体"/>
                <w:color w:val="auto"/>
                <w:sz w:val="24"/>
                <w:highlight w:val="none"/>
                <w:lang w:val="en-US" w:eastAsia="zh-CN"/>
              </w:rPr>
            </w:pPr>
          </w:p>
          <w:p>
            <w:pPr>
              <w:snapToGrid w:val="0"/>
              <w:jc w:val="center"/>
              <w:rPr>
                <w:rFonts w:hint="eastAsia" w:ascii="宋体" w:hAnsi="宋体" w:cs="宋体"/>
                <w:color w:val="auto"/>
                <w:sz w:val="24"/>
                <w:highlight w:val="none"/>
                <w:lang w:val="en-US" w:eastAsia="zh-CN"/>
              </w:rPr>
            </w:pPr>
          </w:p>
          <w:p>
            <w:pPr>
              <w:snapToGrid w:val="0"/>
              <w:jc w:val="center"/>
              <w:rPr>
                <w:rFonts w:hint="eastAsia" w:ascii="宋体" w:hAnsi="宋体" w:eastAsia="宋体" w:cs="宋体"/>
                <w:color w:val="auto"/>
                <w:highlight w:val="none"/>
                <w:lang w:eastAsia="zh-CN"/>
              </w:rPr>
            </w:pPr>
            <w:r>
              <w:rPr>
                <w:rFonts w:hint="eastAsia" w:ascii="宋体" w:hAnsi="宋体" w:cs="宋体"/>
                <w:color w:val="auto"/>
                <w:sz w:val="24"/>
                <w:highlight w:val="none"/>
                <w:lang w:val="en-US" w:eastAsia="zh-CN"/>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auto"/>
            <w:vAlign w:val="center"/>
          </w:tcPr>
          <w:p>
            <w:pPr>
              <w:snapToGrid w:val="0"/>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5897" w:type="dxa"/>
            <w:vAlign w:val="center"/>
          </w:tcPr>
          <w:p>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本项目较为复杂，施工点位较多，涉及展陈面较大，针对本项目的实际施工点位的描述及处理办法，有效直观的得5分；较为科学合理的得3分；表现一般且存在偏离的得1分；未提供的不得分。</w:t>
            </w:r>
          </w:p>
        </w:tc>
        <w:tc>
          <w:tcPr>
            <w:tcW w:w="793" w:type="dxa"/>
            <w:vAlign w:val="top"/>
          </w:tcPr>
          <w:p>
            <w:pPr>
              <w:snapToGrid w:val="0"/>
              <w:jc w:val="center"/>
              <w:outlineLvl w:val="0"/>
              <w:rPr>
                <w:rFonts w:hint="eastAsia" w:ascii="宋体" w:hAnsi="宋体" w:cs="宋体"/>
                <w:bCs/>
                <w:color w:val="auto"/>
                <w:kern w:val="2"/>
                <w:sz w:val="24"/>
                <w:szCs w:val="24"/>
                <w:highlight w:val="none"/>
                <w:lang w:val="en-US" w:eastAsia="zh-CN" w:bidi="ar-SA"/>
              </w:rPr>
            </w:pPr>
          </w:p>
          <w:p>
            <w:pPr>
              <w:snapToGrid w:val="0"/>
              <w:jc w:val="center"/>
              <w:outlineLvl w:val="0"/>
              <w:rPr>
                <w:rFonts w:hint="default" w:ascii="宋体" w:hAnsi="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5</w:t>
            </w:r>
          </w:p>
        </w:tc>
        <w:tc>
          <w:tcPr>
            <w:tcW w:w="2133" w:type="dxa"/>
          </w:tcPr>
          <w:p>
            <w:pPr>
              <w:snapToGrid w:val="0"/>
              <w:jc w:val="center"/>
              <w:rPr>
                <w:rFonts w:hint="eastAsia" w:ascii="宋体" w:hAnsi="宋体" w:cs="宋体"/>
                <w:color w:val="auto"/>
                <w:sz w:val="24"/>
                <w:highlight w:val="none"/>
                <w:lang w:val="en-US" w:eastAsia="zh-CN"/>
              </w:rPr>
            </w:pPr>
          </w:p>
          <w:p>
            <w:pPr>
              <w:snapToGrid w:val="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实际施工点位的描述及处理办法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auto"/>
            <w:vAlign w:val="center"/>
          </w:tcPr>
          <w:p>
            <w:pPr>
              <w:snapToGrid w:val="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p>
        </w:tc>
        <w:tc>
          <w:tcPr>
            <w:tcW w:w="5897" w:type="dxa"/>
            <w:vAlign w:val="center"/>
          </w:tcPr>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产品列入财政部、发展改革委发布的节能产品品目清单的，提供国家市场监督管理总局公布的《参与实施政府采购节能产品认证机构名录》内的认证机构出具的、处于有效期之内的节能标志产品认证证书的，得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p>
            <w:pPr>
              <w:snapToGrid w:val="0"/>
              <w:spacing w:line="360" w:lineRule="auto"/>
              <w:ind w:firstLine="480" w:firstLineChars="200"/>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0.</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tc>
        <w:tc>
          <w:tcPr>
            <w:tcW w:w="793" w:type="dxa"/>
            <w:vAlign w:val="top"/>
          </w:tcPr>
          <w:p>
            <w:pPr>
              <w:snapToGrid w:val="0"/>
              <w:spacing w:line="360" w:lineRule="auto"/>
              <w:ind w:firstLine="480" w:firstLineChars="200"/>
              <w:rPr>
                <w:rFonts w:ascii="宋体" w:hAnsi="宋体" w:cs="宋体"/>
                <w:color w:val="auto"/>
                <w:sz w:val="24"/>
                <w:highlight w:val="none"/>
              </w:rPr>
            </w:pPr>
          </w:p>
          <w:p>
            <w:pPr>
              <w:snapToGrid w:val="0"/>
              <w:spacing w:line="360" w:lineRule="auto"/>
              <w:ind w:firstLine="480" w:firstLineChars="200"/>
              <w:rPr>
                <w:rFonts w:ascii="宋体" w:hAnsi="宋体" w:cs="宋体"/>
                <w:color w:val="auto"/>
                <w:sz w:val="24"/>
                <w:highlight w:val="none"/>
              </w:rPr>
            </w:pPr>
          </w:p>
          <w:p>
            <w:pPr>
              <w:snapToGrid w:val="0"/>
              <w:spacing w:line="360" w:lineRule="auto"/>
              <w:ind w:firstLine="480" w:firstLineChars="200"/>
              <w:rPr>
                <w:rFonts w:ascii="宋体" w:hAnsi="宋体" w:cs="宋体"/>
                <w:color w:val="auto"/>
                <w:sz w:val="24"/>
                <w:highlight w:val="none"/>
              </w:rPr>
            </w:pPr>
          </w:p>
          <w:p>
            <w:pPr>
              <w:snapToGrid w:val="0"/>
              <w:spacing w:line="360" w:lineRule="auto"/>
              <w:ind w:firstLine="480" w:firstLineChars="200"/>
              <w:rPr>
                <w:rFonts w:ascii="宋体" w:hAnsi="宋体" w:cs="宋体"/>
                <w:color w:val="auto"/>
                <w:sz w:val="24"/>
                <w:highlight w:val="none"/>
              </w:rPr>
            </w:pPr>
          </w:p>
          <w:p>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w:t>
            </w:r>
          </w:p>
        </w:tc>
        <w:tc>
          <w:tcPr>
            <w:tcW w:w="2133" w:type="dxa"/>
          </w:tcPr>
          <w:p>
            <w:pPr>
              <w:snapToGrid w:val="0"/>
              <w:jc w:val="center"/>
              <w:rPr>
                <w:rFonts w:hint="eastAsia" w:ascii="宋体" w:hAnsi="宋体" w:cs="宋体"/>
                <w:color w:val="auto"/>
                <w:highlight w:val="none"/>
                <w:lang w:val="en-US" w:eastAsia="zh-CN"/>
              </w:rPr>
            </w:pPr>
          </w:p>
          <w:p>
            <w:pPr>
              <w:snapToGrid w:val="0"/>
              <w:jc w:val="center"/>
              <w:rPr>
                <w:rFonts w:hint="eastAsia" w:ascii="宋体" w:hAnsi="宋体" w:cs="宋体"/>
                <w:color w:val="auto"/>
                <w:highlight w:val="none"/>
                <w:lang w:val="en-US" w:eastAsia="zh-CN"/>
              </w:rPr>
            </w:pPr>
          </w:p>
          <w:p>
            <w:pPr>
              <w:snapToGrid w:val="0"/>
              <w:jc w:val="center"/>
              <w:rPr>
                <w:rFonts w:hint="eastAsia" w:ascii="宋体" w:hAnsi="宋体" w:cs="宋体"/>
                <w:color w:val="auto"/>
                <w:highlight w:val="none"/>
                <w:lang w:val="en-US" w:eastAsia="zh-CN"/>
              </w:rPr>
            </w:pPr>
          </w:p>
          <w:p>
            <w:pPr>
              <w:snapToGrid w:val="0"/>
              <w:jc w:val="center"/>
              <w:rPr>
                <w:rFonts w:hint="eastAsia" w:ascii="宋体" w:hAnsi="宋体" w:cs="宋体"/>
                <w:color w:val="auto"/>
                <w:highlight w:val="none"/>
                <w:lang w:val="en-US" w:eastAsia="zh-CN"/>
              </w:rPr>
            </w:pPr>
          </w:p>
          <w:p>
            <w:pPr>
              <w:snapToGrid w:val="0"/>
              <w:jc w:val="center"/>
              <w:rPr>
                <w:rFonts w:hint="eastAsia" w:ascii="宋体" w:hAnsi="宋体" w:cs="宋体"/>
                <w:color w:val="auto"/>
                <w:highlight w:val="none"/>
                <w:lang w:val="en-US" w:eastAsia="zh-CN"/>
              </w:rPr>
            </w:pPr>
          </w:p>
          <w:p>
            <w:pPr>
              <w:snapToGrid w:val="0"/>
              <w:jc w:val="center"/>
              <w:rPr>
                <w:rFonts w:hint="eastAsia" w:ascii="宋体" w:hAnsi="宋体" w:cs="宋体"/>
                <w:color w:val="auto"/>
                <w:highlight w:val="none"/>
                <w:lang w:val="en-US" w:eastAsia="zh-CN"/>
              </w:rPr>
            </w:pPr>
          </w:p>
          <w:p>
            <w:pPr>
              <w:snapToGrid w:val="0"/>
              <w:jc w:val="center"/>
              <w:rPr>
                <w:rFonts w:hint="eastAsia" w:ascii="宋体" w:hAnsi="宋体" w:cs="宋体"/>
                <w:color w:val="auto"/>
                <w:highlight w:val="none"/>
                <w:lang w:val="en-US" w:eastAsia="zh-CN"/>
              </w:rPr>
            </w:pPr>
          </w:p>
          <w:p>
            <w:pPr>
              <w:snapToGrid w:val="0"/>
              <w:jc w:val="center"/>
              <w:rPr>
                <w:rFonts w:hint="default" w:ascii="宋体" w:hAnsi="宋体" w:eastAsia="宋体" w:cs="宋体"/>
                <w:color w:val="auto"/>
                <w:highlight w:val="none"/>
                <w:lang w:val="en-US" w:eastAsia="zh-CN"/>
              </w:rPr>
            </w:pPr>
            <w:r>
              <w:rPr>
                <w:rFonts w:hint="eastAsia" w:ascii="宋体" w:hAnsi="宋体" w:cs="宋体"/>
                <w:color w:val="auto"/>
                <w:sz w:val="24"/>
                <w:highlight w:val="none"/>
                <w:lang w:val="en-US" w:eastAsia="zh-CN"/>
              </w:rPr>
              <w:t>节能、环境标志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snapToGrid w:val="0"/>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5897" w:type="dxa"/>
            <w:vAlign w:val="top"/>
          </w:tcPr>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有效最后报价的最低价作为评审基准价，其最低报价为满分；按［最后报价得分=（评审基准价/最后报价）*30］的计算公式计算。</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评审过程中，不得去掉报价中的最高报价和最低报价。</w:t>
            </w:r>
          </w:p>
          <w:p>
            <w:pPr>
              <w:snapToGrid w:val="0"/>
              <w:spacing w:line="360" w:lineRule="auto"/>
              <w:ind w:firstLine="482" w:firstLineChars="200"/>
              <w:rPr>
                <w:rFonts w:ascii="宋体" w:hAnsi="宋体" w:eastAsia="宋体" w:cs="宋体"/>
                <w:color w:val="auto"/>
                <w:kern w:val="2"/>
                <w:sz w:val="24"/>
                <w:szCs w:val="24"/>
                <w:highlight w:val="none"/>
                <w:lang w:val="en-US" w:eastAsia="zh-CN" w:bidi="ar-SA"/>
              </w:rPr>
            </w:pPr>
            <w:r>
              <w:rPr>
                <w:rFonts w:hint="eastAsia" w:ascii="宋体" w:hAnsi="宋体" w:cs="宋体"/>
                <w:b/>
                <w:bCs/>
                <w:color w:val="auto"/>
                <w:sz w:val="24"/>
                <w:highlight w:val="none"/>
              </w:rPr>
              <w:t>因本项目专门面向中小企业承接，不进行政策价格扣除。</w:t>
            </w:r>
          </w:p>
        </w:tc>
        <w:tc>
          <w:tcPr>
            <w:tcW w:w="793" w:type="dxa"/>
            <w:vAlign w:val="center"/>
          </w:tcPr>
          <w:p>
            <w:pPr>
              <w:snapToGrid w:val="0"/>
              <w:jc w:val="center"/>
              <w:outlineLvl w:val="0"/>
              <w:rPr>
                <w:rFonts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rPr>
              <w:t>30</w:t>
            </w:r>
          </w:p>
        </w:tc>
        <w:tc>
          <w:tcPr>
            <w:tcW w:w="2133" w:type="dxa"/>
            <w:vAlign w:val="center"/>
          </w:tcPr>
          <w:p>
            <w:pPr>
              <w:snapToGrid w:val="0"/>
              <w:jc w:val="center"/>
              <w:outlineLvl w:val="0"/>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w:t>
            </w:r>
          </w:p>
        </w:tc>
      </w:tr>
    </w:tbl>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pPr>
        <w:jc w:val="left"/>
        <w:rPr>
          <w:rFonts w:ascii="宋体" w:hAnsi="宋体" w:cs="宋体"/>
          <w:b/>
          <w:color w:val="auto"/>
          <w:sz w:val="32"/>
          <w:highlight w:val="none"/>
        </w:rPr>
      </w:pPr>
      <w:r>
        <w:rPr>
          <w:rFonts w:hint="eastAsia" w:ascii="宋体" w:hAnsi="宋体" w:cs="宋体"/>
          <w:b/>
          <w:color w:val="auto"/>
          <w:sz w:val="32"/>
          <w:highlight w:val="none"/>
        </w:rPr>
        <w:br w:type="page"/>
      </w:r>
    </w:p>
    <w:p>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2.评审标准：</w:t>
      </w:r>
      <w:r>
        <w:rPr>
          <w:rFonts w:hint="eastAsia" w:ascii="宋体" w:hAnsi="宋体" w:cs="宋体"/>
          <w:color w:val="auto"/>
          <w:kern w:val="0"/>
          <w:sz w:val="24"/>
          <w:highlight w:val="none"/>
        </w:rPr>
        <w:t>见评审办法前附表。</w:t>
      </w:r>
    </w:p>
    <w:p>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w:t>
      </w:r>
      <w:r>
        <w:rPr>
          <w:rFonts w:hint="eastAsia" w:ascii="宋体" w:hAnsi="宋体" w:cs="宋体"/>
          <w:color w:val="auto"/>
          <w:kern w:val="0"/>
          <w:sz w:val="24"/>
          <w:highlight w:val="none"/>
          <w:lang w:eastAsia="zh-CN"/>
        </w:rPr>
        <w:t>竞争性磋商文件</w:t>
      </w:r>
      <w:r>
        <w:rPr>
          <w:rFonts w:hint="eastAsia" w:ascii="宋体" w:hAnsi="宋体" w:cs="宋体"/>
          <w:color w:val="auto"/>
          <w:kern w:val="0"/>
          <w:sz w:val="24"/>
          <w:highlight w:val="none"/>
        </w:rPr>
        <w:t>的实质性要求。不满足</w:t>
      </w:r>
      <w:r>
        <w:rPr>
          <w:rFonts w:hint="eastAsia" w:ascii="宋体" w:hAnsi="宋体" w:cs="宋体"/>
          <w:color w:val="auto"/>
          <w:kern w:val="0"/>
          <w:sz w:val="24"/>
          <w:highlight w:val="none"/>
          <w:lang w:eastAsia="zh-CN"/>
        </w:rPr>
        <w:t>竞争性磋商文件</w:t>
      </w:r>
      <w:r>
        <w:rPr>
          <w:rFonts w:hint="eastAsia" w:ascii="宋体" w:hAnsi="宋体" w:cs="宋体"/>
          <w:color w:val="auto"/>
          <w:kern w:val="0"/>
          <w:sz w:val="24"/>
          <w:highlight w:val="none"/>
        </w:rPr>
        <w:t>的实质性要求的，响应文件无效。</w:t>
      </w:r>
    </w:p>
    <w:p>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w:t>
      </w:r>
      <w:r>
        <w:rPr>
          <w:rFonts w:hint="eastAsia" w:ascii="宋体" w:hAnsi="宋体" w:cs="宋体"/>
          <w:color w:val="auto"/>
          <w:kern w:val="0"/>
          <w:sz w:val="24"/>
          <w:highlight w:val="none"/>
          <w:lang w:eastAsia="zh-CN"/>
        </w:rPr>
        <w:t>竞争性磋商文件</w:t>
      </w:r>
      <w:r>
        <w:rPr>
          <w:rFonts w:hint="eastAsia" w:ascii="宋体" w:hAnsi="宋体" w:cs="宋体"/>
          <w:color w:val="auto"/>
          <w:kern w:val="0"/>
          <w:sz w:val="24"/>
          <w:highlight w:val="none"/>
        </w:rPr>
        <w:t>中规定的评审标准，对符合性审查合格的响应文件进行综合评分。磋商文件中没有规定的评审标准不得作为评审依据。</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w:t>
      </w:r>
      <w:r>
        <w:rPr>
          <w:rFonts w:hint="eastAsia" w:ascii="宋体" w:hAnsi="宋体" w:cs="宋体"/>
          <w:color w:val="auto"/>
          <w:kern w:val="0"/>
          <w:sz w:val="24"/>
          <w:highlight w:val="none"/>
          <w:lang w:eastAsia="zh-CN"/>
        </w:rPr>
        <w:t>竞争性磋商文件</w:t>
      </w:r>
      <w:r>
        <w:rPr>
          <w:rFonts w:hint="eastAsia" w:ascii="宋体" w:hAnsi="宋体" w:cs="宋体"/>
          <w:color w:val="auto"/>
          <w:kern w:val="0"/>
          <w:sz w:val="24"/>
          <w:highlight w:val="none"/>
        </w:rPr>
        <w:t>中规定的预算金额或者最高限价的，响应文件无效。</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w:t>
      </w:r>
      <w:r>
        <w:rPr>
          <w:rFonts w:hint="eastAsia" w:ascii="宋体" w:hAnsi="宋体" w:cs="宋体"/>
          <w:color w:val="auto"/>
          <w:kern w:val="0"/>
          <w:sz w:val="24"/>
          <w:highlight w:val="none"/>
          <w:lang w:eastAsia="zh-CN"/>
        </w:rPr>
        <w:t>竞争性磋商文件</w:t>
      </w:r>
      <w:r>
        <w:rPr>
          <w:rFonts w:hint="eastAsia" w:ascii="宋体" w:hAnsi="宋体" w:cs="宋体"/>
          <w:color w:val="auto"/>
          <w:kern w:val="0"/>
          <w:sz w:val="24"/>
          <w:highlight w:val="none"/>
        </w:rPr>
        <w:t>全部实质性要求，且按照评审因素的量化指标评审得分由高到低顺序推荐3名以上成交候选供应商</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w:t>
      </w:r>
      <w:r>
        <w:rPr>
          <w:rFonts w:hint="eastAsia" w:ascii="宋体" w:hAnsi="宋体" w:cs="宋体"/>
          <w:color w:val="auto"/>
          <w:kern w:val="0"/>
          <w:sz w:val="24"/>
          <w:highlight w:val="none"/>
          <w:lang w:eastAsia="zh-CN"/>
        </w:rPr>
        <w:t>竞争性磋商文件</w:t>
      </w:r>
      <w:r>
        <w:rPr>
          <w:rFonts w:hint="eastAsia" w:ascii="宋体" w:hAnsi="宋体" w:cs="宋体"/>
          <w:color w:val="auto"/>
          <w:kern w:val="0"/>
          <w:sz w:val="24"/>
          <w:highlight w:val="none"/>
        </w:rPr>
        <w:t>中规定的资格要求的（供应商未提供有效的资格文件的，视为供应商不具备</w:t>
      </w:r>
      <w:r>
        <w:rPr>
          <w:rFonts w:hint="eastAsia" w:ascii="宋体" w:hAnsi="宋体" w:cs="宋体"/>
          <w:color w:val="auto"/>
          <w:kern w:val="0"/>
          <w:sz w:val="24"/>
          <w:highlight w:val="none"/>
          <w:lang w:eastAsia="zh-CN"/>
        </w:rPr>
        <w:t>竞争性磋商文件</w:t>
      </w:r>
      <w:r>
        <w:rPr>
          <w:rFonts w:hint="eastAsia" w:ascii="宋体" w:hAnsi="宋体" w:cs="宋体"/>
          <w:color w:val="auto"/>
          <w:kern w:val="0"/>
          <w:sz w:val="24"/>
          <w:highlight w:val="none"/>
        </w:rPr>
        <w:t>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w:t>
      </w:r>
      <w:r>
        <w:rPr>
          <w:rFonts w:hint="eastAsia" w:ascii="宋体" w:hAnsi="宋体" w:cs="宋体"/>
          <w:color w:val="auto"/>
          <w:kern w:val="0"/>
          <w:sz w:val="24"/>
          <w:highlight w:val="none"/>
          <w:lang w:eastAsia="zh-CN"/>
        </w:rPr>
        <w:t>竞争性磋商文件</w:t>
      </w:r>
      <w:r>
        <w:rPr>
          <w:rFonts w:hint="eastAsia" w:ascii="宋体" w:hAnsi="宋体" w:cs="宋体"/>
          <w:color w:val="auto"/>
          <w:kern w:val="0"/>
          <w:sz w:val="24"/>
          <w:highlight w:val="none"/>
        </w:rPr>
        <w:t>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w:t>
      </w:r>
      <w:r>
        <w:rPr>
          <w:rFonts w:hint="eastAsia" w:ascii="宋体" w:hAnsi="宋体" w:cs="宋体"/>
          <w:color w:val="auto"/>
          <w:kern w:val="0"/>
          <w:sz w:val="24"/>
          <w:highlight w:val="none"/>
          <w:lang w:eastAsia="zh-CN"/>
        </w:rPr>
        <w:t>竞争性磋商文件</w:t>
      </w:r>
      <w:r>
        <w:rPr>
          <w:rFonts w:hint="eastAsia" w:ascii="宋体" w:hAnsi="宋体" w:cs="宋体"/>
          <w:color w:val="auto"/>
          <w:kern w:val="0"/>
          <w:sz w:val="24"/>
          <w:highlight w:val="none"/>
        </w:rPr>
        <w:t>要求提供国家确定的认证机构出具的、处于有效期之内的节能产品认证证书的；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w:t>
      </w:r>
      <w:r>
        <w:rPr>
          <w:rFonts w:hint="eastAsia" w:ascii="宋体" w:hAnsi="宋体" w:cs="宋体"/>
          <w:color w:val="auto"/>
          <w:kern w:val="0"/>
          <w:sz w:val="24"/>
          <w:highlight w:val="none"/>
          <w:lang w:eastAsia="zh-CN"/>
        </w:rPr>
        <w:t>竞争性磋商文件</w:t>
      </w:r>
      <w:r>
        <w:rPr>
          <w:rFonts w:hint="eastAsia" w:ascii="宋体" w:hAnsi="宋体" w:cs="宋体"/>
          <w:color w:val="auto"/>
          <w:kern w:val="0"/>
          <w:sz w:val="24"/>
          <w:highlight w:val="none"/>
        </w:rPr>
        <w:t>中载明的响应文件有效期的；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w:t>
      </w:r>
      <w:r>
        <w:rPr>
          <w:rFonts w:hint="eastAsia" w:ascii="宋体" w:hAnsi="宋体" w:cs="宋体"/>
          <w:color w:val="auto"/>
          <w:kern w:val="0"/>
          <w:sz w:val="24"/>
          <w:highlight w:val="none"/>
          <w:lang w:eastAsia="zh-CN"/>
        </w:rPr>
        <w:t>竞争性磋商文件</w:t>
      </w:r>
      <w:r>
        <w:rPr>
          <w:rFonts w:hint="eastAsia" w:ascii="宋体" w:hAnsi="宋体" w:cs="宋体"/>
          <w:color w:val="auto"/>
          <w:kern w:val="0"/>
          <w:sz w:val="24"/>
          <w:highlight w:val="none"/>
        </w:rPr>
        <w:t>中规定的预算金额或者最高限价的;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4.2.</w:t>
      </w:r>
      <w:r>
        <w:rPr>
          <w:rFonts w:hint="eastAsia" w:ascii="宋体" w:hAnsi="宋体" w:cs="宋体"/>
          <w:b/>
          <w:bCs/>
          <w:color w:val="auto"/>
          <w:kern w:val="0"/>
          <w:sz w:val="24"/>
          <w:highlight w:val="none"/>
          <w:lang w:val="en-US" w:eastAsia="zh-CN"/>
        </w:rPr>
        <w:t>9</w:t>
      </w:r>
      <w:r>
        <w:rPr>
          <w:rFonts w:hint="eastAsia" w:ascii="宋体" w:hAnsi="宋体" w:cs="宋体"/>
          <w:b/>
          <w:bCs/>
          <w:color w:val="auto"/>
          <w:kern w:val="0"/>
          <w:sz w:val="24"/>
          <w:highlight w:val="none"/>
        </w:rPr>
        <w:t>《中小企业声明函》填写企业类型错误或者未填写企业类型的，投标无效；</w:t>
      </w:r>
    </w:p>
    <w:p>
      <w:pPr>
        <w:spacing w:line="360" w:lineRule="auto"/>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4.2.1</w:t>
      </w:r>
      <w:r>
        <w:rPr>
          <w:rFonts w:hint="eastAsia" w:ascii="宋体" w:hAnsi="宋体" w:cs="宋体"/>
          <w:b/>
          <w:bCs/>
          <w:color w:val="auto"/>
          <w:kern w:val="0"/>
          <w:sz w:val="24"/>
          <w:highlight w:val="none"/>
          <w:lang w:val="en-US" w:eastAsia="zh-CN"/>
        </w:rPr>
        <w:t>0</w:t>
      </w:r>
      <w:r>
        <w:rPr>
          <w:rFonts w:hint="eastAsia" w:ascii="宋体" w:hAnsi="宋体" w:cs="宋体"/>
          <w:b/>
          <w:bCs/>
          <w:color w:val="auto"/>
          <w:kern w:val="0"/>
          <w:sz w:val="24"/>
          <w:highlight w:val="none"/>
        </w:rPr>
        <w:t xml:space="preserve">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供应商对根据修正原则修正后的报价不确认的；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供应商提供虚假材料响应的；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供应商有恶意串通、妨碍其他供应商的竞争行为、损害采购人或者其他供应商的合法权益情形的；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供应商仅提交备份响应文件，未在电子交易平台传输递交响应文件的，响应文件无效；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 xml:space="preserve"> 响应文件不满足</w:t>
      </w:r>
      <w:r>
        <w:rPr>
          <w:rFonts w:hint="eastAsia" w:ascii="宋体" w:hAnsi="宋体" w:cs="宋体"/>
          <w:color w:val="auto"/>
          <w:kern w:val="0"/>
          <w:sz w:val="24"/>
          <w:highlight w:val="none"/>
          <w:lang w:eastAsia="zh-CN"/>
        </w:rPr>
        <w:t>竞争性磋商文件</w:t>
      </w:r>
      <w:r>
        <w:rPr>
          <w:rFonts w:hint="eastAsia" w:ascii="宋体" w:hAnsi="宋体" w:cs="宋体"/>
          <w:color w:val="auto"/>
          <w:kern w:val="0"/>
          <w:sz w:val="24"/>
          <w:highlight w:val="none"/>
        </w:rPr>
        <w:t>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pPr>
        <w:pStyle w:val="26"/>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pPr>
        <w:pStyle w:val="26"/>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6"/>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pPr>
        <w:pStyle w:val="26"/>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pPr>
        <w:pStyle w:val="26"/>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pPr>
        <w:pStyle w:val="26"/>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pPr>
        <w:pStyle w:val="26"/>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pPr>
        <w:pStyle w:val="26"/>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pPr>
        <w:pStyle w:val="26"/>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pPr>
        <w:pStyle w:val="26"/>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pPr>
        <w:pStyle w:val="26"/>
        <w:snapToGrid w:val="0"/>
        <w:spacing w:line="360" w:lineRule="auto"/>
        <w:ind w:firstLine="0" w:firstLineChars="0"/>
        <w:rPr>
          <w:rFonts w:cs="宋体"/>
          <w:color w:val="auto"/>
          <w:highlight w:val="none"/>
        </w:rPr>
        <w:sectPr>
          <w:pgSz w:w="11907" w:h="16840"/>
          <w:pgMar w:top="1440" w:right="1080" w:bottom="1440" w:left="1080" w:header="851" w:footer="851" w:gutter="0"/>
          <w:cols w:space="720" w:num="1"/>
        </w:sectPr>
      </w:pPr>
    </w:p>
    <w:bookmarkEnd w:id="30"/>
    <w:p>
      <w:pPr>
        <w:spacing w:line="360" w:lineRule="auto"/>
        <w:jc w:val="center"/>
        <w:outlineLvl w:val="0"/>
        <w:rPr>
          <w:rFonts w:ascii="宋体" w:hAnsi="宋体" w:cs="宋体"/>
          <w:b/>
          <w:color w:val="auto"/>
          <w:sz w:val="36"/>
          <w:szCs w:val="36"/>
          <w:highlight w:val="none"/>
        </w:rPr>
      </w:pPr>
      <w:bookmarkStart w:id="397" w:name="_Toc86217003"/>
      <w:bookmarkStart w:id="398" w:name="第五部分"/>
      <w:r>
        <w:rPr>
          <w:rFonts w:hint="eastAsia" w:ascii="宋体" w:hAnsi="宋体" w:cs="宋体"/>
          <w:b/>
          <w:color w:val="auto"/>
          <w:sz w:val="36"/>
          <w:szCs w:val="36"/>
          <w:highlight w:val="none"/>
        </w:rPr>
        <w:t>第五部分 拟签订的合同文本</w:t>
      </w:r>
    </w:p>
    <w:p>
      <w:pPr>
        <w:snapToGrid w:val="0"/>
        <w:spacing w:line="360" w:lineRule="auto"/>
        <w:ind w:firstLine="480" w:firstLineChars="200"/>
        <w:jc w:val="left"/>
        <w:rPr>
          <w:rFonts w:ascii="宋体" w:hAnsi="宋体"/>
          <w:snapToGrid w:val="0"/>
          <w:color w:val="auto"/>
          <w:kern w:val="0"/>
          <w:sz w:val="24"/>
          <w:szCs w:val="20"/>
          <w:highlight w:val="none"/>
        </w:rPr>
      </w:pPr>
      <w:r>
        <w:rPr>
          <w:rFonts w:hint="eastAsia" w:ascii="宋体" w:hAnsi="宋体"/>
          <w:snapToGrid w:val="0"/>
          <w:color w:val="auto"/>
          <w:kern w:val="0"/>
          <w:sz w:val="24"/>
          <w:szCs w:val="20"/>
          <w:highlight w:val="none"/>
        </w:rPr>
        <w:t>参考住房城乡建设部、原国家工商行政管理总局制定的《建设工程施工合同（示范文本）》（GF-2017-0201）。</w:t>
      </w:r>
    </w:p>
    <w:p>
      <w:pPr>
        <w:keepNext/>
        <w:keepLines/>
        <w:numPr>
          <w:ilvl w:val="1"/>
          <w:numId w:val="0"/>
        </w:numPr>
        <w:snapToGrid w:val="0"/>
        <w:spacing w:before="100" w:line="360" w:lineRule="auto"/>
        <w:jc w:val="center"/>
        <w:rPr>
          <w:rFonts w:ascii="宋体" w:hAnsi="宋体" w:cs="宋体"/>
          <w:snapToGrid w:val="0"/>
          <w:color w:val="auto"/>
          <w:kern w:val="44"/>
          <w:sz w:val="28"/>
          <w:szCs w:val="20"/>
          <w:highlight w:val="none"/>
        </w:rPr>
      </w:pPr>
      <w:r>
        <w:rPr>
          <w:rFonts w:hint="eastAsia" w:ascii="宋体" w:hAnsi="宋体" w:cs="宋体"/>
          <w:snapToGrid w:val="0"/>
          <w:color w:val="auto"/>
          <w:kern w:val="44"/>
          <w:sz w:val="24"/>
          <w:szCs w:val="20"/>
          <w:highlight w:val="none"/>
        </w:rPr>
        <w:br w:type="page"/>
      </w:r>
      <w:bookmarkStart w:id="399" w:name="_Toc97299497"/>
      <w:bookmarkStart w:id="400" w:name="_Toc32130"/>
      <w:r>
        <w:rPr>
          <w:rFonts w:hint="eastAsia" w:ascii="宋体" w:hAnsi="宋体" w:cs="宋体"/>
          <w:snapToGrid w:val="0"/>
          <w:color w:val="auto"/>
          <w:kern w:val="44"/>
          <w:sz w:val="28"/>
          <w:szCs w:val="20"/>
          <w:highlight w:val="none"/>
        </w:rPr>
        <w:t>第一部分  合同协议书</w:t>
      </w:r>
      <w:bookmarkEnd w:id="399"/>
      <w:bookmarkEnd w:id="400"/>
    </w:p>
    <w:p>
      <w:pP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发包人（全称）：</w:t>
      </w:r>
      <w:r>
        <w:rPr>
          <w:rFonts w:hint="eastAsia" w:ascii="宋体" w:hAnsi="宋体" w:cs="宋体"/>
          <w:snapToGrid w:val="0"/>
          <w:color w:val="auto"/>
          <w:kern w:val="0"/>
          <w:sz w:val="24"/>
          <w:highlight w:val="none"/>
          <w:u w:val="single"/>
        </w:rPr>
        <w:t xml:space="preserve">    </w:t>
      </w:r>
      <w:bookmarkStart w:id="401" w:name="SOA_hhxys_fbr"/>
      <w:bookmarkEnd w:id="401"/>
      <w:r>
        <w:rPr>
          <w:rFonts w:hint="eastAsia" w:ascii="宋体" w:hAnsi="宋体" w:cs="宋体"/>
          <w:snapToGrid w:val="0"/>
          <w:color w:val="auto"/>
          <w:kern w:val="0"/>
          <w:sz w:val="24"/>
          <w:highlight w:val="none"/>
          <w:u w:val="single"/>
        </w:rPr>
        <w:t xml:space="preserve"> </w:t>
      </w:r>
    </w:p>
    <w:p>
      <w:pPr>
        <w:snapToGrid w:val="0"/>
        <w:spacing w:line="360" w:lineRule="auto"/>
        <w:ind w:firstLine="470" w:firstLineChars="196"/>
        <w:rPr>
          <w:rFonts w:ascii="宋体" w:hAnsi="宋体" w:cs="宋体"/>
          <w:b/>
          <w:snapToGrid w:val="0"/>
          <w:color w:val="auto"/>
          <w:kern w:val="0"/>
          <w:sz w:val="24"/>
          <w:highlight w:val="none"/>
          <w:u w:val="single"/>
        </w:rPr>
      </w:pPr>
      <w:r>
        <w:rPr>
          <w:rFonts w:hint="eastAsia" w:ascii="宋体" w:hAnsi="宋体" w:cs="宋体"/>
          <w:snapToGrid w:val="0"/>
          <w:color w:val="auto"/>
          <w:kern w:val="0"/>
          <w:sz w:val="24"/>
          <w:highlight w:val="none"/>
        </w:rPr>
        <w:t>承包人（全称）：</w:t>
      </w:r>
      <w:r>
        <w:rPr>
          <w:rFonts w:hint="eastAsia" w:ascii="宋体" w:hAnsi="宋体" w:cs="宋体"/>
          <w:snapToGrid w:val="0"/>
          <w:color w:val="auto"/>
          <w:kern w:val="0"/>
          <w:sz w:val="24"/>
          <w:highlight w:val="none"/>
          <w:u w:val="single"/>
        </w:rPr>
        <w:t xml:space="preserve">                  </w:t>
      </w:r>
      <w:bookmarkStart w:id="402" w:name="SOA_hhxys_cbr"/>
      <w:bookmarkEnd w:id="402"/>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根据《中华人民共和国民法典》、 《中华人民共和国建筑法》及有关法律规定，遵循平等、自愿、公平和诚实信用的原则，双方就工程施工及有关事项协商一致，共同达成如下协议：</w:t>
      </w:r>
    </w:p>
    <w:p>
      <w:pPr>
        <w:snapToGrid w:val="0"/>
        <w:spacing w:beforeLines="10" w:afterLines="10" w:line="360" w:lineRule="auto"/>
        <w:outlineLvl w:val="1"/>
        <w:rPr>
          <w:rFonts w:ascii="宋体" w:hAnsi="宋体" w:cs="宋体"/>
          <w:b/>
          <w:bCs/>
          <w:snapToGrid w:val="0"/>
          <w:color w:val="auto"/>
          <w:kern w:val="0"/>
          <w:sz w:val="24"/>
          <w:highlight w:val="none"/>
        </w:rPr>
      </w:pPr>
      <w:bookmarkStart w:id="403" w:name="_Toc97299498"/>
      <w:bookmarkStart w:id="404" w:name="_Toc361220410"/>
      <w:r>
        <w:rPr>
          <w:rFonts w:hint="eastAsia" w:ascii="宋体" w:hAnsi="宋体" w:cs="宋体"/>
          <w:b/>
          <w:bCs/>
          <w:snapToGrid w:val="0"/>
          <w:color w:val="auto"/>
          <w:kern w:val="0"/>
          <w:sz w:val="24"/>
          <w:highlight w:val="none"/>
        </w:rPr>
        <w:t>一、工程概况</w:t>
      </w:r>
      <w:bookmarkEnd w:id="403"/>
      <w:bookmarkEnd w:id="404"/>
    </w:p>
    <w:p>
      <w:pP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bCs/>
          <w:snapToGrid w:val="0"/>
          <w:color w:val="auto"/>
          <w:kern w:val="0"/>
          <w:sz w:val="24"/>
          <w:highlight w:val="none"/>
        </w:rPr>
        <w:t>1.工程名称</w:t>
      </w:r>
      <w:r>
        <w:rPr>
          <w:rFonts w:hint="eastAsia" w:ascii="宋体" w:hAnsi="宋体" w:cs="宋体"/>
          <w:snapToGrid w:val="0"/>
          <w:color w:val="auto"/>
          <w:kern w:val="0"/>
          <w:sz w:val="24"/>
          <w:highlight w:val="none"/>
        </w:rPr>
        <w:t>：。</w:t>
      </w:r>
    </w:p>
    <w:p>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2.工程地点：</w:t>
      </w:r>
      <w:r>
        <w:rPr>
          <w:rFonts w:hint="eastAsia" w:ascii="宋体" w:hAnsi="宋体" w:cs="宋体"/>
          <w:snapToGrid w:val="0"/>
          <w:color w:val="auto"/>
          <w:kern w:val="0"/>
          <w:sz w:val="24"/>
          <w:highlight w:val="none"/>
        </w:rPr>
        <w:t>。</w:t>
      </w:r>
    </w:p>
    <w:p>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3.工程立项批准文号：。</w:t>
      </w:r>
    </w:p>
    <w:p>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4.资金来源：</w:t>
      </w:r>
      <w:r>
        <w:rPr>
          <w:rFonts w:hint="eastAsia" w:ascii="宋体" w:hAnsi="宋体" w:cs="宋体"/>
          <w:snapToGrid w:val="0"/>
          <w:color w:val="auto"/>
          <w:kern w:val="0"/>
          <w:sz w:val="24"/>
          <w:highlight w:val="none"/>
          <w:u w:val="single"/>
        </w:rPr>
        <w:t>        </w:t>
      </w:r>
      <w:r>
        <w:rPr>
          <w:rFonts w:hint="eastAsia" w:ascii="宋体" w:hAnsi="宋体" w:cs="宋体"/>
          <w:bCs/>
          <w:snapToGrid w:val="0"/>
          <w:color w:val="auto"/>
          <w:kern w:val="0"/>
          <w:sz w:val="24"/>
          <w:highlight w:val="none"/>
        </w:rPr>
        <w:t>。</w:t>
      </w:r>
    </w:p>
    <w:p>
      <w:pPr>
        <w:snapToGrid w:val="0"/>
        <w:spacing w:line="360" w:lineRule="auto"/>
        <w:ind w:firstLine="463" w:firstLineChars="193"/>
        <w:rPr>
          <w:rFonts w:ascii="宋体" w:hAnsi="宋体" w:cs="宋体"/>
          <w:snapToGrid w:val="0"/>
          <w:color w:val="auto"/>
          <w:kern w:val="0"/>
          <w:sz w:val="24"/>
          <w:highlight w:val="none"/>
        </w:rPr>
      </w:pPr>
      <w:r>
        <w:rPr>
          <w:rFonts w:hint="eastAsia" w:ascii="宋体" w:hAnsi="宋体" w:cs="宋体"/>
          <w:bCs/>
          <w:snapToGrid w:val="0"/>
          <w:color w:val="auto"/>
          <w:kern w:val="0"/>
          <w:sz w:val="24"/>
          <w:highlight w:val="none"/>
        </w:rPr>
        <w:t xml:space="preserve">5.工程内容：                           </w:t>
      </w:r>
    </w:p>
    <w:p>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6.工程承包范围：</w:t>
      </w:r>
    </w:p>
    <w:p>
      <w:pPr>
        <w:snapToGrid w:val="0"/>
        <w:spacing w:line="360" w:lineRule="auto"/>
        <w:ind w:firstLine="463" w:firstLineChars="193"/>
        <w:rPr>
          <w:rFonts w:ascii="宋体" w:hAnsi="宋体" w:cs="宋体"/>
          <w:bCs/>
          <w:snapToGrid w:val="0"/>
          <w:color w:val="auto"/>
          <w:kern w:val="0"/>
          <w:sz w:val="24"/>
          <w:highlight w:val="none"/>
        </w:rPr>
      </w:pPr>
      <w:bookmarkStart w:id="405" w:name="_Toc361220411"/>
      <w:r>
        <w:rPr>
          <w:rFonts w:hint="eastAsia" w:ascii="宋体" w:hAnsi="宋体" w:cs="宋体"/>
          <w:bCs/>
          <w:snapToGrid w:val="0"/>
          <w:color w:val="auto"/>
          <w:kern w:val="0"/>
          <w:sz w:val="24"/>
          <w:highlight w:val="none"/>
        </w:rPr>
        <w:t>本项目为（项目名称）项目，详见图纸、工程量清单以及</w:t>
      </w:r>
      <w:r>
        <w:rPr>
          <w:rFonts w:hint="eastAsia" w:ascii="宋体" w:hAnsi="宋体" w:cs="宋体"/>
          <w:bCs/>
          <w:snapToGrid w:val="0"/>
          <w:color w:val="auto"/>
          <w:kern w:val="0"/>
          <w:sz w:val="24"/>
          <w:highlight w:val="none"/>
          <w:lang w:eastAsia="zh-CN"/>
        </w:rPr>
        <w:t>竞争性磋商文件</w:t>
      </w:r>
      <w:r>
        <w:rPr>
          <w:rFonts w:hint="eastAsia" w:ascii="宋体" w:hAnsi="宋体" w:cs="宋体"/>
          <w:bCs/>
          <w:snapToGrid w:val="0"/>
          <w:color w:val="auto"/>
          <w:kern w:val="0"/>
          <w:sz w:val="24"/>
          <w:highlight w:val="none"/>
        </w:rPr>
        <w:t>要求</w:t>
      </w:r>
    </w:p>
    <w:p>
      <w:pPr>
        <w:snapToGrid w:val="0"/>
        <w:spacing w:line="360" w:lineRule="auto"/>
        <w:outlineLvl w:val="1"/>
        <w:rPr>
          <w:rFonts w:ascii="宋体" w:hAnsi="宋体" w:cs="宋体"/>
          <w:b/>
          <w:bCs/>
          <w:snapToGrid w:val="0"/>
          <w:color w:val="auto"/>
          <w:kern w:val="0"/>
          <w:sz w:val="24"/>
          <w:highlight w:val="none"/>
        </w:rPr>
      </w:pPr>
      <w:bookmarkStart w:id="406" w:name="_Toc97299499"/>
      <w:r>
        <w:rPr>
          <w:rFonts w:hint="eastAsia" w:ascii="宋体" w:hAnsi="宋体" w:cs="宋体"/>
          <w:b/>
          <w:bCs/>
          <w:snapToGrid w:val="0"/>
          <w:color w:val="auto"/>
          <w:kern w:val="0"/>
          <w:sz w:val="24"/>
          <w:highlight w:val="none"/>
        </w:rPr>
        <w:t>二、合同工期</w:t>
      </w:r>
      <w:bookmarkEnd w:id="405"/>
      <w:bookmarkEnd w:id="406"/>
    </w:p>
    <w:p>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计划开工日期：</w:t>
      </w:r>
      <w:r>
        <w:rPr>
          <w:rFonts w:hint="eastAsia" w:ascii="宋体" w:hAnsi="宋体" w:cs="宋体"/>
          <w:snapToGrid w:val="0"/>
          <w:color w:val="auto"/>
          <w:kern w:val="0"/>
          <w:sz w:val="24"/>
          <w:highlight w:val="none"/>
          <w:u w:val="single"/>
        </w:rPr>
        <w:t xml:space="preserve">20  </w:t>
      </w:r>
      <w:r>
        <w:rPr>
          <w:rFonts w:hint="eastAsia" w:ascii="宋体" w:hAnsi="宋体" w:cs="宋体"/>
          <w:snapToGrid w:val="0"/>
          <w:color w:val="auto"/>
          <w:kern w:val="0"/>
          <w:sz w:val="24"/>
          <w:highlight w:val="none"/>
        </w:rPr>
        <w:t>年月日；</w:t>
      </w:r>
    </w:p>
    <w:p>
      <w:pPr>
        <w:snapToGrid w:val="0"/>
        <w:spacing w:line="360" w:lineRule="auto"/>
        <w:ind w:firstLine="459"/>
        <w:rPr>
          <w:rFonts w:ascii="宋体" w:hAnsi="宋体" w:cs="宋体"/>
          <w:snapToGrid w:val="0"/>
          <w:color w:val="auto"/>
          <w:kern w:val="0"/>
          <w:sz w:val="24"/>
          <w:highlight w:val="none"/>
        </w:rPr>
      </w:pPr>
      <w:bookmarkStart w:id="407" w:name="SOA_hhxys_jgn"/>
      <w:r>
        <w:rPr>
          <w:rFonts w:hint="eastAsia" w:ascii="宋体" w:hAnsi="宋体" w:cs="宋体"/>
          <w:snapToGrid w:val="0"/>
          <w:color w:val="auto"/>
          <w:kern w:val="0"/>
          <w:sz w:val="24"/>
          <w:highlight w:val="none"/>
        </w:rPr>
        <w:t>计划竣工日期：</w:t>
      </w:r>
      <w:r>
        <w:rPr>
          <w:rFonts w:hint="eastAsia" w:ascii="宋体" w:hAnsi="宋体" w:cs="宋体"/>
          <w:snapToGrid w:val="0"/>
          <w:color w:val="auto"/>
          <w:kern w:val="0"/>
          <w:sz w:val="24"/>
          <w:highlight w:val="none"/>
          <w:u w:val="single"/>
        </w:rPr>
        <w:t xml:space="preserve">20  </w:t>
      </w:r>
      <w:r>
        <w:rPr>
          <w:rFonts w:hint="eastAsia" w:ascii="宋体" w:hAnsi="宋体" w:cs="宋体"/>
          <w:snapToGrid w:val="0"/>
          <w:color w:val="auto"/>
          <w:kern w:val="0"/>
          <w:sz w:val="24"/>
          <w:highlight w:val="none"/>
        </w:rPr>
        <w:t>年月日；</w:t>
      </w:r>
      <w:bookmarkEnd w:id="407"/>
    </w:p>
    <w:p>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工期总日历天数：天。工期总日历天数与根据前述计划开竣工日期计算的工期天数不一致的，以工期总日历天数为准。</w:t>
      </w:r>
    </w:p>
    <w:p>
      <w:pPr>
        <w:snapToGrid w:val="0"/>
        <w:spacing w:line="360" w:lineRule="auto"/>
        <w:outlineLvl w:val="1"/>
        <w:rPr>
          <w:rFonts w:ascii="宋体" w:hAnsi="宋体" w:cs="宋体"/>
          <w:b/>
          <w:bCs/>
          <w:snapToGrid w:val="0"/>
          <w:color w:val="auto"/>
          <w:kern w:val="0"/>
          <w:sz w:val="24"/>
          <w:highlight w:val="none"/>
        </w:rPr>
      </w:pPr>
      <w:bookmarkStart w:id="408" w:name="_Toc97299500"/>
      <w:bookmarkStart w:id="409" w:name="_Toc361220412"/>
      <w:r>
        <w:rPr>
          <w:rFonts w:hint="eastAsia" w:ascii="宋体" w:hAnsi="宋体" w:cs="宋体"/>
          <w:b/>
          <w:bCs/>
          <w:snapToGrid w:val="0"/>
          <w:color w:val="auto"/>
          <w:kern w:val="0"/>
          <w:sz w:val="24"/>
          <w:highlight w:val="none"/>
        </w:rPr>
        <w:t>三、质量标准</w:t>
      </w:r>
      <w:bookmarkEnd w:id="408"/>
      <w:bookmarkEnd w:id="409"/>
    </w:p>
    <w:p>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工程质量符合</w:t>
      </w:r>
      <w:r>
        <w:rPr>
          <w:rFonts w:hint="eastAsia" w:ascii="宋体" w:hAnsi="宋体" w:cs="宋体"/>
          <w:snapToGrid w:val="0"/>
          <w:color w:val="auto"/>
          <w:kern w:val="0"/>
          <w:sz w:val="24"/>
          <w:highlight w:val="none"/>
          <w:u w:val="single"/>
        </w:rPr>
        <w:t></w:t>
      </w:r>
      <w:bookmarkStart w:id="410" w:name="SOA_hhxys_zlbz"/>
      <w:bookmarkEnd w:id="410"/>
      <w:r>
        <w:rPr>
          <w:rFonts w:hint="eastAsia" w:ascii="宋体" w:hAnsi="宋体" w:cs="宋体"/>
          <w:snapToGrid w:val="0"/>
          <w:color w:val="auto"/>
          <w:kern w:val="0"/>
          <w:sz w:val="24"/>
          <w:highlight w:val="none"/>
          <w:u w:val="single"/>
        </w:rPr>
        <w:t></w:t>
      </w:r>
      <w:r>
        <w:rPr>
          <w:rFonts w:hint="eastAsia" w:ascii="宋体" w:hAnsi="宋体" w:cs="宋体"/>
          <w:snapToGrid w:val="0"/>
          <w:color w:val="auto"/>
          <w:kern w:val="0"/>
          <w:sz w:val="24"/>
          <w:highlight w:val="none"/>
        </w:rPr>
        <w:t>标准。</w:t>
      </w:r>
    </w:p>
    <w:p>
      <w:pPr>
        <w:snapToGrid w:val="0"/>
        <w:spacing w:line="360" w:lineRule="auto"/>
        <w:outlineLvl w:val="1"/>
        <w:rPr>
          <w:rFonts w:ascii="宋体" w:hAnsi="宋体" w:cs="宋体"/>
          <w:b/>
          <w:bCs/>
          <w:snapToGrid w:val="0"/>
          <w:color w:val="auto"/>
          <w:kern w:val="0"/>
          <w:sz w:val="24"/>
          <w:highlight w:val="none"/>
        </w:rPr>
      </w:pPr>
      <w:bookmarkStart w:id="411" w:name="_Toc361220413"/>
      <w:bookmarkStart w:id="412" w:name="_Toc97299501"/>
      <w:r>
        <w:rPr>
          <w:rFonts w:hint="eastAsia" w:ascii="宋体" w:hAnsi="宋体" w:cs="宋体"/>
          <w:b/>
          <w:bCs/>
          <w:snapToGrid w:val="0"/>
          <w:color w:val="auto"/>
          <w:kern w:val="0"/>
          <w:sz w:val="24"/>
          <w:highlight w:val="none"/>
        </w:rPr>
        <w:t>四、签约合同价与合同价格形式</w:t>
      </w:r>
      <w:bookmarkEnd w:id="411"/>
      <w:bookmarkEnd w:id="412"/>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1.签约合同价为：</w:t>
      </w:r>
    </w:p>
    <w:p>
      <w:pPr>
        <w:snapToGrid w:val="0"/>
        <w:spacing w:line="360" w:lineRule="auto"/>
        <w:ind w:firstLine="600" w:firstLineChars="2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人民币（大写）</w:t>
      </w:r>
      <w:bookmarkStart w:id="413" w:name="SOA_hhxys_htjdx"/>
      <w:bookmarkEnd w:id="413"/>
      <w:r>
        <w:rPr>
          <w:rFonts w:hint="eastAsia" w:ascii="宋体" w:hAnsi="宋体" w:cs="宋体"/>
          <w:snapToGrid w:val="0"/>
          <w:color w:val="auto"/>
          <w:kern w:val="0"/>
          <w:sz w:val="24"/>
          <w:highlight w:val="none"/>
        </w:rPr>
        <w:t>(¥</w:t>
      </w:r>
      <w:bookmarkStart w:id="414" w:name="SOA_hhxys_htjxx"/>
      <w:bookmarkEnd w:id="414"/>
      <w:r>
        <w:rPr>
          <w:rFonts w:hint="eastAsia" w:ascii="宋体" w:hAnsi="宋体" w:cs="宋体"/>
          <w:snapToGrid w:val="0"/>
          <w:color w:val="auto"/>
          <w:kern w:val="0"/>
          <w:sz w:val="24"/>
          <w:highlight w:val="none"/>
        </w:rPr>
        <w:t>元)；</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其中：</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（1）安全文明施工费：</w:t>
      </w:r>
    </w:p>
    <w:p>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5" w:name="SOA_hhxys_wmsgfdx"/>
      <w:bookmarkEnd w:id="415"/>
      <w:r>
        <w:rPr>
          <w:rFonts w:hint="eastAsia" w:ascii="宋体" w:hAnsi="宋体" w:cs="宋体"/>
          <w:snapToGrid w:val="0"/>
          <w:color w:val="auto"/>
          <w:kern w:val="0"/>
          <w:sz w:val="24"/>
          <w:highlight w:val="none"/>
        </w:rPr>
        <w:t>(¥</w:t>
      </w:r>
      <w:bookmarkStart w:id="416" w:name="SOA_hhxys_wmsgfxx"/>
      <w:bookmarkEnd w:id="416"/>
      <w:r>
        <w:rPr>
          <w:rFonts w:hint="eastAsia" w:ascii="宋体" w:hAnsi="宋体" w:cs="宋体"/>
          <w:snapToGrid w:val="0"/>
          <w:color w:val="auto"/>
          <w:kern w:val="0"/>
          <w:sz w:val="24"/>
          <w:highlight w:val="none"/>
        </w:rPr>
        <w:t>元)；</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（2）材料和工程设备暂估价金额：</w:t>
      </w:r>
    </w:p>
    <w:p>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7" w:name="SOA_hhxys_sbzgjdx"/>
      <w:bookmarkEnd w:id="417"/>
      <w:r>
        <w:rPr>
          <w:rFonts w:hint="eastAsia" w:ascii="宋体" w:hAnsi="宋体" w:cs="宋体"/>
          <w:snapToGrid w:val="0"/>
          <w:color w:val="auto"/>
          <w:kern w:val="0"/>
          <w:sz w:val="24"/>
          <w:highlight w:val="none"/>
        </w:rPr>
        <w:t>(¥</w:t>
      </w:r>
      <w:bookmarkStart w:id="418" w:name="SOA_hhxys_sbzgjxx"/>
      <w:bookmarkEnd w:id="418"/>
      <w:r>
        <w:rPr>
          <w:rFonts w:hint="eastAsia" w:ascii="宋体" w:hAnsi="宋体" w:cs="宋体"/>
          <w:snapToGrid w:val="0"/>
          <w:color w:val="auto"/>
          <w:kern w:val="0"/>
          <w:sz w:val="24"/>
          <w:highlight w:val="none"/>
        </w:rPr>
        <w:t>元)；</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（3）专业工程暂估价金额：</w:t>
      </w:r>
    </w:p>
    <w:p>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9" w:name="SOA_hhxys_gczgjdx"/>
      <w:bookmarkEnd w:id="419"/>
      <w:r>
        <w:rPr>
          <w:rFonts w:hint="eastAsia" w:ascii="宋体" w:hAnsi="宋体" w:cs="宋体"/>
          <w:snapToGrid w:val="0"/>
          <w:color w:val="auto"/>
          <w:kern w:val="0"/>
          <w:sz w:val="24"/>
          <w:highlight w:val="none"/>
        </w:rPr>
        <w:t>(¥</w:t>
      </w:r>
      <w:bookmarkStart w:id="420" w:name="SOA_hhxys_gczgjxx"/>
      <w:bookmarkEnd w:id="420"/>
      <w:r>
        <w:rPr>
          <w:rFonts w:hint="eastAsia" w:ascii="宋体" w:hAnsi="宋体" w:cs="宋体"/>
          <w:snapToGrid w:val="0"/>
          <w:color w:val="auto"/>
          <w:kern w:val="0"/>
          <w:sz w:val="24"/>
          <w:highlight w:val="none"/>
        </w:rPr>
        <w:t>元)；</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（4）暂列金额：</w:t>
      </w:r>
    </w:p>
    <w:p>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21" w:name="SOA_hhxys_zljedx"/>
      <w:bookmarkEnd w:id="421"/>
      <w:r>
        <w:rPr>
          <w:rFonts w:hint="eastAsia" w:ascii="宋体" w:hAnsi="宋体" w:cs="宋体"/>
          <w:snapToGrid w:val="0"/>
          <w:color w:val="auto"/>
          <w:kern w:val="0"/>
          <w:sz w:val="24"/>
          <w:highlight w:val="none"/>
        </w:rPr>
        <w:t>(¥</w:t>
      </w:r>
      <w:bookmarkStart w:id="422" w:name="SOA_hhxys_zljexx"/>
      <w:bookmarkEnd w:id="422"/>
      <w:r>
        <w:rPr>
          <w:rFonts w:hint="eastAsia" w:ascii="宋体" w:hAnsi="宋体" w:cs="宋体"/>
          <w:snapToGrid w:val="0"/>
          <w:color w:val="auto"/>
          <w:kern w:val="0"/>
          <w:sz w:val="24"/>
          <w:highlight w:val="none"/>
        </w:rPr>
        <w:t>元)。</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2.合同价格形式：</w:t>
      </w:r>
      <w:r>
        <w:rPr>
          <w:rFonts w:hint="eastAsia" w:ascii="宋体" w:hAnsi="宋体" w:cs="宋体"/>
          <w:snapToGrid w:val="0"/>
          <w:color w:val="auto"/>
          <w:kern w:val="0"/>
          <w:sz w:val="24"/>
          <w:highlight w:val="none"/>
          <w:u w:val="single"/>
        </w:rPr>
        <w:t></w:t>
      </w:r>
      <w:bookmarkStart w:id="423" w:name="SOA_hhxys_htjgxs"/>
      <w:bookmarkEnd w:id="423"/>
      <w:r>
        <w:rPr>
          <w:rFonts w:hint="eastAsia" w:ascii="宋体" w:hAnsi="宋体" w:cs="宋体"/>
          <w:snapToGrid w:val="0"/>
          <w:color w:val="auto"/>
          <w:kern w:val="0"/>
          <w:sz w:val="24"/>
          <w:highlight w:val="none"/>
          <w:u w:val="single"/>
        </w:rPr>
        <w:t xml:space="preserve">      </w:t>
      </w:r>
      <w:r>
        <w:rPr>
          <w:rFonts w:hint="eastAsia" w:ascii="宋体" w:hAnsi="宋体" w:cs="宋体"/>
          <w:snapToGrid w:val="0"/>
          <w:color w:val="auto"/>
          <w:kern w:val="0"/>
          <w:sz w:val="24"/>
          <w:highlight w:val="none"/>
        </w:rPr>
        <w:t>。</w:t>
      </w:r>
    </w:p>
    <w:p>
      <w:pPr>
        <w:snapToGrid w:val="0"/>
        <w:spacing w:line="360" w:lineRule="auto"/>
        <w:outlineLvl w:val="1"/>
        <w:rPr>
          <w:rFonts w:ascii="宋体" w:hAnsi="宋体" w:cs="宋体"/>
          <w:b/>
          <w:bCs/>
          <w:snapToGrid w:val="0"/>
          <w:color w:val="auto"/>
          <w:kern w:val="0"/>
          <w:sz w:val="24"/>
          <w:highlight w:val="none"/>
        </w:rPr>
      </w:pPr>
      <w:bookmarkStart w:id="424" w:name="_Toc97299502"/>
      <w:bookmarkStart w:id="425" w:name="_Toc361220414"/>
      <w:r>
        <w:rPr>
          <w:rFonts w:hint="eastAsia" w:ascii="宋体" w:hAnsi="宋体" w:cs="宋体"/>
          <w:b/>
          <w:bCs/>
          <w:snapToGrid w:val="0"/>
          <w:color w:val="auto"/>
          <w:kern w:val="0"/>
          <w:sz w:val="24"/>
          <w:highlight w:val="none"/>
        </w:rPr>
        <w:t>五、项目经理</w:t>
      </w:r>
      <w:bookmarkEnd w:id="424"/>
      <w:bookmarkEnd w:id="425"/>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承包人项目经理：</w:t>
      </w:r>
      <w:r>
        <w:rPr>
          <w:rFonts w:hint="eastAsia" w:ascii="宋体" w:hAnsi="宋体" w:cs="宋体"/>
          <w:snapToGrid w:val="0"/>
          <w:color w:val="auto"/>
          <w:kern w:val="0"/>
          <w:sz w:val="24"/>
          <w:highlight w:val="none"/>
          <w:u w:val="single"/>
        </w:rPr>
        <w:t></w:t>
      </w:r>
      <w:bookmarkStart w:id="426" w:name="SOA_hhxys_cbrxmjl"/>
      <w:bookmarkEnd w:id="426"/>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pPr>
        <w:snapToGrid w:val="0"/>
        <w:spacing w:line="360" w:lineRule="auto"/>
        <w:outlineLvl w:val="1"/>
        <w:rPr>
          <w:rFonts w:ascii="宋体" w:hAnsi="宋体" w:cs="宋体"/>
          <w:b/>
          <w:bCs/>
          <w:snapToGrid w:val="0"/>
          <w:color w:val="auto"/>
          <w:kern w:val="0"/>
          <w:sz w:val="24"/>
          <w:highlight w:val="none"/>
        </w:rPr>
      </w:pPr>
      <w:bookmarkStart w:id="427" w:name="_Toc97299503"/>
      <w:bookmarkStart w:id="428" w:name="_Toc361220415"/>
      <w:r>
        <w:rPr>
          <w:rFonts w:hint="eastAsia" w:ascii="宋体" w:hAnsi="宋体" w:cs="宋体"/>
          <w:b/>
          <w:bCs/>
          <w:snapToGrid w:val="0"/>
          <w:color w:val="auto"/>
          <w:kern w:val="0"/>
          <w:sz w:val="24"/>
          <w:highlight w:val="none"/>
        </w:rPr>
        <w:t>六、合同文件构成</w:t>
      </w:r>
      <w:bookmarkEnd w:id="427"/>
      <w:bookmarkEnd w:id="428"/>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本协议书与下列文件一起构成合同文件：</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（1）成交通知书（如果有）；</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（2）响应函及其附录（如果有）； </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（3）专用合同条款及其附件；</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（4）通用合同条款；</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（5）技术标准和要求；</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（6）图纸；</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（7）已标价工程量清单或预算书；</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（8）其他合同文件。</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在合同订立及履行过程中形成的与合同有关的文件均构成合同文件组成部分。</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pPr>
        <w:snapToGrid w:val="0"/>
        <w:spacing w:line="360" w:lineRule="auto"/>
        <w:outlineLvl w:val="1"/>
        <w:rPr>
          <w:rFonts w:ascii="宋体" w:hAnsi="宋体" w:cs="宋体"/>
          <w:b/>
          <w:bCs/>
          <w:snapToGrid w:val="0"/>
          <w:color w:val="auto"/>
          <w:kern w:val="0"/>
          <w:sz w:val="24"/>
          <w:highlight w:val="none"/>
        </w:rPr>
      </w:pPr>
      <w:bookmarkStart w:id="429" w:name="_Toc361220416"/>
      <w:bookmarkStart w:id="430" w:name="_Toc97299504"/>
      <w:r>
        <w:rPr>
          <w:rFonts w:hint="eastAsia" w:ascii="宋体" w:hAnsi="宋体" w:cs="宋体"/>
          <w:b/>
          <w:bCs/>
          <w:snapToGrid w:val="0"/>
          <w:color w:val="auto"/>
          <w:kern w:val="0"/>
          <w:sz w:val="24"/>
          <w:highlight w:val="none"/>
        </w:rPr>
        <w:t>七、承诺</w:t>
      </w:r>
      <w:bookmarkEnd w:id="429"/>
      <w:bookmarkEnd w:id="430"/>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1.发包人承诺按照法律规定履行项目审批手续、筹集工程建设资金并按照合同约定的期限和方式支付合同价款。</w:t>
      </w:r>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2.承包人承诺按照法律规定及合同约定组织完成工程施工，确保工程质量和安全，不进行转包及违法分包，并在缺陷责任期及保修期内承担相应的工程维修责任。</w:t>
      </w:r>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3.发包人和承包人通过</w:t>
      </w:r>
      <w:r>
        <w:rPr>
          <w:rFonts w:hint="eastAsia"/>
          <w:color w:val="auto"/>
          <w:highlight w:val="none"/>
        </w:rPr>
        <w:t>政府采购</w:t>
      </w:r>
      <w:r>
        <w:rPr>
          <w:rFonts w:hint="eastAsia" w:ascii="宋体" w:hAnsi="宋体" w:cs="宋体"/>
          <w:bCs/>
          <w:snapToGrid w:val="0"/>
          <w:color w:val="auto"/>
          <w:kern w:val="0"/>
          <w:sz w:val="24"/>
          <w:highlight w:val="none"/>
        </w:rPr>
        <w:t>形式签订合同的，双方理解并承诺不再就同一工程另行签订与合同实质性内容相背离的协议。</w:t>
      </w:r>
    </w:p>
    <w:p>
      <w:pPr>
        <w:snapToGrid w:val="0"/>
        <w:spacing w:line="360" w:lineRule="auto"/>
        <w:outlineLvl w:val="1"/>
        <w:rPr>
          <w:rFonts w:ascii="宋体" w:hAnsi="宋体" w:cs="宋体"/>
          <w:b/>
          <w:bCs/>
          <w:snapToGrid w:val="0"/>
          <w:color w:val="auto"/>
          <w:kern w:val="0"/>
          <w:sz w:val="24"/>
          <w:highlight w:val="none"/>
        </w:rPr>
      </w:pPr>
      <w:bookmarkStart w:id="431" w:name="_Toc97299505"/>
      <w:bookmarkStart w:id="432" w:name="_Toc361220417"/>
      <w:r>
        <w:rPr>
          <w:rFonts w:hint="eastAsia" w:ascii="宋体" w:hAnsi="宋体" w:cs="宋体"/>
          <w:b/>
          <w:bCs/>
          <w:snapToGrid w:val="0"/>
          <w:color w:val="auto"/>
          <w:kern w:val="0"/>
          <w:sz w:val="24"/>
          <w:highlight w:val="none"/>
        </w:rPr>
        <w:t>八、词语含义</w:t>
      </w:r>
      <w:bookmarkEnd w:id="431"/>
      <w:bookmarkEnd w:id="432"/>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本协议书中词语含义与第二部分通用合同条款中赋予的含义相同。</w:t>
      </w:r>
    </w:p>
    <w:p>
      <w:pPr>
        <w:snapToGrid w:val="0"/>
        <w:spacing w:line="360" w:lineRule="auto"/>
        <w:outlineLvl w:val="1"/>
        <w:rPr>
          <w:rFonts w:ascii="宋体" w:hAnsi="宋体" w:cs="宋体"/>
          <w:b/>
          <w:bCs/>
          <w:snapToGrid w:val="0"/>
          <w:color w:val="auto"/>
          <w:kern w:val="0"/>
          <w:sz w:val="24"/>
          <w:highlight w:val="none"/>
        </w:rPr>
      </w:pPr>
      <w:bookmarkStart w:id="433" w:name="_Toc97299506"/>
      <w:bookmarkStart w:id="434" w:name="_Toc361220418"/>
      <w:r>
        <w:rPr>
          <w:rFonts w:hint="eastAsia" w:ascii="宋体" w:hAnsi="宋体" w:cs="宋体"/>
          <w:b/>
          <w:bCs/>
          <w:snapToGrid w:val="0"/>
          <w:color w:val="auto"/>
          <w:kern w:val="0"/>
          <w:sz w:val="24"/>
          <w:highlight w:val="none"/>
        </w:rPr>
        <w:t>九、签订时间</w:t>
      </w:r>
      <w:bookmarkEnd w:id="433"/>
      <w:bookmarkEnd w:id="434"/>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本合同于</w:t>
      </w:r>
      <w:bookmarkStart w:id="435" w:name="SOA_hhxys_htqdn"/>
      <w:bookmarkEnd w:id="435"/>
      <w:r>
        <w:rPr>
          <w:rFonts w:hint="eastAsia" w:ascii="宋体" w:hAnsi="宋体" w:cs="宋体"/>
          <w:bCs/>
          <w:snapToGrid w:val="0"/>
          <w:color w:val="auto"/>
          <w:kern w:val="0"/>
          <w:sz w:val="24"/>
          <w:highlight w:val="none"/>
        </w:rPr>
        <w:t>年</w:t>
      </w:r>
      <w:bookmarkStart w:id="436" w:name="SOA_hhxys_htqdy"/>
      <w:bookmarkEnd w:id="436"/>
      <w:r>
        <w:rPr>
          <w:rFonts w:hint="eastAsia" w:ascii="宋体" w:hAnsi="宋体" w:cs="宋体"/>
          <w:bCs/>
          <w:snapToGrid w:val="0"/>
          <w:color w:val="auto"/>
          <w:kern w:val="0"/>
          <w:sz w:val="24"/>
          <w:highlight w:val="none"/>
        </w:rPr>
        <w:t>月</w:t>
      </w:r>
      <w:bookmarkStart w:id="437" w:name="SOA_hhxys_htqdr"/>
      <w:bookmarkEnd w:id="437"/>
      <w:r>
        <w:rPr>
          <w:rFonts w:hint="eastAsia" w:ascii="宋体" w:hAnsi="宋体" w:cs="宋体"/>
          <w:bCs/>
          <w:snapToGrid w:val="0"/>
          <w:color w:val="auto"/>
          <w:kern w:val="0"/>
          <w:sz w:val="24"/>
          <w:highlight w:val="none"/>
        </w:rPr>
        <w:t>日签订。</w:t>
      </w:r>
    </w:p>
    <w:p>
      <w:pPr>
        <w:snapToGrid w:val="0"/>
        <w:spacing w:line="360" w:lineRule="auto"/>
        <w:outlineLvl w:val="1"/>
        <w:rPr>
          <w:rFonts w:ascii="宋体" w:hAnsi="宋体" w:cs="宋体"/>
          <w:b/>
          <w:bCs/>
          <w:snapToGrid w:val="0"/>
          <w:color w:val="auto"/>
          <w:kern w:val="0"/>
          <w:sz w:val="24"/>
          <w:highlight w:val="none"/>
        </w:rPr>
      </w:pPr>
      <w:bookmarkStart w:id="438" w:name="_Toc97299507"/>
      <w:bookmarkStart w:id="439" w:name="_Toc361220419"/>
      <w:r>
        <w:rPr>
          <w:rFonts w:hint="eastAsia" w:ascii="宋体" w:hAnsi="宋体" w:cs="宋体"/>
          <w:b/>
          <w:bCs/>
          <w:snapToGrid w:val="0"/>
          <w:color w:val="auto"/>
          <w:kern w:val="0"/>
          <w:sz w:val="24"/>
          <w:highlight w:val="none"/>
        </w:rPr>
        <w:t>十、签订地点</w:t>
      </w:r>
      <w:bookmarkEnd w:id="438"/>
      <w:bookmarkEnd w:id="439"/>
    </w:p>
    <w:p>
      <w:pPr>
        <w:snapToGrid w:val="0"/>
        <w:spacing w:line="360" w:lineRule="auto"/>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 xml:space="preserve">    本合同在</w:t>
      </w:r>
      <w:bookmarkStart w:id="440" w:name="SOA_zyht_htqddd"/>
      <w:r>
        <w:rPr>
          <w:rFonts w:hint="eastAsia" w:ascii="宋体" w:hAnsi="宋体" w:cs="宋体"/>
          <w:bCs/>
          <w:snapToGrid w:val="0"/>
          <w:color w:val="auto"/>
          <w:kern w:val="0"/>
          <w:sz w:val="24"/>
          <w:highlight w:val="none"/>
          <w:u w:val="single"/>
        </w:rPr>
        <w:t xml:space="preserve">  杭州   </w:t>
      </w:r>
      <w:bookmarkEnd w:id="440"/>
      <w:r>
        <w:rPr>
          <w:rFonts w:hint="eastAsia" w:ascii="宋体" w:hAnsi="宋体" w:cs="宋体"/>
          <w:bCs/>
          <w:snapToGrid w:val="0"/>
          <w:color w:val="auto"/>
          <w:kern w:val="0"/>
          <w:sz w:val="24"/>
          <w:highlight w:val="none"/>
        </w:rPr>
        <w:t>签订。</w:t>
      </w:r>
    </w:p>
    <w:p>
      <w:pPr>
        <w:snapToGrid w:val="0"/>
        <w:spacing w:line="360" w:lineRule="auto"/>
        <w:outlineLvl w:val="1"/>
        <w:rPr>
          <w:rFonts w:ascii="宋体" w:hAnsi="宋体" w:cs="宋体"/>
          <w:b/>
          <w:bCs/>
          <w:snapToGrid w:val="0"/>
          <w:color w:val="auto"/>
          <w:kern w:val="0"/>
          <w:sz w:val="24"/>
          <w:highlight w:val="none"/>
        </w:rPr>
      </w:pPr>
      <w:bookmarkStart w:id="441" w:name="_Toc361220420"/>
      <w:bookmarkStart w:id="442" w:name="_Toc97299508"/>
      <w:r>
        <w:rPr>
          <w:rFonts w:hint="eastAsia" w:ascii="宋体" w:hAnsi="宋体" w:cs="宋体"/>
          <w:b/>
          <w:bCs/>
          <w:snapToGrid w:val="0"/>
          <w:color w:val="auto"/>
          <w:kern w:val="0"/>
          <w:sz w:val="24"/>
          <w:highlight w:val="none"/>
        </w:rPr>
        <w:t>十一、补充协议</w:t>
      </w:r>
      <w:bookmarkEnd w:id="441"/>
      <w:bookmarkEnd w:id="442"/>
    </w:p>
    <w:p>
      <w:pPr>
        <w:snapToGrid w:val="0"/>
        <w:spacing w:line="360" w:lineRule="auto"/>
        <w:ind w:firstLine="480" w:firstLineChars="200"/>
        <w:rPr>
          <w:rFonts w:ascii="宋体" w:hAnsi="宋体" w:cs="宋体"/>
          <w:b/>
          <w:bCs/>
          <w:snapToGrid w:val="0"/>
          <w:color w:val="auto"/>
          <w:kern w:val="0"/>
          <w:sz w:val="24"/>
          <w:highlight w:val="none"/>
        </w:rPr>
      </w:pPr>
      <w:r>
        <w:rPr>
          <w:rFonts w:hint="eastAsia" w:ascii="宋体" w:hAnsi="宋体" w:cs="宋体"/>
          <w:bCs/>
          <w:snapToGrid w:val="0"/>
          <w:color w:val="auto"/>
          <w:kern w:val="0"/>
          <w:sz w:val="24"/>
          <w:highlight w:val="none"/>
        </w:rPr>
        <w:t>合同未尽事宜，合同当事人另行签订补充协议，补充协议是合同的组成部分。</w:t>
      </w:r>
    </w:p>
    <w:p>
      <w:pPr>
        <w:snapToGrid w:val="0"/>
        <w:spacing w:line="360" w:lineRule="auto"/>
        <w:outlineLvl w:val="1"/>
        <w:rPr>
          <w:rFonts w:ascii="宋体" w:hAnsi="宋体" w:cs="宋体"/>
          <w:b/>
          <w:bCs/>
          <w:snapToGrid w:val="0"/>
          <w:color w:val="auto"/>
          <w:kern w:val="0"/>
          <w:sz w:val="24"/>
          <w:highlight w:val="none"/>
        </w:rPr>
      </w:pPr>
      <w:bookmarkStart w:id="443" w:name="_Toc361220421"/>
      <w:bookmarkStart w:id="444" w:name="_Toc97299509"/>
      <w:r>
        <w:rPr>
          <w:rFonts w:hint="eastAsia" w:ascii="宋体" w:hAnsi="宋体" w:cs="宋体"/>
          <w:b/>
          <w:bCs/>
          <w:snapToGrid w:val="0"/>
          <w:color w:val="auto"/>
          <w:kern w:val="0"/>
          <w:sz w:val="24"/>
          <w:highlight w:val="none"/>
        </w:rPr>
        <w:t>十二、合同生效</w:t>
      </w:r>
      <w:bookmarkEnd w:id="443"/>
      <w:bookmarkEnd w:id="444"/>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本合同自</w:t>
      </w:r>
      <w:bookmarkStart w:id="445" w:name="SOA_hhxys_htsx"/>
      <w:bookmarkEnd w:id="445"/>
      <w:r>
        <w:rPr>
          <w:rFonts w:hint="eastAsia" w:ascii="宋体" w:hAnsi="宋体" w:cs="宋体"/>
          <w:bCs/>
          <w:snapToGrid w:val="0"/>
          <w:color w:val="auto"/>
          <w:kern w:val="0"/>
          <w:sz w:val="24"/>
          <w:highlight w:val="none"/>
        </w:rPr>
        <w:t>生效。</w:t>
      </w:r>
    </w:p>
    <w:p>
      <w:pPr>
        <w:snapToGrid w:val="0"/>
        <w:spacing w:line="360" w:lineRule="auto"/>
        <w:outlineLvl w:val="1"/>
        <w:rPr>
          <w:rFonts w:ascii="宋体" w:hAnsi="宋体" w:cs="宋体"/>
          <w:b/>
          <w:bCs/>
          <w:snapToGrid w:val="0"/>
          <w:color w:val="auto"/>
          <w:kern w:val="0"/>
          <w:sz w:val="24"/>
          <w:highlight w:val="none"/>
        </w:rPr>
      </w:pPr>
      <w:bookmarkStart w:id="446" w:name="_Toc97299510"/>
      <w:bookmarkStart w:id="447" w:name="_Toc361220422"/>
      <w:r>
        <w:rPr>
          <w:rFonts w:hint="eastAsia" w:ascii="宋体" w:hAnsi="宋体" w:cs="宋体"/>
          <w:b/>
          <w:bCs/>
          <w:snapToGrid w:val="0"/>
          <w:color w:val="auto"/>
          <w:kern w:val="0"/>
          <w:sz w:val="24"/>
          <w:highlight w:val="none"/>
        </w:rPr>
        <w:t>十三、合同份数</w:t>
      </w:r>
      <w:bookmarkEnd w:id="446"/>
      <w:bookmarkEnd w:id="447"/>
    </w:p>
    <w:p>
      <w:pPr>
        <w:snapToGrid w:val="0"/>
        <w:spacing w:line="360" w:lineRule="auto"/>
        <w:ind w:left="210" w:leftChars="100" w:firstLine="240" w:firstLineChars="1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本合同一式份，均具有同等法律效力，发包人执份，承包人执份。</w:t>
      </w:r>
    </w:p>
    <w:p>
      <w:pPr>
        <w:snapToGrid w:val="0"/>
        <w:spacing w:line="360" w:lineRule="auto"/>
        <w:ind w:firstLine="480" w:firstLineChars="200"/>
        <w:rPr>
          <w:rFonts w:ascii="宋体" w:hAnsi="宋体" w:cs="宋体"/>
          <w:snapToGrid w:val="0"/>
          <w:color w:val="auto"/>
          <w:kern w:val="0"/>
          <w:sz w:val="24"/>
          <w:highlight w:val="none"/>
        </w:rPr>
      </w:pP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发包人：  (公章)</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承包人：  (公章)</w:t>
      </w:r>
    </w:p>
    <w:p>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法定代表人或其委托代理人：</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法定代表人或其委托代理人：</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（签字）</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（签字）</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组织机构代码：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组织机构代码：</w:t>
      </w:r>
      <w:bookmarkStart w:id="448" w:name="SOA_hhxys_zjjgdm1"/>
      <w:bookmarkEnd w:id="448"/>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邮政编码：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邮政编码：</w:t>
      </w:r>
      <w:bookmarkStart w:id="449" w:name="SOA_hhxys_cbryb"/>
      <w:bookmarkEnd w:id="449"/>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法定代表人：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法定代表人：</w:t>
      </w:r>
      <w:bookmarkStart w:id="450" w:name="SOA_hhxys_fddbr1"/>
      <w:bookmarkEnd w:id="450"/>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委托代理人：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委托代理人：</w:t>
      </w:r>
      <w:bookmarkStart w:id="451" w:name="SOA_hhxys_wtdlr1"/>
      <w:bookmarkEnd w:id="451"/>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  话：</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  话：</w:t>
      </w:r>
      <w:bookmarkStart w:id="452" w:name="SOA_hhxys_cbrdh"/>
      <w:bookmarkEnd w:id="452"/>
      <w:r>
        <w:rPr>
          <w:rFonts w:hint="eastAsia" w:ascii="宋体" w:hAnsi="宋体" w:cs="宋体"/>
          <w:snapToGrid w:val="0"/>
          <w:color w:val="auto"/>
          <w:kern w:val="0"/>
          <w:sz w:val="24"/>
          <w:highlight w:val="none"/>
          <w:u w:val="singl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传  真：</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传  真：</w:t>
      </w:r>
      <w:bookmarkStart w:id="453" w:name="SOA_hhxys_cbrcz"/>
      <w:bookmarkEnd w:id="453"/>
      <w:r>
        <w:rPr>
          <w:rFonts w:hint="eastAsia" w:ascii="宋体" w:hAnsi="宋体" w:cs="宋体"/>
          <w:snapToGrid w:val="0"/>
          <w:color w:val="auto"/>
          <w:kern w:val="0"/>
          <w:sz w:val="24"/>
          <w:highlight w:val="none"/>
          <w:u w:val="single"/>
        </w:rPr>
        <w:t xml:space="preserve"> </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电子信箱：</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电子信箱：</w:t>
      </w:r>
      <w:bookmarkStart w:id="454" w:name="SOA_hhxys_cbrdzxx"/>
      <w:bookmarkEnd w:id="454"/>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开户银行：</w:t>
      </w:r>
    </w:p>
    <w:p>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w:t>
      </w:r>
      <w:bookmarkStart w:id="455" w:name="SOA_hhxys_cbrzh"/>
      <w:bookmarkEnd w:id="455"/>
    </w:p>
    <w:p>
      <w:pPr>
        <w:keepNext/>
        <w:keepLines/>
        <w:numPr>
          <w:ilvl w:val="1"/>
          <w:numId w:val="0"/>
        </w:numPr>
        <w:spacing w:before="100" w:line="400" w:lineRule="exact"/>
        <w:jc w:val="center"/>
        <w:outlineLvl w:val="1"/>
        <w:rPr>
          <w:rFonts w:ascii="宋体" w:hAnsi="宋体" w:cs="宋体"/>
          <w:snapToGrid w:val="0"/>
          <w:color w:val="auto"/>
          <w:kern w:val="44"/>
          <w:sz w:val="28"/>
          <w:szCs w:val="20"/>
          <w:highlight w:val="none"/>
        </w:rPr>
      </w:pPr>
      <w:r>
        <w:rPr>
          <w:rFonts w:hint="eastAsia" w:ascii="宋体" w:hAnsi="宋体" w:cs="宋体"/>
          <w:snapToGrid w:val="0"/>
          <w:color w:val="auto"/>
          <w:kern w:val="0"/>
          <w:sz w:val="24"/>
          <w:highlight w:val="none"/>
        </w:rPr>
        <w:br w:type="page"/>
      </w:r>
      <w:bookmarkStart w:id="456" w:name="_Toc97299511"/>
      <w:bookmarkStart w:id="457" w:name="_Toc69485879"/>
      <w:bookmarkStart w:id="458" w:name="_Toc31640"/>
      <w:r>
        <w:rPr>
          <w:rFonts w:hint="eastAsia" w:ascii="宋体" w:hAnsi="宋体" w:cs="宋体"/>
          <w:snapToGrid w:val="0"/>
          <w:color w:val="auto"/>
          <w:kern w:val="44"/>
          <w:sz w:val="28"/>
          <w:szCs w:val="20"/>
          <w:highlight w:val="none"/>
        </w:rPr>
        <w:t>第二部分  通用条款（略）</w:t>
      </w:r>
      <w:bookmarkEnd w:id="456"/>
      <w:bookmarkEnd w:id="457"/>
      <w:bookmarkEnd w:id="458"/>
    </w:p>
    <w:p>
      <w:pPr>
        <w:keepNext/>
        <w:keepLines/>
        <w:numPr>
          <w:ilvl w:val="1"/>
          <w:numId w:val="0"/>
        </w:numPr>
        <w:spacing w:before="100" w:line="400" w:lineRule="exact"/>
        <w:jc w:val="center"/>
        <w:outlineLvl w:val="1"/>
        <w:rPr>
          <w:rFonts w:ascii="宋体" w:hAnsi="宋体" w:cs="宋体"/>
          <w:snapToGrid w:val="0"/>
          <w:color w:val="auto"/>
          <w:kern w:val="44"/>
          <w:sz w:val="28"/>
          <w:szCs w:val="20"/>
          <w:highlight w:val="none"/>
        </w:rPr>
      </w:pPr>
      <w:bookmarkStart w:id="459" w:name="_Toc69485880"/>
      <w:bookmarkStart w:id="460" w:name="_Toc97299512"/>
      <w:bookmarkStart w:id="461" w:name="_Toc8278"/>
      <w:r>
        <w:rPr>
          <w:rFonts w:hint="eastAsia" w:ascii="宋体" w:hAnsi="宋体" w:cs="宋体"/>
          <w:snapToGrid w:val="0"/>
          <w:color w:val="auto"/>
          <w:kern w:val="44"/>
          <w:sz w:val="28"/>
          <w:szCs w:val="20"/>
          <w:highlight w:val="none"/>
        </w:rPr>
        <w:t>第三部分  专用条款</w:t>
      </w:r>
      <w:bookmarkEnd w:id="459"/>
      <w:bookmarkEnd w:id="460"/>
      <w:bookmarkEnd w:id="461"/>
    </w:p>
    <w:p>
      <w:pPr>
        <w:keepNext/>
        <w:numPr>
          <w:ilvl w:val="3"/>
          <w:numId w:val="0"/>
        </w:numPr>
        <w:tabs>
          <w:tab w:val="left" w:pos="864"/>
        </w:tabs>
        <w:snapToGrid w:val="0"/>
        <w:spacing w:line="360" w:lineRule="auto"/>
        <w:ind w:left="426" w:hanging="420"/>
        <w:rPr>
          <w:rFonts w:ascii="宋体" w:hAnsi="宋体"/>
          <w:b/>
          <w:color w:val="auto"/>
          <w:sz w:val="24"/>
          <w:highlight w:val="none"/>
        </w:rPr>
      </w:pPr>
      <w:bookmarkStart w:id="462" w:name="_Toc351203633"/>
      <w:r>
        <w:rPr>
          <w:rFonts w:hint="eastAsia" w:ascii="宋体" w:hAnsi="宋体"/>
          <w:b/>
          <w:color w:val="auto"/>
          <w:sz w:val="24"/>
          <w:highlight w:val="none"/>
        </w:rPr>
        <w:t>1</w:t>
      </w:r>
      <w:bookmarkStart w:id="463" w:name="_Toc296890984"/>
      <w:bookmarkStart w:id="464" w:name="_Toc296891196"/>
      <w:bookmarkStart w:id="465" w:name="_Toc297120456"/>
      <w:bookmarkStart w:id="466" w:name="_Toc296503156"/>
      <w:bookmarkStart w:id="467" w:name="_Toc292559361"/>
      <w:bookmarkStart w:id="468" w:name="_Toc296347155"/>
      <w:bookmarkStart w:id="469" w:name="_Toc292559866"/>
      <w:bookmarkStart w:id="470" w:name="_Toc296944495"/>
      <w:bookmarkStart w:id="471" w:name="_Toc297048342"/>
      <w:bookmarkStart w:id="472" w:name="_Toc296346657"/>
      <w:r>
        <w:rPr>
          <w:rFonts w:hint="eastAsia" w:ascii="宋体" w:hAnsi="宋体"/>
          <w:b/>
          <w:color w:val="auto"/>
          <w:sz w:val="24"/>
          <w:highlight w:val="none"/>
        </w:rPr>
        <w:t>. 一般约定</w:t>
      </w:r>
      <w:bookmarkEnd w:id="462"/>
    </w:p>
    <w:bookmarkEnd w:id="463"/>
    <w:bookmarkEnd w:id="464"/>
    <w:bookmarkEnd w:id="465"/>
    <w:bookmarkEnd w:id="466"/>
    <w:bookmarkEnd w:id="467"/>
    <w:bookmarkEnd w:id="468"/>
    <w:bookmarkEnd w:id="469"/>
    <w:bookmarkEnd w:id="470"/>
    <w:bookmarkEnd w:id="471"/>
    <w:bookmarkEnd w:id="472"/>
    <w:p>
      <w:pPr>
        <w:snapToGrid w:val="0"/>
        <w:spacing w:line="360" w:lineRule="auto"/>
        <w:ind w:firstLine="420" w:firstLineChars="175"/>
        <w:rPr>
          <w:rFonts w:ascii="宋体" w:hAnsi="宋体"/>
          <w:snapToGrid w:val="0"/>
          <w:color w:val="auto"/>
          <w:kern w:val="0"/>
          <w:sz w:val="24"/>
          <w:highlight w:val="none"/>
        </w:rPr>
      </w:pPr>
      <w:r>
        <w:rPr>
          <w:rFonts w:hint="eastAsia" w:ascii="宋体" w:hAnsi="宋体"/>
          <w:snapToGrid w:val="0"/>
          <w:color w:val="auto"/>
          <w:kern w:val="0"/>
          <w:sz w:val="24"/>
          <w:highlight w:val="none"/>
        </w:rPr>
        <w:t>1.1 词语定义</w:t>
      </w:r>
    </w:p>
    <w:p>
      <w:pPr>
        <w:snapToGrid w:val="0"/>
        <w:spacing w:line="360" w:lineRule="auto"/>
        <w:ind w:firstLine="420" w:firstLineChars="175"/>
        <w:rPr>
          <w:rFonts w:ascii="宋体" w:hAnsi="宋体"/>
          <w:snapToGrid w:val="0"/>
          <w:color w:val="auto"/>
          <w:kern w:val="0"/>
          <w:sz w:val="24"/>
          <w:highlight w:val="none"/>
        </w:rPr>
      </w:pPr>
      <w:r>
        <w:rPr>
          <w:rFonts w:hint="eastAsia" w:ascii="宋体" w:hAnsi="宋体"/>
          <w:snapToGrid w:val="0"/>
          <w:color w:val="auto"/>
          <w:kern w:val="0"/>
          <w:sz w:val="24"/>
          <w:highlight w:val="none"/>
        </w:rPr>
        <w:t>1.1.1合同</w:t>
      </w:r>
    </w:p>
    <w:p>
      <w:pPr>
        <w:shd w:val="clear" w:color="auto" w:fill="FAFAFA"/>
        <w:snapToGrid w:val="0"/>
        <w:spacing w:line="360" w:lineRule="auto"/>
        <w:ind w:firstLine="470" w:firstLineChars="196"/>
        <w:rPr>
          <w:rFonts w:ascii="宋体" w:hAnsi="宋体"/>
          <w:b/>
          <w:snapToGrid w:val="0"/>
          <w:color w:val="auto"/>
          <w:kern w:val="0"/>
          <w:sz w:val="24"/>
          <w:highlight w:val="none"/>
          <w:u w:val="single"/>
        </w:rPr>
      </w:pPr>
      <w:r>
        <w:rPr>
          <w:rFonts w:hint="eastAsia" w:ascii="宋体" w:hAnsi="宋体"/>
          <w:snapToGrid w:val="0"/>
          <w:color w:val="auto"/>
          <w:kern w:val="0"/>
          <w:sz w:val="24"/>
          <w:highlight w:val="none"/>
        </w:rPr>
        <w:t>1.1.1.10其他合同文件包括：</w:t>
      </w:r>
    </w:p>
    <w:p>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1.1.2 合同当事人及其他相关方</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1.1.2.4监理人：</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u w:val="single"/>
        </w:rPr>
        <w:t xml:space="preserve">           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资质类别和等级：</w:t>
      </w:r>
      <w:r>
        <w:rPr>
          <w:rFonts w:hint="eastAsia" w:ascii="宋体" w:hAnsi="宋体" w:cs="宋体"/>
          <w:color w:val="auto"/>
          <w:sz w:val="24"/>
          <w:highlight w:val="none"/>
          <w:u w:val="single"/>
        </w:rPr>
        <w:t>            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                </w:t>
      </w:r>
      <w:r>
        <w:rPr>
          <w:rFonts w:hint="eastAsia" w:ascii="宋体" w:hAnsi="宋体" w:cs="宋体"/>
          <w:color w:val="auto"/>
          <w:sz w:val="24"/>
          <w:highlight w:val="none"/>
        </w:rPr>
        <w:t>。</w:t>
      </w:r>
    </w:p>
    <w:p>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1.1.2.5 设计人：</w:t>
      </w:r>
    </w:p>
    <w:p>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名    称：</w:t>
      </w:r>
      <w:r>
        <w:rPr>
          <w:rFonts w:hint="eastAsia" w:ascii="宋体" w:hAnsi="宋体" w:cs="仿宋_GB2312"/>
          <w:snapToGrid w:val="0"/>
          <w:color w:val="auto"/>
          <w:kern w:val="0"/>
          <w:sz w:val="24"/>
          <w:highlight w:val="none"/>
          <w:u w:val="single"/>
        </w:rPr>
        <w:t xml:space="preserve">                              </w:t>
      </w:r>
      <w:r>
        <w:rPr>
          <w:rFonts w:hint="eastAsia" w:ascii="宋体" w:hAnsi="宋体"/>
          <w:snapToGrid w:val="0"/>
          <w:color w:val="auto"/>
          <w:kern w:val="0"/>
          <w:sz w:val="24"/>
          <w:highlight w:val="none"/>
        </w:rPr>
        <w:t>；</w:t>
      </w:r>
    </w:p>
    <w:p>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资质类别和等级：</w:t>
      </w:r>
      <w:r>
        <w:rPr>
          <w:rFonts w:hint="eastAsia" w:ascii="宋体" w:hAnsi="宋体" w:cs="仿宋_GB2312"/>
          <w:snapToGrid w:val="0"/>
          <w:color w:val="auto"/>
          <w:kern w:val="0"/>
          <w:sz w:val="24"/>
          <w:highlight w:val="none"/>
          <w:u w:val="single"/>
        </w:rPr>
        <w:t>                    </w:t>
      </w:r>
      <w:r>
        <w:rPr>
          <w:rFonts w:hint="eastAsia" w:ascii="宋体" w:hAnsi="宋体"/>
          <w:snapToGrid w:val="0"/>
          <w:color w:val="auto"/>
          <w:kern w:val="0"/>
          <w:sz w:val="24"/>
          <w:highlight w:val="none"/>
        </w:rPr>
        <w:t>；</w:t>
      </w:r>
    </w:p>
    <w:p>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联系电话：</w:t>
      </w:r>
      <w:r>
        <w:rPr>
          <w:rFonts w:hint="eastAsia" w:ascii="宋体" w:hAnsi="宋体" w:cs="仿宋_GB2312"/>
          <w:snapToGrid w:val="0"/>
          <w:color w:val="auto"/>
          <w:kern w:val="0"/>
          <w:sz w:val="24"/>
          <w:highlight w:val="none"/>
          <w:u w:val="single"/>
        </w:rPr>
        <w:t xml:space="preserve">            </w:t>
      </w:r>
      <w:r>
        <w:rPr>
          <w:rFonts w:hint="eastAsia" w:ascii="宋体" w:hAnsi="宋体"/>
          <w:snapToGrid w:val="0"/>
          <w:color w:val="auto"/>
          <w:kern w:val="0"/>
          <w:sz w:val="24"/>
          <w:highlight w:val="none"/>
          <w:u w:val="single"/>
        </w:rPr>
        <w:t>/</w:t>
      </w:r>
      <w:r>
        <w:rPr>
          <w:rFonts w:hint="eastAsia" w:ascii="宋体" w:hAnsi="宋体" w:cs="仿宋_GB2312"/>
          <w:snapToGrid w:val="0"/>
          <w:color w:val="auto"/>
          <w:kern w:val="0"/>
          <w:sz w:val="24"/>
          <w:highlight w:val="none"/>
          <w:u w:val="single"/>
        </w:rPr>
        <w:t></w:t>
      </w:r>
      <w:r>
        <w:rPr>
          <w:rFonts w:hint="eastAsia" w:ascii="宋体" w:hAnsi="宋体"/>
          <w:snapToGrid w:val="0"/>
          <w:color w:val="auto"/>
          <w:kern w:val="0"/>
          <w:sz w:val="24"/>
          <w:highlight w:val="none"/>
        </w:rPr>
        <w:t>；</w:t>
      </w:r>
    </w:p>
    <w:p>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电子信箱：</w:t>
      </w:r>
      <w:r>
        <w:rPr>
          <w:rFonts w:hint="eastAsia" w:ascii="宋体" w:hAnsi="宋体" w:cs="仿宋_GB2312"/>
          <w:snapToGrid w:val="0"/>
          <w:color w:val="auto"/>
          <w:kern w:val="0"/>
          <w:sz w:val="24"/>
          <w:highlight w:val="none"/>
          <w:u w:val="single"/>
        </w:rPr>
        <w:t xml:space="preserve">  </w:t>
      </w:r>
      <w:r>
        <w:rPr>
          <w:rFonts w:hint="eastAsia" w:ascii="宋体" w:hAnsi="宋体"/>
          <w:snapToGrid w:val="0"/>
          <w:color w:val="auto"/>
          <w:kern w:val="0"/>
          <w:sz w:val="24"/>
          <w:highlight w:val="none"/>
          <w:u w:val="single"/>
        </w:rPr>
        <w:t>/</w:t>
      </w:r>
      <w:r>
        <w:rPr>
          <w:rFonts w:hint="eastAsia" w:ascii="宋体" w:hAnsi="宋体" w:cs="仿宋_GB2312"/>
          <w:snapToGrid w:val="0"/>
          <w:color w:val="auto"/>
          <w:kern w:val="0"/>
          <w:sz w:val="24"/>
          <w:highlight w:val="none"/>
          <w:u w:val="single"/>
        </w:rPr>
        <w:t></w:t>
      </w:r>
      <w:r>
        <w:rPr>
          <w:rFonts w:hint="eastAsia" w:ascii="宋体" w:hAnsi="宋体"/>
          <w:snapToGrid w:val="0"/>
          <w:color w:val="auto"/>
          <w:kern w:val="0"/>
          <w:sz w:val="24"/>
          <w:highlight w:val="none"/>
        </w:rPr>
        <w:t>；</w:t>
      </w:r>
    </w:p>
    <w:p>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通信地址：</w:t>
      </w:r>
      <w:r>
        <w:rPr>
          <w:rFonts w:hint="eastAsia" w:ascii="宋体" w:hAnsi="宋体" w:cs="仿宋_GB2312"/>
          <w:snapToGrid w:val="0"/>
          <w:color w:val="auto"/>
          <w:kern w:val="0"/>
          <w:sz w:val="24"/>
          <w:highlight w:val="none"/>
          <w:u w:val="single"/>
        </w:rPr>
        <w:t>  /  </w:t>
      </w:r>
      <w:r>
        <w:rPr>
          <w:rFonts w:hint="eastAsia" w:ascii="宋体" w:hAnsi="宋体"/>
          <w:snapToGrid w:val="0"/>
          <w:color w:val="auto"/>
          <w:kern w:val="0"/>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工程和设备</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1.1.3.7 作为施工现场组成部分的其他场所包括：</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                                     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1.1.3.9 永久占地包括：</w:t>
      </w:r>
      <w:r>
        <w:rPr>
          <w:rFonts w:hint="eastAsia" w:ascii="宋体" w:hAnsi="宋体" w:cs="宋体"/>
          <w:color w:val="auto"/>
          <w:sz w:val="24"/>
          <w:highlight w:val="none"/>
          <w:u w:val="single"/>
        </w:rPr>
        <w:t xml:space="preserve">                        </w:t>
      </w:r>
      <w:r>
        <w:rPr>
          <w:rFonts w:hint="eastAsia" w:ascii="宋体" w:hAnsi="宋体" w:cs="宋体"/>
          <w:color w:val="auto"/>
          <w:kern w:val="0"/>
          <w:sz w:val="24"/>
          <w:highlight w:val="none"/>
        </w:rPr>
        <w:t>。</w:t>
      </w:r>
    </w:p>
    <w:p>
      <w:pPr>
        <w:adjustRightInd/>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color w:val="auto"/>
          <w:kern w:val="0"/>
          <w:sz w:val="24"/>
          <w:highlight w:val="none"/>
        </w:rPr>
        <w:t>1.1.3.10 临时占地包括：</w:t>
      </w:r>
      <w:r>
        <w:rPr>
          <w:rFonts w:hint="eastAsia" w:ascii="宋体" w:hAnsi="宋体" w:cs="宋体"/>
          <w:color w:val="auto"/>
          <w:sz w:val="24"/>
          <w:highlight w:val="none"/>
          <w:u w:val="single"/>
        </w:rPr>
        <w:t xml:space="preserve">                       </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1.3法律 </w:t>
      </w:r>
    </w:p>
    <w:p>
      <w:pPr>
        <w:autoSpaceDE w:val="0"/>
        <w:autoSpaceDN w:val="0"/>
        <w:snapToGrid w:val="0"/>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rPr>
        <w:t>适用于合同的其他规范性文件：</w:t>
      </w:r>
      <w:r>
        <w:rPr>
          <w:rFonts w:hint="eastAsia" w:ascii="宋体" w:hAnsi="宋体" w:cs="宋体"/>
          <w:color w:val="auto"/>
          <w:sz w:val="24"/>
          <w:highlight w:val="none"/>
          <w:u w:val="single"/>
        </w:rPr>
        <w:t xml:space="preserve">     </w:t>
      </w:r>
    </w:p>
    <w:p>
      <w:pPr>
        <w:autoSpaceDE w:val="0"/>
        <w:autoSpaceDN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1.4 标准和规范</w:t>
      </w:r>
    </w:p>
    <w:p>
      <w:pPr>
        <w:snapToGrid w:val="0"/>
        <w:spacing w:line="360" w:lineRule="auto"/>
        <w:ind w:firstLine="480" w:firstLineChars="200"/>
        <w:rPr>
          <w:rFonts w:ascii="宋体" w:hAnsi="宋体"/>
          <w:b/>
          <w:snapToGrid w:val="0"/>
          <w:color w:val="auto"/>
          <w:kern w:val="0"/>
          <w:sz w:val="24"/>
          <w:highlight w:val="none"/>
          <w:u w:val="single"/>
        </w:rPr>
      </w:pPr>
      <w:r>
        <w:rPr>
          <w:rFonts w:hint="eastAsia" w:ascii="宋体" w:hAnsi="宋体"/>
          <w:snapToGrid w:val="0"/>
          <w:color w:val="auto"/>
          <w:kern w:val="0"/>
          <w:sz w:val="24"/>
          <w:highlight w:val="none"/>
        </w:rPr>
        <w:t>1.4.1适用于工程的标准规范包括：</w:t>
      </w:r>
      <w:r>
        <w:rPr>
          <w:rFonts w:hint="eastAsia" w:ascii="Arial" w:hAnsi="Arial" w:cs="Arial"/>
          <w:snapToGrid w:val="0"/>
          <w:color w:val="auto"/>
          <w:kern w:val="0"/>
          <w:sz w:val="24"/>
          <w:highlight w:val="none"/>
          <w:u w:val="single"/>
        </w:rPr>
        <w:t>。</w:t>
      </w:r>
    </w:p>
    <w:p>
      <w:pPr>
        <w:snapToGrid w:val="0"/>
        <w:spacing w:line="360" w:lineRule="auto"/>
        <w:ind w:firstLine="480" w:firstLineChars="200"/>
        <w:rPr>
          <w:rFonts w:ascii="宋体" w:hAnsi="宋体"/>
          <w:snapToGrid w:val="0"/>
          <w:color w:val="auto"/>
          <w:kern w:val="0"/>
          <w:sz w:val="24"/>
          <w:highlight w:val="none"/>
          <w:u w:val="single"/>
        </w:rPr>
      </w:pPr>
      <w:r>
        <w:rPr>
          <w:rFonts w:hint="eastAsia" w:ascii="宋体" w:hAnsi="宋体"/>
          <w:snapToGrid w:val="0"/>
          <w:color w:val="auto"/>
          <w:kern w:val="0"/>
          <w:sz w:val="24"/>
          <w:highlight w:val="none"/>
        </w:rPr>
        <w:t>1.4.2 发包人提供国外标准、规范的名称：；</w:t>
      </w:r>
    </w:p>
    <w:p>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发包人提供国外标准、规范的份数：；</w:t>
      </w:r>
    </w:p>
    <w:p>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发包人提供国外标准、规范的名称：。</w:t>
      </w:r>
    </w:p>
    <w:p>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1.4.3发包人对工程的技术标准和功能要求的特殊要求：</w:t>
      </w:r>
      <w:r>
        <w:rPr>
          <w:rFonts w:hint="eastAsia" w:ascii="宋体" w:hAnsi="宋体" w:cs="仿宋_GB2312"/>
          <w:snapToGrid w:val="0"/>
          <w:color w:val="auto"/>
          <w:kern w:val="0"/>
          <w:sz w:val="24"/>
          <w:highlight w:val="none"/>
          <w:u w:val="single"/>
        </w:rPr>
        <w:t></w:t>
      </w:r>
      <w:r>
        <w:rPr>
          <w:rFonts w:hint="eastAsia" w:ascii="宋体" w:hAnsi="宋体"/>
          <w:snapToGrid w:val="0"/>
          <w:color w:val="auto"/>
          <w:kern w:val="0"/>
          <w:sz w:val="24"/>
          <w:highlight w:val="none"/>
        </w:rPr>
        <w:t>。</w:t>
      </w:r>
    </w:p>
    <w:p>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1.5 合同文件的优先顺序</w:t>
      </w:r>
    </w:p>
    <w:p>
      <w:pPr>
        <w:autoSpaceDE w:val="0"/>
        <w:autoSpaceDN w:val="0"/>
        <w:snapToGrid w:val="0"/>
        <w:spacing w:line="360" w:lineRule="auto"/>
        <w:ind w:firstLine="480" w:firstLineChars="200"/>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合同文件组成及优先顺序为：</w:t>
      </w:r>
    </w:p>
    <w:p>
      <w:pPr>
        <w:autoSpaceDE w:val="0"/>
        <w:autoSpaceDN w:val="0"/>
        <w:snapToGrid w:val="0"/>
        <w:spacing w:line="360" w:lineRule="auto"/>
        <w:ind w:firstLine="477" w:firstLineChars="198"/>
        <w:jc w:val="left"/>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（1）合同协议书</w:t>
      </w:r>
      <w:r>
        <w:rPr>
          <w:rFonts w:hint="eastAsia" w:ascii="宋体" w:hAnsi="宋体"/>
          <w:b/>
          <w:snapToGrid w:val="0"/>
          <w:color w:val="auto"/>
          <w:kern w:val="0"/>
          <w:sz w:val="24"/>
          <w:highlight w:val="none"/>
        </w:rPr>
        <w:t>；</w:t>
      </w:r>
    </w:p>
    <w:p>
      <w:pPr>
        <w:autoSpaceDE w:val="0"/>
        <w:autoSpaceDN w:val="0"/>
        <w:snapToGrid w:val="0"/>
        <w:spacing w:line="360" w:lineRule="auto"/>
        <w:ind w:firstLine="477" w:firstLineChars="198"/>
        <w:jc w:val="left"/>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（2）成交通知书（或项目发承包基本情况表）</w:t>
      </w:r>
      <w:r>
        <w:rPr>
          <w:rFonts w:hint="eastAsia" w:ascii="宋体" w:hAnsi="宋体"/>
          <w:b/>
          <w:snapToGrid w:val="0"/>
          <w:color w:val="auto"/>
          <w:kern w:val="0"/>
          <w:sz w:val="24"/>
          <w:highlight w:val="none"/>
        </w:rPr>
        <w:t>；</w:t>
      </w:r>
    </w:p>
    <w:p>
      <w:pPr>
        <w:snapToGrid w:val="0"/>
        <w:spacing w:line="360" w:lineRule="auto"/>
        <w:ind w:firstLine="477" w:firstLineChars="198"/>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（3）磋商响应文件及磋商记录（如果有）</w:t>
      </w:r>
      <w:r>
        <w:rPr>
          <w:rFonts w:hint="eastAsia" w:ascii="宋体" w:hAnsi="宋体"/>
          <w:b/>
          <w:snapToGrid w:val="0"/>
          <w:color w:val="auto"/>
          <w:kern w:val="0"/>
          <w:sz w:val="24"/>
          <w:highlight w:val="none"/>
        </w:rPr>
        <w:t>；</w:t>
      </w:r>
    </w:p>
    <w:p>
      <w:pPr>
        <w:autoSpaceDE w:val="0"/>
        <w:autoSpaceDN w:val="0"/>
        <w:snapToGrid w:val="0"/>
        <w:spacing w:line="360" w:lineRule="auto"/>
        <w:ind w:firstLine="477" w:firstLineChars="198"/>
        <w:jc w:val="left"/>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（4）专用合同条款及其附件</w:t>
      </w:r>
      <w:r>
        <w:rPr>
          <w:rFonts w:hint="eastAsia" w:ascii="宋体" w:hAnsi="宋体"/>
          <w:b/>
          <w:snapToGrid w:val="0"/>
          <w:color w:val="auto"/>
          <w:kern w:val="0"/>
          <w:sz w:val="24"/>
          <w:highlight w:val="none"/>
        </w:rPr>
        <w:t>；</w:t>
      </w:r>
    </w:p>
    <w:p>
      <w:pPr>
        <w:autoSpaceDE w:val="0"/>
        <w:autoSpaceDN w:val="0"/>
        <w:snapToGrid w:val="0"/>
        <w:spacing w:line="360" w:lineRule="auto"/>
        <w:ind w:firstLine="477" w:firstLineChars="198"/>
        <w:jc w:val="left"/>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（5）通用合同条款</w:t>
      </w:r>
      <w:r>
        <w:rPr>
          <w:rFonts w:hint="eastAsia" w:ascii="宋体" w:hAnsi="宋体"/>
          <w:b/>
          <w:snapToGrid w:val="0"/>
          <w:color w:val="auto"/>
          <w:kern w:val="0"/>
          <w:sz w:val="24"/>
          <w:highlight w:val="none"/>
        </w:rPr>
        <w:t>；</w:t>
      </w:r>
    </w:p>
    <w:p>
      <w:pPr>
        <w:snapToGrid w:val="0"/>
        <w:spacing w:line="360" w:lineRule="auto"/>
        <w:ind w:firstLine="477" w:firstLineChars="198"/>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（6）技术标准和要求</w:t>
      </w:r>
      <w:r>
        <w:rPr>
          <w:rFonts w:hint="eastAsia" w:ascii="宋体" w:hAnsi="宋体"/>
          <w:b/>
          <w:snapToGrid w:val="0"/>
          <w:color w:val="auto"/>
          <w:kern w:val="0"/>
          <w:sz w:val="24"/>
          <w:highlight w:val="none"/>
        </w:rPr>
        <w:t>；</w:t>
      </w:r>
    </w:p>
    <w:p>
      <w:pPr>
        <w:snapToGrid w:val="0"/>
        <w:spacing w:line="360" w:lineRule="auto"/>
        <w:ind w:firstLine="477" w:firstLineChars="198"/>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（7）图纸（如有） ；</w:t>
      </w:r>
    </w:p>
    <w:p>
      <w:pPr>
        <w:snapToGrid w:val="0"/>
        <w:spacing w:line="360" w:lineRule="auto"/>
        <w:ind w:firstLine="477" w:firstLineChars="198"/>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（8）已标价工程量清单或预算书</w:t>
      </w:r>
      <w:r>
        <w:rPr>
          <w:rFonts w:hint="eastAsia" w:ascii="宋体" w:hAnsi="宋体"/>
          <w:b/>
          <w:snapToGrid w:val="0"/>
          <w:color w:val="auto"/>
          <w:kern w:val="0"/>
          <w:sz w:val="24"/>
          <w:highlight w:val="none"/>
        </w:rPr>
        <w:t>；</w:t>
      </w:r>
    </w:p>
    <w:p>
      <w:pPr>
        <w:snapToGrid w:val="0"/>
        <w:spacing w:line="360" w:lineRule="auto"/>
        <w:ind w:firstLine="477" w:firstLineChars="198"/>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（9）其他合同文件</w:t>
      </w:r>
      <w:r>
        <w:rPr>
          <w:rFonts w:hint="eastAsia" w:ascii="宋体" w:hAnsi="宋体"/>
          <w:b/>
          <w:snapToGrid w:val="0"/>
          <w:color w:val="auto"/>
          <w:kern w:val="0"/>
          <w:sz w:val="24"/>
          <w:highlight w:val="none"/>
        </w:rPr>
        <w:t>：</w:t>
      </w:r>
    </w:p>
    <w:p>
      <w:pPr>
        <w:snapToGrid w:val="0"/>
        <w:spacing w:line="360" w:lineRule="auto"/>
        <w:ind w:firstLine="477" w:firstLineChars="198"/>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①施工组织设计</w:t>
      </w:r>
      <w:r>
        <w:rPr>
          <w:rFonts w:hint="eastAsia" w:ascii="宋体" w:hAnsi="宋体"/>
          <w:b/>
          <w:snapToGrid w:val="0"/>
          <w:color w:val="auto"/>
          <w:kern w:val="0"/>
          <w:sz w:val="24"/>
          <w:highlight w:val="none"/>
        </w:rPr>
        <w:t>；</w:t>
      </w:r>
    </w:p>
    <w:p>
      <w:pPr>
        <w:snapToGrid w:val="0"/>
        <w:spacing w:line="360" w:lineRule="auto"/>
        <w:ind w:firstLine="477" w:firstLineChars="198"/>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u w:val="single"/>
        </w:rPr>
        <w:t>②其他：</w:t>
      </w:r>
      <w:r>
        <w:rPr>
          <w:rFonts w:hint="eastAsia" w:ascii="宋体" w:hAnsi="宋体"/>
          <w:b/>
          <w:snapToGrid w:val="0"/>
          <w:color w:val="auto"/>
          <w:kern w:val="0"/>
          <w:sz w:val="24"/>
          <w:highlight w:val="none"/>
          <w:u w:val="single"/>
          <w:lang w:eastAsia="zh-CN"/>
        </w:rPr>
        <w:t>竞争性磋商文件</w:t>
      </w:r>
      <w:r>
        <w:rPr>
          <w:rFonts w:hint="eastAsia" w:ascii="宋体" w:hAnsi="宋体"/>
          <w:b/>
          <w:snapToGrid w:val="0"/>
          <w:color w:val="auto"/>
          <w:kern w:val="0"/>
          <w:sz w:val="24"/>
          <w:highlight w:val="none"/>
          <w:u w:val="single"/>
        </w:rPr>
        <w:t xml:space="preserve">（含采购工程量清单）及采购答疑（如果有）。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 图纸和承包人文件</w:t>
      </w:r>
      <w:r>
        <w:rPr>
          <w:rFonts w:hint="eastAsia" w:ascii="宋体" w:hAnsi="宋体" w:cs="宋体"/>
          <w:color w:val="auto"/>
          <w:sz w:val="24"/>
          <w:highlight w:val="none"/>
        </w:rPr>
        <w:tab/>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 图纸的提供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发包人向承包人提供图纸的期限：</w:t>
      </w:r>
      <w:r>
        <w:rPr>
          <w:rFonts w:hint="eastAsia" w:ascii="宋体" w:hAnsi="宋体" w:cs="宋体"/>
          <w:color w:val="auto"/>
          <w:sz w:val="24"/>
          <w:highlight w:val="none"/>
          <w:u w:val="single"/>
        </w:rPr>
        <w:t>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发包人向承包人提供图纸的数量：</w:t>
      </w:r>
      <w:r>
        <w:rPr>
          <w:rFonts w:hint="eastAsia" w:ascii="宋体" w:hAnsi="宋体" w:cs="宋体"/>
          <w:color w:val="auto"/>
          <w:sz w:val="24"/>
          <w:highlight w:val="none"/>
          <w:u w:val="single"/>
        </w:rPr>
        <w:t>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发包人向承包人提供图纸的内容：</w:t>
      </w:r>
      <w:r>
        <w:rPr>
          <w:rFonts w:hint="eastAsia" w:ascii="宋体" w:hAnsi="宋体" w:cs="宋体"/>
          <w:color w:val="auto"/>
          <w:sz w:val="24"/>
          <w:highlight w:val="none"/>
          <w:u w:val="single"/>
        </w:rPr>
        <w:t>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 承包人文件</w:t>
      </w:r>
    </w:p>
    <w:p>
      <w:pPr>
        <w:snapToGrid w:val="0"/>
        <w:spacing w:line="360" w:lineRule="auto"/>
        <w:ind w:left="596" w:leftChars="284"/>
        <w:jc w:val="left"/>
        <w:rPr>
          <w:rFonts w:ascii="宋体" w:hAnsi="宋体" w:cs="宋体"/>
          <w:color w:val="auto"/>
          <w:sz w:val="24"/>
          <w:highlight w:val="none"/>
          <w:u w:val="single"/>
        </w:rPr>
      </w:pPr>
      <w:r>
        <w:rPr>
          <w:rFonts w:hint="eastAsia" w:ascii="宋体" w:hAnsi="宋体" w:cs="宋体"/>
          <w:color w:val="auto"/>
          <w:sz w:val="24"/>
          <w:highlight w:val="none"/>
        </w:rPr>
        <w:t>需要由承包人提供的文件，包括：</w:t>
      </w:r>
      <w:r>
        <w:rPr>
          <w:rFonts w:hint="eastAsia" w:ascii="宋体" w:hAnsi="宋体" w:cs="宋体"/>
          <w:color w:val="auto"/>
          <w:sz w:val="24"/>
          <w:highlight w:val="none"/>
          <w:u w:val="single"/>
        </w:rPr>
        <w:t>          </w:t>
      </w:r>
    </w:p>
    <w:p>
      <w:pPr>
        <w:snapToGrid w:val="0"/>
        <w:spacing w:line="360" w:lineRule="auto"/>
        <w:ind w:left="596" w:leftChars="284"/>
        <w:jc w:val="left"/>
        <w:rPr>
          <w:rFonts w:ascii="宋体" w:hAnsi="宋体" w:cs="宋体"/>
          <w:color w:val="auto"/>
          <w:sz w:val="24"/>
          <w:highlight w:val="none"/>
        </w:rPr>
      </w:pP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承包人提供的文件的期限为：</w:t>
      </w:r>
      <w:r>
        <w:rPr>
          <w:rFonts w:hint="eastAsia" w:ascii="宋体" w:hAnsi="宋体" w:cs="宋体"/>
          <w:color w:val="auto"/>
          <w:sz w:val="24"/>
          <w:highlight w:val="none"/>
          <w:u w:val="single"/>
        </w:rPr>
        <w:t>     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承包人提供的文件的数量为：</w:t>
      </w:r>
      <w:r>
        <w:rPr>
          <w:rFonts w:hint="eastAsia" w:ascii="宋体" w:hAnsi="宋体" w:cs="宋体"/>
          <w:color w:val="auto"/>
          <w:sz w:val="24"/>
          <w:highlight w:val="none"/>
          <w:u w:val="single"/>
        </w:rPr>
        <w:t>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承包人提供的文件的形式为：</w:t>
      </w:r>
      <w:r>
        <w:rPr>
          <w:rFonts w:hint="eastAsia" w:ascii="宋体" w:hAnsi="宋体" w:cs="宋体"/>
          <w:color w:val="auto"/>
          <w:sz w:val="24"/>
          <w:highlight w:val="none"/>
          <w:u w:val="single"/>
        </w:rPr>
        <w:t>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发包人审批承包人文件的期限：</w:t>
      </w:r>
      <w:r>
        <w:rPr>
          <w:rFonts w:hint="eastAsia" w:ascii="宋体" w:hAnsi="宋体" w:cs="宋体"/>
          <w:color w:val="auto"/>
          <w:sz w:val="24"/>
          <w:highlight w:val="none"/>
          <w:u w:val="single"/>
        </w:rPr>
        <w:t> 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 现场图纸准备</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关于现场图纸准备的约定：</w:t>
      </w:r>
      <w:r>
        <w:rPr>
          <w:rFonts w:hint="eastAsia" w:ascii="宋体" w:hAnsi="宋体" w:cs="宋体"/>
          <w:color w:val="auto"/>
          <w:sz w:val="24"/>
          <w:highlight w:val="none"/>
          <w:u w:val="single"/>
        </w:rPr>
        <w:t>   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 联络</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1.7.1发包人和承包人应当在</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天内将与合同有关的通知、批准、证明、证书、指示、指令、要求、请求、同意、意见、确定和决定等书面函件送达对方当事人。</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1.7.2 发包人接收文件的地点：</w:t>
      </w:r>
      <w:r>
        <w:rPr>
          <w:rFonts w:hint="eastAsia" w:ascii="宋体" w:hAnsi="宋体" w:cs="宋体"/>
          <w:color w:val="auto"/>
          <w:sz w:val="24"/>
          <w:highlight w:val="none"/>
          <w:u w:val="single"/>
        </w:rPr>
        <w:t>      </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发包人指定的接收人为：</w:t>
      </w:r>
      <w:r>
        <w:rPr>
          <w:rFonts w:hint="eastAsia" w:ascii="宋体" w:hAnsi="宋体" w:cs="宋体"/>
          <w:color w:val="auto"/>
          <w:sz w:val="24"/>
          <w:highlight w:val="none"/>
          <w:u w:val="single"/>
        </w:rPr>
        <w:t>               </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承包人接收文件的地点：</w:t>
      </w:r>
      <w:r>
        <w:rPr>
          <w:rFonts w:hint="eastAsia" w:ascii="宋体" w:hAnsi="宋体" w:cs="宋体"/>
          <w:color w:val="auto"/>
          <w:sz w:val="24"/>
          <w:highlight w:val="none"/>
          <w:u w:val="single"/>
        </w:rPr>
        <w:t>             </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承包人指定的接收人为：</w:t>
      </w:r>
      <w:r>
        <w:rPr>
          <w:rFonts w:hint="eastAsia" w:ascii="宋体" w:hAnsi="宋体" w:cs="宋体"/>
          <w:color w:val="auto"/>
          <w:sz w:val="24"/>
          <w:highlight w:val="none"/>
          <w:u w:val="single"/>
        </w:rPr>
        <w:t>             </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监理人接收文件的地点：</w:t>
      </w:r>
      <w:r>
        <w:rPr>
          <w:rFonts w:hint="eastAsia" w:ascii="宋体" w:hAnsi="宋体" w:cs="宋体"/>
          <w:color w:val="auto"/>
          <w:sz w:val="24"/>
          <w:highlight w:val="none"/>
          <w:u w:val="single"/>
        </w:rPr>
        <w:t>            </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监理人指定的接收人为：</w:t>
      </w:r>
      <w:r>
        <w:rPr>
          <w:rFonts w:hint="eastAsia" w:ascii="宋体" w:hAnsi="宋体" w:cs="宋体"/>
          <w:color w:val="auto"/>
          <w:sz w:val="24"/>
          <w:highlight w:val="none"/>
          <w:u w:val="single"/>
        </w:rPr>
        <w:t>            </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1.10 交通运输</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bookmarkStart w:id="473" w:name="_Toc300934943"/>
      <w:bookmarkStart w:id="474" w:name="_Toc318581155"/>
      <w:bookmarkStart w:id="475" w:name="_Toc303539100"/>
      <w:bookmarkStart w:id="476" w:name="_Toc312677986"/>
      <w:bookmarkStart w:id="477" w:name="_Toc304295521"/>
      <w:r>
        <w:rPr>
          <w:rFonts w:hint="eastAsia" w:ascii="宋体" w:hAnsi="宋体" w:cs="宋体"/>
          <w:color w:val="auto"/>
          <w:sz w:val="24"/>
          <w:highlight w:val="none"/>
        </w:rPr>
        <w:t>.10.1 出入现场的权利</w:t>
      </w:r>
    </w:p>
    <w:p>
      <w:pPr>
        <w:snapToGrid w:val="0"/>
        <w:spacing w:line="360" w:lineRule="auto"/>
        <w:ind w:left="596" w:leftChars="284"/>
        <w:rPr>
          <w:rFonts w:ascii="宋体" w:hAnsi="宋体" w:cs="宋体"/>
          <w:color w:val="auto"/>
          <w:sz w:val="24"/>
          <w:highlight w:val="none"/>
          <w:u w:val="single"/>
        </w:rPr>
      </w:pPr>
      <w:r>
        <w:rPr>
          <w:rFonts w:hint="eastAsia" w:ascii="宋体" w:hAnsi="宋体" w:cs="宋体"/>
          <w:color w:val="auto"/>
          <w:sz w:val="24"/>
          <w:highlight w:val="none"/>
        </w:rPr>
        <w:t>关于出入现场的权利的约定：</w:t>
      </w:r>
      <w:r>
        <w:rPr>
          <w:rFonts w:hint="eastAsia" w:ascii="宋体" w:hAnsi="宋体" w:cs="宋体"/>
          <w:color w:val="auto"/>
          <w:sz w:val="24"/>
          <w:highlight w:val="none"/>
          <w:u w:val="single"/>
        </w:rPr>
        <w:t> 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                             </w:t>
      </w:r>
      <w:r>
        <w:rPr>
          <w:rFonts w:hint="eastAsia" w:ascii="宋体" w:hAnsi="宋体" w:cs="宋体"/>
          <w:color w:val="auto"/>
          <w:sz w:val="24"/>
          <w:highlight w:val="none"/>
        </w:rPr>
        <w:t>。</w:t>
      </w:r>
    </w:p>
    <w:bookmarkEnd w:id="473"/>
    <w:bookmarkEnd w:id="474"/>
    <w:bookmarkEnd w:id="475"/>
    <w:bookmarkEnd w:id="476"/>
    <w:bookmarkEnd w:id="477"/>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bookmarkStart w:id="478" w:name="_Toc312677987"/>
      <w:bookmarkStart w:id="479" w:name="_Toc318581156"/>
      <w:bookmarkStart w:id="480" w:name="_Toc303539101"/>
      <w:bookmarkStart w:id="481" w:name="_Toc300934944"/>
      <w:bookmarkStart w:id="482" w:name="_Toc304295522"/>
      <w:r>
        <w:rPr>
          <w:rFonts w:hint="eastAsia" w:ascii="宋体" w:hAnsi="宋体" w:cs="宋体"/>
          <w:color w:val="auto"/>
          <w:sz w:val="24"/>
          <w:highlight w:val="none"/>
        </w:rPr>
        <w:t>.10.3 场内交通</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关于场外交通和场内交通的边界的约定：</w:t>
      </w:r>
      <w:r>
        <w:rPr>
          <w:rFonts w:hint="eastAsia" w:ascii="宋体" w:hAnsi="宋体" w:cs="宋体"/>
          <w:color w:val="auto"/>
          <w:sz w:val="24"/>
          <w:highlight w:val="none"/>
          <w:u w:val="single"/>
        </w:rPr>
        <w:t>        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关于发包人向承包人免费提供满足工程施工需要的场内道路和交通设施的约定：</w:t>
      </w:r>
      <w:r>
        <w:rPr>
          <w:rFonts w:hint="eastAsia" w:ascii="宋体" w:hAnsi="宋体" w:cs="宋体"/>
          <w:color w:val="auto"/>
          <w:sz w:val="24"/>
          <w:highlight w:val="none"/>
          <w:u w:val="single"/>
        </w:rPr>
        <w:t>                                        </w:t>
      </w:r>
      <w:r>
        <w:rPr>
          <w:rFonts w:hint="eastAsia" w:ascii="宋体" w:hAnsi="宋体" w:cs="宋体"/>
          <w:color w:val="auto"/>
          <w:sz w:val="24"/>
          <w:highlight w:val="none"/>
        </w:rPr>
        <w:t>。</w:t>
      </w:r>
      <w:bookmarkEnd w:id="478"/>
      <w:bookmarkEnd w:id="479"/>
      <w:bookmarkEnd w:id="480"/>
      <w:bookmarkEnd w:id="481"/>
      <w:bookmarkEnd w:id="482"/>
      <w:bookmarkStart w:id="483" w:name="_Toc318581157"/>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1.10.4超大件和超重件的运输</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运输超大件或超重件所需的道路和桥梁临时加固改造费用和其他有关费用由承担。</w:t>
      </w:r>
    </w:p>
    <w:bookmarkEnd w:id="483"/>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 知识产权</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 w:val="24"/>
          <w:highlight w:val="none"/>
          <w:u w:val="single"/>
        </w:rPr>
        <w:t xml:space="preserve">                                                        </w:t>
      </w:r>
      <w:r>
        <w:rPr>
          <w:rFonts w:hint="eastAsia" w:ascii="宋体" w:hAnsi="宋体" w:cs="宋体"/>
          <w:color w:val="auto"/>
          <w:sz w:val="24"/>
          <w:highlight w:val="none"/>
        </w:rPr>
        <w:t>。</w:t>
      </w:r>
    </w:p>
    <w:p>
      <w:pPr>
        <w:snapToGrid w:val="0"/>
        <w:spacing w:line="360" w:lineRule="auto"/>
        <w:ind w:left="596" w:leftChars="284"/>
        <w:rPr>
          <w:rFonts w:ascii="宋体" w:hAnsi="宋体" w:cs="宋体"/>
          <w:color w:val="auto"/>
          <w:sz w:val="24"/>
          <w:highlight w:val="none"/>
        </w:rPr>
      </w:pPr>
      <w:r>
        <w:rPr>
          <w:rFonts w:hint="eastAsia" w:ascii="宋体" w:hAnsi="宋体" w:cs="宋体"/>
          <w:color w:val="auto"/>
          <w:sz w:val="24"/>
          <w:highlight w:val="none"/>
        </w:rPr>
        <w:t>关于发包人提供的上述文件的使用限制的要求：</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left="596" w:leftChars="284"/>
        <w:rPr>
          <w:rFonts w:ascii="宋体" w:hAnsi="宋体" w:cs="宋体"/>
          <w:color w:val="auto"/>
          <w:sz w:val="24"/>
          <w:highlight w:val="none"/>
        </w:rPr>
      </w:pPr>
      <w:r>
        <w:rPr>
          <w:rFonts w:hint="eastAsia" w:ascii="宋体" w:hAnsi="宋体" w:cs="宋体"/>
          <w:color w:val="auto"/>
          <w:sz w:val="24"/>
          <w:highlight w:val="none"/>
        </w:rPr>
        <w:t>1.11.2 关于承包人为实施工程所编制文件的著作权的归属：</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       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关于承包人提供的上述文件的使用限制的要求：</w:t>
      </w:r>
      <w:r>
        <w:rPr>
          <w:rFonts w:hint="eastAsia" w:ascii="宋体" w:hAnsi="宋体" w:cs="宋体"/>
          <w:color w:val="auto"/>
          <w:sz w:val="24"/>
          <w:highlight w:val="none"/>
          <w:u w:val="single"/>
        </w:rPr>
        <w:t>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                         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1.11.4 承包人在施工过程中所采用的专利、专有技术、技术秘密的使用费的承担方式：</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1.13工程量清单错误的修正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出现工程量清单错误时，是否调整合同价格：</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允许调整合同价格的工程量偏差范围：</w:t>
      </w:r>
      <w:r>
        <w:rPr>
          <w:rFonts w:hint="eastAsia" w:ascii="宋体" w:hAnsi="宋体" w:cs="宋体"/>
          <w:color w:val="auto"/>
          <w:sz w:val="24"/>
          <w:highlight w:val="none"/>
          <w:u w:val="singl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pPr>
        <w:keepNext/>
        <w:keepLines/>
        <w:tabs>
          <w:tab w:val="left" w:pos="864"/>
        </w:tabs>
        <w:snapToGrid w:val="0"/>
        <w:spacing w:line="360" w:lineRule="auto"/>
        <w:ind w:left="862" w:hanging="862"/>
        <w:rPr>
          <w:rFonts w:ascii="宋体" w:hAnsi="宋体" w:cs="宋体"/>
          <w:color w:val="auto"/>
          <w:sz w:val="24"/>
          <w:highlight w:val="none"/>
        </w:rPr>
      </w:pPr>
      <w:bookmarkStart w:id="484" w:name="_Toc351203634"/>
      <w:r>
        <w:rPr>
          <w:rFonts w:hint="eastAsia" w:ascii="宋体" w:hAnsi="宋体" w:cs="宋体"/>
          <w:color w:val="auto"/>
          <w:sz w:val="24"/>
          <w:highlight w:val="none"/>
        </w:rPr>
        <w:t>2</w:t>
      </w:r>
      <w:bookmarkStart w:id="485" w:name="_Toc296503157"/>
      <w:bookmarkStart w:id="486" w:name="_Toc292559362"/>
      <w:bookmarkStart w:id="487" w:name="_Toc296347156"/>
      <w:bookmarkStart w:id="488" w:name="_Toc296890985"/>
      <w:bookmarkStart w:id="489" w:name="_Toc296891197"/>
      <w:bookmarkStart w:id="490" w:name="_Toc292559867"/>
      <w:bookmarkStart w:id="491" w:name="_Toc297048343"/>
      <w:bookmarkStart w:id="492" w:name="_Toc296346658"/>
      <w:bookmarkStart w:id="493" w:name="_Toc296944496"/>
      <w:bookmarkStart w:id="494" w:name="_Toc297120457"/>
      <w:r>
        <w:rPr>
          <w:rFonts w:hint="eastAsia" w:ascii="宋体" w:hAnsi="宋体" w:cs="宋体"/>
          <w:color w:val="auto"/>
          <w:sz w:val="24"/>
          <w:highlight w:val="none"/>
        </w:rPr>
        <w:t>. 发包人</w:t>
      </w:r>
      <w:bookmarkEnd w:id="484"/>
    </w:p>
    <w:bookmarkEnd w:id="485"/>
    <w:bookmarkEnd w:id="486"/>
    <w:bookmarkEnd w:id="487"/>
    <w:bookmarkEnd w:id="488"/>
    <w:bookmarkEnd w:id="489"/>
    <w:bookmarkEnd w:id="490"/>
    <w:bookmarkEnd w:id="491"/>
    <w:bookmarkEnd w:id="492"/>
    <w:bookmarkEnd w:id="493"/>
    <w:bookmarkEnd w:id="494"/>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发包人代表</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发包人代表：</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身份证号：</w:t>
      </w:r>
      <w:r>
        <w:rPr>
          <w:rFonts w:hint="eastAsia" w:ascii="宋体" w:hAnsi="宋体" w:cs="宋体"/>
          <w:color w:val="auto"/>
          <w:sz w:val="24"/>
          <w:highlight w:val="none"/>
          <w:u w:val="single"/>
        </w:rPr>
        <w:t> 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 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 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发包人对发包人代表的授权范围如下：</w:t>
      </w:r>
      <w:r>
        <w:rPr>
          <w:rFonts w:hint="eastAsia" w:ascii="宋体" w:hAnsi="宋体" w:cs="宋体"/>
          <w:color w:val="auto"/>
          <w:sz w:val="24"/>
          <w:highlight w:val="none"/>
          <w:u w:val="single"/>
        </w:rPr>
        <w:t>     </w:t>
      </w:r>
    </w:p>
    <w:p>
      <w:pPr>
        <w:snapToGrid w:val="0"/>
        <w:spacing w:line="360" w:lineRule="auto"/>
        <w:rPr>
          <w:rFonts w:ascii="宋体" w:hAnsi="宋体" w:cs="宋体"/>
          <w:b/>
          <w:color w:val="auto"/>
          <w:sz w:val="24"/>
          <w:highlight w:val="none"/>
        </w:rPr>
      </w:pP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施工现场、施工条件和基础资料的提供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 提供施工现场</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关于发包人移交施工现场的期限要求：</w:t>
      </w:r>
      <w:r>
        <w:rPr>
          <w:rFonts w:hint="eastAsia" w:ascii="宋体" w:hAnsi="宋体" w:cs="宋体"/>
          <w:color w:val="auto"/>
          <w:sz w:val="24"/>
          <w:highlight w:val="none"/>
          <w:u w:val="single"/>
        </w:rPr>
        <w:t xml:space="preserve">                                  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 提供施工条件</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关于发包人应负责提供施工所需要的条件，包括：</w:t>
      </w:r>
      <w:r>
        <w:rPr>
          <w:rFonts w:hint="eastAsia" w:ascii="宋体" w:hAnsi="宋体" w:cs="宋体"/>
          <w:color w:val="auto"/>
          <w:sz w:val="24"/>
          <w:highlight w:val="none"/>
          <w:u w:val="single"/>
        </w:rPr>
        <w:t xml:space="preserve">  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 资金来源证明及支付担保</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发包人提供资金来源证明的期限要求：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发包人是否提供支付担保：</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发包人提供支付担保的形式：</w:t>
      </w:r>
      <w:r>
        <w:rPr>
          <w:rFonts w:hint="eastAsia" w:ascii="宋体" w:hAnsi="宋体" w:cs="宋体"/>
          <w:color w:val="auto"/>
          <w:sz w:val="24"/>
          <w:highlight w:val="none"/>
          <w:u w:val="single"/>
        </w:rPr>
        <w:t>                     </w:t>
      </w:r>
      <w:r>
        <w:rPr>
          <w:rFonts w:hint="eastAsia" w:ascii="宋体" w:hAnsi="宋体" w:cs="宋体"/>
          <w:color w:val="auto"/>
          <w:sz w:val="24"/>
          <w:highlight w:val="none"/>
        </w:rPr>
        <w:t>。</w:t>
      </w:r>
    </w:p>
    <w:p>
      <w:pPr>
        <w:keepNext/>
        <w:keepLines/>
        <w:tabs>
          <w:tab w:val="left" w:pos="864"/>
        </w:tabs>
        <w:snapToGrid w:val="0"/>
        <w:spacing w:line="360" w:lineRule="auto"/>
        <w:ind w:left="862" w:hanging="862"/>
        <w:rPr>
          <w:rFonts w:ascii="宋体" w:hAnsi="宋体" w:cs="宋体"/>
          <w:color w:val="auto"/>
          <w:sz w:val="24"/>
          <w:highlight w:val="none"/>
        </w:rPr>
      </w:pPr>
      <w:bookmarkStart w:id="495" w:name="_Toc351203635"/>
      <w:r>
        <w:rPr>
          <w:rFonts w:hint="eastAsia" w:ascii="宋体" w:hAnsi="宋体" w:cs="宋体"/>
          <w:color w:val="auto"/>
          <w:sz w:val="24"/>
          <w:highlight w:val="none"/>
        </w:rPr>
        <w:t>3</w:t>
      </w:r>
      <w:bookmarkStart w:id="496" w:name="_Toc296503158"/>
      <w:bookmarkStart w:id="497" w:name="_Toc292559363"/>
      <w:bookmarkStart w:id="498" w:name="_Toc296944497"/>
      <w:bookmarkStart w:id="499" w:name="_Toc297120458"/>
      <w:bookmarkStart w:id="500" w:name="_Toc296347157"/>
      <w:bookmarkStart w:id="501" w:name="_Toc297048344"/>
      <w:bookmarkStart w:id="502" w:name="_Toc296890986"/>
      <w:bookmarkStart w:id="503" w:name="_Toc292559868"/>
      <w:bookmarkStart w:id="504" w:name="_Toc296346659"/>
      <w:bookmarkStart w:id="505" w:name="_Toc296891198"/>
      <w:r>
        <w:rPr>
          <w:rFonts w:hint="eastAsia" w:ascii="宋体" w:hAnsi="宋体" w:cs="宋体"/>
          <w:color w:val="auto"/>
          <w:sz w:val="24"/>
          <w:highlight w:val="none"/>
        </w:rPr>
        <w:t>. 承包人</w:t>
      </w:r>
      <w:bookmarkEnd w:id="495"/>
    </w:p>
    <w:bookmarkEnd w:id="496"/>
    <w:bookmarkEnd w:id="497"/>
    <w:bookmarkEnd w:id="498"/>
    <w:bookmarkEnd w:id="499"/>
    <w:bookmarkEnd w:id="500"/>
    <w:bookmarkEnd w:id="501"/>
    <w:bookmarkEnd w:id="502"/>
    <w:bookmarkEnd w:id="503"/>
    <w:bookmarkEnd w:id="504"/>
    <w:bookmarkEnd w:id="505"/>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承包人的一般义务</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kern w:val="0"/>
          <w:sz w:val="24"/>
          <w:highlight w:val="none"/>
        </w:rPr>
        <w:t>（9）</w:t>
      </w:r>
      <w:r>
        <w:rPr>
          <w:rFonts w:hint="eastAsia" w:ascii="宋体" w:hAnsi="宋体" w:cs="宋体"/>
          <w:color w:val="auto"/>
          <w:sz w:val="24"/>
          <w:highlight w:val="none"/>
        </w:rPr>
        <w:t>承包人提交的竣工资料的内容：</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承包人需要提交的竣工资料套数：。</w:t>
      </w:r>
    </w:p>
    <w:p>
      <w:pPr>
        <w:snapToGrid w:val="0"/>
        <w:spacing w:line="360" w:lineRule="auto"/>
        <w:ind w:left="638" w:leftChars="304"/>
        <w:jc w:val="left"/>
        <w:rPr>
          <w:rFonts w:ascii="宋体" w:hAnsi="宋体" w:cs="宋体"/>
          <w:color w:val="auto"/>
          <w:sz w:val="24"/>
          <w:highlight w:val="none"/>
        </w:rPr>
      </w:pPr>
      <w:r>
        <w:rPr>
          <w:rFonts w:hint="eastAsia" w:ascii="宋体" w:hAnsi="宋体" w:cs="宋体"/>
          <w:color w:val="auto"/>
          <w:sz w:val="24"/>
          <w:highlight w:val="none"/>
        </w:rPr>
        <w:t>承包人提交的竣工资料的费用承担：。</w:t>
      </w:r>
    </w:p>
    <w:p>
      <w:pPr>
        <w:snapToGrid w:val="0"/>
        <w:spacing w:line="360" w:lineRule="auto"/>
        <w:ind w:left="638" w:leftChars="304"/>
        <w:jc w:val="left"/>
        <w:rPr>
          <w:rFonts w:ascii="宋体" w:hAnsi="宋体" w:cs="宋体"/>
          <w:color w:val="auto"/>
          <w:sz w:val="24"/>
          <w:highlight w:val="none"/>
        </w:rPr>
      </w:pPr>
      <w:r>
        <w:rPr>
          <w:rFonts w:hint="eastAsia" w:ascii="宋体" w:hAnsi="宋体" w:cs="宋体"/>
          <w:color w:val="auto"/>
          <w:sz w:val="24"/>
          <w:highlight w:val="none"/>
        </w:rPr>
        <w:t>承包人提交的竣工资料移交时间：。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承包人提交的竣工资料形式要求：。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（10）承包人应履行的其他义务：</w:t>
      </w:r>
      <w:r>
        <w:rPr>
          <w:rFonts w:hint="eastAsia" w:ascii="宋体" w:hAnsi="宋体" w:cs="宋体"/>
          <w:color w:val="auto"/>
          <w:sz w:val="24"/>
          <w:highlight w:val="none"/>
          <w:u w:val="single"/>
        </w:rPr>
        <w:t xml:space="preserve">             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项目经理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 xml:space="preserve">3.2.1 </w:t>
      </w:r>
      <w:r>
        <w:rPr>
          <w:rFonts w:hint="eastAsia" w:ascii="宋体" w:hAnsi="宋体" w:cs="宋体"/>
          <w:color w:val="auto"/>
          <w:sz w:val="24"/>
          <w:highlight w:val="none"/>
        </w:rPr>
        <w:t>项目经理：</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身份证号：</w:t>
      </w:r>
      <w:r>
        <w:rPr>
          <w:rFonts w:hint="eastAsia" w:ascii="宋体" w:hAnsi="宋体" w:cs="宋体"/>
          <w:color w:val="auto"/>
          <w:sz w:val="24"/>
          <w:highlight w:val="none"/>
          <w:u w:val="single"/>
        </w:rPr>
        <w:t>  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建造师执业资格等级：</w:t>
      </w:r>
      <w:r>
        <w:rPr>
          <w:rFonts w:hint="eastAsia" w:ascii="宋体" w:hAnsi="宋体" w:cs="宋体"/>
          <w:color w:val="auto"/>
          <w:sz w:val="24"/>
          <w:highlight w:val="none"/>
          <w:u w:val="single"/>
        </w:rPr>
        <w:t>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建造师注册证书号：</w:t>
      </w:r>
      <w:r>
        <w:rPr>
          <w:rFonts w:hint="eastAsia" w:ascii="宋体" w:hAnsi="宋体" w:cs="宋体"/>
          <w:color w:val="auto"/>
          <w:sz w:val="24"/>
          <w:highlight w:val="none"/>
          <w:u w:val="single"/>
        </w:rPr>
        <w:t>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建造师执业印章号：</w:t>
      </w:r>
      <w:r>
        <w:rPr>
          <w:rFonts w:hint="eastAsia" w:ascii="宋体" w:hAnsi="宋体" w:cs="宋体"/>
          <w:color w:val="auto"/>
          <w:sz w:val="24"/>
          <w:highlight w:val="none"/>
          <w:u w:val="single"/>
        </w:rPr>
        <w:t>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安全生产考核合格证书号：</w:t>
      </w:r>
      <w:r>
        <w:rPr>
          <w:rFonts w:hint="eastAsia" w:ascii="宋体" w:hAnsi="宋体" w:cs="宋体"/>
          <w:color w:val="auto"/>
          <w:sz w:val="24"/>
          <w:highlight w:val="none"/>
          <w:u w:val="single"/>
        </w:rPr>
        <w:t>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承包人对项目经理的授权范围如下：</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关于项目经理每月在施工现场的时间要求：</w:t>
      </w:r>
      <w:r>
        <w:rPr>
          <w:rFonts w:hint="eastAsia" w:ascii="宋体" w:hAnsi="宋体" w:cs="宋体"/>
          <w:color w:val="auto"/>
          <w:sz w:val="24"/>
          <w:highlight w:val="none"/>
          <w:u w:val="single"/>
        </w:rPr>
        <w:t xml:space="preserve">          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承包人未提交劳动合同，以及没有为项目经理缴纳社会保险证明的违约责任：</w:t>
      </w:r>
      <w:r>
        <w:rPr>
          <w:rFonts w:hint="eastAsia" w:ascii="宋体" w:hAnsi="宋体" w:cs="宋体"/>
          <w:color w:val="auto"/>
          <w:sz w:val="24"/>
          <w:highlight w:val="none"/>
          <w:u w:val="single"/>
        </w:rPr>
        <w:t xml:space="preserve">                    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t>项目经理未经批准，擅自离开施工现场的违约责任：</w:t>
      </w:r>
      <w:r>
        <w:rPr>
          <w:rFonts w:hint="eastAsia" w:ascii="宋体" w:hAnsi="宋体" w:cs="宋体"/>
          <w:color w:val="auto"/>
          <w:sz w:val="24"/>
          <w:highlight w:val="none"/>
          <w:u w:val="single"/>
        </w:rPr>
        <w:t xml:space="preserve">           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 承包人擅自更换项目经理的违约责任：</w:t>
      </w:r>
      <w:r>
        <w:rPr>
          <w:rFonts w:hint="eastAsia" w:ascii="宋体" w:hAnsi="宋体" w:cs="宋体"/>
          <w:color w:val="auto"/>
          <w:sz w:val="24"/>
          <w:highlight w:val="none"/>
          <w:u w:val="single"/>
        </w:rPr>
        <w:t xml:space="preserve">     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                                         </w:t>
      </w:r>
      <w:r>
        <w:rPr>
          <w:rFonts w:hint="eastAsia" w:ascii="宋体" w:hAnsi="宋体" w:cs="宋体"/>
          <w:color w:val="auto"/>
          <w:sz w:val="24"/>
          <w:highlight w:val="none"/>
        </w:rPr>
        <w:t>。</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3.2.4 承包人无正当理由拒绝更换项目经理的违约责任：</w:t>
      </w:r>
      <w:r>
        <w:rPr>
          <w:rFonts w:hint="eastAsia" w:ascii="宋体" w:hAnsi="宋体" w:cs="宋体"/>
          <w:color w:val="auto"/>
          <w:sz w:val="24"/>
          <w:highlight w:val="none"/>
          <w:u w:val="single"/>
        </w:rPr>
        <w:t xml:space="preserve">  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 承包人人员</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 承包人提交项目管理机构及施工现场管理人员安排报告的期限：</w:t>
      </w:r>
      <w:r>
        <w:rPr>
          <w:rFonts w:hint="eastAsia" w:ascii="宋体" w:hAnsi="宋体" w:cs="宋体"/>
          <w:color w:val="auto"/>
          <w:sz w:val="24"/>
          <w:highlight w:val="none"/>
          <w:u w:val="single"/>
        </w:rPr>
        <w:t xml:space="preserve">  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 承包人无正当理由拒绝撤换主要施工管理人员的违约责任：</w:t>
      </w:r>
      <w:r>
        <w:rPr>
          <w:rFonts w:hint="eastAsia" w:ascii="宋体" w:hAnsi="宋体" w:cs="宋体"/>
          <w:color w:val="auto"/>
          <w:sz w:val="24"/>
          <w:highlight w:val="none"/>
          <w:u w:val="single"/>
        </w:rPr>
        <w:t xml:space="preserve">                          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 xml:space="preserve">3.3.4 承包人主要施工管理人员离开施工现场的批准要求：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3.3.5承包人擅自更换主要施工管理人员的违约责任：</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承包人主要施工管理人员擅自离开施工现场的违约责任：</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bookmarkStart w:id="506" w:name="_Toc297123492"/>
      <w:bookmarkStart w:id="507" w:name="_Toc300934945"/>
      <w:bookmarkStart w:id="508" w:name="_Toc292559869"/>
      <w:bookmarkStart w:id="509" w:name="_Toc303539102"/>
      <w:bookmarkStart w:id="510" w:name="_Toc297120459"/>
      <w:bookmarkStart w:id="511" w:name="_Toc296890987"/>
      <w:bookmarkStart w:id="512" w:name="_Toc312677988"/>
      <w:bookmarkStart w:id="513" w:name="_Toc296503159"/>
      <w:bookmarkStart w:id="514" w:name="_Toc297048345"/>
      <w:bookmarkStart w:id="515" w:name="_Toc296346660"/>
      <w:bookmarkStart w:id="516" w:name="_Toc296891199"/>
      <w:bookmarkStart w:id="517" w:name="_Toc304295523"/>
      <w:bookmarkStart w:id="518" w:name="_Toc296347158"/>
      <w:bookmarkStart w:id="519" w:name="_Toc297216151"/>
      <w:bookmarkStart w:id="520" w:name="_Toc292559364"/>
      <w:bookmarkStart w:id="521" w:name="_Toc296944498"/>
      <w:r>
        <w:rPr>
          <w:rFonts w:hint="eastAsia" w:ascii="宋体" w:hAnsi="宋体" w:cs="宋体"/>
          <w:color w:val="auto"/>
          <w:sz w:val="24"/>
          <w:highlight w:val="none"/>
        </w:rPr>
        <w:t>.5 分包</w:t>
      </w:r>
    </w:p>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bookmarkStart w:id="522" w:name="_Toc303539103"/>
      <w:bookmarkStart w:id="523" w:name="_Toc297123493"/>
      <w:bookmarkStart w:id="524" w:name="_Toc300934946"/>
      <w:bookmarkStart w:id="525" w:name="_Toc297120460"/>
      <w:bookmarkStart w:id="526" w:name="_Toc292559365"/>
      <w:bookmarkStart w:id="527" w:name="_Toc292559870"/>
      <w:bookmarkStart w:id="528" w:name="_Toc296891200"/>
      <w:bookmarkStart w:id="529" w:name="_Toc296944499"/>
      <w:bookmarkStart w:id="530" w:name="_Toc297048346"/>
      <w:bookmarkStart w:id="531" w:name="_Toc296347159"/>
      <w:bookmarkStart w:id="532" w:name="_Toc296503160"/>
      <w:bookmarkStart w:id="533" w:name="_Toc296346661"/>
      <w:bookmarkStart w:id="534" w:name="_Toc297216152"/>
      <w:bookmarkStart w:id="535" w:name="_Toc304295524"/>
      <w:bookmarkStart w:id="536" w:name="_Toc296890988"/>
      <w:bookmarkStart w:id="537" w:name="_Toc318581158"/>
      <w:bookmarkStart w:id="538" w:name="_Toc312677989"/>
      <w:r>
        <w:rPr>
          <w:rFonts w:hint="eastAsia" w:ascii="宋体" w:hAnsi="宋体" w:cs="宋体"/>
          <w:color w:val="auto"/>
          <w:sz w:val="24"/>
          <w:highlight w:val="none"/>
        </w:rPr>
        <w:t>.5.1 分包的一般约定</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禁止分包的工程包括：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主体结构、关键性工作的范围：</w:t>
      </w:r>
      <w:r>
        <w:rPr>
          <w:rFonts w:hint="eastAsia" w:ascii="宋体" w:hAnsi="宋体" w:cs="宋体"/>
          <w:color w:val="auto"/>
          <w:sz w:val="24"/>
          <w:highlight w:val="none"/>
          <w:u w:val="single"/>
        </w:rPr>
        <w:t xml:space="preserve">                      </w:t>
      </w:r>
    </w:p>
    <w:p>
      <w:pPr>
        <w:snapToGrid w:val="0"/>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rPr>
        <w:t>。</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Start w:id="539" w:name="_Toc297123494"/>
      <w:bookmarkStart w:id="540" w:name="_Toc296944500"/>
      <w:bookmarkStart w:id="541" w:name="_Toc296346662"/>
      <w:bookmarkStart w:id="542" w:name="_Toc304295525"/>
      <w:bookmarkStart w:id="543" w:name="_Toc297216153"/>
      <w:bookmarkStart w:id="544" w:name="_Toc300934947"/>
      <w:bookmarkStart w:id="545" w:name="_Toc297048347"/>
      <w:bookmarkStart w:id="546" w:name="_Toc296347160"/>
      <w:bookmarkStart w:id="547" w:name="_Toc297120461"/>
      <w:bookmarkStart w:id="548" w:name="_Toc296891201"/>
      <w:bookmarkStart w:id="549" w:name="_Toc296890989"/>
      <w:bookmarkStart w:id="550" w:name="_Toc303539104"/>
      <w:bookmarkStart w:id="551" w:name="_Toc296503161"/>
    </w:p>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bookmarkStart w:id="552" w:name="_Toc318581159"/>
      <w:bookmarkStart w:id="553" w:name="_Toc312677990"/>
      <w:r>
        <w:rPr>
          <w:rFonts w:hint="eastAsia" w:ascii="宋体" w:hAnsi="宋体" w:cs="宋体"/>
          <w:color w:val="auto"/>
          <w:sz w:val="24"/>
          <w:highlight w:val="none"/>
        </w:rPr>
        <w:t>.5.2分包的确定</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允许分包的专业工程包括：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其他关于分包的约定：</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3.5.4 分包合同价款</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关于分包合同价款支付的约定：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bookmarkEnd w:id="552"/>
    <w:bookmarkEnd w:id="553"/>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 工程照管与成品、半成品保护</w:t>
      </w:r>
    </w:p>
    <w:p>
      <w:pPr>
        <w:snapToGrid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承包人负责照管工程及工程相关的材料、工程设备的起始时间：。</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3.7 履约担保</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承包人是否提供履约担保：。</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承包人提供履约担保的形式、金额及期限的：</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p>
      <w:pPr>
        <w:keepNext/>
        <w:keepLines/>
        <w:tabs>
          <w:tab w:val="left" w:pos="864"/>
        </w:tabs>
        <w:snapToGrid w:val="0"/>
        <w:spacing w:line="360" w:lineRule="auto"/>
        <w:ind w:left="862" w:hanging="862"/>
        <w:rPr>
          <w:rFonts w:ascii="宋体" w:hAnsi="宋体" w:cs="宋体"/>
          <w:color w:val="auto"/>
          <w:sz w:val="24"/>
          <w:highlight w:val="none"/>
        </w:rPr>
      </w:pPr>
      <w:bookmarkStart w:id="554" w:name="_Toc351203636"/>
      <w:r>
        <w:rPr>
          <w:rFonts w:hint="eastAsia" w:ascii="宋体" w:hAnsi="宋体" w:cs="宋体"/>
          <w:color w:val="auto"/>
          <w:sz w:val="24"/>
          <w:highlight w:val="none"/>
        </w:rPr>
        <w:t>4</w:t>
      </w:r>
      <w:bookmarkStart w:id="555" w:name="_Toc296346663"/>
      <w:bookmarkStart w:id="556" w:name="_Toc292559366"/>
      <w:bookmarkStart w:id="557" w:name="_Toc296891202"/>
      <w:bookmarkStart w:id="558" w:name="_Toc296890990"/>
      <w:bookmarkStart w:id="559" w:name="_Toc296347161"/>
      <w:bookmarkStart w:id="560" w:name="_Toc296944501"/>
      <w:bookmarkStart w:id="561" w:name="_Toc292559871"/>
      <w:bookmarkStart w:id="562" w:name="_Toc267251413"/>
      <w:bookmarkStart w:id="563" w:name="_Toc296503162"/>
      <w:bookmarkStart w:id="564" w:name="_Toc297120462"/>
      <w:bookmarkStart w:id="565" w:name="_Toc297048348"/>
      <w:r>
        <w:rPr>
          <w:rFonts w:hint="eastAsia" w:ascii="宋体" w:hAnsi="宋体" w:cs="宋体"/>
          <w:color w:val="auto"/>
          <w:sz w:val="24"/>
          <w:highlight w:val="none"/>
        </w:rPr>
        <w:t>. 监</w:t>
      </w:r>
      <w:bookmarkEnd w:id="555"/>
      <w:bookmarkEnd w:id="556"/>
      <w:bookmarkEnd w:id="557"/>
      <w:bookmarkEnd w:id="558"/>
      <w:bookmarkEnd w:id="559"/>
      <w:bookmarkEnd w:id="560"/>
      <w:bookmarkEnd w:id="561"/>
      <w:bookmarkEnd w:id="562"/>
      <w:bookmarkEnd w:id="563"/>
      <w:bookmarkEnd w:id="564"/>
      <w:bookmarkEnd w:id="565"/>
      <w:r>
        <w:rPr>
          <w:rFonts w:hint="eastAsia" w:ascii="宋体" w:hAnsi="宋体" w:cs="宋体"/>
          <w:color w:val="auto"/>
          <w:sz w:val="24"/>
          <w:highlight w:val="none"/>
        </w:rPr>
        <w:t>理人</w:t>
      </w:r>
      <w:bookmarkEnd w:id="554"/>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4.1监理人的一般规定</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关于监理人的监理内容：。</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关于监理人的监理权限：。 </w:t>
      </w:r>
    </w:p>
    <w:p>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关于监理人在施工现场的办公场所、生活场所的提供和费用承担的约定：</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 监理人员</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总监理工程师：</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监理工程师执业资格证书号：</w:t>
      </w:r>
      <w:r>
        <w:rPr>
          <w:rFonts w:hint="eastAsia" w:ascii="宋体" w:hAnsi="宋体" w:cs="宋体"/>
          <w:color w:val="auto"/>
          <w:sz w:val="24"/>
          <w:highlight w:val="none"/>
          <w:u w:val="single"/>
        </w:rPr>
        <w:t>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关于监理人的其他约定：</w:t>
      </w:r>
      <w:r>
        <w:rPr>
          <w:rFonts w:hint="eastAsia" w:ascii="宋体" w:hAnsi="宋体" w:cs="宋体"/>
          <w:color w:val="auto"/>
          <w:sz w:val="24"/>
          <w:highlight w:val="none"/>
          <w:u w:val="single"/>
        </w:rPr>
        <w:t>  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4.4 商定或确定</w:t>
      </w:r>
    </w:p>
    <w:p>
      <w:pPr>
        <w:snapToGrid w:val="0"/>
        <w:spacing w:line="360" w:lineRule="auto"/>
        <w:ind w:firstLine="480" w:firstLineChars="200"/>
        <w:rPr>
          <w:rFonts w:ascii="宋体" w:hAnsi="宋体" w:cs="宋体"/>
          <w:color w:val="auto"/>
          <w:sz w:val="24"/>
          <w:highlight w:val="none"/>
        </w:rPr>
      </w:pPr>
      <w:bookmarkStart w:id="566" w:name="_Toc267251418"/>
      <w:r>
        <w:rPr>
          <w:rFonts w:hint="eastAsia" w:ascii="宋体" w:hAnsi="宋体" w:cs="宋体"/>
          <w:color w:val="auto"/>
          <w:sz w:val="24"/>
          <w:highlight w:val="none"/>
        </w:rPr>
        <w:t>在发包人和承包人不能通过协商达成一致意见时，发包人授权监理人对以下事项进行确定：</w:t>
      </w:r>
    </w:p>
    <w:p>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w:t>
      </w:r>
    </w:p>
    <w:p>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sz w:val="24"/>
          <w:highlight w:val="none"/>
        </w:rPr>
        <w:t>；</w:t>
      </w:r>
    </w:p>
    <w:p>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sz w:val="24"/>
          <w:highlight w:val="none"/>
        </w:rPr>
        <w:t>。</w:t>
      </w:r>
    </w:p>
    <w:p>
      <w:pPr>
        <w:keepNext/>
        <w:keepLines/>
        <w:tabs>
          <w:tab w:val="left" w:pos="864"/>
        </w:tabs>
        <w:snapToGrid w:val="0"/>
        <w:spacing w:line="360" w:lineRule="auto"/>
        <w:ind w:left="862" w:hanging="862"/>
        <w:rPr>
          <w:rFonts w:ascii="宋体" w:hAnsi="宋体" w:cs="宋体"/>
          <w:color w:val="auto"/>
          <w:sz w:val="24"/>
          <w:highlight w:val="none"/>
        </w:rPr>
      </w:pPr>
      <w:bookmarkStart w:id="567" w:name="_Toc351203637"/>
      <w:r>
        <w:rPr>
          <w:rFonts w:hint="eastAsia" w:ascii="宋体" w:hAnsi="宋体" w:cs="宋体"/>
          <w:color w:val="auto"/>
          <w:sz w:val="24"/>
          <w:highlight w:val="none"/>
        </w:rPr>
        <w:t>5</w:t>
      </w:r>
      <w:bookmarkEnd w:id="566"/>
      <w:bookmarkStart w:id="568" w:name="_Toc296346664"/>
      <w:bookmarkStart w:id="569" w:name="_Toc292559367"/>
      <w:bookmarkStart w:id="570" w:name="_Toc296347162"/>
      <w:bookmarkStart w:id="571" w:name="_Toc296503163"/>
      <w:bookmarkStart w:id="572" w:name="_Toc297120463"/>
      <w:bookmarkStart w:id="573" w:name="_Toc296944502"/>
      <w:bookmarkStart w:id="574" w:name="_Toc292559872"/>
      <w:bookmarkStart w:id="575" w:name="_Toc296891203"/>
      <w:bookmarkStart w:id="576" w:name="_Toc296890991"/>
      <w:bookmarkStart w:id="577" w:name="_Toc297048349"/>
      <w:r>
        <w:rPr>
          <w:rFonts w:hint="eastAsia" w:ascii="宋体" w:hAnsi="宋体" w:cs="宋体"/>
          <w:color w:val="auto"/>
          <w:sz w:val="24"/>
          <w:highlight w:val="none"/>
        </w:rPr>
        <w:t>. 工程质量</w:t>
      </w:r>
      <w:bookmarkEnd w:id="567"/>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 质量要求</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5</w:t>
      </w:r>
      <w:bookmarkStart w:id="578" w:name="_Toc318581164"/>
      <w:bookmarkStart w:id="579" w:name="_Toc300934949"/>
      <w:bookmarkStart w:id="580" w:name="_Toc312677997"/>
      <w:bookmarkStart w:id="581" w:name="_Toc303539106"/>
      <w:bookmarkStart w:id="582" w:name="_Toc297216155"/>
      <w:bookmarkStart w:id="583" w:name="_Toc304295527"/>
      <w:bookmarkStart w:id="584" w:name="_Toc297123496"/>
      <w:r>
        <w:rPr>
          <w:rFonts w:hint="eastAsia" w:ascii="宋体" w:hAnsi="宋体" w:cs="宋体"/>
          <w:color w:val="auto"/>
          <w:sz w:val="24"/>
          <w:highlight w:val="none"/>
        </w:rPr>
        <w:t>.1.1 特殊质量标准和要求：</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关于工程奖项的约定：</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5.3 隐蔽工程检查</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5.3.2承包人提前通知监理人隐蔽工程检查的期限的约定：</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监理人不能按时进行检查时，应提前小时提交书面延期要求。</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关于延期最长不得超过：小时。</w:t>
      </w:r>
    </w:p>
    <w:p>
      <w:pPr>
        <w:keepNext/>
        <w:keepLines/>
        <w:tabs>
          <w:tab w:val="left" w:pos="864"/>
        </w:tabs>
        <w:snapToGrid w:val="0"/>
        <w:spacing w:line="360" w:lineRule="auto"/>
        <w:ind w:left="862" w:hanging="862"/>
        <w:rPr>
          <w:rFonts w:ascii="宋体" w:hAnsi="宋体" w:cs="宋体"/>
          <w:color w:val="auto"/>
          <w:sz w:val="24"/>
          <w:highlight w:val="none"/>
        </w:rPr>
      </w:pPr>
      <w:bookmarkStart w:id="585" w:name="_Toc351203638"/>
      <w:r>
        <w:rPr>
          <w:rFonts w:hint="eastAsia" w:ascii="宋体" w:hAnsi="宋体" w:cs="宋体"/>
          <w:color w:val="auto"/>
          <w:sz w:val="24"/>
          <w:highlight w:val="none"/>
        </w:rPr>
        <w:t>6. 安全文明施工与环境保护</w:t>
      </w:r>
      <w:bookmarkEnd w:id="585"/>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6.1安全文明施工</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6.1.1 项目安全生产的达标目标及相应事项的约定：</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6.1.4 关于治安保卫的特别约定：</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关于编制施工场地治安管理计划的约定：</w:t>
      </w:r>
      <w:r>
        <w:rPr>
          <w:rFonts w:hint="eastAsia" w:ascii="宋体" w:hAnsi="宋体" w:cs="宋体"/>
          <w:color w:val="auto"/>
          <w:sz w:val="24"/>
          <w:highlight w:val="none"/>
          <w:u w:val="single"/>
        </w:rPr>
        <w:br w:type="textWrapping"/>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6.1.5 文明施工</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合同当事人对文明施工的要求：</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6.1.6 关于安全文明施工费支付比例和支付期限的约定：</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bookmarkEnd w:id="578"/>
    <w:bookmarkEnd w:id="579"/>
    <w:bookmarkEnd w:id="580"/>
    <w:bookmarkEnd w:id="581"/>
    <w:bookmarkEnd w:id="582"/>
    <w:bookmarkEnd w:id="583"/>
    <w:bookmarkEnd w:id="584"/>
    <w:p>
      <w:pPr>
        <w:keepNext/>
        <w:keepLines/>
        <w:tabs>
          <w:tab w:val="left" w:pos="864"/>
        </w:tabs>
        <w:snapToGrid w:val="0"/>
        <w:spacing w:line="360" w:lineRule="auto"/>
        <w:ind w:left="862" w:hanging="862"/>
        <w:rPr>
          <w:rFonts w:ascii="宋体" w:hAnsi="宋体" w:cs="宋体"/>
          <w:color w:val="auto"/>
          <w:sz w:val="24"/>
          <w:highlight w:val="none"/>
        </w:rPr>
      </w:pPr>
      <w:bookmarkStart w:id="586" w:name="_Toc351203639"/>
      <w:r>
        <w:rPr>
          <w:rFonts w:hint="eastAsia" w:ascii="宋体" w:hAnsi="宋体" w:cs="宋体"/>
          <w:color w:val="auto"/>
          <w:sz w:val="24"/>
          <w:highlight w:val="none"/>
        </w:rPr>
        <w:t>7. 工期和进度</w:t>
      </w:r>
      <w:bookmarkEnd w:id="586"/>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7.1 施工组织设计</w:t>
      </w:r>
    </w:p>
    <w:p>
      <w:pPr>
        <w:autoSpaceDE w:val="0"/>
        <w:autoSpaceDN w:val="0"/>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7.1.1 合</w:t>
      </w:r>
      <w:r>
        <w:rPr>
          <w:rFonts w:hint="eastAsia" w:ascii="宋体" w:hAnsi="宋体" w:cs="宋体"/>
          <w:color w:val="auto"/>
          <w:kern w:val="0"/>
          <w:sz w:val="24"/>
          <w:highlight w:val="none"/>
        </w:rPr>
        <w:t>同当事人约定的施工组织设计应包括的其他内容：</w:t>
      </w:r>
    </w:p>
    <w:p>
      <w:pPr>
        <w:autoSpaceDE w:val="0"/>
        <w:autoSpaceDN w:val="0"/>
        <w:snapToGrid w:val="0"/>
        <w:spacing w:line="360" w:lineRule="auto"/>
        <w:jc w:val="left"/>
        <w:rPr>
          <w:rFonts w:ascii="宋体" w:hAnsi="宋体" w:cs="宋体"/>
          <w:color w:val="auto"/>
          <w:kern w:val="0"/>
          <w:sz w:val="24"/>
          <w:highlight w:val="none"/>
        </w:rPr>
      </w:pPr>
      <w:r>
        <w:rPr>
          <w:rFonts w:hint="eastAsia" w:ascii="宋体" w:hAnsi="宋体" w:cs="宋体"/>
          <w:color w:val="auto"/>
          <w:sz w:val="24"/>
          <w:highlight w:val="none"/>
        </w:rPr>
        <w:t>。</w:t>
      </w:r>
    </w:p>
    <w:p>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7.1.2</w:t>
      </w:r>
      <w:r>
        <w:rPr>
          <w:rFonts w:hint="eastAsia" w:ascii="宋体" w:hAnsi="宋体" w:cs="宋体"/>
          <w:color w:val="auto"/>
          <w:kern w:val="0"/>
          <w:sz w:val="24"/>
          <w:highlight w:val="none"/>
        </w:rPr>
        <w:t>施工组织设计的提交和修改</w:t>
      </w:r>
    </w:p>
    <w:p>
      <w:pPr>
        <w:autoSpaceDE w:val="0"/>
        <w:autoSpaceDN w:val="0"/>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kern w:val="0"/>
          <w:sz w:val="24"/>
          <w:highlight w:val="none"/>
        </w:rPr>
        <w:t>承包人提交详细施工组织设计的期限的约定：</w:t>
      </w:r>
    </w:p>
    <w:p>
      <w:pPr>
        <w:autoSpaceDE w:val="0"/>
        <w:autoSpaceDN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发包人和监理人在收到详细的施工组织设计后确认或提出修改意见的期限：。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w:t>
      </w:r>
      <w:bookmarkStart w:id="587" w:name="_Toc312677479"/>
      <w:bookmarkStart w:id="588" w:name="_Toc297123514"/>
      <w:bookmarkStart w:id="589" w:name="_Toc312678005"/>
      <w:bookmarkStart w:id="590" w:name="_Toc304295541"/>
      <w:bookmarkStart w:id="591" w:name="_Toc297216173"/>
      <w:bookmarkStart w:id="592" w:name="_Toc300934966"/>
      <w:bookmarkStart w:id="593" w:name="_Toc303539123"/>
      <w:r>
        <w:rPr>
          <w:rFonts w:hint="eastAsia" w:ascii="宋体" w:hAnsi="宋体" w:cs="宋体"/>
          <w:color w:val="auto"/>
          <w:sz w:val="24"/>
          <w:highlight w:val="none"/>
        </w:rPr>
        <w:t>.2 施工进度计划</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7.2.2 施工进度计划的修订</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发包人和监理人在收到修订的施工进度计划后确认或提出修改意见的期限：。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7.3 开工</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7.3.1 开工准备</w:t>
      </w:r>
    </w:p>
    <w:p>
      <w:pPr>
        <w:snapToGrid w:val="0"/>
        <w:spacing w:line="360" w:lineRule="auto"/>
        <w:ind w:firstLine="645"/>
        <w:jc w:val="left"/>
        <w:rPr>
          <w:rFonts w:ascii="宋体" w:hAnsi="宋体" w:cs="宋体"/>
          <w:color w:val="auto"/>
          <w:sz w:val="24"/>
          <w:highlight w:val="none"/>
          <w:u w:val="single"/>
        </w:rPr>
      </w:pPr>
      <w:r>
        <w:rPr>
          <w:rFonts w:hint="eastAsia" w:ascii="宋体" w:hAnsi="宋体" w:cs="宋体"/>
          <w:color w:val="auto"/>
          <w:sz w:val="24"/>
          <w:highlight w:val="none"/>
        </w:rPr>
        <w:t>关于承包人提交</w:t>
      </w:r>
      <w:r>
        <w:rPr>
          <w:rFonts w:hint="eastAsia" w:ascii="宋体" w:hAnsi="宋体" w:cs="宋体"/>
          <w:color w:val="auto"/>
          <w:kern w:val="0"/>
          <w:sz w:val="24"/>
          <w:highlight w:val="none"/>
        </w:rPr>
        <w:t>工程开工报审表的期限：</w:t>
      </w:r>
      <w:r>
        <w:rPr>
          <w:rFonts w:hint="eastAsia" w:ascii="宋体" w:hAnsi="宋体" w:cs="宋体"/>
          <w:color w:val="auto"/>
          <w:sz w:val="24"/>
          <w:highlight w:val="none"/>
        </w:rPr>
        <w:t>。</w:t>
      </w:r>
    </w:p>
    <w:p>
      <w:pPr>
        <w:snapToGrid w:val="0"/>
        <w:spacing w:line="360" w:lineRule="auto"/>
        <w:ind w:firstLine="645"/>
        <w:jc w:val="left"/>
        <w:rPr>
          <w:rFonts w:ascii="宋体" w:hAnsi="宋体" w:cs="宋体"/>
          <w:color w:val="auto"/>
          <w:sz w:val="24"/>
          <w:highlight w:val="none"/>
          <w:u w:val="single"/>
        </w:rPr>
      </w:pPr>
      <w:r>
        <w:rPr>
          <w:rFonts w:hint="eastAsia" w:ascii="宋体" w:hAnsi="宋体" w:cs="宋体"/>
          <w:color w:val="auto"/>
          <w:sz w:val="24"/>
          <w:highlight w:val="none"/>
        </w:rPr>
        <w:t>关于发包人应完成的其他开工准备工作及期限：</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关于承包人应完成的其他开工准备工作及期限：</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7.3.2开工通知</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因发包人原因造成监理人未能在计划开工日期之日起天内发出开工通知的，承包人有权提出价格调整要求，或者解除合同。</w:t>
      </w:r>
    </w:p>
    <w:bookmarkEnd w:id="587"/>
    <w:bookmarkEnd w:id="588"/>
    <w:bookmarkEnd w:id="589"/>
    <w:bookmarkEnd w:id="590"/>
    <w:bookmarkEnd w:id="591"/>
    <w:bookmarkEnd w:id="592"/>
    <w:bookmarkEnd w:id="593"/>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7.4 测量放线</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7.4.1发包人通过监理人向承包人提供测量基准点、基准线和水准点及其书面资料的期限：。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w:t>
      </w:r>
      <w:bookmarkStart w:id="594" w:name="_Toc312677484"/>
      <w:bookmarkStart w:id="595" w:name="_Toc304295546"/>
      <w:bookmarkStart w:id="596" w:name="_Toc303539125"/>
      <w:bookmarkStart w:id="597" w:name="_Toc300934968"/>
      <w:bookmarkStart w:id="598" w:name="_Toc297216175"/>
      <w:bookmarkStart w:id="599" w:name="_Toc297123516"/>
      <w:bookmarkStart w:id="600" w:name="_Toc312678010"/>
      <w:r>
        <w:rPr>
          <w:rFonts w:hint="eastAsia" w:ascii="宋体" w:hAnsi="宋体" w:cs="宋体"/>
          <w:color w:val="auto"/>
          <w:sz w:val="24"/>
          <w:highlight w:val="none"/>
        </w:rPr>
        <w:t>.5 工期延误</w:t>
      </w:r>
    </w:p>
    <w:bookmarkEnd w:id="594"/>
    <w:bookmarkEnd w:id="595"/>
    <w:bookmarkEnd w:id="596"/>
    <w:bookmarkEnd w:id="597"/>
    <w:bookmarkEnd w:id="598"/>
    <w:bookmarkEnd w:id="599"/>
    <w:bookmarkEnd w:id="600"/>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7.5.1 因发包人原因导致工期延误</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（7）因发包人原因导致工期延误的其他情形：</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w:t>
      </w:r>
      <w:bookmarkStart w:id="601" w:name="_Toc312677486"/>
      <w:bookmarkStart w:id="602" w:name="_Toc318581169"/>
      <w:bookmarkStart w:id="603" w:name="_Toc312678012"/>
      <w:bookmarkStart w:id="604" w:name="_Toc297216177"/>
      <w:bookmarkStart w:id="605" w:name="_Toc297123518"/>
      <w:bookmarkStart w:id="606" w:name="_Toc303539127"/>
      <w:bookmarkStart w:id="607" w:name="_Toc304295548"/>
      <w:bookmarkStart w:id="608" w:name="_Toc300934970"/>
      <w:r>
        <w:rPr>
          <w:rFonts w:hint="eastAsia" w:ascii="宋体" w:hAnsi="宋体" w:cs="宋体"/>
          <w:color w:val="auto"/>
          <w:sz w:val="24"/>
          <w:highlight w:val="none"/>
        </w:rPr>
        <w:t>.5.2 因承包人原因导致工期延误</w:t>
      </w:r>
    </w:p>
    <w:bookmarkEnd w:id="601"/>
    <w:bookmarkEnd w:id="602"/>
    <w:bookmarkEnd w:id="603"/>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因</w:t>
      </w:r>
      <w:bookmarkStart w:id="609" w:name="_Toc312678013"/>
      <w:bookmarkStart w:id="610" w:name="_Toc312677487"/>
      <w:bookmarkStart w:id="611" w:name="_Toc318581170"/>
      <w:r>
        <w:rPr>
          <w:rFonts w:hint="eastAsia" w:ascii="宋体" w:hAnsi="宋体" w:cs="宋体"/>
          <w:color w:val="auto"/>
          <w:sz w:val="24"/>
          <w:highlight w:val="none"/>
        </w:rPr>
        <w:t>承包人原因造成工期延误，逾期竣工违约金的计算方法为：</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bookmarkEnd w:id="604"/>
      <w:bookmarkEnd w:id="605"/>
      <w:bookmarkEnd w:id="606"/>
      <w:bookmarkEnd w:id="607"/>
      <w:bookmarkEnd w:id="608"/>
      <w:bookmarkEnd w:id="609"/>
      <w:bookmarkEnd w:id="610"/>
    </w:p>
    <w:bookmarkEnd w:id="611"/>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因承包人原因造成工期延误，逾</w:t>
      </w:r>
      <w:bookmarkStart w:id="612" w:name="_Toc318581171"/>
      <w:bookmarkStart w:id="613" w:name="_Toc312678014"/>
      <w:r>
        <w:rPr>
          <w:rFonts w:hint="eastAsia" w:ascii="宋体" w:hAnsi="宋体" w:cs="宋体"/>
          <w:color w:val="auto"/>
          <w:sz w:val="24"/>
          <w:highlight w:val="none"/>
        </w:rPr>
        <w:t>期竣工违约金的上限：</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bookmarkEnd w:id="612"/>
    <w:bookmarkEnd w:id="613"/>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w:t>
      </w:r>
      <w:bookmarkStart w:id="614" w:name="_Toc312678015"/>
      <w:bookmarkStart w:id="615" w:name="_Toc303539128"/>
      <w:bookmarkStart w:id="616" w:name="_Toc297216178"/>
      <w:bookmarkStart w:id="617" w:name="_Toc300934971"/>
      <w:bookmarkStart w:id="618" w:name="_Toc297123519"/>
      <w:bookmarkStart w:id="619" w:name="_Toc304295549"/>
      <w:r>
        <w:rPr>
          <w:rFonts w:hint="eastAsia" w:ascii="宋体" w:hAnsi="宋体" w:cs="宋体"/>
          <w:color w:val="auto"/>
          <w:sz w:val="24"/>
          <w:highlight w:val="none"/>
        </w:rPr>
        <w:t>.6 不</w:t>
      </w:r>
      <w:bookmarkEnd w:id="614"/>
      <w:bookmarkEnd w:id="615"/>
      <w:bookmarkEnd w:id="616"/>
      <w:bookmarkEnd w:id="617"/>
      <w:bookmarkEnd w:id="618"/>
      <w:bookmarkEnd w:id="619"/>
      <w:r>
        <w:rPr>
          <w:rFonts w:hint="eastAsia" w:ascii="宋体" w:hAnsi="宋体" w:cs="宋体"/>
          <w:color w:val="auto"/>
          <w:sz w:val="24"/>
          <w:highlight w:val="none"/>
        </w:rPr>
        <w:t>利物质条件</w:t>
      </w:r>
    </w:p>
    <w:p>
      <w:pPr>
        <w:snapToGrid w:val="0"/>
        <w:spacing w:line="360" w:lineRule="auto"/>
        <w:ind w:firstLine="480" w:firstLineChars="200"/>
        <w:jc w:val="left"/>
        <w:rPr>
          <w:rFonts w:ascii="宋体" w:hAnsi="宋体" w:cs="宋体"/>
          <w:color w:val="auto"/>
          <w:sz w:val="24"/>
          <w:highlight w:val="none"/>
          <w:u w:val="single"/>
        </w:rPr>
      </w:pPr>
      <w:bookmarkStart w:id="620" w:name="_Toc300934972"/>
      <w:bookmarkStart w:id="621" w:name="_Toc312678016"/>
      <w:bookmarkStart w:id="622" w:name="_Toc303539129"/>
      <w:bookmarkStart w:id="623" w:name="_Toc304295550"/>
      <w:bookmarkStart w:id="624" w:name="_Toc318581172"/>
      <w:bookmarkStart w:id="625" w:name="_Toc297123520"/>
      <w:bookmarkStart w:id="626" w:name="_Toc297216179"/>
      <w:r>
        <w:rPr>
          <w:rFonts w:hint="eastAsia" w:ascii="宋体" w:hAnsi="宋体" w:cs="宋体"/>
          <w:color w:val="auto"/>
          <w:sz w:val="24"/>
          <w:highlight w:val="none"/>
        </w:rPr>
        <w:t>不利物质条件的其他情形和有关约定：</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bookmarkEnd w:id="620"/>
    <w:bookmarkEnd w:id="621"/>
    <w:bookmarkEnd w:id="622"/>
    <w:bookmarkEnd w:id="623"/>
    <w:bookmarkEnd w:id="624"/>
    <w:bookmarkEnd w:id="625"/>
    <w:bookmarkEnd w:id="626"/>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w:t>
      </w:r>
      <w:bookmarkStart w:id="627" w:name="_Toc300934973"/>
      <w:bookmarkStart w:id="628" w:name="_Toc312678017"/>
      <w:bookmarkStart w:id="629" w:name="_Toc304295551"/>
      <w:bookmarkStart w:id="630" w:name="_Toc297216180"/>
      <w:bookmarkStart w:id="631" w:name="_Toc297123521"/>
      <w:bookmarkStart w:id="632" w:name="_Toc303539130"/>
      <w:r>
        <w:rPr>
          <w:rFonts w:hint="eastAsia" w:ascii="宋体" w:hAnsi="宋体" w:cs="宋体"/>
          <w:color w:val="auto"/>
          <w:sz w:val="24"/>
          <w:highlight w:val="none"/>
        </w:rPr>
        <w:t>.7异常恶劣的气候条件</w:t>
      </w:r>
    </w:p>
    <w:bookmarkEnd w:id="627"/>
    <w:bookmarkEnd w:id="628"/>
    <w:bookmarkEnd w:id="629"/>
    <w:bookmarkEnd w:id="630"/>
    <w:bookmarkEnd w:id="631"/>
    <w:bookmarkEnd w:id="632"/>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发包人和承包人同意以下情形视为异常恶劣的气候条件：</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7.9 提前竣工的奖励</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7.9.2提前竣工的奖励：。</w:t>
      </w:r>
    </w:p>
    <w:p>
      <w:pPr>
        <w:keepNext/>
        <w:keepLines/>
        <w:tabs>
          <w:tab w:val="left" w:pos="864"/>
        </w:tabs>
        <w:snapToGrid w:val="0"/>
        <w:spacing w:line="360" w:lineRule="auto"/>
        <w:ind w:left="862" w:hanging="862"/>
        <w:rPr>
          <w:rFonts w:ascii="宋体" w:hAnsi="宋体" w:cs="宋体"/>
          <w:color w:val="auto"/>
          <w:sz w:val="24"/>
          <w:highlight w:val="none"/>
        </w:rPr>
      </w:pPr>
      <w:bookmarkStart w:id="633" w:name="_Toc351203640"/>
      <w:r>
        <w:rPr>
          <w:rFonts w:hint="eastAsia" w:ascii="宋体" w:hAnsi="宋体" w:cs="宋体"/>
          <w:color w:val="auto"/>
          <w:sz w:val="24"/>
          <w:highlight w:val="none"/>
        </w:rPr>
        <w:t>8. 材料与设备</w:t>
      </w:r>
      <w:bookmarkEnd w:id="633"/>
    </w:p>
    <w:bookmarkEnd w:id="568"/>
    <w:bookmarkEnd w:id="569"/>
    <w:bookmarkEnd w:id="570"/>
    <w:bookmarkEnd w:id="571"/>
    <w:bookmarkEnd w:id="572"/>
    <w:bookmarkEnd w:id="573"/>
    <w:bookmarkEnd w:id="574"/>
    <w:bookmarkEnd w:id="575"/>
    <w:bookmarkEnd w:id="576"/>
    <w:bookmarkEnd w:id="577"/>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w:t>
      </w:r>
      <w:bookmarkStart w:id="634" w:name="_Toc296503167"/>
      <w:bookmarkStart w:id="635" w:name="_Toc300934979"/>
      <w:bookmarkStart w:id="636" w:name="_Toc312678019"/>
      <w:bookmarkStart w:id="637" w:name="_Toc297120467"/>
      <w:bookmarkStart w:id="638" w:name="_Toc296347166"/>
      <w:bookmarkStart w:id="639" w:name="_Toc296890995"/>
      <w:bookmarkStart w:id="640" w:name="_Toc303539136"/>
      <w:bookmarkStart w:id="641" w:name="_Toc297216186"/>
      <w:bookmarkStart w:id="642" w:name="_Toc280868654"/>
      <w:bookmarkStart w:id="643" w:name="_Toc296891207"/>
      <w:bookmarkStart w:id="644" w:name="_Toc304295556"/>
      <w:bookmarkStart w:id="645" w:name="_Toc296346668"/>
      <w:bookmarkStart w:id="646" w:name="_Toc297123527"/>
      <w:bookmarkStart w:id="647" w:name="_Toc297048353"/>
      <w:bookmarkStart w:id="648" w:name="_Toc312677493"/>
      <w:bookmarkStart w:id="649" w:name="_Toc296944506"/>
      <w:bookmarkStart w:id="650" w:name="_Toc292559372"/>
      <w:bookmarkStart w:id="651" w:name="_Toc292559877"/>
      <w:bookmarkStart w:id="652" w:name="_Toc280868656"/>
      <w:bookmarkStart w:id="653" w:name="_Toc267251424"/>
      <w:bookmarkStart w:id="654" w:name="_Toc280868655"/>
      <w:r>
        <w:rPr>
          <w:rFonts w:hint="eastAsia" w:ascii="宋体" w:hAnsi="宋体" w:cs="宋体"/>
          <w:color w:val="auto"/>
          <w:sz w:val="24"/>
          <w:highlight w:val="none"/>
        </w:rPr>
        <w:t>.4材料与工程设备的保管与使用</w:t>
      </w:r>
    </w:p>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8</w:t>
      </w:r>
      <w:bookmarkStart w:id="655" w:name="_Toc292559878"/>
      <w:bookmarkStart w:id="656" w:name="_Toc292559373"/>
      <w:bookmarkStart w:id="657" w:name="_Toc297120468"/>
      <w:bookmarkStart w:id="658" w:name="_Toc312678020"/>
      <w:bookmarkStart w:id="659" w:name="_Toc296503168"/>
      <w:bookmarkStart w:id="660" w:name="_Toc296890996"/>
      <w:bookmarkStart w:id="661" w:name="_Toc303539137"/>
      <w:bookmarkStart w:id="662" w:name="_Toc297216187"/>
      <w:bookmarkStart w:id="663" w:name="_Toc296891208"/>
      <w:bookmarkStart w:id="664" w:name="_Toc318581173"/>
      <w:bookmarkStart w:id="665" w:name="_Toc296347167"/>
      <w:bookmarkStart w:id="666" w:name="_Toc300934980"/>
      <w:bookmarkStart w:id="667" w:name="_Toc312677494"/>
      <w:bookmarkStart w:id="668" w:name="_Toc296346669"/>
      <w:bookmarkStart w:id="669" w:name="_Toc296944507"/>
      <w:bookmarkStart w:id="670" w:name="_Toc297123528"/>
      <w:bookmarkStart w:id="671" w:name="_Toc304295557"/>
      <w:bookmarkStart w:id="672" w:name="_Toc297048354"/>
      <w:r>
        <w:rPr>
          <w:rFonts w:hint="eastAsia" w:ascii="宋体" w:hAnsi="宋体" w:cs="宋体"/>
          <w:color w:val="auto"/>
          <w:sz w:val="24"/>
          <w:highlight w:val="none"/>
        </w:rPr>
        <w:t>.4.1发包人供应的材料设备的保管费用的承担：</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bookmarkEnd w:id="655"/>
      <w:bookmarkEnd w:id="656"/>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8.6 样品</w:t>
      </w:r>
    </w:p>
    <w:p>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8.6.1</w:t>
      </w:r>
      <w:r>
        <w:rPr>
          <w:rFonts w:hint="eastAsia" w:ascii="宋体" w:hAnsi="宋体" w:cs="宋体"/>
          <w:color w:val="auto"/>
          <w:kern w:val="0"/>
          <w:sz w:val="24"/>
          <w:highlight w:val="none"/>
        </w:rPr>
        <w:tab/>
      </w:r>
      <w:r>
        <w:rPr>
          <w:rFonts w:hint="eastAsia" w:ascii="宋体" w:hAnsi="宋体" w:cs="宋体"/>
          <w:color w:val="auto"/>
          <w:kern w:val="0"/>
          <w:sz w:val="24"/>
          <w:highlight w:val="none"/>
        </w:rPr>
        <w:t>样品的报送与封存</w:t>
      </w:r>
    </w:p>
    <w:p>
      <w:pPr>
        <w:autoSpaceDE w:val="0"/>
        <w:autoSpaceDN w:val="0"/>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kern w:val="0"/>
          <w:sz w:val="24"/>
          <w:highlight w:val="none"/>
        </w:rPr>
        <w:t>需要承包人报送样品的材料或工程设备，样品的种类、名称、规格、数量要求：</w:t>
      </w:r>
    </w:p>
    <w:p>
      <w:pPr>
        <w:autoSpaceDE w:val="0"/>
        <w:autoSpaceDN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8.8 施工设备和临时设施</w:t>
      </w:r>
    </w:p>
    <w:p>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8.8.1 承包人提供的施工设备和临时设施</w:t>
      </w:r>
    </w:p>
    <w:p>
      <w:pPr>
        <w:autoSpaceDE w:val="0"/>
        <w:autoSpaceDN w:val="0"/>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关于修建临时设施费用承担的约定：</w:t>
      </w:r>
    </w:p>
    <w:p>
      <w:pPr>
        <w:autoSpaceDE w:val="0"/>
        <w:autoSpaceDN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Pr>
        <w:keepNext/>
        <w:keepLines/>
        <w:tabs>
          <w:tab w:val="left" w:pos="864"/>
        </w:tabs>
        <w:snapToGrid w:val="0"/>
        <w:spacing w:line="360" w:lineRule="auto"/>
        <w:ind w:left="862" w:hanging="862"/>
        <w:rPr>
          <w:rFonts w:ascii="宋体" w:hAnsi="宋体" w:cs="宋体"/>
          <w:color w:val="auto"/>
          <w:sz w:val="24"/>
          <w:highlight w:val="none"/>
        </w:rPr>
      </w:pPr>
      <w:bookmarkStart w:id="673" w:name="_Toc351203641"/>
      <w:r>
        <w:rPr>
          <w:rFonts w:hint="eastAsia" w:ascii="宋体" w:hAnsi="宋体" w:cs="宋体"/>
          <w:color w:val="auto"/>
          <w:sz w:val="24"/>
          <w:highlight w:val="none"/>
        </w:rPr>
        <w:t>9</w:t>
      </w:r>
      <w:bookmarkEnd w:id="652"/>
      <w:bookmarkEnd w:id="653"/>
      <w:bookmarkEnd w:id="654"/>
      <w:bookmarkStart w:id="674" w:name="_Toc303539139"/>
      <w:bookmarkStart w:id="675" w:name="_Toc312677495"/>
      <w:bookmarkStart w:id="676" w:name="_Toc297216192"/>
      <w:bookmarkStart w:id="677" w:name="_Toc304295559"/>
      <w:bookmarkStart w:id="678" w:name="_Toc300934982"/>
      <w:bookmarkStart w:id="679" w:name="_Toc312678021"/>
      <w:bookmarkStart w:id="680" w:name="_Toc297123533"/>
      <w:bookmarkStart w:id="681" w:name="_Toc296891001"/>
      <w:bookmarkStart w:id="682" w:name="_Toc296347172"/>
      <w:bookmarkStart w:id="683" w:name="_Toc292559378"/>
      <w:bookmarkStart w:id="684" w:name="_Toc296346674"/>
      <w:bookmarkStart w:id="685" w:name="_Toc292559883"/>
      <w:bookmarkStart w:id="686" w:name="_Toc296503173"/>
      <w:bookmarkStart w:id="687" w:name="_Toc267251427"/>
      <w:bookmarkStart w:id="688" w:name="_Toc297048359"/>
      <w:bookmarkStart w:id="689" w:name="_Toc296944512"/>
      <w:bookmarkStart w:id="690" w:name="_Toc297120473"/>
      <w:bookmarkStart w:id="691" w:name="_Toc267251428"/>
      <w:bookmarkStart w:id="692" w:name="_Toc296891213"/>
      <w:r>
        <w:rPr>
          <w:rFonts w:hint="eastAsia" w:ascii="宋体" w:hAnsi="宋体" w:cs="宋体"/>
          <w:color w:val="auto"/>
          <w:sz w:val="24"/>
          <w:highlight w:val="none"/>
        </w:rPr>
        <w:t>. 试验与检验</w:t>
      </w:r>
      <w:bookmarkEnd w:id="673"/>
    </w:p>
    <w:bookmarkEnd w:id="674"/>
    <w:bookmarkEnd w:id="675"/>
    <w:bookmarkEnd w:id="676"/>
    <w:bookmarkEnd w:id="677"/>
    <w:bookmarkEnd w:id="678"/>
    <w:bookmarkEnd w:id="679"/>
    <w:bookmarkEnd w:id="680"/>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w:t>
      </w:r>
      <w:bookmarkStart w:id="693" w:name="_Toc304295560"/>
      <w:bookmarkStart w:id="694" w:name="_Toc297216193"/>
      <w:bookmarkStart w:id="695" w:name="_Toc312678022"/>
      <w:bookmarkStart w:id="696" w:name="_Toc297123534"/>
      <w:bookmarkStart w:id="697" w:name="_Toc300934983"/>
      <w:bookmarkStart w:id="698" w:name="_Toc312677496"/>
      <w:bookmarkStart w:id="699" w:name="_Toc303539140"/>
      <w:r>
        <w:rPr>
          <w:rFonts w:hint="eastAsia" w:ascii="宋体" w:hAnsi="宋体" w:cs="宋体"/>
          <w:color w:val="auto"/>
          <w:sz w:val="24"/>
          <w:highlight w:val="none"/>
        </w:rPr>
        <w:t>.1试验设备与试验人员</w:t>
      </w:r>
    </w:p>
    <w:bookmarkEnd w:id="693"/>
    <w:bookmarkEnd w:id="694"/>
    <w:bookmarkEnd w:id="695"/>
    <w:bookmarkEnd w:id="696"/>
    <w:bookmarkEnd w:id="697"/>
    <w:bookmarkEnd w:id="698"/>
    <w:bookmarkEnd w:id="699"/>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9</w:t>
      </w:r>
      <w:bookmarkStart w:id="700" w:name="_Toc300934984"/>
      <w:bookmarkStart w:id="701" w:name="_Toc304295561"/>
      <w:bookmarkStart w:id="702" w:name="_Toc312677497"/>
      <w:bookmarkStart w:id="703" w:name="_Toc297216194"/>
      <w:bookmarkStart w:id="704" w:name="_Toc303539141"/>
      <w:bookmarkStart w:id="705" w:name="_Toc312678023"/>
      <w:bookmarkStart w:id="706" w:name="_Toc297123535"/>
      <w:bookmarkStart w:id="707" w:name="_Toc318581174"/>
      <w:r>
        <w:rPr>
          <w:rFonts w:hint="eastAsia" w:ascii="宋体" w:hAnsi="宋体" w:cs="宋体"/>
          <w:color w:val="auto"/>
          <w:sz w:val="24"/>
          <w:highlight w:val="none"/>
        </w:rPr>
        <w:t>.1.2 试验设备</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施工现场需要配置的试验场所：</w:t>
      </w:r>
      <w:bookmarkEnd w:id="700"/>
      <w:bookmarkEnd w:id="701"/>
      <w:bookmarkEnd w:id="702"/>
      <w:bookmarkEnd w:id="703"/>
      <w:bookmarkEnd w:id="704"/>
      <w:bookmarkEnd w:id="705"/>
      <w:bookmarkEnd w:id="706"/>
      <w:bookmarkStart w:id="708" w:name="_Toc312678024"/>
      <w:bookmarkStart w:id="709" w:name="_Toc312677498"/>
      <w:bookmarkStart w:id="710" w:name="_Toc300934985"/>
      <w:bookmarkStart w:id="711" w:name="_Toc297123536"/>
      <w:bookmarkStart w:id="712" w:name="_Toc303539142"/>
      <w:bookmarkStart w:id="713" w:name="_Toc304295562"/>
      <w:bookmarkStart w:id="714" w:name="_Toc297216195"/>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施工现场需要配备的试验设备：</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施工现场需要具备的其他试验条件：</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9.4 现场工艺试验 </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现场工艺试验的有关约定：</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bookmarkEnd w:id="707"/>
    <w:bookmarkEnd w:id="708"/>
    <w:bookmarkEnd w:id="709"/>
    <w:bookmarkEnd w:id="710"/>
    <w:bookmarkEnd w:id="711"/>
    <w:bookmarkEnd w:id="712"/>
    <w:bookmarkEnd w:id="713"/>
    <w:bookmarkEnd w:id="714"/>
    <w:p>
      <w:pPr>
        <w:keepNext/>
        <w:keepLines/>
        <w:tabs>
          <w:tab w:val="left" w:pos="864"/>
        </w:tabs>
        <w:snapToGrid w:val="0"/>
        <w:spacing w:line="360" w:lineRule="auto"/>
        <w:ind w:left="862" w:hanging="862"/>
        <w:rPr>
          <w:rFonts w:ascii="宋体" w:hAnsi="宋体" w:cs="宋体"/>
          <w:color w:val="auto"/>
          <w:sz w:val="24"/>
          <w:highlight w:val="none"/>
        </w:rPr>
      </w:pPr>
      <w:bookmarkStart w:id="715" w:name="_Toc351203642"/>
      <w:r>
        <w:rPr>
          <w:rFonts w:hint="eastAsia" w:ascii="宋体" w:hAnsi="宋体" w:cs="宋体"/>
          <w:color w:val="auto"/>
          <w:sz w:val="24"/>
          <w:highlight w:val="none"/>
        </w:rPr>
        <w:t>1</w:t>
      </w:r>
      <w:bookmarkEnd w:id="681"/>
      <w:bookmarkEnd w:id="682"/>
      <w:bookmarkEnd w:id="683"/>
      <w:bookmarkEnd w:id="684"/>
      <w:bookmarkEnd w:id="685"/>
      <w:bookmarkEnd w:id="686"/>
      <w:bookmarkEnd w:id="687"/>
      <w:bookmarkEnd w:id="688"/>
      <w:bookmarkEnd w:id="689"/>
      <w:bookmarkEnd w:id="690"/>
      <w:bookmarkEnd w:id="691"/>
      <w:bookmarkEnd w:id="692"/>
      <w:bookmarkStart w:id="716" w:name="_Toc297123540"/>
      <w:bookmarkStart w:id="717" w:name="_Toc296891021"/>
      <w:bookmarkStart w:id="718" w:name="_Toc297216199"/>
      <w:bookmarkStart w:id="719" w:name="_Toc292559398"/>
      <w:bookmarkStart w:id="720" w:name="_Toc296944532"/>
      <w:bookmarkStart w:id="721" w:name="_Toc297120493"/>
      <w:bookmarkStart w:id="722" w:name="_Toc297048379"/>
      <w:bookmarkStart w:id="723" w:name="_Toc296347192"/>
      <w:bookmarkStart w:id="724" w:name="_Toc292559903"/>
      <w:bookmarkStart w:id="725" w:name="_Toc303539146"/>
      <w:bookmarkStart w:id="726" w:name="_Toc296503193"/>
      <w:bookmarkStart w:id="727" w:name="_Toc296346694"/>
      <w:bookmarkStart w:id="728" w:name="_Toc296891233"/>
      <w:bookmarkStart w:id="729" w:name="_Toc304295566"/>
      <w:bookmarkStart w:id="730" w:name="_Toc300934989"/>
      <w:bookmarkStart w:id="731" w:name="_Toc312678025"/>
      <w:bookmarkStart w:id="732" w:name="_Toc312677499"/>
      <w:bookmarkStart w:id="733" w:name="_Toc267251439"/>
      <w:bookmarkStart w:id="734" w:name="_Toc267251441"/>
      <w:bookmarkStart w:id="735" w:name="_Toc267251437"/>
      <w:bookmarkStart w:id="736" w:name="_Toc267251433"/>
      <w:bookmarkStart w:id="737" w:name="_Toc267251440"/>
      <w:bookmarkStart w:id="738" w:name="_Toc267251435"/>
      <w:bookmarkStart w:id="739" w:name="_Toc267251442"/>
      <w:r>
        <w:rPr>
          <w:rFonts w:hint="eastAsia" w:ascii="宋体" w:hAnsi="宋体" w:cs="宋体"/>
          <w:color w:val="auto"/>
          <w:sz w:val="24"/>
          <w:highlight w:val="none"/>
        </w:rPr>
        <w:t>0. 变更</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bookmarkEnd w:id="731"/>
    <w:bookmarkEnd w:id="732"/>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bookmarkStart w:id="740" w:name="_Toc296346695"/>
      <w:bookmarkStart w:id="741" w:name="_Toc312678026"/>
      <w:bookmarkStart w:id="742" w:name="_Toc296891022"/>
      <w:bookmarkStart w:id="743" w:name="_Toc297216200"/>
      <w:bookmarkStart w:id="744" w:name="_Toc296891234"/>
      <w:bookmarkStart w:id="745" w:name="_Toc297120494"/>
      <w:bookmarkStart w:id="746" w:name="_Toc296503194"/>
      <w:bookmarkStart w:id="747" w:name="_Toc292559904"/>
      <w:bookmarkStart w:id="748" w:name="_Toc296944533"/>
      <w:bookmarkStart w:id="749" w:name="_Toc296347193"/>
      <w:bookmarkStart w:id="750" w:name="_Toc297048380"/>
      <w:bookmarkStart w:id="751" w:name="_Toc292559399"/>
      <w:bookmarkStart w:id="752" w:name="_Toc312677500"/>
      <w:bookmarkStart w:id="753" w:name="_Toc300934990"/>
      <w:bookmarkStart w:id="754" w:name="_Toc297123541"/>
      <w:bookmarkStart w:id="755" w:name="_Toc303539147"/>
      <w:bookmarkStart w:id="756" w:name="_Toc304295567"/>
      <w:r>
        <w:rPr>
          <w:rFonts w:hint="eastAsia" w:ascii="宋体" w:hAnsi="宋体" w:cs="宋体"/>
          <w:color w:val="auto"/>
          <w:sz w:val="24"/>
          <w:highlight w:val="none"/>
        </w:rPr>
        <w:t>0.1变更的范围</w:t>
      </w:r>
    </w:p>
    <w:p>
      <w:pPr>
        <w:snapToGrid w:val="0"/>
        <w:spacing w:line="360" w:lineRule="auto"/>
        <w:ind w:firstLine="600"/>
        <w:jc w:val="left"/>
        <w:rPr>
          <w:rFonts w:ascii="宋体" w:hAnsi="宋体" w:cs="宋体"/>
          <w:color w:val="auto"/>
          <w:sz w:val="24"/>
          <w:highlight w:val="none"/>
          <w:u w:val="single"/>
        </w:rPr>
      </w:pPr>
      <w:r>
        <w:rPr>
          <w:rFonts w:hint="eastAsia" w:ascii="宋体" w:hAnsi="宋体" w:cs="宋体"/>
          <w:color w:val="auto"/>
          <w:sz w:val="24"/>
          <w:highlight w:val="none"/>
        </w:rPr>
        <w:t>关于变更的范围的约定：</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10.4 变更估价</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10.4.1 变更估价原则</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 xml:space="preserve">关于变更估价的约定: </w:t>
      </w:r>
    </w:p>
    <w:p>
      <w:pPr>
        <w:snapToGrid w:val="0"/>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Start w:id="757" w:name="_Toc300934993"/>
      <w:bookmarkStart w:id="758" w:name="_Toc303539150"/>
      <w:bookmarkStart w:id="759" w:name="_Toc297123544"/>
      <w:bookmarkStart w:id="760" w:name="_Toc292559402"/>
      <w:bookmarkStart w:id="761" w:name="_Toc297048383"/>
      <w:bookmarkStart w:id="762" w:name="_Toc296503197"/>
      <w:bookmarkStart w:id="763" w:name="_Toc296891025"/>
      <w:bookmarkStart w:id="764" w:name="_Toc297216203"/>
      <w:bookmarkStart w:id="765" w:name="_Toc297120497"/>
      <w:bookmarkStart w:id="766" w:name="_Toc292559907"/>
      <w:bookmarkStart w:id="767" w:name="_Toc296891237"/>
      <w:bookmarkStart w:id="768" w:name="_Toc296346698"/>
      <w:bookmarkStart w:id="769" w:name="_Toc296347196"/>
      <w:bookmarkStart w:id="770" w:name="_Toc296944536"/>
      <w:bookmarkStart w:id="771" w:name="_Toc312678029"/>
      <w:bookmarkStart w:id="772" w:name="_Toc312677503"/>
      <w:bookmarkStart w:id="773" w:name="_Toc304295570"/>
      <w:r>
        <w:rPr>
          <w:rFonts w:hint="eastAsia" w:ascii="宋体" w:hAnsi="宋体" w:cs="宋体"/>
          <w:color w:val="auto"/>
          <w:sz w:val="24"/>
          <w:highlight w:val="none"/>
        </w:rPr>
        <w:t>0.5承</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Start w:id="774" w:name="_Toc296944542"/>
      <w:bookmarkStart w:id="775" w:name="_Toc297123545"/>
      <w:bookmarkStart w:id="776" w:name="_Toc300934994"/>
      <w:bookmarkStart w:id="777" w:name="_Toc296347202"/>
      <w:bookmarkStart w:id="778" w:name="_Toc297048389"/>
      <w:bookmarkStart w:id="779" w:name="_Toc296346704"/>
      <w:bookmarkStart w:id="780" w:name="_Toc292559408"/>
      <w:bookmarkStart w:id="781" w:name="_Toc296891243"/>
      <w:bookmarkStart w:id="782" w:name="_Toc303539151"/>
      <w:bookmarkStart w:id="783" w:name="_Toc297120503"/>
      <w:bookmarkStart w:id="784" w:name="_Toc292559913"/>
      <w:bookmarkStart w:id="785" w:name="_Toc296503203"/>
      <w:bookmarkStart w:id="786" w:name="_Toc297216204"/>
      <w:bookmarkStart w:id="787" w:name="_Toc296891031"/>
      <w:r>
        <w:rPr>
          <w:rFonts w:hint="eastAsia" w:ascii="宋体" w:hAnsi="宋体" w:cs="宋体"/>
          <w:color w:val="auto"/>
          <w:sz w:val="24"/>
          <w:highlight w:val="none"/>
        </w:rPr>
        <w:t>包人的合理化建议</w:t>
      </w:r>
    </w:p>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监理人审查承包人合理化建议的期限：。</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发包人审批承包人合理化建议的期限：。</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承</w:t>
      </w:r>
      <w:bookmarkStart w:id="788" w:name="_Toc296891032"/>
      <w:bookmarkStart w:id="789" w:name="_Toc318581175"/>
      <w:bookmarkStart w:id="790" w:name="_Toc300934995"/>
      <w:bookmarkStart w:id="791" w:name="_Toc312677504"/>
      <w:bookmarkStart w:id="792" w:name="_Toc296503204"/>
      <w:bookmarkStart w:id="793" w:name="_Toc296346705"/>
      <w:bookmarkStart w:id="794" w:name="_Toc292559914"/>
      <w:bookmarkStart w:id="795" w:name="_Toc303539152"/>
      <w:bookmarkStart w:id="796" w:name="_Toc297120504"/>
      <w:bookmarkStart w:id="797" w:name="_Toc296891244"/>
      <w:bookmarkStart w:id="798" w:name="_Toc296944543"/>
      <w:bookmarkStart w:id="799" w:name="_Toc312678030"/>
      <w:bookmarkStart w:id="800" w:name="_Toc297216205"/>
      <w:bookmarkStart w:id="801" w:name="_Toc292559409"/>
      <w:bookmarkStart w:id="802" w:name="_Toc297123546"/>
      <w:bookmarkStart w:id="803" w:name="_Toc296347203"/>
      <w:bookmarkStart w:id="804" w:name="_Toc297048390"/>
      <w:bookmarkStart w:id="805" w:name="_Toc304295571"/>
      <w:r>
        <w:rPr>
          <w:rFonts w:hint="eastAsia" w:ascii="宋体" w:hAnsi="宋体" w:cs="宋体"/>
          <w:color w:val="auto"/>
          <w:sz w:val="24"/>
          <w:highlight w:val="none"/>
        </w:rPr>
        <w:t>包人提出的合理化建议降低了合同价格或者提高了工程经济效益的奖励的方法和金额为：</w:t>
      </w:r>
    </w:p>
    <w:p>
      <w:pPr>
        <w:snapToGrid w:val="0"/>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rPr>
        <w:t>。</w:t>
      </w:r>
    </w:p>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bookmarkStart w:id="806" w:name="_Toc296891239"/>
      <w:bookmarkStart w:id="807" w:name="_Toc296944538"/>
      <w:bookmarkStart w:id="808" w:name="_Toc297123548"/>
      <w:bookmarkStart w:id="809" w:name="_Toc300934997"/>
      <w:bookmarkStart w:id="810" w:name="_Toc296346700"/>
      <w:bookmarkStart w:id="811" w:name="_Toc312678033"/>
      <w:bookmarkStart w:id="812" w:name="_Toc297216207"/>
      <w:bookmarkStart w:id="813" w:name="_Toc312677507"/>
      <w:bookmarkStart w:id="814" w:name="_Toc296503199"/>
      <w:bookmarkStart w:id="815" w:name="_Toc292559404"/>
      <w:bookmarkStart w:id="816" w:name="_Toc303539154"/>
      <w:bookmarkStart w:id="817" w:name="_Toc296347198"/>
      <w:bookmarkStart w:id="818" w:name="_Toc297048385"/>
      <w:bookmarkStart w:id="819" w:name="_Toc297120499"/>
      <w:bookmarkStart w:id="820" w:name="_Toc292559909"/>
      <w:bookmarkStart w:id="821" w:name="_Toc296891027"/>
      <w:bookmarkStart w:id="822" w:name="_Toc304295574"/>
      <w:r>
        <w:rPr>
          <w:rFonts w:hint="eastAsia" w:ascii="宋体" w:hAnsi="宋体" w:cs="宋体"/>
          <w:color w:val="auto"/>
          <w:sz w:val="24"/>
          <w:highlight w:val="none"/>
        </w:rPr>
        <w:t>0.7 暂估价</w:t>
      </w:r>
    </w:p>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暂</w:t>
      </w:r>
      <w:bookmarkStart w:id="823" w:name="_Toc312678034"/>
      <w:bookmarkStart w:id="824" w:name="_Toc318581176"/>
      <w:bookmarkStart w:id="825" w:name="_Toc312677508"/>
      <w:r>
        <w:rPr>
          <w:rFonts w:hint="eastAsia" w:ascii="宋体" w:hAnsi="宋体" w:cs="宋体"/>
          <w:color w:val="auto"/>
          <w:kern w:val="0"/>
          <w:sz w:val="24"/>
          <w:highlight w:val="none"/>
        </w:rPr>
        <w:t>估价材料和工程设备的明细详见附件11：《</w:t>
      </w:r>
      <w:r>
        <w:rPr>
          <w:rFonts w:hint="eastAsia" w:ascii="宋体" w:hAnsi="宋体" w:cs="宋体"/>
          <w:color w:val="auto"/>
          <w:sz w:val="24"/>
          <w:highlight w:val="none"/>
        </w:rPr>
        <w:t>暂估价一览表》</w:t>
      </w:r>
      <w:r>
        <w:rPr>
          <w:rFonts w:hint="eastAsia" w:ascii="宋体" w:hAnsi="宋体" w:cs="宋体"/>
          <w:color w:val="auto"/>
          <w:kern w:val="0"/>
          <w:sz w:val="24"/>
          <w:highlight w:val="none"/>
        </w:rPr>
        <w:t>。</w:t>
      </w:r>
    </w:p>
    <w:bookmarkEnd w:id="823"/>
    <w:bookmarkEnd w:id="824"/>
    <w:bookmarkEnd w:id="825"/>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bookmarkStart w:id="826" w:name="_Toc312678035"/>
      <w:bookmarkStart w:id="827" w:name="_Toc318581177"/>
      <w:bookmarkStart w:id="828" w:name="_Toc312677509"/>
      <w:r>
        <w:rPr>
          <w:rFonts w:hint="eastAsia" w:ascii="宋体" w:hAnsi="宋体" w:cs="宋体"/>
          <w:color w:val="auto"/>
          <w:sz w:val="24"/>
          <w:highlight w:val="none"/>
        </w:rPr>
        <w:t>0.7.1 依法必须招标的暂估价项目</w:t>
      </w:r>
    </w:p>
    <w:bookmarkEnd w:id="826"/>
    <w:bookmarkEnd w:id="827"/>
    <w:bookmarkEnd w:id="828"/>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对于依法必须招标的暂估价项目的确认和批准采取第种方式确定。</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10.7.2 不属于依法必须招标的暂估价项目</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对于不属于依法必须招标的暂估价项目的确认和批准采取第 种方式确定。</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第3种方式：</w:t>
      </w:r>
      <w:r>
        <w:rPr>
          <w:rFonts w:hint="eastAsia" w:ascii="宋体" w:hAnsi="宋体" w:cs="宋体"/>
          <w:color w:val="auto"/>
          <w:kern w:val="0"/>
          <w:sz w:val="24"/>
          <w:highlight w:val="none"/>
        </w:rPr>
        <w:t>承包人直接实施的暂估价项目</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承包人直接实施的暂估价项目的约定：</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10.8 暂列金额</w:t>
      </w:r>
    </w:p>
    <w:p>
      <w:pPr>
        <w:autoSpaceDE w:val="0"/>
        <w:autoSpaceDN w:val="0"/>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kern w:val="0"/>
          <w:sz w:val="24"/>
          <w:highlight w:val="none"/>
        </w:rPr>
        <w:t>合同当事人关于暂列金额使用的约定：</w:t>
      </w:r>
    </w:p>
    <w:p>
      <w:pPr>
        <w:autoSpaceDE w:val="0"/>
        <w:autoSpaceDN w:val="0"/>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w:t>
      </w:r>
    </w:p>
    <w:p>
      <w:pPr>
        <w:keepNext/>
        <w:keepLines/>
        <w:tabs>
          <w:tab w:val="left" w:pos="864"/>
        </w:tabs>
        <w:snapToGrid w:val="0"/>
        <w:spacing w:line="360" w:lineRule="auto"/>
        <w:ind w:left="862" w:hanging="862"/>
        <w:rPr>
          <w:rFonts w:ascii="宋体" w:hAnsi="宋体" w:cs="宋体"/>
          <w:color w:val="auto"/>
          <w:sz w:val="24"/>
          <w:highlight w:val="none"/>
        </w:rPr>
      </w:pPr>
      <w:bookmarkStart w:id="829" w:name="_Toc351203643"/>
      <w:r>
        <w:rPr>
          <w:rFonts w:hint="eastAsia" w:ascii="宋体" w:hAnsi="宋体" w:cs="宋体"/>
          <w:color w:val="auto"/>
          <w:sz w:val="24"/>
          <w:highlight w:val="none"/>
        </w:rPr>
        <w:t>11. 价格调整</w:t>
      </w:r>
      <w:bookmarkEnd w:id="829"/>
    </w:p>
    <w:p>
      <w:pPr>
        <w:snapToGrid w:val="0"/>
        <w:spacing w:line="360" w:lineRule="auto"/>
        <w:ind w:firstLine="480" w:firstLineChars="200"/>
        <w:rPr>
          <w:rFonts w:ascii="宋体" w:hAnsi="宋体" w:cs="宋体"/>
          <w:color w:val="auto"/>
          <w:sz w:val="24"/>
          <w:highlight w:val="none"/>
        </w:rPr>
      </w:pPr>
      <w:bookmarkStart w:id="830" w:name="_Toc297123550"/>
      <w:bookmarkStart w:id="831" w:name="_Toc297120501"/>
      <w:bookmarkStart w:id="832" w:name="_Toc296944540"/>
      <w:bookmarkStart w:id="833" w:name="_Toc297216209"/>
      <w:bookmarkStart w:id="834" w:name="_Toc297048387"/>
      <w:bookmarkStart w:id="835" w:name="_Toc304295577"/>
      <w:bookmarkStart w:id="836" w:name="_Toc292559406"/>
      <w:bookmarkStart w:id="837" w:name="_Toc292559911"/>
      <w:bookmarkStart w:id="838" w:name="_Toc300935000"/>
      <w:bookmarkStart w:id="839" w:name="_Toc296347200"/>
      <w:bookmarkStart w:id="840" w:name="_Toc296503201"/>
      <w:bookmarkStart w:id="841" w:name="_Toc296346702"/>
      <w:bookmarkStart w:id="842" w:name="_Toc296891241"/>
      <w:bookmarkStart w:id="843" w:name="_Toc312678039"/>
      <w:bookmarkStart w:id="844" w:name="_Toc296891029"/>
      <w:bookmarkStart w:id="845" w:name="_Toc303539157"/>
      <w:r>
        <w:rPr>
          <w:rFonts w:hint="eastAsia" w:ascii="宋体" w:hAnsi="宋体" w:cs="宋体"/>
          <w:color w:val="auto"/>
          <w:sz w:val="24"/>
          <w:highlight w:val="none"/>
        </w:rPr>
        <w:t>11.1 市场价格波动引起的调整</w:t>
      </w:r>
    </w:p>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市场价格波动是否调整合同价格的约定：</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因市场价格波动调整合同价格，采用以下第种方式对合同价格进行调整：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第1种方式：采用价格指数进行价格调整。</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 xml:space="preserve">关于各可调因子、定值和变值权重，以及基本价格指数及其来源的约定：；  </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第2种方式：采用造价信息进行价格调整。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（2）关于基准价格的约定：。</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snapToGrid w:val="0"/>
        <w:spacing w:line="360" w:lineRule="auto"/>
        <w:ind w:firstLine="645"/>
        <w:jc w:val="left"/>
        <w:rPr>
          <w:rFonts w:ascii="宋体" w:hAnsi="宋体" w:cs="宋体"/>
          <w:color w:val="auto"/>
          <w:sz w:val="24"/>
          <w:highlight w:val="none"/>
        </w:rPr>
      </w:pPr>
      <w:r>
        <w:rPr>
          <w:rFonts w:hint="eastAsia" w:ascii="宋体" w:hAnsi="宋体" w:cs="宋体"/>
          <w:color w:val="auto"/>
          <w:sz w:val="24"/>
          <w:highlight w:val="none"/>
        </w:rPr>
        <w:t>③承包人在已标价工程量清单或预算书中载明的材料单价等于基准单价的：专用合同条款合同履行期间材料单价涨跌幅以基准单价为基础超过±%时，其超过部分据实调整。</w:t>
      </w:r>
    </w:p>
    <w:p>
      <w:pPr>
        <w:snapToGrid w:val="0"/>
        <w:spacing w:line="360" w:lineRule="auto"/>
        <w:ind w:firstLine="645"/>
        <w:jc w:val="left"/>
        <w:rPr>
          <w:rFonts w:ascii="宋体" w:hAnsi="宋体" w:cs="宋体"/>
          <w:color w:val="auto"/>
          <w:sz w:val="24"/>
          <w:highlight w:val="none"/>
          <w:u w:val="single"/>
        </w:rPr>
      </w:pPr>
      <w:r>
        <w:rPr>
          <w:rFonts w:hint="eastAsia" w:ascii="宋体" w:hAnsi="宋体" w:cs="宋体"/>
          <w:color w:val="auto"/>
          <w:sz w:val="24"/>
          <w:highlight w:val="none"/>
        </w:rPr>
        <w:t>第3种方式：其他价格调整方式：</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bookmarkEnd w:id="733"/>
    <w:bookmarkEnd w:id="734"/>
    <w:bookmarkEnd w:id="735"/>
    <w:bookmarkEnd w:id="736"/>
    <w:bookmarkEnd w:id="737"/>
    <w:bookmarkEnd w:id="738"/>
    <w:p>
      <w:pPr>
        <w:keepNext/>
        <w:keepLines/>
        <w:tabs>
          <w:tab w:val="left" w:pos="864"/>
        </w:tabs>
        <w:snapToGrid w:val="0"/>
        <w:spacing w:line="360" w:lineRule="auto"/>
        <w:ind w:left="862" w:hanging="862"/>
        <w:rPr>
          <w:rFonts w:ascii="宋体" w:hAnsi="宋体" w:cs="宋体"/>
          <w:color w:val="auto"/>
          <w:sz w:val="24"/>
          <w:highlight w:val="none"/>
        </w:rPr>
      </w:pPr>
      <w:bookmarkStart w:id="846" w:name="_Toc296503205"/>
      <w:bookmarkStart w:id="847" w:name="_Toc296891245"/>
      <w:bookmarkStart w:id="848" w:name="_Toc297120505"/>
      <w:bookmarkStart w:id="849" w:name="_Toc297048391"/>
      <w:bookmarkStart w:id="850" w:name="_Toc296891033"/>
      <w:bookmarkStart w:id="851" w:name="_Toc296347204"/>
      <w:bookmarkStart w:id="852" w:name="_Toc296944544"/>
      <w:bookmarkStart w:id="853" w:name="_Toc296346706"/>
      <w:bookmarkStart w:id="854" w:name="_Toc292559410"/>
      <w:bookmarkStart w:id="855" w:name="_Toc292559915"/>
      <w:bookmarkStart w:id="856" w:name="_Toc351203644"/>
      <w:bookmarkStart w:id="857" w:name="_Toc297123552"/>
      <w:bookmarkStart w:id="858" w:name="_Toc297216211"/>
      <w:bookmarkStart w:id="859" w:name="_Toc303539159"/>
      <w:bookmarkStart w:id="860" w:name="_Toc300935002"/>
      <w:bookmarkStart w:id="861" w:name="_Toc304295579"/>
      <w:bookmarkStart w:id="862" w:name="_Toc312678040"/>
      <w:r>
        <w:rPr>
          <w:rFonts w:hint="eastAsia" w:ascii="宋体" w:hAnsi="宋体" w:cs="宋体"/>
          <w:color w:val="auto"/>
          <w:sz w:val="24"/>
          <w:highlight w:val="none"/>
        </w:rPr>
        <w:t xml:space="preserve">12. </w:t>
      </w:r>
      <w:bookmarkEnd w:id="846"/>
      <w:bookmarkEnd w:id="847"/>
      <w:bookmarkEnd w:id="848"/>
      <w:bookmarkEnd w:id="849"/>
      <w:bookmarkEnd w:id="850"/>
      <w:bookmarkEnd w:id="851"/>
      <w:bookmarkEnd w:id="852"/>
      <w:bookmarkEnd w:id="853"/>
      <w:bookmarkEnd w:id="854"/>
      <w:bookmarkEnd w:id="855"/>
      <w:r>
        <w:rPr>
          <w:rFonts w:hint="eastAsia" w:ascii="宋体" w:hAnsi="宋体" w:cs="宋体"/>
          <w:color w:val="auto"/>
          <w:sz w:val="24"/>
          <w:highlight w:val="none"/>
        </w:rPr>
        <w:t>合同价格、计量与支付</w:t>
      </w:r>
      <w:bookmarkEnd w:id="856"/>
    </w:p>
    <w:bookmarkEnd w:id="857"/>
    <w:bookmarkEnd w:id="858"/>
    <w:bookmarkEnd w:id="859"/>
    <w:bookmarkEnd w:id="860"/>
    <w:bookmarkEnd w:id="861"/>
    <w:bookmarkEnd w:id="862"/>
    <w:p>
      <w:pPr>
        <w:snapToGrid w:val="0"/>
        <w:spacing w:line="360" w:lineRule="auto"/>
        <w:ind w:firstLine="480" w:firstLineChars="200"/>
        <w:rPr>
          <w:rFonts w:ascii="宋体" w:hAnsi="宋体" w:cs="宋体"/>
          <w:color w:val="auto"/>
          <w:sz w:val="24"/>
          <w:highlight w:val="none"/>
        </w:rPr>
      </w:pPr>
      <w:bookmarkStart w:id="863" w:name="_Toc292559411"/>
      <w:bookmarkStart w:id="864" w:name="_Toc292559916"/>
      <w:bookmarkStart w:id="865" w:name="_Toc267251461"/>
      <w:bookmarkStart w:id="866" w:name="_Toc297120506"/>
      <w:bookmarkStart w:id="867" w:name="_Toc296891246"/>
      <w:bookmarkStart w:id="868" w:name="_Toc296347205"/>
      <w:bookmarkStart w:id="869" w:name="_Toc296346707"/>
      <w:bookmarkStart w:id="870" w:name="_Toc297048392"/>
      <w:bookmarkStart w:id="871" w:name="_Toc296944545"/>
      <w:bookmarkStart w:id="872" w:name="_Toc296503206"/>
      <w:bookmarkStart w:id="873" w:name="_Toc296891034"/>
      <w:bookmarkStart w:id="874" w:name="_Toc303539160"/>
      <w:bookmarkStart w:id="875" w:name="_Toc297123553"/>
      <w:bookmarkStart w:id="876" w:name="_Toc304295580"/>
      <w:bookmarkStart w:id="877" w:name="_Toc312678041"/>
      <w:bookmarkStart w:id="878" w:name="_Toc297216212"/>
      <w:bookmarkStart w:id="879" w:name="_Toc300935003"/>
      <w:r>
        <w:rPr>
          <w:rFonts w:hint="eastAsia" w:ascii="宋体" w:hAnsi="宋体" w:cs="宋体"/>
          <w:color w:val="auto"/>
          <w:sz w:val="24"/>
          <w:highlight w:val="none"/>
        </w:rPr>
        <w:t>12.1 合</w:t>
      </w:r>
      <w:bookmarkEnd w:id="863"/>
      <w:bookmarkEnd w:id="864"/>
      <w:bookmarkEnd w:id="865"/>
      <w:r>
        <w:rPr>
          <w:rFonts w:hint="eastAsia" w:ascii="宋体" w:hAnsi="宋体" w:cs="宋体"/>
          <w:color w:val="auto"/>
          <w:sz w:val="24"/>
          <w:highlight w:val="none"/>
        </w:rPr>
        <w:t>同价</w:t>
      </w:r>
      <w:bookmarkEnd w:id="866"/>
      <w:bookmarkEnd w:id="867"/>
      <w:bookmarkEnd w:id="868"/>
      <w:bookmarkEnd w:id="869"/>
      <w:bookmarkEnd w:id="870"/>
      <w:bookmarkEnd w:id="871"/>
      <w:bookmarkEnd w:id="872"/>
      <w:bookmarkEnd w:id="873"/>
      <w:r>
        <w:rPr>
          <w:rFonts w:hint="eastAsia" w:ascii="宋体" w:hAnsi="宋体" w:cs="宋体"/>
          <w:color w:val="auto"/>
          <w:sz w:val="24"/>
          <w:highlight w:val="none"/>
        </w:rPr>
        <w:t>格形式</w:t>
      </w:r>
    </w:p>
    <w:bookmarkEnd w:id="874"/>
    <w:bookmarkEnd w:id="875"/>
    <w:bookmarkEnd w:id="876"/>
    <w:bookmarkEnd w:id="877"/>
    <w:bookmarkEnd w:id="878"/>
    <w:bookmarkEnd w:id="879"/>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1、单价合同。</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综合单价包含的风险范围：</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风险费用的计算方法：</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风险范围以外合同价格的调整方法：</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2、总价合同。</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总价包含的风险范围：</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风险费用的计算方法：</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风险范围以外合同价格的调整方法：</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3、其他价格方式：</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bookmarkStart w:id="880" w:name="_Toc304295581"/>
      <w:bookmarkStart w:id="881" w:name="_Toc312678042"/>
      <w:bookmarkStart w:id="882" w:name="_Toc297216213"/>
      <w:bookmarkStart w:id="883" w:name="_Toc297123554"/>
      <w:bookmarkStart w:id="884" w:name="_Toc303539161"/>
      <w:bookmarkStart w:id="885" w:name="_Toc300935004"/>
      <w:bookmarkStart w:id="886" w:name="_Toc296891247"/>
      <w:bookmarkStart w:id="887" w:name="_Toc296347206"/>
      <w:bookmarkStart w:id="888" w:name="_Toc296944546"/>
      <w:bookmarkStart w:id="889" w:name="_Toc292559917"/>
      <w:bookmarkStart w:id="890" w:name="_Toc296503207"/>
      <w:bookmarkStart w:id="891" w:name="_Toc296891035"/>
      <w:bookmarkStart w:id="892" w:name="_Toc297120507"/>
      <w:bookmarkStart w:id="893" w:name="_Toc296346708"/>
      <w:bookmarkStart w:id="894" w:name="_Toc292559412"/>
      <w:bookmarkStart w:id="895" w:name="_Toc297048393"/>
      <w:r>
        <w:rPr>
          <w:rFonts w:hint="eastAsia" w:ascii="宋体" w:hAnsi="宋体" w:cs="宋体"/>
          <w:color w:val="auto"/>
          <w:sz w:val="24"/>
          <w:highlight w:val="none"/>
        </w:rPr>
        <w:t>12.2 预付款</w:t>
      </w:r>
    </w:p>
    <w:bookmarkEnd w:id="880"/>
    <w:bookmarkEnd w:id="881"/>
    <w:bookmarkEnd w:id="882"/>
    <w:bookmarkEnd w:id="883"/>
    <w:bookmarkEnd w:id="884"/>
    <w:bookmarkEnd w:id="885"/>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12.2.1 预付款的支付</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预付款支付比例或金额：。</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预付款支付期限：。</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预付款扣回的方式：。</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12.2.2 预付款担保</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承包人提交预付款担保的期限：。</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预付款担保的形式为：。</w:t>
      </w:r>
    </w:p>
    <w:bookmarkEnd w:id="886"/>
    <w:bookmarkEnd w:id="887"/>
    <w:bookmarkEnd w:id="888"/>
    <w:bookmarkEnd w:id="889"/>
    <w:bookmarkEnd w:id="890"/>
    <w:bookmarkEnd w:id="891"/>
    <w:bookmarkEnd w:id="892"/>
    <w:bookmarkEnd w:id="893"/>
    <w:bookmarkEnd w:id="894"/>
    <w:bookmarkEnd w:id="895"/>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12.3 计量</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12.3.1 计量原则</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工程量计算规则：。</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12.3.2 计量周期</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关于计量周期的约定：。</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12.3.3 单价合同的计量</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关于单价合同计量的约定：。</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12.3.4 总价合同的计量</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关于总价合同计量的约定：。</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12.3.5总价合同采用支付分解表计量支付的，是否适用第</w:t>
      </w:r>
      <w:r>
        <w:rPr>
          <w:rFonts w:hint="eastAsia" w:ascii="宋体" w:hAnsi="宋体" w:cs="宋体"/>
          <w:color w:val="auto"/>
          <w:kern w:val="0"/>
          <w:sz w:val="24"/>
          <w:highlight w:val="none"/>
        </w:rPr>
        <w:t xml:space="preserve">12.3.4 </w:t>
      </w:r>
      <w:r>
        <w:rPr>
          <w:rFonts w:hint="eastAsia" w:ascii="宋体" w:hAnsi="宋体" w:cs="宋体"/>
          <w:color w:val="auto"/>
          <w:sz w:val="24"/>
          <w:highlight w:val="none"/>
        </w:rPr>
        <w:t>项</w:t>
      </w:r>
      <w:r>
        <w:rPr>
          <w:rFonts w:hint="eastAsia" w:ascii="宋体" w:hAnsi="宋体" w:cs="宋体"/>
          <w:color w:val="auto"/>
          <w:kern w:val="0"/>
          <w:sz w:val="24"/>
          <w:highlight w:val="none"/>
        </w:rPr>
        <w:t>〔总价合同的计量〕</w:t>
      </w:r>
      <w:r>
        <w:rPr>
          <w:rFonts w:hint="eastAsia" w:ascii="宋体" w:hAnsi="宋体" w:cs="宋体"/>
          <w:color w:val="auto"/>
          <w:sz w:val="24"/>
          <w:highlight w:val="none"/>
        </w:rPr>
        <w:t>约定进行计量：。</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12.3.6 其他价格形式合同的计量</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其他价格形式的计量方式和程序：</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12.4 工程进度款支付</w:t>
      </w:r>
    </w:p>
    <w:p>
      <w:pPr>
        <w:snapToGrid w:val="0"/>
        <w:spacing w:line="360" w:lineRule="auto"/>
        <w:ind w:firstLine="480" w:firstLineChars="200"/>
        <w:jc w:val="left"/>
        <w:rPr>
          <w:rFonts w:ascii="宋体" w:hAnsi="宋体" w:cs="宋体"/>
          <w:color w:val="auto"/>
          <w:sz w:val="24"/>
          <w:highlight w:val="none"/>
        </w:rPr>
      </w:pPr>
      <w:bookmarkStart w:id="896" w:name="_Toc303539163"/>
      <w:bookmarkStart w:id="897" w:name="_Toc296346712"/>
      <w:bookmarkStart w:id="898" w:name="_Toc297216215"/>
      <w:bookmarkStart w:id="899" w:name="_Toc300935006"/>
      <w:bookmarkStart w:id="900" w:name="_Toc296347210"/>
      <w:bookmarkStart w:id="901" w:name="_Toc296503211"/>
      <w:bookmarkStart w:id="902" w:name="_Toc297120511"/>
      <w:bookmarkStart w:id="903" w:name="_Toc296891039"/>
      <w:bookmarkStart w:id="904" w:name="_Toc292559921"/>
      <w:bookmarkStart w:id="905" w:name="_Toc296944550"/>
      <w:bookmarkStart w:id="906" w:name="_Toc297123556"/>
      <w:bookmarkStart w:id="907" w:name="_Toc292559416"/>
      <w:bookmarkStart w:id="908" w:name="_Toc297048397"/>
      <w:bookmarkStart w:id="909" w:name="_Toc296891251"/>
      <w:r>
        <w:rPr>
          <w:rFonts w:hint="eastAsia" w:ascii="宋体" w:hAnsi="宋体" w:cs="宋体"/>
          <w:color w:val="auto"/>
          <w:sz w:val="24"/>
          <w:highlight w:val="none"/>
        </w:rPr>
        <w:t>12.4.1 付款周期</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关于付款周期的约定：。</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12.4.2 进度付款申请单的编制</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关于进度付款申请单编制的约定：</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r>
        <w:rPr>
          <w:rFonts w:hint="eastAsia" w:ascii="宋体" w:hAnsi="宋体" w:cs="宋体"/>
          <w:color w:val="auto"/>
          <w:sz w:val="24"/>
          <w:highlight w:val="none"/>
        </w:rPr>
        <w:t>2.4.3 进度付款申请单的提交</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（1）单价合同进度付款申请单提交的约定：。</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（2）总价合同进度付款申请单提交的约定：。</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（3）其他价格形式合同进度付款申请单提交的约定：</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12.4.4 进度款审核和支付</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（1）监理人审查并报送发包人的期限：。</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发包人完成审批并签发进度款支付证书的期限：</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（2）发包人支付进度款的期限：。</w:t>
      </w:r>
    </w:p>
    <w:p>
      <w:pPr>
        <w:snapToGrid w:val="0"/>
        <w:spacing w:line="360" w:lineRule="auto"/>
        <w:ind w:firstLine="600" w:firstLineChars="250"/>
        <w:jc w:val="left"/>
        <w:rPr>
          <w:rFonts w:ascii="宋体" w:hAnsi="宋体" w:cs="宋体"/>
          <w:color w:val="auto"/>
          <w:sz w:val="24"/>
          <w:highlight w:val="none"/>
          <w:u w:val="single"/>
        </w:rPr>
      </w:pPr>
      <w:r>
        <w:rPr>
          <w:rFonts w:hint="eastAsia" w:ascii="宋体" w:hAnsi="宋体" w:cs="宋体"/>
          <w:color w:val="auto"/>
          <w:sz w:val="24"/>
          <w:highlight w:val="none"/>
        </w:rPr>
        <w:t>发包人逾期支付进度款的违约金的计算方式：</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ind w:firstLine="600" w:firstLineChars="250"/>
        <w:jc w:val="left"/>
        <w:rPr>
          <w:rFonts w:ascii="宋体" w:hAnsi="宋体" w:cs="宋体"/>
          <w:color w:val="auto"/>
          <w:sz w:val="24"/>
          <w:highlight w:val="none"/>
        </w:rPr>
      </w:pPr>
      <w:r>
        <w:rPr>
          <w:rFonts w:hint="eastAsia" w:ascii="宋体" w:hAnsi="宋体" w:cs="宋体"/>
          <w:color w:val="auto"/>
          <w:sz w:val="24"/>
          <w:highlight w:val="none"/>
        </w:rPr>
        <w:t>12.4.6 支付分解表的编制</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2、总价合同支付分解表的编制与审批：</w:t>
      </w:r>
    </w:p>
    <w:p>
      <w:pPr>
        <w:snapToGrid w:val="0"/>
        <w:spacing w:line="360" w:lineRule="auto"/>
        <w:ind w:left="4800" w:hanging="4800" w:hangingChars="2000"/>
        <w:jc w:val="left"/>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3、单价合同的总价项目支付分解表的编制与审批：</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bookmarkEnd w:id="739"/>
    <w:p>
      <w:pPr>
        <w:keepNext/>
        <w:keepLines/>
        <w:tabs>
          <w:tab w:val="left" w:pos="864"/>
        </w:tabs>
        <w:snapToGrid w:val="0"/>
        <w:spacing w:line="360" w:lineRule="auto"/>
        <w:ind w:left="862" w:hanging="862"/>
        <w:rPr>
          <w:rFonts w:ascii="宋体" w:hAnsi="宋体" w:cs="宋体"/>
          <w:color w:val="auto"/>
          <w:sz w:val="24"/>
          <w:highlight w:val="none"/>
        </w:rPr>
      </w:pPr>
      <w:bookmarkStart w:id="910" w:name="_Toc351203645"/>
      <w:bookmarkStart w:id="911" w:name="_Toc296347218"/>
      <w:bookmarkStart w:id="912" w:name="_Toc292559929"/>
      <w:bookmarkStart w:id="913" w:name="_Toc304295593"/>
      <w:bookmarkStart w:id="914" w:name="_Toc296891047"/>
      <w:bookmarkStart w:id="915" w:name="_Toc312678053"/>
      <w:bookmarkStart w:id="916" w:name="_Toc292559424"/>
      <w:bookmarkStart w:id="917" w:name="_Toc297048405"/>
      <w:bookmarkStart w:id="918" w:name="_Toc296346720"/>
      <w:bookmarkStart w:id="919" w:name="_Toc297123564"/>
      <w:bookmarkStart w:id="920" w:name="_Toc297216223"/>
      <w:bookmarkStart w:id="921" w:name="_Toc300935015"/>
      <w:bookmarkStart w:id="922" w:name="_Toc303539172"/>
      <w:bookmarkStart w:id="923" w:name="_Toc296503219"/>
      <w:bookmarkStart w:id="924" w:name="_Toc297120519"/>
      <w:bookmarkStart w:id="925" w:name="_Toc296944558"/>
      <w:bookmarkStart w:id="926" w:name="_Toc296891259"/>
      <w:r>
        <w:rPr>
          <w:rFonts w:hint="eastAsia" w:ascii="宋体" w:hAnsi="宋体" w:cs="宋体"/>
          <w:color w:val="auto"/>
          <w:sz w:val="24"/>
          <w:highlight w:val="none"/>
        </w:rPr>
        <w:t>13. 验收和工程试车</w:t>
      </w:r>
      <w:bookmarkEnd w:id="910"/>
    </w:p>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13.1 分部分项工程验收</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13.1.2监理人不能按时进行验收时，应提前小时提交书面延期要求。</w:t>
      </w:r>
    </w:p>
    <w:p>
      <w:pPr>
        <w:snapToGrid w:val="0"/>
        <w:spacing w:line="360" w:lineRule="auto"/>
        <w:ind w:firstLine="480" w:firstLineChars="200"/>
        <w:jc w:val="left"/>
        <w:rPr>
          <w:rFonts w:ascii="宋体" w:hAnsi="宋体" w:cs="宋体"/>
          <w:b/>
          <w:color w:val="auto"/>
          <w:sz w:val="24"/>
          <w:highlight w:val="none"/>
        </w:rPr>
      </w:pPr>
      <w:r>
        <w:rPr>
          <w:rFonts w:hint="eastAsia" w:ascii="宋体" w:hAnsi="宋体" w:cs="宋体"/>
          <w:color w:val="auto"/>
          <w:sz w:val="24"/>
          <w:highlight w:val="none"/>
        </w:rPr>
        <w:t>关于延期最长不得超过：小时。</w:t>
      </w:r>
    </w:p>
    <w:p>
      <w:pPr>
        <w:snapToGrid w:val="0"/>
        <w:spacing w:line="360" w:lineRule="auto"/>
        <w:ind w:firstLine="480" w:firstLineChars="200"/>
        <w:rPr>
          <w:rFonts w:ascii="宋体" w:hAnsi="宋体" w:cs="宋体"/>
          <w:color w:val="auto"/>
          <w:sz w:val="24"/>
          <w:highlight w:val="none"/>
        </w:rPr>
      </w:pPr>
      <w:bookmarkStart w:id="927" w:name="_Toc296346724"/>
      <w:bookmarkStart w:id="928" w:name="_Toc303539173"/>
      <w:bookmarkStart w:id="929" w:name="_Toc297120523"/>
      <w:bookmarkStart w:id="930" w:name="_Toc292559933"/>
      <w:bookmarkStart w:id="931" w:name="_Toc300935016"/>
      <w:bookmarkStart w:id="932" w:name="_Toc296891263"/>
      <w:bookmarkStart w:id="933" w:name="_Toc296347222"/>
      <w:bookmarkStart w:id="934" w:name="_Toc296944562"/>
      <w:bookmarkStart w:id="935" w:name="_Toc297048409"/>
      <w:bookmarkStart w:id="936" w:name="_Toc296891051"/>
      <w:bookmarkStart w:id="937" w:name="_Toc292559428"/>
      <w:bookmarkStart w:id="938" w:name="_Toc312678056"/>
      <w:bookmarkStart w:id="939" w:name="_Toc297216224"/>
      <w:bookmarkStart w:id="940" w:name="_Toc296503223"/>
      <w:bookmarkStart w:id="941" w:name="_Toc304295596"/>
      <w:bookmarkStart w:id="942" w:name="_Toc297123565"/>
      <w:bookmarkStart w:id="943" w:name="_Toc267251474"/>
      <w:bookmarkStart w:id="944" w:name="_Toc267251473"/>
      <w:bookmarkStart w:id="945" w:name="_Toc267251472"/>
      <w:bookmarkStart w:id="946" w:name="_Toc267251476"/>
      <w:bookmarkStart w:id="947" w:name="_Toc267251475"/>
      <w:bookmarkStart w:id="948" w:name="_Toc267251471"/>
      <w:bookmarkStart w:id="949" w:name="_Toc267251470"/>
      <w:r>
        <w:rPr>
          <w:rFonts w:hint="eastAsia" w:ascii="宋体" w:hAnsi="宋体" w:cs="宋体"/>
          <w:color w:val="auto"/>
          <w:sz w:val="24"/>
          <w:highlight w:val="none"/>
        </w:rPr>
        <w:t>13.2 竣工验收</w:t>
      </w:r>
    </w:p>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Pr>
        <w:snapToGrid w:val="0"/>
        <w:spacing w:line="360" w:lineRule="auto"/>
        <w:ind w:firstLine="480" w:firstLineChars="200"/>
        <w:jc w:val="left"/>
        <w:rPr>
          <w:rFonts w:ascii="宋体" w:hAnsi="宋体" w:cs="宋体"/>
          <w:color w:val="auto"/>
          <w:sz w:val="24"/>
          <w:highlight w:val="none"/>
        </w:rPr>
      </w:pPr>
      <w:bookmarkStart w:id="950" w:name="_Toc280868704"/>
      <w:bookmarkStart w:id="951" w:name="_Toc280868705"/>
      <w:bookmarkStart w:id="952" w:name="_Toc280868706"/>
      <w:bookmarkStart w:id="953" w:name="_Toc280868707"/>
      <w:bookmarkStart w:id="954" w:name="_Toc280868708"/>
      <w:bookmarkStart w:id="955" w:name="_Toc280868709"/>
      <w:r>
        <w:rPr>
          <w:rFonts w:hint="eastAsia" w:ascii="宋体" w:hAnsi="宋体" w:cs="宋体"/>
          <w:color w:val="auto"/>
          <w:sz w:val="24"/>
          <w:highlight w:val="none"/>
        </w:rPr>
        <w:t>13.2.2竣工验收程序</w:t>
      </w:r>
    </w:p>
    <w:bookmarkEnd w:id="950"/>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kern w:val="0"/>
          <w:sz w:val="24"/>
          <w:highlight w:val="none"/>
        </w:rPr>
        <w:t>关于竣工验收程序的约定：</w:t>
      </w:r>
    </w:p>
    <w:p>
      <w:pPr>
        <w:snapToGrid w:val="0"/>
        <w:spacing w:line="360" w:lineRule="auto"/>
        <w:ind w:left="4800" w:hanging="4800" w:hangingChars="2000"/>
        <w:jc w:val="left"/>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kern w:val="0"/>
          <w:sz w:val="24"/>
          <w:highlight w:val="none"/>
        </w:rPr>
        <w:t>发包人不按照本项约定组织竣工验收、颁发工程接收证书的违约金的计算方法：</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bookmarkEnd w:id="951"/>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13.2.5移交、接收全部与部分工程</w:t>
      </w:r>
    </w:p>
    <w:bookmarkEnd w:id="952"/>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承包人向发包人移交工程的期限：</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kern w:val="0"/>
          <w:sz w:val="24"/>
          <w:highlight w:val="none"/>
        </w:rPr>
        <w:t>发包人未按本合同约定接收全部或部分工程的，违约金的计算方法为：</w:t>
      </w:r>
      <w:r>
        <w:rPr>
          <w:rFonts w:hint="eastAsia" w:ascii="宋体" w:hAnsi="宋体" w:cs="宋体"/>
          <w:color w:val="auto"/>
          <w:sz w:val="24"/>
          <w:highlight w:val="none"/>
        </w:rPr>
        <w:t>。</w:t>
      </w:r>
    </w:p>
    <w:bookmarkEnd w:id="953"/>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承包人未按时移交工程的，违约金的计算方法为：</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13.3 工程试车</w:t>
      </w:r>
    </w:p>
    <w:bookmarkEnd w:id="954"/>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13.3.1 试车程序</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kern w:val="0"/>
          <w:sz w:val="24"/>
          <w:highlight w:val="none"/>
        </w:rPr>
        <w:t>工程试车内容：</w:t>
      </w:r>
    </w:p>
    <w:p>
      <w:pPr>
        <w:snapToGrid w:val="0"/>
        <w:spacing w:line="360" w:lineRule="auto"/>
        <w:jc w:val="left"/>
        <w:rPr>
          <w:rFonts w:ascii="宋体" w:hAnsi="宋体" w:cs="宋体"/>
          <w:color w:val="auto"/>
          <w:kern w:val="0"/>
          <w:sz w:val="24"/>
          <w:highlight w:val="none"/>
        </w:rPr>
      </w:pP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（1）单机无负荷试车费用由承担；</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（2）无负荷联动试车费用由承担。</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13.3.3 投料试车</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kern w:val="0"/>
          <w:sz w:val="24"/>
          <w:highlight w:val="none"/>
        </w:rPr>
        <w:t>关于投料试车相关事项的约定：</w:t>
      </w:r>
    </w:p>
    <w:p>
      <w:pPr>
        <w:snapToGrid w:val="0"/>
        <w:spacing w:line="360" w:lineRule="auto"/>
        <w:jc w:val="left"/>
        <w:rPr>
          <w:rFonts w:ascii="宋体" w:hAnsi="宋体" w:cs="宋体"/>
          <w:color w:val="auto"/>
          <w:kern w:val="0"/>
          <w:sz w:val="24"/>
          <w:highlight w:val="none"/>
        </w:rPr>
      </w:pP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13.6 竣工退场</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13.6.1 竣工退场</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承包人完成竣工退场的期限：。</w:t>
      </w:r>
    </w:p>
    <w:p>
      <w:pPr>
        <w:keepNext/>
        <w:keepLines/>
        <w:tabs>
          <w:tab w:val="left" w:pos="864"/>
        </w:tabs>
        <w:snapToGrid w:val="0"/>
        <w:spacing w:line="360" w:lineRule="auto"/>
        <w:ind w:left="862" w:hanging="862"/>
        <w:rPr>
          <w:rFonts w:ascii="宋体" w:hAnsi="宋体" w:cs="宋体"/>
          <w:color w:val="auto"/>
          <w:sz w:val="24"/>
          <w:highlight w:val="none"/>
        </w:rPr>
      </w:pPr>
      <w:bookmarkStart w:id="956" w:name="_Toc351203646"/>
      <w:r>
        <w:rPr>
          <w:rFonts w:hint="eastAsia" w:ascii="宋体" w:hAnsi="宋体" w:cs="宋体"/>
          <w:color w:val="auto"/>
          <w:sz w:val="24"/>
          <w:highlight w:val="none"/>
        </w:rPr>
        <w:t>14. 竣工结算</w:t>
      </w:r>
      <w:bookmarkEnd w:id="956"/>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 竣工结算申请</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承包人提交竣工结算申请单的期限：。</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竣工结算申请单应包括的内容：</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 竣工结算审核</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发包人审批竣工付款申请单的期限：。</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发包人完成竣工付款的期限：。</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关于竣工付款证书异议部分复核的方式和程序：</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14.4 最终结清</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14.4.1 最终结清申请单</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承包人提交最终结清申请单的份数：</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承包人提交最终结算申请单的期限：</w:t>
      </w:r>
      <w:r>
        <w:rPr>
          <w:rFonts w:hint="eastAsia" w:ascii="宋体" w:hAnsi="宋体" w:cs="宋体"/>
          <w:color w:val="auto"/>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14.4.2 最终结清证书和支付</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（1）发包人完成最终结清申请单的审批并颁发最终结清证书的期限：。</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（2）发包人完成支付的期限：。</w:t>
      </w:r>
    </w:p>
    <w:bookmarkEnd w:id="943"/>
    <w:bookmarkEnd w:id="944"/>
    <w:bookmarkEnd w:id="945"/>
    <w:bookmarkEnd w:id="946"/>
    <w:bookmarkEnd w:id="947"/>
    <w:bookmarkEnd w:id="948"/>
    <w:bookmarkEnd w:id="949"/>
    <w:bookmarkEnd w:id="955"/>
    <w:p>
      <w:pPr>
        <w:keepNext/>
        <w:keepLines/>
        <w:tabs>
          <w:tab w:val="left" w:pos="864"/>
        </w:tabs>
        <w:snapToGrid w:val="0"/>
        <w:spacing w:line="360" w:lineRule="auto"/>
        <w:ind w:left="862" w:hanging="862"/>
        <w:rPr>
          <w:rFonts w:ascii="宋体" w:hAnsi="宋体" w:cs="宋体"/>
          <w:color w:val="auto"/>
          <w:sz w:val="24"/>
          <w:highlight w:val="none"/>
        </w:rPr>
      </w:pPr>
      <w:bookmarkStart w:id="957" w:name="_Toc351203647"/>
      <w:bookmarkStart w:id="958" w:name="_Toc267251483"/>
      <w:bookmarkStart w:id="959" w:name="_Toc267251482"/>
      <w:bookmarkStart w:id="960" w:name="_Toc267251484"/>
      <w:bookmarkStart w:id="961" w:name="_Toc267251485"/>
      <w:bookmarkStart w:id="962" w:name="_Toc267251486"/>
      <w:bookmarkStart w:id="963" w:name="_Toc267251489"/>
      <w:bookmarkStart w:id="964" w:name="_Toc267251488"/>
      <w:bookmarkStart w:id="965" w:name="_Toc267251490"/>
      <w:bookmarkStart w:id="966" w:name="_Toc267251494"/>
      <w:bookmarkStart w:id="967" w:name="_Toc267251499"/>
      <w:bookmarkStart w:id="968" w:name="_Toc267251497"/>
      <w:bookmarkStart w:id="969" w:name="_Toc267251496"/>
      <w:bookmarkStart w:id="970" w:name="_Toc267251501"/>
      <w:bookmarkStart w:id="971" w:name="_Toc267251491"/>
      <w:bookmarkStart w:id="972" w:name="_Toc267251493"/>
      <w:bookmarkStart w:id="973" w:name="_Toc267251502"/>
      <w:bookmarkStart w:id="974" w:name="_Toc267251492"/>
      <w:bookmarkStart w:id="975" w:name="_Toc267251503"/>
      <w:bookmarkStart w:id="976" w:name="_Toc267251495"/>
      <w:bookmarkStart w:id="977" w:name="_Toc267251498"/>
      <w:bookmarkStart w:id="978" w:name="_Toc267251504"/>
      <w:bookmarkStart w:id="979" w:name="_Toc267251506"/>
      <w:bookmarkStart w:id="980" w:name="_Toc267251507"/>
      <w:bookmarkStart w:id="981" w:name="_Toc267251508"/>
      <w:bookmarkStart w:id="982" w:name="_Toc267251509"/>
      <w:bookmarkStart w:id="983" w:name="_Toc267251515"/>
      <w:bookmarkStart w:id="984" w:name="_Toc267251514"/>
      <w:bookmarkStart w:id="985" w:name="_Toc267251513"/>
      <w:bookmarkStart w:id="986" w:name="_Toc267251511"/>
      <w:bookmarkStart w:id="987" w:name="_Toc267251510"/>
      <w:r>
        <w:rPr>
          <w:rFonts w:hint="eastAsia" w:ascii="宋体" w:hAnsi="宋体" w:cs="宋体"/>
          <w:color w:val="auto"/>
          <w:sz w:val="24"/>
          <w:highlight w:val="none"/>
        </w:rPr>
        <w:t>15. 缺陷责任期与保修</w:t>
      </w:r>
      <w:bookmarkEnd w:id="957"/>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15.2缺陷责任期</w:t>
      </w:r>
      <w:bookmarkEnd w:id="958"/>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缺陷责任期的具体期限：</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 质量保证金</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关于是否扣留质量保证金的约定：</w:t>
      </w:r>
      <w:r>
        <w:rPr>
          <w:rFonts w:hint="eastAsia" w:ascii="宋体" w:hAnsi="宋体" w:cs="宋体"/>
          <w:color w:val="auto"/>
          <w:sz w:val="24"/>
          <w:highlight w:val="none"/>
          <w:u w:val="single"/>
        </w:rPr>
        <w:t xml:space="preserve"> 不扣留  </w:t>
      </w:r>
      <w:r>
        <w:rPr>
          <w:rFonts w:hint="eastAsia" w:ascii="宋体" w:hAnsi="宋体" w:cs="宋体"/>
          <w:color w:val="auto"/>
          <w:sz w:val="24"/>
          <w:highlight w:val="none"/>
        </w:rPr>
        <w:t>。在工程项目竣工前，承包人按专用合同条款第3.7条提供履约担保的，发包人不得同时预留工程质量保证金。</w:t>
      </w:r>
    </w:p>
    <w:p>
      <w:pPr>
        <w:snapToGrid w:val="0"/>
        <w:spacing w:line="360" w:lineRule="auto"/>
        <w:ind w:firstLine="480" w:firstLineChars="200"/>
        <w:jc w:val="left"/>
        <w:rPr>
          <w:rFonts w:ascii="宋体" w:hAnsi="宋体" w:cs="宋体"/>
          <w:color w:val="auto"/>
          <w:sz w:val="24"/>
          <w:highlight w:val="none"/>
        </w:rPr>
      </w:pP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15.3.1 承包人提供质量保证金的方式</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质量保证金采用以下第</w:t>
      </w:r>
      <w:r>
        <w:rPr>
          <w:rFonts w:hint="eastAsia" w:ascii="宋体" w:hAnsi="宋体" w:cs="宋体"/>
          <w:color w:val="auto"/>
          <w:sz w:val="24"/>
          <w:highlight w:val="none"/>
          <w:u w:val="single"/>
        </w:rPr>
        <w:t>/</w:t>
      </w:r>
      <w:r>
        <w:rPr>
          <w:rFonts w:hint="eastAsia" w:ascii="宋体" w:hAnsi="宋体" w:cs="宋体"/>
          <w:color w:val="auto"/>
          <w:sz w:val="24"/>
          <w:highlight w:val="none"/>
        </w:rPr>
        <w:t>种方式：</w:t>
      </w:r>
    </w:p>
    <w:p>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（1）质量保证金保函，保证金额为：； </w:t>
      </w:r>
    </w:p>
    <w:p>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（2）%的工程款；</w:t>
      </w:r>
    </w:p>
    <w:p>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（3）其他方式:。</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15.3.2 质量保证金的扣留 </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质量保证金的扣留采取以下第</w:t>
      </w:r>
      <w:r>
        <w:rPr>
          <w:rFonts w:hint="eastAsia" w:ascii="宋体" w:hAnsi="宋体" w:cs="宋体"/>
          <w:color w:val="auto"/>
          <w:sz w:val="24"/>
          <w:highlight w:val="none"/>
          <w:u w:val="single"/>
        </w:rPr>
        <w:t>/</w:t>
      </w:r>
      <w:r>
        <w:rPr>
          <w:rFonts w:hint="eastAsia" w:ascii="宋体" w:hAnsi="宋体" w:cs="宋体"/>
          <w:color w:val="auto"/>
          <w:sz w:val="24"/>
          <w:highlight w:val="none"/>
        </w:rPr>
        <w:t>种方式：</w:t>
      </w:r>
    </w:p>
    <w:p>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（1）在支付工程进度款时逐次扣留，在此情形下，质量保证金的计算基数不包括预付款的支付、扣回以及价格调整的金额；</w:t>
      </w:r>
    </w:p>
    <w:p>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（2）工程竣工结算时一次性扣留质量保证金；</w:t>
      </w:r>
    </w:p>
    <w:p>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（3）其他扣留方式:。</w:t>
      </w:r>
    </w:p>
    <w:p>
      <w:pP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sz w:val="24"/>
          <w:highlight w:val="none"/>
        </w:rPr>
        <w:t>关于质量保证金的补充约定：</w:t>
      </w:r>
    </w:p>
    <w:p>
      <w:pPr>
        <w:snapToGrid w:val="0"/>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w:t>
      </w:r>
    </w:p>
    <w:bookmarkEnd w:id="959"/>
    <w:bookmarkEnd w:id="960"/>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15.4保修</w:t>
      </w:r>
    </w:p>
    <w:bookmarkEnd w:id="961"/>
    <w:p>
      <w:pPr>
        <w:snapToGrid w:val="0"/>
        <w:spacing w:line="360" w:lineRule="auto"/>
        <w:ind w:firstLine="468" w:firstLineChars="195"/>
        <w:jc w:val="left"/>
        <w:rPr>
          <w:rFonts w:ascii="宋体" w:hAnsi="宋体" w:cs="宋体"/>
          <w:color w:val="auto"/>
          <w:sz w:val="24"/>
          <w:highlight w:val="none"/>
        </w:rPr>
      </w:pPr>
      <w:r>
        <w:rPr>
          <w:rFonts w:hint="eastAsia" w:ascii="宋体" w:hAnsi="宋体" w:cs="宋体"/>
          <w:color w:val="auto"/>
          <w:sz w:val="24"/>
          <w:highlight w:val="none"/>
        </w:rPr>
        <w:t>15.4.1 保修责任</w:t>
      </w:r>
    </w:p>
    <w:p>
      <w:pPr>
        <w:snapToGrid w:val="0"/>
        <w:spacing w:line="360" w:lineRule="auto"/>
        <w:ind w:firstLine="468" w:firstLineChars="195"/>
        <w:jc w:val="left"/>
        <w:rPr>
          <w:rFonts w:ascii="宋体" w:hAnsi="宋体" w:cs="宋体"/>
          <w:color w:val="auto"/>
          <w:kern w:val="0"/>
          <w:sz w:val="24"/>
          <w:highlight w:val="none"/>
          <w:u w:val="single"/>
        </w:rPr>
      </w:pPr>
      <w:r>
        <w:rPr>
          <w:rFonts w:hint="eastAsia" w:ascii="宋体" w:hAnsi="宋体" w:cs="宋体"/>
          <w:color w:val="auto"/>
          <w:sz w:val="24"/>
          <w:highlight w:val="none"/>
        </w:rPr>
        <w:t>工程保修期为：</w:t>
      </w:r>
    </w:p>
    <w:p>
      <w:pPr>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w:t>
      </w:r>
    </w:p>
    <w:p>
      <w:pPr>
        <w:snapToGrid w:val="0"/>
        <w:spacing w:line="360" w:lineRule="auto"/>
        <w:ind w:firstLine="468" w:firstLineChars="195"/>
        <w:jc w:val="left"/>
        <w:rPr>
          <w:rFonts w:ascii="宋体" w:hAnsi="宋体" w:cs="宋体"/>
          <w:color w:val="auto"/>
          <w:sz w:val="24"/>
          <w:highlight w:val="none"/>
        </w:rPr>
      </w:pPr>
      <w:r>
        <w:rPr>
          <w:rFonts w:hint="eastAsia" w:ascii="宋体" w:hAnsi="宋体" w:cs="宋体"/>
          <w:color w:val="auto"/>
          <w:sz w:val="24"/>
          <w:highlight w:val="none"/>
        </w:rPr>
        <w:t>15.4.3 修复通知</w:t>
      </w:r>
    </w:p>
    <w:p>
      <w:pPr>
        <w:snapToGrid w:val="0"/>
        <w:spacing w:line="360" w:lineRule="auto"/>
        <w:ind w:firstLine="468" w:firstLineChars="195"/>
        <w:jc w:val="left"/>
        <w:rPr>
          <w:rFonts w:ascii="宋体" w:hAnsi="宋体" w:cs="宋体"/>
          <w:color w:val="auto"/>
          <w:kern w:val="0"/>
          <w:sz w:val="24"/>
          <w:highlight w:val="none"/>
          <w:u w:val="single"/>
        </w:rPr>
      </w:pPr>
      <w:r>
        <w:rPr>
          <w:rFonts w:hint="eastAsia" w:ascii="宋体" w:hAnsi="宋体" w:cs="宋体"/>
          <w:color w:val="auto"/>
          <w:kern w:val="0"/>
          <w:sz w:val="24"/>
          <w:highlight w:val="none"/>
        </w:rPr>
        <w:t>承包人收到保修通知并到达工程现场的合理时间：</w:t>
      </w:r>
    </w:p>
    <w:p>
      <w:pPr>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w:t>
      </w:r>
    </w:p>
    <w:bookmarkEnd w:id="962"/>
    <w:bookmarkEnd w:id="963"/>
    <w:bookmarkEnd w:id="964"/>
    <w:bookmarkEnd w:id="965"/>
    <w:p>
      <w:pPr>
        <w:keepNext/>
        <w:keepLines/>
        <w:tabs>
          <w:tab w:val="left" w:pos="864"/>
        </w:tabs>
        <w:snapToGrid w:val="0"/>
        <w:spacing w:line="360" w:lineRule="auto"/>
        <w:ind w:left="862" w:hanging="862"/>
        <w:rPr>
          <w:rFonts w:ascii="宋体" w:hAnsi="宋体" w:cs="宋体"/>
          <w:color w:val="auto"/>
          <w:sz w:val="24"/>
          <w:highlight w:val="none"/>
        </w:rPr>
      </w:pPr>
      <w:bookmarkStart w:id="988" w:name="_Toc351203648"/>
      <w:bookmarkStart w:id="989" w:name="_Toc280868717"/>
      <w:bookmarkStart w:id="990" w:name="_Toc280868718"/>
      <w:r>
        <w:rPr>
          <w:rFonts w:hint="eastAsia" w:ascii="宋体" w:hAnsi="宋体" w:cs="宋体"/>
          <w:color w:val="auto"/>
          <w:sz w:val="24"/>
          <w:highlight w:val="none"/>
        </w:rPr>
        <w:t>16. 违约</w:t>
      </w:r>
      <w:bookmarkEnd w:id="988"/>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 发包人违约</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16.1.1发包人违约的情形</w:t>
      </w:r>
    </w:p>
    <w:p>
      <w:pP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发包人违约的其他情形：</w:t>
      </w:r>
    </w:p>
    <w:p>
      <w:pPr>
        <w:snapToGrid w:val="0"/>
        <w:spacing w:line="360" w:lineRule="auto"/>
        <w:ind w:left="1200" w:hanging="1200" w:hangingChars="500"/>
        <w:jc w:val="left"/>
        <w:rPr>
          <w:rFonts w:ascii="宋体" w:hAnsi="宋体" w:cs="宋体"/>
          <w:color w:val="auto"/>
          <w:kern w:val="0"/>
          <w:sz w:val="24"/>
          <w:highlight w:val="none"/>
        </w:rPr>
      </w:pPr>
      <w:r>
        <w:rPr>
          <w:rFonts w:hint="eastAsia" w:ascii="宋体" w:hAnsi="宋体" w:cs="宋体"/>
          <w:color w:val="auto"/>
          <w:kern w:val="0"/>
          <w:sz w:val="24"/>
          <w:highlight w:val="none"/>
        </w:rPr>
        <w:t>。</w:t>
      </w:r>
    </w:p>
    <w:p>
      <w:pPr>
        <w:snapToGrid w:val="0"/>
        <w:spacing w:line="360" w:lineRule="auto"/>
        <w:ind w:left="1200" w:hanging="1200" w:hangingChars="5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16.1.2 发包人违约的责任</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发包人违约责任的承担方式和计算方法：</w:t>
      </w:r>
    </w:p>
    <w:p>
      <w:pP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（1）因发包人原因未能在计划开工日期前7天内下达开工通知的违约责任：。</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（2）因发包人原因未能按合同约定支付合同价款的违约责任：。</w:t>
      </w:r>
    </w:p>
    <w:p>
      <w:pP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（3）发包人违反第10.1款〔变更的范围〕第（2）项约定，自行实施被取消的工作或转由他人实施的违约责任：</w:t>
      </w:r>
    </w:p>
    <w:p>
      <w:pPr>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（4）发包人提供的材料、工程设备的规格、数量或质量不符合合同约定，或因发包人原因导致交货日期延误或交货地点变更等情况的违约责任：。</w:t>
      </w:r>
    </w:p>
    <w:p>
      <w:pP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（5）因发包人违反合同约定造成暂停施工的违约责任：</w:t>
      </w:r>
    </w:p>
    <w:p>
      <w:pPr>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（6）发包人无正当理由没有在约定期限内发出复工指示，导致承包人无法复工的违约责任：。</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（7）其他：。</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16.1.3 因发包人违约解除合同</w:t>
      </w:r>
    </w:p>
    <w:p>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承包人按16.1.1项〔发包人违约的情形〕约定暂停施工满天后发包人仍不纠正其违约行为并致使合同目的不能实现的，承包人有权解除合同。</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 承包人违约</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16.2.1 承包人违约的情形</w:t>
      </w:r>
    </w:p>
    <w:p>
      <w:pP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承包人违约的其他情形：</w:t>
      </w:r>
    </w:p>
    <w:p>
      <w:pPr>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16.2.2承包人违约的责任</w:t>
      </w:r>
    </w:p>
    <w:p>
      <w:pP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承包人违约责任的承担方式和计算方法：</w:t>
      </w:r>
    </w:p>
    <w:p>
      <w:pPr>
        <w:snapToGrid w:val="0"/>
        <w:spacing w:line="360" w:lineRule="auto"/>
        <w:ind w:left="1200" w:hanging="1200" w:hangingChars="5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16.2.3 因承包人违约解除合同</w:t>
      </w:r>
    </w:p>
    <w:p>
      <w:pPr>
        <w:snapToGrid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关于承包人违约解除合同的特别约定：</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发包人继续使用承包人在施工现场的材料、设备、临时工程、承包人文件和由承包人或以其名义编制的其他文件的费用承担方式：。</w:t>
      </w:r>
    </w:p>
    <w:p>
      <w:pPr>
        <w:keepNext/>
        <w:keepLines/>
        <w:tabs>
          <w:tab w:val="left" w:pos="864"/>
        </w:tabs>
        <w:snapToGrid w:val="0"/>
        <w:spacing w:line="360" w:lineRule="auto"/>
        <w:ind w:left="862" w:hanging="862"/>
        <w:rPr>
          <w:rFonts w:ascii="宋体" w:hAnsi="宋体" w:cs="宋体"/>
          <w:color w:val="auto"/>
          <w:sz w:val="24"/>
          <w:highlight w:val="none"/>
        </w:rPr>
      </w:pPr>
      <w:bookmarkStart w:id="991" w:name="_Toc351203649"/>
      <w:r>
        <w:rPr>
          <w:rFonts w:hint="eastAsia" w:ascii="宋体" w:hAnsi="宋体" w:cs="宋体"/>
          <w:color w:val="auto"/>
          <w:sz w:val="24"/>
          <w:highlight w:val="none"/>
        </w:rPr>
        <w:t>17. 不可抗力</w:t>
      </w:r>
      <w:bookmarkEnd w:id="989"/>
      <w:bookmarkEnd w:id="991"/>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 不可抗力的确认</w:t>
      </w:r>
    </w:p>
    <w:p>
      <w:pPr>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sz w:val="24"/>
          <w:highlight w:val="none"/>
        </w:rPr>
        <w:t xml:space="preserve">除通用合同条款约定的不可抗力事件之外，视为不可抗力的其他情形： </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 因不可抗力解除合同</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合同解除后，发包人应在商定或确定发包人应支付款项后天内完成款项的支付。</w:t>
      </w:r>
    </w:p>
    <w:p>
      <w:pPr>
        <w:keepNext/>
        <w:keepLines/>
        <w:tabs>
          <w:tab w:val="left" w:pos="864"/>
        </w:tabs>
        <w:snapToGrid w:val="0"/>
        <w:spacing w:line="360" w:lineRule="auto"/>
        <w:ind w:left="862" w:hanging="862"/>
        <w:rPr>
          <w:rFonts w:ascii="宋体" w:hAnsi="宋体" w:cs="宋体"/>
          <w:color w:val="auto"/>
          <w:sz w:val="24"/>
          <w:highlight w:val="none"/>
        </w:rPr>
      </w:pPr>
      <w:bookmarkStart w:id="992" w:name="_Toc351203650"/>
      <w:r>
        <w:rPr>
          <w:rFonts w:hint="eastAsia" w:ascii="宋体" w:hAnsi="宋体" w:cs="宋体"/>
          <w:color w:val="auto"/>
          <w:sz w:val="24"/>
          <w:highlight w:val="none"/>
        </w:rPr>
        <w:t>18. 保险</w:t>
      </w:r>
      <w:bookmarkEnd w:id="992"/>
    </w:p>
    <w:bookmarkEnd w:id="990"/>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 工程保险</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关于工程保险的特别约定：</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 其他保险</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关于其他保险的约定：</w:t>
      </w:r>
      <w:r>
        <w:rPr>
          <w:rFonts w:hint="eastAsia" w:ascii="宋体" w:hAnsi="宋体" w:cs="宋体"/>
          <w:color w:val="auto"/>
          <w:kern w:val="0"/>
          <w:sz w:val="24"/>
          <w:highlight w:val="none"/>
        </w:rPr>
        <w:t>。</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承包人是否应为其施工设备等办理财产保险：</w:t>
      </w:r>
    </w:p>
    <w:p>
      <w:pPr>
        <w:snapToGrid w:val="0"/>
        <w:spacing w:line="360" w:lineRule="auto"/>
        <w:jc w:val="left"/>
        <w:rPr>
          <w:rFonts w:ascii="宋体" w:hAnsi="宋体" w:cs="宋体"/>
          <w:color w:val="auto"/>
          <w:kern w:val="0"/>
          <w:sz w:val="24"/>
          <w:highlight w:val="none"/>
        </w:rPr>
      </w:pP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18.7 通知义务</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kern w:val="0"/>
          <w:sz w:val="24"/>
          <w:highlight w:val="none"/>
        </w:rPr>
        <w:t>关于变更保险合同时的通知义务的约定：</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bookmarkEnd w:id="966"/>
    <w:bookmarkEnd w:id="967"/>
    <w:bookmarkEnd w:id="968"/>
    <w:bookmarkEnd w:id="969"/>
    <w:bookmarkEnd w:id="970"/>
    <w:bookmarkEnd w:id="971"/>
    <w:bookmarkEnd w:id="972"/>
    <w:bookmarkEnd w:id="973"/>
    <w:bookmarkEnd w:id="974"/>
    <w:bookmarkEnd w:id="975"/>
    <w:bookmarkEnd w:id="976"/>
    <w:bookmarkEnd w:id="977"/>
    <w:p>
      <w:pPr>
        <w:keepNext/>
        <w:keepLines/>
        <w:tabs>
          <w:tab w:val="left" w:pos="864"/>
        </w:tabs>
        <w:snapToGrid w:val="0"/>
        <w:spacing w:line="360" w:lineRule="auto"/>
        <w:ind w:left="862" w:hanging="862"/>
        <w:rPr>
          <w:rFonts w:ascii="宋体" w:hAnsi="宋体" w:cs="宋体"/>
          <w:color w:val="auto"/>
          <w:sz w:val="24"/>
          <w:highlight w:val="none"/>
        </w:rPr>
      </w:pPr>
      <w:bookmarkStart w:id="993" w:name="_Toc351203651"/>
      <w:r>
        <w:rPr>
          <w:rFonts w:hint="eastAsia" w:ascii="宋体" w:hAnsi="宋体" w:cs="宋体"/>
          <w:color w:val="auto"/>
          <w:sz w:val="24"/>
          <w:highlight w:val="none"/>
        </w:rPr>
        <w:t>20. 争议解决</w:t>
      </w:r>
      <w:bookmarkEnd w:id="993"/>
    </w:p>
    <w:bookmarkEnd w:id="978"/>
    <w:bookmarkEnd w:id="979"/>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20.3 争</w:t>
      </w:r>
      <w:bookmarkEnd w:id="980"/>
      <w:r>
        <w:rPr>
          <w:rFonts w:hint="eastAsia" w:ascii="宋体" w:hAnsi="宋体" w:cs="宋体"/>
          <w:color w:val="auto"/>
          <w:sz w:val="24"/>
          <w:highlight w:val="none"/>
        </w:rPr>
        <w:t>议评审</w:t>
      </w:r>
    </w:p>
    <w:p>
      <w:pPr>
        <w:snapToGrid w:val="0"/>
        <w:spacing w:line="360" w:lineRule="auto"/>
        <w:ind w:left="149" w:leftChars="71" w:firstLine="360" w:firstLineChars="150"/>
        <w:jc w:val="left"/>
        <w:rPr>
          <w:rFonts w:ascii="宋体" w:hAnsi="宋体" w:cs="宋体"/>
          <w:color w:val="auto"/>
          <w:sz w:val="24"/>
          <w:highlight w:val="none"/>
          <w:u w:val="single"/>
        </w:rPr>
      </w:pPr>
      <w:r>
        <w:rPr>
          <w:rFonts w:hint="eastAsia" w:ascii="宋体" w:hAnsi="宋体" w:cs="宋体"/>
          <w:color w:val="auto"/>
          <w:sz w:val="24"/>
          <w:highlight w:val="none"/>
        </w:rPr>
        <w:t>合同当事人是否同意将工程争议提交争议评审小组决定：</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20.3.1 争议评审小组的确定</w:t>
      </w:r>
    </w:p>
    <w:p>
      <w:pPr>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争议评审小组成员的确定：。</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选定争议评审员的期限：。</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争议评审小组成员的报酬承担方式：。</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其他事项的约定：。</w:t>
      </w:r>
    </w:p>
    <w:p>
      <w:pPr>
        <w:autoSpaceDE w:val="0"/>
        <w:autoSpaceDN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20.3.2 争议评审小组的决定</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合同当事人关于本项的约定：。</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20.4仲裁或诉讼</w:t>
      </w:r>
      <w:bookmarkEnd w:id="981"/>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因合同及合同有关事项发生的争议，按下列第（1）种方式解决：</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（1）向</w:t>
      </w:r>
      <w:r>
        <w:rPr>
          <w:rFonts w:hint="eastAsia" w:ascii="宋体" w:hAnsi="宋体" w:cs="宋体"/>
          <w:color w:val="auto"/>
          <w:sz w:val="24"/>
          <w:highlight w:val="none"/>
          <w:u w:val="single"/>
        </w:rPr>
        <w:t>杭州</w:t>
      </w:r>
      <w:r>
        <w:rPr>
          <w:rFonts w:hint="eastAsia" w:ascii="宋体" w:hAnsi="宋体" w:cs="宋体"/>
          <w:color w:val="auto"/>
          <w:sz w:val="24"/>
          <w:highlight w:val="none"/>
        </w:rPr>
        <w:t>仲裁委员会申请仲裁；</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（2）向人民法院起诉。</w:t>
      </w:r>
      <w:bookmarkEnd w:id="982"/>
      <w:bookmarkEnd w:id="983"/>
      <w:bookmarkEnd w:id="984"/>
      <w:bookmarkEnd w:id="985"/>
      <w:bookmarkEnd w:id="986"/>
      <w:bookmarkEnd w:id="987"/>
    </w:p>
    <w:p>
      <w:pPr>
        <w:snapToGrid w:val="0"/>
        <w:spacing w:line="360" w:lineRule="auto"/>
        <w:ind w:firstLine="482"/>
        <w:rPr>
          <w:rFonts w:ascii="宋体" w:hAnsi="宋体"/>
          <w:color w:val="auto"/>
          <w:sz w:val="24"/>
          <w:highlight w:val="none"/>
        </w:rPr>
      </w:pPr>
      <w:r>
        <w:rPr>
          <w:rFonts w:hint="eastAsia" w:ascii="宋体" w:hAnsi="宋体"/>
          <w:b/>
          <w:color w:val="auto"/>
          <w:sz w:val="24"/>
          <w:highlight w:val="none"/>
        </w:rPr>
        <w:t>附件：</w:t>
      </w:r>
    </w:p>
    <w:p>
      <w:pPr>
        <w:adjustRightInd/>
        <w:snapToGrid w:val="0"/>
        <w:spacing w:line="360" w:lineRule="auto"/>
        <w:ind w:firstLine="424" w:firstLineChars="177"/>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附件1：建筑工程质量保修书</w:t>
      </w:r>
    </w:p>
    <w:p>
      <w:pPr>
        <w:adjustRightInd/>
        <w:ind w:firstLine="424" w:firstLineChars="177"/>
        <w:jc w:val="left"/>
        <w:rPr>
          <w:rFonts w:ascii="宋体" w:hAnsi="宋体"/>
          <w:snapToGrid w:val="0"/>
          <w:color w:val="auto"/>
          <w:kern w:val="0"/>
          <w:sz w:val="24"/>
          <w:highlight w:val="none"/>
        </w:rPr>
      </w:pPr>
    </w:p>
    <w:p>
      <w:pPr>
        <w:spacing w:before="162" w:line="440" w:lineRule="exact"/>
        <w:ind w:firstLine="480"/>
        <w:rPr>
          <w:rFonts w:ascii="宋体" w:hAnsi="宋体"/>
          <w:b/>
          <w:bCs/>
          <w:color w:val="auto"/>
          <w:sz w:val="24"/>
          <w:highlight w:val="none"/>
        </w:rPr>
      </w:pPr>
      <w:r>
        <w:rPr>
          <w:rFonts w:ascii="宋体" w:hAnsi="宋体"/>
          <w:color w:val="auto"/>
          <w:sz w:val="24"/>
          <w:highlight w:val="none"/>
          <w:u w:val="single"/>
        </w:rPr>
        <w:br w:type="page"/>
      </w:r>
      <w:bookmarkStart w:id="994" w:name="_Toc249091536"/>
      <w:bookmarkStart w:id="995" w:name="_Toc534620509"/>
      <w:r>
        <w:rPr>
          <w:rFonts w:hint="eastAsia" w:ascii="宋体" w:hAnsi="宋体"/>
          <w:b/>
          <w:bCs/>
          <w:color w:val="auto"/>
          <w:sz w:val="24"/>
          <w:highlight w:val="none"/>
        </w:rPr>
        <w:t>附件1:</w:t>
      </w:r>
    </w:p>
    <w:bookmarkEnd w:id="994"/>
    <w:bookmarkEnd w:id="995"/>
    <w:p>
      <w:pPr>
        <w:adjustRightInd/>
        <w:spacing w:beforeLines="50" w:afterLines="50" w:line="288" w:lineRule="auto"/>
        <w:jc w:val="center"/>
        <w:rPr>
          <w:rFonts w:ascii="宋体" w:hAnsi="宋体"/>
          <w:snapToGrid w:val="0"/>
          <w:color w:val="auto"/>
          <w:kern w:val="0"/>
          <w:sz w:val="24"/>
          <w:highlight w:val="none"/>
        </w:rPr>
      </w:pPr>
      <w:r>
        <w:rPr>
          <w:rFonts w:ascii="宋体" w:hAnsi="宋体"/>
          <w:snapToGrid w:val="0"/>
          <w:color w:val="auto"/>
          <w:kern w:val="0"/>
          <w:sz w:val="24"/>
          <w:highlight w:val="none"/>
        </w:rPr>
        <w:t>工程质量保修书</w:t>
      </w:r>
    </w:p>
    <w:p>
      <w:pPr>
        <w:adjustRightInd/>
        <w:spacing w:line="288"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发包人（全称）：</w:t>
      </w:r>
      <w:bookmarkStart w:id="996" w:name="SOA_zyht_zlbxfbr"/>
      <w:bookmarkEnd w:id="996"/>
    </w:p>
    <w:p>
      <w:pPr>
        <w:adjustRightInd/>
        <w:spacing w:line="288" w:lineRule="auto"/>
        <w:rPr>
          <w:rFonts w:ascii="宋体" w:hAnsi="宋体"/>
          <w:snapToGrid w:val="0"/>
          <w:color w:val="auto"/>
          <w:kern w:val="0"/>
          <w:sz w:val="24"/>
          <w:highlight w:val="none"/>
        </w:rPr>
      </w:pPr>
      <w:r>
        <w:rPr>
          <w:rFonts w:ascii="宋体" w:hAnsi="宋体"/>
          <w:snapToGrid w:val="0"/>
          <w:color w:val="auto"/>
          <w:kern w:val="0"/>
          <w:sz w:val="24"/>
          <w:highlight w:val="none"/>
        </w:rPr>
        <w:t>　　承包人（全称）：</w:t>
      </w:r>
      <w:bookmarkStart w:id="997" w:name="SOA_zyht_zlbxcbr"/>
      <w:bookmarkEnd w:id="997"/>
    </w:p>
    <w:p>
      <w:pPr>
        <w:adjustRightInd/>
        <w:spacing w:line="288" w:lineRule="auto"/>
        <w:rPr>
          <w:rFonts w:ascii="宋体" w:hAnsi="宋体"/>
          <w:snapToGrid w:val="0"/>
          <w:color w:val="auto"/>
          <w:kern w:val="0"/>
          <w:sz w:val="24"/>
          <w:highlight w:val="none"/>
        </w:rPr>
      </w:pPr>
      <w:r>
        <w:rPr>
          <w:rFonts w:ascii="宋体" w:hAnsi="宋体"/>
          <w:snapToGrid w:val="0"/>
          <w:color w:val="auto"/>
          <w:kern w:val="0"/>
          <w:sz w:val="24"/>
          <w:highlight w:val="none"/>
        </w:rPr>
        <w:t>　　发包人和承包人根据《中华人民共和国建筑法》和《建设工程质量管理条例》，经协商一致就</w:t>
      </w:r>
      <w:bookmarkStart w:id="998" w:name="SOA_zyht_gcqc"/>
      <w:bookmarkEnd w:id="998"/>
      <w:r>
        <w:rPr>
          <w:rFonts w:ascii="宋体" w:hAnsi="宋体"/>
          <w:snapToGrid w:val="0"/>
          <w:color w:val="auto"/>
          <w:kern w:val="0"/>
          <w:sz w:val="24"/>
          <w:highlight w:val="none"/>
        </w:rPr>
        <w:t>（工程全称）签订工程质量保修书。</w:t>
      </w:r>
    </w:p>
    <w:p>
      <w:pPr>
        <w:adjustRightInd/>
        <w:spacing w:line="288" w:lineRule="auto"/>
        <w:rPr>
          <w:rFonts w:ascii="宋体" w:hAnsi="宋体"/>
          <w:snapToGrid w:val="0"/>
          <w:color w:val="auto"/>
          <w:kern w:val="0"/>
          <w:sz w:val="24"/>
          <w:highlight w:val="none"/>
        </w:rPr>
      </w:pPr>
      <w:r>
        <w:rPr>
          <w:rFonts w:ascii="宋体" w:hAnsi="宋体"/>
          <w:snapToGrid w:val="0"/>
          <w:color w:val="auto"/>
          <w:kern w:val="0"/>
          <w:sz w:val="24"/>
          <w:highlight w:val="none"/>
        </w:rPr>
        <w:t>一、工程质量保修范围和内容</w:t>
      </w:r>
    </w:p>
    <w:p>
      <w:pPr>
        <w:adjustRightInd/>
        <w:spacing w:line="288" w:lineRule="auto"/>
        <w:rPr>
          <w:rFonts w:ascii="宋体" w:hAnsi="宋体"/>
          <w:snapToGrid w:val="0"/>
          <w:color w:val="auto"/>
          <w:kern w:val="0"/>
          <w:sz w:val="24"/>
          <w:highlight w:val="none"/>
        </w:rPr>
      </w:pPr>
      <w:r>
        <w:rPr>
          <w:rFonts w:ascii="宋体" w:hAnsi="宋体"/>
          <w:snapToGrid w:val="0"/>
          <w:color w:val="auto"/>
          <w:kern w:val="0"/>
          <w:sz w:val="24"/>
          <w:highlight w:val="none"/>
        </w:rPr>
        <w:t>　　承包人在质量保修期内，按照有关法律规定和合同约定，承担工程质量保修责任。</w:t>
      </w:r>
    </w:p>
    <w:p>
      <w:pPr>
        <w:adjustRightInd/>
        <w:spacing w:line="288" w:lineRule="auto"/>
        <w:rPr>
          <w:rFonts w:ascii="宋体" w:hAnsi="宋体"/>
          <w:snapToGrid w:val="0"/>
          <w:color w:val="auto"/>
          <w:kern w:val="0"/>
          <w:sz w:val="24"/>
          <w:highlight w:val="none"/>
        </w:rPr>
      </w:pPr>
      <w:r>
        <w:rPr>
          <w:rFonts w:ascii="宋体" w:hAnsi="宋体"/>
          <w:snapToGrid w:val="0"/>
          <w:color w:val="auto"/>
          <w:kern w:val="0"/>
          <w:sz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adjustRightInd/>
        <w:spacing w:line="288" w:lineRule="auto"/>
        <w:rPr>
          <w:rFonts w:ascii="宋体" w:hAnsi="宋体"/>
          <w:snapToGrid w:val="0"/>
          <w:color w:val="auto"/>
          <w:kern w:val="0"/>
          <w:sz w:val="24"/>
          <w:highlight w:val="none"/>
        </w:rPr>
      </w:pPr>
      <w:bookmarkStart w:id="999" w:name="SOA_zyht_gczlbxfw"/>
      <w:r>
        <w:rPr>
          <w:rFonts w:hint="eastAsia" w:ascii="宋体" w:hAnsi="宋体"/>
          <w:snapToGrid w:val="0"/>
          <w:color w:val="auto"/>
          <w:kern w:val="0"/>
          <w:sz w:val="24"/>
          <w:highlight w:val="none"/>
          <w:u w:val="single"/>
        </w:rPr>
        <w:t>双方约定对施工承包范围内的所有内容实行保修</w:t>
      </w:r>
      <w:bookmarkEnd w:id="999"/>
      <w:r>
        <w:rPr>
          <w:rFonts w:ascii="宋体" w:hAnsi="宋体"/>
          <w:snapToGrid w:val="0"/>
          <w:color w:val="auto"/>
          <w:kern w:val="0"/>
          <w:sz w:val="24"/>
          <w:highlight w:val="none"/>
        </w:rPr>
        <w:t>。</w:t>
      </w:r>
    </w:p>
    <w:p>
      <w:pPr>
        <w:adjustRightInd/>
        <w:spacing w:line="288" w:lineRule="auto"/>
        <w:rPr>
          <w:rFonts w:ascii="宋体" w:hAnsi="宋体"/>
          <w:snapToGrid w:val="0"/>
          <w:color w:val="auto"/>
          <w:kern w:val="0"/>
          <w:sz w:val="24"/>
          <w:highlight w:val="none"/>
        </w:rPr>
      </w:pPr>
      <w:r>
        <w:rPr>
          <w:rFonts w:ascii="宋体" w:hAnsi="宋体"/>
          <w:snapToGrid w:val="0"/>
          <w:color w:val="auto"/>
          <w:kern w:val="0"/>
          <w:sz w:val="24"/>
          <w:highlight w:val="none"/>
        </w:rPr>
        <w:t>二、质量保修期</w:t>
      </w:r>
    </w:p>
    <w:p>
      <w:pPr>
        <w:adjustRightInd/>
        <w:spacing w:line="288"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根据《建设工程质量管理条例》及有关规定，工程的质量保修期如下：</w:t>
      </w:r>
    </w:p>
    <w:p>
      <w:pPr>
        <w:adjustRightInd/>
        <w:spacing w:line="288"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1．地基基础工程和主体结构工程为设计文件规定的工程合理使用年限；</w:t>
      </w:r>
    </w:p>
    <w:p>
      <w:pPr>
        <w:adjustRightInd/>
        <w:spacing w:line="288"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w:t>
      </w:r>
      <w:r>
        <w:rPr>
          <w:rFonts w:ascii="宋体" w:hAnsi="宋体"/>
          <w:snapToGrid w:val="0"/>
          <w:color w:val="auto"/>
          <w:kern w:val="0"/>
          <w:sz w:val="24"/>
          <w:highlight w:val="none"/>
        </w:rPr>
        <w:t>屋面防水工程、有防水要求的卫生间、房间和外墙面的防渗</w:t>
      </w:r>
      <w:r>
        <w:rPr>
          <w:rFonts w:hint="eastAsia" w:ascii="宋体" w:hAnsi="宋体"/>
          <w:snapToGrid w:val="0"/>
          <w:color w:val="auto"/>
          <w:kern w:val="0"/>
          <w:sz w:val="24"/>
          <w:highlight w:val="none"/>
        </w:rPr>
        <w:t>为</w:t>
      </w:r>
      <w:r>
        <w:rPr>
          <w:rFonts w:hint="eastAsia" w:ascii="宋体" w:hAnsi="宋体"/>
          <w:snapToGrid w:val="0"/>
          <w:color w:val="auto"/>
          <w:kern w:val="0"/>
          <w:sz w:val="24"/>
          <w:highlight w:val="none"/>
          <w:u w:val="single"/>
        </w:rPr>
        <w:t xml:space="preserve"> 5 </w:t>
      </w:r>
      <w:r>
        <w:rPr>
          <w:rFonts w:ascii="宋体" w:hAnsi="宋体"/>
          <w:snapToGrid w:val="0"/>
          <w:color w:val="auto"/>
          <w:kern w:val="0"/>
          <w:sz w:val="24"/>
          <w:highlight w:val="none"/>
        </w:rPr>
        <w:t>年；</w:t>
      </w:r>
    </w:p>
    <w:p>
      <w:pPr>
        <w:adjustRightInd/>
        <w:spacing w:line="288"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w:t>
      </w:r>
      <w:r>
        <w:rPr>
          <w:rFonts w:ascii="宋体" w:hAnsi="宋体"/>
          <w:snapToGrid w:val="0"/>
          <w:color w:val="auto"/>
          <w:kern w:val="0"/>
          <w:sz w:val="24"/>
          <w:highlight w:val="none"/>
        </w:rPr>
        <w:t>装修工程为</w:t>
      </w:r>
      <w:r>
        <w:rPr>
          <w:rFonts w:hint="eastAsia" w:ascii="宋体" w:hAnsi="宋体"/>
          <w:snapToGrid w:val="0"/>
          <w:color w:val="auto"/>
          <w:kern w:val="0"/>
          <w:sz w:val="24"/>
          <w:highlight w:val="none"/>
          <w:u w:val="single"/>
        </w:rPr>
        <w:t xml:space="preserve">2 </w:t>
      </w:r>
      <w:r>
        <w:rPr>
          <w:rFonts w:ascii="宋体" w:hAnsi="宋体"/>
          <w:snapToGrid w:val="0"/>
          <w:color w:val="auto"/>
          <w:kern w:val="0"/>
          <w:sz w:val="24"/>
          <w:highlight w:val="none"/>
        </w:rPr>
        <w:t>年；</w:t>
      </w:r>
    </w:p>
    <w:p>
      <w:pPr>
        <w:adjustRightInd/>
        <w:spacing w:line="288"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w:t>
      </w:r>
      <w:r>
        <w:rPr>
          <w:rFonts w:ascii="宋体" w:hAnsi="宋体"/>
          <w:snapToGrid w:val="0"/>
          <w:color w:val="auto"/>
          <w:kern w:val="0"/>
          <w:sz w:val="24"/>
          <w:highlight w:val="none"/>
        </w:rPr>
        <w:t>电气管线、给排水管道、设备安装工程为</w:t>
      </w:r>
      <w:bookmarkStart w:id="1000" w:name="SOA_zyht_azbxnx"/>
      <w:bookmarkEnd w:id="1000"/>
      <w:r>
        <w:rPr>
          <w:rFonts w:hint="eastAsia" w:ascii="宋体" w:hAnsi="宋体"/>
          <w:snapToGrid w:val="0"/>
          <w:color w:val="auto"/>
          <w:kern w:val="0"/>
          <w:sz w:val="24"/>
          <w:highlight w:val="none"/>
          <w:u w:val="single"/>
        </w:rPr>
        <w:t>2</w:t>
      </w:r>
      <w:r>
        <w:rPr>
          <w:rFonts w:ascii="宋体" w:hAnsi="宋体"/>
          <w:snapToGrid w:val="0"/>
          <w:color w:val="auto"/>
          <w:kern w:val="0"/>
          <w:sz w:val="24"/>
          <w:highlight w:val="none"/>
        </w:rPr>
        <w:t>年；</w:t>
      </w:r>
    </w:p>
    <w:p>
      <w:pPr>
        <w:adjustRightInd/>
        <w:spacing w:line="288"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5．</w:t>
      </w:r>
      <w:r>
        <w:rPr>
          <w:rFonts w:ascii="宋体" w:hAnsi="宋体"/>
          <w:snapToGrid w:val="0"/>
          <w:color w:val="auto"/>
          <w:kern w:val="0"/>
          <w:sz w:val="24"/>
          <w:highlight w:val="none"/>
        </w:rPr>
        <w:t>供热与供冷系统为</w:t>
      </w:r>
      <w:bookmarkStart w:id="1001" w:name="SOA_zyht_grbxnx"/>
      <w:r>
        <w:rPr>
          <w:rFonts w:hint="eastAsia" w:ascii="宋体" w:hAnsi="宋体"/>
          <w:snapToGrid w:val="0"/>
          <w:color w:val="auto"/>
          <w:kern w:val="0"/>
          <w:sz w:val="24"/>
          <w:highlight w:val="none"/>
          <w:u w:val="single"/>
        </w:rPr>
        <w:t>2</w:t>
      </w:r>
      <w:bookmarkEnd w:id="1001"/>
      <w:r>
        <w:rPr>
          <w:rFonts w:ascii="宋体" w:hAnsi="宋体"/>
          <w:snapToGrid w:val="0"/>
          <w:color w:val="auto"/>
          <w:kern w:val="0"/>
          <w:sz w:val="24"/>
          <w:highlight w:val="none"/>
        </w:rPr>
        <w:t>个采暖期、供冷期；</w:t>
      </w:r>
    </w:p>
    <w:p>
      <w:pPr>
        <w:adjustRightInd/>
        <w:spacing w:line="288"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6．</w:t>
      </w:r>
      <w:r>
        <w:rPr>
          <w:rFonts w:ascii="宋体" w:hAnsi="宋体"/>
          <w:snapToGrid w:val="0"/>
          <w:color w:val="auto"/>
          <w:kern w:val="0"/>
          <w:sz w:val="24"/>
          <w:highlight w:val="none"/>
        </w:rPr>
        <w:t>其他项目保修期限约定如下：</w:t>
      </w:r>
      <w:r>
        <w:rPr>
          <w:rFonts w:hint="eastAsia" w:ascii="宋体" w:hAnsi="宋体"/>
          <w:snapToGrid w:val="0"/>
          <w:color w:val="auto"/>
          <w:kern w:val="0"/>
          <w:sz w:val="24"/>
          <w:highlight w:val="none"/>
          <w:lang w:val="en-US" w:eastAsia="zh-CN"/>
        </w:rPr>
        <w:t>室外环境绿化工程</w:t>
      </w:r>
      <w:r>
        <w:rPr>
          <w:rFonts w:hint="eastAsia" w:ascii="宋体" w:hAnsi="宋体"/>
          <w:snapToGrid w:val="0"/>
          <w:color w:val="auto"/>
          <w:kern w:val="0"/>
          <w:sz w:val="24"/>
          <w:highlight w:val="none"/>
          <w:u w:val="single"/>
          <w:lang w:val="en-US" w:eastAsia="zh-CN"/>
        </w:rPr>
        <w:t>2</w:t>
      </w:r>
      <w:r>
        <w:rPr>
          <w:rFonts w:hint="eastAsia" w:ascii="宋体" w:hAnsi="宋体"/>
          <w:snapToGrid w:val="0"/>
          <w:color w:val="auto"/>
          <w:kern w:val="0"/>
          <w:sz w:val="24"/>
          <w:highlight w:val="none"/>
          <w:lang w:val="en-US" w:eastAsia="zh-CN"/>
        </w:rPr>
        <w:t>年</w:t>
      </w:r>
      <w:r>
        <w:rPr>
          <w:rFonts w:ascii="宋体" w:hAnsi="宋体"/>
          <w:snapToGrid w:val="0"/>
          <w:color w:val="auto"/>
          <w:kern w:val="0"/>
          <w:sz w:val="24"/>
          <w:highlight w:val="none"/>
        </w:rPr>
        <w:t>。</w:t>
      </w:r>
    </w:p>
    <w:p>
      <w:pPr>
        <w:adjustRightInd/>
        <w:spacing w:line="288" w:lineRule="auto"/>
        <w:rPr>
          <w:rFonts w:ascii="宋体" w:hAnsi="宋体"/>
          <w:snapToGrid w:val="0"/>
          <w:color w:val="auto"/>
          <w:kern w:val="0"/>
          <w:sz w:val="24"/>
          <w:highlight w:val="none"/>
        </w:rPr>
      </w:pPr>
      <w:r>
        <w:rPr>
          <w:rFonts w:ascii="宋体" w:hAnsi="宋体"/>
          <w:snapToGrid w:val="0"/>
          <w:color w:val="auto"/>
          <w:kern w:val="0"/>
          <w:sz w:val="24"/>
          <w:highlight w:val="none"/>
        </w:rPr>
        <w:t>　　质量保修期自工程竣工验收合格之日起计算。</w:t>
      </w:r>
    </w:p>
    <w:p>
      <w:pPr>
        <w:adjustRightInd/>
        <w:spacing w:line="288" w:lineRule="auto"/>
        <w:rPr>
          <w:rFonts w:ascii="宋体" w:hAnsi="宋体"/>
          <w:snapToGrid w:val="0"/>
          <w:color w:val="auto"/>
          <w:kern w:val="0"/>
          <w:sz w:val="24"/>
          <w:highlight w:val="none"/>
        </w:rPr>
      </w:pPr>
      <w:r>
        <w:rPr>
          <w:rFonts w:ascii="宋体" w:hAnsi="宋体"/>
          <w:snapToGrid w:val="0"/>
          <w:color w:val="auto"/>
          <w:kern w:val="0"/>
          <w:sz w:val="24"/>
          <w:highlight w:val="none"/>
        </w:rPr>
        <w:t>三、缺陷责任期</w:t>
      </w:r>
    </w:p>
    <w:p>
      <w:pPr>
        <w:adjustRightInd/>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工程缺陷责任期为</w:t>
      </w:r>
      <w:bookmarkStart w:id="1002" w:name="SOA_zyht_gcqxq"/>
      <w:r>
        <w:rPr>
          <w:rFonts w:hint="eastAsia" w:ascii="宋体" w:hAnsi="宋体"/>
          <w:snapToGrid w:val="0"/>
          <w:color w:val="auto"/>
          <w:kern w:val="0"/>
          <w:sz w:val="24"/>
          <w:highlight w:val="none"/>
          <w:u w:val="single"/>
        </w:rPr>
        <w:t xml:space="preserve">24 </w:t>
      </w:r>
      <w:bookmarkEnd w:id="1002"/>
      <w:r>
        <w:rPr>
          <w:rFonts w:ascii="宋体" w:hAnsi="宋体"/>
          <w:snapToGrid w:val="0"/>
          <w:color w:val="auto"/>
          <w:kern w:val="0"/>
          <w:sz w:val="24"/>
          <w:highlight w:val="none"/>
        </w:rPr>
        <w:t>个月，缺陷责任期自</w:t>
      </w:r>
      <w:r>
        <w:rPr>
          <w:rFonts w:hint="eastAsia" w:ascii="宋体" w:hAnsi="宋体"/>
          <w:snapToGrid w:val="0"/>
          <w:color w:val="auto"/>
          <w:kern w:val="0"/>
          <w:sz w:val="24"/>
          <w:highlight w:val="none"/>
        </w:rPr>
        <w:t>工程通过竣工验收合格之日</w:t>
      </w:r>
      <w:r>
        <w:rPr>
          <w:rFonts w:ascii="宋体" w:hAnsi="宋体"/>
          <w:snapToGrid w:val="0"/>
          <w:color w:val="auto"/>
          <w:kern w:val="0"/>
          <w:sz w:val="24"/>
          <w:highlight w:val="none"/>
        </w:rPr>
        <w:t>起计算。单位工程先于全部工程进行验收，单位工程缺陷责任期自单位工程</w:t>
      </w:r>
      <w:r>
        <w:rPr>
          <w:rFonts w:hint="eastAsia" w:ascii="宋体" w:hAnsi="宋体"/>
          <w:snapToGrid w:val="0"/>
          <w:color w:val="auto"/>
          <w:kern w:val="0"/>
          <w:sz w:val="24"/>
          <w:highlight w:val="none"/>
        </w:rPr>
        <w:t>验收合格之日</w:t>
      </w:r>
      <w:r>
        <w:rPr>
          <w:rFonts w:ascii="宋体" w:hAnsi="宋体"/>
          <w:snapToGrid w:val="0"/>
          <w:color w:val="auto"/>
          <w:kern w:val="0"/>
          <w:sz w:val="24"/>
          <w:highlight w:val="none"/>
        </w:rPr>
        <w:t>起</w:t>
      </w:r>
      <w:r>
        <w:rPr>
          <w:rFonts w:hint="eastAsia" w:ascii="宋体" w:hAnsi="宋体"/>
          <w:snapToGrid w:val="0"/>
          <w:color w:val="auto"/>
          <w:kern w:val="0"/>
          <w:sz w:val="24"/>
          <w:highlight w:val="none"/>
        </w:rPr>
        <w:t>计</w:t>
      </w:r>
      <w:r>
        <w:rPr>
          <w:rFonts w:ascii="宋体" w:hAnsi="宋体"/>
          <w:snapToGrid w:val="0"/>
          <w:color w:val="auto"/>
          <w:kern w:val="0"/>
          <w:sz w:val="24"/>
          <w:highlight w:val="none"/>
        </w:rPr>
        <w:t>算。</w:t>
      </w:r>
    </w:p>
    <w:p>
      <w:pPr>
        <w:adjustRightInd/>
        <w:spacing w:line="288"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缺陷责任期终止后，发包人应退还剩余的质量保证金。</w:t>
      </w:r>
    </w:p>
    <w:p>
      <w:pPr>
        <w:adjustRightInd/>
        <w:spacing w:line="288" w:lineRule="auto"/>
        <w:rPr>
          <w:rFonts w:ascii="宋体" w:hAnsi="宋体"/>
          <w:snapToGrid w:val="0"/>
          <w:color w:val="auto"/>
          <w:kern w:val="0"/>
          <w:sz w:val="24"/>
          <w:highlight w:val="none"/>
        </w:rPr>
      </w:pPr>
      <w:r>
        <w:rPr>
          <w:rFonts w:ascii="宋体" w:hAnsi="宋体"/>
          <w:snapToGrid w:val="0"/>
          <w:color w:val="auto"/>
          <w:kern w:val="0"/>
          <w:sz w:val="24"/>
          <w:highlight w:val="none"/>
        </w:rPr>
        <w:t>四、质量保修责任</w:t>
      </w:r>
    </w:p>
    <w:p>
      <w:pPr>
        <w:adjustRightInd/>
        <w:spacing w:line="288" w:lineRule="auto"/>
        <w:ind w:left="105" w:leftChars="50" w:firstLine="491" w:firstLineChars="205"/>
        <w:rPr>
          <w:rFonts w:ascii="宋体" w:hAnsi="宋体"/>
          <w:snapToGrid w:val="0"/>
          <w:color w:val="auto"/>
          <w:kern w:val="0"/>
          <w:sz w:val="24"/>
          <w:highlight w:val="none"/>
        </w:rPr>
      </w:pPr>
      <w:r>
        <w:rPr>
          <w:rFonts w:hint="eastAsia" w:ascii="宋体" w:hAnsi="宋体"/>
          <w:snapToGrid w:val="0"/>
          <w:color w:val="auto"/>
          <w:kern w:val="0"/>
          <w:sz w:val="24"/>
          <w:highlight w:val="none"/>
        </w:rPr>
        <w:t>1．</w:t>
      </w:r>
      <w:r>
        <w:rPr>
          <w:rFonts w:ascii="宋体" w:hAnsi="宋体"/>
          <w:snapToGrid w:val="0"/>
          <w:color w:val="auto"/>
          <w:kern w:val="0"/>
          <w:sz w:val="24"/>
          <w:highlight w:val="none"/>
        </w:rPr>
        <w:t>属于保修范围、内容的项目，承包人应当在接到保修通知之日起7天内派人保修。承包人不在约定期限内派人保修的，发包人可以委托他人修理。</w:t>
      </w:r>
    </w:p>
    <w:p>
      <w:pPr>
        <w:adjustRightInd/>
        <w:spacing w:line="300" w:lineRule="auto"/>
        <w:ind w:left="105" w:leftChars="50" w:firstLine="491" w:firstLineChars="205"/>
        <w:rPr>
          <w:rFonts w:ascii="宋体" w:hAnsi="宋体"/>
          <w:snapToGrid w:val="0"/>
          <w:color w:val="auto"/>
          <w:kern w:val="0"/>
          <w:sz w:val="24"/>
          <w:highlight w:val="none"/>
        </w:rPr>
      </w:pPr>
      <w:r>
        <w:rPr>
          <w:rFonts w:hint="eastAsia" w:ascii="宋体" w:hAnsi="宋体"/>
          <w:snapToGrid w:val="0"/>
          <w:color w:val="auto"/>
          <w:kern w:val="0"/>
          <w:sz w:val="24"/>
          <w:highlight w:val="none"/>
        </w:rPr>
        <w:t>2．</w:t>
      </w:r>
      <w:r>
        <w:rPr>
          <w:rFonts w:ascii="宋体" w:hAnsi="宋体"/>
          <w:snapToGrid w:val="0"/>
          <w:color w:val="auto"/>
          <w:kern w:val="0"/>
          <w:sz w:val="24"/>
          <w:highlight w:val="none"/>
        </w:rPr>
        <w:t>发生紧急事故需抢修的，承包人在接到事故通知后，应当立即到达事故现场抢修。</w:t>
      </w:r>
    </w:p>
    <w:p>
      <w:pPr>
        <w:adjustRightInd/>
        <w:spacing w:line="300" w:lineRule="auto"/>
        <w:ind w:left="105" w:leftChars="50" w:firstLine="491" w:firstLineChars="205"/>
        <w:rPr>
          <w:rFonts w:ascii="宋体" w:hAnsi="宋体"/>
          <w:snapToGrid w:val="0"/>
          <w:color w:val="auto"/>
          <w:kern w:val="0"/>
          <w:sz w:val="24"/>
          <w:highlight w:val="none"/>
        </w:rPr>
      </w:pPr>
      <w:r>
        <w:rPr>
          <w:rFonts w:hint="eastAsia" w:ascii="宋体" w:hAnsi="宋体"/>
          <w:snapToGrid w:val="0"/>
          <w:color w:val="auto"/>
          <w:kern w:val="0"/>
          <w:sz w:val="24"/>
          <w:highlight w:val="none"/>
        </w:rPr>
        <w:t>3．</w:t>
      </w:r>
      <w:r>
        <w:rPr>
          <w:rFonts w:ascii="宋体" w:hAnsi="宋体"/>
          <w:snapToGrid w:val="0"/>
          <w:color w:val="auto"/>
          <w:kern w:val="0"/>
          <w:sz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adjustRightInd/>
        <w:spacing w:line="300" w:lineRule="auto"/>
        <w:ind w:left="420" w:leftChars="200" w:firstLine="120" w:firstLineChars="50"/>
        <w:rPr>
          <w:rFonts w:ascii="宋体" w:hAnsi="宋体"/>
          <w:snapToGrid w:val="0"/>
          <w:color w:val="auto"/>
          <w:kern w:val="0"/>
          <w:sz w:val="24"/>
          <w:highlight w:val="none"/>
        </w:rPr>
      </w:pPr>
      <w:r>
        <w:rPr>
          <w:rFonts w:hint="eastAsia" w:ascii="宋体" w:hAnsi="宋体"/>
          <w:snapToGrid w:val="0"/>
          <w:color w:val="auto"/>
          <w:kern w:val="0"/>
          <w:sz w:val="24"/>
          <w:highlight w:val="none"/>
        </w:rPr>
        <w:t>4．</w:t>
      </w:r>
      <w:r>
        <w:rPr>
          <w:rFonts w:ascii="宋体" w:hAnsi="宋体"/>
          <w:snapToGrid w:val="0"/>
          <w:color w:val="auto"/>
          <w:kern w:val="0"/>
          <w:sz w:val="24"/>
          <w:highlight w:val="none"/>
        </w:rPr>
        <w:t>质量保修完成后，由发包人组织验收。</w:t>
      </w:r>
    </w:p>
    <w:p>
      <w:pPr>
        <w:adjustRightInd/>
        <w:spacing w:line="300" w:lineRule="auto"/>
        <w:rPr>
          <w:rFonts w:ascii="宋体" w:hAnsi="宋体"/>
          <w:snapToGrid w:val="0"/>
          <w:color w:val="auto"/>
          <w:kern w:val="0"/>
          <w:sz w:val="24"/>
          <w:highlight w:val="none"/>
        </w:rPr>
      </w:pPr>
      <w:r>
        <w:rPr>
          <w:rFonts w:ascii="宋体" w:hAnsi="宋体"/>
          <w:snapToGrid w:val="0"/>
          <w:color w:val="auto"/>
          <w:kern w:val="0"/>
          <w:sz w:val="24"/>
          <w:highlight w:val="none"/>
        </w:rPr>
        <w:t>五、保修费用</w:t>
      </w:r>
    </w:p>
    <w:p>
      <w:pPr>
        <w:adjustRightInd/>
        <w:spacing w:line="300" w:lineRule="auto"/>
        <w:ind w:firstLine="480"/>
        <w:rPr>
          <w:rFonts w:ascii="宋体" w:hAnsi="宋体"/>
          <w:snapToGrid w:val="0"/>
          <w:color w:val="auto"/>
          <w:kern w:val="0"/>
          <w:sz w:val="24"/>
          <w:highlight w:val="none"/>
        </w:rPr>
      </w:pPr>
      <w:r>
        <w:rPr>
          <w:rFonts w:ascii="宋体" w:hAnsi="宋体"/>
          <w:snapToGrid w:val="0"/>
          <w:color w:val="auto"/>
          <w:kern w:val="0"/>
          <w:sz w:val="24"/>
          <w:highlight w:val="none"/>
        </w:rPr>
        <w:t>保修费用由造成质量缺陷的责任方承担。</w:t>
      </w:r>
    </w:p>
    <w:p>
      <w:pPr>
        <w:adjustRightInd/>
        <w:spacing w:line="360" w:lineRule="auto"/>
        <w:ind w:firstLine="600"/>
        <w:jc w:val="left"/>
        <w:rPr>
          <w:rFonts w:ascii="宋体" w:hAnsi="宋体"/>
          <w:snapToGrid w:val="0"/>
          <w:color w:val="auto"/>
          <w:kern w:val="0"/>
          <w:sz w:val="24"/>
          <w:highlight w:val="none"/>
          <w:u w:val="single"/>
        </w:rPr>
      </w:pPr>
      <w:r>
        <w:rPr>
          <w:rFonts w:ascii="宋体" w:hAnsi="宋体"/>
          <w:b/>
          <w:snapToGrid w:val="0"/>
          <w:color w:val="auto"/>
          <w:kern w:val="0"/>
          <w:sz w:val="24"/>
          <w:highlight w:val="none"/>
        </w:rPr>
        <w:t>六</w:t>
      </w:r>
      <w:r>
        <w:rPr>
          <w:rFonts w:ascii="宋体" w:hAnsi="宋体"/>
          <w:snapToGrid w:val="0"/>
          <w:color w:val="auto"/>
          <w:kern w:val="0"/>
          <w:sz w:val="24"/>
          <w:highlight w:val="none"/>
        </w:rPr>
        <w:t>、双方约定的其他工程质量保修事项：</w:t>
      </w:r>
      <w:r>
        <w:rPr>
          <w:rFonts w:hint="eastAsia" w:ascii="宋体" w:hAnsi="宋体"/>
          <w:snapToGrid w:val="0"/>
          <w:color w:val="auto"/>
          <w:kern w:val="0"/>
          <w:sz w:val="24"/>
          <w:highlight w:val="none"/>
          <w:u w:val="single"/>
        </w:rPr>
        <w:t>工程质量保证金在工程缺陷期满后，扣除相应的扣款（由于乙方维修不及时而甲方自行维修的费用）后，结清余款（无息）。</w:t>
      </w:r>
    </w:p>
    <w:p>
      <w:pPr>
        <w:adjustRightInd/>
        <w:spacing w:line="360" w:lineRule="auto"/>
        <w:ind w:firstLine="600"/>
        <w:jc w:val="left"/>
        <w:rPr>
          <w:rFonts w:ascii="宋体" w:hAnsi="宋体"/>
          <w:snapToGrid w:val="0"/>
          <w:color w:val="auto"/>
          <w:kern w:val="0"/>
          <w:sz w:val="24"/>
          <w:highlight w:val="none"/>
        </w:rPr>
      </w:pPr>
      <w:r>
        <w:rPr>
          <w:rFonts w:hint="eastAsia" w:ascii="宋体" w:hAnsi="宋体"/>
          <w:snapToGrid w:val="0"/>
          <w:color w:val="auto"/>
          <w:kern w:val="0"/>
          <w:sz w:val="24"/>
          <w:highlight w:val="none"/>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ascii="宋体" w:hAnsi="宋体"/>
          <w:snapToGrid w:val="0"/>
          <w:color w:val="auto"/>
          <w:kern w:val="0"/>
          <w:sz w:val="24"/>
          <w:highlight w:val="none"/>
        </w:rPr>
        <w:t>。</w:t>
      </w:r>
    </w:p>
    <w:p>
      <w:pPr>
        <w:adjustRightInd/>
        <w:spacing w:line="300" w:lineRule="auto"/>
        <w:ind w:firstLine="456" w:firstLineChars="190"/>
        <w:rPr>
          <w:rFonts w:ascii="宋体" w:hAnsi="宋体"/>
          <w:snapToGrid w:val="0"/>
          <w:color w:val="auto"/>
          <w:kern w:val="0"/>
          <w:sz w:val="24"/>
          <w:highlight w:val="none"/>
        </w:rPr>
      </w:pPr>
      <w:r>
        <w:rPr>
          <w:rFonts w:ascii="宋体" w:hAnsi="宋体"/>
          <w:snapToGrid w:val="0"/>
          <w:color w:val="auto"/>
          <w:kern w:val="0"/>
          <w:sz w:val="24"/>
          <w:highlight w:val="none"/>
        </w:rPr>
        <w:t>工程质量保修书由发包人、承包人在工程竣工验收前共同签署，作为施工合同附件，其有效期限至保修期满。</w:t>
      </w:r>
    </w:p>
    <w:p>
      <w:pPr>
        <w:adjustRightInd/>
        <w:spacing w:line="300" w:lineRule="auto"/>
        <w:rPr>
          <w:rFonts w:ascii="宋体" w:hAnsi="宋体"/>
          <w:snapToGrid w:val="0"/>
          <w:color w:val="auto"/>
          <w:kern w:val="0"/>
          <w:sz w:val="24"/>
          <w:highlight w:val="none"/>
        </w:rPr>
      </w:pPr>
      <w:r>
        <w:rPr>
          <w:rFonts w:ascii="宋体" w:hAnsi="宋体"/>
          <w:snapToGrid w:val="0"/>
          <w:color w:val="auto"/>
          <w:kern w:val="0"/>
          <w:sz w:val="24"/>
          <w:highlight w:val="none"/>
        </w:rPr>
        <w:t>发包人(公章)：</w:t>
      </w:r>
      <w:bookmarkStart w:id="1003" w:name="SOA_zyht_fbr"/>
      <w:bookmarkEnd w:id="1003"/>
      <w:r>
        <w:rPr>
          <w:rFonts w:ascii="宋体" w:hAnsi="宋体"/>
          <w:snapToGrid w:val="0"/>
          <w:color w:val="auto"/>
          <w:kern w:val="0"/>
          <w:sz w:val="24"/>
          <w:highlight w:val="none"/>
          <w:u w:val="single"/>
        </w:rPr>
        <w:t></w:t>
      </w:r>
      <w:r>
        <w:rPr>
          <w:rFonts w:ascii="宋体" w:hAnsi="宋体"/>
          <w:snapToGrid w:val="0"/>
          <w:color w:val="auto"/>
          <w:kern w:val="0"/>
          <w:sz w:val="24"/>
          <w:highlight w:val="none"/>
        </w:rPr>
        <w:t>承包人(公章)：</w:t>
      </w:r>
      <w:r>
        <w:rPr>
          <w:rFonts w:ascii="宋体" w:hAnsi="宋体"/>
          <w:snapToGrid w:val="0"/>
          <w:color w:val="auto"/>
          <w:kern w:val="0"/>
          <w:sz w:val="24"/>
          <w:highlight w:val="none"/>
          <w:u w:val="single"/>
        </w:rPr>
        <w:t></w:t>
      </w:r>
      <w:bookmarkStart w:id="1004" w:name="SOA_zyht_cbr"/>
      <w:bookmarkEnd w:id="1004"/>
    </w:p>
    <w:p>
      <w:pPr>
        <w:adjustRightInd/>
        <w:spacing w:line="300" w:lineRule="auto"/>
        <w:rPr>
          <w:rFonts w:ascii="宋体" w:hAnsi="宋体"/>
          <w:snapToGrid w:val="0"/>
          <w:color w:val="auto"/>
          <w:kern w:val="0"/>
          <w:sz w:val="24"/>
          <w:highlight w:val="none"/>
        </w:rPr>
      </w:pPr>
      <w:r>
        <w:rPr>
          <w:rFonts w:ascii="宋体" w:hAnsi="宋体"/>
          <w:snapToGrid w:val="0"/>
          <w:color w:val="auto"/>
          <w:kern w:val="0"/>
          <w:sz w:val="24"/>
          <w:highlight w:val="none"/>
        </w:rPr>
        <w:t>地  址：</w:t>
      </w:r>
      <w:bookmarkStart w:id="1005" w:name="SOA_zyht_fbrdz"/>
      <w:bookmarkEnd w:id="1005"/>
      <w:r>
        <w:rPr>
          <w:rFonts w:ascii="宋体" w:hAnsi="宋体"/>
          <w:snapToGrid w:val="0"/>
          <w:color w:val="auto"/>
          <w:kern w:val="0"/>
          <w:sz w:val="24"/>
          <w:highlight w:val="none"/>
          <w:u w:val="single"/>
        </w:rPr>
        <w:t></w:t>
      </w:r>
      <w:r>
        <w:rPr>
          <w:rFonts w:ascii="宋体" w:hAnsi="宋体"/>
          <w:snapToGrid w:val="0"/>
          <w:color w:val="auto"/>
          <w:kern w:val="0"/>
          <w:sz w:val="24"/>
          <w:highlight w:val="none"/>
        </w:rPr>
        <w:t>地  址：</w:t>
      </w:r>
      <w:r>
        <w:rPr>
          <w:rFonts w:ascii="宋体" w:hAnsi="宋体"/>
          <w:snapToGrid w:val="0"/>
          <w:color w:val="auto"/>
          <w:kern w:val="0"/>
          <w:sz w:val="24"/>
          <w:highlight w:val="none"/>
          <w:u w:val="single"/>
        </w:rPr>
        <w:t></w:t>
      </w:r>
      <w:bookmarkStart w:id="1006" w:name="SOA_zyht_cbrdz"/>
      <w:bookmarkEnd w:id="1006"/>
      <w:r>
        <w:rPr>
          <w:rFonts w:ascii="宋体" w:hAnsi="宋体"/>
          <w:snapToGrid w:val="0"/>
          <w:color w:val="auto"/>
          <w:kern w:val="0"/>
          <w:sz w:val="24"/>
          <w:highlight w:val="none"/>
          <w:u w:val="single"/>
        </w:rPr>
        <w:t></w:t>
      </w:r>
    </w:p>
    <w:p>
      <w:pPr>
        <w:adjustRightInd/>
        <w:spacing w:line="300" w:lineRule="auto"/>
        <w:rPr>
          <w:rFonts w:ascii="宋体" w:hAnsi="宋体"/>
          <w:snapToGrid w:val="0"/>
          <w:color w:val="auto"/>
          <w:kern w:val="0"/>
          <w:sz w:val="24"/>
          <w:highlight w:val="none"/>
        </w:rPr>
      </w:pPr>
      <w:r>
        <w:rPr>
          <w:rFonts w:ascii="宋体" w:hAnsi="宋体"/>
          <w:snapToGrid w:val="0"/>
          <w:color w:val="auto"/>
          <w:kern w:val="0"/>
          <w:sz w:val="24"/>
          <w:highlight w:val="none"/>
        </w:rPr>
        <w:t>法定代表人(签字)：</w:t>
      </w:r>
      <w:bookmarkStart w:id="1007" w:name="SOA_zyht_fddbr1"/>
      <w:bookmarkEnd w:id="1007"/>
      <w:r>
        <w:rPr>
          <w:rFonts w:ascii="宋体" w:hAnsi="宋体"/>
          <w:snapToGrid w:val="0"/>
          <w:color w:val="auto"/>
          <w:kern w:val="0"/>
          <w:sz w:val="24"/>
          <w:highlight w:val="none"/>
        </w:rPr>
        <w:t>法定代表人(签字)：</w:t>
      </w:r>
      <w:bookmarkStart w:id="1008" w:name="SOA_zyht_fddbr2"/>
      <w:bookmarkEnd w:id="1008"/>
    </w:p>
    <w:p>
      <w:pPr>
        <w:adjustRightInd/>
        <w:spacing w:line="300" w:lineRule="auto"/>
        <w:rPr>
          <w:rFonts w:ascii="宋体" w:hAnsi="宋体"/>
          <w:snapToGrid w:val="0"/>
          <w:color w:val="auto"/>
          <w:kern w:val="0"/>
          <w:sz w:val="24"/>
          <w:highlight w:val="none"/>
        </w:rPr>
      </w:pPr>
      <w:r>
        <w:rPr>
          <w:rFonts w:ascii="宋体" w:hAnsi="宋体"/>
          <w:snapToGrid w:val="0"/>
          <w:color w:val="auto"/>
          <w:kern w:val="0"/>
          <w:sz w:val="24"/>
          <w:highlight w:val="none"/>
        </w:rPr>
        <w:t>委托代理人(签字)：</w:t>
      </w:r>
      <w:bookmarkStart w:id="1009" w:name="SOA_zyht_wtdlr1"/>
      <w:bookmarkEnd w:id="1009"/>
      <w:r>
        <w:rPr>
          <w:rFonts w:ascii="宋体" w:hAnsi="宋体"/>
          <w:snapToGrid w:val="0"/>
          <w:color w:val="auto"/>
          <w:kern w:val="0"/>
          <w:sz w:val="24"/>
          <w:highlight w:val="none"/>
        </w:rPr>
        <w:t>委托代理人(签字)：</w:t>
      </w:r>
      <w:bookmarkStart w:id="1010" w:name="SOA_zyht_wtdlr2"/>
      <w:bookmarkEnd w:id="1010"/>
    </w:p>
    <w:p>
      <w:pPr>
        <w:adjustRightInd/>
        <w:spacing w:line="300" w:lineRule="auto"/>
        <w:rPr>
          <w:rFonts w:ascii="宋体" w:hAnsi="宋体"/>
          <w:snapToGrid w:val="0"/>
          <w:color w:val="auto"/>
          <w:kern w:val="0"/>
          <w:sz w:val="24"/>
          <w:highlight w:val="none"/>
        </w:rPr>
      </w:pPr>
      <w:r>
        <w:rPr>
          <w:rFonts w:ascii="宋体" w:hAnsi="宋体"/>
          <w:snapToGrid w:val="0"/>
          <w:color w:val="auto"/>
          <w:kern w:val="0"/>
          <w:sz w:val="24"/>
          <w:highlight w:val="none"/>
        </w:rPr>
        <w:t>电  话：</w:t>
      </w:r>
      <w:r>
        <w:rPr>
          <w:rFonts w:ascii="宋体" w:hAnsi="宋体"/>
          <w:snapToGrid w:val="0"/>
          <w:color w:val="auto"/>
          <w:kern w:val="0"/>
          <w:sz w:val="24"/>
          <w:highlight w:val="none"/>
          <w:u w:val="single"/>
        </w:rPr>
        <w:t></w:t>
      </w:r>
      <w:bookmarkStart w:id="1011" w:name="SOA_zyht_fbrdh1"/>
      <w:bookmarkEnd w:id="1011"/>
      <w:r>
        <w:rPr>
          <w:rFonts w:ascii="宋体" w:hAnsi="宋体"/>
          <w:snapToGrid w:val="0"/>
          <w:color w:val="auto"/>
          <w:kern w:val="0"/>
          <w:sz w:val="24"/>
          <w:highlight w:val="none"/>
        </w:rPr>
        <w:t>电  话：</w:t>
      </w:r>
      <w:r>
        <w:rPr>
          <w:rFonts w:ascii="宋体" w:hAnsi="宋体"/>
          <w:snapToGrid w:val="0"/>
          <w:color w:val="auto"/>
          <w:kern w:val="0"/>
          <w:sz w:val="24"/>
          <w:highlight w:val="none"/>
          <w:u w:val="single"/>
        </w:rPr>
        <w:t></w:t>
      </w:r>
      <w:bookmarkStart w:id="1012" w:name="SOA_zyht_cbrdh"/>
      <w:bookmarkEnd w:id="1012"/>
      <w:r>
        <w:rPr>
          <w:rFonts w:ascii="宋体" w:hAnsi="宋体"/>
          <w:snapToGrid w:val="0"/>
          <w:color w:val="auto"/>
          <w:kern w:val="0"/>
          <w:sz w:val="24"/>
          <w:highlight w:val="none"/>
          <w:u w:val="single"/>
        </w:rPr>
        <w:t xml:space="preserve"> </w:t>
      </w:r>
    </w:p>
    <w:p>
      <w:pPr>
        <w:adjustRightInd/>
        <w:spacing w:line="300" w:lineRule="auto"/>
        <w:rPr>
          <w:rFonts w:ascii="宋体" w:hAnsi="宋体"/>
          <w:snapToGrid w:val="0"/>
          <w:color w:val="auto"/>
          <w:kern w:val="0"/>
          <w:sz w:val="24"/>
          <w:highlight w:val="none"/>
        </w:rPr>
      </w:pPr>
      <w:r>
        <w:rPr>
          <w:rFonts w:ascii="宋体" w:hAnsi="宋体"/>
          <w:snapToGrid w:val="0"/>
          <w:color w:val="auto"/>
          <w:kern w:val="0"/>
          <w:sz w:val="24"/>
          <w:highlight w:val="none"/>
        </w:rPr>
        <w:t>传  真：</w:t>
      </w:r>
      <w:bookmarkStart w:id="1013" w:name="SOA_zyht_fbrcz"/>
      <w:bookmarkEnd w:id="1013"/>
      <w:r>
        <w:rPr>
          <w:rFonts w:ascii="宋体" w:hAnsi="宋体"/>
          <w:snapToGrid w:val="0"/>
          <w:color w:val="auto"/>
          <w:kern w:val="0"/>
          <w:sz w:val="24"/>
          <w:highlight w:val="none"/>
        </w:rPr>
        <w:t>传  真：</w:t>
      </w:r>
      <w:r>
        <w:rPr>
          <w:rFonts w:ascii="宋体" w:hAnsi="宋体"/>
          <w:snapToGrid w:val="0"/>
          <w:color w:val="auto"/>
          <w:kern w:val="0"/>
          <w:sz w:val="24"/>
          <w:highlight w:val="none"/>
          <w:u w:val="single"/>
        </w:rPr>
        <w:t></w:t>
      </w:r>
      <w:bookmarkStart w:id="1014" w:name="SOA_zyht_cbrcz"/>
      <w:bookmarkEnd w:id="1014"/>
      <w:r>
        <w:rPr>
          <w:rFonts w:ascii="宋体" w:hAnsi="宋体"/>
          <w:snapToGrid w:val="0"/>
          <w:color w:val="auto"/>
          <w:kern w:val="0"/>
          <w:sz w:val="24"/>
          <w:highlight w:val="none"/>
          <w:u w:val="single"/>
        </w:rPr>
        <w:t></w:t>
      </w:r>
    </w:p>
    <w:p>
      <w:pPr>
        <w:adjustRightInd/>
        <w:spacing w:line="300" w:lineRule="auto"/>
        <w:rPr>
          <w:rFonts w:ascii="宋体" w:hAnsi="宋体"/>
          <w:snapToGrid w:val="0"/>
          <w:color w:val="auto"/>
          <w:kern w:val="0"/>
          <w:sz w:val="24"/>
          <w:highlight w:val="none"/>
        </w:rPr>
      </w:pPr>
      <w:r>
        <w:rPr>
          <w:rFonts w:ascii="宋体" w:hAnsi="宋体"/>
          <w:snapToGrid w:val="0"/>
          <w:color w:val="auto"/>
          <w:kern w:val="0"/>
          <w:sz w:val="24"/>
          <w:highlight w:val="none"/>
        </w:rPr>
        <w:t>开户银行：</w:t>
      </w:r>
      <w:bookmarkStart w:id="1015" w:name="SOA_zyht_fbrkhyh"/>
      <w:bookmarkEnd w:id="1015"/>
      <w:r>
        <w:rPr>
          <w:rFonts w:ascii="宋体" w:hAnsi="宋体"/>
          <w:snapToGrid w:val="0"/>
          <w:color w:val="auto"/>
          <w:kern w:val="0"/>
          <w:sz w:val="24"/>
          <w:highlight w:val="none"/>
        </w:rPr>
        <w:t>开户银行：</w:t>
      </w:r>
      <w:bookmarkStart w:id="1016" w:name="SOA_zyht_cbrkhyh"/>
      <w:bookmarkEnd w:id="1016"/>
    </w:p>
    <w:p>
      <w:pPr>
        <w:adjustRightInd/>
        <w:spacing w:line="300" w:lineRule="auto"/>
        <w:rPr>
          <w:rFonts w:ascii="宋体" w:hAnsi="宋体"/>
          <w:snapToGrid w:val="0"/>
          <w:color w:val="auto"/>
          <w:kern w:val="0"/>
          <w:sz w:val="24"/>
          <w:highlight w:val="none"/>
        </w:rPr>
      </w:pPr>
      <w:r>
        <w:rPr>
          <w:rFonts w:ascii="宋体" w:hAnsi="宋体"/>
          <w:snapToGrid w:val="0"/>
          <w:color w:val="auto"/>
          <w:kern w:val="0"/>
          <w:sz w:val="24"/>
          <w:highlight w:val="none"/>
        </w:rPr>
        <w:t>账  号：</w:t>
      </w:r>
      <w:r>
        <w:rPr>
          <w:rFonts w:ascii="宋体" w:hAnsi="宋体"/>
          <w:snapToGrid w:val="0"/>
          <w:color w:val="auto"/>
          <w:kern w:val="0"/>
          <w:sz w:val="24"/>
          <w:highlight w:val="none"/>
          <w:u w:val="single"/>
        </w:rPr>
        <w:t></w:t>
      </w:r>
      <w:bookmarkStart w:id="1017" w:name="SOA_zyht_fbrzh"/>
      <w:bookmarkEnd w:id="1017"/>
      <w:r>
        <w:rPr>
          <w:rFonts w:ascii="宋体" w:hAnsi="宋体"/>
          <w:snapToGrid w:val="0"/>
          <w:color w:val="auto"/>
          <w:kern w:val="0"/>
          <w:sz w:val="24"/>
          <w:highlight w:val="none"/>
          <w:u w:val="single"/>
        </w:rPr>
        <w:t></w:t>
      </w:r>
      <w:r>
        <w:rPr>
          <w:rFonts w:ascii="宋体" w:hAnsi="宋体"/>
          <w:snapToGrid w:val="0"/>
          <w:color w:val="auto"/>
          <w:kern w:val="0"/>
          <w:sz w:val="24"/>
          <w:highlight w:val="none"/>
        </w:rPr>
        <w:t>账 号：</w:t>
      </w:r>
      <w:r>
        <w:rPr>
          <w:rFonts w:ascii="宋体" w:hAnsi="宋体"/>
          <w:snapToGrid w:val="0"/>
          <w:color w:val="auto"/>
          <w:kern w:val="0"/>
          <w:sz w:val="24"/>
          <w:highlight w:val="none"/>
          <w:u w:val="single"/>
        </w:rPr>
        <w:t></w:t>
      </w:r>
      <w:bookmarkStart w:id="1018" w:name="SOA_zyht_cbrzh"/>
      <w:bookmarkEnd w:id="1018"/>
    </w:p>
    <w:p>
      <w:pPr>
        <w:adjustRightInd/>
        <w:spacing w:line="300" w:lineRule="auto"/>
        <w:rPr>
          <w:rFonts w:ascii="宋体" w:hAnsi="宋体"/>
          <w:snapToGrid w:val="0"/>
          <w:color w:val="auto"/>
          <w:kern w:val="0"/>
          <w:sz w:val="24"/>
          <w:highlight w:val="none"/>
        </w:rPr>
      </w:pPr>
      <w:r>
        <w:rPr>
          <w:rFonts w:ascii="宋体" w:hAnsi="宋体"/>
          <w:snapToGrid w:val="0"/>
          <w:color w:val="auto"/>
          <w:kern w:val="0"/>
          <w:sz w:val="24"/>
          <w:highlight w:val="none"/>
        </w:rPr>
        <w:t>邮政编码：</w:t>
      </w:r>
      <w:bookmarkStart w:id="1019" w:name="SOA_zyht_fbryb"/>
      <w:bookmarkEnd w:id="1019"/>
      <w:r>
        <w:rPr>
          <w:rFonts w:ascii="宋体" w:hAnsi="宋体"/>
          <w:snapToGrid w:val="0"/>
          <w:color w:val="auto"/>
          <w:kern w:val="0"/>
          <w:sz w:val="24"/>
          <w:highlight w:val="none"/>
        </w:rPr>
        <w:t>邮政编码：</w:t>
      </w:r>
      <w:r>
        <w:rPr>
          <w:rFonts w:ascii="宋体" w:hAnsi="宋体"/>
          <w:snapToGrid w:val="0"/>
          <w:color w:val="auto"/>
          <w:kern w:val="0"/>
          <w:sz w:val="24"/>
          <w:highlight w:val="none"/>
          <w:u w:val="single"/>
        </w:rPr>
        <w:t></w:t>
      </w:r>
      <w:bookmarkStart w:id="1020" w:name="SOA_zyht_cbryb"/>
      <w:bookmarkEnd w:id="1020"/>
    </w:p>
    <w:p>
      <w:pPr>
        <w:spacing w:line="480" w:lineRule="auto"/>
        <w:jc w:val="center"/>
        <w:rPr>
          <w:rFonts w:ascii="宋体" w:hAnsi="宋体" w:cs="宋体"/>
          <w:b/>
          <w:color w:val="auto"/>
          <w:sz w:val="24"/>
          <w:highlight w:val="none"/>
        </w:rPr>
      </w:pPr>
    </w:p>
    <w:p>
      <w:pPr>
        <w:spacing w:line="360" w:lineRule="auto"/>
        <w:ind w:left="-420" w:leftChars="-200" w:right="-420" w:rightChars="-200" w:firstLine="480" w:firstLineChars="200"/>
        <w:jc w:val="center"/>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sectPr>
          <w:headerReference r:id="rId11" w:type="first"/>
          <w:footerReference r:id="rId13" w:type="first"/>
          <w:footerReference r:id="rId12" w:type="default"/>
          <w:pgSz w:w="11906" w:h="16838"/>
          <w:pgMar w:top="1440" w:right="1080" w:bottom="1440" w:left="1080" w:header="851" w:footer="992" w:gutter="0"/>
          <w:cols w:space="720" w:num="1"/>
          <w:titlePg/>
          <w:docGrid w:linePitch="312" w:charSpace="0"/>
        </w:sectPr>
      </w:pPr>
    </w:p>
    <w:p>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bookmarkEnd w:id="398"/>
      <w:r>
        <w:rPr>
          <w:rFonts w:hint="eastAsia" w:ascii="宋体" w:hAnsi="宋体" w:cs="宋体"/>
          <w:b/>
          <w:color w:val="auto"/>
          <w:sz w:val="36"/>
          <w:szCs w:val="20"/>
          <w:highlight w:val="none"/>
        </w:rPr>
        <w:t>应提交的有关格式范例</w:t>
      </w:r>
    </w:p>
    <w:p>
      <w:pPr>
        <w:spacing w:line="360" w:lineRule="auto"/>
        <w:jc w:val="center"/>
        <w:rPr>
          <w:rFonts w:ascii="宋体" w:hAnsi="宋体" w:cs="宋体"/>
          <w:b/>
          <w:color w:val="auto"/>
          <w:kern w:val="0"/>
          <w:sz w:val="36"/>
          <w:szCs w:val="36"/>
          <w:highlight w:val="none"/>
        </w:rPr>
      </w:pPr>
    </w:p>
    <w:p>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我方参与（项目名称）【项目编号：】政府采购活动，郑重承诺：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keepNext/>
        <w:keepLines/>
        <w:tabs>
          <w:tab w:val="left" w:pos="432"/>
        </w:tabs>
        <w:adjustRightInd/>
        <w:ind w:left="431" w:hanging="431"/>
        <w:rPr>
          <w:rFonts w:ascii="宋体" w:hAnsi="宋体" w:cs="宋体"/>
          <w:color w:val="auto"/>
          <w:kern w:val="0"/>
          <w:sz w:val="36"/>
          <w:szCs w:val="36"/>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right="420" w:firstLine="3614" w:firstLineChars="1000"/>
        <w:textAlignment w:val="auto"/>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我方参加你方组织的（项目名称）【项目编号：】采购的有关活动，并对此项目提交响应文件及报价。为此：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落实政府采购政策需满足的资格要求；中小企业声明函。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4.3按照</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 xml:space="preserve">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rPr>
        <w:t>（项目名称）【项目编号：】</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rPr>
        <w:t>（项目名称）【项目编号：】</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6"/>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pPr>
        <w:widowControl/>
        <w:spacing w:line="360" w:lineRule="auto"/>
        <w:ind w:firstLine="120" w:firstLineChars="50"/>
        <w:jc w:val="left"/>
        <w:rPr>
          <w:rFonts w:ascii="宋体" w:hAnsi="宋体" w:cs="宋体"/>
          <w:color w:val="auto"/>
          <w:sz w:val="24"/>
          <w:highlight w:val="none"/>
        </w:rPr>
      </w:pPr>
      <w:bookmarkStart w:id="1021"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1021"/>
    <w:p>
      <w:pPr>
        <w:snapToGrid w:val="0"/>
        <w:spacing w:line="360" w:lineRule="auto"/>
        <w:rPr>
          <w:rFonts w:ascii="宋体" w:hAnsi="宋体" w:cs="宋体"/>
          <w:color w:val="auto"/>
          <w:kern w:val="0"/>
          <w:sz w:val="24"/>
          <w:highlight w:val="none"/>
        </w:r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pPr>
              <w:rPr>
                <w:rFonts w:ascii="宋体" w:hAnsi="宋体" w:cs="宋体"/>
                <w:color w:val="auto"/>
                <w:sz w:val="24"/>
                <w:highlight w:val="none"/>
              </w:rPr>
            </w:pPr>
            <w:r>
              <w:rPr>
                <w:rFonts w:hint="eastAsia" w:ascii="宋体" w:hAnsi="宋体" w:cs="宋体"/>
                <w:color w:val="auto"/>
                <w:sz w:val="24"/>
                <w:highlight w:val="none"/>
              </w:rPr>
              <w:t>见响应文件</w:t>
            </w:r>
          </w:p>
          <w:p>
            <w:pPr>
              <w:rPr>
                <w:rFonts w:ascii="宋体" w:hAnsi="宋体" w:cs="宋体"/>
                <w:color w:val="auto"/>
                <w:highlight w:val="none"/>
              </w:rPr>
            </w:pPr>
            <w:r>
              <w:rPr>
                <w:rFonts w:hint="eastAsia" w:ascii="宋体" w:hAnsi="宋体" w:cs="宋体"/>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要求提供国家确定的认证机构出具的、处于有效期之内的节能产品认证证书。</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pPr>
              <w:rPr>
                <w:rFonts w:ascii="宋体" w:hAnsi="宋体" w:cs="宋体"/>
                <w:color w:val="auto"/>
                <w:sz w:val="24"/>
                <w:highlight w:val="none"/>
              </w:rPr>
            </w:pPr>
            <w:r>
              <w:rPr>
                <w:rFonts w:hint="eastAsia" w:ascii="宋体" w:hAnsi="宋体" w:cs="宋体"/>
                <w:color w:val="auto"/>
                <w:sz w:val="24"/>
                <w:highlight w:val="none"/>
              </w:rPr>
              <w:t>见响应文件</w:t>
            </w:r>
          </w:p>
          <w:p>
            <w:pPr>
              <w:pStyle w:val="3"/>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中载明的响应文件有效期。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pPr>
              <w:rPr>
                <w:rFonts w:ascii="宋体" w:hAnsi="宋体" w:cs="宋体"/>
                <w:color w:val="auto"/>
                <w:highlight w:val="none"/>
              </w:rPr>
            </w:pPr>
            <w:r>
              <w:rPr>
                <w:rFonts w:hint="eastAsia" w:ascii="宋体" w:hAnsi="宋体" w:cs="宋体"/>
                <w:color w:val="auto"/>
                <w:sz w:val="24"/>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lang w:eastAsia="zh-CN"/>
              </w:rPr>
              <w:t>竞争性磋商文件</w:t>
            </w:r>
            <w:r>
              <w:rPr>
                <w:rFonts w:hint="eastAsia" w:ascii="宋体" w:hAnsi="宋体" w:cs="宋体"/>
                <w:color w:val="auto"/>
                <w:kern w:val="0"/>
                <w:sz w:val="24"/>
                <w:highlight w:val="none"/>
              </w:rPr>
              <w:t>其它实质性要求相应的材料（“▲” 系指实质性要求条款，</w:t>
            </w:r>
            <w:r>
              <w:rPr>
                <w:rFonts w:hint="eastAsia" w:ascii="宋体" w:hAnsi="宋体" w:cs="宋体"/>
                <w:color w:val="auto"/>
                <w:kern w:val="0"/>
                <w:sz w:val="24"/>
                <w:highlight w:val="none"/>
                <w:lang w:eastAsia="zh-CN"/>
              </w:rPr>
              <w:t>竞争性磋商文件</w:t>
            </w:r>
            <w:r>
              <w:rPr>
                <w:rFonts w:hint="eastAsia" w:ascii="宋体" w:hAnsi="宋体" w:cs="宋体"/>
                <w:color w:val="auto"/>
                <w:kern w:val="0"/>
                <w:sz w:val="24"/>
                <w:highlight w:val="none"/>
              </w:rPr>
              <w:t>无其它实质性要求的，无需提供）</w:t>
            </w:r>
          </w:p>
        </w:tc>
        <w:tc>
          <w:tcPr>
            <w:tcW w:w="1418" w:type="dxa"/>
            <w:vAlign w:val="center"/>
          </w:tcPr>
          <w:p>
            <w:pPr>
              <w:rPr>
                <w:rFonts w:ascii="宋体" w:hAnsi="宋体" w:cs="宋体"/>
                <w:color w:val="auto"/>
                <w:highlight w:val="none"/>
              </w:rPr>
            </w:pPr>
            <w:r>
              <w:rPr>
                <w:rFonts w:hint="eastAsia" w:ascii="宋体" w:hAnsi="宋体" w:cs="宋体"/>
                <w:color w:val="auto"/>
                <w:sz w:val="24"/>
                <w:highlight w:val="none"/>
              </w:rPr>
              <w:t>见响应文件第页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w:t>
      </w:r>
      <w:r>
        <w:rPr>
          <w:rFonts w:hint="eastAsia" w:ascii="宋体" w:hAnsi="宋体" w:cs="宋体"/>
          <w:b/>
          <w:color w:val="auto"/>
          <w:sz w:val="24"/>
          <w:highlight w:val="none"/>
          <w:lang w:eastAsia="zh-CN"/>
        </w:rPr>
        <w:t>竞争性磋商文件</w:t>
      </w:r>
      <w:r>
        <w:rPr>
          <w:rFonts w:hint="eastAsia" w:ascii="宋体" w:hAnsi="宋体" w:cs="宋体"/>
          <w:b/>
          <w:color w:val="auto"/>
          <w:sz w:val="24"/>
          <w:highlight w:val="none"/>
        </w:rPr>
        <w:t>第四部分评审办法前附表中“响应文件中评审标准相应的商务技术资料目录”提供资料。）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lang w:eastAsia="zh-CN"/>
              </w:rPr>
              <w:t>竞争性磋商文件</w:t>
            </w:r>
            <w:r>
              <w:rPr>
                <w:rFonts w:hint="eastAsia" w:ascii="宋体" w:hAnsi="宋体" w:cs="宋体"/>
                <w:b/>
                <w:bCs/>
                <w:color w:val="auto"/>
                <w:sz w:val="24"/>
                <w:highlight w:val="none"/>
              </w:rPr>
              <w:t>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w:t>
      </w:r>
      <w:r>
        <w:rPr>
          <w:rFonts w:hint="eastAsia" w:ascii="宋体" w:hAnsi="宋体" w:cs="宋体"/>
          <w:color w:val="auto"/>
          <w:kern w:val="0"/>
          <w:sz w:val="24"/>
          <w:highlight w:val="none"/>
          <w:lang w:eastAsia="zh-CN"/>
        </w:rPr>
        <w:t>竞争性磋商文件</w:t>
      </w:r>
      <w:r>
        <w:rPr>
          <w:rFonts w:hint="eastAsia" w:ascii="宋体" w:hAnsi="宋体" w:cs="宋体"/>
          <w:color w:val="auto"/>
          <w:kern w:val="0"/>
          <w:sz w:val="24"/>
          <w:highlight w:val="none"/>
        </w:rPr>
        <w:t>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sectPr>
          <w:footerReference r:id="rId15" w:type="first"/>
          <w:footerReference r:id="rId14" w:type="default"/>
          <w:pgSz w:w="11906" w:h="16838"/>
          <w:pgMar w:top="1440" w:right="1080" w:bottom="1440" w:left="1080" w:header="851" w:footer="992" w:gutter="0"/>
          <w:cols w:space="720" w:num="1"/>
          <w:titlePg/>
          <w:docGrid w:linePitch="312" w:charSpace="0"/>
        </w:sectPr>
      </w:pPr>
    </w:p>
    <w:p>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pP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（1）报价单…………………………………………………………………………（页码）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（2）已标价工程量清单……………………………………………………………（页码）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8" w:type="first"/>
          <w:headerReference r:id="rId16" w:type="default"/>
          <w:footerReference r:id="rId17" w:type="default"/>
          <w:pgSz w:w="11906" w:h="16838"/>
          <w:pgMar w:top="1440" w:right="1080" w:bottom="1440" w:left="1080"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按你方竞争性磋商文件要求，我们，本响应文件签字方，谨此向你方发出要约如下：如你方接受本投标，我方承诺按照如下报价单的价格完成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5"/>
        <w:gridCol w:w="2790"/>
        <w:gridCol w:w="2970"/>
        <w:gridCol w:w="3360"/>
        <w:gridCol w:w="2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655"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2790"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297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实施周期</w:t>
            </w:r>
          </w:p>
        </w:tc>
        <w:tc>
          <w:tcPr>
            <w:tcW w:w="336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质量标准</w:t>
            </w:r>
          </w:p>
        </w:tc>
        <w:tc>
          <w:tcPr>
            <w:tcW w:w="2792"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55" w:type="dxa"/>
            <w:vAlign w:val="center"/>
          </w:tcPr>
          <w:p>
            <w:pPr>
              <w:snapToGrid w:val="0"/>
              <w:spacing w:line="360" w:lineRule="auto"/>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中国扇博物馆馆区建筑修缮及环境</w:t>
            </w:r>
          </w:p>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提升工程</w:t>
            </w:r>
          </w:p>
        </w:tc>
        <w:tc>
          <w:tcPr>
            <w:tcW w:w="2790" w:type="dxa"/>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按</w:t>
            </w:r>
            <w:r>
              <w:rPr>
                <w:rFonts w:hint="eastAsia" w:ascii="宋体" w:hAnsi="宋体" w:cs="宋体"/>
                <w:color w:val="auto"/>
                <w:sz w:val="24"/>
                <w:highlight w:val="none"/>
                <w:lang w:eastAsia="zh-CN"/>
              </w:rPr>
              <w:t>竞争性磋商文件</w:t>
            </w: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要求</w:t>
            </w:r>
          </w:p>
        </w:tc>
        <w:tc>
          <w:tcPr>
            <w:tcW w:w="2970" w:type="dxa"/>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按</w:t>
            </w:r>
            <w:r>
              <w:rPr>
                <w:rFonts w:hint="eastAsia" w:ascii="宋体" w:hAnsi="宋体" w:cs="宋体"/>
                <w:color w:val="auto"/>
                <w:sz w:val="24"/>
                <w:highlight w:val="none"/>
                <w:lang w:eastAsia="zh-CN"/>
              </w:rPr>
              <w:t>竞争性磋商文件</w:t>
            </w: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要求</w:t>
            </w:r>
          </w:p>
        </w:tc>
        <w:tc>
          <w:tcPr>
            <w:tcW w:w="3360" w:type="dxa"/>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按</w:t>
            </w:r>
            <w:r>
              <w:rPr>
                <w:rFonts w:hint="eastAsia" w:ascii="宋体" w:hAnsi="宋体" w:cs="宋体"/>
                <w:color w:val="auto"/>
                <w:sz w:val="24"/>
                <w:highlight w:val="none"/>
                <w:lang w:eastAsia="zh-CN"/>
              </w:rPr>
              <w:t>竞争性磋商文件</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要求</w:t>
            </w:r>
          </w:p>
        </w:tc>
        <w:tc>
          <w:tcPr>
            <w:tcW w:w="2792"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415" w:type="dxa"/>
            <w:gridSpan w:val="3"/>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6152" w:type="dxa"/>
            <w:gridSpan w:val="2"/>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415" w:type="dxa"/>
            <w:gridSpan w:val="3"/>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6152" w:type="dxa"/>
            <w:gridSpan w:val="2"/>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竞争性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pPr>
        <w:pStyle w:val="691"/>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二、已标价工程量清单</w:t>
      </w:r>
    </w:p>
    <w:p>
      <w:pPr>
        <w:ind w:right="420"/>
        <w:rPr>
          <w:rFonts w:ascii="宋体" w:hAnsi="宋体" w:cs="宋体"/>
          <w:color w:val="auto"/>
          <w:sz w:val="24"/>
          <w:highlight w:val="none"/>
        </w:rPr>
      </w:pPr>
      <w:r>
        <w:rPr>
          <w:rFonts w:hint="eastAsia" w:ascii="宋体" w:hAnsi="宋体" w:cs="宋体"/>
          <w:color w:val="auto"/>
          <w:sz w:val="24"/>
          <w:highlight w:val="none"/>
        </w:rPr>
        <w:t>注：按</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 xml:space="preserve">工程量清单编制 </w:t>
      </w:r>
    </w:p>
    <w:p>
      <w:pPr>
        <w:pStyle w:val="61"/>
        <w:ind w:firstLine="480"/>
        <w:rPr>
          <w:rFonts w:cs="宋体"/>
          <w:color w:val="auto"/>
          <w:sz w:val="24"/>
          <w:highlight w:val="none"/>
        </w:rPr>
      </w:pPr>
    </w:p>
    <w:p>
      <w:pPr>
        <w:pStyle w:val="61"/>
        <w:ind w:firstLine="480"/>
        <w:rPr>
          <w:rFonts w:cs="宋体"/>
          <w:color w:val="auto"/>
          <w:sz w:val="24"/>
          <w:highlight w:val="none"/>
        </w:rPr>
        <w:sectPr>
          <w:footerReference r:id="rId22" w:type="first"/>
          <w:headerReference r:id="rId19" w:type="default"/>
          <w:footerReference r:id="rId20" w:type="default"/>
          <w:footerReference r:id="rId21" w:type="even"/>
          <w:pgSz w:w="11906" w:h="16838"/>
          <w:pgMar w:top="1440" w:right="1080" w:bottom="1440" w:left="1080" w:header="851" w:footer="992" w:gutter="0"/>
          <w:cols w:space="720" w:num="1"/>
          <w:titlePg/>
          <w:docGrid w:linePitch="312" w:charSpace="0"/>
        </w:sect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1022" w:name="OLE_LINK13"/>
      <w:bookmarkStart w:id="1023" w:name="OLE_LINK14"/>
      <w:r>
        <w:rPr>
          <w:rFonts w:hint="eastAsia" w:ascii="宋体" w:hAnsi="宋体" w:cs="宋体"/>
          <w:b/>
          <w:color w:val="auto"/>
          <w:spacing w:val="6"/>
          <w:sz w:val="32"/>
          <w:szCs w:val="32"/>
          <w:highlight w:val="none"/>
        </w:rPr>
        <w:t>残疾人福利性单位声明函</w:t>
      </w:r>
    </w:p>
    <w:bookmarkEnd w:id="1022"/>
    <w:bookmarkEnd w:id="1023"/>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质疑项目的编号：包号：</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获取日期：</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pPr>
        <w:snapToGrid w:val="0"/>
        <w:spacing w:line="360" w:lineRule="auto"/>
        <w:rPr>
          <w:rFonts w:ascii="宋体" w:hAnsi="宋体" w:cs="宋体"/>
          <w:color w:val="auto"/>
          <w:sz w:val="24"/>
          <w:highlight w:val="none"/>
          <w:u w:val="dotted"/>
        </w:rPr>
      </w:pP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采购项目编号：包号：</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pPr>
        <w:spacing w:line="360" w:lineRule="auto"/>
        <w:rPr>
          <w:rFonts w:ascii="宋体" w:hAnsi="宋体" w:cs="宋体"/>
          <w:color w:val="auto"/>
          <w:sz w:val="24"/>
          <w:highlight w:val="none"/>
          <w:u w:val="dotted"/>
        </w:rPr>
      </w:pP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p>
    <w:p>
      <w:pPr>
        <w:spacing w:line="360" w:lineRule="auto"/>
        <w:rPr>
          <w:rFonts w:ascii="宋体" w:hAnsi="宋体" w:cs="宋体"/>
          <w:color w:val="auto"/>
          <w:sz w:val="24"/>
          <w:highlight w:val="none"/>
          <w:u w:val="dotted"/>
        </w:rPr>
      </w:pP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p>
    <w:p>
      <w:pPr>
        <w:spacing w:line="360" w:lineRule="auto"/>
        <w:rPr>
          <w:rFonts w:ascii="宋体" w:hAnsi="宋体" w:cs="宋体"/>
          <w:color w:val="auto"/>
          <w:sz w:val="24"/>
          <w:highlight w:val="none"/>
          <w:u w:val="dotted"/>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你方组织的（项目名称）项目【项目编号：】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（项目名称）【项目编号：】</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授权代表根据竞争性磋商文件规定及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pPr>
        <w:snapToGrid w:val="0"/>
        <w:spacing w:line="360" w:lineRule="auto"/>
        <w:ind w:firstLine="576"/>
        <w:rPr>
          <w:rFonts w:ascii="宋体" w:hAnsi="宋体" w:cs="宋体"/>
          <w:color w:val="auto"/>
          <w:kern w:val="0"/>
          <w:sz w:val="24"/>
          <w:highlight w:val="none"/>
          <w:lang w:val="zh-CN"/>
        </w:rPr>
      </w:pPr>
      <w:bookmarkStart w:id="1024"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024"/>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2、中小企业合同金额达到%，其中小微企业合同金额达到%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w:t>
      </w:r>
      <w:r>
        <w:rPr>
          <w:rFonts w:hint="eastAsia" w:ascii="宋体" w:hAnsi="宋体" w:cs="宋体"/>
          <w:b/>
          <w:bCs/>
          <w:color w:val="auto"/>
          <w:sz w:val="24"/>
          <w:highlight w:val="none"/>
          <w:lang w:eastAsia="zh-CN"/>
        </w:rPr>
        <w:t>竞争性磋商文件</w:t>
      </w:r>
      <w:r>
        <w:rPr>
          <w:rFonts w:hint="eastAsia" w:ascii="宋体" w:hAnsi="宋体" w:cs="宋体"/>
          <w:b/>
          <w:bCs/>
          <w:color w:val="auto"/>
          <w:sz w:val="24"/>
          <w:highlight w:val="none"/>
        </w:rPr>
        <w:t>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（项目名称）【项目编号：】</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keepNext/>
        <w:keepLines/>
        <w:tabs>
          <w:tab w:val="left" w:pos="432"/>
        </w:tabs>
        <w:adjustRightInd/>
        <w:ind w:left="664" w:leftChars="316" w:firstLine="228" w:firstLineChars="95"/>
        <w:rPr>
          <w:rFonts w:ascii="宋体" w:hAnsi="宋体" w:cs="宋体"/>
          <w:color w:val="auto"/>
          <w:kern w:val="0"/>
          <w:sz w:val="24"/>
          <w:highlight w:val="none"/>
        </w:rPr>
      </w:pPr>
      <w:r>
        <w:rPr>
          <w:rFonts w:hint="eastAsia" w:ascii="宋体" w:hAnsi="宋体" w:cs="宋体"/>
          <w:color w:val="auto"/>
          <w:kern w:val="0"/>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025" w:name="_Hlk101133173"/>
      <w:r>
        <w:rPr>
          <w:rFonts w:hint="eastAsia" w:ascii="宋体" w:hAnsi="宋体" w:cs="宋体"/>
          <w:color w:val="auto"/>
          <w:sz w:val="24"/>
          <w:highlight w:val="none"/>
        </w:rPr>
        <w:t>中小企业合同金额达到%，其中小微企业合同金额达到%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w:t>
      </w:r>
      <w:r>
        <w:rPr>
          <w:rFonts w:hint="eastAsia" w:ascii="宋体" w:hAnsi="宋体" w:cs="宋体"/>
          <w:b/>
          <w:bCs/>
          <w:color w:val="auto"/>
          <w:sz w:val="24"/>
          <w:highlight w:val="none"/>
          <w:lang w:eastAsia="zh-CN"/>
        </w:rPr>
        <w:t>竞争性磋商文件</w:t>
      </w:r>
      <w:r>
        <w:rPr>
          <w:rFonts w:hint="eastAsia" w:ascii="宋体" w:hAnsi="宋体" w:cs="宋体"/>
          <w:b/>
          <w:bCs/>
          <w:color w:val="auto"/>
          <w:sz w:val="24"/>
          <w:highlight w:val="none"/>
        </w:rPr>
        <w:t>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1025"/>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lang w:eastAsia="zh-CN"/>
        </w:rPr>
        <w:t>中国扇博物馆馆区建筑修缮及环境提升工程</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建筑业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，从业人员人，营业收入为万元，资产总额为万元属于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firstLine="480" w:firstLineChars="200"/>
        <w:rPr>
          <w:rFonts w:ascii="宋体" w:hAnsi="宋体" w:cs="宋体"/>
          <w:color w:val="auto"/>
          <w:sz w:val="24"/>
          <w:highlight w:val="none"/>
        </w:rPr>
      </w:pP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pPr>
        <w:pStyle w:val="24"/>
        <w:rPr>
          <w:rFonts w:hAnsi="宋体" w:cs="宋体"/>
          <w:color w:val="auto"/>
          <w:kern w:val="0"/>
          <w:highlight w:val="none"/>
        </w:rPr>
      </w:pPr>
    </w:p>
    <w:p>
      <w:pPr>
        <w:pStyle w:val="25"/>
        <w:rPr>
          <w:rFonts w:ascii="宋体" w:hAnsi="宋体" w:cs="宋体"/>
          <w:color w:val="auto"/>
          <w:kern w:val="0"/>
          <w:sz w:val="24"/>
          <w:highlight w:val="none"/>
          <w:lang w:val="zh-CN"/>
        </w:rPr>
      </w:pPr>
    </w:p>
    <w:p>
      <w:pPr>
        <w:rPr>
          <w:rFonts w:ascii="宋体" w:hAnsi="宋体" w:cs="宋体"/>
          <w:color w:val="auto"/>
          <w:kern w:val="0"/>
          <w:sz w:val="24"/>
          <w:highlight w:val="none"/>
          <w:lang w:val="zh-CN"/>
        </w:rPr>
      </w:pPr>
    </w:p>
    <w:p>
      <w:pPr>
        <w:pStyle w:val="24"/>
        <w:rPr>
          <w:rFonts w:hAnsi="宋体" w:cs="宋体"/>
          <w:color w:val="auto"/>
          <w:kern w:val="0"/>
          <w:highlight w:val="none"/>
        </w:rPr>
      </w:pPr>
    </w:p>
    <w:p>
      <w:pPr>
        <w:pStyle w:val="25"/>
        <w:rPr>
          <w:rFonts w:ascii="宋体" w:hAnsi="宋体" w:cs="宋体"/>
          <w:color w:val="auto"/>
          <w:kern w:val="0"/>
          <w:sz w:val="24"/>
          <w:highlight w:val="none"/>
          <w:lang w:val="zh-CN"/>
        </w:rPr>
      </w:pPr>
    </w:p>
    <w:p>
      <w:pPr>
        <w:rPr>
          <w:rFonts w:ascii="宋体" w:hAnsi="宋体" w:cs="宋体"/>
          <w:color w:val="auto"/>
          <w:kern w:val="0"/>
          <w:sz w:val="24"/>
          <w:highlight w:val="none"/>
          <w:lang w:val="zh-CN"/>
        </w:rPr>
      </w:pPr>
    </w:p>
    <w:p>
      <w:pPr>
        <w:pStyle w:val="24"/>
        <w:rPr>
          <w:rFonts w:hAnsi="宋体" w:cs="宋体"/>
          <w:color w:val="auto"/>
          <w:kern w:val="0"/>
          <w:highlight w:val="none"/>
        </w:rPr>
      </w:pPr>
    </w:p>
    <w:p>
      <w:pPr>
        <w:pStyle w:val="25"/>
        <w:rPr>
          <w:rFonts w:ascii="宋体" w:hAnsi="宋体" w:cs="宋体"/>
          <w:color w:val="auto"/>
          <w:kern w:val="0"/>
          <w:sz w:val="24"/>
          <w:highlight w:val="none"/>
          <w:lang w:val="zh-CN"/>
        </w:rPr>
      </w:pPr>
    </w:p>
    <w:p>
      <w:pPr>
        <w:rPr>
          <w:color w:val="auto"/>
          <w:highlight w:val="none"/>
          <w:lang w:val="zh-CN"/>
        </w:rPr>
      </w:pP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中明确的所属行业”依据</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pStyle w:val="24"/>
        <w:rPr>
          <w:rFonts w:hAnsi="宋体" w:cs="宋体"/>
          <w:b/>
          <w:color w:val="auto"/>
          <w:sz w:val="32"/>
          <w:szCs w:val="32"/>
          <w:highlight w:val="none"/>
        </w:rPr>
      </w:pPr>
    </w:p>
    <w:p>
      <w:pPr>
        <w:pStyle w:val="317"/>
        <w:snapToGrid w:val="0"/>
        <w:spacing w:line="360" w:lineRule="auto"/>
        <w:ind w:firstLine="562"/>
        <w:jc w:val="center"/>
        <w:rPr>
          <w:rFonts w:hAnsi="宋体" w:eastAsia="宋体" w:cs="宋体"/>
          <w:color w:val="auto"/>
          <w:sz w:val="28"/>
          <w:szCs w:val="28"/>
          <w:highlight w:val="none"/>
        </w:rPr>
      </w:pPr>
      <w:r>
        <w:rPr>
          <w:rFonts w:hint="eastAsia" w:hAnsi="宋体" w:eastAsia="宋体" w:cs="宋体"/>
          <w:b/>
          <w:bCs/>
          <w:color w:val="auto"/>
          <w:sz w:val="28"/>
          <w:szCs w:val="28"/>
          <w:highlight w:val="none"/>
        </w:rPr>
        <w:t>政府采购活动现场确认声明书-（投标文件解密时提供）</w:t>
      </w:r>
    </w:p>
    <w:p>
      <w:pPr>
        <w:pStyle w:val="317"/>
        <w:snapToGrid w:val="0"/>
        <w:spacing w:line="360" w:lineRule="auto"/>
        <w:ind w:firstLine="0" w:firstLineChars="0"/>
        <w:rPr>
          <w:rFonts w:hAnsi="宋体" w:eastAsia="宋体" w:cs="宋体"/>
          <w:b/>
          <w:color w:val="auto"/>
          <w:sz w:val="24"/>
          <w:szCs w:val="24"/>
          <w:highlight w:val="none"/>
        </w:rPr>
      </w:pPr>
      <w:r>
        <w:rPr>
          <w:rFonts w:hint="eastAsia" w:hAnsi="宋体" w:eastAsia="宋体" w:cs="宋体"/>
          <w:color w:val="auto"/>
          <w:sz w:val="24"/>
          <w:szCs w:val="24"/>
          <w:highlight w:val="none"/>
          <w:u w:val="single"/>
        </w:rPr>
        <w:t>东方经纬项目管理有限公司</w:t>
      </w:r>
      <w:r>
        <w:rPr>
          <w:rFonts w:hint="eastAsia" w:hAnsi="宋体" w:eastAsia="宋体" w:cs="宋体"/>
          <w:color w:val="auto"/>
          <w:sz w:val="24"/>
          <w:szCs w:val="24"/>
          <w:highlight w:val="none"/>
        </w:rPr>
        <w:t>：</w:t>
      </w:r>
    </w:p>
    <w:p>
      <w:pPr>
        <w:pStyle w:val="318"/>
        <w:widowControl/>
        <w:snapToGrid w:val="0"/>
        <w:spacing w:line="360" w:lineRule="auto"/>
        <w:ind w:firstLine="504"/>
        <w:rPr>
          <w:rFonts w:ascii="宋体" w:hAnsi="宋体" w:eastAsia="宋体" w:cs="宋体"/>
          <w:color w:val="auto"/>
          <w:spacing w:val="6"/>
          <w:highlight w:val="none"/>
        </w:rPr>
      </w:pPr>
      <w:r>
        <w:rPr>
          <w:rFonts w:hint="eastAsia" w:ascii="宋体" w:hAnsi="宋体" w:eastAsia="宋体" w:cs="宋体"/>
          <w:color w:val="auto"/>
          <w:spacing w:val="6"/>
          <w:highlight w:val="none"/>
        </w:rPr>
        <w:t xml:space="preserve">    一、本人</w:t>
      </w:r>
      <w:r>
        <w:rPr>
          <w:rFonts w:hint="eastAsia" w:ascii="宋体" w:hAnsi="宋体" w:eastAsia="宋体" w:cs="宋体"/>
          <w:color w:val="auto"/>
          <w:kern w:val="0"/>
          <w:highlight w:val="none"/>
        </w:rPr>
        <w:t>经由</w:t>
      </w:r>
      <w:r>
        <w:rPr>
          <w:rFonts w:hint="eastAsia" w:ascii="宋体" w:hAnsi="宋体" w:eastAsia="宋体" w:cs="宋体"/>
          <w:color w:val="auto"/>
          <w:spacing w:val="6"/>
          <w:highlight w:val="none"/>
          <w:u w:val="single"/>
        </w:rPr>
        <w:t xml:space="preserve">                      （单位）</w:t>
      </w:r>
      <w:r>
        <w:rPr>
          <w:rFonts w:hint="eastAsia" w:ascii="宋体" w:hAnsi="宋体" w:eastAsia="宋体" w:cs="宋体"/>
          <w:color w:val="auto"/>
          <w:spacing w:val="6"/>
          <w:highlight w:val="none"/>
        </w:rPr>
        <w:t>负责人</w:t>
      </w:r>
      <w:r>
        <w:rPr>
          <w:rFonts w:hint="eastAsia" w:ascii="宋体" w:hAnsi="宋体" w:eastAsia="宋体" w:cs="宋体"/>
          <w:color w:val="auto"/>
          <w:spacing w:val="6"/>
          <w:highlight w:val="none"/>
          <w:u w:val="single"/>
        </w:rPr>
        <w:t xml:space="preserve">        （姓名）</w:t>
      </w:r>
      <w:r>
        <w:rPr>
          <w:rFonts w:hint="eastAsia" w:ascii="宋体" w:hAnsi="宋体" w:eastAsia="宋体" w:cs="宋体"/>
          <w:color w:val="auto"/>
          <w:spacing w:val="6"/>
          <w:highlight w:val="none"/>
        </w:rPr>
        <w:t>合法授权</w:t>
      </w:r>
      <w:r>
        <w:rPr>
          <w:rFonts w:hint="eastAsia" w:ascii="宋体" w:hAnsi="宋体" w:eastAsia="宋体" w:cs="宋体"/>
          <w:color w:val="auto"/>
          <w:spacing w:val="6"/>
          <w:highlight w:val="none"/>
          <w:u w:val="single"/>
        </w:rPr>
        <w:t xml:space="preserve">      （姓名）</w:t>
      </w:r>
      <w:r>
        <w:rPr>
          <w:rFonts w:hint="eastAsia" w:ascii="宋体" w:hAnsi="宋体" w:eastAsia="宋体" w:cs="宋体"/>
          <w:color w:val="auto"/>
          <w:spacing w:val="6"/>
          <w:highlight w:val="none"/>
        </w:rPr>
        <w:t>参加</w:t>
      </w:r>
      <w:r>
        <w:rPr>
          <w:rFonts w:hint="eastAsia" w:ascii="宋体" w:hAnsi="宋体" w:eastAsia="宋体" w:cs="宋体"/>
          <w:color w:val="auto"/>
          <w:spacing w:val="6"/>
          <w:highlight w:val="none"/>
          <w:u w:val="single"/>
        </w:rPr>
        <w:t xml:space="preserve">         项目（项目编号：       ）</w:t>
      </w:r>
      <w:r>
        <w:rPr>
          <w:rFonts w:hint="eastAsia" w:ascii="宋体" w:hAnsi="宋体" w:eastAsia="宋体" w:cs="宋体"/>
          <w:color w:val="auto"/>
          <w:spacing w:val="6"/>
          <w:highlight w:val="none"/>
        </w:rPr>
        <w:t xml:space="preserve">政府采购活动，经与本单位法人代表（负责人）联系确认，现就有关公平竞争事项郑重声明如下： </w:t>
      </w:r>
    </w:p>
    <w:p>
      <w:pPr>
        <w:pStyle w:val="318"/>
        <w:widowControl/>
        <w:snapToGrid w:val="0"/>
        <w:spacing w:line="360" w:lineRule="auto"/>
        <w:rPr>
          <w:rFonts w:ascii="宋体" w:hAnsi="宋体" w:eastAsia="宋体" w:cs="宋体"/>
          <w:color w:val="auto"/>
          <w:kern w:val="0"/>
          <w:highlight w:val="none"/>
        </w:rPr>
      </w:pPr>
      <w:r>
        <w:rPr>
          <w:rFonts w:hint="eastAsia" w:ascii="宋体" w:hAnsi="宋体" w:eastAsia="宋体" w:cs="宋体"/>
          <w:color w:val="auto"/>
          <w:kern w:val="0"/>
          <w:highlight w:val="none"/>
        </w:rPr>
        <w:t xml:space="preserve">    二、本单位与采购人之间 □不存在利害关系 □存在下列利害关系： A.投资关系    B.行政隶属关系    C.业务指导关系</w:t>
      </w:r>
    </w:p>
    <w:p>
      <w:pPr>
        <w:pStyle w:val="318"/>
        <w:widowControl/>
        <w:snapToGrid w:val="0"/>
        <w:spacing w:line="360" w:lineRule="auto"/>
        <w:rPr>
          <w:rFonts w:ascii="宋体" w:hAnsi="宋体" w:eastAsia="宋体" w:cs="宋体"/>
          <w:color w:val="auto"/>
          <w:kern w:val="0"/>
          <w:highlight w:val="none"/>
        </w:rPr>
      </w:pPr>
      <w:r>
        <w:rPr>
          <w:rFonts w:hint="eastAsia" w:ascii="宋体" w:hAnsi="宋体" w:eastAsia="宋体" w:cs="宋体"/>
          <w:color w:val="auto"/>
          <w:kern w:val="0"/>
          <w:highlight w:val="none"/>
        </w:rPr>
        <w:t xml:space="preserve">  D.其他可能</w:t>
      </w:r>
      <w:r>
        <w:rPr>
          <w:rFonts w:hint="eastAsia" w:ascii="宋体" w:hAnsi="宋体" w:eastAsia="宋体" w:cs="宋体"/>
          <w:color w:val="auto"/>
          <w:highlight w:val="none"/>
        </w:rPr>
        <w:t>影响采购公正的</w:t>
      </w:r>
      <w:r>
        <w:rPr>
          <w:rFonts w:hint="eastAsia" w:ascii="宋体" w:hAnsi="宋体" w:eastAsia="宋体" w:cs="宋体"/>
          <w:color w:val="auto"/>
          <w:kern w:val="0"/>
          <w:highlight w:val="none"/>
        </w:rPr>
        <w:t>利害关系</w:t>
      </w:r>
      <w:r>
        <w:rPr>
          <w:rFonts w:hint="eastAsia" w:ascii="宋体" w:hAnsi="宋体" w:eastAsia="宋体" w:cs="宋体"/>
          <w:color w:val="auto"/>
          <w:kern w:val="0"/>
          <w:highlight w:val="none"/>
          <w:u w:val="single"/>
        </w:rPr>
        <w:t xml:space="preserve">（如有，请如实说明）                 </w:t>
      </w:r>
      <w:r>
        <w:rPr>
          <w:rFonts w:hint="eastAsia" w:ascii="宋体" w:hAnsi="宋体" w:eastAsia="宋体" w:cs="宋体"/>
          <w:color w:val="auto"/>
          <w:kern w:val="0"/>
          <w:highlight w:val="none"/>
        </w:rPr>
        <w:t>。</w:t>
      </w:r>
    </w:p>
    <w:p>
      <w:pPr>
        <w:pStyle w:val="318"/>
        <w:widowControl/>
        <w:snapToGrid w:val="0"/>
        <w:spacing w:line="360" w:lineRule="auto"/>
        <w:ind w:firstLine="504"/>
        <w:rPr>
          <w:rFonts w:ascii="宋体" w:hAnsi="宋体" w:eastAsia="宋体" w:cs="宋体"/>
          <w:color w:val="auto"/>
          <w:kern w:val="0"/>
          <w:highlight w:val="none"/>
        </w:rPr>
      </w:pPr>
      <w:r>
        <w:rPr>
          <w:rFonts w:hint="eastAsia" w:ascii="宋体" w:hAnsi="宋体" w:eastAsia="宋体" w:cs="宋体"/>
          <w:color w:val="auto"/>
          <w:spacing w:val="6"/>
          <w:highlight w:val="none"/>
        </w:rPr>
        <w:t xml:space="preserve">    三、</w:t>
      </w:r>
      <w:r>
        <w:rPr>
          <w:rFonts w:hint="eastAsia" w:ascii="宋体" w:hAnsi="宋体" w:eastAsia="宋体" w:cs="宋体"/>
          <w:color w:val="auto"/>
          <w:kern w:val="0"/>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highlight w:val="none"/>
          <w:u w:val="single"/>
        </w:rPr>
        <w:t xml:space="preserve">           （供应商名称）</w:t>
      </w:r>
      <w:r>
        <w:rPr>
          <w:rFonts w:hint="eastAsia" w:ascii="宋体" w:hAnsi="宋体" w:eastAsia="宋体" w:cs="宋体"/>
          <w:color w:val="auto"/>
          <w:kern w:val="0"/>
          <w:highlight w:val="none"/>
        </w:rPr>
        <w:t>之间存在下列利害关系：</w:t>
      </w:r>
    </w:p>
    <w:p>
      <w:pPr>
        <w:pStyle w:val="317"/>
        <w:snapToGrid w:val="0"/>
        <w:spacing w:line="360" w:lineRule="auto"/>
        <w:rPr>
          <w:rFonts w:hAnsi="宋体" w:eastAsia="宋体" w:cs="宋体"/>
          <w:color w:val="auto"/>
          <w:sz w:val="24"/>
          <w:szCs w:val="24"/>
          <w:highlight w:val="none"/>
        </w:rPr>
      </w:pPr>
      <w:r>
        <w:rPr>
          <w:rFonts w:hint="eastAsia" w:hAnsi="宋体" w:eastAsia="宋体" w:cs="宋体"/>
          <w:color w:val="auto"/>
          <w:sz w:val="24"/>
          <w:szCs w:val="24"/>
          <w:highlight w:val="none"/>
        </w:rPr>
        <w:t xml:space="preserve">  A.法定代表人或负责人或实际控制人是同一人</w:t>
      </w:r>
    </w:p>
    <w:p>
      <w:pPr>
        <w:pStyle w:val="317"/>
        <w:snapToGrid w:val="0"/>
        <w:spacing w:line="360" w:lineRule="auto"/>
        <w:rPr>
          <w:rFonts w:hAnsi="宋体" w:eastAsia="宋体" w:cs="宋体"/>
          <w:color w:val="auto"/>
          <w:spacing w:val="6"/>
          <w:sz w:val="24"/>
          <w:szCs w:val="24"/>
          <w:highlight w:val="none"/>
        </w:rPr>
      </w:pPr>
      <w:r>
        <w:rPr>
          <w:rFonts w:hint="eastAsia" w:hAnsi="宋体" w:eastAsia="宋体" w:cs="宋体"/>
          <w:color w:val="auto"/>
          <w:sz w:val="24"/>
          <w:szCs w:val="24"/>
          <w:highlight w:val="none"/>
        </w:rPr>
        <w:t xml:space="preserve">  B.法定代表人或负责人或实际控制人是夫妻关系</w:t>
      </w:r>
    </w:p>
    <w:p>
      <w:pPr>
        <w:pStyle w:val="317"/>
        <w:snapToGrid w:val="0"/>
        <w:spacing w:line="360" w:lineRule="auto"/>
        <w:rPr>
          <w:rFonts w:hAnsi="宋体" w:eastAsia="宋体" w:cs="宋体"/>
          <w:color w:val="auto"/>
          <w:spacing w:val="6"/>
          <w:sz w:val="24"/>
          <w:szCs w:val="24"/>
          <w:highlight w:val="none"/>
        </w:rPr>
      </w:pPr>
      <w:r>
        <w:rPr>
          <w:rFonts w:hint="eastAsia" w:hAnsi="宋体" w:eastAsia="宋体" w:cs="宋体"/>
          <w:color w:val="auto"/>
          <w:sz w:val="24"/>
          <w:szCs w:val="24"/>
          <w:highlight w:val="none"/>
        </w:rPr>
        <w:t xml:space="preserve">  C.法定代表人或负责人或实际控制人是直系血亲关系</w:t>
      </w:r>
    </w:p>
    <w:p>
      <w:pPr>
        <w:pStyle w:val="317"/>
        <w:snapToGrid w:val="0"/>
        <w:spacing w:line="360" w:lineRule="auto"/>
        <w:rPr>
          <w:rFonts w:hAnsi="宋体" w:eastAsia="宋体" w:cs="宋体"/>
          <w:color w:val="auto"/>
          <w:spacing w:val="6"/>
          <w:sz w:val="24"/>
          <w:szCs w:val="24"/>
          <w:highlight w:val="none"/>
        </w:rPr>
      </w:pPr>
      <w:r>
        <w:rPr>
          <w:rFonts w:hint="eastAsia" w:hAnsi="宋体" w:eastAsia="宋体" w:cs="宋体"/>
          <w:color w:val="auto"/>
          <w:sz w:val="24"/>
          <w:szCs w:val="24"/>
          <w:highlight w:val="none"/>
        </w:rPr>
        <w:t xml:space="preserve">  D.法定代表人或负责人或实际控制人存在三代以内旁系血亲关系</w:t>
      </w:r>
    </w:p>
    <w:p>
      <w:pPr>
        <w:pStyle w:val="317"/>
        <w:snapToGrid w:val="0"/>
        <w:spacing w:line="360" w:lineRule="auto"/>
        <w:rPr>
          <w:rFonts w:hAnsi="宋体" w:eastAsia="宋体" w:cs="宋体"/>
          <w:color w:val="auto"/>
          <w:sz w:val="24"/>
          <w:szCs w:val="24"/>
          <w:highlight w:val="none"/>
        </w:rPr>
      </w:pPr>
      <w:r>
        <w:rPr>
          <w:rFonts w:hint="eastAsia" w:hAnsi="宋体" w:eastAsia="宋体" w:cs="宋体"/>
          <w:color w:val="auto"/>
          <w:sz w:val="24"/>
          <w:szCs w:val="24"/>
          <w:highlight w:val="none"/>
        </w:rPr>
        <w:t xml:space="preserve">  E.法定代表人或负责人或实际控制人存在近姻亲关系</w:t>
      </w:r>
    </w:p>
    <w:p>
      <w:pPr>
        <w:pStyle w:val="317"/>
        <w:snapToGrid w:val="0"/>
        <w:spacing w:line="360" w:lineRule="auto"/>
        <w:rPr>
          <w:rFonts w:hAnsi="宋体" w:eastAsia="宋体" w:cs="宋体"/>
          <w:color w:val="auto"/>
          <w:sz w:val="24"/>
          <w:szCs w:val="24"/>
          <w:highlight w:val="none"/>
        </w:rPr>
      </w:pPr>
      <w:r>
        <w:rPr>
          <w:rFonts w:hint="eastAsia" w:hAnsi="宋体" w:eastAsia="宋体" w:cs="宋体"/>
          <w:color w:val="auto"/>
          <w:sz w:val="24"/>
          <w:szCs w:val="24"/>
          <w:highlight w:val="none"/>
        </w:rPr>
        <w:t xml:space="preserve">  F.法定代表人或负责人或实际控制人存在股份控制或实际控制关系</w:t>
      </w:r>
    </w:p>
    <w:p>
      <w:pPr>
        <w:pStyle w:val="317"/>
        <w:snapToGrid w:val="0"/>
        <w:spacing w:line="360" w:lineRule="auto"/>
        <w:rPr>
          <w:rFonts w:hAnsi="宋体" w:eastAsia="宋体" w:cs="宋体"/>
          <w:color w:val="auto"/>
          <w:sz w:val="24"/>
          <w:szCs w:val="24"/>
          <w:highlight w:val="none"/>
        </w:rPr>
      </w:pPr>
      <w:r>
        <w:rPr>
          <w:rFonts w:hint="eastAsia" w:hAnsi="宋体" w:eastAsia="宋体" w:cs="宋体"/>
          <w:color w:val="auto"/>
          <w:sz w:val="24"/>
          <w:szCs w:val="24"/>
          <w:highlight w:val="none"/>
        </w:rPr>
        <w:t xml:space="preserve">  G.存在共同直接或间接投资设立子公司、联营企业和合营企业情况</w:t>
      </w:r>
    </w:p>
    <w:p>
      <w:pPr>
        <w:pStyle w:val="317"/>
        <w:snapToGrid w:val="0"/>
        <w:spacing w:line="360" w:lineRule="auto"/>
        <w:rPr>
          <w:rFonts w:hAnsi="宋体" w:eastAsia="宋体" w:cs="宋体"/>
          <w:color w:val="auto"/>
          <w:sz w:val="24"/>
          <w:szCs w:val="24"/>
          <w:highlight w:val="none"/>
        </w:rPr>
      </w:pPr>
      <w:r>
        <w:rPr>
          <w:rFonts w:hint="eastAsia" w:hAnsi="宋体" w:eastAsia="宋体" w:cs="宋体"/>
          <w:color w:val="auto"/>
          <w:sz w:val="24"/>
          <w:szCs w:val="24"/>
          <w:highlight w:val="none"/>
        </w:rPr>
        <w:t xml:space="preserve">  H.存在分级代理或代销关系、同一生产制造商关系、管理关系、重要业务（占主营业务收入50%以上）或重要财务往来关系（如融资）等其他实质性控制关系</w:t>
      </w:r>
    </w:p>
    <w:p>
      <w:pPr>
        <w:pStyle w:val="317"/>
        <w:snapToGrid w:val="0"/>
        <w:spacing w:line="360" w:lineRule="auto"/>
        <w:rPr>
          <w:rFonts w:hAnsi="宋体" w:eastAsia="宋体" w:cs="宋体"/>
          <w:color w:val="auto"/>
          <w:spacing w:val="6"/>
          <w:sz w:val="24"/>
          <w:szCs w:val="24"/>
          <w:highlight w:val="none"/>
        </w:rPr>
      </w:pPr>
      <w:r>
        <w:rPr>
          <w:rFonts w:hint="eastAsia" w:hAnsi="宋体" w:eastAsia="宋体" w:cs="宋体"/>
          <w:color w:val="auto"/>
          <w:sz w:val="24"/>
          <w:szCs w:val="24"/>
          <w:highlight w:val="none"/>
        </w:rPr>
        <w:t xml:space="preserve">  I.其他利害关系情况。</w:t>
      </w:r>
    </w:p>
    <w:p>
      <w:pPr>
        <w:pStyle w:val="318"/>
        <w:widowControl/>
        <w:snapToGrid w:val="0"/>
        <w:spacing w:line="360" w:lineRule="auto"/>
        <w:rPr>
          <w:rFonts w:ascii="宋体" w:hAnsi="宋体" w:eastAsia="宋体" w:cs="宋体"/>
          <w:color w:val="auto"/>
          <w:kern w:val="0"/>
          <w:highlight w:val="none"/>
        </w:rPr>
      </w:pPr>
      <w:r>
        <w:rPr>
          <w:rFonts w:hint="eastAsia" w:ascii="宋体" w:hAnsi="宋体" w:eastAsia="宋体" w:cs="宋体"/>
          <w:color w:val="auto"/>
          <w:highlight w:val="none"/>
        </w:rPr>
        <w:t xml:space="preserve">    四、现已清楚知道并</w:t>
      </w:r>
      <w:r>
        <w:rPr>
          <w:rFonts w:hint="eastAsia" w:ascii="宋体" w:hAnsi="宋体" w:eastAsia="宋体" w:cs="宋体"/>
          <w:color w:val="auto"/>
          <w:kern w:val="0"/>
          <w:highlight w:val="none"/>
        </w:rPr>
        <w:t>严格遵守政府采购法律法规和现场纪律。</w:t>
      </w:r>
    </w:p>
    <w:p>
      <w:pPr>
        <w:pStyle w:val="318"/>
        <w:widowControl/>
        <w:snapToGrid w:val="0"/>
        <w:spacing w:line="360" w:lineRule="auto"/>
        <w:rPr>
          <w:rFonts w:ascii="宋体" w:hAnsi="宋体" w:eastAsia="宋体" w:cs="宋体"/>
          <w:color w:val="auto"/>
          <w:highlight w:val="none"/>
        </w:rPr>
      </w:pPr>
      <w:r>
        <w:rPr>
          <w:rFonts w:hint="eastAsia" w:ascii="宋体" w:hAnsi="宋体" w:eastAsia="宋体" w:cs="宋体"/>
          <w:color w:val="auto"/>
          <w:kern w:val="0"/>
          <w:highlight w:val="none"/>
        </w:rPr>
        <w:t xml:space="preserve">    五、我发现供应商之间存在或可能存在上述第二条第项利害关系。</w:t>
      </w:r>
    </w:p>
    <w:p>
      <w:pPr>
        <w:pStyle w:val="317"/>
        <w:snapToGrid w:val="0"/>
        <w:spacing w:line="360" w:lineRule="auto"/>
        <w:rPr>
          <w:rFonts w:hAnsi="宋体" w:eastAsia="宋体" w:cs="宋体"/>
          <w:color w:val="auto"/>
          <w:sz w:val="24"/>
          <w:szCs w:val="24"/>
          <w:highlight w:val="none"/>
        </w:rPr>
      </w:pPr>
      <w:r>
        <w:rPr>
          <w:rFonts w:hint="eastAsia" w:hAnsi="宋体" w:eastAsia="宋体" w:cs="宋体"/>
          <w:color w:val="auto"/>
          <w:sz w:val="24"/>
          <w:szCs w:val="24"/>
          <w:highlight w:val="none"/>
        </w:rPr>
        <w:t xml:space="preserve">                          （供应商代表签名）</w:t>
      </w:r>
    </w:p>
    <w:p>
      <w:pPr>
        <w:pStyle w:val="317"/>
        <w:snapToGrid w:val="0"/>
        <w:spacing w:line="360" w:lineRule="auto"/>
        <w:jc w:val="right"/>
        <w:rPr>
          <w:rFonts w:hAnsi="宋体" w:eastAsia="宋体" w:cs="宋体"/>
          <w:color w:val="auto"/>
          <w:sz w:val="24"/>
          <w:szCs w:val="24"/>
          <w:highlight w:val="none"/>
        </w:rPr>
      </w:pPr>
      <w:r>
        <w:rPr>
          <w:rFonts w:hint="eastAsia" w:hAnsi="宋体" w:eastAsia="宋体" w:cs="宋体"/>
          <w:color w:val="auto"/>
          <w:sz w:val="24"/>
          <w:szCs w:val="24"/>
          <w:highlight w:val="none"/>
        </w:rPr>
        <w:t xml:space="preserve">                                 年   月   日</w:t>
      </w:r>
    </w:p>
    <w:p>
      <w:pPr>
        <w:spacing w:line="360" w:lineRule="auto"/>
        <w:rPr>
          <w:rFonts w:ascii="宋体" w:hAnsi="宋体" w:cs="宋体"/>
          <w:color w:val="auto"/>
          <w:sz w:val="24"/>
          <w:highlight w:val="none"/>
        </w:rPr>
      </w:pPr>
    </w:p>
    <w:p>
      <w:pPr>
        <w:pStyle w:val="317"/>
        <w:snapToGrid w:val="0"/>
        <w:spacing w:line="360" w:lineRule="auto"/>
        <w:rPr>
          <w:rFonts w:hAnsi="宋体" w:eastAsia="宋体" w:cs="宋体"/>
          <w:color w:val="auto"/>
          <w:sz w:val="24"/>
          <w:szCs w:val="24"/>
          <w:highlight w:val="none"/>
        </w:rPr>
      </w:pPr>
    </w:p>
    <w:p>
      <w:pPr>
        <w:rPr>
          <w:rFonts w:ascii="宋体" w:hAnsi="宋体" w:cs="宋体"/>
          <w:color w:val="auto"/>
          <w:sz w:val="24"/>
          <w:highlight w:val="none"/>
        </w:rPr>
      </w:pPr>
    </w:p>
    <w:p>
      <w:pPr>
        <w:pStyle w:val="3"/>
        <w:rPr>
          <w:color w:val="auto"/>
          <w:highlight w:val="none"/>
        </w:rPr>
      </w:pPr>
    </w:p>
    <w:p>
      <w:pPr>
        <w:rPr>
          <w:rFonts w:ascii="宋体" w:hAnsi="宋体" w:cs="宋体"/>
          <w:color w:val="auto"/>
          <w:sz w:val="24"/>
          <w:highlight w:val="none"/>
        </w:rPr>
      </w:pPr>
    </w:p>
    <w:p>
      <w:pPr>
        <w:rPr>
          <w:rFonts w:ascii="宋体" w:hAnsi="宋体" w:cs="宋体"/>
          <w:color w:val="auto"/>
          <w:sz w:val="24"/>
          <w:highlight w:val="none"/>
        </w:rPr>
      </w:pPr>
    </w:p>
    <w:p>
      <w:pPr>
        <w:pStyle w:val="317"/>
        <w:snapToGrid w:val="0"/>
        <w:spacing w:line="360" w:lineRule="auto"/>
        <w:ind w:firstLine="482"/>
        <w:rPr>
          <w:rFonts w:hAnsi="宋体" w:eastAsia="宋体" w:cs="宋体"/>
          <w:color w:val="auto"/>
          <w:sz w:val="24"/>
          <w:szCs w:val="24"/>
          <w:highlight w:val="none"/>
        </w:rPr>
      </w:pPr>
      <w:r>
        <w:rPr>
          <w:rFonts w:hint="eastAsia" w:hAnsi="宋体" w:eastAsia="宋体" w:cs="宋体"/>
          <w:b/>
          <w:bCs/>
          <w:color w:val="auto"/>
          <w:sz w:val="24"/>
          <w:szCs w:val="24"/>
          <w:highlight w:val="none"/>
        </w:rPr>
        <w:t>备注：</w:t>
      </w:r>
      <w:r>
        <w:rPr>
          <w:rFonts w:hint="eastAsia" w:hAnsi="宋体" w:eastAsia="宋体" w:cs="宋体"/>
          <w:color w:val="auto"/>
          <w:sz w:val="24"/>
          <w:szCs w:val="24"/>
          <w:highlight w:val="none"/>
        </w:rPr>
        <w:t>（1）投标人解密投标文件及获知其他投标人信息进行如实声明并盖章，30分钟内以扫描件形式提交给采购代理机构，邮箱：1428496711@qq.com。如未在规定时间内提供此函，则视为默认不存在情况，后续不得以此进行质疑投诉。</w:t>
      </w:r>
    </w:p>
    <w:p>
      <w:pPr>
        <w:pStyle w:val="318"/>
        <w:widowControl/>
        <w:snapToGrid w:val="0"/>
        <w:spacing w:line="360" w:lineRule="auto"/>
        <w:rPr>
          <w:rFonts w:ascii="宋体" w:hAnsi="宋体" w:eastAsia="宋体" w:cs="宋体"/>
          <w:color w:val="auto"/>
          <w:highlight w:val="none"/>
        </w:rPr>
      </w:pPr>
      <w:r>
        <w:rPr>
          <w:rFonts w:hint="eastAsia" w:ascii="宋体" w:hAnsi="宋体" w:eastAsia="宋体" w:cs="宋体"/>
          <w:color w:val="auto"/>
          <w:highlight w:val="none"/>
        </w:rPr>
        <w:t>（2）此声明函不用编入投标文件，单独发送至采购代理机构邮箱。</w:t>
      </w:r>
    </w:p>
    <w:p>
      <w:pPr>
        <w:pStyle w:val="25"/>
        <w:rPr>
          <w:color w:val="auto"/>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203F01FF" w:csb1="D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1"/>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73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19"/>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xOTI1NGUyZTM5NTYwYzg4ZTVjOGU3NzY4OTVlZT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EBC"/>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9FB"/>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C7F05"/>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75D"/>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899"/>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379"/>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A4A"/>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0C9"/>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39"/>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B15"/>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3CB"/>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772"/>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037"/>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E5E41"/>
    <w:rsid w:val="011F6449"/>
    <w:rsid w:val="01236AFB"/>
    <w:rsid w:val="01611F49"/>
    <w:rsid w:val="018E4619"/>
    <w:rsid w:val="01917F34"/>
    <w:rsid w:val="019F7441"/>
    <w:rsid w:val="01B14C06"/>
    <w:rsid w:val="01B37585"/>
    <w:rsid w:val="01BD35AB"/>
    <w:rsid w:val="01C65DA5"/>
    <w:rsid w:val="01D55165"/>
    <w:rsid w:val="01DE1773"/>
    <w:rsid w:val="01DF6BF8"/>
    <w:rsid w:val="01EC2C57"/>
    <w:rsid w:val="024261A6"/>
    <w:rsid w:val="025F0711"/>
    <w:rsid w:val="026B2E25"/>
    <w:rsid w:val="02741CFB"/>
    <w:rsid w:val="02824D4D"/>
    <w:rsid w:val="028E401B"/>
    <w:rsid w:val="02922C89"/>
    <w:rsid w:val="029E71FF"/>
    <w:rsid w:val="02BF15A4"/>
    <w:rsid w:val="02D84338"/>
    <w:rsid w:val="02DC4B10"/>
    <w:rsid w:val="02DD76CE"/>
    <w:rsid w:val="02F36323"/>
    <w:rsid w:val="02F5619C"/>
    <w:rsid w:val="0326446A"/>
    <w:rsid w:val="032D5555"/>
    <w:rsid w:val="03433F84"/>
    <w:rsid w:val="036634D2"/>
    <w:rsid w:val="03A74512"/>
    <w:rsid w:val="03A964DC"/>
    <w:rsid w:val="03DD35E4"/>
    <w:rsid w:val="03F040A4"/>
    <w:rsid w:val="03FB660C"/>
    <w:rsid w:val="04076900"/>
    <w:rsid w:val="041A5A3B"/>
    <w:rsid w:val="04214B6E"/>
    <w:rsid w:val="042311BA"/>
    <w:rsid w:val="042B157A"/>
    <w:rsid w:val="047F2D99"/>
    <w:rsid w:val="048F763B"/>
    <w:rsid w:val="049F330E"/>
    <w:rsid w:val="04AA775C"/>
    <w:rsid w:val="04AF1889"/>
    <w:rsid w:val="04C133B2"/>
    <w:rsid w:val="04C64E6C"/>
    <w:rsid w:val="04C94C5F"/>
    <w:rsid w:val="04F66F48"/>
    <w:rsid w:val="05251E14"/>
    <w:rsid w:val="053B4BB1"/>
    <w:rsid w:val="0563090D"/>
    <w:rsid w:val="05707094"/>
    <w:rsid w:val="05976809"/>
    <w:rsid w:val="05A16594"/>
    <w:rsid w:val="05A7762D"/>
    <w:rsid w:val="060E5941"/>
    <w:rsid w:val="06110FAF"/>
    <w:rsid w:val="061E21DC"/>
    <w:rsid w:val="062067FE"/>
    <w:rsid w:val="06493CA7"/>
    <w:rsid w:val="064E6EC7"/>
    <w:rsid w:val="065A6178"/>
    <w:rsid w:val="066F1CF3"/>
    <w:rsid w:val="06930BB8"/>
    <w:rsid w:val="06C673A5"/>
    <w:rsid w:val="071E3870"/>
    <w:rsid w:val="07245D42"/>
    <w:rsid w:val="07264C62"/>
    <w:rsid w:val="07456304"/>
    <w:rsid w:val="0779354C"/>
    <w:rsid w:val="07A46B95"/>
    <w:rsid w:val="07B436A2"/>
    <w:rsid w:val="07C35693"/>
    <w:rsid w:val="08061376"/>
    <w:rsid w:val="08114650"/>
    <w:rsid w:val="08452D77"/>
    <w:rsid w:val="086401F8"/>
    <w:rsid w:val="08661343"/>
    <w:rsid w:val="08751CAA"/>
    <w:rsid w:val="087E4C40"/>
    <w:rsid w:val="08923AEE"/>
    <w:rsid w:val="08A871D0"/>
    <w:rsid w:val="08D66AD6"/>
    <w:rsid w:val="08DA33A3"/>
    <w:rsid w:val="08E80F13"/>
    <w:rsid w:val="09335624"/>
    <w:rsid w:val="0944690F"/>
    <w:rsid w:val="09535675"/>
    <w:rsid w:val="095B5801"/>
    <w:rsid w:val="095F057D"/>
    <w:rsid w:val="09642282"/>
    <w:rsid w:val="09661480"/>
    <w:rsid w:val="09733572"/>
    <w:rsid w:val="09772C16"/>
    <w:rsid w:val="098353B5"/>
    <w:rsid w:val="09A92330"/>
    <w:rsid w:val="09B06B87"/>
    <w:rsid w:val="09C13146"/>
    <w:rsid w:val="09E04166"/>
    <w:rsid w:val="0A0C3321"/>
    <w:rsid w:val="0A1C0718"/>
    <w:rsid w:val="0A2825E1"/>
    <w:rsid w:val="0A2B6998"/>
    <w:rsid w:val="0A3E7710"/>
    <w:rsid w:val="0A5B7E63"/>
    <w:rsid w:val="0A703465"/>
    <w:rsid w:val="0AA374A5"/>
    <w:rsid w:val="0AAB7649"/>
    <w:rsid w:val="0ABC5606"/>
    <w:rsid w:val="0ACB31DC"/>
    <w:rsid w:val="0ADC3AF4"/>
    <w:rsid w:val="0AE72C5A"/>
    <w:rsid w:val="0AF72DB8"/>
    <w:rsid w:val="0AFE2A19"/>
    <w:rsid w:val="0B1017C3"/>
    <w:rsid w:val="0B136931"/>
    <w:rsid w:val="0B30404E"/>
    <w:rsid w:val="0B380146"/>
    <w:rsid w:val="0B4C6C14"/>
    <w:rsid w:val="0B5164A0"/>
    <w:rsid w:val="0B547599"/>
    <w:rsid w:val="0B631A88"/>
    <w:rsid w:val="0B683D45"/>
    <w:rsid w:val="0B7F3F11"/>
    <w:rsid w:val="0B884417"/>
    <w:rsid w:val="0B971310"/>
    <w:rsid w:val="0BB84DE3"/>
    <w:rsid w:val="0BEB6F66"/>
    <w:rsid w:val="0BF6188C"/>
    <w:rsid w:val="0BF73C91"/>
    <w:rsid w:val="0C170175"/>
    <w:rsid w:val="0C4F1BEB"/>
    <w:rsid w:val="0C571A41"/>
    <w:rsid w:val="0C5C1171"/>
    <w:rsid w:val="0C5E1CBC"/>
    <w:rsid w:val="0C615B50"/>
    <w:rsid w:val="0C8445DA"/>
    <w:rsid w:val="0C87121B"/>
    <w:rsid w:val="0C9B273A"/>
    <w:rsid w:val="0CA07CA2"/>
    <w:rsid w:val="0CC007F7"/>
    <w:rsid w:val="0CC617AC"/>
    <w:rsid w:val="0CE42333"/>
    <w:rsid w:val="0CE618DF"/>
    <w:rsid w:val="0CFE707A"/>
    <w:rsid w:val="0D046532"/>
    <w:rsid w:val="0D063BDA"/>
    <w:rsid w:val="0D08375F"/>
    <w:rsid w:val="0D184CFB"/>
    <w:rsid w:val="0D4A7419"/>
    <w:rsid w:val="0D5374B9"/>
    <w:rsid w:val="0D827401"/>
    <w:rsid w:val="0D84094E"/>
    <w:rsid w:val="0D8A00E9"/>
    <w:rsid w:val="0D8D589E"/>
    <w:rsid w:val="0DA01C73"/>
    <w:rsid w:val="0DAB2E51"/>
    <w:rsid w:val="0DB02216"/>
    <w:rsid w:val="0DD63300"/>
    <w:rsid w:val="0DDB366B"/>
    <w:rsid w:val="0DE6032D"/>
    <w:rsid w:val="0DF50604"/>
    <w:rsid w:val="0DF702FE"/>
    <w:rsid w:val="0E0407B3"/>
    <w:rsid w:val="0E060E51"/>
    <w:rsid w:val="0E3E3CC5"/>
    <w:rsid w:val="0E5604B2"/>
    <w:rsid w:val="0E6D5D79"/>
    <w:rsid w:val="0E6F0323"/>
    <w:rsid w:val="0E9D0089"/>
    <w:rsid w:val="0EB803EE"/>
    <w:rsid w:val="0EF94D4B"/>
    <w:rsid w:val="0F1D38DB"/>
    <w:rsid w:val="0F2C6214"/>
    <w:rsid w:val="0F4958DC"/>
    <w:rsid w:val="0F515DF7"/>
    <w:rsid w:val="0F596BA8"/>
    <w:rsid w:val="0F6248D2"/>
    <w:rsid w:val="0F693536"/>
    <w:rsid w:val="0F7B0511"/>
    <w:rsid w:val="0F7B76D9"/>
    <w:rsid w:val="0F816ACD"/>
    <w:rsid w:val="0F9832DB"/>
    <w:rsid w:val="0FBF3FD2"/>
    <w:rsid w:val="0FBF7FF3"/>
    <w:rsid w:val="0FEF171B"/>
    <w:rsid w:val="0FFB3AA7"/>
    <w:rsid w:val="100223E4"/>
    <w:rsid w:val="104D01F0"/>
    <w:rsid w:val="10646583"/>
    <w:rsid w:val="107D4B15"/>
    <w:rsid w:val="108A3C80"/>
    <w:rsid w:val="10A51DDA"/>
    <w:rsid w:val="10B703D1"/>
    <w:rsid w:val="10C26171"/>
    <w:rsid w:val="10F33360"/>
    <w:rsid w:val="10FC16EA"/>
    <w:rsid w:val="110F1D40"/>
    <w:rsid w:val="11266F33"/>
    <w:rsid w:val="11390774"/>
    <w:rsid w:val="114809B7"/>
    <w:rsid w:val="11694B0A"/>
    <w:rsid w:val="116B3023"/>
    <w:rsid w:val="11823EC9"/>
    <w:rsid w:val="11893F17"/>
    <w:rsid w:val="118963A1"/>
    <w:rsid w:val="11916802"/>
    <w:rsid w:val="11AC7198"/>
    <w:rsid w:val="11C6522A"/>
    <w:rsid w:val="11D24E50"/>
    <w:rsid w:val="11E104CC"/>
    <w:rsid w:val="11E20309"/>
    <w:rsid w:val="11EC3A38"/>
    <w:rsid w:val="12255233"/>
    <w:rsid w:val="12530213"/>
    <w:rsid w:val="1272363A"/>
    <w:rsid w:val="127723A9"/>
    <w:rsid w:val="12862074"/>
    <w:rsid w:val="12883966"/>
    <w:rsid w:val="1299596E"/>
    <w:rsid w:val="129E45B4"/>
    <w:rsid w:val="12D81596"/>
    <w:rsid w:val="12DE5A77"/>
    <w:rsid w:val="12EE28A0"/>
    <w:rsid w:val="13072A44"/>
    <w:rsid w:val="135F4BE2"/>
    <w:rsid w:val="13631AD8"/>
    <w:rsid w:val="13871C6A"/>
    <w:rsid w:val="139B1A0A"/>
    <w:rsid w:val="139D25C7"/>
    <w:rsid w:val="13BF3CE4"/>
    <w:rsid w:val="13CA3528"/>
    <w:rsid w:val="13D33102"/>
    <w:rsid w:val="13FF2E46"/>
    <w:rsid w:val="141008D8"/>
    <w:rsid w:val="14125FE6"/>
    <w:rsid w:val="1424395D"/>
    <w:rsid w:val="142D2812"/>
    <w:rsid w:val="14302302"/>
    <w:rsid w:val="144162BD"/>
    <w:rsid w:val="14440113"/>
    <w:rsid w:val="146D271E"/>
    <w:rsid w:val="147E12BF"/>
    <w:rsid w:val="1494463F"/>
    <w:rsid w:val="14982588"/>
    <w:rsid w:val="149A5AD9"/>
    <w:rsid w:val="14A7619D"/>
    <w:rsid w:val="14B940A6"/>
    <w:rsid w:val="14D56A06"/>
    <w:rsid w:val="14E1184E"/>
    <w:rsid w:val="14EA0703"/>
    <w:rsid w:val="150536C3"/>
    <w:rsid w:val="150C1963"/>
    <w:rsid w:val="151447A0"/>
    <w:rsid w:val="152B4878"/>
    <w:rsid w:val="15475B55"/>
    <w:rsid w:val="154A6454"/>
    <w:rsid w:val="156A35F2"/>
    <w:rsid w:val="15762120"/>
    <w:rsid w:val="15805EFE"/>
    <w:rsid w:val="15DA0777"/>
    <w:rsid w:val="15E50ECA"/>
    <w:rsid w:val="160C46A9"/>
    <w:rsid w:val="16526560"/>
    <w:rsid w:val="16915190"/>
    <w:rsid w:val="16A8729C"/>
    <w:rsid w:val="16AA639C"/>
    <w:rsid w:val="16AB3EC2"/>
    <w:rsid w:val="16B33777"/>
    <w:rsid w:val="16BC70A7"/>
    <w:rsid w:val="16C6339E"/>
    <w:rsid w:val="172F2D79"/>
    <w:rsid w:val="17557BEF"/>
    <w:rsid w:val="1776002C"/>
    <w:rsid w:val="17D349C1"/>
    <w:rsid w:val="17FE0021"/>
    <w:rsid w:val="1830729E"/>
    <w:rsid w:val="1870062C"/>
    <w:rsid w:val="18817102"/>
    <w:rsid w:val="18830A15"/>
    <w:rsid w:val="18852B28"/>
    <w:rsid w:val="188B5321"/>
    <w:rsid w:val="18952734"/>
    <w:rsid w:val="18DA6CE0"/>
    <w:rsid w:val="18F605B1"/>
    <w:rsid w:val="19053D5D"/>
    <w:rsid w:val="19433E49"/>
    <w:rsid w:val="19516FA3"/>
    <w:rsid w:val="19632C4D"/>
    <w:rsid w:val="197A5DE8"/>
    <w:rsid w:val="19932372"/>
    <w:rsid w:val="19A20DD5"/>
    <w:rsid w:val="19AE03F1"/>
    <w:rsid w:val="19FE07AD"/>
    <w:rsid w:val="1A071A03"/>
    <w:rsid w:val="1A1A7A28"/>
    <w:rsid w:val="1A1F16AE"/>
    <w:rsid w:val="1A3B5C77"/>
    <w:rsid w:val="1A984BAD"/>
    <w:rsid w:val="1A9D63A9"/>
    <w:rsid w:val="1AB8220E"/>
    <w:rsid w:val="1AE4166C"/>
    <w:rsid w:val="1AE86432"/>
    <w:rsid w:val="1AF06CFB"/>
    <w:rsid w:val="1AF11B8D"/>
    <w:rsid w:val="1B11359C"/>
    <w:rsid w:val="1B2A271F"/>
    <w:rsid w:val="1B446693"/>
    <w:rsid w:val="1B530544"/>
    <w:rsid w:val="1B713184"/>
    <w:rsid w:val="1B811695"/>
    <w:rsid w:val="1B9273FE"/>
    <w:rsid w:val="1BA209CF"/>
    <w:rsid w:val="1BAA635E"/>
    <w:rsid w:val="1BB4777D"/>
    <w:rsid w:val="1BC021BE"/>
    <w:rsid w:val="1BD75AB8"/>
    <w:rsid w:val="1C0459C2"/>
    <w:rsid w:val="1C1B3B4A"/>
    <w:rsid w:val="1C273FEB"/>
    <w:rsid w:val="1C281B11"/>
    <w:rsid w:val="1C6E5776"/>
    <w:rsid w:val="1C7725CD"/>
    <w:rsid w:val="1C88086E"/>
    <w:rsid w:val="1D266CE1"/>
    <w:rsid w:val="1D3963AF"/>
    <w:rsid w:val="1D3C0585"/>
    <w:rsid w:val="1D3D0FE5"/>
    <w:rsid w:val="1D6A673C"/>
    <w:rsid w:val="1D9247AE"/>
    <w:rsid w:val="1DB567EC"/>
    <w:rsid w:val="1DF51A98"/>
    <w:rsid w:val="1E0A3BC4"/>
    <w:rsid w:val="1E157349"/>
    <w:rsid w:val="1E3D060F"/>
    <w:rsid w:val="1E3F7D2E"/>
    <w:rsid w:val="1E4134E4"/>
    <w:rsid w:val="1E5062B3"/>
    <w:rsid w:val="1E523514"/>
    <w:rsid w:val="1E714A66"/>
    <w:rsid w:val="1E802593"/>
    <w:rsid w:val="1E8B6156"/>
    <w:rsid w:val="1EA703CC"/>
    <w:rsid w:val="1EA91422"/>
    <w:rsid w:val="1EB7330C"/>
    <w:rsid w:val="1ECB747F"/>
    <w:rsid w:val="1F016D75"/>
    <w:rsid w:val="1F0A0FF3"/>
    <w:rsid w:val="1F550E6F"/>
    <w:rsid w:val="1F5771FF"/>
    <w:rsid w:val="1F904124"/>
    <w:rsid w:val="1FD06747"/>
    <w:rsid w:val="1FE868A9"/>
    <w:rsid w:val="20034907"/>
    <w:rsid w:val="20173E4B"/>
    <w:rsid w:val="202A40A9"/>
    <w:rsid w:val="204E48BC"/>
    <w:rsid w:val="205E3D53"/>
    <w:rsid w:val="206549D6"/>
    <w:rsid w:val="208921B3"/>
    <w:rsid w:val="20973DEB"/>
    <w:rsid w:val="20B26522"/>
    <w:rsid w:val="20B44310"/>
    <w:rsid w:val="20C94425"/>
    <w:rsid w:val="211116EB"/>
    <w:rsid w:val="212B632B"/>
    <w:rsid w:val="21442F49"/>
    <w:rsid w:val="216133FC"/>
    <w:rsid w:val="21843C8D"/>
    <w:rsid w:val="219263AA"/>
    <w:rsid w:val="21D56769"/>
    <w:rsid w:val="21D70261"/>
    <w:rsid w:val="21E52EF3"/>
    <w:rsid w:val="21EE1107"/>
    <w:rsid w:val="21FB5D7B"/>
    <w:rsid w:val="22015E94"/>
    <w:rsid w:val="220B1C3D"/>
    <w:rsid w:val="221D1D20"/>
    <w:rsid w:val="22334A87"/>
    <w:rsid w:val="22590C76"/>
    <w:rsid w:val="225E44DE"/>
    <w:rsid w:val="226E2973"/>
    <w:rsid w:val="227D5647"/>
    <w:rsid w:val="228C104B"/>
    <w:rsid w:val="22BE6801"/>
    <w:rsid w:val="22EF5136"/>
    <w:rsid w:val="23307C29"/>
    <w:rsid w:val="233500BF"/>
    <w:rsid w:val="23377FF7"/>
    <w:rsid w:val="23490CEA"/>
    <w:rsid w:val="23563407"/>
    <w:rsid w:val="236B425F"/>
    <w:rsid w:val="237B69CA"/>
    <w:rsid w:val="23836192"/>
    <w:rsid w:val="23901F29"/>
    <w:rsid w:val="239C0061"/>
    <w:rsid w:val="23B908A4"/>
    <w:rsid w:val="23C50EB3"/>
    <w:rsid w:val="23D52035"/>
    <w:rsid w:val="23E95BEF"/>
    <w:rsid w:val="23FD0064"/>
    <w:rsid w:val="240E783E"/>
    <w:rsid w:val="245375B0"/>
    <w:rsid w:val="24642C0A"/>
    <w:rsid w:val="246D6C5B"/>
    <w:rsid w:val="24767D4C"/>
    <w:rsid w:val="24B22173"/>
    <w:rsid w:val="24B95AD9"/>
    <w:rsid w:val="24BE24DA"/>
    <w:rsid w:val="24CF5825"/>
    <w:rsid w:val="24D663E6"/>
    <w:rsid w:val="24D77F2B"/>
    <w:rsid w:val="24FB4266"/>
    <w:rsid w:val="253F23A5"/>
    <w:rsid w:val="256516E0"/>
    <w:rsid w:val="25693628"/>
    <w:rsid w:val="25756AF1"/>
    <w:rsid w:val="258B00E2"/>
    <w:rsid w:val="25A917A6"/>
    <w:rsid w:val="25BE27CC"/>
    <w:rsid w:val="25F74A5C"/>
    <w:rsid w:val="2628662C"/>
    <w:rsid w:val="262D1D64"/>
    <w:rsid w:val="262D45DE"/>
    <w:rsid w:val="26871DC8"/>
    <w:rsid w:val="268A7650"/>
    <w:rsid w:val="26A53EF9"/>
    <w:rsid w:val="26A94201"/>
    <w:rsid w:val="26AC274F"/>
    <w:rsid w:val="26CA0394"/>
    <w:rsid w:val="26D44D6F"/>
    <w:rsid w:val="27044A29"/>
    <w:rsid w:val="271D34C8"/>
    <w:rsid w:val="276142BF"/>
    <w:rsid w:val="277169C5"/>
    <w:rsid w:val="27783712"/>
    <w:rsid w:val="27814EF7"/>
    <w:rsid w:val="278C1977"/>
    <w:rsid w:val="27907362"/>
    <w:rsid w:val="28333E1D"/>
    <w:rsid w:val="283F090E"/>
    <w:rsid w:val="28454BD6"/>
    <w:rsid w:val="28455253"/>
    <w:rsid w:val="284E0B51"/>
    <w:rsid w:val="28551971"/>
    <w:rsid w:val="28577A06"/>
    <w:rsid w:val="285B1C53"/>
    <w:rsid w:val="28687E65"/>
    <w:rsid w:val="288D1679"/>
    <w:rsid w:val="289F7086"/>
    <w:rsid w:val="28C32028"/>
    <w:rsid w:val="28CC490F"/>
    <w:rsid w:val="28D9041B"/>
    <w:rsid w:val="28DC7F0B"/>
    <w:rsid w:val="28DE40AA"/>
    <w:rsid w:val="29015BC3"/>
    <w:rsid w:val="29345E77"/>
    <w:rsid w:val="294C65AD"/>
    <w:rsid w:val="296E14AB"/>
    <w:rsid w:val="29806583"/>
    <w:rsid w:val="298B3C4C"/>
    <w:rsid w:val="2998609C"/>
    <w:rsid w:val="299E3412"/>
    <w:rsid w:val="29C63095"/>
    <w:rsid w:val="29C72969"/>
    <w:rsid w:val="29E654E5"/>
    <w:rsid w:val="29EA6657"/>
    <w:rsid w:val="29F26D24"/>
    <w:rsid w:val="2A005E7B"/>
    <w:rsid w:val="2A15033F"/>
    <w:rsid w:val="2A1662C1"/>
    <w:rsid w:val="2A1C7367"/>
    <w:rsid w:val="2A2815FA"/>
    <w:rsid w:val="2A376119"/>
    <w:rsid w:val="2A3937C6"/>
    <w:rsid w:val="2A546E6F"/>
    <w:rsid w:val="2A6D6092"/>
    <w:rsid w:val="2A7D76B4"/>
    <w:rsid w:val="2A846AAC"/>
    <w:rsid w:val="2ADA66CC"/>
    <w:rsid w:val="2B3A6011"/>
    <w:rsid w:val="2B437463"/>
    <w:rsid w:val="2B471FB3"/>
    <w:rsid w:val="2B4B195E"/>
    <w:rsid w:val="2B501BD3"/>
    <w:rsid w:val="2B7807EE"/>
    <w:rsid w:val="2B9E594C"/>
    <w:rsid w:val="2BA50BF7"/>
    <w:rsid w:val="2BAF7B59"/>
    <w:rsid w:val="2BBF00EC"/>
    <w:rsid w:val="2BC37CFD"/>
    <w:rsid w:val="2BD5237F"/>
    <w:rsid w:val="2BDD6474"/>
    <w:rsid w:val="2BE536CE"/>
    <w:rsid w:val="2BE758D9"/>
    <w:rsid w:val="2C014CF7"/>
    <w:rsid w:val="2C016606"/>
    <w:rsid w:val="2C09049E"/>
    <w:rsid w:val="2C0A653C"/>
    <w:rsid w:val="2C191F85"/>
    <w:rsid w:val="2C3D5164"/>
    <w:rsid w:val="2C3F712F"/>
    <w:rsid w:val="2CE43832"/>
    <w:rsid w:val="2CE82D6F"/>
    <w:rsid w:val="2D0143E4"/>
    <w:rsid w:val="2D0F6E09"/>
    <w:rsid w:val="2D1A7254"/>
    <w:rsid w:val="2D343236"/>
    <w:rsid w:val="2D621327"/>
    <w:rsid w:val="2D92328E"/>
    <w:rsid w:val="2DCC67A0"/>
    <w:rsid w:val="2DD15014"/>
    <w:rsid w:val="2DF72DE4"/>
    <w:rsid w:val="2E0220AF"/>
    <w:rsid w:val="2E3E5EA6"/>
    <w:rsid w:val="2E3F318F"/>
    <w:rsid w:val="2E4B082A"/>
    <w:rsid w:val="2E5D4E86"/>
    <w:rsid w:val="2E5D790B"/>
    <w:rsid w:val="2E731311"/>
    <w:rsid w:val="2E862DF3"/>
    <w:rsid w:val="2E9A3C18"/>
    <w:rsid w:val="2EAA4C71"/>
    <w:rsid w:val="2EBB0FEE"/>
    <w:rsid w:val="2EC63002"/>
    <w:rsid w:val="2EDE4745"/>
    <w:rsid w:val="2EDE49DD"/>
    <w:rsid w:val="2F0A6B38"/>
    <w:rsid w:val="2F61560E"/>
    <w:rsid w:val="2F8F217B"/>
    <w:rsid w:val="2F946CCB"/>
    <w:rsid w:val="2FA23C5C"/>
    <w:rsid w:val="2FD25781"/>
    <w:rsid w:val="2FD61B58"/>
    <w:rsid w:val="2FDC745C"/>
    <w:rsid w:val="2FDD2EE6"/>
    <w:rsid w:val="2FF95846"/>
    <w:rsid w:val="2FFD7934"/>
    <w:rsid w:val="301B3A0F"/>
    <w:rsid w:val="30733ACD"/>
    <w:rsid w:val="308C3862"/>
    <w:rsid w:val="309379D8"/>
    <w:rsid w:val="30A270F7"/>
    <w:rsid w:val="30DF1478"/>
    <w:rsid w:val="30EC586F"/>
    <w:rsid w:val="314169AC"/>
    <w:rsid w:val="314D7BF8"/>
    <w:rsid w:val="318A2BFA"/>
    <w:rsid w:val="318B24CE"/>
    <w:rsid w:val="318F3206"/>
    <w:rsid w:val="319C6071"/>
    <w:rsid w:val="31A11ECE"/>
    <w:rsid w:val="31AB491E"/>
    <w:rsid w:val="31AC537E"/>
    <w:rsid w:val="31E3679B"/>
    <w:rsid w:val="31E732FD"/>
    <w:rsid w:val="31F92D57"/>
    <w:rsid w:val="32517576"/>
    <w:rsid w:val="327A0EC0"/>
    <w:rsid w:val="32BE5C2C"/>
    <w:rsid w:val="32D63C1D"/>
    <w:rsid w:val="32FB6478"/>
    <w:rsid w:val="330F6C37"/>
    <w:rsid w:val="33150BE9"/>
    <w:rsid w:val="331704BD"/>
    <w:rsid w:val="332410BB"/>
    <w:rsid w:val="33263B3F"/>
    <w:rsid w:val="33332E1D"/>
    <w:rsid w:val="336963EB"/>
    <w:rsid w:val="33816EEB"/>
    <w:rsid w:val="33B95A18"/>
    <w:rsid w:val="33C63C91"/>
    <w:rsid w:val="33EB55CD"/>
    <w:rsid w:val="33EC4C02"/>
    <w:rsid w:val="340D2360"/>
    <w:rsid w:val="3410665D"/>
    <w:rsid w:val="34211214"/>
    <w:rsid w:val="342E63AB"/>
    <w:rsid w:val="3438684F"/>
    <w:rsid w:val="34950E68"/>
    <w:rsid w:val="34986E94"/>
    <w:rsid w:val="34A57D4B"/>
    <w:rsid w:val="34AF62C9"/>
    <w:rsid w:val="34CA5831"/>
    <w:rsid w:val="34CB4388"/>
    <w:rsid w:val="34FA6E12"/>
    <w:rsid w:val="35066A3B"/>
    <w:rsid w:val="35373099"/>
    <w:rsid w:val="354D7158"/>
    <w:rsid w:val="35571045"/>
    <w:rsid w:val="357A4D33"/>
    <w:rsid w:val="358D5588"/>
    <w:rsid w:val="363A3B40"/>
    <w:rsid w:val="365302AE"/>
    <w:rsid w:val="36607A0A"/>
    <w:rsid w:val="366E227C"/>
    <w:rsid w:val="366F2E0D"/>
    <w:rsid w:val="367B6A5C"/>
    <w:rsid w:val="36A74ADA"/>
    <w:rsid w:val="36AD60D5"/>
    <w:rsid w:val="36B224F9"/>
    <w:rsid w:val="36CC15BF"/>
    <w:rsid w:val="36EC0CC9"/>
    <w:rsid w:val="37010510"/>
    <w:rsid w:val="373F410B"/>
    <w:rsid w:val="376932B2"/>
    <w:rsid w:val="37735EDE"/>
    <w:rsid w:val="37AF33BA"/>
    <w:rsid w:val="37D82204"/>
    <w:rsid w:val="37EE7094"/>
    <w:rsid w:val="38296C89"/>
    <w:rsid w:val="383002EB"/>
    <w:rsid w:val="38392C84"/>
    <w:rsid w:val="38481119"/>
    <w:rsid w:val="38586797"/>
    <w:rsid w:val="38B247E4"/>
    <w:rsid w:val="38BC0149"/>
    <w:rsid w:val="38CD096F"/>
    <w:rsid w:val="38D87D1C"/>
    <w:rsid w:val="38F65019"/>
    <w:rsid w:val="38F8669B"/>
    <w:rsid w:val="39055360"/>
    <w:rsid w:val="39065214"/>
    <w:rsid w:val="39365415"/>
    <w:rsid w:val="39636459"/>
    <w:rsid w:val="396B7F6C"/>
    <w:rsid w:val="39B12385"/>
    <w:rsid w:val="39B417A9"/>
    <w:rsid w:val="39E3734B"/>
    <w:rsid w:val="39FC5695"/>
    <w:rsid w:val="3A00614F"/>
    <w:rsid w:val="3A006D8E"/>
    <w:rsid w:val="3A0B4AF4"/>
    <w:rsid w:val="3A127C30"/>
    <w:rsid w:val="3A204F94"/>
    <w:rsid w:val="3A3651E5"/>
    <w:rsid w:val="3A744481"/>
    <w:rsid w:val="3A8C7BEF"/>
    <w:rsid w:val="3A906246"/>
    <w:rsid w:val="3A9B19D4"/>
    <w:rsid w:val="3AF92B9E"/>
    <w:rsid w:val="3B20012B"/>
    <w:rsid w:val="3B2349B7"/>
    <w:rsid w:val="3B4402BD"/>
    <w:rsid w:val="3B616CFF"/>
    <w:rsid w:val="3B6259F6"/>
    <w:rsid w:val="3B9052B1"/>
    <w:rsid w:val="3B976654"/>
    <w:rsid w:val="3BC01EFC"/>
    <w:rsid w:val="3BCA786A"/>
    <w:rsid w:val="3BD31E2F"/>
    <w:rsid w:val="3BE72A94"/>
    <w:rsid w:val="3BF15831"/>
    <w:rsid w:val="3C105946"/>
    <w:rsid w:val="3C1E4D5E"/>
    <w:rsid w:val="3C21415B"/>
    <w:rsid w:val="3C471448"/>
    <w:rsid w:val="3C5F759A"/>
    <w:rsid w:val="3C6C525A"/>
    <w:rsid w:val="3CBE7BFC"/>
    <w:rsid w:val="3CCE23CB"/>
    <w:rsid w:val="3CD17D17"/>
    <w:rsid w:val="3CF4186F"/>
    <w:rsid w:val="3CF90D80"/>
    <w:rsid w:val="3D197528"/>
    <w:rsid w:val="3D3C7F39"/>
    <w:rsid w:val="3D440F09"/>
    <w:rsid w:val="3D4504A0"/>
    <w:rsid w:val="3D4E0F7F"/>
    <w:rsid w:val="3D8175A7"/>
    <w:rsid w:val="3D8734BB"/>
    <w:rsid w:val="3D9A11D4"/>
    <w:rsid w:val="3DA16D89"/>
    <w:rsid w:val="3DA364BE"/>
    <w:rsid w:val="3DA43295"/>
    <w:rsid w:val="3DE041CB"/>
    <w:rsid w:val="3E0D48F6"/>
    <w:rsid w:val="3E1868B4"/>
    <w:rsid w:val="3E377251"/>
    <w:rsid w:val="3E42664B"/>
    <w:rsid w:val="3E5A7334"/>
    <w:rsid w:val="3E7B5D6B"/>
    <w:rsid w:val="3E843E66"/>
    <w:rsid w:val="3E8F51FE"/>
    <w:rsid w:val="3E926F87"/>
    <w:rsid w:val="3E9A59DE"/>
    <w:rsid w:val="3EAF4836"/>
    <w:rsid w:val="3EB23790"/>
    <w:rsid w:val="3EC33DFA"/>
    <w:rsid w:val="3EC3599D"/>
    <w:rsid w:val="3ECD2378"/>
    <w:rsid w:val="3EDE30BD"/>
    <w:rsid w:val="3F060E16"/>
    <w:rsid w:val="3F1D1096"/>
    <w:rsid w:val="3F2F0234"/>
    <w:rsid w:val="3F441DE9"/>
    <w:rsid w:val="3F6363FE"/>
    <w:rsid w:val="3F756B8F"/>
    <w:rsid w:val="3F7B0026"/>
    <w:rsid w:val="3F95482B"/>
    <w:rsid w:val="3F95733A"/>
    <w:rsid w:val="3F9D7F9C"/>
    <w:rsid w:val="3FA74741"/>
    <w:rsid w:val="3FB5178A"/>
    <w:rsid w:val="3FD636DE"/>
    <w:rsid w:val="3FFA0F4B"/>
    <w:rsid w:val="3FFD2F82"/>
    <w:rsid w:val="40061FE5"/>
    <w:rsid w:val="4019356B"/>
    <w:rsid w:val="401D43BA"/>
    <w:rsid w:val="40592157"/>
    <w:rsid w:val="406E1CAE"/>
    <w:rsid w:val="40736F4F"/>
    <w:rsid w:val="40A0133A"/>
    <w:rsid w:val="40C02A3F"/>
    <w:rsid w:val="40C31A53"/>
    <w:rsid w:val="40FF545D"/>
    <w:rsid w:val="410067C8"/>
    <w:rsid w:val="4105229D"/>
    <w:rsid w:val="4105404B"/>
    <w:rsid w:val="41566655"/>
    <w:rsid w:val="416176D3"/>
    <w:rsid w:val="41662ED0"/>
    <w:rsid w:val="416B7C26"/>
    <w:rsid w:val="418F0D2A"/>
    <w:rsid w:val="41A2189A"/>
    <w:rsid w:val="41D01505"/>
    <w:rsid w:val="42474939"/>
    <w:rsid w:val="424C3C57"/>
    <w:rsid w:val="42562684"/>
    <w:rsid w:val="42576B28"/>
    <w:rsid w:val="42613FF3"/>
    <w:rsid w:val="42660D96"/>
    <w:rsid w:val="42784CF1"/>
    <w:rsid w:val="428667D2"/>
    <w:rsid w:val="42BE0955"/>
    <w:rsid w:val="42CD1CE0"/>
    <w:rsid w:val="42E1381E"/>
    <w:rsid w:val="42ED6459"/>
    <w:rsid w:val="42FD2EC8"/>
    <w:rsid w:val="42FE58DD"/>
    <w:rsid w:val="43030A5E"/>
    <w:rsid w:val="43174B3D"/>
    <w:rsid w:val="434B790E"/>
    <w:rsid w:val="4360274F"/>
    <w:rsid w:val="436F1C50"/>
    <w:rsid w:val="43897B0A"/>
    <w:rsid w:val="43977AB6"/>
    <w:rsid w:val="43A3342B"/>
    <w:rsid w:val="43AF5C05"/>
    <w:rsid w:val="43C77C27"/>
    <w:rsid w:val="43DE09EE"/>
    <w:rsid w:val="43E048FB"/>
    <w:rsid w:val="43E77A38"/>
    <w:rsid w:val="44002FAD"/>
    <w:rsid w:val="441C37AA"/>
    <w:rsid w:val="448636F5"/>
    <w:rsid w:val="449101DD"/>
    <w:rsid w:val="44DE1391"/>
    <w:rsid w:val="450703F9"/>
    <w:rsid w:val="451B225C"/>
    <w:rsid w:val="45240818"/>
    <w:rsid w:val="452410C9"/>
    <w:rsid w:val="45317DFB"/>
    <w:rsid w:val="453A003B"/>
    <w:rsid w:val="456450B8"/>
    <w:rsid w:val="45667082"/>
    <w:rsid w:val="456D3CE4"/>
    <w:rsid w:val="4579042C"/>
    <w:rsid w:val="457F0571"/>
    <w:rsid w:val="45851176"/>
    <w:rsid w:val="45C55BC2"/>
    <w:rsid w:val="45C63B94"/>
    <w:rsid w:val="45F823D0"/>
    <w:rsid w:val="460E7DA5"/>
    <w:rsid w:val="46115240"/>
    <w:rsid w:val="462705C0"/>
    <w:rsid w:val="46422483"/>
    <w:rsid w:val="464D0671"/>
    <w:rsid w:val="4659254A"/>
    <w:rsid w:val="465B0637"/>
    <w:rsid w:val="465E3F0D"/>
    <w:rsid w:val="46690BD8"/>
    <w:rsid w:val="466A16E6"/>
    <w:rsid w:val="467E5AA7"/>
    <w:rsid w:val="46893F2B"/>
    <w:rsid w:val="469D2F78"/>
    <w:rsid w:val="46AD7694"/>
    <w:rsid w:val="46C444E6"/>
    <w:rsid w:val="46C4686E"/>
    <w:rsid w:val="46CE1383"/>
    <w:rsid w:val="46EB5A91"/>
    <w:rsid w:val="47174AD8"/>
    <w:rsid w:val="473311E6"/>
    <w:rsid w:val="473F628B"/>
    <w:rsid w:val="47705F96"/>
    <w:rsid w:val="477B778F"/>
    <w:rsid w:val="478163F5"/>
    <w:rsid w:val="478203EC"/>
    <w:rsid w:val="47B025FA"/>
    <w:rsid w:val="480212E4"/>
    <w:rsid w:val="4809698F"/>
    <w:rsid w:val="4811697D"/>
    <w:rsid w:val="48194880"/>
    <w:rsid w:val="481D611E"/>
    <w:rsid w:val="48345216"/>
    <w:rsid w:val="487A3E25"/>
    <w:rsid w:val="48855592"/>
    <w:rsid w:val="488B5503"/>
    <w:rsid w:val="48937E21"/>
    <w:rsid w:val="489A0361"/>
    <w:rsid w:val="48A8102D"/>
    <w:rsid w:val="48B60321"/>
    <w:rsid w:val="48B94FF3"/>
    <w:rsid w:val="48D22655"/>
    <w:rsid w:val="48E37AAB"/>
    <w:rsid w:val="48E409EA"/>
    <w:rsid w:val="48FD4B4C"/>
    <w:rsid w:val="49057251"/>
    <w:rsid w:val="490A68E0"/>
    <w:rsid w:val="491055FE"/>
    <w:rsid w:val="4916491B"/>
    <w:rsid w:val="49177011"/>
    <w:rsid w:val="49340F30"/>
    <w:rsid w:val="495F5B3E"/>
    <w:rsid w:val="496F77D7"/>
    <w:rsid w:val="497654FD"/>
    <w:rsid w:val="497D5973"/>
    <w:rsid w:val="49B44972"/>
    <w:rsid w:val="49B64211"/>
    <w:rsid w:val="49D41AAC"/>
    <w:rsid w:val="49EA0DD7"/>
    <w:rsid w:val="49F6167F"/>
    <w:rsid w:val="4A01737A"/>
    <w:rsid w:val="4A064FA0"/>
    <w:rsid w:val="4A1453F8"/>
    <w:rsid w:val="4A16615C"/>
    <w:rsid w:val="4A4424D7"/>
    <w:rsid w:val="4A600544"/>
    <w:rsid w:val="4AB82D0F"/>
    <w:rsid w:val="4AEB7664"/>
    <w:rsid w:val="4AFD7C19"/>
    <w:rsid w:val="4B0567D1"/>
    <w:rsid w:val="4B236AAE"/>
    <w:rsid w:val="4B2F799D"/>
    <w:rsid w:val="4B4B1041"/>
    <w:rsid w:val="4B707271"/>
    <w:rsid w:val="4B9739F7"/>
    <w:rsid w:val="4BAE52DF"/>
    <w:rsid w:val="4BDD5EBA"/>
    <w:rsid w:val="4BEE2503"/>
    <w:rsid w:val="4BF727EA"/>
    <w:rsid w:val="4C245A30"/>
    <w:rsid w:val="4CAB12DC"/>
    <w:rsid w:val="4CB6685F"/>
    <w:rsid w:val="4CC367FE"/>
    <w:rsid w:val="4CD945DE"/>
    <w:rsid w:val="4D07114B"/>
    <w:rsid w:val="4D077F3C"/>
    <w:rsid w:val="4D123355"/>
    <w:rsid w:val="4D2A3B31"/>
    <w:rsid w:val="4D312C52"/>
    <w:rsid w:val="4D5015E7"/>
    <w:rsid w:val="4D905305"/>
    <w:rsid w:val="4D964A72"/>
    <w:rsid w:val="4D9C1254"/>
    <w:rsid w:val="4D9E5B15"/>
    <w:rsid w:val="4E192EE4"/>
    <w:rsid w:val="4E4E7235"/>
    <w:rsid w:val="4E793892"/>
    <w:rsid w:val="4E800872"/>
    <w:rsid w:val="4E812EA2"/>
    <w:rsid w:val="4E8642F1"/>
    <w:rsid w:val="4EC569ED"/>
    <w:rsid w:val="4ED03995"/>
    <w:rsid w:val="4ED50EA1"/>
    <w:rsid w:val="4EEC050C"/>
    <w:rsid w:val="4F104EC3"/>
    <w:rsid w:val="4F11005F"/>
    <w:rsid w:val="4F47354A"/>
    <w:rsid w:val="4F911C54"/>
    <w:rsid w:val="4F980780"/>
    <w:rsid w:val="4FB7175B"/>
    <w:rsid w:val="4FC8387D"/>
    <w:rsid w:val="4FD26923"/>
    <w:rsid w:val="4FE625E0"/>
    <w:rsid w:val="4FFC5670"/>
    <w:rsid w:val="50102776"/>
    <w:rsid w:val="5021480F"/>
    <w:rsid w:val="503A5C56"/>
    <w:rsid w:val="505C301C"/>
    <w:rsid w:val="50962ECB"/>
    <w:rsid w:val="50A42E38"/>
    <w:rsid w:val="50A4577F"/>
    <w:rsid w:val="50B73D1F"/>
    <w:rsid w:val="50B909AE"/>
    <w:rsid w:val="50BD5BC9"/>
    <w:rsid w:val="50BE4216"/>
    <w:rsid w:val="50C11EEE"/>
    <w:rsid w:val="50DD469C"/>
    <w:rsid w:val="50E97CFC"/>
    <w:rsid w:val="50FA4028"/>
    <w:rsid w:val="510D65B7"/>
    <w:rsid w:val="511157AB"/>
    <w:rsid w:val="5142540C"/>
    <w:rsid w:val="514B3CFC"/>
    <w:rsid w:val="51782617"/>
    <w:rsid w:val="517C5E3E"/>
    <w:rsid w:val="518832C8"/>
    <w:rsid w:val="519D3C50"/>
    <w:rsid w:val="51A0432A"/>
    <w:rsid w:val="51A86090"/>
    <w:rsid w:val="51B03B5F"/>
    <w:rsid w:val="51B7396D"/>
    <w:rsid w:val="51C94C21"/>
    <w:rsid w:val="522E4CC3"/>
    <w:rsid w:val="5244713B"/>
    <w:rsid w:val="52615633"/>
    <w:rsid w:val="526F4DE4"/>
    <w:rsid w:val="52977FD4"/>
    <w:rsid w:val="529945F3"/>
    <w:rsid w:val="52A25790"/>
    <w:rsid w:val="52A96B6F"/>
    <w:rsid w:val="52B02D0D"/>
    <w:rsid w:val="52B45975"/>
    <w:rsid w:val="52BA1EAC"/>
    <w:rsid w:val="52D65847"/>
    <w:rsid w:val="52D94AA4"/>
    <w:rsid w:val="52E276A6"/>
    <w:rsid w:val="52E33AC0"/>
    <w:rsid w:val="52EA3A62"/>
    <w:rsid w:val="52F50BB8"/>
    <w:rsid w:val="53097272"/>
    <w:rsid w:val="530B5BF8"/>
    <w:rsid w:val="53332C9A"/>
    <w:rsid w:val="5343196D"/>
    <w:rsid w:val="534327B1"/>
    <w:rsid w:val="53493270"/>
    <w:rsid w:val="534C1537"/>
    <w:rsid w:val="53544462"/>
    <w:rsid w:val="5354676C"/>
    <w:rsid w:val="536E3CD2"/>
    <w:rsid w:val="5397158E"/>
    <w:rsid w:val="53D17DBD"/>
    <w:rsid w:val="53D578AD"/>
    <w:rsid w:val="53E325D5"/>
    <w:rsid w:val="54013861"/>
    <w:rsid w:val="54487265"/>
    <w:rsid w:val="544D6070"/>
    <w:rsid w:val="54605E1E"/>
    <w:rsid w:val="54B3506A"/>
    <w:rsid w:val="54CA0D16"/>
    <w:rsid w:val="54D45DB6"/>
    <w:rsid w:val="54DD4057"/>
    <w:rsid w:val="54E7490F"/>
    <w:rsid w:val="550764A4"/>
    <w:rsid w:val="550B2BF6"/>
    <w:rsid w:val="550C2FBA"/>
    <w:rsid w:val="55214EB5"/>
    <w:rsid w:val="55364EFD"/>
    <w:rsid w:val="555D4828"/>
    <w:rsid w:val="55614A55"/>
    <w:rsid w:val="55780FE1"/>
    <w:rsid w:val="557A4C8B"/>
    <w:rsid w:val="558931E1"/>
    <w:rsid w:val="55923347"/>
    <w:rsid w:val="55925180"/>
    <w:rsid w:val="55983B1B"/>
    <w:rsid w:val="55A8376B"/>
    <w:rsid w:val="55AB1085"/>
    <w:rsid w:val="55CA71B9"/>
    <w:rsid w:val="55DC29B6"/>
    <w:rsid w:val="55DD4241"/>
    <w:rsid w:val="55DE1FE5"/>
    <w:rsid w:val="55F01FA8"/>
    <w:rsid w:val="562B5EAA"/>
    <w:rsid w:val="56660C90"/>
    <w:rsid w:val="566969D2"/>
    <w:rsid w:val="566B6D1E"/>
    <w:rsid w:val="56E90D76"/>
    <w:rsid w:val="56FA587C"/>
    <w:rsid w:val="57032A2C"/>
    <w:rsid w:val="570F5219"/>
    <w:rsid w:val="572E78E5"/>
    <w:rsid w:val="57325016"/>
    <w:rsid w:val="57454D4A"/>
    <w:rsid w:val="575D12B5"/>
    <w:rsid w:val="57610A87"/>
    <w:rsid w:val="577B1140"/>
    <w:rsid w:val="577B7F21"/>
    <w:rsid w:val="577F181B"/>
    <w:rsid w:val="57921984"/>
    <w:rsid w:val="579737F0"/>
    <w:rsid w:val="57AB7B30"/>
    <w:rsid w:val="57AF5251"/>
    <w:rsid w:val="57B26373"/>
    <w:rsid w:val="57B27F05"/>
    <w:rsid w:val="57B63F04"/>
    <w:rsid w:val="57B974E6"/>
    <w:rsid w:val="57CD20C2"/>
    <w:rsid w:val="57D675AB"/>
    <w:rsid w:val="57D95FDD"/>
    <w:rsid w:val="580249E9"/>
    <w:rsid w:val="58704048"/>
    <w:rsid w:val="58917D2F"/>
    <w:rsid w:val="5894085C"/>
    <w:rsid w:val="58A9755A"/>
    <w:rsid w:val="58AE4F0C"/>
    <w:rsid w:val="58B85899"/>
    <w:rsid w:val="58E32A6C"/>
    <w:rsid w:val="58E363A9"/>
    <w:rsid w:val="591E264C"/>
    <w:rsid w:val="591F781C"/>
    <w:rsid w:val="5943350B"/>
    <w:rsid w:val="595E1678"/>
    <w:rsid w:val="596D5BD4"/>
    <w:rsid w:val="597E3DD8"/>
    <w:rsid w:val="599E4814"/>
    <w:rsid w:val="59AF294E"/>
    <w:rsid w:val="59C77C98"/>
    <w:rsid w:val="59CC52AE"/>
    <w:rsid w:val="59D6437F"/>
    <w:rsid w:val="59EB5444"/>
    <w:rsid w:val="59F80043"/>
    <w:rsid w:val="59FD5DAF"/>
    <w:rsid w:val="5A09252F"/>
    <w:rsid w:val="5A0B2778"/>
    <w:rsid w:val="5A2A7C7B"/>
    <w:rsid w:val="5A3E2560"/>
    <w:rsid w:val="5A5D3B6E"/>
    <w:rsid w:val="5A637A76"/>
    <w:rsid w:val="5A6D33BA"/>
    <w:rsid w:val="5A792B1F"/>
    <w:rsid w:val="5A874767"/>
    <w:rsid w:val="5A987886"/>
    <w:rsid w:val="5AA85BE2"/>
    <w:rsid w:val="5AAD6F28"/>
    <w:rsid w:val="5ABE2749"/>
    <w:rsid w:val="5AC65A51"/>
    <w:rsid w:val="5AD63A24"/>
    <w:rsid w:val="5AD703AE"/>
    <w:rsid w:val="5AE51A4D"/>
    <w:rsid w:val="5AFC7E15"/>
    <w:rsid w:val="5B1C04B7"/>
    <w:rsid w:val="5B2E1A1D"/>
    <w:rsid w:val="5B5A2D8E"/>
    <w:rsid w:val="5B843A1C"/>
    <w:rsid w:val="5B873E3F"/>
    <w:rsid w:val="5C02690E"/>
    <w:rsid w:val="5C196DA7"/>
    <w:rsid w:val="5C1D6295"/>
    <w:rsid w:val="5C2869E8"/>
    <w:rsid w:val="5C2A048C"/>
    <w:rsid w:val="5C4D2220"/>
    <w:rsid w:val="5C75188E"/>
    <w:rsid w:val="5C80234E"/>
    <w:rsid w:val="5C8A680C"/>
    <w:rsid w:val="5CA50038"/>
    <w:rsid w:val="5CBC5AAE"/>
    <w:rsid w:val="5D0C4701"/>
    <w:rsid w:val="5D0F0395"/>
    <w:rsid w:val="5D215911"/>
    <w:rsid w:val="5D221076"/>
    <w:rsid w:val="5D2C42B6"/>
    <w:rsid w:val="5D397964"/>
    <w:rsid w:val="5D4E5B48"/>
    <w:rsid w:val="5D5A391C"/>
    <w:rsid w:val="5D5F10C0"/>
    <w:rsid w:val="5D790E2F"/>
    <w:rsid w:val="5D850596"/>
    <w:rsid w:val="5D891B7B"/>
    <w:rsid w:val="5DAD38EE"/>
    <w:rsid w:val="5DBE5856"/>
    <w:rsid w:val="5DF748C4"/>
    <w:rsid w:val="5E006862"/>
    <w:rsid w:val="5E0207B9"/>
    <w:rsid w:val="5E1834A1"/>
    <w:rsid w:val="5E261785"/>
    <w:rsid w:val="5E4A7017"/>
    <w:rsid w:val="5E552BBA"/>
    <w:rsid w:val="5E611C10"/>
    <w:rsid w:val="5E7A0F3F"/>
    <w:rsid w:val="5E802B0B"/>
    <w:rsid w:val="5EF56553"/>
    <w:rsid w:val="5EFC7377"/>
    <w:rsid w:val="5F021772"/>
    <w:rsid w:val="5F06174D"/>
    <w:rsid w:val="5F3A3602"/>
    <w:rsid w:val="5F45733B"/>
    <w:rsid w:val="5F506981"/>
    <w:rsid w:val="5F5C3DEE"/>
    <w:rsid w:val="5F6277C6"/>
    <w:rsid w:val="5F6D0B1D"/>
    <w:rsid w:val="5F8D0B82"/>
    <w:rsid w:val="5F9C5723"/>
    <w:rsid w:val="5FB962D5"/>
    <w:rsid w:val="5FCC5339"/>
    <w:rsid w:val="5FE33BC5"/>
    <w:rsid w:val="5FE34A5B"/>
    <w:rsid w:val="5FFE1E36"/>
    <w:rsid w:val="60055D55"/>
    <w:rsid w:val="60190504"/>
    <w:rsid w:val="60232584"/>
    <w:rsid w:val="604F6C39"/>
    <w:rsid w:val="607330CE"/>
    <w:rsid w:val="60825176"/>
    <w:rsid w:val="609D5BF6"/>
    <w:rsid w:val="609F2AC4"/>
    <w:rsid w:val="60A725D1"/>
    <w:rsid w:val="60BC3A6F"/>
    <w:rsid w:val="60D1495A"/>
    <w:rsid w:val="60D62EB6"/>
    <w:rsid w:val="60E6759D"/>
    <w:rsid w:val="60FA2EE8"/>
    <w:rsid w:val="61030EA5"/>
    <w:rsid w:val="61054A27"/>
    <w:rsid w:val="610A52BC"/>
    <w:rsid w:val="610D059B"/>
    <w:rsid w:val="611112E5"/>
    <w:rsid w:val="611D2366"/>
    <w:rsid w:val="61421856"/>
    <w:rsid w:val="615227C4"/>
    <w:rsid w:val="61654E3F"/>
    <w:rsid w:val="61677FB2"/>
    <w:rsid w:val="61736957"/>
    <w:rsid w:val="6182292A"/>
    <w:rsid w:val="61996EEE"/>
    <w:rsid w:val="619F7F92"/>
    <w:rsid w:val="61F555BE"/>
    <w:rsid w:val="61F94C26"/>
    <w:rsid w:val="62000E56"/>
    <w:rsid w:val="624F3E49"/>
    <w:rsid w:val="62632286"/>
    <w:rsid w:val="62885958"/>
    <w:rsid w:val="62E30554"/>
    <w:rsid w:val="62F40B65"/>
    <w:rsid w:val="62FB30A8"/>
    <w:rsid w:val="62FC2CFE"/>
    <w:rsid w:val="63024505"/>
    <w:rsid w:val="63316ACA"/>
    <w:rsid w:val="635600A5"/>
    <w:rsid w:val="635B1DB5"/>
    <w:rsid w:val="63711FED"/>
    <w:rsid w:val="63880DDC"/>
    <w:rsid w:val="638D750D"/>
    <w:rsid w:val="63AC6CC0"/>
    <w:rsid w:val="63AE1EC8"/>
    <w:rsid w:val="63E7123E"/>
    <w:rsid w:val="63ED456D"/>
    <w:rsid w:val="63F23480"/>
    <w:rsid w:val="64055776"/>
    <w:rsid w:val="640B2E77"/>
    <w:rsid w:val="641B57B0"/>
    <w:rsid w:val="641F55E5"/>
    <w:rsid w:val="641F5B67"/>
    <w:rsid w:val="64240056"/>
    <w:rsid w:val="6430556D"/>
    <w:rsid w:val="643E143A"/>
    <w:rsid w:val="64491666"/>
    <w:rsid w:val="646627A3"/>
    <w:rsid w:val="646D58E0"/>
    <w:rsid w:val="648B6EEF"/>
    <w:rsid w:val="64C158BF"/>
    <w:rsid w:val="64C80D68"/>
    <w:rsid w:val="64CA2D32"/>
    <w:rsid w:val="64CE2EAA"/>
    <w:rsid w:val="653C3090"/>
    <w:rsid w:val="65854376"/>
    <w:rsid w:val="658767BE"/>
    <w:rsid w:val="65892531"/>
    <w:rsid w:val="65A83F96"/>
    <w:rsid w:val="65B85280"/>
    <w:rsid w:val="65CD0D2C"/>
    <w:rsid w:val="65E240AB"/>
    <w:rsid w:val="65E32645"/>
    <w:rsid w:val="65EB11B2"/>
    <w:rsid w:val="66071FC5"/>
    <w:rsid w:val="66171FA7"/>
    <w:rsid w:val="66195831"/>
    <w:rsid w:val="662E75B1"/>
    <w:rsid w:val="66304E17"/>
    <w:rsid w:val="66342C2E"/>
    <w:rsid w:val="663E784C"/>
    <w:rsid w:val="666D1BC7"/>
    <w:rsid w:val="668B6A45"/>
    <w:rsid w:val="66DE0D17"/>
    <w:rsid w:val="67112C4A"/>
    <w:rsid w:val="672F3F24"/>
    <w:rsid w:val="673E055F"/>
    <w:rsid w:val="67551CE3"/>
    <w:rsid w:val="677F74D6"/>
    <w:rsid w:val="67825B46"/>
    <w:rsid w:val="67A22552"/>
    <w:rsid w:val="67B22DCC"/>
    <w:rsid w:val="67BE71AA"/>
    <w:rsid w:val="67CF7323"/>
    <w:rsid w:val="67D90273"/>
    <w:rsid w:val="67DE5875"/>
    <w:rsid w:val="67E55852"/>
    <w:rsid w:val="67EB1AB4"/>
    <w:rsid w:val="67FA1285"/>
    <w:rsid w:val="67FD341E"/>
    <w:rsid w:val="68551F4F"/>
    <w:rsid w:val="685C0145"/>
    <w:rsid w:val="687C10C9"/>
    <w:rsid w:val="68840C16"/>
    <w:rsid w:val="68876EFB"/>
    <w:rsid w:val="68884654"/>
    <w:rsid w:val="689F444F"/>
    <w:rsid w:val="68A57C30"/>
    <w:rsid w:val="68B96DBB"/>
    <w:rsid w:val="68CA2805"/>
    <w:rsid w:val="68D777CC"/>
    <w:rsid w:val="68DE6DAC"/>
    <w:rsid w:val="68E937A3"/>
    <w:rsid w:val="68FB149A"/>
    <w:rsid w:val="69076303"/>
    <w:rsid w:val="693E15D3"/>
    <w:rsid w:val="694D4B6B"/>
    <w:rsid w:val="695F613F"/>
    <w:rsid w:val="69627681"/>
    <w:rsid w:val="6977531D"/>
    <w:rsid w:val="69B31FE7"/>
    <w:rsid w:val="69CC2BFF"/>
    <w:rsid w:val="69E62F55"/>
    <w:rsid w:val="69F50851"/>
    <w:rsid w:val="69FD55B8"/>
    <w:rsid w:val="6A0B1C62"/>
    <w:rsid w:val="6A2406C8"/>
    <w:rsid w:val="6A400097"/>
    <w:rsid w:val="6A5A6906"/>
    <w:rsid w:val="6A843983"/>
    <w:rsid w:val="6A8C75A6"/>
    <w:rsid w:val="6A9A1ADF"/>
    <w:rsid w:val="6ADE0BD1"/>
    <w:rsid w:val="6AE81378"/>
    <w:rsid w:val="6AE96859"/>
    <w:rsid w:val="6B147746"/>
    <w:rsid w:val="6B24787C"/>
    <w:rsid w:val="6B573233"/>
    <w:rsid w:val="6B5B6274"/>
    <w:rsid w:val="6B7B2FD8"/>
    <w:rsid w:val="6B935D53"/>
    <w:rsid w:val="6BC73B27"/>
    <w:rsid w:val="6BD83F86"/>
    <w:rsid w:val="6C1316F7"/>
    <w:rsid w:val="6C196F71"/>
    <w:rsid w:val="6C226FCB"/>
    <w:rsid w:val="6C2B2308"/>
    <w:rsid w:val="6C2E3BA6"/>
    <w:rsid w:val="6C31226F"/>
    <w:rsid w:val="6C517EC7"/>
    <w:rsid w:val="6C552F0B"/>
    <w:rsid w:val="6C8163CC"/>
    <w:rsid w:val="6C8C67B7"/>
    <w:rsid w:val="6C995835"/>
    <w:rsid w:val="6C9A56E0"/>
    <w:rsid w:val="6C9D744C"/>
    <w:rsid w:val="6D167928"/>
    <w:rsid w:val="6D26299B"/>
    <w:rsid w:val="6D4772EC"/>
    <w:rsid w:val="6D761CA9"/>
    <w:rsid w:val="6D9078AF"/>
    <w:rsid w:val="6DAA3FEF"/>
    <w:rsid w:val="6DC0172B"/>
    <w:rsid w:val="6DCB690C"/>
    <w:rsid w:val="6DD41A5B"/>
    <w:rsid w:val="6DF43C2E"/>
    <w:rsid w:val="6DF51CA3"/>
    <w:rsid w:val="6E25722B"/>
    <w:rsid w:val="6E407BC1"/>
    <w:rsid w:val="6E8335BD"/>
    <w:rsid w:val="6E8E12EF"/>
    <w:rsid w:val="6E972936"/>
    <w:rsid w:val="6E9D3265"/>
    <w:rsid w:val="6EA96CEF"/>
    <w:rsid w:val="6EAD6A9A"/>
    <w:rsid w:val="6ED446C5"/>
    <w:rsid w:val="6EEF4BD1"/>
    <w:rsid w:val="6EFE525C"/>
    <w:rsid w:val="6F2A7D94"/>
    <w:rsid w:val="6F5E1AE9"/>
    <w:rsid w:val="6F8331F1"/>
    <w:rsid w:val="6FA83C70"/>
    <w:rsid w:val="6FAE1A09"/>
    <w:rsid w:val="6FB97C2B"/>
    <w:rsid w:val="6FD75A57"/>
    <w:rsid w:val="6FD75BF8"/>
    <w:rsid w:val="6FF375E1"/>
    <w:rsid w:val="7055204A"/>
    <w:rsid w:val="707723D0"/>
    <w:rsid w:val="70B12FF8"/>
    <w:rsid w:val="70D50A94"/>
    <w:rsid w:val="70DC62C7"/>
    <w:rsid w:val="70F5661B"/>
    <w:rsid w:val="7104581E"/>
    <w:rsid w:val="71111105"/>
    <w:rsid w:val="71360107"/>
    <w:rsid w:val="713B688E"/>
    <w:rsid w:val="7148279F"/>
    <w:rsid w:val="71D43752"/>
    <w:rsid w:val="71F1796A"/>
    <w:rsid w:val="71FB63D5"/>
    <w:rsid w:val="720A6E64"/>
    <w:rsid w:val="72154626"/>
    <w:rsid w:val="7218332F"/>
    <w:rsid w:val="72262B5D"/>
    <w:rsid w:val="72283FF7"/>
    <w:rsid w:val="722E7212"/>
    <w:rsid w:val="723A0474"/>
    <w:rsid w:val="725923E4"/>
    <w:rsid w:val="72693B8A"/>
    <w:rsid w:val="72864BF7"/>
    <w:rsid w:val="729023FC"/>
    <w:rsid w:val="72AF5315"/>
    <w:rsid w:val="72D134DE"/>
    <w:rsid w:val="734927BA"/>
    <w:rsid w:val="734B3290"/>
    <w:rsid w:val="73A0182E"/>
    <w:rsid w:val="73A330CC"/>
    <w:rsid w:val="73C0646E"/>
    <w:rsid w:val="742222F5"/>
    <w:rsid w:val="74476126"/>
    <w:rsid w:val="74706664"/>
    <w:rsid w:val="747F3682"/>
    <w:rsid w:val="749C4185"/>
    <w:rsid w:val="74C33FC1"/>
    <w:rsid w:val="75067759"/>
    <w:rsid w:val="75271ADB"/>
    <w:rsid w:val="752E6DCD"/>
    <w:rsid w:val="753164B5"/>
    <w:rsid w:val="75422471"/>
    <w:rsid w:val="7551380D"/>
    <w:rsid w:val="755D394A"/>
    <w:rsid w:val="75600BE5"/>
    <w:rsid w:val="7564475C"/>
    <w:rsid w:val="7583797F"/>
    <w:rsid w:val="759C3F7C"/>
    <w:rsid w:val="75D20F1D"/>
    <w:rsid w:val="75DA2C18"/>
    <w:rsid w:val="75E023B5"/>
    <w:rsid w:val="75F54412"/>
    <w:rsid w:val="760164FE"/>
    <w:rsid w:val="76116A13"/>
    <w:rsid w:val="761D08E0"/>
    <w:rsid w:val="761F12DE"/>
    <w:rsid w:val="762027B2"/>
    <w:rsid w:val="7630676D"/>
    <w:rsid w:val="764D5571"/>
    <w:rsid w:val="765D347C"/>
    <w:rsid w:val="76677F73"/>
    <w:rsid w:val="76740D50"/>
    <w:rsid w:val="767D6717"/>
    <w:rsid w:val="768216BE"/>
    <w:rsid w:val="7682521B"/>
    <w:rsid w:val="76826699"/>
    <w:rsid w:val="76C770D1"/>
    <w:rsid w:val="76C87133"/>
    <w:rsid w:val="76CD08D5"/>
    <w:rsid w:val="76DB4B92"/>
    <w:rsid w:val="77052AA4"/>
    <w:rsid w:val="77136511"/>
    <w:rsid w:val="77340A39"/>
    <w:rsid w:val="77351FD0"/>
    <w:rsid w:val="77472422"/>
    <w:rsid w:val="776E39F1"/>
    <w:rsid w:val="777F31F2"/>
    <w:rsid w:val="77B91110"/>
    <w:rsid w:val="77D1700D"/>
    <w:rsid w:val="77EC04CC"/>
    <w:rsid w:val="78034139"/>
    <w:rsid w:val="781A76D5"/>
    <w:rsid w:val="7831514A"/>
    <w:rsid w:val="784B5110"/>
    <w:rsid w:val="785D5F3F"/>
    <w:rsid w:val="78775729"/>
    <w:rsid w:val="789C4ED1"/>
    <w:rsid w:val="78A42DB0"/>
    <w:rsid w:val="78A656AB"/>
    <w:rsid w:val="78AB23A6"/>
    <w:rsid w:val="78AC5326"/>
    <w:rsid w:val="78B2245C"/>
    <w:rsid w:val="78E172CC"/>
    <w:rsid w:val="78EA1D1F"/>
    <w:rsid w:val="79036DC3"/>
    <w:rsid w:val="7904172F"/>
    <w:rsid w:val="79052133"/>
    <w:rsid w:val="790F7E27"/>
    <w:rsid w:val="792A231A"/>
    <w:rsid w:val="79316829"/>
    <w:rsid w:val="793F5CD5"/>
    <w:rsid w:val="79534C4C"/>
    <w:rsid w:val="797E66A9"/>
    <w:rsid w:val="798518A4"/>
    <w:rsid w:val="79905EA0"/>
    <w:rsid w:val="79A97383"/>
    <w:rsid w:val="79CE69C9"/>
    <w:rsid w:val="79E27E8B"/>
    <w:rsid w:val="79EE2BC7"/>
    <w:rsid w:val="79F850CE"/>
    <w:rsid w:val="79FA6271"/>
    <w:rsid w:val="79FD443C"/>
    <w:rsid w:val="7A081EDB"/>
    <w:rsid w:val="7A1563A6"/>
    <w:rsid w:val="7A1D1975"/>
    <w:rsid w:val="7A3E5150"/>
    <w:rsid w:val="7A4670D6"/>
    <w:rsid w:val="7A534B63"/>
    <w:rsid w:val="7A615382"/>
    <w:rsid w:val="7A67303B"/>
    <w:rsid w:val="7A951295"/>
    <w:rsid w:val="7AAB1D04"/>
    <w:rsid w:val="7ABA4368"/>
    <w:rsid w:val="7AD05746"/>
    <w:rsid w:val="7B0E1773"/>
    <w:rsid w:val="7B257FFD"/>
    <w:rsid w:val="7B343476"/>
    <w:rsid w:val="7B4D0D00"/>
    <w:rsid w:val="7B5A2978"/>
    <w:rsid w:val="7B5A7E4C"/>
    <w:rsid w:val="7B667AF9"/>
    <w:rsid w:val="7B7468F8"/>
    <w:rsid w:val="7B971768"/>
    <w:rsid w:val="7BEE0103"/>
    <w:rsid w:val="7C030BAC"/>
    <w:rsid w:val="7C0A0FE4"/>
    <w:rsid w:val="7C127041"/>
    <w:rsid w:val="7C254906"/>
    <w:rsid w:val="7C590818"/>
    <w:rsid w:val="7C7C10F6"/>
    <w:rsid w:val="7C853BEA"/>
    <w:rsid w:val="7C881368"/>
    <w:rsid w:val="7C9712F4"/>
    <w:rsid w:val="7CB464C2"/>
    <w:rsid w:val="7CD564F7"/>
    <w:rsid w:val="7CD9190C"/>
    <w:rsid w:val="7CE27788"/>
    <w:rsid w:val="7D0C32F1"/>
    <w:rsid w:val="7D0F408D"/>
    <w:rsid w:val="7D3B6123"/>
    <w:rsid w:val="7D491C6C"/>
    <w:rsid w:val="7D5429C0"/>
    <w:rsid w:val="7D6E6D43"/>
    <w:rsid w:val="7D8775AD"/>
    <w:rsid w:val="7DB57A34"/>
    <w:rsid w:val="7DE60973"/>
    <w:rsid w:val="7DEF0916"/>
    <w:rsid w:val="7E1E5218"/>
    <w:rsid w:val="7E2D63B4"/>
    <w:rsid w:val="7E6C679B"/>
    <w:rsid w:val="7E723DC7"/>
    <w:rsid w:val="7E803351"/>
    <w:rsid w:val="7E834226"/>
    <w:rsid w:val="7E9A4E1F"/>
    <w:rsid w:val="7EA7723A"/>
    <w:rsid w:val="7EF56FBB"/>
    <w:rsid w:val="7EFB0260"/>
    <w:rsid w:val="7F054C3B"/>
    <w:rsid w:val="7F0768EB"/>
    <w:rsid w:val="7F143BEC"/>
    <w:rsid w:val="7F362021"/>
    <w:rsid w:val="7F482D79"/>
    <w:rsid w:val="7F6A0F42"/>
    <w:rsid w:val="7F715AF2"/>
    <w:rsid w:val="7F7B47F9"/>
    <w:rsid w:val="7F886E69"/>
    <w:rsid w:val="7FCA19E0"/>
    <w:rsid w:val="7FDF36DE"/>
    <w:rsid w:val="BB7FA927"/>
    <w:rsid w:val="EFF72F48"/>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2"/>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8"/>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9"/>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next w:val="1"/>
    <w:link w:val="262"/>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78"/>
    <w:autoRedefine/>
    <w:qFormat/>
    <w:uiPriority w:val="0"/>
    <w:pPr>
      <w:ind w:left="100" w:leftChars="2500"/>
    </w:pPr>
    <w:rPr>
      <w:rFonts w:ascii="宋体"/>
      <w:sz w:val="24"/>
      <w:szCs w:val="21"/>
      <w:lang w:val="zh-CN"/>
    </w:rPr>
  </w:style>
  <w:style w:type="paragraph" w:styleId="38">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29"/>
    <w:autoRedefine/>
    <w:qFormat/>
    <w:uiPriority w:val="0"/>
    <w:rPr>
      <w:lang w:val="zh-CN"/>
    </w:rPr>
  </w:style>
  <w:style w:type="paragraph" w:styleId="40">
    <w:name w:val="Balloon Text"/>
    <w:basedOn w:val="1"/>
    <w:link w:val="185"/>
    <w:autoRedefine/>
    <w:qFormat/>
    <w:uiPriority w:val="0"/>
    <w:rPr>
      <w:sz w:val="18"/>
      <w:szCs w:val="18"/>
    </w:rPr>
  </w:style>
  <w:style w:type="paragraph" w:styleId="41">
    <w:name w:val="footer"/>
    <w:basedOn w:val="1"/>
    <w:link w:val="381"/>
    <w:autoRedefine/>
    <w:qFormat/>
    <w:uiPriority w:val="99"/>
    <w:pPr>
      <w:tabs>
        <w:tab w:val="center" w:pos="4153"/>
        <w:tab w:val="right" w:pos="8306"/>
      </w:tabs>
      <w:snapToGrid w:val="0"/>
      <w:jc w:val="left"/>
    </w:pPr>
    <w:rPr>
      <w:sz w:val="18"/>
      <w:szCs w:val="18"/>
    </w:rPr>
  </w:style>
  <w:style w:type="paragraph" w:styleId="42">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299"/>
    <w:autoRedefine/>
    <w:qFormat/>
    <w:uiPriority w:val="0"/>
    <w:pPr>
      <w:spacing w:after="120" w:line="480" w:lineRule="auto"/>
    </w:pPr>
  </w:style>
  <w:style w:type="paragraph" w:styleId="57">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autoRedefine/>
    <w:qFormat/>
    <w:uiPriority w:val="0"/>
    <w:rPr>
      <w:b/>
      <w:bCs/>
    </w:rPr>
  </w:style>
  <w:style w:type="paragraph" w:styleId="61">
    <w:name w:val="Body Text First Indent 2"/>
    <w:basedOn w:val="26"/>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60"/>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8"/>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Char"/>
    <w:link w:val="8"/>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3"/>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7"/>
    <w:autoRedefine/>
    <w:qFormat/>
    <w:uiPriority w:val="0"/>
    <w:rPr>
      <w:rFonts w:ascii="宋体"/>
      <w:kern w:val="2"/>
      <w:sz w:val="24"/>
      <w:szCs w:val="21"/>
      <w:lang w:val="zh-CN"/>
    </w:rPr>
  </w:style>
  <w:style w:type="character" w:customStyle="1" w:styleId="179">
    <w:name w:val="标题 9 Char"/>
    <w:link w:val="11"/>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Char"/>
    <w:link w:val="40"/>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Char1"/>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Char"/>
    <w:link w:val="31"/>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6"/>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5">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26"/>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2"/>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59"/>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7"/>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7"/>
    <w:autoRedefine/>
    <w:qFormat/>
    <w:uiPriority w:val="0"/>
    <w:rPr>
      <w:rFonts w:ascii="黑体" w:hAnsi="Courier New" w:eastAsia="黑体"/>
    </w:rPr>
  </w:style>
  <w:style w:type="character" w:customStyle="1" w:styleId="299">
    <w:name w:val="正文文本 2 Char1"/>
    <w:link w:val="56"/>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6"/>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9"/>
    <w:autoRedefine/>
    <w:qFormat/>
    <w:uiPriority w:val="0"/>
    <w:rPr>
      <w:b/>
      <w:bCs/>
      <w:kern w:val="2"/>
      <w:sz w:val="24"/>
      <w:szCs w:val="24"/>
    </w:rPr>
  </w:style>
  <w:style w:type="character" w:customStyle="1" w:styleId="305">
    <w:name w:val="正文文本缩进 2 Char"/>
    <w:link w:val="38"/>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51"/>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318"/>
    <w:next w:val="1"/>
    <w:link w:val="316"/>
    <w:autoRedefine/>
    <w:qFormat/>
    <w:uiPriority w:val="0"/>
    <w:pPr>
      <w:tabs>
        <w:tab w:val="right" w:leader="dot" w:pos="8268"/>
      </w:tabs>
      <w:adjustRightInd/>
    </w:pPr>
    <w:rPr>
      <w:rFonts w:ascii="宋体"/>
      <w:kern w:val="0"/>
      <w:sz w:val="20"/>
      <w:szCs w:val="20"/>
    </w:rPr>
  </w:style>
  <w:style w:type="paragraph" w:customStyle="1" w:styleId="318">
    <w:name w:val="正文1"/>
    <w:basedOn w:val="33"/>
    <w:autoRedefine/>
    <w:qFormat/>
    <w:uiPriority w:val="0"/>
    <w:pPr>
      <w:ind w:left="0" w:leftChars="0" w:firstLine="480" w:firstLineChars="200"/>
    </w:pPr>
    <w:rPr>
      <w:rFonts w:ascii="仿宋_GB2312" w:hAnsi="Courier New" w:eastAsia="仿宋_GB2312"/>
      <w:kern w:val="28"/>
      <w:sz w:val="24"/>
    </w:rPr>
  </w:style>
  <w:style w:type="character" w:customStyle="1" w:styleId="319">
    <w:name w:val="正文首行缩进 Char"/>
    <w:link w:val="24"/>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6"/>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1"/>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autoRedefine/>
    <w:qFormat/>
    <w:uiPriority w:val="99"/>
    <w:rPr>
      <w:kern w:val="2"/>
      <w:sz w:val="21"/>
      <w:szCs w:val="24"/>
    </w:rPr>
  </w:style>
  <w:style w:type="character" w:customStyle="1" w:styleId="343">
    <w:name w:val="签名 Char"/>
    <w:link w:val="43"/>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1"/>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2"/>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5"/>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69"/>
    <w:autoRedefine/>
    <w:qFormat/>
    <w:uiPriority w:val="0"/>
    <w:rPr>
      <w:rFonts w:ascii="Arial" w:hAnsi="Arial" w:eastAsia="黑体" w:cs="Arial"/>
      <w:snapToGrid w:val="0"/>
      <w:kern w:val="0"/>
      <w:szCs w:val="21"/>
    </w:rPr>
  </w:style>
  <w:style w:type="character" w:customStyle="1" w:styleId="430">
    <w:name w:val="hui"/>
    <w:basedOn w:val="69"/>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outlineLvl w:val="5"/>
    </w:pPr>
  </w:style>
  <w:style w:type="paragraph" w:customStyle="1" w:styleId="472">
    <w:name w:val="5级标题"/>
    <w:basedOn w:val="473"/>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无间隔2"/>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4"/>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7"/>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2"/>
    <w:next w:val="232"/>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2"/>
    <w:next w:val="232"/>
    <w:autoRedefine/>
    <w:qFormat/>
    <w:uiPriority w:val="0"/>
    <w:rPr>
      <w:rFonts w:ascii="宋体" w:eastAsia="宋体" w:cs="Times New Roman"/>
      <w:color w:val="auto"/>
    </w:rPr>
  </w:style>
  <w:style w:type="paragraph" w:customStyle="1" w:styleId="548">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2"/>
    <w:autoRedefine/>
    <w:qFormat/>
    <w:uiPriority w:val="0"/>
    <w:pPr>
      <w:tabs>
        <w:tab w:val="left" w:pos="840"/>
      </w:tabs>
      <w:adjustRightInd/>
      <w:ind w:left="840" w:hanging="420"/>
    </w:pPr>
  </w:style>
  <w:style w:type="paragraph" w:customStyle="1" w:styleId="62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Lines="0" w:afterLines="0"/>
      <w:ind w:left="1680"/>
      <w:outlineLvl w:val="2"/>
    </w:pPr>
  </w:style>
  <w:style w:type="paragraph" w:customStyle="1" w:styleId="656">
    <w:name w:val="章标题"/>
    <w:next w:val="638"/>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8">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8"/>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autoRedefine/>
    <w:qFormat/>
    <w:uiPriority w:val="0"/>
    <w:pPr>
      <w:tabs>
        <w:tab w:val="left" w:pos="1080"/>
      </w:tabs>
      <w:ind w:left="1080" w:hanging="1080"/>
    </w:pPr>
  </w:style>
  <w:style w:type="paragraph" w:customStyle="1" w:styleId="894">
    <w:name w:val="数字标题1"/>
    <w:basedOn w:val="2"/>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9"/>
    <w:autoRedefine/>
    <w:qFormat/>
    <w:uiPriority w:val="0"/>
    <w:rPr>
      <w:kern w:val="2"/>
      <w:sz w:val="21"/>
      <w:szCs w:val="24"/>
      <w:lang w:val="zh-CN"/>
    </w:rPr>
  </w:style>
  <w:style w:type="character" w:customStyle="1" w:styleId="930">
    <w:name w:val="无间隔 字符"/>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样式 标题 2 + Times New Roman 四号 非加粗 段前: 5 磅 段后: 0 磅 行距: 固定值 20..."/>
    <w:basedOn w:val="3"/>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2">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91</Pages>
  <Words>27787</Words>
  <Characters>29231</Characters>
  <Lines>369</Lines>
  <Paragraphs>103</Paragraphs>
  <TotalTime>1</TotalTime>
  <ScaleCrop>false</ScaleCrop>
  <LinksUpToDate>false</LinksUpToDate>
  <CharactersWithSpaces>29811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韩紫君</cp:lastModifiedBy>
  <cp:lastPrinted>2021-12-27T11:06:00Z</cp:lastPrinted>
  <dcterms:modified xsi:type="dcterms:W3CDTF">2025-01-26T06:32:03Z</dcterms:modified>
  <dc:title>杭州市市民卡扩大发卡工程</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C5249113FF694107A6C02CC0E14D114C_13</vt:lpwstr>
  </property>
  <property fmtid="{D5CDD505-2E9C-101B-9397-08002B2CF9AE}" pid="5" name="commondata">
    <vt:lpwstr>eyJoZGlkIjoiNGNlMmFkMDQ1NDY0ZmRiM2Q0NjY4NTFjN2IwMTllYjMifQ==</vt:lpwstr>
  </property>
  <property fmtid="{D5CDD505-2E9C-101B-9397-08002B2CF9AE}" pid="6" name="KSOTemplateDocerSaveRecord">
    <vt:lpwstr>eyJoZGlkIjoiZDU4OGRjNWJkNDFlMzJhN2NkYzAzODU3YWMxODY3MjIiLCJ1c2VySWQiOiIyNzI5NTg2ODAifQ==</vt:lpwstr>
  </property>
</Properties>
</file>