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adjustRightInd/>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b/>
          <w:color w:val="auto"/>
          <w:sz w:val="44"/>
          <w:szCs w:val="44"/>
        </w:rPr>
      </w:pPr>
    </w:p>
    <w:p>
      <w:pPr>
        <w:adjustRightInd/>
        <w:spacing w:line="360" w:lineRule="auto"/>
        <w:jc w:val="center"/>
        <w:rPr>
          <w:rFonts w:hint="eastAsia" w:ascii="宋体" w:hAnsi="宋体" w:eastAsia="宋体" w:cs="宋体"/>
          <w:b/>
          <w:color w:val="auto"/>
          <w:sz w:val="48"/>
          <w:szCs w:val="48"/>
        </w:rPr>
      </w:pPr>
    </w:p>
    <w:p>
      <w:pPr>
        <w:adjustRightInd/>
        <w:spacing w:line="360" w:lineRule="auto"/>
        <w:jc w:val="center"/>
        <w:rPr>
          <w:rFonts w:hint="eastAsia" w:ascii="宋体" w:hAnsi="宋体" w:eastAsia="宋体" w:cs="宋体"/>
          <w:color w:val="auto"/>
          <w:sz w:val="48"/>
          <w:szCs w:val="48"/>
          <w:lang w:eastAsia="zh-CN"/>
        </w:rPr>
      </w:pPr>
      <w:r>
        <w:rPr>
          <w:rFonts w:hint="eastAsia" w:ascii="宋体" w:hAnsi="宋体" w:eastAsia="宋体" w:cs="宋体"/>
          <w:color w:val="auto"/>
          <w:spacing w:val="-23"/>
          <w:w w:val="99"/>
          <w:sz w:val="48"/>
          <w:szCs w:val="48"/>
          <w:lang w:eastAsia="zh-CN"/>
        </w:rPr>
        <w:t>杭州图书馆2024年度</w:t>
      </w:r>
      <w:r>
        <w:rPr>
          <w:rFonts w:hint="eastAsia" w:ascii="宋体" w:hAnsi="宋体" w:cs="宋体"/>
          <w:color w:val="auto"/>
          <w:spacing w:val="-23"/>
          <w:w w:val="99"/>
          <w:sz w:val="48"/>
          <w:szCs w:val="48"/>
          <w:lang w:eastAsia="zh-CN"/>
        </w:rPr>
        <w:t>中文图书（人文类、艺术类、财经类、文学类、科技类、生活类）</w:t>
      </w:r>
      <w:r>
        <w:rPr>
          <w:rFonts w:hint="eastAsia" w:ascii="宋体" w:hAnsi="宋体" w:eastAsia="宋体" w:cs="宋体"/>
          <w:color w:val="auto"/>
          <w:spacing w:val="-23"/>
          <w:w w:val="99"/>
          <w:sz w:val="48"/>
          <w:szCs w:val="48"/>
          <w:lang w:eastAsia="zh-CN"/>
        </w:rPr>
        <w:t>采购项目</w:t>
      </w:r>
    </w:p>
    <w:p>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pPr>
        <w:snapToGrid w:val="0"/>
        <w:spacing w:line="360" w:lineRule="auto"/>
        <w:jc w:val="center"/>
        <w:rPr>
          <w:rFonts w:hint="eastAsia" w:ascii="宋体" w:hAnsi="宋体" w:eastAsia="宋体" w:cs="宋体"/>
          <w:color w:val="auto"/>
          <w:sz w:val="30"/>
          <w:szCs w:val="30"/>
          <w:lang w:eastAsia="zh-CN"/>
        </w:rPr>
      </w:pPr>
      <w:r>
        <w:rPr>
          <w:rFonts w:hint="eastAsia" w:ascii="宋体" w:hAnsi="宋体" w:eastAsia="宋体" w:cs="宋体"/>
          <w:color w:val="auto"/>
          <w:sz w:val="30"/>
          <w:szCs w:val="30"/>
        </w:rPr>
        <w:t>编号:</w:t>
      </w:r>
      <w:r>
        <w:rPr>
          <w:rFonts w:hint="eastAsia" w:ascii="宋体" w:hAnsi="宋体" w:cs="宋体"/>
          <w:color w:val="auto"/>
          <w:sz w:val="30"/>
          <w:szCs w:val="30"/>
          <w:lang w:eastAsia="zh-CN"/>
        </w:rPr>
        <w:t>DFJW2024-SC-013</w:t>
      </w:r>
    </w:p>
    <w:p>
      <w:pPr>
        <w:adjustRightInd/>
        <w:spacing w:line="360" w:lineRule="auto"/>
        <w:rPr>
          <w:rFonts w:hint="eastAsia" w:ascii="宋体" w:hAnsi="宋体" w:eastAsia="宋体" w:cs="宋体"/>
          <w:color w:val="auto"/>
          <w:sz w:val="28"/>
          <w:szCs w:val="20"/>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pPr>
        <w:spacing w:line="360" w:lineRule="auto"/>
        <w:jc w:val="center"/>
        <w:rPr>
          <w:rFonts w:hint="eastAsia" w:ascii="宋体" w:hAnsi="宋体" w:eastAsia="宋体" w:cs="宋体"/>
          <w:b/>
          <w:color w:val="auto"/>
          <w:sz w:val="44"/>
          <w:szCs w:val="44"/>
        </w:rPr>
      </w:pPr>
    </w:p>
    <w:p>
      <w:pPr>
        <w:spacing w:line="360" w:lineRule="auto"/>
        <w:jc w:val="center"/>
        <w:rPr>
          <w:rFonts w:hint="eastAsia" w:ascii="宋体" w:hAnsi="宋体" w:eastAsia="宋体" w:cs="宋体"/>
          <w:color w:val="auto"/>
          <w:sz w:val="24"/>
        </w:rPr>
      </w:pPr>
    </w:p>
    <w:p>
      <w:pPr>
        <w:spacing w:line="360" w:lineRule="auto"/>
        <w:rPr>
          <w:rFonts w:hint="eastAsia" w:ascii="宋体" w:hAnsi="宋体" w:eastAsia="宋体" w:cs="宋体"/>
          <w:color w:val="auto"/>
          <w:sz w:val="32"/>
          <w:szCs w:val="32"/>
        </w:rPr>
      </w:pPr>
    </w:p>
    <w:p>
      <w:pPr>
        <w:snapToGrid w:val="0"/>
        <w:spacing w:line="360" w:lineRule="auto"/>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杭州图书馆</w:t>
      </w:r>
    </w:p>
    <w:p>
      <w:pPr>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东方经纬项目管理有限公司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十三</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br w:type="page"/>
      </w:r>
      <w:bookmarkStart w:id="0" w:name="_Hlt67893495"/>
      <w:bookmarkEnd w:id="0"/>
    </w:p>
    <w:p>
      <w:pPr>
        <w:spacing w:line="360" w:lineRule="auto"/>
        <w:jc w:val="center"/>
        <w:rPr>
          <w:rFonts w:hint="eastAsia" w:ascii="宋体" w:hAnsi="宋体" w:eastAsia="宋体" w:cs="宋体"/>
          <w:color w:val="auto"/>
          <w:sz w:val="24"/>
        </w:rPr>
      </w:pPr>
    </w:p>
    <w:p>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pPr>
        <w:spacing w:line="360" w:lineRule="auto"/>
        <w:ind w:firstLine="549" w:firstLineChars="229"/>
        <w:rPr>
          <w:rFonts w:hint="eastAsia" w:ascii="宋体" w:hAnsi="宋体" w:eastAsia="宋体" w:cs="宋体"/>
          <w:color w:val="auto"/>
          <w:sz w:val="24"/>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ind w:firstLine="549" w:firstLineChars="229"/>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adjustRightInd/>
        <w:spacing w:line="360" w:lineRule="auto"/>
        <w:jc w:val="center"/>
        <w:outlineLvl w:val="0"/>
        <w:rPr>
          <w:rFonts w:hint="eastAsia" w:ascii="宋体" w:hAnsi="宋体" w:eastAsia="宋体" w:cs="宋体"/>
          <w:b/>
          <w:color w:val="auto"/>
          <w:sz w:val="36"/>
          <w:szCs w:val="20"/>
        </w:rPr>
      </w:pPr>
      <w:bookmarkStart w:id="3" w:name="第一部分"/>
      <w:r>
        <w:rPr>
          <w:rFonts w:hint="eastAsia" w:ascii="宋体" w:hAnsi="宋体" w:eastAsia="宋体" w:cs="宋体"/>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rPr>
          <w:rFonts w:hint="eastAsia" w:ascii="宋体" w:hAnsi="宋体" w:eastAsia="宋体" w:cs="宋体"/>
          <w:color w:val="auto"/>
          <w:sz w:val="24"/>
        </w:rPr>
      </w:pPr>
      <w:r>
        <w:rPr>
          <w:rFonts w:hint="eastAsia" w:ascii="宋体" w:hAnsi="宋体" w:eastAsia="宋体" w:cs="宋体"/>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lang w:eastAsia="zh-CN"/>
        </w:rPr>
        <w:t>杭州图书馆2024年度</w:t>
      </w:r>
      <w:r>
        <w:rPr>
          <w:rFonts w:hint="eastAsia" w:ascii="宋体" w:hAnsi="宋体" w:cs="宋体"/>
          <w:color w:val="auto"/>
          <w:sz w:val="24"/>
          <w:u w:val="single"/>
          <w:lang w:eastAsia="zh-CN"/>
        </w:rPr>
        <w:t>中文图书（人文类、艺术类、财经类、文学类、科技类、生活类）</w:t>
      </w:r>
      <w:r>
        <w:rPr>
          <w:rFonts w:hint="eastAsia" w:ascii="宋体" w:hAnsi="宋体" w:eastAsia="宋体" w:cs="宋体"/>
          <w:color w:val="auto"/>
          <w:sz w:val="24"/>
          <w:u w:val="single"/>
          <w:lang w:eastAsia="zh-CN"/>
        </w:rPr>
        <w:t>采购项目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Style w:val="76"/>
          <w:rFonts w:hint="eastAsia" w:ascii="宋体" w:hAnsi="宋体" w:eastAsia="宋体" w:cs="宋体"/>
          <w:snapToGrid/>
          <w:color w:val="auto"/>
          <w:kern w:val="2"/>
          <w:sz w:val="24"/>
          <w:szCs w:val="24"/>
          <w:highlight w:val="none"/>
        </w:rPr>
        <w:t>202</w:t>
      </w:r>
      <w:r>
        <w:rPr>
          <w:rStyle w:val="76"/>
          <w:rFonts w:hint="eastAsia" w:ascii="宋体" w:hAnsi="宋体" w:eastAsia="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cs="宋体"/>
          <w:color w:val="auto"/>
          <w:sz w:val="24"/>
          <w:lang w:eastAsia="zh-CN"/>
        </w:rPr>
        <w:t>DFJW2024-SC-013</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2188000</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2188000</w:t>
      </w:r>
    </w:p>
    <w:p>
      <w:pPr>
        <w:pStyle w:val="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杭州图书馆2024年度</w:t>
      </w:r>
      <w:r>
        <w:rPr>
          <w:rFonts w:hint="eastAsia" w:hAnsi="宋体" w:cs="宋体"/>
          <w:bCs/>
          <w:snapToGrid/>
          <w:color w:val="auto"/>
          <w:kern w:val="2"/>
          <w:sz w:val="24"/>
          <w:szCs w:val="24"/>
          <w:highlight w:val="none"/>
          <w:lang w:eastAsia="zh-CN"/>
        </w:rPr>
        <w:t>中文图书（人文类、艺术类、财经类、文学类、科技类、生活类）</w:t>
      </w:r>
      <w:r>
        <w:rPr>
          <w:rFonts w:hint="eastAsia" w:ascii="宋体" w:hAnsi="宋体" w:eastAsia="宋体" w:cs="宋体"/>
          <w:bCs/>
          <w:snapToGrid/>
          <w:color w:val="auto"/>
          <w:kern w:val="2"/>
          <w:sz w:val="24"/>
          <w:szCs w:val="24"/>
          <w:highlight w:val="none"/>
          <w:lang w:eastAsia="zh-CN"/>
        </w:rPr>
        <w:t>采购项目</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color w:val="auto"/>
          <w:kern w:val="0"/>
          <w:sz w:val="24"/>
          <w:highlight w:val="none"/>
        </w:rPr>
        <w:t>1、每周提供书目信息服务</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2、按采购人的要求，同时提供EXCEL新书目录及相同的MARC数据，并按中图法分类排序进行提供</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3、按采购人提供的订购单批次进行图书配送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4、在递交每一批图书时，同时免费提供加盖供应商公章的该批图书的清单一式三份，并提供规范的机读编目数据</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5、提供的征订数据必须以CNMARC格式文件提供</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6、提供到馆图书全加工、捐赠图书全加工、期刊辅助加工等工作。</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pPr>
        <w:pStyle w:val="128"/>
        <w:ind w:firstLine="482"/>
        <w:outlineLvl w:val="2"/>
        <w:rPr>
          <w:rFonts w:hint="eastAsia" w:ascii="宋体" w:hAnsi="宋体" w:eastAsia="宋体" w:cs="宋体"/>
          <w:color w:val="auto"/>
          <w:highlight w:val="none"/>
          <w:lang w:eastAsia="zh-CN"/>
        </w:rPr>
      </w:pPr>
      <w:r>
        <w:rPr>
          <w:rFonts w:hint="eastAsia" w:ascii="宋体" w:hAnsi="宋体" w:eastAsia="宋体" w:cs="宋体"/>
          <w:b/>
          <w:color w:val="auto"/>
          <w:highlight w:val="none"/>
        </w:rPr>
        <w:t>合同履约期限：</w:t>
      </w:r>
      <w:r>
        <w:rPr>
          <w:rFonts w:hint="eastAsia" w:ascii="宋体" w:hAnsi="宋体" w:eastAsia="宋体" w:cs="宋体"/>
          <w:color w:val="auto"/>
          <w:kern w:val="0"/>
          <w:sz w:val="24"/>
          <w:highlight w:val="none"/>
        </w:rPr>
        <w:t>合同签订之日起至202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年12月31日</w:t>
      </w:r>
      <w:r>
        <w:rPr>
          <w:rFonts w:hint="eastAsia" w:ascii="宋体" w:hAnsi="宋体" w:eastAsia="宋体" w:cs="宋体"/>
          <w:color w:val="auto"/>
          <w:kern w:val="0"/>
          <w:sz w:val="24"/>
          <w:highlight w:val="none"/>
          <w:lang w:eastAsia="zh-CN"/>
        </w:rPr>
        <w:t>。</w:t>
      </w:r>
    </w:p>
    <w:p>
      <w:pPr>
        <w:pStyle w:val="7"/>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b/>
          <w:color w:val="auto"/>
          <w:sz w:val="24"/>
        </w:rPr>
        <w:t>是</w:t>
      </w:r>
      <w:r>
        <w:rPr>
          <w:rFonts w:hint="eastAsia" w:ascii="宋体" w:hAnsi="宋体" w:eastAsia="宋体" w:cs="宋体"/>
          <w:b/>
          <w:snapToGrid/>
          <w:color w:val="auto"/>
          <w:kern w:val="2"/>
          <w:sz w:val="24"/>
        </w:rPr>
        <w:t>；</w:t>
      </w:r>
      <w:sdt>
        <w:sdtPr>
          <w:rPr>
            <w:rFonts w:hint="eastAsia" w:ascii="宋体" w:hAnsi="宋体" w:eastAsia="宋体" w:cs="宋体"/>
            <w:color w:val="auto"/>
            <w:kern w:val="0"/>
            <w:sz w:val="24"/>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二、</w:t>
      </w:r>
      <w:bookmarkStart w:id="11" w:name="_Hlk101132948"/>
      <w:r>
        <w:rPr>
          <w:rFonts w:hint="eastAsia" w:ascii="宋体" w:hAnsi="宋体" w:eastAsia="宋体" w:cs="宋体"/>
          <w:b/>
          <w:color w:val="auto"/>
          <w:sz w:val="24"/>
        </w:rPr>
        <w:t>申请人的资格要求</w:t>
      </w:r>
      <w:bookmarkEnd w:id="11"/>
      <w:r>
        <w:rPr>
          <w:rFonts w:hint="eastAsia" w:ascii="宋体" w:hAnsi="宋体" w:eastAsia="宋体" w:cs="宋体"/>
          <w:b/>
          <w:color w:val="auto"/>
          <w:sz w:val="24"/>
        </w:rPr>
        <w:t>：</w:t>
      </w:r>
    </w:p>
    <w:p>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pPr>
        <w:spacing w:line="360" w:lineRule="auto"/>
        <w:ind w:firstLine="897" w:firstLineChars="374"/>
        <w:rPr>
          <w:rFonts w:hint="eastAsia" w:ascii="宋体" w:hAnsi="宋体" w:eastAsia="宋体" w:cs="宋体"/>
          <w:color w:val="auto"/>
          <w:sz w:val="24"/>
          <w:u w:val="single"/>
        </w:rPr>
      </w:pPr>
      <w:sdt>
        <w:sdtPr>
          <w:rPr>
            <w:rFonts w:hint="eastAsia" w:ascii="宋体" w:hAnsi="宋体" w:eastAsia="宋体" w:cs="宋体"/>
            <w:color w:val="auto"/>
            <w:kern w:val="0"/>
            <w:sz w:val="24"/>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货物全部由符合政策要求的小微企业制造，提供中小企业声明函；</w:t>
      </w:r>
    </w:p>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bookmarkStart w:id="12" w:name="_Hlk101132524"/>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bookmarkEnd w:id="12"/>
    <w:p>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4.本项目的特定资格要求：具有相关部门颁发的出版物经营许可证（或发行许可证）；</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请登录政采云投标客户端投标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六、其他补充事宜</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eastAsia="宋体" w:cs="宋体"/>
          <w:color w:val="auto"/>
          <w:sz w:val="24"/>
          <w:lang w:eastAsia="zh-CN"/>
        </w:rPr>
        <w:t>杭州图书馆</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rPr>
        <w:t xml:space="preserve">    地    </w:t>
      </w:r>
      <w:r>
        <w:rPr>
          <w:rFonts w:hint="eastAsia" w:ascii="宋体" w:hAnsi="宋体" w:eastAsia="宋体" w:cs="宋体"/>
          <w:color w:val="auto"/>
          <w:sz w:val="24"/>
          <w:lang w:eastAsia="zh-CN"/>
        </w:rPr>
        <w:t xml:space="preserve">址：杭州市解放东路18号市民中心J楼杭州图书馆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传    真：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项目联系人（询问）：</w:t>
      </w:r>
      <w:r>
        <w:rPr>
          <w:rFonts w:hint="eastAsia" w:ascii="宋体" w:hAnsi="宋体" w:eastAsia="宋体" w:cs="宋体"/>
          <w:color w:val="auto"/>
          <w:sz w:val="24"/>
          <w:lang w:val="en-US" w:eastAsia="zh-CN"/>
        </w:rPr>
        <w:t>吴苏芬</w:t>
      </w:r>
      <w:r>
        <w:rPr>
          <w:rFonts w:hint="eastAsia" w:ascii="宋体" w:hAnsi="宋体" w:eastAsia="宋体" w:cs="宋体"/>
          <w:color w:val="auto"/>
          <w:sz w:val="24"/>
          <w:lang w:eastAsia="zh-CN"/>
        </w:rPr>
        <w:t xml:space="preserve">  </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项目联系方式（询问）：0571-</w:t>
      </w:r>
      <w:r>
        <w:rPr>
          <w:rFonts w:hint="eastAsia" w:ascii="宋体" w:hAnsi="宋体" w:eastAsia="宋体" w:cs="宋体"/>
          <w:color w:val="auto"/>
          <w:sz w:val="24"/>
          <w:lang w:val="en-US" w:eastAsia="zh-CN"/>
        </w:rPr>
        <w:t>86535012</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质疑联系人：程旭</w:t>
      </w:r>
    </w:p>
    <w:p>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 xml:space="preserve">    质疑联系方式：0571-86535085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2.采购代理机构信息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rPr>
        <w:t>名    称：</w:t>
      </w:r>
      <w:r>
        <w:rPr>
          <w:rFonts w:hint="eastAsia" w:ascii="宋体" w:hAnsi="宋体" w:eastAsia="宋体" w:cs="宋体"/>
          <w:color w:val="auto"/>
          <w:sz w:val="24"/>
          <w:lang w:eastAsia="zh-CN"/>
        </w:rPr>
        <w:t>东方经纬项目管理有限公司</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杭州市上城区馆驿后2号泰地万新大厦1号楼9楼</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sz w:val="24"/>
          <w:lang w:eastAsia="zh-CN"/>
        </w:rPr>
        <w:t>0571-56783590</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项目联系人（询问）：</w:t>
      </w:r>
      <w:r>
        <w:rPr>
          <w:rFonts w:hint="eastAsia" w:ascii="宋体" w:hAnsi="宋体" w:eastAsia="宋体" w:cs="宋体"/>
          <w:color w:val="auto"/>
          <w:sz w:val="24"/>
          <w:lang w:eastAsia="zh-CN"/>
        </w:rPr>
        <w:t>韦工</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eastAsia="zh-CN"/>
        </w:rPr>
        <w:t>13588700794</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质疑联系人：</w:t>
      </w:r>
      <w:r>
        <w:rPr>
          <w:rFonts w:hint="eastAsia" w:ascii="宋体" w:hAnsi="宋体" w:eastAsia="宋体" w:cs="宋体"/>
          <w:color w:val="auto"/>
          <w:sz w:val="24"/>
          <w:lang w:eastAsia="zh-CN"/>
        </w:rPr>
        <w:t xml:space="preserve">单晓超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质疑联系方式：</w:t>
      </w:r>
      <w:r>
        <w:rPr>
          <w:rFonts w:hint="eastAsia" w:ascii="宋体" w:hAnsi="宋体" w:eastAsia="宋体" w:cs="宋体"/>
          <w:color w:val="auto"/>
          <w:sz w:val="24"/>
          <w:lang w:eastAsia="zh-CN"/>
        </w:rPr>
        <w:t>0571-56783590</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3.同级政府采购监督管理部门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称：杭州市财政局政府采购监管处 /浙江省政府采购行政裁决服务中心（杭州）</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址：杭州市上城区四季青街道新业路市民之家G03办公室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传    真：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联系人 ：朱女士、王女士</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监督投诉电话：电话：0571-85252453</w:t>
      </w:r>
    </w:p>
    <w:p>
      <w:pPr>
        <w:spacing w:line="360" w:lineRule="auto"/>
        <w:ind w:firstLine="48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政策咨询：陈先生、厉先生，0571-89580460、89580456</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rPr>
        <w:t>95763</w:t>
      </w:r>
      <w:r>
        <w:rPr>
          <w:rFonts w:hint="eastAsia" w:ascii="宋体" w:hAnsi="宋体" w:eastAsia="宋体" w:cs="宋体"/>
          <w:color w:val="auto"/>
          <w:sz w:val="24"/>
        </w:rPr>
        <w:t>获取热线服务帮助。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CA问题联系电话（人工）：汇信CA 400-888-4636；天谷CA 400-087-8198。</w:t>
      </w:r>
    </w:p>
    <w:p>
      <w:pPr>
        <w:pStyle w:val="33"/>
        <w:spacing w:line="360" w:lineRule="auto"/>
        <w:rPr>
          <w:rFonts w:hint="eastAsia" w:ascii="宋体" w:hAnsi="宋体" w:eastAsia="宋体" w:cs="宋体"/>
          <w:b/>
          <w:color w:val="auto"/>
          <w:sz w:val="36"/>
          <w:szCs w:val="20"/>
        </w:rPr>
      </w:pPr>
      <w:r>
        <w:rPr>
          <w:rFonts w:hint="eastAsia" w:ascii="宋体" w:hAnsi="宋体" w:eastAsia="宋体" w:cs="宋体"/>
          <w:color w:val="auto"/>
          <w:sz w:val="24"/>
        </w:rPr>
        <w:t xml:space="preserve">                        </w:t>
      </w:r>
      <w:r>
        <w:rPr>
          <w:rFonts w:hint="eastAsia" w:ascii="宋体" w:hAnsi="宋体" w:eastAsia="宋体" w:cs="宋体"/>
          <w:b/>
          <w:color w:val="auto"/>
          <w:sz w:val="36"/>
          <w:szCs w:val="20"/>
        </w:rPr>
        <w:t xml:space="preserve"> </w:t>
      </w:r>
    </w:p>
    <w:p>
      <w:pPr>
        <w:pStyle w:val="5"/>
        <w:rPr>
          <w:rFonts w:hint="eastAsia" w:ascii="宋体" w:hAnsi="宋体" w:eastAsia="宋体" w:cs="宋体"/>
          <w:snapToGrid w:val="0"/>
          <w:color w:val="auto"/>
        </w:rPr>
      </w:pPr>
      <w:r>
        <w:rPr>
          <w:rFonts w:hint="eastAsia" w:ascii="宋体" w:hAnsi="宋体" w:eastAsia="宋体" w:cs="宋体"/>
          <w:color w:val="auto"/>
        </w:rPr>
        <w:br w:type="page"/>
      </w:r>
    </w:p>
    <w:p>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8"/>
      <w:r>
        <w:rPr>
          <w:rFonts w:hint="eastAsia" w:ascii="宋体" w:hAnsi="宋体" w:eastAsia="宋体" w:cs="宋体"/>
          <w:b/>
          <w:color w:val="auto"/>
          <w:sz w:val="36"/>
          <w:szCs w:val="20"/>
        </w:rPr>
        <w:t xml:space="preserve"> 投标人须知</w:t>
      </w:r>
      <w:bookmarkEnd w:id="9"/>
    </w:p>
    <w:p>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货物类，单一产品或</w:t>
            </w:r>
            <w:r>
              <w:rPr>
                <w:rFonts w:hint="eastAsia" w:ascii="宋体" w:hAnsi="宋体" w:eastAsia="宋体" w:cs="宋体"/>
                <w:color w:val="auto"/>
                <w:kern w:val="0"/>
                <w:sz w:val="24"/>
              </w:rPr>
              <w:t>核心产品为：</w:t>
            </w:r>
            <w:r>
              <w:rPr>
                <w:rFonts w:hint="eastAsia" w:ascii="宋体" w:hAnsi="宋体" w:eastAsia="宋体" w:cs="宋体"/>
                <w:color w:val="auto"/>
                <w:sz w:val="24"/>
                <w:u w:val="single"/>
              </w:rPr>
              <w:t xml:space="preserve">  </w:t>
            </w:r>
            <w:r>
              <w:rPr>
                <w:rFonts w:hint="eastAsia" w:ascii="宋体" w:hAnsi="宋体" w:eastAsia="宋体" w:cs="宋体"/>
                <w:color w:val="auto"/>
                <w:sz w:val="24"/>
                <w:highlight w:val="none"/>
                <w:u w:val="single"/>
                <w:lang w:val="en-US" w:eastAsia="zh-CN"/>
              </w:rPr>
              <w:t>图书</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lang w:val="en-US"/>
              </w:rPr>
            </w:pPr>
            <w:r>
              <w:rPr>
                <w:rFonts w:hint="eastAsia" w:ascii="宋体" w:hAnsi="宋体" w:eastAsia="宋体" w:cs="宋体"/>
                <w:color w:val="auto"/>
                <w:kern w:val="0"/>
                <w:sz w:val="24"/>
                <w:highlight w:val="none"/>
              </w:rPr>
              <w:t>标的：</w:t>
            </w:r>
            <w:r>
              <w:rPr>
                <w:rFonts w:hint="eastAsia" w:ascii="宋体" w:hAnsi="宋体" w:eastAsia="宋体" w:cs="宋体"/>
                <w:color w:val="auto"/>
                <w:sz w:val="24"/>
                <w:highlight w:val="none"/>
                <w:u w:val="single"/>
                <w:lang w:val="en-US" w:eastAsia="zh-CN"/>
              </w:rPr>
              <w:t>图书采购</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u w:val="single"/>
                <w:lang w:val="en-US" w:eastAsia="zh-CN"/>
              </w:rPr>
              <w:t>批发业、零售业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color w:val="auto"/>
                <w:kern w:val="0"/>
                <w:sz w:val="24"/>
              </w:rPr>
              <w:t>本项目不允许采购进口产品。</w:t>
            </w:r>
          </w:p>
          <w:p>
            <w:pPr>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可以就</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szCs w:val="24"/>
                    <w:lang w:val="en-US" w:eastAsia="zh-CN" w:bidi="ar-SA"/>
                  </w:rPr>
                  <w:t>☐</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工作分包。</w:t>
            </w:r>
            <w:sdt>
              <w:sdtPr>
                <w:rPr>
                  <w:rFonts w:hint="eastAsia" w:ascii="宋体" w:hAnsi="宋体" w:eastAsia="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，联系人：</w:t>
            </w:r>
            <w:r>
              <w:rPr>
                <w:rFonts w:hint="eastAsia" w:ascii="宋体" w:hAnsi="宋体" w:eastAsia="宋体" w:cs="宋体"/>
                <w:color w:val="auto"/>
                <w:sz w:val="24"/>
                <w:u w:val="single"/>
              </w:rPr>
              <w:t xml:space="preserve">      </w:t>
            </w: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      </w:t>
            </w:r>
            <w:r>
              <w:rPr>
                <w:rFonts w:hint="eastAsia" w:ascii="宋体" w:hAnsi="宋体" w:eastAsia="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不要求提供。</w:t>
            </w:r>
          </w:p>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B要求提供，</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snapToGrid w:val="0"/>
                <w:color w:val="auto"/>
                <w:kern w:val="28"/>
                <w:sz w:val="24"/>
              </w:rPr>
              <w:t>样品：</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snapToGrid w:val="0"/>
                <w:color w:val="auto"/>
                <w:kern w:val="28"/>
                <w:sz w:val="24"/>
              </w:rPr>
              <w:t>样品制作的标准和要求：</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（3）样品的评审方法以及评审标准</w:t>
            </w:r>
            <w:r>
              <w:rPr>
                <w:rFonts w:hint="eastAsia" w:ascii="宋体" w:hAnsi="宋体" w:eastAsia="宋体" w:cs="宋体"/>
                <w:snapToGrid w:val="0"/>
                <w:color w:val="auto"/>
                <w:kern w:val="28"/>
                <w:sz w:val="24"/>
              </w:rPr>
              <w:t>：详见</w:t>
            </w:r>
            <w:r>
              <w:rPr>
                <w:rFonts w:hint="eastAsia" w:ascii="宋体" w:hAnsi="宋体" w:eastAsia="宋体" w:cs="宋体"/>
                <w:color w:val="auto"/>
                <w:sz w:val="24"/>
                <w:u w:val="single"/>
              </w:rPr>
              <w:t>评标办法</w:t>
            </w:r>
            <w:r>
              <w:rPr>
                <w:rFonts w:hint="eastAsia" w:ascii="宋体" w:hAnsi="宋体" w:eastAsia="宋体" w:cs="宋体"/>
                <w:color w:val="auto"/>
                <w:kern w:val="0"/>
                <w:sz w:val="24"/>
              </w:rPr>
              <w:t>；</w:t>
            </w:r>
          </w:p>
          <w:p>
            <w:pPr>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（4）是否需要随样品提交检测报告：</w:t>
            </w:r>
            <w:sdt>
              <w:sdtPr>
                <w:rPr>
                  <w:rFonts w:hint="eastAsia" w:ascii="宋体" w:hAnsi="宋体" w:eastAsia="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否；</w:t>
            </w:r>
            <w:sdt>
              <w:sdtPr>
                <w:rPr>
                  <w:rFonts w:hint="eastAsia" w:ascii="宋体" w:hAnsi="宋体" w:eastAsia="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是，检测机构的要求</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；检测内容</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（5）提供样品的时间：</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；地点：</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；联系人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28"/>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(6)采购活动结束后，对于未中标人提供的样品，采购人、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将通知未中标人在规定的时间内取回，逾期未取回的，采购人、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不负保管义务；对于中标人提供的样品，采购人将进行保管、封存，并作为履约验收的参考。</w:t>
            </w:r>
          </w:p>
          <w:p>
            <w:pPr>
              <w:spacing w:line="360" w:lineRule="auto"/>
              <w:rPr>
                <w:rFonts w:hint="eastAsia" w:ascii="宋体" w:hAnsi="宋体" w:eastAsia="宋体" w:cs="宋体"/>
                <w:b/>
                <w:color w:val="auto"/>
                <w:sz w:val="24"/>
              </w:rPr>
            </w:pPr>
            <w:r>
              <w:rPr>
                <w:rFonts w:hint="eastAsia" w:ascii="宋体" w:hAnsi="宋体" w:eastAsia="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pPr>
              <w:spacing w:line="360" w:lineRule="auto"/>
              <w:rPr>
                <w:rFonts w:hint="eastAsia" w:ascii="宋体" w:hAnsi="宋体" w:eastAsia="宋体" w:cs="宋体"/>
                <w:color w:val="auto"/>
                <w:kern w:val="0"/>
                <w:sz w:val="24"/>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（1）在评标时安排每个投标人进行方案讲解演示。每个投标人时间不超过</w:t>
            </w:r>
            <w:r>
              <w:rPr>
                <w:rFonts w:hint="eastAsia" w:ascii="宋体" w:hAnsi="宋体" w:eastAsia="宋体" w:cs="宋体"/>
                <w:color w:val="auto"/>
                <w:kern w:val="0"/>
                <w:sz w:val="24"/>
                <w:u w:val="single"/>
              </w:rPr>
              <w:t>20</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编制时可根据项目情况进行调整</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rPr>
              <w:t>分钟，讲解次序以投标文件解密时间先后次序为准，讲解演示人员不超过</w:t>
            </w:r>
            <w:r>
              <w:rPr>
                <w:rFonts w:hint="eastAsia" w:ascii="宋体" w:hAnsi="宋体" w:eastAsia="宋体" w:cs="宋体"/>
                <w:color w:val="auto"/>
                <w:kern w:val="0"/>
                <w:sz w:val="24"/>
                <w:u w:val="single"/>
              </w:rPr>
              <w:t>3</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u w:val="single"/>
                <w:lang w:val="en-US" w:eastAsia="zh-CN"/>
              </w:rPr>
              <w:t>编制时可根据项目情况进行调整</w:t>
            </w:r>
            <w:r>
              <w:rPr>
                <w:rFonts w:hint="eastAsia" w:ascii="宋体" w:hAnsi="宋体" w:eastAsia="宋体" w:cs="宋体"/>
                <w:color w:val="auto"/>
                <w:kern w:val="0"/>
                <w:sz w:val="24"/>
                <w:u w:val="single"/>
                <w:lang w:eastAsia="zh-CN"/>
              </w:rPr>
              <w:t>）</w:t>
            </w:r>
            <w:r>
              <w:rPr>
                <w:rFonts w:hint="eastAsia" w:ascii="宋体" w:hAnsi="宋体" w:eastAsia="宋体" w:cs="宋体"/>
                <w:color w:val="auto"/>
                <w:kern w:val="0"/>
                <w:sz w:val="24"/>
              </w:rPr>
              <w:t>人。讲解演示结束后按要求解答评标委员会提问。</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（2）方案讲解演示可选择以下其中一种方式：</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方式二：交易中心现场讲解演示。现场讲解地点为</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lang w:val="zh-CN"/>
              </w:rPr>
            </w:pPr>
            <w:r>
              <w:rPr>
                <w:rFonts w:hint="eastAsia" w:ascii="宋体" w:hAnsi="宋体" w:eastAsia="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p>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4"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rPr>
            </w:pPr>
            <w:r>
              <w:rPr>
                <w:rFonts w:hint="eastAsia" w:ascii="宋体" w:hAnsi="宋体" w:eastAsia="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w:t>
            </w:r>
            <w:r>
              <w:rPr>
                <w:rFonts w:hint="eastAsia" w:ascii="宋体" w:hAnsi="宋体" w:eastAsia="宋体" w:cs="宋体"/>
                <w:b/>
                <w:bCs/>
                <w:color w:val="auto"/>
                <w:kern w:val="0"/>
                <w:sz w:val="24"/>
                <w:lang w:val="zh-CN"/>
              </w:rPr>
              <w:t>（</w:t>
            </w:r>
            <w:r>
              <w:rPr>
                <w:rFonts w:hint="eastAsia" w:ascii="宋体" w:hAnsi="宋体" w:eastAsia="宋体" w:cs="宋体"/>
                <w:b/>
                <w:bCs/>
                <w:color w:val="auto"/>
                <w:kern w:val="0"/>
                <w:sz w:val="24"/>
                <w:lang w:val="en-US" w:eastAsia="zh-CN"/>
              </w:rPr>
              <w:t>折扣率</w:t>
            </w:r>
            <w:r>
              <w:rPr>
                <w:rFonts w:hint="eastAsia" w:ascii="宋体" w:hAnsi="宋体" w:eastAsia="宋体" w:cs="宋体"/>
                <w:b/>
                <w:bCs/>
                <w:color w:val="auto"/>
                <w:kern w:val="0"/>
                <w:sz w:val="24"/>
                <w:lang w:val="zh-CN"/>
              </w:rPr>
              <w:t>）</w:t>
            </w:r>
            <w:r>
              <w:rPr>
                <w:rFonts w:hint="eastAsia" w:ascii="宋体" w:hAnsi="宋体" w:eastAsia="宋体" w:cs="宋体"/>
                <w:color w:val="auto"/>
                <w:kern w:val="0"/>
                <w:sz w:val="24"/>
                <w:lang w:val="zh-CN"/>
              </w:rPr>
              <w:t>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rPr>
              <w:t>;</w:t>
            </w:r>
          </w:p>
          <w:p>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 xml:space="preserve">备份投标文件送达地点和签收人员 </w:t>
            </w:r>
          </w:p>
        </w:tc>
        <w:tc>
          <w:tcPr>
            <w:tcW w:w="6095" w:type="dxa"/>
            <w:tcBorders>
              <w:top w:val="single" w:color="auto" w:sz="4" w:space="0"/>
              <w:left w:val="single" w:color="auto" w:sz="4" w:space="0"/>
              <w:bottom w:val="single" w:color="auto" w:sz="4" w:space="0"/>
              <w:right w:val="single" w:color="auto" w:sz="4" w:space="0"/>
            </w:tcBorders>
            <w:vAlign w:val="center"/>
          </w:tcPr>
          <w:p>
            <w:pPr>
              <w:pStyle w:val="33"/>
              <w:spacing w:line="360" w:lineRule="auto"/>
              <w:rPr>
                <w:rFonts w:hint="eastAsia" w:ascii="宋体" w:hAnsi="宋体" w:eastAsia="宋体" w:cs="宋体"/>
                <w:color w:val="auto"/>
                <w:kern w:val="28"/>
                <w:sz w:val="24"/>
              </w:rPr>
            </w:pPr>
            <w:r>
              <w:rPr>
                <w:rFonts w:hint="eastAsia" w:ascii="宋体" w:hAnsi="宋体" w:eastAsia="宋体" w:cs="宋体"/>
                <w:color w:val="auto"/>
                <w:kern w:val="28"/>
                <w:sz w:val="24"/>
                <w:szCs w:val="24"/>
              </w:rPr>
              <w:t>备份投标文件送达地点：</w:t>
            </w:r>
            <w:r>
              <w:rPr>
                <w:rFonts w:hint="eastAsia" w:ascii="宋体" w:hAnsi="宋体" w:eastAsia="宋体" w:cs="宋体"/>
                <w:snapToGrid/>
                <w:color w:val="auto"/>
                <w:kern w:val="0"/>
                <w:sz w:val="24"/>
                <w:szCs w:val="24"/>
                <w:u w:val="single"/>
                <w:lang w:val="en-US" w:eastAsia="zh-CN" w:bidi="ar-SA"/>
              </w:rPr>
              <w:t>杭州市上城区馆驿后2号泰地万新大厦1号楼9楼</w:t>
            </w:r>
            <w:r>
              <w:rPr>
                <w:rFonts w:hint="eastAsia" w:ascii="宋体" w:hAnsi="宋体" w:eastAsia="宋体" w:cs="宋体"/>
                <w:color w:val="auto"/>
                <w:kern w:val="28"/>
                <w:sz w:val="24"/>
                <w:szCs w:val="24"/>
              </w:rPr>
              <w:t>；备份投标文件签收人员联系电话：</w:t>
            </w:r>
            <w:r>
              <w:rPr>
                <w:rFonts w:hint="eastAsia" w:ascii="宋体" w:hAnsi="宋体" w:eastAsia="宋体" w:cs="宋体"/>
                <w:snapToGrid/>
                <w:color w:val="auto"/>
                <w:kern w:val="0"/>
                <w:sz w:val="24"/>
                <w:szCs w:val="24"/>
                <w:u w:val="single"/>
                <w:lang w:val="en-US" w:eastAsia="zh-CN" w:bidi="ar-SA"/>
              </w:rPr>
              <w:t>韦工 13588700794</w:t>
            </w:r>
            <w:r>
              <w:rPr>
                <w:rFonts w:hint="eastAsia" w:ascii="宋体" w:hAnsi="宋体" w:eastAsia="宋体" w:cs="宋体"/>
                <w:color w:val="auto"/>
                <w:sz w:val="24"/>
                <w:szCs w:val="24"/>
              </w:rPr>
              <w:t>。</w:t>
            </w:r>
            <w:r>
              <w:rPr>
                <w:rFonts w:hint="eastAsia" w:ascii="宋体" w:hAnsi="宋体" w:eastAsia="宋体" w:cs="宋体"/>
                <w:b/>
                <w:color w:val="auto"/>
                <w:sz w:val="24"/>
                <w:szCs w:val="24"/>
              </w:rPr>
              <w:t>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r>
              <w:rPr>
                <w:rFonts w:hint="eastAsia" w:hAnsi="宋体" w:cs="宋体"/>
                <w:b/>
                <w:color w:val="auto"/>
                <w:sz w:val="24"/>
                <w:szCs w:val="24"/>
                <w:lang w:val="en-US" w:eastAsia="zh-CN"/>
              </w:rPr>
              <w:t>供应商应提供至少一份纸质盖章投标文件用于存档备案，请于开标之前邮寄送达。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宋体" w:hAnsi="宋体" w:eastAsia="宋体" w:cs="宋体"/>
                <w:color w:val="auto"/>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hint="eastAsia" w:ascii="宋体" w:hAnsi="宋体" w:eastAsia="宋体" w:cs="宋体"/>
                <w:snapToGrid w:val="0"/>
                <w:color w:val="auto"/>
                <w:kern w:val="28"/>
                <w:sz w:val="24"/>
              </w:rPr>
            </w:pPr>
            <w:sdt>
              <w:sdtPr>
                <w:rPr>
                  <w:rFonts w:hint="eastAsia" w:ascii="宋体" w:hAnsi="宋体" w:eastAsia="宋体" w:cs="宋体"/>
                  <w:color w:val="auto"/>
                  <w:kern w:val="0"/>
                  <w:sz w:val="24"/>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sym w:font="Wingdings" w:char="F0FE"/>
                </w:r>
              </w:sdtContent>
            </w:sdt>
            <w:r>
              <w:rPr>
                <w:rFonts w:hint="eastAsia" w:ascii="宋体" w:hAnsi="宋体" w:eastAsia="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napToGrid w:val="0"/>
                <w:color w:val="auto"/>
                <w:kern w:val="28"/>
                <w:sz w:val="24"/>
                <w:lang w:val="en-US" w:eastAsia="zh-CN"/>
              </w:rPr>
            </w:pPr>
            <w:r>
              <w:rPr>
                <w:rFonts w:hint="eastAsia" w:ascii="宋体" w:hAnsi="宋体" w:eastAsia="宋体" w:cs="宋体"/>
                <w:snapToGrid w:val="0"/>
                <w:color w:val="auto"/>
                <w:kern w:val="28"/>
                <w:sz w:val="24"/>
              </w:rPr>
              <w:t>由中标人支付。代理服务费按照原国家计委关于印发《招标代理服务收费管理暂行办法》（计价格[2002]1980号）</w:t>
            </w:r>
            <w:r>
              <w:rPr>
                <w:rFonts w:hint="eastAsia" w:ascii="宋体" w:hAnsi="宋体" w:eastAsia="宋体" w:cs="宋体"/>
                <w:snapToGrid w:val="0"/>
                <w:color w:val="auto"/>
                <w:kern w:val="28"/>
                <w:sz w:val="24"/>
                <w:lang w:val="en-US" w:eastAsia="zh-CN"/>
              </w:rPr>
              <w:t>8</w:t>
            </w:r>
            <w:r>
              <w:rPr>
                <w:rFonts w:hint="eastAsia" w:ascii="宋体" w:hAnsi="宋体" w:eastAsia="宋体" w:cs="宋体"/>
                <w:snapToGrid w:val="0"/>
                <w:color w:val="auto"/>
                <w:kern w:val="28"/>
                <w:sz w:val="24"/>
              </w:rPr>
              <w:t>折收取</w:t>
            </w:r>
            <w:r>
              <w:rPr>
                <w:rFonts w:hint="eastAsia" w:ascii="宋体" w:hAnsi="宋体" w:eastAsia="宋体" w:cs="宋体"/>
                <w:snapToGrid w:val="0"/>
                <w:color w:val="auto"/>
                <w:kern w:val="28"/>
                <w:sz w:val="24"/>
                <w:lang w:val="en-US" w:eastAsia="zh-CN"/>
              </w:rPr>
              <w:t>，计算标准为预算金额。</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收款单位（户名）：</w:t>
            </w:r>
            <w:r>
              <w:rPr>
                <w:rFonts w:hint="eastAsia" w:ascii="宋体" w:hAnsi="宋体" w:eastAsia="宋体" w:cs="宋体"/>
                <w:color w:val="auto"/>
                <w:sz w:val="24"/>
                <w:lang w:eastAsia="zh-CN"/>
              </w:rPr>
              <w:t>东方经纬项目管理有限公司</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开户银行：中信银行庆春支行</w:t>
            </w:r>
          </w:p>
          <w:p>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银行账号：7332610182600025935</w:t>
            </w:r>
          </w:p>
          <w:p>
            <w:pPr>
              <w:snapToGrid w:val="0"/>
              <w:spacing w:line="360" w:lineRule="auto"/>
              <w:rPr>
                <w:rFonts w:hint="eastAsia" w:ascii="宋体" w:hAnsi="宋体" w:eastAsia="宋体" w:cs="宋体"/>
                <w:color w:val="auto"/>
                <w:kern w:val="0"/>
                <w:sz w:val="24"/>
              </w:rPr>
            </w:pPr>
            <w:r>
              <w:rPr>
                <w:rFonts w:hint="eastAsia" w:ascii="宋体" w:hAnsi="宋体" w:eastAsia="宋体" w:cs="宋体"/>
                <w:snapToGrid w:val="0"/>
                <w:color w:val="auto"/>
                <w:kern w:val="28"/>
                <w:sz w:val="24"/>
              </w:rPr>
              <w:t>中标人应在领取中标通知书后</w:t>
            </w:r>
            <w:r>
              <w:rPr>
                <w:rFonts w:hint="eastAsia" w:ascii="宋体" w:hAnsi="宋体" w:eastAsia="宋体" w:cs="宋体"/>
                <w:snapToGrid w:val="0"/>
                <w:color w:val="auto"/>
                <w:kern w:val="28"/>
                <w:sz w:val="24"/>
                <w:lang w:val="en-US" w:eastAsia="zh-CN"/>
              </w:rPr>
              <w:t>15</w:t>
            </w:r>
            <w:r>
              <w:rPr>
                <w:rFonts w:hint="eastAsia" w:ascii="宋体" w:hAnsi="宋体" w:eastAsia="宋体" w:cs="宋体"/>
                <w:snapToGrid w:val="0"/>
                <w:color w:val="auto"/>
                <w:kern w:val="28"/>
                <w:sz w:val="24"/>
              </w:rPr>
              <w:t>个工作日内缴清中标服务费，如需邮寄的均为到付。</w:t>
            </w:r>
          </w:p>
        </w:tc>
      </w:tr>
    </w:tbl>
    <w:p>
      <w:pPr>
        <w:snapToGrid w:val="0"/>
        <w:spacing w:line="360" w:lineRule="auto"/>
        <w:jc w:val="center"/>
        <w:rPr>
          <w:rFonts w:hint="eastAsia" w:ascii="宋体" w:hAnsi="宋体" w:eastAsia="宋体" w:cs="宋体"/>
          <w:b/>
          <w:color w:val="auto"/>
          <w:sz w:val="32"/>
          <w:szCs w:val="20"/>
        </w:rPr>
      </w:pPr>
    </w:p>
    <w:bookmarkEnd w:id="10"/>
    <w:p>
      <w:pPr>
        <w:adjustRightInd/>
        <w:spacing w:line="360" w:lineRule="auto"/>
        <w:ind w:firstLine="3845" w:firstLineChars="1197"/>
        <w:outlineLvl w:val="0"/>
        <w:rPr>
          <w:rFonts w:hint="eastAsia" w:ascii="宋体" w:hAnsi="宋体" w:eastAsia="宋体" w:cs="宋体"/>
          <w:b/>
          <w:color w:val="auto"/>
          <w:sz w:val="32"/>
          <w:szCs w:val="20"/>
        </w:rPr>
      </w:pPr>
      <w:bookmarkStart w:id="13" w:name="_Toc164416483"/>
      <w:bookmarkStart w:id="14" w:name="第三部分"/>
      <w:r>
        <w:rPr>
          <w:rFonts w:hint="eastAsia" w:ascii="宋体" w:hAnsi="宋体" w:eastAsia="宋体" w:cs="宋体"/>
          <w:b/>
          <w:color w:val="auto"/>
          <w:sz w:val="32"/>
          <w:szCs w:val="20"/>
        </w:rPr>
        <w:t>一、总则</w:t>
      </w:r>
    </w:p>
    <w:p>
      <w:pPr>
        <w:snapToGrid w:val="0"/>
        <w:spacing w:line="360" w:lineRule="auto"/>
        <w:ind w:firstLine="361" w:firstLineChars="150"/>
        <w:jc w:val="left"/>
        <w:outlineLvl w:val="1"/>
        <w:rPr>
          <w:rFonts w:hint="eastAsia" w:ascii="宋体" w:hAnsi="宋体" w:eastAsia="宋体" w:cs="宋体"/>
          <w:b/>
          <w:color w:val="auto"/>
          <w:sz w:val="24"/>
        </w:rPr>
      </w:pPr>
      <w:r>
        <w:rPr>
          <w:rFonts w:hint="eastAsia" w:ascii="宋体" w:hAnsi="宋体" w:eastAsia="宋体" w:cs="宋体"/>
          <w:b/>
          <w:color w:val="auto"/>
          <w:sz w:val="24"/>
        </w:rPr>
        <w:t>1. 适用范围</w:t>
      </w:r>
    </w:p>
    <w:p>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 xml:space="preserve">   2.定义</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”系指招标公告中载明的本项目的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w:t>
      </w:r>
      <w:r>
        <w:rPr>
          <w:rFonts w:hint="eastAsia" w:ascii="宋体" w:hAnsi="宋体" w:eastAsia="宋体" w:cs="宋体"/>
          <w:color w:val="auto"/>
          <w:sz w:val="24"/>
          <w:lang w:val="en-US" w:eastAsia="zh-CN"/>
        </w:rPr>
        <w:t>系</w:t>
      </w:r>
      <w:r>
        <w:rPr>
          <w:rFonts w:hint="eastAsia" w:ascii="宋体" w:hAnsi="宋体" w:eastAsia="宋体" w:cs="宋体"/>
          <w:color w:val="auto"/>
          <w:sz w:val="24"/>
        </w:rPr>
        <w:t>指本项目政府采购活动所依托的政府采购云平台（https://www.zcygov.cn/）。</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3.3支持中小企业发展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rPr>
        <w:t>联合协议或者分包意向协议约定小微企业的合同份额占到合同总金额30%以上的</w:t>
      </w:r>
      <w:bookmarkEnd w:id="16"/>
      <w:r>
        <w:rPr>
          <w:rFonts w:hint="eastAsia" w:ascii="宋体" w:hAnsi="宋体" w:eastAsia="宋体" w:cs="宋体"/>
          <w:color w:val="auto"/>
          <w:sz w:val="24"/>
        </w:rPr>
        <w:t>，对联合体或者大中型企业的报价给予4%-6%的扣除，用扣除后的价格参加评审。组成联合体或者接受分包的小微企业与联合体内其他企业、分包企业之间存在直接控股、管理关系的，不享受价格扣除优惠政策。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3.4</w:t>
      </w:r>
      <w:r>
        <w:rPr>
          <w:rFonts w:hint="eastAsia" w:ascii="宋体" w:hAnsi="宋体" w:eastAsia="宋体" w:cs="宋体"/>
          <w:bCs/>
          <w:color w:val="auto"/>
          <w:sz w:val="24"/>
        </w:rPr>
        <w:t>支持创新发展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3.5平等对待内外资企业和符合条件的破产重整企业</w:t>
      </w:r>
    </w:p>
    <w:p>
      <w:pPr>
        <w:spacing w:line="360" w:lineRule="auto"/>
        <w:ind w:firstLine="480" w:firstLineChars="200"/>
        <w:rPr>
          <w:rFonts w:hint="eastAsia" w:ascii="宋体" w:hAnsi="宋体" w:eastAsia="宋体" w:cs="宋体"/>
          <w:b/>
          <w:color w:val="auto"/>
        </w:rPr>
      </w:pPr>
      <w:r>
        <w:rPr>
          <w:rFonts w:hint="eastAsia" w:ascii="宋体" w:hAnsi="宋体" w:eastAsia="宋体" w:cs="宋体"/>
          <w:color w:val="auto"/>
          <w:sz w:val="24"/>
        </w:rPr>
        <w:t>平等对待内外资企业和符合条件的破产重整企业，切实保障企业公平竞争，平等维护企业的合法利益。</w:t>
      </w:r>
      <w:r>
        <w:rPr>
          <w:rFonts w:hint="eastAsia" w:ascii="宋体" w:hAnsi="宋体" w:eastAsia="宋体" w:cs="宋体"/>
          <w:color w:val="auto"/>
          <w:sz w:val="24"/>
        </w:rPr>
        <w:cr/>
      </w:r>
      <w:r>
        <w:rPr>
          <w:rFonts w:hint="eastAsia" w:ascii="宋体" w:hAnsi="宋体" w:eastAsia="宋体" w:cs="宋体"/>
          <w:b/>
          <w:color w:val="auto"/>
          <w:sz w:val="24"/>
        </w:rPr>
        <w:t>4. 询问、质疑、投诉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4.1在线询问、质疑、投诉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lang w:val="zh-CN"/>
        </w:rPr>
      </w:pPr>
      <w:r>
        <w:rPr>
          <w:rFonts w:hint="eastAsia" w:ascii="宋体" w:hAnsi="宋体" w:eastAsia="宋体" w:cs="宋体"/>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4.3供应商质疑</w:t>
      </w:r>
    </w:p>
    <w:p>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提出质疑，否则，采购人或者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不予受理：</w:t>
      </w:r>
    </w:p>
    <w:p>
      <w:pPr>
        <w:pStyle w:val="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3"/>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.5采购人或者</w:t>
      </w:r>
      <w:r>
        <w:rPr>
          <w:rFonts w:hint="eastAsia" w:ascii="宋体" w:hAnsi="宋体" w:eastAsia="宋体" w:cs="宋体"/>
          <w:color w:val="auto"/>
          <w:lang w:eastAsia="zh-CN"/>
        </w:rPr>
        <w:t>采购代理机构</w:t>
      </w:r>
      <w:r>
        <w:rPr>
          <w:rFonts w:hint="eastAsia" w:ascii="宋体" w:hAnsi="宋体" w:eastAsia="宋体" w:cs="宋体"/>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lang w:eastAsia="zh-CN"/>
        </w:rPr>
        <w:t>采购代理机构</w:t>
      </w:r>
      <w:r>
        <w:rPr>
          <w:rFonts w:hint="eastAsia" w:ascii="宋体" w:hAnsi="宋体" w:eastAsia="宋体" w:cs="宋体"/>
          <w:color w:val="auto"/>
        </w:rPr>
        <w:t>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lang w:val="zh-CN"/>
        </w:rPr>
        <w:t>4.3</w:t>
      </w:r>
      <w:r>
        <w:rPr>
          <w:rFonts w:hint="eastAsia" w:ascii="宋体" w:hAnsi="宋体" w:eastAsia="宋体" w:cs="宋体"/>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lang w:val="zh-CN"/>
        </w:rPr>
      </w:pPr>
      <w:r>
        <w:rPr>
          <w:rFonts w:hint="eastAsia" w:ascii="宋体" w:hAnsi="宋体" w:eastAsia="宋体" w:cs="宋体"/>
          <w:color w:val="auto"/>
          <w:lang w:val="zh-CN"/>
        </w:rPr>
        <w:t>4.4供应商投诉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4.4.1质疑供应商对采购人、</w:t>
      </w:r>
      <w:r>
        <w:rPr>
          <w:rFonts w:hint="eastAsia" w:ascii="宋体" w:hAnsi="宋体" w:eastAsia="宋体" w:cs="宋体"/>
          <w:color w:val="auto"/>
          <w:lang w:eastAsia="zh-CN"/>
        </w:rPr>
        <w:t>采购代理机构</w:t>
      </w:r>
      <w:r>
        <w:rPr>
          <w:rFonts w:hint="eastAsia" w:ascii="宋体" w:hAnsi="宋体" w:eastAsia="宋体" w:cs="宋体"/>
          <w:color w:val="auto"/>
        </w:rPr>
        <w:t>的答复不满意或者采购人、</w:t>
      </w:r>
      <w:r>
        <w:rPr>
          <w:rFonts w:hint="eastAsia" w:ascii="宋体" w:hAnsi="宋体" w:eastAsia="宋体" w:cs="宋体"/>
          <w:color w:val="auto"/>
          <w:lang w:eastAsia="zh-CN"/>
        </w:rPr>
        <w:t>采购代理机构</w:t>
      </w:r>
      <w:r>
        <w:rPr>
          <w:rFonts w:hint="eastAsia" w:ascii="宋体" w:hAnsi="宋体" w:eastAsia="宋体" w:cs="宋体"/>
          <w:color w:val="auto"/>
        </w:rPr>
        <w:t>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w:t>
      </w:r>
      <w:r>
        <w:rPr>
          <w:rFonts w:hint="eastAsia" w:ascii="宋体" w:hAnsi="宋体" w:eastAsia="宋体" w:cs="宋体"/>
          <w:color w:val="auto"/>
          <w:lang w:val="zh-CN"/>
        </w:rPr>
        <w:t>2</w:t>
      </w:r>
      <w:r>
        <w:rPr>
          <w:rFonts w:hint="eastAsia" w:ascii="宋体" w:hAnsi="宋体" w:eastAsia="宋体" w:cs="宋体"/>
          <w:color w:val="auto"/>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rPr>
      </w:pPr>
      <w:r>
        <w:rPr>
          <w:rFonts w:hint="eastAsia" w:ascii="宋体" w:hAnsi="宋体" w:eastAsia="宋体" w:cs="宋体"/>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投诉书范本及制作说明详见附件3。</w:t>
      </w:r>
    </w:p>
    <w:p>
      <w:pPr>
        <w:pStyle w:val="128"/>
        <w:snapToGrid w:val="0"/>
        <w:spacing w:before="0"/>
        <w:ind w:firstLine="360"/>
        <w:rPr>
          <w:rFonts w:hint="eastAsia" w:ascii="宋体" w:hAnsi="宋体" w:eastAsia="宋体" w:cs="宋体"/>
          <w:color w:val="auto"/>
          <w:sz w:val="18"/>
          <w:szCs w:val="18"/>
        </w:rPr>
      </w:pPr>
    </w:p>
    <w:p>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 xml:space="preserve">      二、招标文件的构成、澄清、修改</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5．招标文件的构成</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w:t>
      </w:r>
      <w:r>
        <w:rPr>
          <w:rFonts w:hint="eastAsia" w:ascii="宋体" w:hAnsi="宋体" w:eastAsia="宋体" w:cs="宋体"/>
          <w:color w:val="auto"/>
          <w:lang w:eastAsia="zh-CN"/>
        </w:rPr>
        <w:t>采购代理机构</w:t>
      </w:r>
      <w:r>
        <w:rPr>
          <w:rFonts w:hint="eastAsia" w:ascii="宋体" w:hAnsi="宋体" w:eastAsia="宋体" w:cs="宋体"/>
          <w:color w:val="auto"/>
        </w:rPr>
        <w:t>提出。</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6.2 </w:t>
      </w:r>
      <w:r>
        <w:rPr>
          <w:rFonts w:hint="eastAsia" w:ascii="宋体" w:hAnsi="宋体" w:eastAsia="宋体" w:cs="宋体"/>
          <w:color w:val="auto"/>
          <w:lang w:eastAsia="zh-CN"/>
        </w:rPr>
        <w:t>采购代理机构</w:t>
      </w:r>
      <w:r>
        <w:rPr>
          <w:rFonts w:hint="eastAsia" w:ascii="宋体" w:hAnsi="宋体" w:eastAsia="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color w:val="auto"/>
          <w:sz w:val="18"/>
          <w:szCs w:val="18"/>
          <w:lang w:val="en-US"/>
        </w:rPr>
      </w:pPr>
      <w:r>
        <w:rPr>
          <w:rFonts w:hint="eastAsia" w:ascii="宋体" w:hAnsi="宋体" w:eastAsia="宋体" w:cs="宋体"/>
          <w:color w:val="auto"/>
          <w:szCs w:val="24"/>
          <w:lang w:val="en-US"/>
        </w:rPr>
        <w:t xml:space="preserve">    </w:t>
      </w:r>
    </w:p>
    <w:p>
      <w:pPr>
        <w:adjustRightInd/>
        <w:spacing w:line="360" w:lineRule="auto"/>
        <w:jc w:val="center"/>
        <w:outlineLvl w:val="0"/>
        <w:rPr>
          <w:rFonts w:hint="eastAsia" w:ascii="宋体" w:hAnsi="宋体" w:eastAsia="宋体" w:cs="宋体"/>
          <w:b/>
          <w:color w:val="auto"/>
          <w:sz w:val="30"/>
          <w:szCs w:val="20"/>
        </w:rPr>
      </w:pPr>
      <w:r>
        <w:rPr>
          <w:rFonts w:hint="eastAsia" w:ascii="宋体" w:hAnsi="宋体" w:eastAsia="宋体" w:cs="宋体"/>
          <w:b/>
          <w:color w:val="auto"/>
          <w:sz w:val="30"/>
          <w:szCs w:val="20"/>
        </w:rPr>
        <w:t>三、投标</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Cs w:val="24"/>
        </w:rPr>
      </w:pPr>
      <w:r>
        <w:rPr>
          <w:rFonts w:hint="eastAsia" w:ascii="宋体" w:hAnsi="宋体" w:eastAsia="宋体" w:cs="宋体"/>
          <w:b/>
          <w:color w:val="auto"/>
          <w:kern w:val="28"/>
          <w:sz w:val="24"/>
          <w:szCs w:val="24"/>
        </w:rPr>
        <w:t>9.投标保证金</w:t>
      </w:r>
    </w:p>
    <w:p>
      <w:pPr>
        <w:pStyle w:val="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7" w:name="_Hlk101259339"/>
      <w:r>
        <w:rPr>
          <w:rFonts w:hint="eastAsia" w:ascii="宋体" w:hAnsi="宋体" w:eastAsia="宋体" w:cs="宋体"/>
          <w:snapToGrid w:val="0"/>
          <w:color w:val="auto"/>
          <w:kern w:val="28"/>
          <w:sz w:val="24"/>
          <w:szCs w:val="20"/>
        </w:rPr>
        <w:t>联合协议</w:t>
      </w:r>
      <w:bookmarkEnd w:id="17"/>
      <w:r>
        <w:rPr>
          <w:rFonts w:hint="eastAsia" w:ascii="宋体" w:hAnsi="宋体" w:eastAsia="宋体" w:cs="宋体"/>
          <w:snapToGrid w:val="0"/>
          <w:color w:val="auto"/>
          <w:kern w:val="28"/>
          <w:sz w:val="24"/>
          <w:szCs w:val="20"/>
        </w:rPr>
        <w:t>（如果有)；</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11.3.2中小企业声明函。</w:t>
      </w:r>
    </w:p>
    <w:p>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pPr>
        <w:pStyle w:val="128"/>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13.投标文件的签署、盖章</w:t>
      </w:r>
    </w:p>
    <w:p>
      <w:pPr>
        <w:pStyle w:val="128"/>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pPr>
        <w:pStyle w:val="128"/>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pPr>
        <w:pStyle w:val="128"/>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可以视情况延长投标文件提交的截止时间。在上述情况下，</w:t>
      </w:r>
      <w:r>
        <w:rPr>
          <w:rFonts w:hint="eastAsia" w:ascii="宋体" w:hAnsi="宋体" w:eastAsia="宋体" w:cs="宋体"/>
          <w:color w:val="auto"/>
          <w:szCs w:val="24"/>
          <w:lang w:eastAsia="zh-CN"/>
        </w:rPr>
        <w:t>采购代理机构</w:t>
      </w:r>
      <w:r>
        <w:rPr>
          <w:rFonts w:hint="eastAsia" w:ascii="宋体" w:hAnsi="宋体" w:eastAsia="宋体" w:cs="宋体"/>
          <w:color w:val="auto"/>
          <w:szCs w:val="24"/>
        </w:rPr>
        <w:t>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3"/>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w:t>
      </w:r>
      <w:r>
        <w:rPr>
          <w:rFonts w:hint="eastAsia" w:ascii="宋体" w:hAnsi="宋体" w:eastAsia="宋体" w:cs="宋体"/>
          <w:color w:val="auto"/>
          <w:sz w:val="24"/>
          <w:lang w:val="en-US" w:eastAsia="zh-CN"/>
        </w:rPr>
        <w:t>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28"/>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3"/>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pPr>
        <w:pStyle w:val="128"/>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17.投标有效期</w:t>
      </w:r>
    </w:p>
    <w:p>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pPr>
        <w:pStyle w:val="128"/>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pPr>
        <w:pStyle w:val="128"/>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w:t>
      </w:r>
      <w:r>
        <w:rPr>
          <w:rFonts w:hint="eastAsia" w:ascii="宋体" w:hAnsi="宋体" w:eastAsia="宋体" w:cs="宋体"/>
          <w:color w:val="auto"/>
          <w:lang w:eastAsia="zh-CN"/>
        </w:rPr>
        <w:t>采购代理机构</w:t>
      </w:r>
      <w:r>
        <w:rPr>
          <w:rFonts w:hint="eastAsia" w:ascii="宋体" w:hAnsi="宋体" w:eastAsia="宋体" w:cs="宋体"/>
          <w:color w:val="auto"/>
        </w:rPr>
        <w:t>可以以书面形式通知投标人延长投标有效期。投标人同意延长的，不得要求或被允许修改其投标文件，投标人拒绝延长的，其投标无效。</w:t>
      </w:r>
    </w:p>
    <w:p>
      <w:pPr>
        <w:pStyle w:val="128"/>
        <w:spacing w:before="0"/>
        <w:ind w:firstLine="643"/>
        <w:rPr>
          <w:rFonts w:hint="eastAsia" w:ascii="宋体" w:hAnsi="宋体" w:eastAsia="宋体" w:cs="宋体"/>
          <w:b/>
          <w:color w:val="auto"/>
          <w:sz w:val="32"/>
        </w:rPr>
      </w:pPr>
    </w:p>
    <w:p>
      <w:pPr>
        <w:pStyle w:val="128"/>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rPr>
      </w:pPr>
      <w:r>
        <w:rPr>
          <w:rFonts w:hint="eastAsia" w:ascii="宋体" w:hAnsi="宋体" w:eastAsia="宋体" w:cs="宋体"/>
          <w:b/>
          <w:color w:val="auto"/>
          <w:sz w:val="24"/>
          <w:szCs w:val="24"/>
        </w:rPr>
        <w:t>18.开标</w:t>
      </w:r>
      <w:r>
        <w:rPr>
          <w:rFonts w:hint="eastAsia" w:ascii="宋体" w:hAnsi="宋体" w:eastAsia="宋体" w:cs="宋体"/>
          <w:color w:val="auto"/>
          <w:sz w:val="24"/>
        </w:rPr>
        <w:t xml:space="preserve"> </w:t>
      </w:r>
    </w:p>
    <w:p>
      <w:pPr>
        <w:pStyle w:val="554"/>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rPr>
      </w:pPr>
      <w:r>
        <w:rPr>
          <w:rFonts w:hint="eastAsia" w:ascii="宋体" w:hAnsi="宋体" w:eastAsia="宋体" w:cs="宋体"/>
          <w:color w:val="auto"/>
          <w:sz w:val="24"/>
        </w:rPr>
        <w:t>　18.2开标时，电子交易平台按开标时间自动提取所有投标文件。</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rPr>
      </w:pPr>
      <w:r>
        <w:rPr>
          <w:rFonts w:hint="eastAsia" w:ascii="宋体" w:hAnsi="宋体" w:eastAsia="宋体" w:cs="宋体"/>
          <w:color w:val="auto"/>
          <w:sz w:val="24"/>
        </w:rPr>
        <w:t>　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　19、资格审查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w:t>
      </w:r>
      <w:r>
        <w:rPr>
          <w:rFonts w:hint="eastAsia" w:ascii="宋体" w:hAnsi="宋体" w:eastAsia="宋体" w:cs="宋体"/>
          <w:color w:val="auto"/>
          <w:kern w:val="0"/>
          <w:sz w:val="24"/>
          <w:lang w:val="en-US" w:eastAsia="zh-CN"/>
        </w:rPr>
        <w:t>1</w:t>
      </w:r>
      <w:r>
        <w:rPr>
          <w:rFonts w:hint="eastAsia" w:ascii="宋体" w:hAnsi="宋体" w:eastAsia="宋体" w:cs="宋体"/>
          <w:color w:val="auto"/>
          <w:sz w:val="24"/>
        </w:rPr>
        <w:t>采购人或</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依据法律法规和招标文件的规定，对投标人的资格进行审查。</w:t>
      </w:r>
    </w:p>
    <w:p>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kern w:val="0"/>
          <w:szCs w:val="24"/>
          <w:lang w:val="en-US" w:eastAsia="zh-CN"/>
        </w:rPr>
        <w:t>2</w:t>
      </w:r>
      <w:r>
        <w:rPr>
          <w:rFonts w:hint="eastAsia" w:ascii="宋体" w:hAnsi="宋体" w:eastAsia="宋体" w:cs="宋体"/>
          <w:color w:val="auto"/>
          <w:kern w:val="0"/>
          <w:szCs w:val="24"/>
        </w:rPr>
        <w:t>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3</w:t>
      </w:r>
      <w:r>
        <w:rPr>
          <w:rFonts w:hint="eastAsia" w:ascii="宋体" w:hAnsi="宋体" w:eastAsia="宋体" w:cs="宋体"/>
          <w:color w:val="auto"/>
        </w:rPr>
        <w:t>对未通过资格审查的投标人，采购人或</w:t>
      </w:r>
      <w:r>
        <w:rPr>
          <w:rFonts w:hint="eastAsia" w:ascii="宋体" w:hAnsi="宋体" w:eastAsia="宋体" w:cs="宋体"/>
          <w:color w:val="auto"/>
          <w:lang w:eastAsia="zh-CN"/>
        </w:rPr>
        <w:t>采购代理机构</w:t>
      </w:r>
      <w:r>
        <w:rPr>
          <w:rFonts w:hint="eastAsia" w:ascii="宋体" w:hAnsi="宋体" w:eastAsia="宋体" w:cs="宋体"/>
          <w:color w:val="auto"/>
        </w:rPr>
        <w:t>告知其未通过的原因。</w:t>
      </w:r>
    </w:p>
    <w:p>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lang w:val="en-US" w:eastAsia="zh-CN"/>
        </w:rPr>
        <w:t>4</w:t>
      </w:r>
      <w:r>
        <w:rPr>
          <w:rFonts w:hint="eastAsia" w:ascii="宋体" w:hAnsi="宋体" w:eastAsia="宋体" w:cs="宋体"/>
          <w:color w:val="auto"/>
        </w:rPr>
        <w:t>合格投标人不足3家的，不再评标。</w:t>
      </w:r>
    </w:p>
    <w:p>
      <w:pPr>
        <w:pStyle w:val="128"/>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20、信用信息查询</w:t>
      </w:r>
    </w:p>
    <w:p>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w:t>
      </w:r>
      <w:r>
        <w:rPr>
          <w:rFonts w:hint="eastAsia" w:ascii="宋体" w:hAnsi="宋体" w:eastAsia="宋体" w:cs="宋体"/>
          <w:color w:val="auto"/>
          <w:kern w:val="0"/>
          <w:szCs w:val="24"/>
          <w:lang w:eastAsia="zh-CN"/>
        </w:rPr>
        <w:t>采购代理机构</w:t>
      </w:r>
      <w:r>
        <w:rPr>
          <w:rFonts w:hint="eastAsia" w:ascii="宋体" w:hAnsi="宋体" w:eastAsia="宋体" w:cs="宋体"/>
          <w:color w:val="auto"/>
          <w:kern w:val="0"/>
          <w:szCs w:val="24"/>
        </w:rPr>
        <w:t>将在资格审查时通过“信用中国”网站(www.creditchina.gov.cn)、中国政府采购网(www.ccgp.gov.cn)渠道查询投标人接受资格审查时的信用记录。</w:t>
      </w:r>
    </w:p>
    <w:p>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pPr>
        <w:pStyle w:val="128"/>
        <w:spacing w:before="0"/>
        <w:ind w:firstLine="0" w:firstLineChars="0"/>
        <w:rPr>
          <w:rFonts w:hint="eastAsia" w:ascii="宋体" w:hAnsi="宋体" w:eastAsia="宋体" w:cs="宋体"/>
          <w:color w:val="auto"/>
          <w:kern w:val="0"/>
          <w:szCs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五、评标</w:t>
      </w:r>
    </w:p>
    <w:p>
      <w:pPr>
        <w:spacing w:line="360" w:lineRule="auto"/>
        <w:rPr>
          <w:rFonts w:hint="eastAsia" w:ascii="宋体" w:hAnsi="宋体" w:eastAsia="宋体" w:cs="宋体"/>
          <w:b/>
          <w:color w:val="auto"/>
          <w:sz w:val="24"/>
        </w:rPr>
      </w:pPr>
      <w:bookmarkStart w:id="18" w:name="_Toc91899903"/>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pPr>
        <w:spacing w:line="360" w:lineRule="auto"/>
        <w:rPr>
          <w:rFonts w:hint="eastAsia" w:ascii="宋体" w:hAnsi="宋体" w:eastAsia="宋体" w:cs="宋体"/>
          <w:b/>
          <w:color w:val="auto"/>
          <w:sz w:val="24"/>
        </w:rPr>
      </w:pPr>
    </w:p>
    <w:p>
      <w:pPr>
        <w:snapToGrid w:val="0"/>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六、定 标</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pPr>
        <w:pStyle w:val="128"/>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通过电子交易平台向中标人发出中标通知书，同时编制发布采购结果公告。</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pPr>
        <w:pStyle w:val="3"/>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kern w:val="2"/>
          <w:sz w:val="24"/>
        </w:rPr>
        <w:t>。</w:t>
      </w:r>
      <w:r>
        <w:rPr>
          <w:rFonts w:hint="eastAsia" w:ascii="宋体" w:hAnsi="宋体" w:eastAsia="宋体" w:cs="宋体"/>
          <w:color w:val="auto"/>
          <w:sz w:val="24"/>
        </w:rPr>
        <w:t>鼓励和支持供应商以银行、保险公司出具的保函形式提供履约保证金。采购人不得拒收履约保函，项目验收结束后应及时退还，延迟退还的，应当按照合同约定和法律规定承担相应的赔偿责任。</w:t>
      </w:r>
    </w:p>
    <w:p>
      <w:pPr>
        <w:pStyle w:val="5"/>
        <w:ind w:left="0" w:firstLine="480" w:firstLineChars="200"/>
        <w:rPr>
          <w:rFonts w:hint="eastAsia"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rPr>
      </w:pPr>
    </w:p>
    <w:p>
      <w:pPr>
        <w:snapToGrid w:val="0"/>
        <w:spacing w:line="360" w:lineRule="auto"/>
        <w:ind w:firstLine="3357" w:firstLineChars="1045"/>
        <w:rPr>
          <w:rFonts w:hint="eastAsia" w:ascii="宋体" w:hAnsi="宋体" w:eastAsia="宋体" w:cs="宋体"/>
          <w:b/>
          <w:color w:val="auto"/>
          <w:sz w:val="32"/>
        </w:rPr>
      </w:pPr>
    </w:p>
    <w:p>
      <w:pPr>
        <w:snapToGrid w:val="0"/>
        <w:spacing w:line="360" w:lineRule="auto"/>
        <w:ind w:firstLine="3357" w:firstLineChars="1045"/>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pPr>
        <w:pStyle w:val="128"/>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kern w:val="2"/>
          <w:sz w:val="24"/>
          <w:szCs w:val="20"/>
        </w:rPr>
        <w:t>2</w:t>
      </w:r>
      <w:r>
        <w:rPr>
          <w:rFonts w:hint="eastAsia" w:ascii="宋体" w:hAnsi="宋体" w:eastAsia="宋体" w:cs="宋体"/>
          <w:b/>
          <w:bCs/>
          <w:color w:val="auto"/>
          <w:kern w:val="2"/>
          <w:sz w:val="24"/>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w:t>
      </w:r>
      <w:r>
        <w:rPr>
          <w:rFonts w:hint="eastAsia" w:ascii="宋体" w:hAnsi="宋体" w:eastAsia="宋体" w:cs="宋体"/>
          <w:color w:val="auto"/>
          <w:lang w:eastAsia="zh-CN"/>
        </w:rPr>
        <w:t>采购代理机构</w:t>
      </w:r>
      <w:r>
        <w:rPr>
          <w:rFonts w:hint="eastAsia" w:ascii="宋体" w:hAnsi="宋体" w:eastAsia="宋体" w:cs="宋体"/>
          <w:color w:val="auto"/>
        </w:rPr>
        <w:t>可中止电子交易活动：</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pPr>
        <w:pStyle w:val="128"/>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pPr>
        <w:pStyle w:val="128"/>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rPr>
      </w:pPr>
    </w:p>
    <w:p>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pPr>
        <w:pStyle w:val="3"/>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30.验收</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hint="eastAsia" w:ascii="宋体" w:hAnsi="宋体" w:eastAsia="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30295"/>
      <w:bookmarkEnd w:id="19"/>
      <w:bookmarkStart w:id="20" w:name="_Hlt74714665"/>
      <w:bookmarkEnd w:id="20"/>
      <w:bookmarkStart w:id="21" w:name="_Hlt74729768"/>
      <w:bookmarkEnd w:id="21"/>
      <w:bookmarkStart w:id="22" w:name="_Hlt68072998"/>
      <w:bookmarkEnd w:id="22"/>
      <w:bookmarkStart w:id="23" w:name="_Hlt68073093"/>
      <w:bookmarkEnd w:id="23"/>
      <w:bookmarkStart w:id="24" w:name="_Hlt75236011"/>
      <w:bookmarkEnd w:id="24"/>
      <w:bookmarkStart w:id="25" w:name="_Hlt68403820"/>
      <w:bookmarkEnd w:id="25"/>
      <w:bookmarkStart w:id="26" w:name="_Hlt68072990"/>
      <w:bookmarkEnd w:id="26"/>
      <w:bookmarkStart w:id="27" w:name="_Hlt75236290"/>
      <w:bookmarkEnd w:id="27"/>
      <w:bookmarkStart w:id="28" w:name="_Hlt74707468"/>
      <w:bookmarkEnd w:id="28"/>
      <w:bookmarkStart w:id="29" w:name="_Hlt75236101"/>
      <w:bookmarkEnd w:id="29"/>
      <w:bookmarkStart w:id="30" w:name="_Hlt68057669"/>
      <w:bookmarkEnd w:id="30"/>
    </w:p>
    <w:bookmarkEnd w:id="13"/>
    <w:bookmarkEnd w:id="14"/>
    <w:p>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pPr>
        <w:widowControl/>
        <w:autoSpaceDE w:val="0"/>
        <w:autoSpaceDN w:val="0"/>
        <w:spacing w:line="360" w:lineRule="auto"/>
        <w:jc w:val="left"/>
        <w:textAlignment w:val="bottom"/>
        <w:rPr>
          <w:rFonts w:hint="eastAsia" w:ascii="宋体" w:hAnsi="宋体" w:cs="宋体"/>
          <w:b/>
          <w:color w:val="auto"/>
          <w:kern w:val="0"/>
          <w:sz w:val="24"/>
        </w:rPr>
      </w:pPr>
      <w:r>
        <w:rPr>
          <w:rFonts w:hint="eastAsia" w:ascii="宋体" w:hAnsi="宋体" w:cs="宋体"/>
          <w:b/>
          <w:color w:val="auto"/>
          <w:kern w:val="0"/>
          <w:sz w:val="24"/>
        </w:rPr>
        <w:t>中文图书项目（人文类、艺术类、财经类、文学类、科技类、生活类）技术规范和服务要求：</w:t>
      </w:r>
    </w:p>
    <w:p>
      <w:pPr>
        <w:pStyle w:val="2"/>
        <w:ind w:left="0" w:leftChars="0" w:firstLine="0" w:firstLineChars="0"/>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1、图书订购服务</w:t>
      </w:r>
    </w:p>
    <w:p>
      <w:pPr>
        <w:spacing w:line="360" w:lineRule="auto"/>
        <w:ind w:firstLine="480" w:firstLineChars="200"/>
        <w:jc w:val="left"/>
        <w:rPr>
          <w:rFonts w:hint="eastAsia" w:ascii="宋体" w:hAnsi="宋体" w:eastAsia="宋体" w:cs="宋体"/>
          <w:color w:val="000000"/>
          <w:sz w:val="24"/>
          <w:lang w:eastAsia="zh-CN"/>
        </w:rPr>
      </w:pPr>
      <w:r>
        <w:rPr>
          <w:rFonts w:hint="eastAsia" w:ascii="宋体" w:hAnsi="宋体" w:cs="宋体"/>
          <w:color w:val="auto"/>
          <w:sz w:val="24"/>
          <w:lang w:eastAsia="zh-CN"/>
        </w:rPr>
        <w:t>（</w:t>
      </w: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000000"/>
          <w:sz w:val="24"/>
        </w:rPr>
        <w:t>图书品种丰富，具有广泛的图书来源渠道，与全国多数图书出版单位有稳定供货关系。中标人每周提供书目信息服务，以订单形式发给采购人</w:t>
      </w:r>
      <w:r>
        <w:rPr>
          <w:rFonts w:hint="eastAsia" w:ascii="宋体" w:hAnsi="宋体" w:cs="宋体"/>
          <w:color w:val="000000"/>
          <w:sz w:val="24"/>
          <w:lang w:eastAsia="zh-CN"/>
        </w:rPr>
        <w:t>，</w:t>
      </w:r>
      <w:r>
        <w:rPr>
          <w:rFonts w:hint="eastAsia" w:ascii="宋体" w:hAnsi="宋体" w:eastAsia="宋体" w:cs="宋体"/>
          <w:color w:val="000000"/>
          <w:sz w:val="24"/>
        </w:rPr>
        <w:t>提供的</w:t>
      </w:r>
      <w:r>
        <w:rPr>
          <w:rFonts w:hint="eastAsia" w:ascii="宋体" w:hAnsi="宋体" w:eastAsia="宋体" w:cs="宋体"/>
          <w:color w:val="000000"/>
          <w:sz w:val="24"/>
          <w:lang w:val="en-US" w:eastAsia="zh-CN"/>
        </w:rPr>
        <w:t>书目</w:t>
      </w:r>
      <w:r>
        <w:rPr>
          <w:rFonts w:hint="eastAsia" w:ascii="宋体" w:hAnsi="宋体" w:eastAsia="宋体" w:cs="宋体"/>
          <w:color w:val="000000"/>
          <w:sz w:val="24"/>
        </w:rPr>
        <w:t>信息时效性强</w:t>
      </w:r>
      <w:r>
        <w:rPr>
          <w:rFonts w:hint="eastAsia" w:ascii="宋体" w:hAnsi="宋体" w:cs="宋体"/>
          <w:color w:val="000000"/>
          <w:sz w:val="24"/>
        </w:rPr>
        <w:t>，新书在发行一周内出现在书目信息中。订单内容分为社科类、自科类、综合类</w:t>
      </w:r>
      <w:r>
        <w:rPr>
          <w:rFonts w:hint="eastAsia" w:ascii="宋体" w:hAnsi="宋体" w:cs="宋体"/>
          <w:color w:val="000000"/>
          <w:sz w:val="24"/>
          <w:lang w:val="en-US" w:eastAsia="zh-CN"/>
        </w:rPr>
        <w:t>及地方文献</w:t>
      </w:r>
      <w:r>
        <w:rPr>
          <w:rFonts w:hint="eastAsia" w:ascii="宋体" w:hAnsi="宋体" w:cs="宋体"/>
          <w:color w:val="000000"/>
          <w:sz w:val="24"/>
        </w:rPr>
        <w:t>。书目提供时，</w:t>
      </w:r>
      <w:r>
        <w:rPr>
          <w:rFonts w:hint="eastAsia" w:ascii="宋体" w:hAnsi="宋体" w:eastAsia="宋体" w:cs="宋体"/>
          <w:color w:val="000000"/>
          <w:sz w:val="24"/>
        </w:rPr>
        <w:t>采访数据完整、准确，</w:t>
      </w:r>
      <w:r>
        <w:rPr>
          <w:rFonts w:hint="eastAsia" w:ascii="宋体" w:hAnsi="宋体" w:cs="宋体"/>
          <w:b w:val="0"/>
          <w:bCs/>
          <w:color w:val="000000"/>
          <w:kern w:val="0"/>
          <w:sz w:val="24"/>
        </w:rPr>
        <w:t>人文类、艺术类、财经类、文学类、科技类、生活类</w:t>
      </w:r>
      <w:r>
        <w:rPr>
          <w:rFonts w:hint="eastAsia" w:ascii="宋体" w:hAnsi="宋体" w:eastAsia="宋体" w:cs="宋体"/>
          <w:color w:val="000000"/>
          <w:sz w:val="24"/>
        </w:rPr>
        <w:t>书目信息覆盖面达95%以上，</w:t>
      </w:r>
      <w:r>
        <w:rPr>
          <w:rFonts w:hint="eastAsia" w:ascii="宋体" w:hAnsi="宋体" w:cs="宋体"/>
          <w:color w:val="000000"/>
          <w:sz w:val="24"/>
        </w:rPr>
        <w:t>杭州地方出版社出版信息覆盖率要求达到100%，</w:t>
      </w:r>
      <w:r>
        <w:rPr>
          <w:rFonts w:hint="eastAsia" w:ascii="宋体" w:hAnsi="宋体" w:cs="宋体"/>
          <w:color w:val="000000"/>
          <w:sz w:val="24"/>
          <w:lang w:val="en-US" w:eastAsia="zh-CN"/>
        </w:rPr>
        <w:t>提供当年度地方出版社（杭州出版社、西泠印社出版社）以外的杭州地方文献书目不少于200种。</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中标人具有出版社包销书、线上包销书、书商独立发行的图书供货能力，能按采购人要求提供此类图书的采购服务，并不得向采购人限制性提供图书书目。</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根据采购人最新图书采访流程的设置，中标人必须按采购人的要求，同时提供EXCEL新书目录及相同的CNMARC数据，并按中图法分类排序进行提供；采购人要求中标人提供的必须是现货数据而非期货数据。</w:t>
      </w:r>
    </w:p>
    <w:p>
      <w:pPr>
        <w:spacing w:line="360" w:lineRule="auto"/>
        <w:ind w:firstLine="480" w:firstLineChars="200"/>
        <w:jc w:val="left"/>
        <w:rPr>
          <w:rFonts w:hint="default" w:eastAsia="宋体"/>
          <w:color w:val="auto"/>
          <w:lang w:val="en-US" w:eastAsia="zh-CN"/>
        </w:rPr>
      </w:pPr>
      <w:r>
        <w:rPr>
          <w:rFonts w:hint="eastAsia" w:ascii="宋体" w:hAnsi="宋体" w:cs="宋体"/>
          <w:color w:val="auto"/>
          <w:sz w:val="24"/>
          <w:lang w:val="en-US" w:eastAsia="zh-CN"/>
        </w:rPr>
        <w:t>（4）中标人应根据采购人的要求，提供看样现采、送样现采、急需图书采购等多种形式的服务，及时向采购人提供相关大型书展信息。中标人对于采购人急需图书的采购需求不得推诿，须在当日提供符合要求的图书并送达采购人指定地点，或给出解决方案。</w:t>
      </w:r>
    </w:p>
    <w:p>
      <w:pPr>
        <w:pStyle w:val="2"/>
        <w:ind w:left="0" w:leftChars="0" w:firstLine="0" w:firstLineChars="0"/>
        <w:rPr>
          <w:rFonts w:hint="eastAsia" w:ascii="宋体" w:hAnsi="宋体" w:cs="宋体"/>
          <w:b/>
          <w:bCs/>
          <w:color w:val="auto"/>
          <w:sz w:val="24"/>
          <w:lang w:val="en-US" w:eastAsia="zh-CN"/>
        </w:rPr>
      </w:pPr>
      <w:r>
        <w:rPr>
          <w:rFonts w:hint="eastAsia" w:ascii="宋体" w:hAnsi="宋体" w:cs="宋体"/>
          <w:b/>
          <w:bCs/>
          <w:color w:val="auto"/>
          <w:sz w:val="24"/>
          <w:lang w:val="en-US" w:eastAsia="zh-CN"/>
        </w:rPr>
        <w:t>2、图书质量与到货率</w:t>
      </w:r>
    </w:p>
    <w:p>
      <w:pPr>
        <w:widowControl/>
        <w:spacing w:before="60" w:after="60" w:line="360" w:lineRule="auto"/>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（1）中标人保证所供应图书的内容、版本及进货来源合法，并承担相应的法律责任。</w:t>
      </w:r>
    </w:p>
    <w:p>
      <w:pPr>
        <w:widowControl/>
        <w:spacing w:before="60" w:after="60"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中标人送交到采购人的图书不能有任何质量问题。若验收时发现有污损、图文不清、缺页、倒装、缺附件等不合格的图书，以及与订单不符的图书，一律予以退换，退换费用由中标人承担。</w:t>
      </w:r>
    </w:p>
    <w:p>
      <w:pPr>
        <w:widowControl/>
        <w:spacing w:before="60" w:after="60"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中标人应保证全年的到书率不低于投标文件承诺到货率。</w:t>
      </w:r>
    </w:p>
    <w:p>
      <w:pPr>
        <w:pStyle w:val="2"/>
        <w:ind w:left="0" w:leftChars="0" w:firstLine="0" w:firstLineChars="0"/>
        <w:rPr>
          <w:rFonts w:hint="default" w:ascii="宋体" w:hAnsi="宋体" w:cs="宋体"/>
          <w:b/>
          <w:bCs/>
          <w:color w:val="auto"/>
          <w:sz w:val="24"/>
          <w:lang w:val="en-US" w:eastAsia="zh-CN"/>
        </w:rPr>
      </w:pPr>
      <w:r>
        <w:rPr>
          <w:rFonts w:hint="eastAsia" w:ascii="宋体" w:hAnsi="宋体" w:cs="宋体"/>
          <w:b/>
          <w:bCs/>
          <w:color w:val="auto"/>
          <w:sz w:val="24"/>
          <w:lang w:val="en-US" w:eastAsia="zh-CN"/>
        </w:rPr>
        <w:t>3、图书配送服务</w:t>
      </w:r>
    </w:p>
    <w:p>
      <w:pPr>
        <w:widowControl/>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（1）中标人</w:t>
      </w:r>
      <w:r>
        <w:rPr>
          <w:rFonts w:hint="eastAsia" w:ascii="宋体" w:hAnsi="宋体" w:cs="宋体"/>
          <w:color w:val="auto"/>
          <w:sz w:val="24"/>
        </w:rPr>
        <w:t>收到采购人订单后</w:t>
      </w:r>
      <w:r>
        <w:rPr>
          <w:rFonts w:hint="eastAsia" w:ascii="宋体" w:hAnsi="宋体" w:cs="宋体"/>
          <w:color w:val="auto"/>
          <w:sz w:val="24"/>
          <w:lang w:eastAsia="zh-CN"/>
        </w:rPr>
        <w:t>，</w:t>
      </w:r>
      <w:r>
        <w:rPr>
          <w:rFonts w:hint="eastAsia" w:ascii="宋体" w:hAnsi="宋体" w:cs="宋体"/>
          <w:color w:val="auto"/>
          <w:sz w:val="24"/>
          <w:lang w:val="en-US" w:eastAsia="zh-CN"/>
        </w:rPr>
        <w:t>应按照</w:t>
      </w:r>
      <w:r>
        <w:rPr>
          <w:rFonts w:hint="eastAsia" w:ascii="宋体" w:hAnsi="宋体" w:cs="宋体"/>
          <w:color w:val="auto"/>
          <w:sz w:val="24"/>
        </w:rPr>
        <w:t>采购人提出的书目、</w:t>
      </w:r>
      <w:r>
        <w:rPr>
          <w:rFonts w:hint="eastAsia" w:ascii="宋体" w:hAnsi="宋体" w:cs="宋体"/>
          <w:color w:val="auto"/>
          <w:sz w:val="24"/>
          <w:lang w:val="en-US" w:eastAsia="zh-CN"/>
        </w:rPr>
        <w:t>初</w:t>
      </w:r>
      <w:r>
        <w:rPr>
          <w:rFonts w:hint="eastAsia" w:ascii="宋体" w:hAnsi="宋体" w:cs="宋体"/>
          <w:color w:val="auto"/>
          <w:sz w:val="24"/>
        </w:rPr>
        <w:t>加工及包装要求，15个工作日</w:t>
      </w:r>
      <w:r>
        <w:rPr>
          <w:rFonts w:hint="eastAsia" w:ascii="宋体" w:hAnsi="宋体" w:cs="宋体"/>
          <w:color w:val="auto"/>
          <w:sz w:val="24"/>
          <w:lang w:val="en-US" w:eastAsia="zh-CN"/>
        </w:rPr>
        <w:t>内</w:t>
      </w:r>
      <w:r>
        <w:rPr>
          <w:rFonts w:hint="eastAsia" w:ascii="宋体" w:hAnsi="宋体" w:cs="宋体"/>
          <w:color w:val="auto"/>
          <w:sz w:val="24"/>
        </w:rPr>
        <w:t>将</w:t>
      </w:r>
      <w:r>
        <w:rPr>
          <w:rFonts w:hint="eastAsia" w:ascii="宋体" w:hAnsi="宋体" w:cs="宋体"/>
          <w:color w:val="auto"/>
          <w:sz w:val="24"/>
          <w:lang w:val="en-US" w:eastAsia="zh-CN"/>
        </w:rPr>
        <w:t>初</w:t>
      </w:r>
      <w:r>
        <w:rPr>
          <w:rFonts w:hint="eastAsia" w:ascii="宋体" w:hAnsi="宋体" w:cs="宋体"/>
          <w:color w:val="auto"/>
          <w:sz w:val="24"/>
        </w:rPr>
        <w:t>加工好的图书按采购人提供的订购单批次及时送交到采购人指定地点，为此所发生的费用全部由中标人承担。</w:t>
      </w:r>
    </w:p>
    <w:p>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中标人在递交每一批图书时，同时提供加盖</w:t>
      </w:r>
      <w:r>
        <w:rPr>
          <w:rFonts w:hint="eastAsia" w:ascii="宋体" w:hAnsi="宋体" w:cs="宋体"/>
          <w:color w:val="auto"/>
          <w:sz w:val="24"/>
          <w:lang w:val="en-US" w:eastAsia="zh-CN"/>
        </w:rPr>
        <w:t>中标人</w:t>
      </w:r>
      <w:r>
        <w:rPr>
          <w:rFonts w:hint="eastAsia" w:ascii="宋体" w:hAnsi="宋体" w:cs="宋体"/>
          <w:color w:val="auto"/>
          <w:sz w:val="24"/>
        </w:rPr>
        <w:t>公章的该批图书的清单一式三份，并提供规范的CNMARC格式编目数据。图书分类法应采用现行《中图法》的最新版本。</w:t>
      </w:r>
    </w:p>
    <w:p>
      <w:pPr>
        <w:widowControl/>
        <w:spacing w:before="60" w:after="60"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同一批次未配送的部分在本批次加工完成后报采购人，同时告知该批次图书能配送的确切时间</w:t>
      </w:r>
      <w:r>
        <w:rPr>
          <w:rFonts w:hint="eastAsia" w:ascii="宋体" w:hAnsi="宋体" w:cs="宋体"/>
          <w:color w:val="auto"/>
          <w:sz w:val="24"/>
          <w:lang w:eastAsia="zh-CN"/>
        </w:rPr>
        <w:t>，</w:t>
      </w:r>
      <w:r>
        <w:rPr>
          <w:rFonts w:hint="eastAsia" w:ascii="宋体" w:hAnsi="宋体" w:cs="宋体"/>
          <w:color w:val="auto"/>
          <w:sz w:val="24"/>
        </w:rPr>
        <w:t>以确保采购人已订购图书的到馆率及图书资源的完整性。除推迟出版或发生影响协议履行的不可抗力事情外，若不能按时供货的图书种数或册数超过订单订购数的20%即可认定中标人不具备供货条件。一旦采购人提出终止供货的要求，中标人必须接受，终止供货所造成的损失由中标人承担。为尽可能消除因中标人不能按协议规定要求供货所造成的影响，采购人有权采取相应的补救措施（如直接向出版商邮购图书或向其他供货商补订图书），由此给采购人造成的各项损失或增加的各项费用（如折扣损失、邮费、数据费、加工费）等均由违约的中标人承担。</w:t>
      </w:r>
    </w:p>
    <w:p>
      <w:pPr>
        <w:widowControl/>
        <w:numPr>
          <w:ilvl w:val="0"/>
          <w:numId w:val="0"/>
        </w:numPr>
        <w:spacing w:before="60" w:after="60" w:line="360" w:lineRule="auto"/>
        <w:jc w:val="left"/>
        <w:rPr>
          <w:rFonts w:hint="eastAsia" w:ascii="宋体" w:hAnsi="宋体" w:cs="宋体"/>
          <w:b/>
          <w:bCs/>
          <w:color w:val="auto"/>
          <w:sz w:val="24"/>
          <w:lang w:val="en-US" w:eastAsia="zh-CN"/>
        </w:rPr>
      </w:pPr>
      <w:r>
        <w:rPr>
          <w:rFonts w:hint="eastAsia" w:ascii="宋体" w:hAnsi="宋体" w:cs="宋体"/>
          <w:b/>
          <w:bCs/>
          <w:color w:val="auto"/>
          <w:sz w:val="24"/>
          <w:lang w:val="en-US" w:eastAsia="zh-CN"/>
        </w:rPr>
        <w:t>4、图书数据服务</w:t>
      </w:r>
    </w:p>
    <w:p>
      <w:pPr>
        <w:widowControl/>
        <w:numPr>
          <w:ilvl w:val="0"/>
          <w:numId w:val="0"/>
        </w:numPr>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中标人提供的征订数据必须以CNMARC格式文件提供。CNMARC格式的采访数据应包括如下项目：订购号（征订号）、ISBN号、书名、著者、出版社、出版时间、丛书名、单价、页码、尺寸、读者对象、内容提要和一级分类号等信息。</w:t>
      </w:r>
    </w:p>
    <w:p>
      <w:pPr>
        <w:widowControl/>
        <w:numPr>
          <w:ilvl w:val="0"/>
          <w:numId w:val="0"/>
        </w:numPr>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（2）中标人</w:t>
      </w:r>
      <w:r>
        <w:rPr>
          <w:rFonts w:hint="eastAsia" w:ascii="宋体" w:hAnsi="宋体" w:cs="宋体"/>
          <w:color w:val="auto"/>
          <w:sz w:val="24"/>
        </w:rPr>
        <w:t>提供的到馆图书编目数据必须以CNMARC格式文件提供</w:t>
      </w:r>
      <w:r>
        <w:rPr>
          <w:rFonts w:hint="eastAsia" w:ascii="宋体" w:hAnsi="宋体" w:cs="宋体"/>
          <w:color w:val="auto"/>
          <w:sz w:val="24"/>
          <w:lang w:val="en-US" w:eastAsia="zh-CN"/>
        </w:rPr>
        <w:t>，</w:t>
      </w:r>
      <w:r>
        <w:rPr>
          <w:rFonts w:hint="eastAsia" w:ascii="宋体" w:hAnsi="宋体" w:cs="宋体"/>
          <w:color w:val="auto"/>
          <w:sz w:val="24"/>
        </w:rPr>
        <w:t>CNMARC格式的编目数据应规范、完整，包括如下项目：完整的头标区、010、016、100、101、102、105、106、200、210、215、225、300、330、461、462、6--、7—等字段。6字段的分类、主题标引都应按中图法（最新版本）和分类主题词表（最新版本）详尽著录。</w:t>
      </w:r>
    </w:p>
    <w:p>
      <w:pPr>
        <w:pStyle w:val="2"/>
        <w:ind w:left="0" w:leftChars="0" w:firstLine="0" w:firstLineChars="0"/>
        <w:rPr>
          <w:rFonts w:hint="default" w:eastAsia="宋体"/>
          <w:b/>
          <w:bCs/>
          <w:color w:val="auto"/>
          <w:lang w:val="en-US" w:eastAsia="zh-CN"/>
        </w:rPr>
      </w:pPr>
      <w:r>
        <w:rPr>
          <w:rFonts w:hint="eastAsia" w:ascii="宋体" w:hAnsi="宋体" w:cs="宋体"/>
          <w:b/>
          <w:bCs/>
          <w:color w:val="auto"/>
          <w:sz w:val="24"/>
          <w:lang w:val="en-US" w:eastAsia="zh-CN"/>
        </w:rPr>
        <w:t>5、图书加工服务</w:t>
      </w:r>
    </w:p>
    <w:p>
      <w:pPr>
        <w:spacing w:before="60" w:after="60"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中标人提供</w:t>
      </w:r>
      <w:r>
        <w:rPr>
          <w:rFonts w:hint="eastAsia" w:ascii="宋体" w:hAnsi="宋体" w:cs="宋体"/>
          <w:color w:val="auto"/>
          <w:sz w:val="24"/>
          <w:lang w:val="en-US" w:eastAsia="zh-CN"/>
        </w:rPr>
        <w:t>所供</w:t>
      </w:r>
      <w:r>
        <w:rPr>
          <w:rFonts w:hint="eastAsia" w:ascii="宋体" w:hAnsi="宋体" w:cs="宋体"/>
          <w:color w:val="auto"/>
          <w:sz w:val="24"/>
        </w:rPr>
        <w:t>图书的全加工工作，内容包括：加贴条码、磁条、RFID芯片、盖章、完整的书目记录、馆藏分配、加贴书标、加贴标识、附件加工、RFID转换、分类上架。RFID（高频）标签（按采购人要求）及全加工所产生的劳务费用由中标人承担，加工进度和质量须按采购人要求。</w:t>
      </w:r>
    </w:p>
    <w:p>
      <w:pPr>
        <w:spacing w:before="60" w:after="60"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中标人需承担采购人</w:t>
      </w:r>
      <w:r>
        <w:rPr>
          <w:rFonts w:hint="eastAsia" w:ascii="宋体" w:hAnsi="宋体" w:cs="宋体"/>
          <w:color w:val="auto"/>
          <w:sz w:val="24"/>
          <w:lang w:val="en-US" w:eastAsia="zh-CN"/>
        </w:rPr>
        <w:t>通过其他渠道入藏图书</w:t>
      </w:r>
      <w:r>
        <w:rPr>
          <w:rFonts w:hint="eastAsia" w:ascii="宋体" w:hAnsi="宋体" w:cs="宋体"/>
          <w:color w:val="auto"/>
          <w:sz w:val="24"/>
        </w:rPr>
        <w:t>的全加工工作，内容包括：加贴条码、磁条、RFID芯片、盖章、完整的书目记录、馆藏分配、加贴书标、加贴标识、附件加工、RFID转换、分类上架。RFID（高频）标签</w:t>
      </w:r>
      <w:r>
        <w:rPr>
          <w:rFonts w:hint="eastAsia" w:ascii="宋体" w:hAnsi="宋体" w:cs="宋体"/>
          <w:color w:val="auto"/>
          <w:sz w:val="24"/>
          <w:lang w:val="en-US" w:eastAsia="zh-CN"/>
        </w:rPr>
        <w:t>由</w:t>
      </w:r>
      <w:r>
        <w:rPr>
          <w:rFonts w:hint="eastAsia" w:ascii="宋体" w:hAnsi="宋体" w:cs="宋体"/>
          <w:color w:val="auto"/>
          <w:sz w:val="24"/>
        </w:rPr>
        <w:t>采购人</w:t>
      </w:r>
      <w:r>
        <w:rPr>
          <w:rFonts w:hint="eastAsia" w:ascii="宋体" w:hAnsi="宋体" w:cs="宋体"/>
          <w:color w:val="auto"/>
          <w:sz w:val="24"/>
          <w:lang w:val="en-US" w:eastAsia="zh-CN"/>
        </w:rPr>
        <w:t>提供，</w:t>
      </w:r>
      <w:r>
        <w:rPr>
          <w:rFonts w:hint="eastAsia" w:ascii="宋体" w:hAnsi="宋体" w:cs="宋体"/>
          <w:color w:val="auto"/>
          <w:sz w:val="24"/>
        </w:rPr>
        <w:t>全加工所产生的劳务费用由中标人承担，加工进度和质量须按采购人要求。</w:t>
      </w:r>
    </w:p>
    <w:p>
      <w:pPr>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olor w:val="auto"/>
          <w:sz w:val="24"/>
        </w:rPr>
        <w:t>中标人提供不少于</w:t>
      </w:r>
      <w:r>
        <w:rPr>
          <w:rFonts w:hint="eastAsia" w:ascii="宋体" w:hAnsi="宋体"/>
          <w:color w:val="auto"/>
          <w:sz w:val="24"/>
          <w:lang w:val="en-US" w:eastAsia="zh-CN"/>
        </w:rPr>
        <w:t>3</w:t>
      </w:r>
      <w:r>
        <w:rPr>
          <w:rFonts w:hint="eastAsia" w:ascii="宋体" w:hAnsi="宋体"/>
          <w:color w:val="auto"/>
          <w:sz w:val="24"/>
        </w:rPr>
        <w:t>名全加工人员到</w:t>
      </w:r>
      <w:r>
        <w:rPr>
          <w:rFonts w:hint="eastAsia" w:ascii="宋体" w:hAnsi="宋体" w:cs="宋体"/>
          <w:color w:val="auto"/>
          <w:sz w:val="24"/>
        </w:rPr>
        <w:t>馆加工图书，其中编目加工人员须持有</w:t>
      </w:r>
      <w:r>
        <w:rPr>
          <w:rFonts w:hint="eastAsia" w:hAnsi="宋体" w:cs="宋体"/>
          <w:color w:val="auto"/>
          <w:sz w:val="24"/>
          <w:lang w:val="en-US" w:eastAsia="zh-CN"/>
        </w:rPr>
        <w:t>国家图书馆或其他大型公共图书馆颁发的编目</w:t>
      </w:r>
      <w:r>
        <w:rPr>
          <w:rFonts w:hint="eastAsia" w:hAnsi="宋体" w:cs="宋体"/>
          <w:color w:val="auto"/>
          <w:sz w:val="24"/>
        </w:rPr>
        <w:t>资格证书，</w:t>
      </w:r>
      <w:r>
        <w:rPr>
          <w:rFonts w:hint="eastAsia" w:ascii="宋体" w:hAnsi="宋体" w:cs="宋体"/>
          <w:color w:val="auto"/>
          <w:sz w:val="24"/>
        </w:rPr>
        <w:t>加工人员接受采购人的培训、指导和管理。中标人派驻的到馆全加工人员一年内更换不得超过三人次。</w:t>
      </w:r>
    </w:p>
    <w:p>
      <w:pPr>
        <w:spacing w:before="60" w:after="60"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(4）无特殊情况，到馆图书</w:t>
      </w:r>
      <w:r>
        <w:rPr>
          <w:rFonts w:hint="eastAsia" w:ascii="宋体" w:hAnsi="宋体"/>
          <w:color w:val="auto"/>
          <w:sz w:val="24"/>
        </w:rPr>
        <w:t>在送达后的5个工作日内加工完毕</w:t>
      </w:r>
      <w:r>
        <w:rPr>
          <w:rFonts w:hint="eastAsia" w:ascii="宋体" w:hAnsi="宋体"/>
          <w:color w:val="auto"/>
          <w:sz w:val="24"/>
          <w:lang w:eastAsia="zh-CN"/>
        </w:rPr>
        <w:t>。</w:t>
      </w:r>
    </w:p>
    <w:p>
      <w:pPr>
        <w:pStyle w:val="2"/>
        <w:ind w:left="0" w:leftChars="0" w:firstLine="0" w:firstLineChars="0"/>
        <w:rPr>
          <w:rFonts w:hint="default" w:ascii="宋体" w:hAnsi="宋体" w:cs="宋体"/>
          <w:b/>
          <w:bCs/>
          <w:color w:val="auto"/>
          <w:sz w:val="24"/>
          <w:lang w:val="en-US" w:eastAsia="zh-CN"/>
        </w:rPr>
      </w:pPr>
      <w:r>
        <w:rPr>
          <w:rFonts w:hint="eastAsia" w:ascii="宋体" w:hAnsi="宋体" w:cs="宋体"/>
          <w:b/>
          <w:bCs/>
          <w:color w:val="auto"/>
          <w:sz w:val="24"/>
          <w:lang w:val="en-US" w:eastAsia="zh-CN"/>
        </w:rPr>
        <w:t>6、付款方式</w:t>
      </w:r>
    </w:p>
    <w:p>
      <w:pPr>
        <w:widowControl/>
        <w:spacing w:before="60" w:after="60" w:line="360" w:lineRule="auto"/>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凡交到采购人的图书，以图书定价作为计算书款的依据</w:t>
      </w:r>
      <w:r>
        <w:rPr>
          <w:rFonts w:hint="eastAsia" w:ascii="宋体" w:hAnsi="宋体" w:cs="宋体"/>
          <w:color w:val="auto"/>
          <w:sz w:val="24"/>
          <w:lang w:eastAsia="zh-CN"/>
        </w:rPr>
        <w:t>，</w:t>
      </w:r>
      <w:r>
        <w:rPr>
          <w:rFonts w:hint="eastAsia" w:ascii="宋体" w:hAnsi="宋体" w:cs="宋体"/>
          <w:color w:val="auto"/>
          <w:sz w:val="24"/>
          <w:lang w:val="en-US" w:eastAsia="zh-CN"/>
        </w:rPr>
        <w:t>由采购人对中标人实际供应的图书数量进行确认并验收通过后，中标人向采购人开具正规发票及对应明细清单盖章件，由采购人履行财政相关审批手续后支付相应金额。</w:t>
      </w:r>
    </w:p>
    <w:p>
      <w:pPr>
        <w:widowControl/>
        <w:spacing w:before="60" w:after="60" w:line="360" w:lineRule="auto"/>
        <w:ind w:firstLine="480" w:firstLineChars="200"/>
        <w:jc w:val="left"/>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经验收发现书款与发货单不符的，采购人及时通知中标人派员到验收地核算，中标人接到通知之日不能及时派员核算的，以采购人验收的实际数额计算书款金额。</w:t>
      </w:r>
    </w:p>
    <w:p>
      <w:pPr>
        <w:widowControl/>
        <w:spacing w:before="60" w:after="60" w:line="360" w:lineRule="auto"/>
        <w:ind w:firstLine="480" w:firstLineChars="200"/>
        <w:jc w:val="left"/>
        <w:rPr>
          <w:rFonts w:hint="eastAsia" w:ascii="宋体" w:hAnsi="宋体" w:cs="宋体"/>
          <w:color w:val="auto"/>
          <w:sz w:val="24"/>
          <w:lang w:val="zh-CN"/>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中标人保证</w:t>
      </w:r>
      <w:r>
        <w:rPr>
          <w:rFonts w:hint="eastAsia" w:ascii="宋体" w:hAnsi="宋体" w:cs="宋体"/>
          <w:color w:val="auto"/>
          <w:sz w:val="24"/>
          <w:lang w:val="zh-CN"/>
        </w:rPr>
        <w:t>单册</w:t>
      </w:r>
      <w:r>
        <w:rPr>
          <w:rFonts w:hint="eastAsia" w:ascii="宋体" w:hAnsi="宋体" w:cs="宋体"/>
          <w:color w:val="auto"/>
          <w:sz w:val="24"/>
          <w:lang w:val="en-US" w:eastAsia="zh-CN"/>
        </w:rPr>
        <w:t>图书价格在3千元以上</w:t>
      </w:r>
      <w:r>
        <w:rPr>
          <w:rFonts w:hint="eastAsia" w:ascii="宋体" w:hAnsi="宋体" w:cs="宋体"/>
          <w:color w:val="auto"/>
          <w:sz w:val="24"/>
          <w:lang w:val="zh-CN"/>
        </w:rPr>
        <w:t>或成套图书价格在1万元以上的大码洋图书折扣率在投标折扣率的基础上下浮</w:t>
      </w:r>
      <w:r>
        <w:rPr>
          <w:rFonts w:hint="eastAsia" w:ascii="宋体" w:hAnsi="宋体" w:cs="宋体"/>
          <w:color w:val="auto"/>
          <w:sz w:val="24"/>
          <w:u w:val="single"/>
          <w:lang w:val="zh-CN"/>
        </w:rPr>
        <w:t xml:space="preserve"> </w:t>
      </w:r>
      <w:r>
        <w:rPr>
          <w:rFonts w:hint="eastAsia" w:ascii="宋体" w:hAnsi="宋体" w:cs="宋体"/>
          <w:color w:val="auto"/>
          <w:sz w:val="24"/>
          <w:u w:val="single"/>
        </w:rPr>
        <w:t>6</w:t>
      </w:r>
      <w:r>
        <w:rPr>
          <w:rFonts w:hint="eastAsia" w:ascii="宋体" w:hAnsi="宋体" w:cs="宋体"/>
          <w:color w:val="auto"/>
          <w:sz w:val="24"/>
          <w:u w:val="single"/>
          <w:lang w:val="zh-CN"/>
        </w:rPr>
        <w:t xml:space="preserve"> </w:t>
      </w:r>
      <w:r>
        <w:rPr>
          <w:rFonts w:hint="eastAsia" w:ascii="宋体" w:hAnsi="宋体" w:cs="宋体"/>
          <w:color w:val="auto"/>
          <w:sz w:val="24"/>
          <w:lang w:val="zh-CN"/>
        </w:rPr>
        <w:t>%。</w:t>
      </w:r>
    </w:p>
    <w:p>
      <w:pPr>
        <w:pStyle w:val="2"/>
        <w:ind w:left="0" w:leftChars="0" w:firstLine="0" w:firstLineChars="0"/>
        <w:rPr>
          <w:rFonts w:hint="default" w:ascii="宋体" w:hAnsi="宋体" w:cs="宋体"/>
          <w:b/>
          <w:bCs/>
          <w:color w:val="auto"/>
          <w:sz w:val="24"/>
          <w:lang w:val="en-US" w:eastAsia="zh-CN"/>
        </w:rPr>
      </w:pPr>
      <w:r>
        <w:rPr>
          <w:rFonts w:hint="eastAsia" w:ascii="宋体" w:hAnsi="宋体" w:cs="宋体"/>
          <w:b/>
          <w:bCs/>
          <w:color w:val="auto"/>
          <w:sz w:val="24"/>
          <w:lang w:val="en-US" w:eastAsia="zh-CN"/>
        </w:rPr>
        <w:t>7、图书与数据安全要求</w:t>
      </w:r>
    </w:p>
    <w:p>
      <w:pPr>
        <w:widowControl/>
        <w:spacing w:before="60" w:after="60" w:line="360" w:lineRule="auto"/>
        <w:ind w:firstLine="480" w:firstLineChars="200"/>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rPr>
        <w:t>中标人应确保</w:t>
      </w:r>
      <w:r>
        <w:rPr>
          <w:rFonts w:hint="eastAsia" w:ascii="宋体" w:hAnsi="宋体"/>
          <w:color w:val="auto"/>
          <w:sz w:val="24"/>
          <w:lang w:val="en-US" w:eastAsia="zh-CN"/>
        </w:rPr>
        <w:t>采购</w:t>
      </w:r>
      <w:r>
        <w:rPr>
          <w:rFonts w:hint="eastAsia" w:ascii="宋体" w:hAnsi="宋体"/>
          <w:color w:val="auto"/>
          <w:sz w:val="24"/>
        </w:rPr>
        <w:t>人工作现场实体</w:t>
      </w:r>
      <w:r>
        <w:rPr>
          <w:rFonts w:hint="eastAsia" w:ascii="宋体" w:hAnsi="宋体"/>
          <w:color w:val="auto"/>
          <w:sz w:val="24"/>
          <w:lang w:val="en-US" w:eastAsia="zh-CN"/>
        </w:rPr>
        <w:t>图书</w:t>
      </w:r>
      <w:r>
        <w:rPr>
          <w:rFonts w:hint="eastAsia" w:ascii="宋体" w:hAnsi="宋体"/>
          <w:color w:val="auto"/>
          <w:sz w:val="24"/>
        </w:rPr>
        <w:t>与书目数据的安全。合同期内，因中标人原因造成</w:t>
      </w:r>
      <w:r>
        <w:rPr>
          <w:rFonts w:hint="eastAsia" w:ascii="宋体" w:hAnsi="宋体"/>
          <w:color w:val="auto"/>
          <w:sz w:val="24"/>
          <w:lang w:val="en-US" w:eastAsia="zh-CN"/>
        </w:rPr>
        <w:t>采购</w:t>
      </w:r>
      <w:r>
        <w:rPr>
          <w:rFonts w:hint="eastAsia" w:ascii="宋体" w:hAnsi="宋体"/>
          <w:color w:val="auto"/>
          <w:sz w:val="24"/>
        </w:rPr>
        <w:t>人文献损坏或遗失，</w:t>
      </w:r>
      <w:r>
        <w:rPr>
          <w:rFonts w:hint="eastAsia" w:ascii="宋体" w:hAnsi="宋体"/>
          <w:color w:val="auto"/>
          <w:sz w:val="24"/>
          <w:lang w:val="en-US" w:eastAsia="zh-CN"/>
        </w:rPr>
        <w:t>采购</w:t>
      </w:r>
      <w:r>
        <w:rPr>
          <w:rFonts w:hint="eastAsia" w:ascii="宋体" w:hAnsi="宋体"/>
          <w:color w:val="auto"/>
          <w:sz w:val="24"/>
        </w:rPr>
        <w:t>人有权向中标人提出索赔。中标人需赔偿同版本或更新版新书，无法赔偿原版图书的按《</w:t>
      </w:r>
      <w:r>
        <w:rPr>
          <w:rFonts w:hint="eastAsia" w:ascii="宋体" w:hAnsi="宋体"/>
          <w:color w:val="auto"/>
          <w:sz w:val="24"/>
          <w:lang w:val="en-US" w:eastAsia="zh-CN"/>
        </w:rPr>
        <w:t>杭州地区公共</w:t>
      </w:r>
      <w:r>
        <w:rPr>
          <w:rFonts w:hint="eastAsia" w:ascii="宋体" w:hAnsi="宋体"/>
          <w:color w:val="auto"/>
          <w:sz w:val="24"/>
        </w:rPr>
        <w:t>图书馆外借文献</w:t>
      </w:r>
      <w:r>
        <w:rPr>
          <w:rFonts w:hint="eastAsia" w:ascii="宋体" w:hAnsi="宋体"/>
          <w:color w:val="auto"/>
          <w:sz w:val="24"/>
          <w:lang w:val="en-US" w:eastAsia="zh-CN"/>
        </w:rPr>
        <w:t>污损、遗失赔偿规则</w:t>
      </w:r>
      <w:r>
        <w:rPr>
          <w:rFonts w:hint="eastAsia" w:ascii="宋体" w:hAnsi="宋体"/>
          <w:color w:val="auto"/>
          <w:sz w:val="24"/>
        </w:rPr>
        <w:t>》赔偿。</w:t>
      </w:r>
    </w:p>
    <w:p>
      <w:pPr>
        <w:widowControl/>
        <w:spacing w:before="60" w:after="60" w:line="360" w:lineRule="auto"/>
        <w:ind w:firstLine="480" w:firstLineChars="200"/>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2）</w:t>
      </w:r>
      <w:r>
        <w:rPr>
          <w:rFonts w:hint="eastAsia" w:ascii="宋体" w:hAnsi="宋体"/>
          <w:color w:val="auto"/>
          <w:sz w:val="24"/>
        </w:rPr>
        <w:t>中标人在</w:t>
      </w:r>
      <w:r>
        <w:rPr>
          <w:rFonts w:hint="eastAsia" w:ascii="宋体" w:hAnsi="宋体"/>
          <w:color w:val="auto"/>
          <w:sz w:val="24"/>
          <w:lang w:val="en-US" w:eastAsia="zh-CN"/>
        </w:rPr>
        <w:t>采购</w:t>
      </w:r>
      <w:r>
        <w:rPr>
          <w:rFonts w:hint="eastAsia" w:ascii="宋体" w:hAnsi="宋体"/>
          <w:color w:val="auto"/>
          <w:sz w:val="24"/>
        </w:rPr>
        <w:t>人业务系统中的操作，必须合乎要求与规范。合同期内，中标人套录、编制的书目数据版权归</w:t>
      </w:r>
      <w:r>
        <w:rPr>
          <w:rFonts w:hint="eastAsia" w:ascii="宋体" w:hAnsi="宋体"/>
          <w:color w:val="auto"/>
          <w:sz w:val="24"/>
          <w:lang w:val="en-US" w:eastAsia="zh-CN"/>
        </w:rPr>
        <w:t>采购</w:t>
      </w:r>
      <w:r>
        <w:rPr>
          <w:rFonts w:hint="eastAsia" w:ascii="宋体" w:hAnsi="宋体"/>
          <w:color w:val="auto"/>
          <w:sz w:val="24"/>
        </w:rPr>
        <w:t>人所有。不经允许，中标人不得以任何名义泄露</w:t>
      </w:r>
      <w:r>
        <w:rPr>
          <w:rFonts w:hint="eastAsia" w:ascii="宋体" w:hAnsi="宋体"/>
          <w:color w:val="auto"/>
          <w:sz w:val="24"/>
          <w:lang w:val="en-US" w:eastAsia="zh-CN"/>
        </w:rPr>
        <w:t>采购</w:t>
      </w:r>
      <w:r>
        <w:rPr>
          <w:rFonts w:hint="eastAsia" w:ascii="宋体" w:hAnsi="宋体"/>
          <w:color w:val="auto"/>
          <w:sz w:val="24"/>
        </w:rPr>
        <w:t>人的所有数据，不得以任何名义提供给</w:t>
      </w:r>
      <w:r>
        <w:rPr>
          <w:rFonts w:hint="eastAsia" w:ascii="宋体" w:hAnsi="宋体"/>
          <w:color w:val="auto"/>
          <w:sz w:val="24"/>
          <w:lang w:val="en-US" w:eastAsia="zh-CN"/>
        </w:rPr>
        <w:t>采购</w:t>
      </w:r>
      <w:r>
        <w:rPr>
          <w:rFonts w:hint="eastAsia" w:ascii="宋体" w:hAnsi="宋体"/>
          <w:color w:val="auto"/>
          <w:sz w:val="24"/>
        </w:rPr>
        <w:t>人以外的第三方使用。如有违约，</w:t>
      </w:r>
      <w:r>
        <w:rPr>
          <w:rFonts w:hint="eastAsia" w:ascii="宋体" w:hAnsi="宋体"/>
          <w:color w:val="auto"/>
          <w:sz w:val="24"/>
          <w:lang w:val="en-US" w:eastAsia="zh-CN"/>
        </w:rPr>
        <w:t>采购</w:t>
      </w:r>
      <w:r>
        <w:rPr>
          <w:rFonts w:hint="eastAsia" w:ascii="宋体" w:hAnsi="宋体"/>
          <w:color w:val="auto"/>
          <w:sz w:val="24"/>
        </w:rPr>
        <w:t>人有权追究中标人的法律责任。</w:t>
      </w:r>
    </w:p>
    <w:p>
      <w:pPr>
        <w:widowControl/>
        <w:spacing w:before="60" w:after="60" w:line="360" w:lineRule="auto"/>
        <w:ind w:firstLine="480" w:firstLineChars="200"/>
        <w:jc w:val="left"/>
        <w:rPr>
          <w:rFonts w:hint="eastAsia" w:ascii="宋体" w:hAnsi="宋体" w:eastAsia="宋体" w:cs="宋体"/>
          <w:b/>
          <w:color w:val="auto"/>
          <w:sz w:val="36"/>
          <w:szCs w:val="36"/>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rPr>
        <w:t>中标人如委托有资质的第三方提供加工服务时，上述要求同时对其适用。</w:t>
      </w:r>
    </w:p>
    <w:p>
      <w:pPr>
        <w:spacing w:line="360" w:lineRule="auto"/>
        <w:jc w:val="center"/>
        <w:outlineLvl w:val="0"/>
        <w:rPr>
          <w:rFonts w:hint="eastAsia" w:ascii="宋体" w:hAnsi="宋体" w:eastAsia="宋体" w:cs="宋体"/>
          <w:b/>
          <w:color w:val="auto"/>
          <w:sz w:val="36"/>
          <w:szCs w:val="36"/>
        </w:rPr>
      </w:pP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32" w:name="_Toc184310308"/>
      <w:bookmarkEnd w:id="32"/>
      <w:bookmarkStart w:id="33" w:name="_Toc184312076"/>
      <w:bookmarkEnd w:id="33"/>
      <w:bookmarkStart w:id="34" w:name="_Toc184314419"/>
      <w:bookmarkEnd w:id="34"/>
      <w:bookmarkStart w:id="35" w:name="_Toc184312097"/>
      <w:bookmarkEnd w:id="35"/>
      <w:bookmarkStart w:id="36" w:name="_Toc184314475"/>
      <w:bookmarkEnd w:id="36"/>
      <w:bookmarkStart w:id="37" w:name="_Toc184308043"/>
      <w:bookmarkEnd w:id="37"/>
      <w:bookmarkStart w:id="38" w:name="_Toc184308106"/>
      <w:bookmarkEnd w:id="38"/>
      <w:bookmarkStart w:id="39" w:name="_Toc184314458"/>
      <w:bookmarkEnd w:id="39"/>
      <w:bookmarkStart w:id="40" w:name="_Toc184310333"/>
      <w:bookmarkEnd w:id="40"/>
      <w:bookmarkStart w:id="41" w:name="_Toc184312116"/>
      <w:bookmarkEnd w:id="41"/>
      <w:bookmarkStart w:id="42" w:name="_Toc184313298"/>
      <w:bookmarkEnd w:id="42"/>
      <w:bookmarkStart w:id="43" w:name="_Toc184313299"/>
      <w:bookmarkEnd w:id="43"/>
      <w:bookmarkStart w:id="44" w:name="_Toc184310290"/>
      <w:bookmarkEnd w:id="44"/>
      <w:bookmarkStart w:id="45" w:name="_Toc184312108"/>
      <w:bookmarkEnd w:id="45"/>
      <w:bookmarkStart w:id="46" w:name="_Toc184312125"/>
      <w:bookmarkEnd w:id="46"/>
      <w:bookmarkStart w:id="47" w:name="_Toc184312112"/>
      <w:bookmarkEnd w:id="47"/>
      <w:bookmarkStart w:id="48" w:name="_Toc184312099"/>
      <w:bookmarkEnd w:id="48"/>
      <w:bookmarkStart w:id="49" w:name="_Toc184308108"/>
      <w:bookmarkEnd w:id="49"/>
      <w:bookmarkStart w:id="50" w:name="_Toc184314436"/>
      <w:bookmarkEnd w:id="50"/>
      <w:bookmarkStart w:id="51" w:name="_Toc184308091"/>
      <w:bookmarkEnd w:id="51"/>
      <w:bookmarkStart w:id="52" w:name="_Toc184313300"/>
      <w:bookmarkEnd w:id="52"/>
      <w:bookmarkStart w:id="53" w:name="_Toc184310280"/>
      <w:bookmarkEnd w:id="53"/>
      <w:bookmarkStart w:id="54" w:name="_Toc184314444"/>
      <w:bookmarkEnd w:id="54"/>
      <w:bookmarkStart w:id="55" w:name="_Toc184310283"/>
      <w:bookmarkEnd w:id="55"/>
      <w:bookmarkStart w:id="56" w:name="_Toc184314453"/>
      <w:bookmarkEnd w:id="56"/>
      <w:bookmarkStart w:id="57" w:name="_Toc184308086"/>
      <w:bookmarkEnd w:id="57"/>
      <w:bookmarkStart w:id="58" w:name="_Toc184308104"/>
      <w:bookmarkEnd w:id="58"/>
      <w:bookmarkStart w:id="59" w:name="_Toc184312067"/>
      <w:bookmarkEnd w:id="59"/>
      <w:bookmarkStart w:id="60" w:name="_Toc184313244"/>
      <w:bookmarkEnd w:id="60"/>
      <w:bookmarkStart w:id="61" w:name="_Toc184312111"/>
      <w:bookmarkEnd w:id="61"/>
      <w:bookmarkStart w:id="62" w:name="_Toc184310314"/>
      <w:bookmarkEnd w:id="62"/>
      <w:bookmarkStart w:id="63" w:name="_Toc184310303"/>
      <w:bookmarkEnd w:id="63"/>
      <w:bookmarkStart w:id="64" w:name="_Toc184313254"/>
      <w:bookmarkEnd w:id="64"/>
      <w:bookmarkStart w:id="65" w:name="_Toc184308094"/>
      <w:bookmarkEnd w:id="65"/>
      <w:bookmarkStart w:id="66" w:name="_Toc184313306"/>
      <w:bookmarkEnd w:id="66"/>
      <w:bookmarkStart w:id="67" w:name="_Toc184314466"/>
      <w:bookmarkEnd w:id="67"/>
      <w:bookmarkStart w:id="68" w:name="_Toc184308100"/>
      <w:bookmarkEnd w:id="68"/>
      <w:bookmarkStart w:id="69" w:name="_Toc184310342"/>
      <w:bookmarkEnd w:id="69"/>
      <w:bookmarkStart w:id="70" w:name="_Toc184314452"/>
      <w:bookmarkEnd w:id="70"/>
      <w:bookmarkStart w:id="71" w:name="_Toc184308054"/>
      <w:bookmarkEnd w:id="71"/>
      <w:bookmarkStart w:id="72" w:name="_Toc184314420"/>
      <w:bookmarkEnd w:id="72"/>
      <w:bookmarkStart w:id="73" w:name="_Toc184314459"/>
      <w:bookmarkEnd w:id="73"/>
      <w:bookmarkStart w:id="74" w:name="_Toc184310335"/>
      <w:bookmarkEnd w:id="74"/>
      <w:bookmarkStart w:id="75" w:name="_Toc184308065"/>
      <w:bookmarkEnd w:id="75"/>
      <w:bookmarkStart w:id="76" w:name="_Toc184312068"/>
      <w:bookmarkEnd w:id="76"/>
      <w:bookmarkStart w:id="77" w:name="_Toc184308055"/>
      <w:bookmarkEnd w:id="77"/>
      <w:bookmarkStart w:id="78" w:name="_Toc184312098"/>
      <w:bookmarkEnd w:id="78"/>
      <w:bookmarkStart w:id="79" w:name="_Toc184314480"/>
      <w:bookmarkEnd w:id="79"/>
      <w:bookmarkStart w:id="80" w:name="_Toc184310274"/>
      <w:bookmarkEnd w:id="80"/>
      <w:bookmarkStart w:id="81" w:name="_Toc184312121"/>
      <w:bookmarkEnd w:id="81"/>
      <w:bookmarkStart w:id="82" w:name="_Toc184313248"/>
      <w:bookmarkEnd w:id="82"/>
      <w:bookmarkStart w:id="83" w:name="_Toc184308046"/>
      <w:bookmarkEnd w:id="83"/>
      <w:bookmarkStart w:id="84" w:name="_Toc184312117"/>
      <w:bookmarkEnd w:id="84"/>
      <w:bookmarkStart w:id="85" w:name="_Toc184314450"/>
      <w:bookmarkEnd w:id="85"/>
      <w:bookmarkStart w:id="86" w:name="_Toc184308103"/>
      <w:bookmarkEnd w:id="86"/>
      <w:bookmarkStart w:id="87" w:name="_Toc184314412"/>
      <w:bookmarkEnd w:id="87"/>
      <w:bookmarkStart w:id="88" w:name="_Toc184313308"/>
      <w:bookmarkEnd w:id="88"/>
      <w:bookmarkStart w:id="89" w:name="_Toc184308057"/>
      <w:bookmarkEnd w:id="89"/>
      <w:bookmarkStart w:id="90" w:name="_Toc184312085"/>
      <w:bookmarkEnd w:id="90"/>
      <w:bookmarkStart w:id="91" w:name="_Toc184312119"/>
      <w:bookmarkEnd w:id="91"/>
      <w:bookmarkStart w:id="92" w:name="_Toc184308040"/>
      <w:bookmarkEnd w:id="92"/>
      <w:bookmarkStart w:id="93" w:name="_Toc184314470"/>
      <w:bookmarkEnd w:id="93"/>
      <w:bookmarkStart w:id="94" w:name="_Toc184314443"/>
      <w:bookmarkEnd w:id="94"/>
      <w:bookmarkStart w:id="95" w:name="_Toc184310288"/>
      <w:bookmarkEnd w:id="95"/>
      <w:bookmarkStart w:id="96" w:name="_Toc184312091"/>
      <w:bookmarkEnd w:id="96"/>
      <w:bookmarkStart w:id="97" w:name="_Toc184310272"/>
      <w:bookmarkEnd w:id="97"/>
      <w:bookmarkStart w:id="98" w:name="_Toc184310337"/>
      <w:bookmarkEnd w:id="98"/>
      <w:bookmarkStart w:id="99" w:name="_Toc184313245"/>
      <w:bookmarkEnd w:id="99"/>
      <w:bookmarkStart w:id="100" w:name="_Toc184313272"/>
      <w:bookmarkEnd w:id="100"/>
      <w:bookmarkStart w:id="101" w:name="_Toc184312088"/>
      <w:bookmarkEnd w:id="101"/>
      <w:bookmarkStart w:id="102" w:name="_Toc184308085"/>
      <w:bookmarkEnd w:id="102"/>
      <w:bookmarkStart w:id="103" w:name="_Toc184312135"/>
      <w:bookmarkEnd w:id="103"/>
      <w:bookmarkStart w:id="104" w:name="_Toc184310326"/>
      <w:bookmarkEnd w:id="104"/>
      <w:bookmarkStart w:id="105" w:name="_Toc184313257"/>
      <w:bookmarkEnd w:id="105"/>
      <w:bookmarkStart w:id="106" w:name="_Toc184312114"/>
      <w:bookmarkEnd w:id="106"/>
      <w:bookmarkStart w:id="107" w:name="_Toc184313310"/>
      <w:bookmarkEnd w:id="107"/>
      <w:bookmarkStart w:id="108" w:name="_Toc184312094"/>
      <w:bookmarkEnd w:id="108"/>
      <w:bookmarkStart w:id="109" w:name="_Toc184310331"/>
      <w:bookmarkEnd w:id="109"/>
      <w:bookmarkStart w:id="110" w:name="_Toc184308061"/>
      <w:bookmarkEnd w:id="110"/>
      <w:bookmarkStart w:id="111" w:name="_Toc184313303"/>
      <w:bookmarkEnd w:id="111"/>
      <w:bookmarkStart w:id="112" w:name="_Toc184314463"/>
      <w:bookmarkEnd w:id="112"/>
      <w:bookmarkStart w:id="113" w:name="_Toc184314481"/>
      <w:bookmarkEnd w:id="113"/>
      <w:bookmarkStart w:id="114" w:name="_Toc184313281"/>
      <w:bookmarkEnd w:id="114"/>
      <w:bookmarkStart w:id="115" w:name="_Toc184314417"/>
      <w:bookmarkEnd w:id="115"/>
      <w:bookmarkStart w:id="116" w:name="_Toc184310291"/>
      <w:bookmarkEnd w:id="116"/>
      <w:bookmarkStart w:id="117" w:name="_Toc184308096"/>
      <w:bookmarkEnd w:id="117"/>
      <w:bookmarkStart w:id="118" w:name="_Toc184312109"/>
      <w:bookmarkEnd w:id="118"/>
      <w:bookmarkStart w:id="119" w:name="_Toc184308048"/>
      <w:bookmarkEnd w:id="119"/>
      <w:bookmarkStart w:id="120" w:name="_Toc184314439"/>
      <w:bookmarkEnd w:id="120"/>
      <w:bookmarkStart w:id="121" w:name="_Toc184308064"/>
      <w:bookmarkEnd w:id="121"/>
      <w:bookmarkStart w:id="122" w:name="_Toc184312132"/>
      <w:bookmarkEnd w:id="122"/>
      <w:bookmarkStart w:id="123" w:name="_Toc184308107"/>
      <w:bookmarkEnd w:id="123"/>
      <w:bookmarkStart w:id="124" w:name="_Toc184310344"/>
      <w:bookmarkEnd w:id="124"/>
      <w:bookmarkStart w:id="125" w:name="_Toc184313239"/>
      <w:bookmarkEnd w:id="125"/>
      <w:bookmarkStart w:id="126" w:name="_Toc184308084"/>
      <w:bookmarkEnd w:id="126"/>
      <w:bookmarkStart w:id="127" w:name="_Toc184310286"/>
      <w:bookmarkEnd w:id="127"/>
      <w:bookmarkStart w:id="128" w:name="_Toc184312106"/>
      <w:bookmarkEnd w:id="128"/>
      <w:bookmarkStart w:id="129" w:name="_Toc184310278"/>
      <w:bookmarkEnd w:id="129"/>
      <w:bookmarkStart w:id="130" w:name="_Toc184308075"/>
      <w:bookmarkEnd w:id="130"/>
      <w:bookmarkStart w:id="131" w:name="_Toc184314468"/>
      <w:bookmarkEnd w:id="131"/>
      <w:bookmarkStart w:id="132" w:name="_Toc184314435"/>
      <w:bookmarkEnd w:id="132"/>
      <w:bookmarkStart w:id="133" w:name="_Toc184314424"/>
      <w:bookmarkEnd w:id="133"/>
      <w:bookmarkStart w:id="134" w:name="_Toc184310317"/>
      <w:bookmarkEnd w:id="134"/>
      <w:bookmarkStart w:id="135" w:name="_Toc184310316"/>
      <w:bookmarkEnd w:id="135"/>
      <w:bookmarkStart w:id="136" w:name="_Toc184313286"/>
      <w:bookmarkEnd w:id="136"/>
      <w:bookmarkStart w:id="137" w:name="_Toc184314425"/>
      <w:bookmarkEnd w:id="137"/>
      <w:bookmarkStart w:id="138" w:name="_Toc184314413"/>
      <w:bookmarkEnd w:id="138"/>
      <w:bookmarkStart w:id="139" w:name="_Toc184312113"/>
      <w:bookmarkEnd w:id="139"/>
      <w:bookmarkStart w:id="140" w:name="_Toc184308090"/>
      <w:bookmarkEnd w:id="140"/>
      <w:bookmarkStart w:id="141" w:name="_Toc184310273"/>
      <w:bookmarkEnd w:id="141"/>
      <w:bookmarkStart w:id="142" w:name="_Toc184310341"/>
      <w:bookmarkEnd w:id="142"/>
      <w:bookmarkStart w:id="143" w:name="_Toc184314454"/>
      <w:bookmarkEnd w:id="143"/>
      <w:bookmarkStart w:id="144" w:name="_Toc184313271"/>
      <w:bookmarkEnd w:id="144"/>
      <w:bookmarkStart w:id="145" w:name="_Toc184308093"/>
      <w:bookmarkEnd w:id="145"/>
      <w:bookmarkStart w:id="146" w:name="_Toc184310340"/>
      <w:bookmarkEnd w:id="146"/>
      <w:bookmarkStart w:id="147" w:name="_Toc184308080"/>
      <w:bookmarkEnd w:id="147"/>
      <w:bookmarkStart w:id="148" w:name="_Toc184308088"/>
      <w:bookmarkEnd w:id="148"/>
      <w:bookmarkStart w:id="149" w:name="_Toc184313285"/>
      <w:bookmarkEnd w:id="149"/>
      <w:bookmarkStart w:id="150" w:name="_Toc184313241"/>
      <w:bookmarkEnd w:id="150"/>
      <w:bookmarkStart w:id="151" w:name="_Toc184314479"/>
      <w:bookmarkEnd w:id="151"/>
      <w:bookmarkStart w:id="152" w:name="_Toc184312124"/>
      <w:bookmarkEnd w:id="152"/>
      <w:bookmarkStart w:id="153" w:name="_Toc184313288"/>
      <w:bookmarkEnd w:id="153"/>
      <w:bookmarkStart w:id="154" w:name="_Toc184308063"/>
      <w:bookmarkEnd w:id="154"/>
      <w:bookmarkStart w:id="155" w:name="_Toc184314465"/>
      <w:bookmarkEnd w:id="155"/>
      <w:bookmarkStart w:id="156" w:name="_Toc184314455"/>
      <w:bookmarkEnd w:id="156"/>
      <w:bookmarkStart w:id="157" w:name="_Toc184310343"/>
      <w:bookmarkEnd w:id="157"/>
      <w:bookmarkStart w:id="158" w:name="_Toc184308102"/>
      <w:bookmarkEnd w:id="158"/>
      <w:bookmarkStart w:id="159" w:name="_Toc184313269"/>
      <w:bookmarkEnd w:id="159"/>
      <w:bookmarkStart w:id="160" w:name="_Toc184310322"/>
      <w:bookmarkEnd w:id="160"/>
      <w:bookmarkStart w:id="161" w:name="_Toc184312136"/>
      <w:bookmarkEnd w:id="161"/>
      <w:bookmarkStart w:id="162" w:name="_Toc184308073"/>
      <w:bookmarkEnd w:id="162"/>
      <w:bookmarkStart w:id="163" w:name="_Toc184308058"/>
      <w:bookmarkEnd w:id="163"/>
      <w:bookmarkStart w:id="164" w:name="_Toc184308052"/>
      <w:bookmarkEnd w:id="164"/>
      <w:bookmarkStart w:id="165" w:name="_Toc184310305"/>
      <w:bookmarkEnd w:id="165"/>
      <w:bookmarkStart w:id="166" w:name="_Toc184312134"/>
      <w:bookmarkEnd w:id="166"/>
      <w:bookmarkStart w:id="167" w:name="_Toc184314456"/>
      <w:bookmarkEnd w:id="167"/>
      <w:bookmarkStart w:id="168" w:name="_Toc184313247"/>
      <w:bookmarkEnd w:id="168"/>
      <w:bookmarkStart w:id="169" w:name="_Toc184312072"/>
      <w:bookmarkEnd w:id="169"/>
      <w:bookmarkStart w:id="170" w:name="_Toc184313287"/>
      <w:bookmarkEnd w:id="170"/>
      <w:bookmarkStart w:id="171" w:name="_Toc184310320"/>
      <w:bookmarkEnd w:id="171"/>
      <w:bookmarkStart w:id="172" w:name="_Toc184310294"/>
      <w:bookmarkEnd w:id="172"/>
      <w:bookmarkStart w:id="173" w:name="_Toc184313304"/>
      <w:bookmarkEnd w:id="173"/>
      <w:bookmarkStart w:id="174" w:name="_Toc184310312"/>
      <w:bookmarkEnd w:id="174"/>
      <w:bookmarkStart w:id="175" w:name="_Toc184313270"/>
      <w:bookmarkEnd w:id="175"/>
      <w:bookmarkStart w:id="176" w:name="_Toc184310275"/>
      <w:bookmarkEnd w:id="176"/>
      <w:bookmarkStart w:id="177" w:name="_Toc184313294"/>
      <w:bookmarkEnd w:id="177"/>
      <w:bookmarkStart w:id="178" w:name="_Toc184312087"/>
      <w:bookmarkEnd w:id="178"/>
      <w:bookmarkStart w:id="179" w:name="_Toc184313290"/>
      <w:bookmarkEnd w:id="179"/>
      <w:bookmarkStart w:id="180" w:name="_Toc184308060"/>
      <w:bookmarkEnd w:id="180"/>
      <w:bookmarkStart w:id="181" w:name="_Toc184308079"/>
      <w:bookmarkEnd w:id="181"/>
      <w:bookmarkStart w:id="182" w:name="_Toc184308072"/>
      <w:bookmarkEnd w:id="182"/>
      <w:bookmarkStart w:id="183" w:name="_Toc184308078"/>
      <w:bookmarkEnd w:id="183"/>
      <w:bookmarkStart w:id="184" w:name="_Toc184313293"/>
      <w:bookmarkEnd w:id="184"/>
      <w:bookmarkStart w:id="185" w:name="_Toc184310281"/>
      <w:bookmarkEnd w:id="185"/>
      <w:bookmarkStart w:id="186" w:name="_Toc184313251"/>
      <w:bookmarkEnd w:id="186"/>
      <w:bookmarkStart w:id="187" w:name="_Toc184312101"/>
      <w:bookmarkEnd w:id="187"/>
      <w:bookmarkStart w:id="188" w:name="_Toc184312096"/>
      <w:bookmarkEnd w:id="188"/>
      <w:bookmarkStart w:id="189" w:name="_Toc184313296"/>
      <w:bookmarkEnd w:id="189"/>
      <w:bookmarkStart w:id="190" w:name="_Toc184308069"/>
      <w:bookmarkEnd w:id="190"/>
      <w:bookmarkStart w:id="191" w:name="_Toc184314467"/>
      <w:bookmarkEnd w:id="191"/>
      <w:bookmarkStart w:id="192" w:name="_Toc184312103"/>
      <w:bookmarkEnd w:id="192"/>
      <w:bookmarkStart w:id="193" w:name="_Toc184314460"/>
      <w:bookmarkEnd w:id="193"/>
      <w:bookmarkStart w:id="194" w:name="_Toc184313260"/>
      <w:bookmarkEnd w:id="194"/>
      <w:bookmarkStart w:id="195" w:name="_Toc184313253"/>
      <w:bookmarkEnd w:id="195"/>
      <w:bookmarkStart w:id="196" w:name="_Toc184313309"/>
      <w:bookmarkEnd w:id="196"/>
      <w:bookmarkStart w:id="197" w:name="_Toc184314433"/>
      <w:bookmarkEnd w:id="197"/>
      <w:bookmarkStart w:id="198" w:name="_Toc184312083"/>
      <w:bookmarkEnd w:id="198"/>
      <w:bookmarkStart w:id="199" w:name="_Toc184310297"/>
      <w:bookmarkEnd w:id="199"/>
      <w:bookmarkStart w:id="200" w:name="_Toc184312090"/>
      <w:bookmarkEnd w:id="200"/>
      <w:bookmarkStart w:id="201" w:name="_Toc184313292"/>
      <w:bookmarkEnd w:id="201"/>
      <w:bookmarkStart w:id="202" w:name="_Toc184313256"/>
      <w:bookmarkEnd w:id="202"/>
      <w:bookmarkStart w:id="203" w:name="_Toc184312128"/>
      <w:bookmarkEnd w:id="203"/>
      <w:bookmarkStart w:id="204" w:name="_Toc184308047"/>
      <w:bookmarkEnd w:id="204"/>
      <w:bookmarkStart w:id="205" w:name="_Toc184312069"/>
      <w:bookmarkEnd w:id="205"/>
      <w:bookmarkStart w:id="206" w:name="_Toc184313291"/>
      <w:bookmarkEnd w:id="206"/>
      <w:bookmarkStart w:id="207" w:name="_Toc184310336"/>
      <w:bookmarkEnd w:id="207"/>
      <w:bookmarkStart w:id="208" w:name="_Toc184313240"/>
      <w:bookmarkEnd w:id="208"/>
      <w:bookmarkStart w:id="209" w:name="_Toc184308036"/>
      <w:bookmarkEnd w:id="209"/>
      <w:bookmarkStart w:id="210" w:name="_Toc184308097"/>
      <w:bookmarkEnd w:id="210"/>
      <w:bookmarkStart w:id="211" w:name="_Toc184313279"/>
      <w:bookmarkEnd w:id="211"/>
      <w:bookmarkStart w:id="212" w:name="_Toc184310318"/>
      <w:bookmarkEnd w:id="212"/>
      <w:bookmarkStart w:id="213" w:name="_Toc184313273"/>
      <w:bookmarkEnd w:id="213"/>
      <w:bookmarkStart w:id="214" w:name="_Toc184314427"/>
      <w:bookmarkEnd w:id="214"/>
      <w:bookmarkStart w:id="215" w:name="_Toc184308083"/>
      <w:bookmarkEnd w:id="215"/>
      <w:bookmarkStart w:id="216" w:name="_Toc184313258"/>
      <w:bookmarkEnd w:id="216"/>
      <w:bookmarkStart w:id="217" w:name="_Toc184313255"/>
      <w:bookmarkEnd w:id="217"/>
      <w:bookmarkStart w:id="218" w:name="_Toc184308095"/>
      <w:bookmarkEnd w:id="218"/>
      <w:bookmarkStart w:id="219" w:name="_Toc184308070"/>
      <w:bookmarkEnd w:id="219"/>
      <w:bookmarkStart w:id="220" w:name="_Toc184314430"/>
      <w:bookmarkEnd w:id="220"/>
      <w:bookmarkStart w:id="221" w:name="_Toc184310292"/>
      <w:bookmarkEnd w:id="221"/>
      <w:bookmarkStart w:id="222" w:name="_Toc184310295"/>
      <w:bookmarkEnd w:id="222"/>
      <w:bookmarkStart w:id="223" w:name="_Toc184313249"/>
      <w:bookmarkEnd w:id="223"/>
      <w:bookmarkStart w:id="224" w:name="_Toc184308074"/>
      <w:bookmarkEnd w:id="224"/>
      <w:bookmarkStart w:id="225" w:name="_Toc184312130"/>
      <w:bookmarkEnd w:id="225"/>
      <w:bookmarkStart w:id="226" w:name="_Toc184314469"/>
      <w:bookmarkEnd w:id="226"/>
      <w:bookmarkStart w:id="227" w:name="_Toc184312122"/>
      <w:bookmarkEnd w:id="227"/>
      <w:bookmarkStart w:id="228" w:name="_Toc184313267"/>
      <w:bookmarkEnd w:id="228"/>
      <w:bookmarkStart w:id="229" w:name="_Toc184313278"/>
      <w:bookmarkEnd w:id="229"/>
      <w:bookmarkStart w:id="230" w:name="_Toc184308082"/>
      <w:bookmarkEnd w:id="230"/>
      <w:bookmarkStart w:id="231" w:name="_Toc184308076"/>
      <w:bookmarkEnd w:id="231"/>
      <w:bookmarkStart w:id="232" w:name="_Toc184312077"/>
      <w:bookmarkEnd w:id="232"/>
      <w:bookmarkStart w:id="233" w:name="_Toc184314464"/>
      <w:bookmarkEnd w:id="233"/>
      <w:bookmarkStart w:id="234" w:name="_Toc184308049"/>
      <w:bookmarkEnd w:id="234"/>
      <w:bookmarkStart w:id="235" w:name="_Toc184314446"/>
      <w:bookmarkEnd w:id="235"/>
      <w:bookmarkStart w:id="236" w:name="_Toc184308081"/>
      <w:bookmarkEnd w:id="236"/>
      <w:bookmarkStart w:id="237" w:name="_Toc184310309"/>
      <w:bookmarkEnd w:id="237"/>
      <w:bookmarkStart w:id="238" w:name="_Toc184310310"/>
      <w:bookmarkEnd w:id="238"/>
      <w:bookmarkStart w:id="239" w:name="_Toc184310276"/>
      <w:bookmarkEnd w:id="239"/>
      <w:bookmarkStart w:id="240" w:name="_Toc184313246"/>
      <w:bookmarkEnd w:id="240"/>
      <w:bookmarkStart w:id="241" w:name="_Toc184312110"/>
      <w:bookmarkEnd w:id="241"/>
      <w:bookmarkStart w:id="242" w:name="_Toc184313242"/>
      <w:bookmarkEnd w:id="242"/>
      <w:bookmarkStart w:id="243" w:name="_Toc184312084"/>
      <w:bookmarkEnd w:id="243"/>
      <w:bookmarkStart w:id="244" w:name="_Toc184310332"/>
      <w:bookmarkEnd w:id="244"/>
      <w:bookmarkStart w:id="245" w:name="_Toc184310328"/>
      <w:bookmarkEnd w:id="245"/>
      <w:bookmarkStart w:id="246" w:name="_Toc184312123"/>
      <w:bookmarkEnd w:id="246"/>
      <w:bookmarkStart w:id="247" w:name="_Toc184310313"/>
      <w:bookmarkEnd w:id="247"/>
      <w:bookmarkStart w:id="248" w:name="_Toc184314434"/>
      <w:bookmarkEnd w:id="248"/>
      <w:bookmarkStart w:id="249" w:name="_Toc184314437"/>
      <w:bookmarkEnd w:id="249"/>
      <w:bookmarkStart w:id="250" w:name="_Toc184314423"/>
      <w:bookmarkEnd w:id="250"/>
      <w:bookmarkStart w:id="251" w:name="_Toc184308071"/>
      <w:bookmarkEnd w:id="251"/>
      <w:bookmarkStart w:id="252" w:name="_Toc184310282"/>
      <w:bookmarkEnd w:id="252"/>
      <w:bookmarkStart w:id="253" w:name="_Toc184310338"/>
      <w:bookmarkEnd w:id="253"/>
      <w:bookmarkStart w:id="254" w:name="_Toc184310307"/>
      <w:bookmarkEnd w:id="254"/>
      <w:bookmarkStart w:id="255" w:name="_Toc184308077"/>
      <w:bookmarkEnd w:id="255"/>
      <w:bookmarkStart w:id="256" w:name="_Toc184314422"/>
      <w:bookmarkEnd w:id="256"/>
      <w:bookmarkStart w:id="257" w:name="_Toc184310287"/>
      <w:bookmarkEnd w:id="257"/>
      <w:bookmarkStart w:id="258" w:name="_Toc184312131"/>
      <w:bookmarkEnd w:id="258"/>
      <w:bookmarkStart w:id="259" w:name="_Toc184310321"/>
      <w:bookmarkEnd w:id="259"/>
      <w:bookmarkStart w:id="260" w:name="_Toc184312100"/>
      <w:bookmarkEnd w:id="260"/>
      <w:bookmarkStart w:id="261" w:name="_Toc184308105"/>
      <w:bookmarkEnd w:id="261"/>
      <w:bookmarkStart w:id="262" w:name="_Toc184313297"/>
      <w:bookmarkEnd w:id="262"/>
      <w:bookmarkStart w:id="263" w:name="_Toc184308059"/>
      <w:bookmarkEnd w:id="263"/>
      <w:bookmarkStart w:id="264" w:name="_Toc184313263"/>
      <w:bookmarkEnd w:id="264"/>
      <w:bookmarkStart w:id="265" w:name="_Toc184314451"/>
      <w:bookmarkEnd w:id="265"/>
      <w:bookmarkStart w:id="266" w:name="_Toc184314421"/>
      <w:bookmarkEnd w:id="266"/>
      <w:bookmarkStart w:id="267" w:name="_Toc184313302"/>
      <w:bookmarkEnd w:id="267"/>
      <w:bookmarkStart w:id="268" w:name="_Toc184313284"/>
      <w:bookmarkEnd w:id="268"/>
      <w:bookmarkStart w:id="269" w:name="_Toc184308038"/>
      <w:bookmarkEnd w:id="269"/>
      <w:bookmarkStart w:id="270" w:name="_Toc184312115"/>
      <w:bookmarkEnd w:id="270"/>
      <w:bookmarkStart w:id="271" w:name="_Toc184310304"/>
      <w:bookmarkEnd w:id="271"/>
      <w:bookmarkStart w:id="272" w:name="_Toc184312082"/>
      <w:bookmarkEnd w:id="272"/>
      <w:bookmarkStart w:id="273" w:name="_Toc184313250"/>
      <w:bookmarkEnd w:id="273"/>
      <w:bookmarkStart w:id="274" w:name="_Toc184314416"/>
      <w:bookmarkEnd w:id="274"/>
      <w:bookmarkStart w:id="275" w:name="_Toc184312104"/>
      <w:bookmarkEnd w:id="275"/>
      <w:bookmarkStart w:id="276" w:name="_Toc184312107"/>
      <w:bookmarkEnd w:id="276"/>
      <w:bookmarkStart w:id="277" w:name="_Toc184312126"/>
      <w:bookmarkEnd w:id="277"/>
      <w:bookmarkStart w:id="278" w:name="_Toc184314429"/>
      <w:bookmarkEnd w:id="278"/>
      <w:bookmarkStart w:id="279" w:name="_Toc184308089"/>
      <w:bookmarkEnd w:id="279"/>
      <w:bookmarkStart w:id="280" w:name="_Toc184312105"/>
      <w:bookmarkEnd w:id="280"/>
      <w:bookmarkStart w:id="281" w:name="_Toc184314438"/>
      <w:bookmarkEnd w:id="281"/>
      <w:bookmarkStart w:id="282" w:name="_Toc184313305"/>
      <w:bookmarkEnd w:id="282"/>
      <w:bookmarkStart w:id="283" w:name="_Toc184312080"/>
      <w:bookmarkEnd w:id="283"/>
      <w:bookmarkStart w:id="284" w:name="_Toc184313274"/>
      <w:bookmarkEnd w:id="284"/>
      <w:bookmarkStart w:id="285" w:name="_Toc184314410"/>
      <w:bookmarkEnd w:id="285"/>
      <w:bookmarkStart w:id="286" w:name="_Toc184312078"/>
      <w:bookmarkEnd w:id="286"/>
      <w:bookmarkStart w:id="287" w:name="_Toc184314471"/>
      <w:bookmarkEnd w:id="287"/>
      <w:bookmarkStart w:id="288" w:name="_Toc184310300"/>
      <w:bookmarkEnd w:id="288"/>
      <w:bookmarkStart w:id="289" w:name="_Toc184310315"/>
      <w:bookmarkEnd w:id="289"/>
      <w:bookmarkStart w:id="290" w:name="_Toc184313265"/>
      <w:bookmarkEnd w:id="290"/>
      <w:bookmarkStart w:id="291" w:name="_Toc184308050"/>
      <w:bookmarkEnd w:id="291"/>
      <w:bookmarkStart w:id="292" w:name="_Toc184312118"/>
      <w:bookmarkEnd w:id="292"/>
      <w:bookmarkStart w:id="293" w:name="_Toc184314462"/>
      <w:bookmarkEnd w:id="293"/>
      <w:bookmarkStart w:id="294" w:name="_Toc184308039"/>
      <w:bookmarkEnd w:id="294"/>
      <w:bookmarkStart w:id="295" w:name="_Toc184310339"/>
      <w:bookmarkEnd w:id="295"/>
      <w:bookmarkStart w:id="296" w:name="_Toc184313283"/>
      <w:bookmarkEnd w:id="296"/>
      <w:bookmarkStart w:id="297" w:name="_Toc184313280"/>
      <w:bookmarkEnd w:id="297"/>
      <w:bookmarkStart w:id="298" w:name="_Toc184314478"/>
      <w:bookmarkEnd w:id="298"/>
      <w:bookmarkStart w:id="299" w:name="_Toc184313289"/>
      <w:bookmarkEnd w:id="299"/>
      <w:bookmarkStart w:id="300" w:name="_Toc184314441"/>
      <w:bookmarkEnd w:id="300"/>
      <w:bookmarkStart w:id="301" w:name="_Toc184308053"/>
      <w:bookmarkEnd w:id="301"/>
      <w:bookmarkStart w:id="302" w:name="_Toc184312095"/>
      <w:bookmarkEnd w:id="302"/>
      <w:bookmarkStart w:id="303" w:name="_Toc184313307"/>
      <w:bookmarkEnd w:id="303"/>
      <w:bookmarkStart w:id="304" w:name="_Toc184313268"/>
      <w:bookmarkEnd w:id="304"/>
      <w:bookmarkStart w:id="305" w:name="_Toc184308062"/>
      <w:bookmarkEnd w:id="305"/>
      <w:bookmarkStart w:id="306" w:name="_Toc184314426"/>
      <w:bookmarkEnd w:id="306"/>
      <w:bookmarkStart w:id="307" w:name="_Toc184314448"/>
      <w:bookmarkEnd w:id="307"/>
      <w:bookmarkStart w:id="308" w:name="_Toc184312120"/>
      <w:bookmarkEnd w:id="308"/>
      <w:bookmarkStart w:id="309" w:name="_Toc184310329"/>
      <w:bookmarkEnd w:id="309"/>
      <w:bookmarkStart w:id="310" w:name="_Toc184310306"/>
      <w:bookmarkEnd w:id="310"/>
      <w:bookmarkStart w:id="311" w:name="_Toc184314473"/>
      <w:bookmarkEnd w:id="311"/>
      <w:bookmarkStart w:id="312" w:name="_Toc184310293"/>
      <w:bookmarkEnd w:id="312"/>
      <w:bookmarkStart w:id="313" w:name="_Toc184312127"/>
      <w:bookmarkEnd w:id="313"/>
      <w:bookmarkStart w:id="314" w:name="_Toc184314457"/>
      <w:bookmarkEnd w:id="314"/>
      <w:bookmarkStart w:id="315" w:name="_Toc184314440"/>
      <w:bookmarkEnd w:id="315"/>
      <w:bookmarkStart w:id="316" w:name="_Toc184308068"/>
      <w:bookmarkEnd w:id="316"/>
      <w:bookmarkStart w:id="317" w:name="_Toc184314411"/>
      <w:bookmarkEnd w:id="317"/>
      <w:bookmarkStart w:id="318" w:name="_Toc184314472"/>
      <w:bookmarkEnd w:id="318"/>
      <w:bookmarkStart w:id="319" w:name="_Toc184313275"/>
      <w:bookmarkEnd w:id="319"/>
      <w:bookmarkStart w:id="320" w:name="_Toc184308101"/>
      <w:bookmarkEnd w:id="320"/>
      <w:bookmarkStart w:id="321" w:name="_Toc184313277"/>
      <w:bookmarkEnd w:id="321"/>
      <w:bookmarkStart w:id="322" w:name="_Toc184310330"/>
      <w:bookmarkEnd w:id="322"/>
      <w:bookmarkStart w:id="323" w:name="_Toc184314415"/>
      <w:bookmarkEnd w:id="323"/>
      <w:bookmarkStart w:id="324" w:name="_Toc184308037"/>
      <w:bookmarkEnd w:id="324"/>
      <w:bookmarkStart w:id="325" w:name="_Toc184308098"/>
      <w:bookmarkEnd w:id="325"/>
      <w:bookmarkStart w:id="326" w:name="_Toc184312133"/>
      <w:bookmarkEnd w:id="326"/>
      <w:bookmarkStart w:id="327" w:name="_Toc184310284"/>
      <w:bookmarkEnd w:id="327"/>
      <w:bookmarkStart w:id="328" w:name="_Toc184314461"/>
      <w:bookmarkEnd w:id="328"/>
      <w:bookmarkStart w:id="329" w:name="_Toc184314428"/>
      <w:bookmarkEnd w:id="329"/>
      <w:bookmarkStart w:id="330" w:name="_Toc184310298"/>
      <w:bookmarkEnd w:id="330"/>
      <w:bookmarkStart w:id="331" w:name="_Toc184314477"/>
      <w:bookmarkEnd w:id="331"/>
      <w:bookmarkStart w:id="332" w:name="_Toc184310299"/>
      <w:bookmarkEnd w:id="332"/>
      <w:bookmarkStart w:id="333" w:name="_Toc184310277"/>
      <w:bookmarkEnd w:id="333"/>
      <w:bookmarkStart w:id="334" w:name="_Toc184310319"/>
      <w:bookmarkEnd w:id="334"/>
      <w:bookmarkStart w:id="335" w:name="_Toc184310302"/>
      <w:bookmarkEnd w:id="335"/>
      <w:bookmarkStart w:id="336" w:name="_Toc184308066"/>
      <w:bookmarkEnd w:id="336"/>
      <w:bookmarkStart w:id="337" w:name="_Toc184312129"/>
      <w:bookmarkEnd w:id="337"/>
      <w:bookmarkStart w:id="338" w:name="_Toc184308041"/>
      <w:bookmarkEnd w:id="338"/>
      <w:bookmarkStart w:id="339" w:name="_Toc184310311"/>
      <w:bookmarkEnd w:id="339"/>
      <w:bookmarkStart w:id="340" w:name="_Toc184312070"/>
      <w:bookmarkEnd w:id="340"/>
      <w:bookmarkStart w:id="341" w:name="_Toc184313262"/>
      <w:bookmarkEnd w:id="341"/>
      <w:bookmarkStart w:id="342" w:name="_Toc184313252"/>
      <w:bookmarkEnd w:id="342"/>
      <w:bookmarkStart w:id="343" w:name="_Toc184314442"/>
      <w:bookmarkEnd w:id="343"/>
      <w:bookmarkStart w:id="344" w:name="_Toc184308087"/>
      <w:bookmarkEnd w:id="344"/>
      <w:bookmarkStart w:id="345" w:name="_Toc184310296"/>
      <w:bookmarkEnd w:id="345"/>
      <w:bookmarkStart w:id="346" w:name="_Toc184313261"/>
      <w:bookmarkEnd w:id="346"/>
      <w:bookmarkStart w:id="347" w:name="_Toc184313243"/>
      <w:bookmarkEnd w:id="347"/>
      <w:bookmarkStart w:id="348" w:name="_Toc184313295"/>
      <w:bookmarkEnd w:id="348"/>
      <w:bookmarkStart w:id="349" w:name="_Toc184310301"/>
      <w:bookmarkEnd w:id="349"/>
      <w:bookmarkStart w:id="350" w:name="_Toc184312139"/>
      <w:bookmarkEnd w:id="350"/>
      <w:bookmarkStart w:id="351" w:name="_Toc184308044"/>
      <w:bookmarkEnd w:id="351"/>
      <w:bookmarkStart w:id="352" w:name="_Toc184312079"/>
      <w:bookmarkEnd w:id="352"/>
      <w:bookmarkStart w:id="353" w:name="_Toc184314445"/>
      <w:bookmarkEnd w:id="353"/>
      <w:bookmarkStart w:id="354" w:name="_Toc184308099"/>
      <w:bookmarkEnd w:id="354"/>
      <w:bookmarkStart w:id="355" w:name="_Toc184312089"/>
      <w:bookmarkEnd w:id="355"/>
      <w:bookmarkStart w:id="356" w:name="_Toc184314447"/>
      <w:bookmarkEnd w:id="356"/>
      <w:bookmarkStart w:id="357" w:name="_Toc184310325"/>
      <w:bookmarkEnd w:id="357"/>
      <w:bookmarkStart w:id="358" w:name="_Toc184314431"/>
      <w:bookmarkEnd w:id="358"/>
      <w:bookmarkStart w:id="359" w:name="_Toc184313264"/>
      <w:bookmarkEnd w:id="359"/>
      <w:bookmarkStart w:id="360" w:name="_Toc184308092"/>
      <w:bookmarkEnd w:id="360"/>
      <w:bookmarkStart w:id="361" w:name="_Toc184314449"/>
      <w:bookmarkEnd w:id="361"/>
      <w:bookmarkStart w:id="362" w:name="_Toc184312073"/>
      <w:bookmarkEnd w:id="362"/>
      <w:bookmarkStart w:id="363" w:name="_Toc184313282"/>
      <w:bookmarkEnd w:id="363"/>
      <w:bookmarkStart w:id="364" w:name="_Toc184314474"/>
      <w:bookmarkEnd w:id="364"/>
      <w:bookmarkStart w:id="365" w:name="_Toc184314482"/>
      <w:bookmarkEnd w:id="365"/>
      <w:bookmarkStart w:id="366" w:name="_Toc184314414"/>
      <w:bookmarkEnd w:id="366"/>
      <w:bookmarkStart w:id="367" w:name="_Toc184312093"/>
      <w:bookmarkEnd w:id="367"/>
      <w:bookmarkStart w:id="368" w:name="_Toc184312086"/>
      <w:bookmarkEnd w:id="368"/>
      <w:bookmarkStart w:id="369" w:name="_Toc184314418"/>
      <w:bookmarkEnd w:id="369"/>
      <w:bookmarkStart w:id="370" w:name="_Toc184313276"/>
      <w:bookmarkEnd w:id="370"/>
      <w:bookmarkStart w:id="371" w:name="_Toc184312081"/>
      <w:bookmarkEnd w:id="371"/>
      <w:bookmarkStart w:id="372" w:name="_Toc184313238"/>
      <w:bookmarkEnd w:id="372"/>
      <w:bookmarkStart w:id="373" w:name="_Toc184313259"/>
      <w:bookmarkEnd w:id="373"/>
      <w:bookmarkStart w:id="374" w:name="_Toc184312092"/>
      <w:bookmarkEnd w:id="374"/>
      <w:bookmarkStart w:id="375" w:name="_Toc184308056"/>
      <w:bookmarkEnd w:id="375"/>
      <w:bookmarkStart w:id="376" w:name="_Toc184308067"/>
      <w:bookmarkEnd w:id="376"/>
      <w:bookmarkStart w:id="377" w:name="_Toc184313266"/>
      <w:bookmarkEnd w:id="377"/>
      <w:bookmarkStart w:id="378" w:name="_Toc184312138"/>
      <w:bookmarkEnd w:id="378"/>
      <w:bookmarkStart w:id="379" w:name="_Toc184310279"/>
      <w:bookmarkEnd w:id="379"/>
      <w:bookmarkStart w:id="380" w:name="_Toc184308042"/>
      <w:bookmarkEnd w:id="380"/>
      <w:bookmarkStart w:id="381" w:name="_Toc184310285"/>
      <w:bookmarkEnd w:id="381"/>
      <w:bookmarkStart w:id="382" w:name="_Toc184314432"/>
      <w:bookmarkEnd w:id="382"/>
      <w:bookmarkStart w:id="383" w:name="_Toc184310324"/>
      <w:bookmarkEnd w:id="383"/>
      <w:bookmarkStart w:id="384" w:name="_Toc184312074"/>
      <w:bookmarkEnd w:id="384"/>
      <w:bookmarkStart w:id="385" w:name="_Toc184312071"/>
      <w:bookmarkEnd w:id="385"/>
      <w:bookmarkStart w:id="386" w:name="_Toc184312137"/>
      <w:bookmarkEnd w:id="386"/>
      <w:bookmarkStart w:id="387" w:name="_Toc184308045"/>
      <w:bookmarkEnd w:id="387"/>
      <w:bookmarkStart w:id="388" w:name="_Toc184310289"/>
      <w:bookmarkEnd w:id="388"/>
      <w:bookmarkStart w:id="389" w:name="_Toc184314476"/>
      <w:bookmarkEnd w:id="389"/>
      <w:bookmarkStart w:id="390" w:name="_Toc184308051"/>
      <w:bookmarkEnd w:id="390"/>
      <w:bookmarkStart w:id="391" w:name="_Toc184310323"/>
      <w:bookmarkEnd w:id="391"/>
      <w:bookmarkStart w:id="392" w:name="_Toc184310334"/>
      <w:bookmarkEnd w:id="392"/>
      <w:bookmarkStart w:id="393" w:name="_Toc184313301"/>
      <w:bookmarkEnd w:id="393"/>
      <w:bookmarkStart w:id="394" w:name="_Toc184310327"/>
      <w:bookmarkEnd w:id="394"/>
      <w:bookmarkStart w:id="395" w:name="_Toc184312075"/>
      <w:bookmarkEnd w:id="395"/>
      <w:bookmarkStart w:id="396" w:name="_Toc184312102"/>
      <w:bookmarkEnd w:id="396"/>
      <w:r>
        <w:rPr>
          <w:rFonts w:hint="eastAsia" w:ascii="宋体" w:hAnsi="宋体" w:eastAsia="宋体" w:cs="宋体"/>
          <w:b/>
          <w:color w:val="auto"/>
          <w:sz w:val="36"/>
          <w:szCs w:val="36"/>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966"/>
        <w:gridCol w:w="4378"/>
        <w:gridCol w:w="506"/>
        <w:gridCol w:w="98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8"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96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内容</w:t>
            </w:r>
          </w:p>
        </w:tc>
        <w:tc>
          <w:tcPr>
            <w:tcW w:w="4378"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评标标准</w:t>
            </w:r>
          </w:p>
        </w:tc>
        <w:tc>
          <w:tcPr>
            <w:tcW w:w="50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权重</w:t>
            </w:r>
          </w:p>
        </w:tc>
        <w:tc>
          <w:tcPr>
            <w:tcW w:w="985" w:type="dxa"/>
            <w:vAlign w:val="center"/>
          </w:tcPr>
          <w:p>
            <w:pPr>
              <w:snapToGrid w:val="0"/>
              <w:spacing w:line="360" w:lineRule="auto"/>
              <w:jc w:val="center"/>
              <w:rPr>
                <w:rFonts w:hint="eastAsia" w:ascii="宋体" w:hAnsi="宋体" w:eastAsia="宋体" w:cs="宋体"/>
                <w:bCs/>
                <w:color w:val="auto"/>
                <w:sz w:val="24"/>
              </w:rPr>
            </w:pPr>
            <w:r>
              <w:rPr>
                <w:rFonts w:hint="eastAsia" w:ascii="宋体" w:hAnsi="宋体" w:eastAsia="宋体" w:cs="宋体"/>
                <w:bCs/>
                <w:color w:val="auto"/>
                <w:sz w:val="24"/>
              </w:rPr>
              <w:t>主观分/客观分属性</w:t>
            </w:r>
          </w:p>
        </w:tc>
        <w:tc>
          <w:tcPr>
            <w:tcW w:w="1678"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966"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企业资信评分</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olor w:val="auto"/>
                <w:sz w:val="24"/>
              </w:rPr>
              <w:t>202</w:t>
            </w:r>
            <w:r>
              <w:rPr>
                <w:rFonts w:hint="eastAsia" w:ascii="宋体" w:hAnsi="宋体"/>
                <w:color w:val="auto"/>
                <w:sz w:val="24"/>
                <w:lang w:val="en-US" w:eastAsia="zh-CN"/>
              </w:rPr>
              <w:t>1</w:t>
            </w:r>
            <w:r>
              <w:rPr>
                <w:rFonts w:hint="eastAsia" w:ascii="宋体" w:hAnsi="宋体"/>
                <w:color w:val="auto"/>
                <w:sz w:val="24"/>
              </w:rPr>
              <w:t>年1月1日以来投标人承担类似项目业绩情况。（提供合同复印件，每提供一个得0.5分，最多不超过3分。不提供不得分）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lang w:eastAsia="zh-CN"/>
              </w:rPr>
            </w:pPr>
            <w:r>
              <w:rPr>
                <w:rFonts w:hint="eastAsia" w:ascii="宋体" w:hAnsi="宋体" w:cs="宋体"/>
                <w:color w:val="auto"/>
                <w:sz w:val="24"/>
              </w:rPr>
              <w:t>投标人应具有较强的货源组织能力，不少于</w:t>
            </w:r>
            <w:r>
              <w:rPr>
                <w:rFonts w:hint="eastAsia" w:ascii="宋体" w:hAnsi="宋体" w:cs="宋体"/>
                <w:color w:val="auto"/>
                <w:sz w:val="24"/>
                <w:lang w:val="en-US" w:eastAsia="zh-CN"/>
              </w:rPr>
              <w:t>1</w:t>
            </w:r>
            <w:r>
              <w:rPr>
                <w:rFonts w:hint="eastAsia" w:ascii="宋体" w:hAnsi="宋体" w:cs="宋体"/>
                <w:color w:val="auto"/>
                <w:sz w:val="24"/>
              </w:rPr>
              <w:t>00家的合作出版商，有供书保障的各类出版社数量，超过100家为1分，超过200家3分，超过300家</w:t>
            </w:r>
            <w:r>
              <w:rPr>
                <w:rFonts w:hint="eastAsia" w:ascii="宋体" w:hAnsi="宋体" w:cs="宋体"/>
                <w:color w:val="auto"/>
                <w:sz w:val="24"/>
                <w:lang w:val="en-US" w:eastAsia="zh-CN"/>
              </w:rPr>
              <w:t>5</w:t>
            </w:r>
            <w:r>
              <w:rPr>
                <w:rFonts w:hint="eastAsia" w:ascii="宋体" w:hAnsi="宋体" w:cs="宋体"/>
                <w:color w:val="auto"/>
                <w:sz w:val="24"/>
              </w:rPr>
              <w:t>分。（需提供有长期合作关系的出版社名单，并提供有效的合作供货授权书/合同/协议等一项供货凭证材料扫描件）</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有一定规模的现采场所，能组织大型书市现采活动。（</w:t>
            </w:r>
            <w:r>
              <w:rPr>
                <w:rFonts w:hint="eastAsia" w:ascii="宋体" w:hAnsi="宋体" w:eastAsia="宋体" w:cs="宋体"/>
                <w:color w:val="auto"/>
                <w:sz w:val="24"/>
              </w:rPr>
              <w:t>以投标文件提供的证明材料为准</w:t>
            </w:r>
            <w:r>
              <w:rPr>
                <w:rFonts w:hint="eastAsia" w:ascii="宋体" w:hAnsi="宋体" w:eastAsia="宋体" w:cs="宋体"/>
                <w:color w:val="auto"/>
                <w:sz w:val="24"/>
                <w:lang w:val="en-US" w:eastAsia="zh-CN"/>
              </w:rPr>
              <w:t>,需提供</w:t>
            </w:r>
            <w:r>
              <w:rPr>
                <w:rFonts w:hint="eastAsia" w:ascii="宋体" w:hAnsi="宋体" w:eastAsia="宋体" w:cs="宋体"/>
                <w:color w:val="auto"/>
                <w:sz w:val="24"/>
              </w:rPr>
              <w:t>自有场地提供房产证明复印件，租赁场地的提供房产证明复印件及租赁协议复印件、组织大型书市现采活动的证明材料。</w:t>
            </w:r>
            <w:r>
              <w:rPr>
                <w:rFonts w:hint="eastAsia" w:ascii="宋体" w:hAnsi="宋体" w:cs="宋体"/>
                <w:color w:val="auto"/>
                <w:sz w:val="24"/>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88" w:type="dxa"/>
            <w:vMerge w:val="restart"/>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66"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组织实施方案</w:t>
            </w:r>
          </w:p>
        </w:tc>
        <w:tc>
          <w:tcPr>
            <w:tcW w:w="4378" w:type="dxa"/>
            <w:vAlign w:val="center"/>
          </w:tcPr>
          <w:p>
            <w:pPr>
              <w:snapToGrid w:val="0"/>
              <w:spacing w:line="360" w:lineRule="auto"/>
              <w:jc w:val="both"/>
              <w:rPr>
                <w:rFonts w:hint="eastAsia" w:ascii="宋体" w:hAnsi="宋体" w:eastAsia="宋体" w:cs="宋体"/>
                <w:color w:val="auto"/>
                <w:sz w:val="24"/>
              </w:rPr>
            </w:pPr>
            <w:r>
              <w:rPr>
                <w:rFonts w:ascii="宋体" w:hAnsi="宋体"/>
                <w:color w:val="auto"/>
                <w:sz w:val="24"/>
              </w:rPr>
              <w:t>投标人项目组织实施方案的科学性、合理性、规范性和可操作性</w:t>
            </w:r>
            <w:r>
              <w:rPr>
                <w:rFonts w:hint="eastAsia" w:ascii="宋体" w:hAnsi="宋体"/>
                <w:color w:val="auto"/>
                <w:sz w:val="24"/>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olor w:val="auto"/>
                <w:sz w:val="24"/>
              </w:rPr>
              <w:t>项目进度控制计划</w:t>
            </w:r>
            <w:r>
              <w:rPr>
                <w:rFonts w:ascii="宋体" w:hAnsi="宋体"/>
                <w:color w:val="auto"/>
                <w:sz w:val="24"/>
              </w:rPr>
              <w:t>、工作时间进度表、工作程序和步骤、管理和协调方法、关键步骤的思路和要点等</w:t>
            </w:r>
            <w:r>
              <w:rPr>
                <w:rFonts w:hint="eastAsia" w:ascii="宋体" w:hAnsi="宋体"/>
                <w:color w:val="auto"/>
                <w:sz w:val="24"/>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488" w:type="dxa"/>
            <w:vMerge w:val="restart"/>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966" w:type="dxa"/>
            <w:vMerge w:val="restart"/>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项目人员安排情况及资质证书</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olor w:val="auto"/>
                <w:sz w:val="24"/>
              </w:rPr>
              <w:t>项目负责人专业素质、技术能力、经验等情况。（以投标文件提供的证明文件及近</w:t>
            </w:r>
            <w:r>
              <w:rPr>
                <w:rFonts w:hint="eastAsia" w:ascii="宋体" w:hAnsi="宋体"/>
                <w:color w:val="auto"/>
                <w:sz w:val="24"/>
                <w:lang w:val="en-US" w:eastAsia="zh-CN"/>
              </w:rPr>
              <w:t>一</w:t>
            </w:r>
            <w:r>
              <w:rPr>
                <w:rFonts w:hint="eastAsia" w:ascii="宋体" w:hAnsi="宋体"/>
                <w:color w:val="auto"/>
                <w:sz w:val="24"/>
              </w:rPr>
              <w:t>个月社保缴纳证明为准，不提供不得分。）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jc w:val="center"/>
              <w:rPr>
                <w:rFonts w:hint="eastAsia" w:ascii="宋体" w:hAnsi="宋体" w:eastAsia="宋体" w:cs="宋体"/>
                <w:color w:val="auto"/>
                <w:kern w:val="0"/>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olor w:val="auto"/>
                <w:sz w:val="24"/>
              </w:rPr>
              <w:t>项目团队人员专业素质、技术能力、专业分布、经验等情况。（以投标文件提供的证明文件及近</w:t>
            </w:r>
            <w:r>
              <w:rPr>
                <w:rFonts w:hint="eastAsia" w:ascii="宋体" w:hAnsi="宋体"/>
                <w:color w:val="auto"/>
                <w:sz w:val="24"/>
                <w:lang w:val="en-US" w:eastAsia="zh-CN"/>
              </w:rPr>
              <w:t>一</w:t>
            </w:r>
            <w:r>
              <w:rPr>
                <w:rFonts w:hint="eastAsia" w:ascii="宋体" w:hAnsi="宋体"/>
                <w:color w:val="auto"/>
                <w:sz w:val="24"/>
              </w:rPr>
              <w:t>个月社保缴纳证明为准，不提供不得分。）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4</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图书质量</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正式出版物；无破损；附件齐全。前一项满分为1分，后两项各0.5分。（根据投标文件提供的服务承诺保证措施的明确性及可行性打分。）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restart"/>
            <w:vAlign w:val="center"/>
          </w:tcPr>
          <w:p>
            <w:pPr>
              <w:snapToGrid w:val="0"/>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5</w:t>
            </w:r>
          </w:p>
        </w:tc>
        <w:tc>
          <w:tcPr>
            <w:tcW w:w="966"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图书订购服务能力</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eastAsia="宋体" w:cs="宋体"/>
                <w:color w:val="000000"/>
                <w:sz w:val="24"/>
                <w:lang w:val="en-US" w:eastAsia="zh-CN"/>
              </w:rPr>
              <w:t>精准和覆盖面。</w:t>
            </w:r>
            <w:r>
              <w:rPr>
                <w:rFonts w:hint="eastAsia" w:ascii="宋体" w:hAnsi="宋体" w:eastAsia="宋体" w:cs="宋体"/>
                <w:color w:val="000000"/>
                <w:sz w:val="24"/>
              </w:rPr>
              <w:t>采访数据完整、准确，书目信息综合类覆盖面达90%以上、专业类覆盖面达95%以上，提供的信息时效性强。(</w:t>
            </w:r>
            <w:r>
              <w:rPr>
                <w:rFonts w:hint="eastAsia" w:ascii="宋体" w:hAnsi="宋体" w:eastAsia="宋体" w:cs="宋体"/>
                <w:color w:val="000000"/>
                <w:sz w:val="24"/>
                <w:lang w:val="en-US" w:eastAsia="zh-CN"/>
              </w:rPr>
              <w:t>根据投标文件提供的</w:t>
            </w:r>
            <w:r>
              <w:rPr>
                <w:rFonts w:hint="eastAsia" w:ascii="宋体" w:hAnsi="宋体" w:eastAsia="宋体" w:cs="宋体"/>
                <w:color w:val="000000"/>
                <w:sz w:val="24"/>
              </w:rPr>
              <w:t>采访数据</w:t>
            </w:r>
            <w:r>
              <w:rPr>
                <w:rFonts w:hint="eastAsia" w:ascii="宋体" w:hAnsi="宋体" w:eastAsia="宋体" w:cs="宋体"/>
                <w:color w:val="000000"/>
                <w:sz w:val="24"/>
                <w:lang w:val="en-US" w:eastAsia="zh-CN"/>
              </w:rPr>
              <w:t>精准度</w:t>
            </w:r>
            <w:r>
              <w:rPr>
                <w:rFonts w:hint="eastAsia" w:ascii="宋体" w:hAnsi="宋体" w:eastAsia="宋体" w:cs="宋体"/>
                <w:color w:val="000000"/>
                <w:sz w:val="24"/>
              </w:rPr>
              <w:t>、</w:t>
            </w:r>
            <w:r>
              <w:rPr>
                <w:rFonts w:hint="eastAsia" w:ascii="宋体" w:hAnsi="宋体" w:eastAsia="宋体" w:cs="宋体"/>
                <w:color w:val="000000"/>
                <w:sz w:val="24"/>
                <w:lang w:val="en-US" w:eastAsia="zh-CN"/>
              </w:rPr>
              <w:t>书</w:t>
            </w:r>
            <w:r>
              <w:rPr>
                <w:rFonts w:hint="eastAsia" w:ascii="宋体" w:hAnsi="宋体" w:eastAsia="宋体" w:cs="宋体"/>
                <w:color w:val="000000"/>
                <w:sz w:val="24"/>
              </w:rPr>
              <w:t>目信息覆盖</w:t>
            </w:r>
            <w:r>
              <w:rPr>
                <w:rFonts w:hint="eastAsia" w:ascii="宋体" w:hAnsi="宋体" w:eastAsia="宋体" w:cs="宋体"/>
                <w:color w:val="000000"/>
                <w:sz w:val="24"/>
                <w:lang w:val="en-US" w:eastAsia="zh-CN"/>
              </w:rPr>
              <w:t>度</w:t>
            </w:r>
            <w:r>
              <w:rPr>
                <w:rFonts w:hint="eastAsia" w:ascii="宋体" w:hAnsi="宋体" w:eastAsia="宋体" w:cs="宋体"/>
                <w:color w:val="000000"/>
                <w:sz w:val="24"/>
              </w:rPr>
              <w:t>、时效性</w:t>
            </w:r>
            <w:r>
              <w:rPr>
                <w:rFonts w:hint="eastAsia" w:ascii="宋体" w:hAnsi="宋体" w:eastAsia="宋体" w:cs="宋体"/>
                <w:color w:val="000000"/>
                <w:sz w:val="24"/>
                <w:lang w:val="en-US" w:eastAsia="zh-CN"/>
              </w:rPr>
              <w:t>及</w:t>
            </w:r>
            <w:r>
              <w:rPr>
                <w:rFonts w:hint="eastAsia" w:ascii="宋体" w:hAnsi="宋体" w:eastAsia="宋体" w:cs="宋体"/>
                <w:color w:val="000000"/>
                <w:sz w:val="24"/>
              </w:rPr>
              <w:t>可行性</w:t>
            </w:r>
            <w:r>
              <w:rPr>
                <w:rFonts w:hint="eastAsia" w:ascii="宋体" w:hAnsi="宋体" w:eastAsia="宋体" w:cs="宋体"/>
                <w:color w:val="000000"/>
                <w:sz w:val="24"/>
                <w:lang w:val="en-US" w:eastAsia="zh-CN"/>
              </w:rPr>
              <w:t>打分</w:t>
            </w:r>
            <w:r>
              <w:rPr>
                <w:rFonts w:hint="eastAsia" w:ascii="宋体" w:hAnsi="宋体" w:eastAsia="宋体" w:cs="宋体"/>
                <w:color w:val="000000"/>
                <w:sz w:val="24"/>
                <w:lang w:eastAsia="zh-CN"/>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5</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lang w:val="en-US" w:eastAsia="zh-CN"/>
              </w:rPr>
            </w:pPr>
            <w:r>
              <w:rPr>
                <w:rFonts w:hint="eastAsia" w:ascii="宋体" w:hAnsi="宋体" w:cs="宋体"/>
                <w:color w:val="auto"/>
                <w:sz w:val="24"/>
              </w:rPr>
              <w:t>频率和数量。每份书目数据不少于2000种，1周1份，3分；2周1份，1分；2周以上，0.5分。（根据投标文件提供的服务承诺保证措施的明确性及可行性打分。）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lang w:val="en-US" w:eastAsia="zh-CN"/>
              </w:rPr>
            </w:pPr>
            <w:r>
              <w:rPr>
                <w:rFonts w:hint="eastAsia" w:ascii="宋体" w:hAnsi="宋体" w:cs="宋体"/>
                <w:color w:val="auto"/>
                <w:sz w:val="24"/>
              </w:rPr>
              <w:t>具备对图书馆自备清单的采购能力，要求订到率和到货率不低于90%（含）以上。</w:t>
            </w:r>
            <w:r>
              <w:rPr>
                <w:rFonts w:hint="eastAsia" w:ascii="宋体" w:hAnsi="宋体" w:eastAsia="宋体" w:cs="宋体"/>
                <w:color w:val="auto"/>
                <w:sz w:val="24"/>
                <w:lang w:eastAsia="zh-CN"/>
              </w:rPr>
              <w:t>（</w:t>
            </w:r>
            <w:r>
              <w:rPr>
                <w:rFonts w:hint="eastAsia" w:ascii="宋体" w:hAnsi="宋体" w:eastAsia="宋体" w:cs="宋体"/>
                <w:color w:val="auto"/>
                <w:sz w:val="24"/>
              </w:rPr>
              <w:t>需提供20</w:t>
            </w:r>
            <w:r>
              <w:rPr>
                <w:rFonts w:hint="eastAsia" w:ascii="宋体" w:hAnsi="宋体" w:eastAsia="宋体" w:cs="宋体"/>
                <w:color w:val="auto"/>
                <w:sz w:val="24"/>
                <w:lang w:val="en-US" w:eastAsia="zh-CN"/>
              </w:rPr>
              <w:t>21</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同类</w:t>
            </w:r>
            <w:r>
              <w:rPr>
                <w:rFonts w:hint="eastAsia" w:ascii="宋体" w:hAnsi="宋体" w:eastAsia="宋体" w:cs="宋体"/>
                <w:color w:val="auto"/>
                <w:sz w:val="24"/>
              </w:rPr>
              <w:t>图书馆开具的</w:t>
            </w:r>
            <w:r>
              <w:rPr>
                <w:rFonts w:hint="eastAsia" w:ascii="宋体" w:hAnsi="宋体" w:eastAsia="宋体" w:cs="宋体"/>
                <w:color w:val="auto"/>
                <w:sz w:val="24"/>
                <w:lang w:val="en-US" w:eastAsia="zh-CN"/>
              </w:rPr>
              <w:t>符合上述要求的</w:t>
            </w:r>
            <w:r>
              <w:rPr>
                <w:rFonts w:hint="eastAsia" w:ascii="宋体" w:hAnsi="宋体" w:eastAsia="宋体" w:cs="宋体"/>
                <w:color w:val="auto"/>
                <w:sz w:val="24"/>
              </w:rPr>
              <w:t>图书</w:t>
            </w:r>
            <w:r>
              <w:rPr>
                <w:rFonts w:hint="eastAsia" w:ascii="宋体" w:hAnsi="宋体" w:eastAsia="宋体" w:cs="宋体"/>
                <w:color w:val="auto"/>
                <w:sz w:val="24"/>
                <w:lang w:val="en-US" w:eastAsia="zh-CN"/>
              </w:rPr>
              <w:t>订到</w:t>
            </w:r>
            <w:r>
              <w:rPr>
                <w:rFonts w:hint="eastAsia" w:ascii="宋体" w:hAnsi="宋体" w:eastAsia="宋体" w:cs="宋体"/>
                <w:color w:val="auto"/>
                <w:sz w:val="24"/>
              </w:rPr>
              <w:t>率</w:t>
            </w:r>
            <w:r>
              <w:rPr>
                <w:rFonts w:hint="eastAsia" w:ascii="宋体" w:hAnsi="宋体" w:eastAsia="宋体" w:cs="宋体"/>
                <w:color w:val="auto"/>
                <w:sz w:val="24"/>
                <w:lang w:val="en-US" w:eastAsia="zh-CN"/>
              </w:rPr>
              <w:t>和到货率</w:t>
            </w:r>
            <w:r>
              <w:rPr>
                <w:rFonts w:hint="eastAsia" w:ascii="宋体" w:hAnsi="宋体" w:eastAsia="宋体" w:cs="宋体"/>
                <w:color w:val="auto"/>
                <w:sz w:val="24"/>
              </w:rPr>
              <w:t>证明</w:t>
            </w:r>
            <w:r>
              <w:rPr>
                <w:rFonts w:hint="eastAsia" w:ascii="宋体" w:hAnsi="宋体" w:eastAsia="宋体" w:cs="宋体"/>
                <w:color w:val="auto"/>
                <w:sz w:val="24"/>
                <w:lang w:eastAsia="zh-CN"/>
              </w:rPr>
              <w:t>，</w:t>
            </w:r>
            <w:r>
              <w:rPr>
                <w:rFonts w:hint="eastAsia" w:ascii="宋体" w:hAnsi="宋体" w:eastAsia="宋体" w:cs="宋体"/>
                <w:color w:val="auto"/>
                <w:sz w:val="24"/>
              </w:rPr>
              <w:t>每增加1</w:t>
            </w:r>
            <w:r>
              <w:rPr>
                <w:rFonts w:hint="eastAsia" w:ascii="宋体" w:hAnsi="宋体" w:eastAsia="宋体" w:cs="宋体"/>
                <w:color w:val="auto"/>
                <w:sz w:val="24"/>
                <w:lang w:val="en-US" w:eastAsia="zh-CN"/>
              </w:rPr>
              <w:t>家</w:t>
            </w:r>
            <w:r>
              <w:rPr>
                <w:rFonts w:hint="eastAsia" w:ascii="宋体" w:hAnsi="宋体" w:eastAsia="宋体" w:cs="宋体"/>
                <w:color w:val="auto"/>
                <w:sz w:val="24"/>
              </w:rPr>
              <w:t>得</w:t>
            </w:r>
            <w:r>
              <w:rPr>
                <w:rFonts w:hint="eastAsia" w:ascii="宋体" w:hAnsi="宋体" w:eastAsia="宋体" w:cs="宋体"/>
                <w:color w:val="auto"/>
                <w:sz w:val="24"/>
                <w:lang w:val="en-US" w:eastAsia="zh-CN"/>
              </w:rPr>
              <w:t>0.15</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eastAsia="zh-CN"/>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自定较窄主题采购的快速响应能力（要求在2个自然日内给与回复）。（根据投标文件提供的服务承诺保证措施的明确性及可行性打分。）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到货率</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lang w:val="en-US" w:eastAsia="zh-CN"/>
              </w:rPr>
              <w:t>全年</w:t>
            </w:r>
            <w:r>
              <w:rPr>
                <w:rFonts w:hint="eastAsia" w:ascii="宋体" w:hAnsi="宋体" w:cs="宋体"/>
                <w:color w:val="auto"/>
                <w:sz w:val="24"/>
              </w:rPr>
              <w:t>到货率达97%(含)以上。</w:t>
            </w:r>
            <w:r>
              <w:rPr>
                <w:rFonts w:hint="eastAsia" w:ascii="宋体" w:hAnsi="宋体" w:eastAsia="宋体" w:cs="宋体"/>
                <w:color w:val="auto"/>
                <w:sz w:val="24"/>
                <w:lang w:eastAsia="zh-CN"/>
              </w:rPr>
              <w:t>（</w:t>
            </w:r>
            <w:r>
              <w:rPr>
                <w:rFonts w:hint="eastAsia" w:ascii="宋体" w:hAnsi="宋体" w:eastAsia="宋体" w:cs="宋体"/>
                <w:color w:val="auto"/>
                <w:sz w:val="24"/>
              </w:rPr>
              <w:t>需提供20</w:t>
            </w:r>
            <w:r>
              <w:rPr>
                <w:rFonts w:hint="eastAsia" w:ascii="宋体" w:hAnsi="宋体" w:eastAsia="宋体" w:cs="宋体"/>
                <w:color w:val="auto"/>
                <w:sz w:val="24"/>
                <w:lang w:val="en-US" w:eastAsia="zh-CN"/>
              </w:rPr>
              <w:t>21</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同类</w:t>
            </w:r>
            <w:r>
              <w:rPr>
                <w:rFonts w:hint="eastAsia" w:ascii="宋体" w:hAnsi="宋体" w:eastAsia="宋体" w:cs="宋体"/>
                <w:color w:val="auto"/>
                <w:sz w:val="24"/>
              </w:rPr>
              <w:t>图书馆开具的</w:t>
            </w:r>
            <w:r>
              <w:rPr>
                <w:rFonts w:hint="eastAsia" w:ascii="宋体" w:hAnsi="宋体" w:eastAsia="宋体" w:cs="宋体"/>
                <w:color w:val="auto"/>
                <w:sz w:val="24"/>
                <w:lang w:val="en-US" w:eastAsia="zh-CN"/>
              </w:rPr>
              <w:t>符合上述要求</w:t>
            </w:r>
            <w:r>
              <w:rPr>
                <w:rFonts w:hint="eastAsia" w:ascii="宋体" w:hAnsi="宋体" w:eastAsia="宋体" w:cs="宋体"/>
                <w:color w:val="auto"/>
                <w:sz w:val="24"/>
              </w:rPr>
              <w:t>的图书到书率证明</w:t>
            </w:r>
            <w:r>
              <w:rPr>
                <w:rFonts w:hint="eastAsia" w:ascii="宋体" w:hAnsi="宋体" w:eastAsia="宋体" w:cs="宋体"/>
                <w:color w:val="auto"/>
                <w:sz w:val="24"/>
                <w:lang w:eastAsia="zh-CN"/>
              </w:rPr>
              <w:t>，</w:t>
            </w:r>
            <w:r>
              <w:rPr>
                <w:rFonts w:hint="eastAsia" w:ascii="宋体" w:hAnsi="宋体" w:eastAsia="宋体" w:cs="宋体"/>
                <w:color w:val="auto"/>
                <w:sz w:val="24"/>
              </w:rPr>
              <w:t>每增加1</w:t>
            </w:r>
            <w:r>
              <w:rPr>
                <w:rFonts w:hint="eastAsia" w:ascii="宋体" w:hAnsi="宋体" w:eastAsia="宋体" w:cs="宋体"/>
                <w:color w:val="auto"/>
                <w:sz w:val="24"/>
                <w:lang w:val="en-US" w:eastAsia="zh-CN"/>
              </w:rPr>
              <w:t>家</w:t>
            </w:r>
            <w:r>
              <w:rPr>
                <w:rFonts w:hint="eastAsia" w:ascii="宋体" w:hAnsi="宋体" w:eastAsia="宋体" w:cs="宋体"/>
                <w:color w:val="auto"/>
                <w:sz w:val="24"/>
              </w:rPr>
              <w:t>得</w:t>
            </w:r>
            <w:r>
              <w:rPr>
                <w:rFonts w:hint="eastAsia" w:ascii="宋体" w:hAnsi="宋体" w:eastAsia="宋体" w:cs="宋体"/>
                <w:color w:val="auto"/>
                <w:sz w:val="24"/>
                <w:lang w:val="en-US" w:eastAsia="zh-CN"/>
              </w:rPr>
              <w:t>0.25</w:t>
            </w:r>
            <w:r>
              <w:rPr>
                <w:rFonts w:hint="eastAsia" w:ascii="宋体" w:hAnsi="宋体" w:eastAsia="宋体" w:cs="宋体"/>
                <w:color w:val="auto"/>
                <w:sz w:val="24"/>
              </w:rPr>
              <w:t>分，满分</w:t>
            </w:r>
            <w:r>
              <w:rPr>
                <w:rFonts w:hint="eastAsia" w:ascii="宋体" w:hAnsi="宋体" w:eastAsia="宋体" w:cs="宋体"/>
                <w:color w:val="auto"/>
                <w:sz w:val="24"/>
                <w:lang w:val="en-US" w:eastAsia="zh-CN"/>
              </w:rPr>
              <w:t>5</w:t>
            </w:r>
            <w:r>
              <w:rPr>
                <w:rFonts w:hint="eastAsia" w:ascii="宋体" w:hAnsi="宋体" w:eastAsia="宋体" w:cs="宋体"/>
                <w:color w:val="auto"/>
                <w:sz w:val="24"/>
              </w:rPr>
              <w:t>分</w:t>
            </w:r>
            <w:r>
              <w:rPr>
                <w:rFonts w:hint="eastAsia" w:ascii="宋体" w:hAnsi="宋体" w:eastAsia="宋体" w:cs="宋体"/>
                <w:color w:val="auto"/>
                <w:sz w:val="24"/>
                <w:lang w:eastAsia="zh-CN"/>
              </w:rPr>
              <w:t>）</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对订单调整要求的反应能力</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对已订清单因情况变化，能满足图书馆减少订数或要求取消订购的要求。能减少订数的</w:t>
            </w:r>
            <w:r>
              <w:rPr>
                <w:rFonts w:hint="eastAsia" w:ascii="宋体" w:hAnsi="宋体" w:cs="宋体"/>
                <w:color w:val="auto"/>
                <w:sz w:val="24"/>
                <w:lang w:val="en-US" w:eastAsia="zh-CN"/>
              </w:rPr>
              <w:t>得</w:t>
            </w:r>
            <w:r>
              <w:rPr>
                <w:rFonts w:hint="eastAsia" w:ascii="宋体" w:hAnsi="宋体" w:cs="宋体"/>
                <w:color w:val="auto"/>
                <w:sz w:val="24"/>
              </w:rPr>
              <w:t>1分，能取消的</w:t>
            </w:r>
            <w:r>
              <w:rPr>
                <w:rFonts w:hint="eastAsia" w:ascii="宋体" w:hAnsi="宋体" w:cs="宋体"/>
                <w:color w:val="auto"/>
                <w:sz w:val="24"/>
                <w:lang w:val="en-US" w:eastAsia="zh-CN"/>
              </w:rPr>
              <w:t>得</w:t>
            </w:r>
            <w:r>
              <w:rPr>
                <w:rFonts w:hint="eastAsia" w:ascii="宋体" w:hAnsi="宋体" w:cs="宋体"/>
                <w:color w:val="auto"/>
                <w:sz w:val="24"/>
              </w:rPr>
              <w:t>2分。（根据投标文件提供的服务承诺保证措施的明确性及可行性打分。）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对未能采购图书订单的处理</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对因各种原因未能满足图书馆订单的情况能及时作出反馈，并给出解决方案。（根据投标文件提供的服务承诺保证措施的明确性及可行性打分。）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val="en-US" w:eastAsia="zh-CN"/>
              </w:rPr>
              <w:t>线上补缺</w:t>
            </w:r>
          </w:p>
        </w:tc>
        <w:tc>
          <w:tcPr>
            <w:tcW w:w="4378" w:type="dxa"/>
            <w:vAlign w:val="center"/>
          </w:tcPr>
          <w:p>
            <w:pPr>
              <w:jc w:val="both"/>
              <w:rPr>
                <w:rFonts w:hint="eastAsia" w:ascii="宋体" w:hAnsi="宋体" w:eastAsia="宋体" w:cs="宋体"/>
                <w:color w:val="auto"/>
                <w:sz w:val="24"/>
              </w:rPr>
            </w:pPr>
            <w:r>
              <w:rPr>
                <w:rFonts w:hint="eastAsia" w:ascii="宋体" w:hAnsi="宋体" w:eastAsia="宋体" w:cs="宋体"/>
                <w:color w:val="000000"/>
                <w:sz w:val="24"/>
              </w:rPr>
              <w:t>根据投标人提供的</w:t>
            </w:r>
            <w:r>
              <w:rPr>
                <w:rFonts w:hint="eastAsia" w:ascii="宋体" w:hAnsi="宋体" w:eastAsia="宋体" w:cs="宋体"/>
                <w:color w:val="auto"/>
                <w:sz w:val="24"/>
                <w:lang w:val="en-US" w:eastAsia="zh-CN"/>
              </w:rPr>
              <w:t>在线选书平台</w:t>
            </w:r>
            <w:r>
              <w:rPr>
                <w:rFonts w:hint="eastAsia" w:ascii="宋体" w:hAnsi="宋体" w:eastAsia="宋体" w:cs="宋体"/>
                <w:color w:val="000000"/>
                <w:sz w:val="24"/>
              </w:rPr>
              <w:t>，能满足图书馆采购缺</w:t>
            </w:r>
            <w:r>
              <w:rPr>
                <w:rFonts w:hint="eastAsia" w:ascii="宋体" w:hAnsi="宋体" w:eastAsia="宋体" w:cs="宋体"/>
                <w:color w:val="000000"/>
                <w:sz w:val="24"/>
                <w:lang w:val="en-US" w:eastAsia="zh-CN"/>
              </w:rPr>
              <w:t>藏</w:t>
            </w:r>
            <w:r>
              <w:rPr>
                <w:rFonts w:hint="eastAsia" w:ascii="宋体" w:hAnsi="宋体" w:eastAsia="宋体" w:cs="宋体"/>
                <w:color w:val="000000"/>
                <w:sz w:val="24"/>
              </w:rPr>
              <w:t>图书的需求情况进行打分。</w:t>
            </w:r>
            <w:r>
              <w:rPr>
                <w:rFonts w:hint="eastAsia" w:ascii="宋体" w:hAnsi="宋体" w:eastAsia="宋体" w:cs="宋体"/>
                <w:color w:val="000000"/>
                <w:sz w:val="24"/>
                <w:lang w:eastAsia="zh-CN"/>
              </w:rPr>
              <w:t>（</w:t>
            </w:r>
            <w:r>
              <w:rPr>
                <w:rFonts w:hint="eastAsia" w:ascii="宋体" w:hAnsi="宋体" w:cs="宋体"/>
                <w:color w:val="000000"/>
                <w:sz w:val="24"/>
              </w:rPr>
              <w:t>根据投标文件提供</w:t>
            </w:r>
            <w:r>
              <w:rPr>
                <w:rFonts w:hint="eastAsia" w:ascii="宋体" w:hAnsi="宋体" w:cs="宋体"/>
                <w:color w:val="000000"/>
                <w:sz w:val="24"/>
                <w:lang w:val="en-US" w:eastAsia="zh-CN"/>
              </w:rPr>
              <w:t>的图书数量、品种及操作便捷程度</w:t>
            </w:r>
            <w:r>
              <w:rPr>
                <w:rFonts w:hint="eastAsia" w:ascii="宋体" w:hAnsi="宋体" w:cs="宋体"/>
                <w:color w:val="000000"/>
                <w:sz w:val="24"/>
              </w:rPr>
              <w:t>打分</w:t>
            </w:r>
            <w:r>
              <w:rPr>
                <w:rFonts w:hint="eastAsia" w:ascii="宋体" w:hAnsi="宋体" w:cs="宋体"/>
                <w:color w:val="000000"/>
                <w:sz w:val="24"/>
                <w:lang w:eastAsia="zh-CN"/>
              </w:rPr>
              <w:t>，</w:t>
            </w:r>
            <w:r>
              <w:rPr>
                <w:rFonts w:hint="eastAsia" w:ascii="宋体" w:hAnsi="宋体" w:cs="宋体"/>
                <w:color w:val="000000"/>
                <w:sz w:val="24"/>
                <w:lang w:val="en-US" w:eastAsia="zh-CN"/>
              </w:rPr>
              <w:t>需</w:t>
            </w:r>
            <w:r>
              <w:rPr>
                <w:rFonts w:hint="eastAsia" w:ascii="宋体" w:hAnsi="宋体" w:eastAsia="宋体" w:cs="宋体"/>
                <w:color w:val="000000"/>
                <w:sz w:val="24"/>
              </w:rPr>
              <w:t>提供网站地址、相关网站或</w:t>
            </w:r>
            <w:r>
              <w:rPr>
                <w:rFonts w:hint="eastAsia" w:ascii="宋体" w:hAnsi="宋体" w:eastAsia="宋体" w:cs="宋体"/>
                <w:color w:val="000000"/>
                <w:sz w:val="24"/>
                <w:lang w:val="en-US" w:eastAsia="zh-CN"/>
              </w:rPr>
              <w:t>系</w:t>
            </w:r>
            <w:r>
              <w:rPr>
                <w:rFonts w:hint="eastAsia" w:ascii="宋体" w:hAnsi="宋体" w:eastAsia="宋体" w:cs="宋体"/>
                <w:color w:val="000000"/>
                <w:sz w:val="24"/>
              </w:rPr>
              <w:t>统截图，未按要求提供不得分。)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退单的处理</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及时处理因图书质量问题、与馆藏要求不符、与预订不符等原因造成的退单。（根据投标文件提供的服务承诺保证措施的明确性及可行性打分。）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Merge w:val="restart"/>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p>
        </w:tc>
        <w:tc>
          <w:tcPr>
            <w:tcW w:w="966"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图书全加工服务</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编目数据的质量符合招标要求的程度；与到馆图书匹配程度（不漏发、错发）；与到馆图书同时到达情况。</w:t>
            </w:r>
            <w:r>
              <w:rPr>
                <w:rFonts w:hint="eastAsia" w:ascii="宋体" w:hAnsi="宋体" w:cs="宋体"/>
                <w:color w:val="auto"/>
                <w:sz w:val="24"/>
                <w:lang w:val="en-US" w:eastAsia="zh-CN"/>
              </w:rPr>
              <w:t>每</w:t>
            </w:r>
            <w:r>
              <w:rPr>
                <w:rFonts w:hint="eastAsia" w:ascii="宋体" w:hAnsi="宋体" w:cs="宋体"/>
                <w:color w:val="auto"/>
                <w:sz w:val="24"/>
              </w:rPr>
              <w:t>项各1分。（根据投标文件提供的服务承诺保证措施的明确性及可行性打分。）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数据加工和物理加工服务的保障性方案（根据投标文件提供的服务承诺保证措施的明确性及可行性打分。）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olor w:val="auto"/>
                <w:sz w:val="24"/>
              </w:rPr>
              <w:t>拟派本项目</w:t>
            </w:r>
            <w:r>
              <w:rPr>
                <w:rFonts w:hint="eastAsia" w:ascii="宋体" w:hAnsi="宋体" w:cs="宋体"/>
                <w:color w:val="auto"/>
                <w:sz w:val="24"/>
              </w:rPr>
              <w:t>驻场加工人员数量</w:t>
            </w:r>
            <w:r>
              <w:rPr>
                <w:rFonts w:hint="eastAsia" w:ascii="宋体" w:hAnsi="宋体"/>
                <w:color w:val="auto"/>
                <w:sz w:val="24"/>
              </w:rPr>
              <w:t>，不足2人不得分，2人得1分，3人及以上得2分；拟派本项目驻场</w:t>
            </w:r>
            <w:r>
              <w:rPr>
                <w:rFonts w:hint="eastAsia" w:ascii="宋体" w:hAnsi="宋体" w:cs="宋体"/>
                <w:color w:val="auto"/>
                <w:sz w:val="24"/>
              </w:rPr>
              <w:t>加工人员每具有一位</w:t>
            </w:r>
            <w:r>
              <w:rPr>
                <w:rFonts w:hint="eastAsia" w:hAnsi="宋体" w:cs="宋体"/>
                <w:color w:val="auto"/>
                <w:sz w:val="24"/>
                <w:lang w:val="en-US" w:eastAsia="zh-CN"/>
              </w:rPr>
              <w:t>国家图书馆或其他大型公共图书馆颁发的编目</w:t>
            </w:r>
            <w:r>
              <w:rPr>
                <w:rFonts w:hint="eastAsia" w:hAnsi="宋体" w:cs="宋体"/>
                <w:color w:val="auto"/>
                <w:sz w:val="24"/>
              </w:rPr>
              <w:t>资格证书得1分，最多得2分。</w:t>
            </w:r>
            <w:r>
              <w:rPr>
                <w:rFonts w:hint="eastAsia" w:ascii="宋体" w:hAnsi="宋体" w:cs="宋体"/>
                <w:color w:val="auto"/>
                <w:sz w:val="24"/>
              </w:rPr>
              <w:t>（根据投标文件提供的服务承诺保证措施的明确性及可行性打分。）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p>
        </w:tc>
        <w:tc>
          <w:tcPr>
            <w:tcW w:w="966"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包装质量、运送及时到位</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满足图书包装及运送要求的程度</w:t>
            </w:r>
            <w:r>
              <w:rPr>
                <w:rFonts w:hint="eastAsia" w:ascii="宋体" w:hAnsi="宋体" w:cs="宋体"/>
                <w:color w:val="auto"/>
                <w:sz w:val="24"/>
                <w:lang w:eastAsia="zh-CN"/>
              </w:rPr>
              <w:t>，</w:t>
            </w:r>
            <w:r>
              <w:rPr>
                <w:rFonts w:hint="eastAsia" w:ascii="宋体" w:hAnsi="宋体" w:cs="宋体"/>
                <w:color w:val="auto"/>
                <w:sz w:val="24"/>
                <w:lang w:val="en-US" w:eastAsia="zh-CN"/>
              </w:rPr>
              <w:t>包括不限于运送时图书的安全、包装、装卸、搬运和配送车辆、人员配备等内容</w:t>
            </w:r>
            <w:r>
              <w:rPr>
                <w:rFonts w:hint="eastAsia" w:ascii="宋体" w:hAnsi="宋体" w:cs="宋体"/>
                <w:color w:val="auto"/>
                <w:sz w:val="24"/>
              </w:rPr>
              <w:t>。（根据投标文件提供的服务承诺保证措施的明确性及可行性打分。）</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主观分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488" w:type="dxa"/>
            <w:vMerge w:val="restart"/>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966" w:type="dxa"/>
            <w:vMerge w:val="restart"/>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特色服务、增值服务</w:t>
            </w:r>
          </w:p>
        </w:tc>
        <w:tc>
          <w:tcPr>
            <w:tcW w:w="4378" w:type="dxa"/>
            <w:vAlign w:val="center"/>
          </w:tcPr>
          <w:p>
            <w:pPr>
              <w:snapToGrid w:val="0"/>
              <w:spacing w:line="360" w:lineRule="auto"/>
              <w:jc w:val="both"/>
              <w:rPr>
                <w:rFonts w:hint="eastAsia" w:ascii="宋体" w:hAnsi="宋体" w:eastAsia="宋体" w:cs="宋体"/>
                <w:color w:val="auto"/>
                <w:sz w:val="24"/>
              </w:rPr>
            </w:pPr>
            <w:r>
              <w:rPr>
                <w:rFonts w:hint="eastAsia" w:ascii="宋体" w:hAnsi="宋体" w:cs="宋体"/>
                <w:color w:val="auto"/>
                <w:sz w:val="24"/>
              </w:rPr>
              <w:t>为用户的馆藏建设提供其它特色服务情况</w:t>
            </w:r>
            <w:r>
              <w:rPr>
                <w:rFonts w:hint="eastAsia" w:ascii="宋体" w:hAnsi="宋体" w:cs="宋体"/>
                <w:color w:val="auto"/>
                <w:sz w:val="24"/>
                <w:lang w:eastAsia="zh-CN"/>
              </w:rPr>
              <w:t>，</w:t>
            </w:r>
            <w:r>
              <w:rPr>
                <w:rFonts w:hint="eastAsia" w:ascii="宋体" w:hAnsi="宋体" w:cs="宋体"/>
                <w:color w:val="auto"/>
                <w:kern w:val="0"/>
                <w:sz w:val="24"/>
              </w:rPr>
              <w:t>在承诺提供不少于</w:t>
            </w:r>
            <w:r>
              <w:rPr>
                <w:rFonts w:hint="eastAsia" w:ascii="宋体" w:hAnsi="宋体" w:cs="宋体"/>
                <w:color w:val="auto"/>
                <w:kern w:val="0"/>
                <w:sz w:val="24"/>
                <w:lang w:val="en-US" w:eastAsia="zh-CN"/>
              </w:rPr>
              <w:t>3</w:t>
            </w:r>
            <w:r>
              <w:rPr>
                <w:rFonts w:hint="eastAsia" w:ascii="宋体" w:hAnsi="宋体" w:cs="宋体"/>
                <w:color w:val="auto"/>
                <w:kern w:val="0"/>
                <w:sz w:val="24"/>
              </w:rPr>
              <w:t>场全国知名作家或某领域著名学者的特色讲座的基础上，每提供一份计划表得0.5分，计划表内容需含时间地点、讲座主题及内容、主讲人员（含职称、学术特色及经历、拟适合人群），</w:t>
            </w:r>
            <w:r>
              <w:rPr>
                <w:rFonts w:hint="eastAsia" w:ascii="宋体" w:hAnsi="宋体" w:cs="宋体"/>
                <w:color w:val="auto"/>
                <w:kern w:val="0"/>
                <w:sz w:val="24"/>
                <w:lang w:val="en-US" w:eastAsia="zh-CN"/>
              </w:rPr>
              <w:t>以及替换方案（如：因不可抗力改为线上等具体方案），</w:t>
            </w:r>
            <w:r>
              <w:rPr>
                <w:rFonts w:hint="eastAsia" w:ascii="宋体" w:hAnsi="宋体" w:cs="宋体"/>
                <w:color w:val="auto"/>
                <w:kern w:val="0"/>
                <w:sz w:val="24"/>
              </w:rPr>
              <w:t>缺一不得分，最高得3分；中标后计划表需由采购人认可。</w:t>
            </w:r>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8" w:type="dxa"/>
            <w:vMerge w:val="continue"/>
            <w:vAlign w:val="center"/>
          </w:tcPr>
          <w:p>
            <w:pPr>
              <w:snapToGrid w:val="0"/>
              <w:spacing w:line="360" w:lineRule="auto"/>
              <w:jc w:val="center"/>
              <w:rPr>
                <w:rFonts w:hint="eastAsia" w:ascii="宋体" w:hAnsi="宋体" w:eastAsia="宋体" w:cs="宋体"/>
                <w:color w:val="auto"/>
                <w:sz w:val="24"/>
              </w:rPr>
            </w:pPr>
          </w:p>
        </w:tc>
        <w:tc>
          <w:tcPr>
            <w:tcW w:w="966" w:type="dxa"/>
            <w:vMerge w:val="continue"/>
            <w:vAlign w:val="center"/>
          </w:tcPr>
          <w:p>
            <w:pPr>
              <w:snapToGrid w:val="0"/>
              <w:spacing w:line="360" w:lineRule="auto"/>
              <w:jc w:val="center"/>
              <w:rPr>
                <w:rFonts w:hint="eastAsia" w:ascii="宋体" w:hAnsi="宋体" w:eastAsia="宋体" w:cs="宋体"/>
                <w:color w:val="auto"/>
                <w:sz w:val="24"/>
              </w:rPr>
            </w:pPr>
          </w:p>
        </w:tc>
        <w:tc>
          <w:tcPr>
            <w:tcW w:w="4378" w:type="dxa"/>
            <w:vAlign w:val="center"/>
          </w:tcPr>
          <w:p>
            <w:pPr>
              <w:snapToGrid w:val="0"/>
              <w:spacing w:line="360" w:lineRule="auto"/>
              <w:jc w:val="both"/>
              <w:rPr>
                <w:rFonts w:hint="eastAsia" w:ascii="宋体" w:hAnsi="宋体" w:eastAsia="宋体" w:cs="宋体"/>
                <w:color w:val="auto"/>
                <w:sz w:val="24"/>
              </w:rPr>
            </w:pPr>
            <w:bookmarkStart w:id="410" w:name="_GoBack"/>
            <w:r>
              <w:rPr>
                <w:rFonts w:hint="eastAsia" w:ascii="宋体" w:hAnsi="宋体" w:cs="宋体"/>
                <w:color w:val="auto"/>
                <w:sz w:val="24"/>
              </w:rPr>
              <w:t>支持图书馆</w:t>
            </w:r>
            <w:r>
              <w:rPr>
                <w:rFonts w:hint="eastAsia" w:ascii="宋体" w:hAnsi="宋体" w:cs="宋体"/>
                <w:color w:val="auto"/>
                <w:sz w:val="24"/>
                <w:lang w:val="en-US" w:eastAsia="zh-CN"/>
              </w:rPr>
              <w:t>相关</w:t>
            </w:r>
            <w:r>
              <w:rPr>
                <w:rFonts w:hint="eastAsia" w:ascii="宋体" w:hAnsi="宋体" w:cs="宋体"/>
                <w:color w:val="auto"/>
                <w:sz w:val="24"/>
              </w:rPr>
              <w:t>公益事业</w:t>
            </w:r>
            <w:r>
              <w:rPr>
                <w:rFonts w:hint="eastAsia" w:ascii="宋体" w:hAnsi="宋体" w:cs="宋体"/>
                <w:color w:val="auto"/>
                <w:sz w:val="24"/>
                <w:lang w:eastAsia="zh-CN"/>
              </w:rPr>
              <w:t>、</w:t>
            </w:r>
            <w:r>
              <w:rPr>
                <w:rFonts w:hint="eastAsia" w:ascii="宋体" w:hAnsi="宋体" w:cs="宋体"/>
                <w:color w:val="auto"/>
                <w:sz w:val="24"/>
              </w:rPr>
              <w:t>提供</w:t>
            </w:r>
            <w:r>
              <w:rPr>
                <w:rFonts w:hint="eastAsia" w:ascii="宋体" w:hAnsi="宋体" w:cs="宋体"/>
                <w:color w:val="auto"/>
                <w:sz w:val="24"/>
                <w:lang w:val="en-US" w:eastAsia="zh-CN"/>
              </w:rPr>
              <w:t>采购人</w:t>
            </w:r>
            <w:r>
              <w:rPr>
                <w:rFonts w:hint="eastAsia" w:ascii="宋体" w:hAnsi="宋体" w:cs="宋体"/>
                <w:color w:val="auto"/>
                <w:sz w:val="24"/>
              </w:rPr>
              <w:t>所需弱势群体服务资源（如视障人士、未成年人）等增值服务情况。</w:t>
            </w:r>
            <w:r>
              <w:rPr>
                <w:rFonts w:hint="eastAsia" w:ascii="宋体" w:hAnsi="宋体" w:cs="宋体"/>
                <w:color w:val="auto"/>
                <w:sz w:val="24"/>
                <w:lang w:eastAsia="zh-CN"/>
              </w:rPr>
              <w:t>（</w:t>
            </w:r>
            <w:r>
              <w:rPr>
                <w:rFonts w:hint="eastAsia" w:ascii="宋体" w:hAnsi="宋体" w:cs="宋体"/>
                <w:color w:val="auto"/>
                <w:sz w:val="24"/>
                <w:lang w:val="en-US" w:eastAsia="zh-CN"/>
              </w:rPr>
              <w:t>提供相关证明或方案，每个0.5分</w:t>
            </w:r>
            <w:r>
              <w:rPr>
                <w:rFonts w:hint="eastAsia" w:ascii="宋体" w:hAnsi="宋体" w:cs="宋体"/>
                <w:color w:val="auto"/>
                <w:sz w:val="24"/>
                <w:lang w:eastAsia="zh-CN"/>
              </w:rPr>
              <w:t>）</w:t>
            </w:r>
            <w:bookmarkEnd w:id="410"/>
          </w:p>
        </w:tc>
        <w:tc>
          <w:tcPr>
            <w:tcW w:w="506"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985" w:type="dxa"/>
            <w:vAlign w:val="center"/>
          </w:tcPr>
          <w:p>
            <w:pPr>
              <w:snapToGrid w:val="0"/>
              <w:spacing w:line="360" w:lineRule="auto"/>
              <w:jc w:val="center"/>
              <w:rPr>
                <w:rFonts w:hint="eastAsia" w:ascii="宋体" w:hAnsi="宋体" w:eastAsia="宋体" w:cs="宋体"/>
                <w:color w:val="auto"/>
                <w:sz w:val="24"/>
              </w:rPr>
            </w:pPr>
            <w:r>
              <w:rPr>
                <w:rFonts w:hint="eastAsia" w:ascii="宋体" w:hAnsi="宋体" w:eastAsia="宋体" w:cs="宋体"/>
                <w:bCs/>
                <w:color w:val="auto"/>
                <w:sz w:val="24"/>
              </w:rPr>
              <w:t>客观分</w:t>
            </w:r>
          </w:p>
        </w:tc>
        <w:tc>
          <w:tcPr>
            <w:tcW w:w="1678" w:type="dxa"/>
          </w:tcPr>
          <w:p>
            <w:pPr>
              <w:snapToGrid w:val="0"/>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4" w:hRule="atLeast"/>
          <w:jc w:val="center"/>
        </w:trPr>
        <w:tc>
          <w:tcPr>
            <w:tcW w:w="488" w:type="dxa"/>
            <w:vAlign w:val="center"/>
          </w:tcPr>
          <w:p>
            <w:pPr>
              <w:snapToGrid w:val="0"/>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p>
        </w:tc>
        <w:tc>
          <w:tcPr>
            <w:tcW w:w="966" w:type="dxa"/>
            <w:vAlign w:val="center"/>
          </w:tcPr>
          <w:p>
            <w:pPr>
              <w:widowControl/>
              <w:shd w:val="clear" w:color="auto" w:fill="FFFFFF"/>
              <w:adjustRightInd/>
              <w:spacing w:after="225" w:line="315" w:lineRule="atLeast"/>
              <w:ind w:firstLine="420"/>
              <w:jc w:val="center"/>
              <w:rPr>
                <w:rFonts w:hint="eastAsia" w:ascii="宋体" w:hAnsi="宋体" w:eastAsia="宋体" w:cs="宋体"/>
                <w:color w:val="auto"/>
                <w:sz w:val="24"/>
              </w:rPr>
            </w:pPr>
          </w:p>
        </w:tc>
        <w:tc>
          <w:tcPr>
            <w:tcW w:w="4378" w:type="dxa"/>
            <w:vAlign w:val="center"/>
          </w:tcPr>
          <w:p>
            <w:pPr>
              <w:spacing w:line="360" w:lineRule="auto"/>
              <w:jc w:val="both"/>
              <w:outlineLvl w:val="0"/>
              <w:rPr>
                <w:rFonts w:hint="eastAsia" w:ascii="宋体" w:hAnsi="宋体" w:eastAsia="宋体" w:cs="宋体"/>
                <w:color w:val="auto"/>
                <w:sz w:val="24"/>
              </w:rPr>
            </w:pPr>
            <w:r>
              <w:rPr>
                <w:rFonts w:hint="eastAsia" w:ascii="宋体" w:hAnsi="宋体" w:eastAsia="宋体" w:cs="宋体"/>
                <w:color w:val="auto"/>
                <w:sz w:val="24"/>
              </w:rPr>
              <w:t>有效投标报价的最低价作为评标基准价，其最低报价为满分；按［投标报价得分=（评标基准价/投标报价）*权重］的计算公式计算。</w:t>
            </w:r>
          </w:p>
          <w:p>
            <w:pPr>
              <w:widowControl/>
              <w:shd w:val="clear" w:color="auto" w:fill="FFFFFF"/>
              <w:adjustRightInd/>
              <w:spacing w:after="225" w:line="315" w:lineRule="atLeast"/>
              <w:jc w:val="both"/>
              <w:rPr>
                <w:rFonts w:hint="eastAsia" w:ascii="宋体" w:hAnsi="宋体" w:eastAsia="宋体" w:cs="宋体"/>
                <w:color w:val="auto"/>
                <w:sz w:val="24"/>
              </w:rPr>
            </w:pPr>
            <w:r>
              <w:rPr>
                <w:rFonts w:hint="eastAsia" w:ascii="宋体" w:hAnsi="宋体" w:eastAsia="宋体" w:cs="宋体"/>
                <w:color w:val="auto"/>
                <w:sz w:val="24"/>
              </w:rPr>
              <w:t>评标过程中，不得去掉报价中的最高报价和最低报价。</w:t>
            </w:r>
          </w:p>
          <w:p>
            <w:pPr>
              <w:widowControl/>
              <w:shd w:val="clear" w:color="auto" w:fill="FFFFFF"/>
              <w:adjustRightInd/>
              <w:spacing w:after="225" w:line="315" w:lineRule="atLeast"/>
              <w:jc w:val="both"/>
              <w:rPr>
                <w:rFonts w:hint="eastAsia" w:ascii="宋体" w:hAnsi="宋体" w:eastAsia="宋体" w:cs="宋体"/>
                <w:color w:val="auto"/>
                <w:sz w:val="24"/>
              </w:rPr>
            </w:pPr>
            <w:r>
              <w:rPr>
                <w:rFonts w:hint="eastAsia" w:ascii="宋体" w:hAnsi="宋体" w:eastAsia="宋体" w:cs="宋体"/>
                <w:color w:val="auto"/>
                <w:sz w:val="24"/>
              </w:rPr>
              <w:t>对于未预留份额专门面向中小企业的政府采购货物项目，以及预留份额政府采购货物项目中的非预留部分标项，对小型和微型企业的投标报价给予</w:t>
            </w:r>
            <w:r>
              <w:rPr>
                <w:rFonts w:hint="eastAsia" w:ascii="宋体" w:hAnsi="宋体" w:eastAsia="宋体" w:cs="宋体"/>
                <w:color w:val="auto"/>
                <w:sz w:val="24"/>
                <w:lang w:val="en-US" w:eastAsia="zh-CN"/>
              </w:rPr>
              <w:t>10</w:t>
            </w:r>
            <w:r>
              <w:rPr>
                <w:rFonts w:hint="eastAsia" w:ascii="宋体" w:hAnsi="宋体" w:eastAsia="宋体" w:cs="宋体"/>
                <w:color w:val="auto"/>
                <w:sz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eastAsia="宋体" w:cs="宋体"/>
                <w:color w:val="auto"/>
                <w:sz w:val="24"/>
                <w:lang w:val="en-US" w:eastAsia="zh-CN"/>
              </w:rPr>
              <w:t>4</w:t>
            </w:r>
            <w:r>
              <w:rPr>
                <w:rFonts w:hint="eastAsia" w:ascii="宋体" w:hAnsi="宋体" w:eastAsia="宋体" w:cs="宋体"/>
                <w:color w:val="auto"/>
                <w:sz w:val="24"/>
              </w:rPr>
              <w:t>%的扣除，用扣除后的价格参加评审。</w:t>
            </w:r>
          </w:p>
        </w:tc>
        <w:tc>
          <w:tcPr>
            <w:tcW w:w="506" w:type="dxa"/>
            <w:vAlign w:val="center"/>
          </w:tcPr>
          <w:p>
            <w:pPr>
              <w:spacing w:line="360" w:lineRule="auto"/>
              <w:jc w:val="center"/>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985" w:type="dxa"/>
            <w:vAlign w:val="center"/>
          </w:tcPr>
          <w:p>
            <w:pPr>
              <w:spacing w:line="360" w:lineRule="auto"/>
              <w:jc w:val="center"/>
              <w:outlineLvl w:val="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价格分</w:t>
            </w:r>
          </w:p>
        </w:tc>
        <w:tc>
          <w:tcPr>
            <w:tcW w:w="1678" w:type="dxa"/>
            <w:vAlign w:val="center"/>
          </w:tcPr>
          <w:p>
            <w:pPr>
              <w:spacing w:line="360" w:lineRule="auto"/>
              <w:jc w:val="center"/>
              <w:outlineLvl w:val="0"/>
              <w:rPr>
                <w:rFonts w:hint="eastAsia" w:ascii="宋体" w:hAnsi="宋体" w:eastAsia="宋体" w:cs="宋体"/>
                <w:color w:val="auto"/>
                <w:sz w:val="24"/>
              </w:rPr>
            </w:pPr>
            <w:r>
              <w:rPr>
                <w:rFonts w:hint="eastAsia" w:ascii="宋体" w:hAnsi="宋体" w:eastAsia="宋体" w:cs="宋体"/>
                <w:color w:val="auto"/>
                <w:sz w:val="24"/>
              </w:rPr>
              <w:t>/</w:t>
            </w:r>
          </w:p>
        </w:tc>
      </w:tr>
    </w:tbl>
    <w:p>
      <w:pPr>
        <w:rPr>
          <w:rFonts w:hint="eastAsia" w:ascii="宋体" w:hAnsi="宋体" w:eastAsia="宋体" w:cs="宋体"/>
          <w:color w:val="auto"/>
        </w:rPr>
      </w:pPr>
    </w:p>
    <w:p>
      <w:pPr>
        <w:snapToGrid w:val="0"/>
        <w:spacing w:line="360" w:lineRule="auto"/>
        <w:rPr>
          <w:rFonts w:hint="eastAsia" w:ascii="宋体" w:hAnsi="宋体" w:eastAsia="宋体" w:cs="宋体"/>
          <w:b/>
          <w:color w:val="auto"/>
          <w:sz w:val="24"/>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4"/>
        </w:rPr>
        <w:t>备注：</w:t>
      </w:r>
      <w:r>
        <w:rPr>
          <w:rFonts w:hint="eastAsia" w:ascii="宋体" w:hAnsi="宋体" w:eastAsia="宋体" w:cs="宋体"/>
          <w:color w:val="auto"/>
          <w:sz w:val="24"/>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pPr>
        <w:pStyle w:val="128"/>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3.6编写评标报告。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pPr>
        <w:pStyle w:val="128"/>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4.2.10投标人提供虚假材料投标的；</w:t>
      </w:r>
    </w:p>
    <w:p>
      <w:pPr>
        <w:spacing w:line="360" w:lineRule="auto"/>
        <w:ind w:firstLine="240" w:firstLineChars="100"/>
        <w:rPr>
          <w:rFonts w:hint="eastAsia" w:ascii="宋体" w:hAnsi="宋体" w:eastAsia="宋体" w:cs="宋体"/>
          <w:color w:val="auto"/>
          <w:kern w:val="0"/>
          <w:sz w:val="24"/>
        </w:rPr>
      </w:pPr>
      <w:r>
        <w:rPr>
          <w:rFonts w:hint="eastAsia" w:ascii="宋体" w:hAnsi="宋体" w:eastAsia="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4.2.12投标人仅提交备份投标文件，未在电子交易平台传输递交投标文件的，投标无效；</w:t>
      </w:r>
    </w:p>
    <w:p>
      <w:pPr>
        <w:pStyle w:val="5"/>
        <w:ind w:left="862" w:leftChars="205"/>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rPr>
      </w:pPr>
      <w:r>
        <w:rPr>
          <w:rFonts w:hint="eastAsia" w:ascii="宋体" w:hAnsi="宋体" w:eastAsia="宋体" w:cs="宋体"/>
          <w:b/>
          <w:color w:val="auto"/>
        </w:rPr>
        <w:t>5.废标。</w:t>
      </w:r>
      <w:r>
        <w:rPr>
          <w:rFonts w:hint="eastAsia" w:ascii="宋体" w:hAnsi="宋体" w:eastAsia="宋体" w:cs="宋体"/>
          <w:color w:val="auto"/>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5.1符合专业条件的供应商或者对招标文件作实质响应的供应商不足3家的；</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5.2出现影响采购公正的违法、违规行为的；</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5.3投标人的报价均超过了采购预算，采购人不能支付的；</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5.4因重大变故，采购任务取消的。</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废标后，</w:t>
      </w:r>
      <w:r>
        <w:rPr>
          <w:rFonts w:hint="eastAsia" w:ascii="宋体" w:hAnsi="宋体" w:eastAsia="宋体" w:cs="宋体"/>
          <w:color w:val="auto"/>
          <w:lang w:eastAsia="zh-CN"/>
        </w:rPr>
        <w:t>采购代理机构</w:t>
      </w:r>
      <w:r>
        <w:rPr>
          <w:rFonts w:hint="eastAsia" w:ascii="宋体" w:hAnsi="宋体" w:eastAsia="宋体" w:cs="宋体"/>
          <w:color w:val="auto"/>
        </w:rPr>
        <w:t>应当将废标理由通知所有投标人。</w:t>
      </w:r>
    </w:p>
    <w:p>
      <w:pPr>
        <w:pStyle w:val="3"/>
        <w:snapToGrid w:val="0"/>
        <w:spacing w:line="360" w:lineRule="auto"/>
        <w:ind w:firstLine="590" w:firstLineChars="245"/>
        <w:rPr>
          <w:rFonts w:hint="eastAsia" w:ascii="宋体" w:hAnsi="宋体" w:eastAsia="宋体" w:cs="宋体"/>
          <w:color w:val="auto"/>
        </w:rPr>
      </w:pPr>
      <w:r>
        <w:rPr>
          <w:rFonts w:hint="eastAsia" w:ascii="宋体" w:hAnsi="宋体" w:eastAsia="宋体" w:cs="宋体"/>
          <w:b/>
          <w:color w:val="auto"/>
        </w:rPr>
        <w:t>6.修改招标文件，重新组织采购活动。</w:t>
      </w:r>
      <w:r>
        <w:rPr>
          <w:rFonts w:hint="eastAsia" w:ascii="宋体" w:hAnsi="宋体" w:eastAsia="宋体" w:cs="宋体"/>
          <w:color w:va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lang w:eastAsia="zh-CN"/>
        </w:rPr>
        <w:t>采购代理机构</w:t>
      </w:r>
      <w:r>
        <w:rPr>
          <w:rFonts w:hint="eastAsia" w:ascii="宋体" w:hAnsi="宋体" w:eastAsia="宋体" w:cs="宋体"/>
          <w:color w:val="auto"/>
        </w:rPr>
        <w:t>沟通并作书面记录。采购人、</w:t>
      </w:r>
      <w:r>
        <w:rPr>
          <w:rFonts w:hint="eastAsia" w:ascii="宋体" w:hAnsi="宋体" w:eastAsia="宋体" w:cs="宋体"/>
          <w:color w:val="auto"/>
          <w:lang w:eastAsia="zh-CN"/>
        </w:rPr>
        <w:t>采购代理机构</w:t>
      </w:r>
      <w:r>
        <w:rPr>
          <w:rFonts w:hint="eastAsia" w:ascii="宋体" w:hAnsi="宋体" w:eastAsia="宋体" w:cs="宋体"/>
          <w:color w:val="auto"/>
        </w:rPr>
        <w:t>确认后，将修改招标文件，重新组织采购活动。</w:t>
      </w:r>
    </w:p>
    <w:p>
      <w:pPr>
        <w:pStyle w:val="3"/>
        <w:snapToGrid w:val="0"/>
        <w:spacing w:line="360" w:lineRule="auto"/>
        <w:ind w:firstLine="482"/>
        <w:rPr>
          <w:rFonts w:hint="eastAsia" w:ascii="宋体" w:hAnsi="宋体" w:eastAsia="宋体" w:cs="宋体"/>
          <w:color w:val="auto"/>
        </w:rPr>
      </w:pPr>
      <w:r>
        <w:rPr>
          <w:rFonts w:hint="eastAsia" w:ascii="宋体" w:hAnsi="宋体" w:eastAsia="宋体" w:cs="宋体"/>
          <w:b/>
          <w:color w:val="auto"/>
          <w:kern w:val="0"/>
        </w:rPr>
        <w:t>7.重新开展采购。</w:t>
      </w:r>
      <w:r>
        <w:rPr>
          <w:rFonts w:hint="eastAsia" w:ascii="宋体" w:hAnsi="宋体" w:eastAsia="宋体" w:cs="宋体"/>
          <w:color w:val="auto"/>
        </w:rPr>
        <w:t>有政府采购法第七十一条、第七十二条规定的违法行为之一，影响或者可能影响中标结果的，依照下列规定处理：</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7.1未确定中标供应商的，终止本次政府采购活动，重新开展政府采购活动。</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hint="eastAsia" w:ascii="宋体" w:hAnsi="宋体" w:eastAsia="宋体" w:cs="宋体"/>
          <w:color w:val="auto"/>
        </w:rPr>
      </w:pPr>
      <w:r>
        <w:rPr>
          <w:rFonts w:hint="eastAsia" w:ascii="宋体" w:hAnsi="宋体" w:eastAsia="宋体" w:cs="宋体"/>
          <w:color w:val="auto"/>
        </w:rPr>
        <w:t>7.4政府采购合同已经履行，给采购人、供应商造成损失的，由责任人承担赔偿责任。</w:t>
      </w:r>
    </w:p>
    <w:p>
      <w:pPr>
        <w:pStyle w:val="3"/>
        <w:snapToGrid w:val="0"/>
        <w:spacing w:line="360" w:lineRule="auto"/>
        <w:rPr>
          <w:rFonts w:hint="eastAsia" w:ascii="宋体" w:hAnsi="宋体" w:eastAsia="宋体" w:cs="宋体"/>
          <w:b/>
          <w:color w:val="auto"/>
          <w:sz w:val="36"/>
          <w:szCs w:val="36"/>
        </w:rPr>
      </w:pPr>
      <w:r>
        <w:rPr>
          <w:rFonts w:hint="eastAsia" w:ascii="宋体" w:hAnsi="宋体" w:eastAsia="宋体" w:cs="宋体"/>
          <w:color w:val="auto"/>
        </w:rPr>
        <w:t>7.5政府采购当事人有其他违反政府采购法或者政府采购法实施条例等法律法规规定的行为，经改正后仍然影响或者可能影响中标结果或者依法被认定为中标无效的，依照7.1-7.4规定处理。</w:t>
      </w:r>
      <w:bookmarkEnd w:id="31"/>
      <w:bookmarkStart w:id="397" w:name="第五部分"/>
      <w:bookmarkStart w:id="398" w:name="_Toc86217003"/>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项目名称：杭州图书馆202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rPr>
        <w:t>采购项目</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项目编号：</w:t>
      </w:r>
      <w:r>
        <w:rPr>
          <w:rFonts w:hint="eastAsia" w:ascii="宋体" w:hAnsi="宋体" w:cs="宋体"/>
          <w:color w:val="auto"/>
          <w:sz w:val="24"/>
          <w:lang w:eastAsia="zh-CN"/>
        </w:rPr>
        <w:t>DFJW2024-SC-013</w:t>
      </w:r>
    </w:p>
    <w:p>
      <w:pPr>
        <w:spacing w:line="360" w:lineRule="auto"/>
        <w:rPr>
          <w:rFonts w:hint="eastAsia" w:ascii="宋体" w:hAnsi="宋体" w:eastAsia="宋体" w:cs="宋体"/>
          <w:color w:val="auto"/>
          <w:sz w:val="24"/>
        </w:rPr>
      </w:pPr>
    </w:p>
    <w:p>
      <w:pPr>
        <w:spacing w:line="360" w:lineRule="auto"/>
        <w:rPr>
          <w:rFonts w:ascii="宋体"/>
          <w:color w:val="auto"/>
          <w:sz w:val="24"/>
        </w:rPr>
      </w:pPr>
      <w:r>
        <w:rPr>
          <w:rFonts w:hint="eastAsia" w:ascii="宋体" w:hAnsi="宋体"/>
          <w:color w:val="auto"/>
          <w:sz w:val="24"/>
        </w:rPr>
        <w:t>甲方：杭州图书馆</w:t>
      </w:r>
    </w:p>
    <w:p>
      <w:pPr>
        <w:spacing w:line="360" w:lineRule="auto"/>
        <w:rPr>
          <w:rFonts w:ascii="宋体"/>
          <w:color w:val="auto"/>
          <w:sz w:val="24"/>
        </w:rPr>
      </w:pPr>
      <w:r>
        <w:rPr>
          <w:rFonts w:hint="eastAsia" w:ascii="宋体" w:hAnsi="宋体"/>
          <w:color w:val="auto"/>
          <w:sz w:val="24"/>
        </w:rPr>
        <w:t>乙方：</w:t>
      </w:r>
      <w:r>
        <w:rPr>
          <w:rFonts w:hint="eastAsia" w:ascii="宋体" w:hAnsi="宋体"/>
          <w:color w:val="auto"/>
          <w:sz w:val="24"/>
          <w:u w:val="single"/>
        </w:rPr>
        <w:t xml:space="preserve">                  </w:t>
      </w:r>
    </w:p>
    <w:p>
      <w:pPr>
        <w:tabs>
          <w:tab w:val="left" w:pos="1455"/>
        </w:tabs>
        <w:autoSpaceDE w:val="0"/>
        <w:autoSpaceDN w:val="0"/>
        <w:adjustRightInd w:val="0"/>
        <w:snapToGrid w:val="0"/>
        <w:spacing w:line="360" w:lineRule="auto"/>
        <w:ind w:firstLine="480" w:firstLineChars="200"/>
        <w:rPr>
          <w:rFonts w:ascii="宋体" w:hAnsi="宋体" w:cs="宋体"/>
          <w:color w:val="auto"/>
          <w:sz w:val="24"/>
          <w:lang w:val="zh-CN"/>
        </w:rPr>
      </w:pP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根据国家相关法律、法规的规定，明确双方的权利和义务，甲乙双方经友好协商达成如下协议。本协议书以投标文件为基础制订；甲方的技术和服务要求、乙方的技术和服务承诺，与本协议一起构成本次图书资料采购整体文件，具有法律效力。</w:t>
      </w:r>
    </w:p>
    <w:p>
      <w:pPr>
        <w:widowControl/>
        <w:numPr>
          <w:ilvl w:val="0"/>
          <w:numId w:val="1"/>
        </w:numPr>
        <w:spacing w:line="360" w:lineRule="auto"/>
        <w:jc w:val="left"/>
        <w:rPr>
          <w:rFonts w:hint="eastAsia" w:ascii="宋体" w:hAnsi="宋体" w:cs="宋体"/>
          <w:b/>
          <w:bCs/>
          <w:color w:val="auto"/>
          <w:kern w:val="0"/>
          <w:sz w:val="24"/>
          <w:u w:val="single"/>
        </w:rPr>
      </w:pPr>
      <w:r>
        <w:rPr>
          <w:rFonts w:hint="eastAsia" w:ascii="宋体" w:hAnsi="宋体" w:cs="宋体"/>
          <w:b/>
          <w:bCs/>
          <w:color w:val="auto"/>
          <w:kern w:val="0"/>
          <w:sz w:val="24"/>
        </w:rPr>
        <w:t>价格折扣率：</w:t>
      </w:r>
      <w:r>
        <w:rPr>
          <w:rFonts w:hint="eastAsia" w:ascii="宋体" w:hAnsi="宋体" w:cs="宋体"/>
          <w:b/>
          <w:bCs/>
          <w:color w:val="auto"/>
          <w:kern w:val="0"/>
          <w:sz w:val="24"/>
          <w:u w:val="single"/>
        </w:rPr>
        <w:t xml:space="preserve">    </w:t>
      </w:r>
    </w:p>
    <w:p>
      <w:pPr>
        <w:widowControl/>
        <w:spacing w:line="360" w:lineRule="auto"/>
        <w:ind w:left="420" w:firstLine="261"/>
        <w:rPr>
          <w:rFonts w:hint="eastAsia" w:ascii="宋体" w:hAnsi="宋体"/>
          <w:color w:val="auto"/>
          <w:kern w:val="0"/>
          <w:sz w:val="24"/>
        </w:rPr>
      </w:pPr>
      <w:r>
        <w:rPr>
          <w:rFonts w:hint="eastAsia" w:ascii="宋体" w:hAnsi="宋体"/>
          <w:color w:val="auto"/>
          <w:kern w:val="0"/>
          <w:sz w:val="24"/>
        </w:rPr>
        <w:t xml:space="preserve"> </w:t>
      </w: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二、项目采购内容</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1、每周提供书目信息服务。</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2、按采购人的要求，同时提供EXCEL新书目录及相同的MARC数据，并按中图法分类排序进行提供。</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3、按采购人提供的订购单批次进行图书配送。</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4、在递交每一批图书时，同时免费提供加盖供应商公章的该批图书的清单一式三份，并提供规范的机读编目数据。</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5、提供的征订数据必须以CNMARC格式文件提供。</w:t>
      </w:r>
    </w:p>
    <w:p>
      <w:pPr>
        <w:widowControl/>
        <w:spacing w:line="360" w:lineRule="auto"/>
        <w:ind w:firstLine="480" w:firstLineChars="200"/>
        <w:rPr>
          <w:rFonts w:hint="eastAsia" w:ascii="宋体" w:hAnsi="宋体"/>
          <w:color w:val="auto"/>
          <w:kern w:val="0"/>
          <w:sz w:val="24"/>
        </w:rPr>
      </w:pPr>
      <w:r>
        <w:rPr>
          <w:rFonts w:hint="eastAsia" w:ascii="宋体" w:hAnsi="宋体"/>
          <w:color w:val="auto"/>
          <w:kern w:val="0"/>
          <w:sz w:val="24"/>
        </w:rPr>
        <w:t>6、提供到馆图书全加工、捐赠图书全加工、期刊辅助加工等工作。详见招标文件第三部分“项目技术规范和服务要求”。</w:t>
      </w:r>
    </w:p>
    <w:p>
      <w:pPr>
        <w:widowControl/>
        <w:spacing w:line="360" w:lineRule="auto"/>
        <w:ind w:left="420" w:firstLine="420"/>
        <w:rPr>
          <w:rFonts w:hint="eastAsia" w:ascii="宋体" w:hAnsi="宋体"/>
          <w:color w:val="auto"/>
          <w:kern w:val="0"/>
          <w:sz w:val="24"/>
        </w:rPr>
      </w:pPr>
      <w:r>
        <w:rPr>
          <w:rFonts w:hint="eastAsia" w:ascii="宋体" w:hAnsi="宋体"/>
          <w:color w:val="auto"/>
          <w:kern w:val="0"/>
          <w:sz w:val="24"/>
        </w:rPr>
        <w:t xml:space="preserve"> </w:t>
      </w: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三、质量要求</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1、适用标准：必须符合国家、行业现行的规范以及厂家企业质量标准，技术参数标准。</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2、乙方必须保证所供商品均属原厂生产的正版的、合格的、全新的、与合同规定的型号配置相一致的图书，并从原厂商正规渠道出货，如发生所供产品与合同不符，甲方有权拒收或退货，由此产生的一切责任和损失均由乙方承担。</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四、包装要求</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乙方保证所提供的包装物符合运输、产品安全的要求。双方对包装方式另有约定的，应遵守双方约定。</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五、交货时间、地点</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1、交货时间：</w:t>
      </w:r>
      <w:r>
        <w:rPr>
          <w:rFonts w:hint="eastAsia" w:ascii="宋体" w:hAnsi="宋体" w:cs="宋体"/>
          <w:color w:val="auto"/>
          <w:sz w:val="24"/>
          <w:lang w:val="zh-CN"/>
        </w:rPr>
        <w:t>乙方收到甲方所确认的书目订单后，乙方应及时对甲方所报的图书订单汇总、查重，安排采购。预订图书前三个月的订到率不低于60%，六个月不低于80%，全年不得低于</w:t>
      </w:r>
      <w:r>
        <w:rPr>
          <w:rFonts w:hint="eastAsia" w:ascii="宋体" w:hAnsi="宋体" w:cs="宋体"/>
          <w:color w:val="auto"/>
          <w:sz w:val="24"/>
          <w:u w:val="single"/>
        </w:rPr>
        <w:t>97</w:t>
      </w:r>
      <w:r>
        <w:rPr>
          <w:rFonts w:hint="eastAsia" w:ascii="宋体" w:hAnsi="宋体" w:cs="宋体"/>
          <w:color w:val="auto"/>
          <w:sz w:val="24"/>
          <w:lang w:val="zh-CN"/>
        </w:rPr>
        <w:t>%（投标文件承诺到货率）。时效性较强的图书要保证到馆时间不超过一周。现采图书半个月内到馆率不低于95%，一个月内不低于9</w:t>
      </w:r>
      <w:r>
        <w:rPr>
          <w:rFonts w:hint="eastAsia" w:ascii="宋体" w:hAnsi="宋体" w:cs="宋体"/>
          <w:color w:val="auto"/>
          <w:sz w:val="24"/>
        </w:rPr>
        <w:t>7</w:t>
      </w:r>
      <w:r>
        <w:rPr>
          <w:rFonts w:hint="eastAsia" w:ascii="宋体" w:hAnsi="宋体" w:cs="宋体"/>
          <w:color w:val="auto"/>
          <w:sz w:val="24"/>
          <w:lang w:val="zh-CN"/>
        </w:rPr>
        <w:t>%。其它采购在15个工作日内送货到图书馆。</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2、交货地点：甲方指定，指定收货人：</w:t>
      </w:r>
      <w:r>
        <w:rPr>
          <w:rFonts w:hint="eastAsia" w:ascii="宋体" w:hAnsi="宋体" w:cs="宋体"/>
          <w:color w:val="auto"/>
          <w:kern w:val="0"/>
          <w:sz w:val="24"/>
          <w:u w:val="single"/>
        </w:rPr>
        <w:t xml:space="preserve">      </w:t>
      </w:r>
      <w:r>
        <w:rPr>
          <w:rFonts w:hint="eastAsia" w:ascii="宋体" w:hAnsi="宋体" w:cs="宋体"/>
          <w:color w:val="auto"/>
          <w:kern w:val="0"/>
          <w:sz w:val="24"/>
        </w:rPr>
        <w:t>，联系电话：</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3、运输方式及费用负担：由乙负责运输至指定交货地点，所发生的费用由乙方承担。</w:t>
      </w:r>
    </w:p>
    <w:p>
      <w:pPr>
        <w:widowControl/>
        <w:spacing w:line="360" w:lineRule="auto"/>
        <w:ind w:firstLine="480"/>
        <w:jc w:val="left"/>
        <w:rPr>
          <w:rFonts w:hint="eastAsia" w:ascii="宋体" w:hAnsi="宋体" w:cs="宋体"/>
          <w:color w:val="auto"/>
          <w:kern w:val="0"/>
          <w:sz w:val="24"/>
        </w:rPr>
      </w:pPr>
      <w:r>
        <w:rPr>
          <w:rFonts w:hint="eastAsia" w:ascii="宋体" w:hAnsi="宋体" w:cs="宋体"/>
          <w:color w:val="auto"/>
          <w:kern w:val="0"/>
          <w:sz w:val="24"/>
        </w:rPr>
        <w:t xml:space="preserve"> </w:t>
      </w: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六、验收、付款方式</w:t>
      </w:r>
    </w:p>
    <w:p>
      <w:pPr>
        <w:widowControl/>
        <w:adjustRightInd w:val="0"/>
        <w:snapToGrid w:val="0"/>
        <w:spacing w:line="360" w:lineRule="auto"/>
        <w:ind w:right="60" w:firstLine="540" w:firstLineChars="225"/>
        <w:jc w:val="left"/>
        <w:rPr>
          <w:rFonts w:ascii="宋体" w:hAnsi="宋体" w:cs="宋体"/>
          <w:color w:val="auto"/>
          <w:sz w:val="24"/>
        </w:rPr>
      </w:pPr>
      <w:r>
        <w:rPr>
          <w:rFonts w:hint="eastAsia" w:ascii="宋体" w:hAnsi="宋体" w:cs="宋体"/>
          <w:color w:val="auto"/>
          <w:sz w:val="24"/>
        </w:rPr>
        <w:t>1、本合同招标总金额暂定</w:t>
      </w:r>
      <w:r>
        <w:rPr>
          <w:rFonts w:hint="eastAsia" w:ascii="宋体" w:hAnsi="宋体" w:cs="宋体"/>
          <w:color w:val="auto"/>
          <w:sz w:val="24"/>
          <w:u w:val="single"/>
        </w:rPr>
        <w:t xml:space="preserve">      </w:t>
      </w:r>
      <w:r>
        <w:rPr>
          <w:rFonts w:hint="eastAsia" w:ascii="宋体" w:hAnsi="宋体" w:cs="宋体"/>
          <w:color w:val="auto"/>
          <w:sz w:val="24"/>
        </w:rPr>
        <w:t>元整（¥      元）。最终按实际订单数量及中标折扣率结算。</w:t>
      </w:r>
    </w:p>
    <w:p>
      <w:pPr>
        <w:widowControl/>
        <w:snapToGrid w:val="0"/>
        <w:spacing w:line="360" w:lineRule="auto"/>
        <w:ind w:right="60" w:firstLine="540"/>
        <w:jc w:val="left"/>
        <w:rPr>
          <w:rFonts w:hint="eastAsia" w:ascii="宋体" w:hAnsi="宋体" w:cs="宋体"/>
          <w:color w:val="auto"/>
          <w:kern w:val="0"/>
          <w:sz w:val="24"/>
        </w:rPr>
      </w:pPr>
      <w:r>
        <w:rPr>
          <w:rFonts w:hint="eastAsia" w:ascii="宋体" w:hAnsi="宋体" w:cs="宋体"/>
          <w:color w:val="auto"/>
          <w:kern w:val="0"/>
          <w:sz w:val="24"/>
        </w:rPr>
        <w:t>2、甲方对乙方送交的图书依据招标文件上的要求标准进行验收。验收不合格的不予接收。</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3、合同签订后</w:t>
      </w:r>
      <w:r>
        <w:rPr>
          <w:rFonts w:hint="eastAsia" w:ascii="宋体" w:hAnsi="宋体" w:cs="宋体"/>
          <w:color w:val="auto"/>
          <w:kern w:val="0"/>
          <w:sz w:val="24"/>
          <w:lang w:val="en-US" w:eastAsia="zh-CN"/>
        </w:rPr>
        <w:t>7个工作日</w:t>
      </w:r>
      <w:r>
        <w:rPr>
          <w:rFonts w:hint="eastAsia" w:ascii="宋体" w:hAnsi="宋体" w:cs="宋体"/>
          <w:color w:val="auto"/>
          <w:kern w:val="0"/>
          <w:sz w:val="24"/>
        </w:rPr>
        <w:t>内，甲方支付乙方合同金额的</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%作为预付款。图书验收无误后，甲方根据政府采购相关规定，以图书定价为依据，以甲方确认后的订单及金额付款，按照投标折扣率（</w:t>
      </w:r>
      <w:r>
        <w:rPr>
          <w:rFonts w:hint="eastAsia" w:ascii="宋体" w:hAnsi="宋体" w:cs="宋体"/>
          <w:color w:val="auto"/>
          <w:kern w:val="0"/>
          <w:sz w:val="24"/>
          <w:u w:val="single"/>
        </w:rPr>
        <w:t xml:space="preserve">   </w:t>
      </w:r>
      <w:r>
        <w:rPr>
          <w:rFonts w:hint="eastAsia" w:ascii="宋体" w:hAnsi="宋体" w:cs="宋体"/>
          <w:color w:val="auto"/>
          <w:kern w:val="0"/>
          <w:sz w:val="24"/>
        </w:rPr>
        <w:t>%）结算书款。单册</w:t>
      </w:r>
      <w:r>
        <w:rPr>
          <w:rFonts w:hint="eastAsia" w:ascii="宋体" w:hAnsi="宋体" w:cs="宋体"/>
          <w:color w:val="auto"/>
          <w:kern w:val="0"/>
          <w:sz w:val="24"/>
          <w:lang w:val="en-US" w:eastAsia="zh-CN"/>
        </w:rPr>
        <w:t>图书价格在3千元以上</w:t>
      </w:r>
      <w:r>
        <w:rPr>
          <w:rFonts w:hint="eastAsia" w:ascii="宋体" w:hAnsi="宋体" w:cs="宋体"/>
          <w:color w:val="auto"/>
          <w:kern w:val="0"/>
          <w:sz w:val="24"/>
        </w:rPr>
        <w:t>或成套图书价格在1万元以上的大码洋图书折扣率在投标折扣率的基础上下浮</w:t>
      </w:r>
      <w:r>
        <w:rPr>
          <w:rFonts w:hint="eastAsia" w:ascii="宋体" w:hAnsi="宋体" w:cs="宋体"/>
          <w:color w:val="auto"/>
          <w:kern w:val="0"/>
          <w:sz w:val="24"/>
          <w:u w:val="single"/>
        </w:rPr>
        <w:t xml:space="preserve"> 6 </w:t>
      </w:r>
      <w:r>
        <w:rPr>
          <w:rFonts w:hint="eastAsia" w:ascii="宋体" w:hAnsi="宋体" w:cs="宋体"/>
          <w:color w:val="auto"/>
          <w:kern w:val="0"/>
          <w:sz w:val="24"/>
        </w:rPr>
        <w:t>%。合同款项于202</w:t>
      </w:r>
      <w:r>
        <w:rPr>
          <w:rFonts w:hint="eastAsia" w:ascii="宋体" w:hAnsi="宋体" w:cs="宋体"/>
          <w:color w:val="auto"/>
          <w:kern w:val="0"/>
          <w:sz w:val="24"/>
          <w:lang w:val="en-US" w:eastAsia="zh-CN"/>
        </w:rPr>
        <w:t>4</w:t>
      </w:r>
      <w:r>
        <w:rPr>
          <w:rFonts w:hint="eastAsia" w:ascii="宋体" w:hAnsi="宋体" w:cs="宋体"/>
          <w:color w:val="auto"/>
          <w:kern w:val="0"/>
          <w:sz w:val="24"/>
        </w:rPr>
        <w:t>年12月31日前全部结清。</w:t>
      </w:r>
    </w:p>
    <w:p>
      <w:pPr>
        <w:widowControl/>
        <w:snapToGrid w:val="0"/>
        <w:spacing w:line="360" w:lineRule="auto"/>
        <w:ind w:right="60" w:firstLine="54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在甲方付款前，乙方应提供相应款项的正规发票。</w:t>
      </w:r>
    </w:p>
    <w:p>
      <w:pPr>
        <w:pStyle w:val="2"/>
        <w:rPr>
          <w:rFonts w:hint="eastAsia"/>
          <w:color w:val="auto"/>
        </w:rPr>
      </w:pPr>
    </w:p>
    <w:p>
      <w:pPr>
        <w:widowControl/>
        <w:spacing w:line="360" w:lineRule="auto"/>
        <w:jc w:val="left"/>
        <w:rPr>
          <w:rFonts w:hint="eastAsia" w:ascii="宋体" w:hAnsi="宋体" w:cs="宋体"/>
          <w:b/>
          <w:bCs/>
          <w:color w:val="auto"/>
          <w:kern w:val="0"/>
          <w:sz w:val="24"/>
        </w:rPr>
      </w:pPr>
      <w:r>
        <w:rPr>
          <w:rFonts w:hint="eastAsia" w:ascii="宋体" w:hAnsi="宋体" w:cs="宋体"/>
          <w:b/>
          <w:bCs/>
          <w:color w:val="auto"/>
          <w:kern w:val="0"/>
          <w:sz w:val="24"/>
        </w:rPr>
        <w:t>七、 服务承诺</w:t>
      </w:r>
    </w:p>
    <w:p>
      <w:pPr>
        <w:widowControl/>
        <w:snapToGrid w:val="0"/>
        <w:spacing w:line="360" w:lineRule="auto"/>
        <w:ind w:right="60"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1、本合同范围的服务，应由乙方直接供应，不得转包或分包</w:t>
      </w:r>
      <w:r>
        <w:rPr>
          <w:rFonts w:hint="eastAsia" w:ascii="宋体" w:hAnsi="宋体" w:cs="宋体"/>
          <w:color w:val="auto"/>
          <w:kern w:val="0"/>
          <w:sz w:val="24"/>
          <w:lang w:eastAsia="zh-CN"/>
        </w:rPr>
        <w:t>，如有转包或分包行为，甲方有权解除合同，并追究乙方的违约责任。</w:t>
      </w:r>
    </w:p>
    <w:p>
      <w:pPr>
        <w:widowControl/>
        <w:snapToGrid w:val="0"/>
        <w:spacing w:line="360" w:lineRule="auto"/>
        <w:ind w:right="60" w:firstLine="480" w:firstLineChars="200"/>
        <w:jc w:val="left"/>
        <w:rPr>
          <w:rFonts w:hint="eastAsia" w:ascii="宋体" w:hAnsi="宋体" w:cs="宋体"/>
          <w:color w:val="auto"/>
          <w:kern w:val="0"/>
          <w:sz w:val="24"/>
        </w:rPr>
      </w:pPr>
      <w:r>
        <w:rPr>
          <w:rFonts w:hint="eastAsia" w:ascii="宋体" w:hAnsi="宋体" w:cs="宋体"/>
          <w:color w:val="auto"/>
          <w:kern w:val="0"/>
          <w:sz w:val="24"/>
          <w:lang w:val="en-US" w:eastAsia="zh-CN"/>
        </w:rPr>
        <w:t>2、</w:t>
      </w:r>
      <w:r>
        <w:rPr>
          <w:rFonts w:hint="eastAsia" w:ascii="宋体" w:hAnsi="宋体" w:cs="宋体"/>
          <w:color w:val="auto"/>
          <w:kern w:val="0"/>
          <w:sz w:val="24"/>
        </w:rPr>
        <w:t>乙方应按招标文件的规定，满足甲方提出的所有技术要求和服务要求。</w:t>
      </w:r>
    </w:p>
    <w:p>
      <w:pPr>
        <w:widowControl/>
        <w:snapToGrid w:val="0"/>
        <w:spacing w:line="360" w:lineRule="auto"/>
        <w:ind w:right="60" w:firstLine="480" w:firstLineChars="200"/>
        <w:jc w:val="left"/>
        <w:rPr>
          <w:rFonts w:hint="eastAsia" w:ascii="宋体" w:hAnsi="宋体" w:cs="宋体"/>
          <w:b/>
          <w:bCs/>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除响应甲方招标文件的要求外，乙方还应承诺其它超值服务和优惠措施。</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八、乙方的违约责任</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eastAsia="宋体" w:cs="宋体"/>
          <w:sz w:val="24"/>
          <w:szCs w:val="32"/>
        </w:rPr>
        <w:t>乙方</w:t>
      </w:r>
      <w:r>
        <w:rPr>
          <w:rFonts w:hint="eastAsia" w:ascii="宋体" w:hAnsi="宋体" w:eastAsia="宋体" w:cs="宋体"/>
          <w:color w:val="auto"/>
          <w:sz w:val="24"/>
          <w:szCs w:val="32"/>
        </w:rPr>
        <w:t>未按本合同及招投标文件约定</w:t>
      </w:r>
      <w:r>
        <w:rPr>
          <w:rFonts w:hint="eastAsia" w:ascii="宋体" w:hAnsi="宋体" w:eastAsia="宋体" w:cs="宋体"/>
          <w:sz w:val="24"/>
          <w:szCs w:val="32"/>
        </w:rPr>
        <w:t>履行全加工服务的</w:t>
      </w:r>
      <w:r>
        <w:rPr>
          <w:rFonts w:hint="eastAsia" w:ascii="宋体" w:hAnsi="宋体" w:cs="宋体"/>
          <w:color w:val="auto"/>
          <w:kern w:val="0"/>
          <w:sz w:val="24"/>
        </w:rPr>
        <w:t>，甲方有权单方面解除本合同</w:t>
      </w:r>
      <w:r>
        <w:rPr>
          <w:rFonts w:hint="eastAsia" w:ascii="宋体" w:hAnsi="宋体" w:cs="宋体"/>
          <w:color w:val="auto"/>
          <w:sz w:val="24"/>
        </w:rPr>
        <w:t>，双方按实际已完成的订单结算，且甲方有权要求乙方另行承担合同剩余金额10%的违约金。</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2、货物错发到货地点或收货人的，乙方应负责将货物运交协议规定的到货地点或接货人，相关费用及因到货延误而给甲方造成的损失由乙方承担。</w:t>
      </w:r>
    </w:p>
    <w:p>
      <w:pPr>
        <w:widowControl/>
        <w:snapToGrid w:val="0"/>
        <w:spacing w:line="360" w:lineRule="auto"/>
        <w:ind w:firstLine="480"/>
        <w:rPr>
          <w:rFonts w:hint="eastAsia" w:ascii="宋体" w:hAnsi="宋体" w:cs="宋体"/>
          <w:strike/>
          <w:color w:val="auto"/>
          <w:kern w:val="0"/>
          <w:sz w:val="24"/>
        </w:rPr>
      </w:pPr>
      <w:r>
        <w:rPr>
          <w:rFonts w:hint="eastAsia" w:ascii="宋体" w:hAnsi="宋体" w:cs="宋体"/>
          <w:color w:val="auto"/>
          <w:kern w:val="0"/>
          <w:sz w:val="24"/>
        </w:rPr>
        <w:t>3、乙方如果配送盗版或盗印的出版物，每发生一次，甲方有权要求乙方支付违约金5000元，一年内，累计发生2次及以上，甲方可单方解除本合同</w:t>
      </w:r>
      <w:r>
        <w:rPr>
          <w:rFonts w:hint="eastAsia" w:ascii="宋体" w:hAnsi="宋体" w:cs="宋体"/>
          <w:color w:val="auto"/>
          <w:sz w:val="24"/>
        </w:rPr>
        <w:t>，双方按实际已完成的订单结算，且甲方有权要求乙方另行承担合同剩余金额10%的违约金。</w:t>
      </w:r>
    </w:p>
    <w:p>
      <w:pPr>
        <w:widowControl/>
        <w:spacing w:before="60" w:after="6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4、除推迟出版或发生影响协议履行的不可抗力事情外，若乙方不能按时供货的图书种数或册数超过订单订购数的20%即可认定乙方不具备供货条件。甲方有权提前解除合同，要求乙方终止供货，终止供货所造成的损失由乙方承担。为尽可能消除因乙方不能按协议规定要求供货所造成的影响，甲方有权采取相应的补救措施（如直接向出版商邮购图书或向其他供货商补订图书），由此给甲方造成的各项损失或增加的各项费用（如折扣损失、邮费、数据费、加工费）等均由乙方承担。</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5、乙方提供的图书因存在外观质量问题无法通过甲方验收，甲方有权要求乙方支付违约金5000元，若因此给甲方造成损失的，乙方负责赔偿。</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6、乙方全年平均到货率未达到投标文件承诺到货率的，甲方有权在年终结算时扣除</w:t>
      </w:r>
      <w:r>
        <w:rPr>
          <w:rFonts w:hint="eastAsia" w:ascii="宋体" w:hAnsi="宋体" w:cs="宋体"/>
          <w:color w:val="auto"/>
          <w:sz w:val="24"/>
        </w:rPr>
        <w:t>合同金额1%</w:t>
      </w:r>
      <w:r>
        <w:rPr>
          <w:rFonts w:hint="eastAsia" w:ascii="宋体" w:hAnsi="宋体" w:cs="宋体"/>
          <w:color w:val="auto"/>
          <w:kern w:val="0"/>
          <w:sz w:val="24"/>
        </w:rPr>
        <w:t>作为违约金。</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九、甲方的违约责任</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1、甲方违反协议拒绝收货或验货的，承担由此给乙方造成的损失和运输部门的相关费用。</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2、甲方错填到货地点或收货人，承担因此给乙方造成的损失。</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十、知识产权</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乙方应保证，甲方在使用乙方所供货物或该货物的任何一部分时，免受第三方提出的侵犯其专利权、商标权、著作权或其它知识产权的起诉。乙方应承担由此可能产生的一切法律责任和费用。如乙方违反该约定造成甲方向第三方承担赔偿责任的，乙方应赔偿甲方的全部损失，包括但不限于甲方因此而支付之诉讼费、仲裁费、律师费、公证费、翻译费、赔偿金、和解金、调解金。</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十一、 不可抗力</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因台风、地震、水灾等自然灾害以及其它非因双方过错而造成的，不能预见、不能避免、并不能克服的客观情况为不可抗力。遇有不可抗力的一方，应立即将事件情况通知对方，由双方协商解决。因与国家政策抵触，导致不能正常继续履行合同的，由双方协商解决。</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十二、 争议的解决</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如因履行本协议发生争议时，双方应首先协商解决。协商不成时，任何一方均可向甲方所在地的人民法院提起诉讼，通过法律程序予以解决。</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十三、 本合同之未尽事宜</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双方可以协商解决或另订补充协议，补充协议为本协议不可分割的组成部分。</w:t>
      </w:r>
    </w:p>
    <w:p>
      <w:pPr>
        <w:widowControl/>
        <w:ind w:left="420" w:firstLine="420"/>
        <w:rPr>
          <w:rFonts w:hint="eastAsia"/>
          <w:color w:val="auto"/>
          <w:kern w:val="0"/>
          <w:szCs w:val="21"/>
        </w:rPr>
      </w:pPr>
      <w:r>
        <w:rPr>
          <w:color w:val="auto"/>
          <w:kern w:val="0"/>
          <w:szCs w:val="21"/>
        </w:rPr>
        <w:t xml:space="preserve"> </w:t>
      </w:r>
    </w:p>
    <w:p>
      <w:pPr>
        <w:widowControl/>
        <w:snapToGrid w:val="0"/>
        <w:spacing w:line="360" w:lineRule="auto"/>
        <w:rPr>
          <w:rFonts w:ascii="宋体" w:hAnsi="宋体" w:cs="宋体"/>
          <w:b/>
          <w:bCs/>
          <w:color w:val="auto"/>
          <w:kern w:val="0"/>
          <w:sz w:val="24"/>
        </w:rPr>
      </w:pPr>
      <w:r>
        <w:rPr>
          <w:rFonts w:hint="eastAsia" w:ascii="宋体" w:hAnsi="宋体" w:cs="宋体"/>
          <w:b/>
          <w:bCs/>
          <w:color w:val="auto"/>
          <w:kern w:val="0"/>
          <w:sz w:val="24"/>
        </w:rPr>
        <w:t>十四、 其他条款</w:t>
      </w:r>
    </w:p>
    <w:p>
      <w:pPr>
        <w:widowControl/>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1、本协议于双方签字盖章后生效，合同履行期限为合同签订之日起至202</w:t>
      </w:r>
      <w:r>
        <w:rPr>
          <w:rFonts w:hint="eastAsia" w:ascii="宋体" w:hAnsi="宋体" w:cs="宋体"/>
          <w:color w:val="auto"/>
          <w:kern w:val="0"/>
          <w:sz w:val="24"/>
          <w:lang w:val="en-US" w:eastAsia="zh-CN"/>
        </w:rPr>
        <w:t>4</w:t>
      </w:r>
      <w:r>
        <w:rPr>
          <w:rFonts w:hint="eastAsia" w:ascii="宋体" w:hAnsi="宋体" w:cs="宋体"/>
          <w:color w:val="auto"/>
          <w:kern w:val="0"/>
          <w:sz w:val="24"/>
        </w:rPr>
        <w:t>年12月31日。本合同一式伍份，甲方持有叁份、乙方持壹份，招标代理公司持壹份。</w:t>
      </w:r>
    </w:p>
    <w:p>
      <w:pPr>
        <w:widowControl/>
        <w:snapToGrid w:val="0"/>
        <w:spacing w:line="360" w:lineRule="auto"/>
        <w:ind w:firstLine="480"/>
        <w:rPr>
          <w:rFonts w:hint="eastAsia" w:ascii="宋体" w:hAnsi="宋体" w:eastAsia="宋体" w:cs="宋体"/>
          <w:color w:val="auto"/>
          <w:kern w:val="0"/>
          <w:sz w:val="24"/>
        </w:rPr>
      </w:pPr>
      <w:r>
        <w:rPr>
          <w:rFonts w:hint="eastAsia" w:ascii="宋体" w:hAnsi="宋体" w:cs="宋体"/>
          <w:color w:val="auto"/>
          <w:kern w:val="0"/>
          <w:sz w:val="24"/>
        </w:rPr>
        <w:t>2、合同内容与招标文件一致，附件为本协议的组成部分，与本协议具有同等法律效率。</w:t>
      </w:r>
      <w:r>
        <w:rPr>
          <w:rFonts w:hint="eastAsia" w:ascii="宋体" w:hAnsi="宋体" w:eastAsia="宋体" w:cs="宋体"/>
          <w:color w:val="auto"/>
          <w:kern w:val="0"/>
          <w:sz w:val="24"/>
        </w:rPr>
        <w:t xml:space="preserve"> </w:t>
      </w:r>
    </w:p>
    <w:p>
      <w:pPr>
        <w:pStyle w:val="2"/>
        <w:rPr>
          <w:rFonts w:hint="eastAsia" w:ascii="宋体" w:hAnsi="宋体" w:eastAsia="宋体" w:cs="宋体"/>
          <w:color w:val="auto"/>
        </w:rPr>
      </w:pPr>
    </w:p>
    <w:tbl>
      <w:tblPr>
        <w:tblStyle w:val="62"/>
        <w:tblW w:w="0" w:type="auto"/>
        <w:tblInd w:w="108" w:type="dxa"/>
        <w:tblLayout w:type="fixed"/>
        <w:tblCellMar>
          <w:top w:w="0" w:type="dxa"/>
          <w:left w:w="108" w:type="dxa"/>
          <w:bottom w:w="0" w:type="dxa"/>
          <w:right w:w="108" w:type="dxa"/>
        </w:tblCellMar>
      </w:tblPr>
      <w:tblGrid>
        <w:gridCol w:w="4500"/>
        <w:gridCol w:w="4958"/>
      </w:tblGrid>
      <w:tr>
        <w:tblPrEx>
          <w:tblCellMar>
            <w:top w:w="0" w:type="dxa"/>
            <w:left w:w="108" w:type="dxa"/>
            <w:bottom w:w="0" w:type="dxa"/>
            <w:right w:w="108" w:type="dxa"/>
          </w:tblCellMar>
        </w:tblPrEx>
        <w:trPr>
          <w:trHeight w:val="1750" w:hRule="atLeast"/>
        </w:trPr>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甲方（盖章）：</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乙方（盖章）：</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法定代表人：</w:t>
            </w:r>
          </w:p>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或授权委托人（签字）：</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法定代表人：</w:t>
            </w:r>
          </w:p>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或授权委托人（签字）：</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联系人：</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联系人：</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地址：</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地址：</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电话：</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电话：</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传真：</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传真：</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开户银行：</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开户银行：</w:t>
            </w:r>
          </w:p>
        </w:tc>
      </w:tr>
      <w:tr>
        <w:tblPrEx>
          <w:tblCellMar>
            <w:top w:w="0" w:type="dxa"/>
            <w:left w:w="108" w:type="dxa"/>
            <w:bottom w:w="0" w:type="dxa"/>
            <w:right w:w="108" w:type="dxa"/>
          </w:tblCellMar>
        </w:tblPrEx>
        <w:tc>
          <w:tcPr>
            <w:tcW w:w="4500"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账号：</w:t>
            </w:r>
          </w:p>
        </w:tc>
        <w:tc>
          <w:tcPr>
            <w:tcW w:w="4958" w:type="dxa"/>
            <w:noWrap w:val="0"/>
            <w:vAlign w:val="top"/>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账号：</w:t>
            </w:r>
          </w:p>
        </w:tc>
      </w:tr>
    </w:tbl>
    <w:p>
      <w:pPr>
        <w:widowControl/>
        <w:snapToGrid w:val="0"/>
        <w:spacing w:line="360" w:lineRule="auto"/>
        <w:ind w:right="480"/>
        <w:jc w:val="center"/>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widowControl/>
        <w:snapToGrid w:val="0"/>
        <w:spacing w:line="360" w:lineRule="auto"/>
        <w:ind w:right="480"/>
        <w:jc w:val="both"/>
        <w:rPr>
          <w:rFonts w:hint="eastAsia" w:ascii="宋体" w:hAnsi="宋体" w:eastAsia="宋体" w:cs="宋体"/>
          <w:color w:val="auto"/>
          <w:kern w:val="0"/>
          <w:sz w:val="24"/>
        </w:rPr>
      </w:pPr>
      <w:r>
        <w:rPr>
          <w:rFonts w:hint="eastAsia" w:ascii="宋体" w:hAnsi="宋体" w:eastAsia="宋体" w:cs="宋体"/>
          <w:color w:val="auto"/>
          <w:kern w:val="0"/>
          <w:sz w:val="24"/>
        </w:rPr>
        <w:t xml:space="preserve">签约地： </w:t>
      </w:r>
    </w:p>
    <w:p>
      <w:pPr>
        <w:spacing w:line="360" w:lineRule="auto"/>
        <w:outlineLvl w:val="0"/>
        <w:rPr>
          <w:rFonts w:hint="eastAsia" w:ascii="宋体" w:hAnsi="宋体" w:eastAsia="宋体" w:cs="宋体"/>
          <w:color w:val="auto"/>
          <w:kern w:val="0"/>
          <w:sz w:val="24"/>
        </w:rPr>
      </w:pPr>
      <w:r>
        <w:rPr>
          <w:rFonts w:hint="eastAsia" w:ascii="宋体" w:hAnsi="宋体" w:eastAsia="宋体" w:cs="宋体"/>
          <w:color w:val="auto"/>
          <w:kern w:val="0"/>
          <w:sz w:val="24"/>
        </w:rPr>
        <w:t>签约日期：     年    月    日</w:t>
      </w:r>
    </w:p>
    <w:p>
      <w:pPr>
        <w:rPr>
          <w:rFonts w:hint="eastAsia" w:ascii="宋体" w:hAnsi="宋体" w:eastAsia="宋体" w:cs="宋体"/>
          <w:b/>
          <w:color w:val="auto"/>
          <w:sz w:val="36"/>
          <w:szCs w:val="20"/>
        </w:rPr>
      </w:pPr>
      <w:r>
        <w:rPr>
          <w:rFonts w:hint="eastAsia" w:ascii="宋体" w:hAnsi="宋体" w:eastAsia="宋体" w:cs="宋体"/>
          <w:b/>
          <w:color w:val="auto"/>
          <w:sz w:val="36"/>
          <w:szCs w:val="20"/>
        </w:rPr>
        <w:br w:type="page"/>
      </w:r>
    </w:p>
    <w:p>
      <w:pPr>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w:t>
      </w:r>
      <w:bookmarkEnd w:id="397"/>
      <w:r>
        <w:rPr>
          <w:rFonts w:hint="eastAsia" w:ascii="宋体" w:hAnsi="宋体" w:eastAsia="宋体" w:cs="宋体"/>
          <w:b/>
          <w:color w:val="auto"/>
          <w:sz w:val="36"/>
          <w:szCs w:val="20"/>
        </w:rPr>
        <w:t xml:space="preserve"> </w:t>
      </w:r>
      <w:bookmarkEnd w:id="398"/>
      <w:r>
        <w:rPr>
          <w:rFonts w:hint="eastAsia" w:ascii="宋体" w:hAnsi="宋体" w:eastAsia="宋体" w:cs="宋体"/>
          <w:b/>
          <w:color w:val="auto"/>
          <w:sz w:val="36"/>
          <w:szCs w:val="20"/>
        </w:rPr>
        <w:t>应提交的有关格式范例</w:t>
      </w:r>
    </w:p>
    <w:p>
      <w:pPr>
        <w:spacing w:line="360" w:lineRule="auto"/>
        <w:jc w:val="center"/>
        <w:outlineLvl w:val="0"/>
        <w:rPr>
          <w:rFonts w:hint="eastAsia" w:ascii="宋体" w:hAnsi="宋体" w:eastAsia="宋体" w:cs="宋体"/>
          <w:b/>
          <w:color w:val="auto"/>
          <w:kern w:val="0"/>
          <w:sz w:val="36"/>
          <w:szCs w:val="36"/>
        </w:r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资格文件部分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pPr>
        <w:snapToGrid w:val="0"/>
        <w:spacing w:line="360" w:lineRule="auto"/>
        <w:rPr>
          <w:rFonts w:hint="eastAsia" w:ascii="宋体" w:hAnsi="宋体" w:eastAsia="宋体" w:cs="宋体"/>
          <w:color w:val="auto"/>
          <w:sz w:val="24"/>
        </w:rPr>
      </w:pPr>
      <w:r>
        <w:rPr>
          <w:rFonts w:hint="eastAsia" w:ascii="宋体" w:hAnsi="宋体" w:eastAsia="宋体" w:cs="宋体"/>
          <w:snapToGrid w:val="0"/>
          <w:color w:val="auto"/>
          <w:kern w:val="28"/>
          <w:sz w:val="24"/>
          <w:szCs w:val="20"/>
        </w:rPr>
        <w:t>（2）联合协议</w:t>
      </w:r>
      <w:r>
        <w:rPr>
          <w:rFonts w:hint="eastAsia" w:ascii="宋体" w:hAnsi="宋体" w:eastAsia="宋体" w:cs="宋体"/>
          <w:color w:val="auto"/>
          <w:sz w:val="24"/>
        </w:rPr>
        <w:t>………………………………………………………………（页码）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（3）落实政府采购政策需满足的资格要求………………………………（页码）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（4）本项目的特定资格要求………………………………………………（页码）</w:t>
      </w:r>
    </w:p>
    <w:p>
      <w:pPr>
        <w:snapToGrid w:val="0"/>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】政府采购活动，郑重承诺：</w:t>
      </w:r>
    </w:p>
    <w:p>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3、具有履行合同所必需的设备和专业技术能力；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4、有依法缴纳税收和社会保障资金的良好记录；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6、具有法律、行政法规规定的其他条件。</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二</w:t>
      </w:r>
      <w:r>
        <w:rPr>
          <w:rFonts w:hint="eastAsia" w:ascii="宋体" w:hAnsi="宋体" w:eastAsia="宋体" w:cs="宋体"/>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（三）不存在以下情况：</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p>
    <w:p>
      <w:pPr>
        <w:widowControl/>
        <w:spacing w:line="360" w:lineRule="auto"/>
        <w:ind w:firstLine="643" w:firstLineChars="20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二、联合协议（如果有）</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三、落实政府采购政策需满足的资格要求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A</w:t>
      </w:r>
      <w:r>
        <w:rPr>
          <w:rFonts w:hint="eastAsia" w:ascii="宋体" w:hAnsi="宋体" w:eastAsia="宋体" w:cs="宋体"/>
          <w:color w:val="auto"/>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hint="eastAsia" w:ascii="宋体" w:hAnsi="宋体" w:eastAsia="宋体" w:cs="宋体"/>
          <w:color w:val="auto"/>
          <w:sz w:val="24"/>
        </w:rPr>
      </w:pPr>
    </w:p>
    <w:p>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color w:val="auto"/>
          <w:sz w:val="24"/>
        </w:rPr>
        <w:t>B.</w:t>
      </w:r>
      <w:r>
        <w:rPr>
          <w:rFonts w:hint="eastAsia" w:ascii="宋体" w:hAnsi="宋体" w:eastAsia="宋体" w:cs="宋体"/>
          <w:color w:val="auto"/>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C、</w:t>
      </w: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rPr>
      </w:pPr>
    </w:p>
    <w:p>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四、本项目的特定资格要求</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pPr>
        <w:rPr>
          <w:rFonts w:hint="eastAsia" w:ascii="宋体" w:hAnsi="宋体" w:eastAsia="宋体" w:cs="宋体"/>
          <w:color w:val="auto"/>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pacing w:line="360" w:lineRule="auto"/>
        <w:ind w:right="420"/>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pPr>
        <w:spacing w:line="360" w:lineRule="auto"/>
        <w:jc w:val="center"/>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目录</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（1）投标函</w:t>
      </w:r>
      <w:r>
        <w:rPr>
          <w:rFonts w:hint="eastAsia" w:ascii="宋体" w:hAnsi="宋体" w:eastAsia="宋体" w:cs="宋体"/>
          <w:color w:val="auto"/>
        </w:rPr>
        <w:t>…………………………………………………………………………………（页码）</w:t>
      </w:r>
      <w:r>
        <w:rPr>
          <w:rFonts w:hint="eastAsia" w:ascii="宋体" w:hAnsi="宋体" w:eastAsia="宋体" w:cs="宋体"/>
          <w:color w:val="auto"/>
          <w:sz w:val="24"/>
        </w:rPr>
        <w:t>（2）授权委托书或法定代表人（单位负责人、自然人本人）身份证明</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（3）分包意向协议</w:t>
      </w:r>
      <w:r>
        <w:rPr>
          <w:rFonts w:hint="eastAsia" w:ascii="宋体" w:hAnsi="宋体" w:eastAsia="宋体" w:cs="宋体"/>
          <w:color w:val="auto"/>
        </w:rPr>
        <w:t>…………………………………………………………………………（页码）</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（4）符合性审查资料</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rPr>
        <w:t>（5）评标标准相应的商务技术资料</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（6）投标标的清单</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w:t>
      </w:r>
      <w:r>
        <w:rPr>
          <w:rFonts w:hint="eastAsia" w:ascii="宋体" w:hAnsi="宋体" w:eastAsia="宋体" w:cs="宋体"/>
          <w:color w:val="auto"/>
          <w:sz w:val="24"/>
        </w:rPr>
        <w:t>…</w:t>
      </w:r>
      <w:r>
        <w:rPr>
          <w:rFonts w:hint="eastAsia" w:ascii="宋体" w:hAnsi="宋体" w:eastAsia="宋体" w:cs="宋体"/>
          <w:color w:val="auto"/>
        </w:rPr>
        <w:t>……………（页码）</w:t>
      </w:r>
      <w:r>
        <w:rPr>
          <w:rFonts w:hint="eastAsia" w:ascii="宋体" w:hAnsi="宋体" w:eastAsia="宋体" w:cs="宋体"/>
          <w:color w:val="auto"/>
          <w:sz w:val="24"/>
        </w:rPr>
        <w:t>（7）商务技术偏离表</w:t>
      </w:r>
      <w:r>
        <w:rPr>
          <w:rFonts w:hint="eastAsia" w:ascii="宋体" w:hAnsi="宋体" w:eastAsia="宋体" w:cs="宋体"/>
          <w:color w:val="auto"/>
        </w:rPr>
        <w:t>………………………………………………………………………（页码）</w:t>
      </w:r>
    </w:p>
    <w:p>
      <w:pPr>
        <w:snapToGrid w:val="0"/>
        <w:spacing w:line="360" w:lineRule="auto"/>
        <w:ind w:left="479" w:leftChars="228"/>
        <w:rPr>
          <w:rFonts w:hint="eastAsia" w:ascii="宋体" w:hAnsi="宋体" w:eastAsia="宋体" w:cs="宋体"/>
          <w:color w:val="auto"/>
        </w:rPr>
      </w:pP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r>
        <w:rPr>
          <w:rFonts w:hint="eastAsia" w:ascii="宋体" w:hAnsi="宋体" w:eastAsia="宋体" w:cs="宋体"/>
          <w:color w:val="auto"/>
        </w:rPr>
        <w:t>…………………………………………………（页码）</w:t>
      </w: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rPr>
          <w:rFonts w:hint="eastAsia" w:ascii="宋体" w:hAnsi="宋体" w:eastAsia="宋体" w:cs="宋体"/>
          <w:b/>
          <w:color w:val="auto"/>
          <w:kern w:val="0"/>
          <w:sz w:val="32"/>
          <w:szCs w:val="32"/>
          <w:lang w:val="zh-CN"/>
        </w:rPr>
      </w:pPr>
    </w:p>
    <w:p>
      <w:pPr>
        <w:snapToGrid w:val="0"/>
        <w:spacing w:line="360" w:lineRule="auto"/>
        <w:jc w:val="center"/>
        <w:outlineLvl w:val="0"/>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jc w:val="center"/>
        <w:outlineLvl w:val="0"/>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kern w:val="0"/>
          <w:sz w:val="32"/>
          <w:szCs w:val="32"/>
        </w:rPr>
      </w:pPr>
    </w:p>
    <w:p>
      <w:pPr>
        <w:pStyle w:val="5"/>
        <w:rPr>
          <w:rFonts w:hint="eastAsia" w:ascii="宋体" w:hAnsi="宋体" w:eastAsia="宋体" w:cs="宋体"/>
          <w:color w:val="auto"/>
          <w:lang w:val="en-US"/>
        </w:rPr>
      </w:pPr>
    </w:p>
    <w:p>
      <w:pPr>
        <w:rPr>
          <w:rFonts w:hint="eastAsia" w:ascii="宋体" w:hAnsi="宋体" w:eastAsia="宋体" w:cs="宋体"/>
          <w:color w:val="auto"/>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snapToGrid w:val="0"/>
        <w:spacing w:line="360" w:lineRule="auto"/>
        <w:ind w:firstLine="3855" w:firstLineChars="1200"/>
        <w:outlineLvl w:val="0"/>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sz w:val="24"/>
        </w:rPr>
        <w:t>：</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】招标的有关活动，并对此项目进行投标。为此：</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联合协议（如果有)；</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u w:val="single"/>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napToGrid w:val="0"/>
        <w:spacing w:line="360" w:lineRule="auto"/>
        <w:jc w:val="center"/>
        <w:rPr>
          <w:rFonts w:hint="eastAsia" w:ascii="宋体" w:hAnsi="宋体" w:eastAsia="宋体" w:cs="宋体"/>
          <w:b/>
          <w:color w:val="auto"/>
          <w:kern w:val="0"/>
          <w:sz w:val="32"/>
          <w:szCs w:val="32"/>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sz w:val="24"/>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w:t>
      </w:r>
      <w:r>
        <w:rPr>
          <w:rFonts w:hint="eastAsia" w:ascii="宋体" w:hAnsi="宋体" w:eastAsia="宋体" w:cs="宋体"/>
          <w:color w:val="auto"/>
          <w:kern w:val="0"/>
          <w:sz w:val="24"/>
          <w:lang w:val="zh-CN"/>
        </w:rPr>
        <w:t>政府采购投标的一切事项，其法律后果由我方承担。</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rPr>
          <w:rFonts w:hint="eastAsia" w:ascii="宋体" w:hAnsi="宋体" w:eastAsia="宋体" w:cs="宋体"/>
          <w:color w:val="auto"/>
        </w:rPr>
      </w:pP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pPr>
        <w:pStyle w:val="146"/>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pPr>
              <w:pStyle w:val="146"/>
              <w:adjustRightInd w:val="0"/>
              <w:spacing w:line="360" w:lineRule="auto"/>
              <w:rPr>
                <w:rFonts w:hint="eastAsia" w:ascii="宋体" w:hAnsi="宋体" w:eastAsia="宋体" w:cs="宋体"/>
                <w:bCs/>
                <w:color w:val="auto"/>
                <w:sz w:val="24"/>
              </w:rPr>
            </w:pPr>
          </w:p>
        </w:tc>
      </w:tr>
    </w:tbl>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snapToGrid w:val="0"/>
        <w:spacing w:line="360" w:lineRule="auto"/>
        <w:ind w:right="480"/>
        <w:rPr>
          <w:rFonts w:hint="eastAsia" w:ascii="宋体" w:hAnsi="宋体" w:eastAsia="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三、分包意向协议（如果有）</w:t>
      </w:r>
    </w:p>
    <w:p>
      <w:pPr>
        <w:widowControl/>
        <w:spacing w:line="360" w:lineRule="auto"/>
        <w:ind w:firstLine="120" w:firstLineChars="50"/>
        <w:jc w:val="left"/>
        <w:rPr>
          <w:rFonts w:hint="eastAsia" w:ascii="宋体" w:hAnsi="宋体" w:eastAsia="宋体" w:cs="宋体"/>
          <w:color w:val="auto"/>
          <w:sz w:val="24"/>
        </w:rPr>
      </w:pPr>
      <w:bookmarkStart w:id="399" w:name="_Hlk101169080"/>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bookmarkEnd w:id="399"/>
    <w:p>
      <w:pPr>
        <w:snapToGrid w:val="0"/>
        <w:spacing w:line="360" w:lineRule="auto"/>
        <w:rPr>
          <w:rFonts w:hint="eastAsia" w:ascii="宋体" w:hAnsi="宋体" w:eastAsia="宋体" w:cs="宋体"/>
          <w:color w:val="auto"/>
          <w:kern w:val="0"/>
          <w:sz w:val="24"/>
        </w:rPr>
      </w:pPr>
    </w:p>
    <w:p>
      <w:pPr>
        <w:jc w:val="center"/>
        <w:rPr>
          <w:rFonts w:hint="eastAsia" w:ascii="宋体" w:hAnsi="宋体" w:eastAsia="宋体" w:cs="宋体"/>
          <w:b/>
          <w:color w:val="auto"/>
          <w:kern w:val="0"/>
          <w:sz w:val="32"/>
          <w:szCs w:val="32"/>
        </w:rPr>
      </w:pPr>
    </w:p>
    <w:p>
      <w:pPr>
        <w:pStyle w:val="5"/>
        <w:rPr>
          <w:rFonts w:hint="eastAsia" w:ascii="宋体" w:hAnsi="宋体" w:eastAsia="宋体" w:cs="宋体"/>
          <w:color w:val="auto"/>
          <w:lang w:val="en-US"/>
        </w:rPr>
      </w:pPr>
    </w:p>
    <w:p>
      <w:pPr>
        <w:rPr>
          <w:rFonts w:hint="eastAsia" w:ascii="宋体" w:hAnsi="宋体" w:eastAsia="宋体" w:cs="宋体"/>
          <w:color w:val="auto"/>
        </w:rPr>
      </w:pPr>
    </w:p>
    <w:p>
      <w:pPr>
        <w:pStyle w:val="5"/>
        <w:rPr>
          <w:rFonts w:hint="eastAsia" w:ascii="宋体" w:hAnsi="宋体" w:eastAsia="宋体" w:cs="宋体"/>
          <w:color w:val="auto"/>
          <w:lang w:val="en-US"/>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pPr>
        <w:jc w:val="center"/>
        <w:rPr>
          <w:rFonts w:hint="eastAsia" w:ascii="宋体" w:hAnsi="宋体" w:eastAsia="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499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2551"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499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center"/>
          </w:tcPr>
          <w:p>
            <w:pPr>
              <w:jc w:val="center"/>
              <w:rPr>
                <w:rFonts w:hint="eastAsia" w:ascii="宋体" w:hAnsi="宋体" w:eastAsia="宋体" w:cs="宋体"/>
                <w:color w:val="auto"/>
                <w:sz w:val="24"/>
              </w:rPr>
            </w:pPr>
          </w:p>
          <w:p>
            <w:pPr>
              <w:jc w:val="center"/>
              <w:rPr>
                <w:rFonts w:hint="eastAsia" w:ascii="宋体" w:hAnsi="宋体" w:eastAsia="宋体" w:cs="宋体"/>
                <w:color w:val="auto"/>
                <w:sz w:val="24"/>
              </w:rPr>
            </w:pPr>
            <w:r>
              <w:rPr>
                <w:rFonts w:hint="eastAsia" w:ascii="宋体" w:hAnsi="宋体" w:eastAsia="宋体" w:cs="宋体"/>
                <w:color w:val="auto"/>
                <w:sz w:val="24"/>
              </w:rPr>
              <w:t>见投标文件</w:t>
            </w:r>
          </w:p>
          <w:p>
            <w:pPr>
              <w:jc w:val="cente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499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4991" w:type="dxa"/>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2551" w:type="dxa"/>
            <w:vAlign w:val="center"/>
          </w:tcPr>
          <w:p>
            <w:pPr>
              <w:jc w:val="cente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center"/>
          </w:tcPr>
          <w:p>
            <w:pPr>
              <w:jc w:val="cente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pPr>
        <w:snapToGrid w:val="0"/>
        <w:spacing w:line="360" w:lineRule="auto"/>
        <w:jc w:val="left"/>
        <w:rPr>
          <w:rFonts w:hint="eastAsia" w:ascii="宋体" w:hAnsi="宋体" w:eastAsia="宋体" w:cs="宋体"/>
          <w:b/>
          <w:color w:val="auto"/>
          <w:sz w:val="24"/>
        </w:rPr>
      </w:pPr>
      <w:r>
        <w:rPr>
          <w:rFonts w:hint="eastAsia" w:ascii="宋体" w:hAnsi="宋体" w:eastAsia="宋体" w:cs="宋体"/>
          <w:b/>
          <w:color w:val="auto"/>
          <w:sz w:val="24"/>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rPr>
            </w:pPr>
          </w:p>
        </w:tc>
      </w:tr>
    </w:tbl>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p>
    <w:p>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招标文件章节及具体内容</w:t>
            </w:r>
          </w:p>
        </w:tc>
        <w:tc>
          <w:tcPr>
            <w:tcW w:w="354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center"/>
          </w:tcPr>
          <w:p>
            <w:pPr>
              <w:jc w:val="center"/>
              <w:rPr>
                <w:rFonts w:hint="eastAsia" w:ascii="宋体" w:hAnsi="宋体" w:eastAsia="宋体" w:cs="宋体"/>
                <w:b/>
                <w:color w:val="auto"/>
                <w:kern w:val="0"/>
                <w:sz w:val="32"/>
                <w:szCs w:val="32"/>
              </w:rPr>
            </w:pPr>
          </w:p>
        </w:tc>
        <w:tc>
          <w:tcPr>
            <w:tcW w:w="3546" w:type="dxa"/>
            <w:vAlign w:val="center"/>
          </w:tcPr>
          <w:p>
            <w:pPr>
              <w:jc w:val="center"/>
              <w:rPr>
                <w:rFonts w:hint="eastAsia" w:ascii="宋体" w:hAnsi="宋体" w:eastAsia="宋体" w:cs="宋体"/>
                <w:b/>
                <w:color w:val="auto"/>
                <w:kern w:val="0"/>
                <w:sz w:val="32"/>
                <w:szCs w:val="32"/>
              </w:rPr>
            </w:pPr>
          </w:p>
        </w:tc>
        <w:tc>
          <w:tcPr>
            <w:tcW w:w="1276" w:type="dxa"/>
            <w:vAlign w:val="center"/>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center"/>
          </w:tcPr>
          <w:p>
            <w:pPr>
              <w:jc w:val="center"/>
              <w:rPr>
                <w:rFonts w:hint="eastAsia" w:ascii="宋体" w:hAnsi="宋体" w:eastAsia="宋体" w:cs="宋体"/>
                <w:b/>
                <w:color w:val="auto"/>
                <w:kern w:val="0"/>
                <w:sz w:val="32"/>
                <w:szCs w:val="32"/>
              </w:rPr>
            </w:pPr>
          </w:p>
        </w:tc>
        <w:tc>
          <w:tcPr>
            <w:tcW w:w="3546" w:type="dxa"/>
            <w:vAlign w:val="center"/>
          </w:tcPr>
          <w:p>
            <w:pPr>
              <w:jc w:val="center"/>
              <w:rPr>
                <w:rFonts w:hint="eastAsia" w:ascii="宋体" w:hAnsi="宋体" w:eastAsia="宋体" w:cs="宋体"/>
                <w:b/>
                <w:color w:val="auto"/>
                <w:kern w:val="0"/>
                <w:sz w:val="32"/>
                <w:szCs w:val="32"/>
              </w:rPr>
            </w:pPr>
          </w:p>
        </w:tc>
        <w:tc>
          <w:tcPr>
            <w:tcW w:w="1276" w:type="dxa"/>
            <w:vAlign w:val="center"/>
          </w:tcPr>
          <w:p>
            <w:pPr>
              <w:jc w:val="center"/>
              <w:rPr>
                <w:rFonts w:hint="eastAsia" w:ascii="宋体" w:hAnsi="宋体" w:eastAsia="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center"/>
          </w:tcPr>
          <w:p>
            <w:pPr>
              <w:jc w:val="center"/>
              <w:rPr>
                <w:rFonts w:hint="eastAsia" w:ascii="宋体" w:hAnsi="宋体" w:eastAsia="宋体" w:cs="宋体"/>
                <w:b/>
                <w:color w:val="auto"/>
                <w:kern w:val="0"/>
                <w:sz w:val="32"/>
                <w:szCs w:val="32"/>
              </w:rPr>
            </w:pPr>
          </w:p>
        </w:tc>
        <w:tc>
          <w:tcPr>
            <w:tcW w:w="3546" w:type="dxa"/>
            <w:vAlign w:val="center"/>
          </w:tcPr>
          <w:p>
            <w:pPr>
              <w:jc w:val="center"/>
              <w:rPr>
                <w:rFonts w:hint="eastAsia" w:ascii="宋体" w:hAnsi="宋体" w:eastAsia="宋体" w:cs="宋体"/>
                <w:b/>
                <w:color w:val="auto"/>
                <w:kern w:val="0"/>
                <w:sz w:val="32"/>
                <w:szCs w:val="32"/>
              </w:rPr>
            </w:pPr>
          </w:p>
        </w:tc>
        <w:tc>
          <w:tcPr>
            <w:tcW w:w="1276" w:type="dxa"/>
            <w:vAlign w:val="center"/>
          </w:tcPr>
          <w:p>
            <w:pPr>
              <w:jc w:val="center"/>
              <w:rPr>
                <w:rFonts w:hint="eastAsia" w:ascii="宋体" w:hAnsi="宋体" w:eastAsia="宋体" w:cs="宋体"/>
                <w:b/>
                <w:color w:val="auto"/>
                <w:kern w:val="0"/>
                <w:sz w:val="32"/>
                <w:szCs w:val="32"/>
              </w:rPr>
            </w:pPr>
          </w:p>
        </w:tc>
      </w:tr>
    </w:tbl>
    <w:p>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pPr>
        <w:jc w:val="center"/>
        <w:rPr>
          <w:rFonts w:hint="eastAsia" w:ascii="宋体" w:hAnsi="宋体" w:eastAsia="宋体" w:cs="宋体"/>
          <w:b/>
          <w:color w:val="auto"/>
          <w:kern w:val="0"/>
          <w:sz w:val="32"/>
          <w:szCs w:val="32"/>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ind w:firstLine="1911" w:firstLineChars="595"/>
        <w:rPr>
          <w:rFonts w:hint="eastAsia" w:ascii="宋体" w:hAnsi="宋体" w:eastAsia="宋体" w:cs="宋体"/>
          <w:b/>
          <w:bCs/>
          <w:color w:val="auto"/>
          <w:sz w:val="32"/>
          <w:szCs w:val="32"/>
        </w:rPr>
      </w:pPr>
    </w:p>
    <w:p>
      <w:pPr>
        <w:widowControl/>
        <w:adjustRightInd/>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ind w:firstLine="1911" w:firstLineChars="595"/>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pPr>
        <w:snapToGrid w:val="0"/>
        <w:spacing w:line="360" w:lineRule="auto"/>
        <w:rPr>
          <w:rFonts w:hint="eastAsia" w:ascii="宋体" w:hAnsi="宋体" w:eastAsia="宋体" w:cs="宋体"/>
          <w:color w:val="auto"/>
          <w:sz w:val="24"/>
        </w:rPr>
      </w:pP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kern w:val="0"/>
          <w:sz w:val="24"/>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jc w:val="left"/>
        <w:rPr>
          <w:rFonts w:hint="eastAsia" w:ascii="宋体" w:hAnsi="宋体" w:eastAsia="宋体" w:cs="宋体"/>
          <w:color w:val="auto"/>
          <w:kern w:val="0"/>
          <w:sz w:val="24"/>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pPr>
        <w:spacing w:line="360" w:lineRule="auto"/>
        <w:jc w:val="center"/>
        <w:rPr>
          <w:rFonts w:hint="eastAsia" w:ascii="宋体" w:hAnsi="宋体" w:eastAsia="宋体" w:cs="宋体"/>
          <w:b/>
          <w:bCs/>
          <w:color w:val="auto"/>
          <w:sz w:val="24"/>
        </w:rPr>
      </w:pP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spacing w:line="360" w:lineRule="auto"/>
        <w:jc w:val="center"/>
        <w:rPr>
          <w:rFonts w:hint="eastAsia" w:ascii="宋体" w:hAnsi="宋体" w:eastAsia="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pPr>
        <w:spacing w:line="360" w:lineRule="auto"/>
        <w:jc w:val="center"/>
        <w:outlineLvl w:val="0"/>
        <w:rPr>
          <w:rFonts w:hint="eastAsia" w:ascii="宋体" w:hAnsi="宋体" w:eastAsia="宋体" w:cs="宋体"/>
          <w:b/>
          <w:color w:val="auto"/>
          <w:kern w:val="0"/>
          <w:sz w:val="36"/>
          <w:szCs w:val="36"/>
        </w:rPr>
      </w:pP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（2）中小企业声明函………………………………………………………………（页码）</w:t>
      </w: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snapToGrid w:val="0"/>
        <w:spacing w:line="360" w:lineRule="auto"/>
        <w:ind w:right="480"/>
        <w:jc w:val="center"/>
        <w:rPr>
          <w:rFonts w:hint="eastAsia" w:ascii="宋体" w:hAnsi="宋体" w:eastAsia="宋体" w:cs="宋体"/>
          <w:b/>
          <w:color w:val="auto"/>
          <w:kern w:val="0"/>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lang w:eastAsia="zh-CN"/>
        </w:rPr>
        <w:t>杭州图书馆</w:t>
      </w:r>
      <w:r>
        <w:rPr>
          <w:rFonts w:hint="eastAsia" w:ascii="宋体" w:hAnsi="宋体" w:eastAsia="宋体" w:cs="宋体"/>
          <w:color w:val="auto"/>
          <w:sz w:val="24"/>
        </w:rPr>
        <w:t>、</w:t>
      </w:r>
      <w:r>
        <w:rPr>
          <w:rFonts w:hint="eastAsia" w:ascii="宋体" w:hAnsi="宋体" w:eastAsia="宋体" w:cs="宋体"/>
          <w:color w:val="auto"/>
          <w:sz w:val="24"/>
          <w:lang w:eastAsia="zh-CN"/>
        </w:rPr>
        <w:t>东方经纬项目管理有限公司</w:t>
      </w:r>
      <w:r>
        <w:rPr>
          <w:rFonts w:hint="eastAsia" w:ascii="宋体" w:hAnsi="宋体" w:eastAsia="宋体" w:cs="宋体"/>
          <w:color w:val="auto"/>
          <w:kern w:val="0"/>
          <w:sz w:val="24"/>
          <w:lang w:val="zh-CN"/>
        </w:rPr>
        <w:t>：</w:t>
      </w:r>
    </w:p>
    <w:p>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开标一览表（报价表）(单位为</w:t>
      </w:r>
      <w:r>
        <w:rPr>
          <w:rFonts w:hint="eastAsia" w:ascii="宋体" w:hAnsi="宋体" w:eastAsia="宋体" w:cs="宋体"/>
          <w:b/>
          <w:color w:val="auto"/>
          <w:kern w:val="0"/>
          <w:sz w:val="24"/>
          <w:lang w:val="en-US" w:eastAsia="zh-CN"/>
        </w:rPr>
        <w:t>%</w:t>
      </w:r>
      <w:r>
        <w:rPr>
          <w:rFonts w:hint="eastAsia" w:ascii="宋体" w:hAnsi="宋体" w:eastAsia="宋体" w:cs="宋体"/>
          <w:b/>
          <w:color w:val="auto"/>
          <w:kern w:val="0"/>
          <w:sz w:val="24"/>
          <w:lang w:val="zh-CN"/>
        </w:rPr>
        <w:t>)</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41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843" w:type="dxa"/>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品牌（如果有）</w:t>
            </w:r>
          </w:p>
        </w:tc>
        <w:tc>
          <w:tcPr>
            <w:tcW w:w="3118"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规格型号（如果有）</w:t>
            </w:r>
          </w:p>
        </w:tc>
        <w:tc>
          <w:tcPr>
            <w:tcW w:w="993"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数量</w:t>
            </w:r>
          </w:p>
        </w:tc>
        <w:tc>
          <w:tcPr>
            <w:tcW w:w="1559" w:type="dxa"/>
            <w:vAlign w:val="center"/>
          </w:tcPr>
          <w:p>
            <w:pPr>
              <w:spacing w:line="360" w:lineRule="auto"/>
              <w:jc w:val="center"/>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单位</w:t>
            </w:r>
          </w:p>
        </w:tc>
        <w:tc>
          <w:tcPr>
            <w:tcW w:w="1984"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lang w:val="en-US" w:eastAsia="zh-CN"/>
              </w:rPr>
              <w:t>折扣率</w:t>
            </w:r>
          </w:p>
        </w:tc>
        <w:tc>
          <w:tcPr>
            <w:tcW w:w="3119" w:type="dxa"/>
            <w:vAlign w:val="center"/>
          </w:tcPr>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pPr>
              <w:spacing w:line="360" w:lineRule="auto"/>
              <w:jc w:val="center"/>
              <w:rPr>
                <w:rFonts w:hint="eastAsia" w:ascii="宋体" w:hAnsi="宋体" w:eastAsia="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4" w:type="dxa"/>
            <w:vAlign w:val="center"/>
          </w:tcPr>
          <w:p>
            <w:pPr>
              <w:spacing w:line="360" w:lineRule="auto"/>
              <w:jc w:val="center"/>
              <w:rPr>
                <w:rFonts w:hint="eastAsia" w:ascii="宋体" w:hAnsi="宋体" w:eastAsia="宋体" w:cs="宋体"/>
                <w:color w:val="auto"/>
                <w:sz w:val="24"/>
              </w:rPr>
            </w:pPr>
          </w:p>
        </w:tc>
        <w:tc>
          <w:tcPr>
            <w:tcW w:w="1417" w:type="dxa"/>
            <w:vAlign w:val="center"/>
          </w:tcPr>
          <w:p>
            <w:pPr>
              <w:snapToGrid w:val="0"/>
              <w:spacing w:line="360" w:lineRule="auto"/>
              <w:jc w:val="center"/>
              <w:rPr>
                <w:rFonts w:hint="eastAsia" w:ascii="宋体" w:hAnsi="宋体" w:eastAsia="宋体" w:cs="宋体"/>
                <w:color w:val="auto"/>
                <w:sz w:val="24"/>
              </w:rPr>
            </w:pPr>
          </w:p>
        </w:tc>
        <w:tc>
          <w:tcPr>
            <w:tcW w:w="1843" w:type="dxa"/>
            <w:vAlign w:val="center"/>
          </w:tcPr>
          <w:p>
            <w:pPr>
              <w:snapToGrid w:val="0"/>
              <w:spacing w:line="360" w:lineRule="auto"/>
              <w:jc w:val="center"/>
              <w:rPr>
                <w:rFonts w:hint="eastAsia" w:ascii="宋体" w:hAnsi="宋体" w:eastAsia="宋体" w:cs="宋体"/>
                <w:color w:val="auto"/>
                <w:sz w:val="24"/>
              </w:rPr>
            </w:pPr>
          </w:p>
        </w:tc>
        <w:tc>
          <w:tcPr>
            <w:tcW w:w="3118" w:type="dxa"/>
            <w:vAlign w:val="center"/>
          </w:tcPr>
          <w:p>
            <w:pPr>
              <w:snapToGrid w:val="0"/>
              <w:spacing w:line="360" w:lineRule="auto"/>
              <w:jc w:val="center"/>
              <w:rPr>
                <w:rFonts w:hint="eastAsia" w:ascii="宋体" w:hAnsi="宋体" w:eastAsia="宋体" w:cs="宋体"/>
                <w:color w:val="auto"/>
                <w:sz w:val="24"/>
              </w:rPr>
            </w:pPr>
          </w:p>
        </w:tc>
        <w:tc>
          <w:tcPr>
            <w:tcW w:w="993" w:type="dxa"/>
            <w:vAlign w:val="center"/>
          </w:tcPr>
          <w:p>
            <w:pPr>
              <w:snapToGrid w:val="0"/>
              <w:spacing w:line="360" w:lineRule="auto"/>
              <w:jc w:val="center"/>
              <w:rPr>
                <w:rFonts w:hint="eastAsia" w:ascii="宋体" w:hAnsi="宋体" w:eastAsia="宋体" w:cs="宋体"/>
                <w:color w:val="auto"/>
                <w:sz w:val="24"/>
              </w:rPr>
            </w:pPr>
          </w:p>
        </w:tc>
        <w:tc>
          <w:tcPr>
            <w:tcW w:w="1559" w:type="dxa"/>
            <w:vAlign w:val="center"/>
          </w:tcPr>
          <w:p>
            <w:pPr>
              <w:spacing w:line="360" w:lineRule="auto"/>
              <w:jc w:val="center"/>
              <w:rPr>
                <w:rFonts w:hint="eastAsia" w:ascii="宋体" w:hAnsi="宋体" w:eastAsia="宋体" w:cs="宋体"/>
                <w:color w:val="auto"/>
                <w:sz w:val="24"/>
              </w:rPr>
            </w:pPr>
          </w:p>
        </w:tc>
        <w:tc>
          <w:tcPr>
            <w:tcW w:w="1984" w:type="dxa"/>
            <w:vAlign w:val="center"/>
          </w:tcPr>
          <w:p>
            <w:pPr>
              <w:spacing w:line="360" w:lineRule="auto"/>
              <w:jc w:val="center"/>
              <w:rPr>
                <w:rFonts w:hint="eastAsia" w:ascii="宋体" w:hAnsi="宋体" w:eastAsia="宋体" w:cs="宋体"/>
                <w:color w:val="auto"/>
                <w:sz w:val="24"/>
              </w:rPr>
            </w:pPr>
          </w:p>
        </w:tc>
        <w:tc>
          <w:tcPr>
            <w:tcW w:w="3119" w:type="dxa"/>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折扣率</w:t>
            </w:r>
            <w:r>
              <w:rPr>
                <w:rFonts w:hint="eastAsia" w:ascii="宋体" w:hAnsi="宋体" w:eastAsia="宋体" w:cs="宋体"/>
                <w:b/>
                <w:color w:val="auto"/>
                <w:sz w:val="24"/>
                <w:lang w:eastAsia="zh-CN"/>
              </w:rPr>
              <w:t>）</w:t>
            </w:r>
            <w:r>
              <w:rPr>
                <w:rFonts w:hint="eastAsia" w:ascii="宋体" w:hAnsi="宋体" w:eastAsia="宋体" w:cs="宋体"/>
                <w:b/>
                <w:color w:val="auto"/>
                <w:sz w:val="24"/>
              </w:rPr>
              <w:t>（小写）</w:t>
            </w:r>
          </w:p>
        </w:tc>
        <w:tc>
          <w:tcPr>
            <w:tcW w:w="7655" w:type="dxa"/>
            <w:gridSpan w:val="4"/>
            <w:vAlign w:val="center"/>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投标报价</w:t>
            </w: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折扣率</w:t>
            </w:r>
            <w:r>
              <w:rPr>
                <w:rFonts w:hint="eastAsia" w:ascii="宋体" w:hAnsi="宋体" w:eastAsia="宋体" w:cs="宋体"/>
                <w:b/>
                <w:color w:val="auto"/>
                <w:sz w:val="24"/>
                <w:lang w:eastAsia="zh-CN"/>
              </w:rPr>
              <w:t>）</w:t>
            </w:r>
            <w:r>
              <w:rPr>
                <w:rFonts w:hint="eastAsia" w:ascii="宋体" w:hAnsi="宋体" w:eastAsia="宋体" w:cs="宋体"/>
                <w:b/>
                <w:color w:val="auto"/>
                <w:sz w:val="24"/>
              </w:rPr>
              <w:t>（大写）</w:t>
            </w:r>
          </w:p>
        </w:tc>
        <w:tc>
          <w:tcPr>
            <w:tcW w:w="7655" w:type="dxa"/>
            <w:gridSpan w:val="4"/>
            <w:vAlign w:val="center"/>
          </w:tcPr>
          <w:p>
            <w:pPr>
              <w:spacing w:line="360" w:lineRule="auto"/>
              <w:jc w:val="center"/>
              <w:rPr>
                <w:rFonts w:hint="eastAsia" w:ascii="宋体" w:hAnsi="宋体" w:eastAsia="宋体" w:cs="宋体"/>
                <w:color w:val="auto"/>
                <w:sz w:val="24"/>
              </w:rPr>
            </w:pPr>
          </w:p>
        </w:tc>
      </w:tr>
    </w:tbl>
    <w:p>
      <w:pPr>
        <w:snapToGrid w:val="0"/>
        <w:spacing w:line="360" w:lineRule="auto"/>
        <w:ind w:left="480"/>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注：</w:t>
      </w:r>
    </w:p>
    <w:p>
      <w:pPr>
        <w:spacing w:line="360" w:lineRule="auto"/>
        <w:ind w:left="-2" w:leftChars="-1"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1、投标人需按本表格式填写</w:t>
      </w:r>
      <w:r>
        <w:rPr>
          <w:rFonts w:hint="eastAsia" w:ascii="宋体" w:hAnsi="宋体" w:eastAsia="宋体" w:cs="宋体"/>
          <w:b/>
          <w:color w:val="auto"/>
          <w:kern w:val="0"/>
          <w:sz w:val="24"/>
          <w:lang w:val="zh-CN"/>
        </w:rPr>
        <w:t>，</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color w:val="auto"/>
          <w:kern w:val="0"/>
          <w:sz w:val="24"/>
          <w:lang w:val="zh-CN"/>
        </w:rPr>
        <w:t>。</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lang w:val="zh-CN"/>
        </w:rPr>
        <w:t>2、有关本项目实施所涉及的一切费用均计入报价。</w:t>
      </w:r>
      <w:r>
        <w:rPr>
          <w:rFonts w:hint="eastAsia" w:ascii="宋体" w:hAnsi="宋体" w:eastAsia="宋体" w:cs="宋体"/>
          <w:b/>
          <w:color w:val="auto"/>
          <w:kern w:val="0"/>
          <w:sz w:val="24"/>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不得出现“0元”“免费赠送”等形式的无偿报价，</w:t>
      </w:r>
      <w:r>
        <w:rPr>
          <w:rFonts w:hint="eastAsia" w:ascii="宋体" w:hAnsi="宋体" w:eastAsia="宋体" w:cs="宋体"/>
          <w:b/>
          <w:color w:val="auto"/>
          <w:kern w:val="0"/>
          <w:sz w:val="24"/>
        </w:rPr>
        <w:t>否则视为</w:t>
      </w:r>
      <w:r>
        <w:rPr>
          <w:rFonts w:hint="eastAsia" w:ascii="宋体" w:hAnsi="宋体" w:eastAsia="宋体" w:cs="宋体"/>
          <w:b/>
          <w:color w:val="auto"/>
          <w:sz w:val="24"/>
        </w:rPr>
        <w:t>投标文件含有采购人不能接受的附加条件，投标无效</w:t>
      </w:r>
      <w:r>
        <w:rPr>
          <w:rFonts w:hint="eastAsia" w:ascii="宋体" w:hAnsi="宋体" w:eastAsia="宋体" w:cs="宋体"/>
          <w:b/>
          <w:color w:val="auto"/>
          <w:kern w:val="0"/>
          <w:sz w:val="24"/>
          <w:lang w:val="zh-CN"/>
        </w:rPr>
        <w:t>；采购内容未包含在《开标一览表（报价表）》名称栏中，投标人不能作出合理解释的，</w:t>
      </w:r>
      <w:r>
        <w:rPr>
          <w:rFonts w:hint="eastAsia" w:ascii="宋体" w:hAnsi="宋体" w:eastAsia="宋体" w:cs="宋体"/>
          <w:b/>
          <w:color w:val="auto"/>
          <w:kern w:val="0"/>
          <w:sz w:val="24"/>
        </w:rPr>
        <w:t>视为</w:t>
      </w:r>
      <w:r>
        <w:rPr>
          <w:rFonts w:hint="eastAsia" w:ascii="宋体" w:hAnsi="宋体" w:eastAsia="宋体" w:cs="宋体"/>
          <w:b/>
          <w:color w:val="auto"/>
          <w:sz w:val="24"/>
        </w:rPr>
        <w:t>投标文件含有采购人不能接受的附加条件的，投标无效。</w:t>
      </w:r>
    </w:p>
    <w:p>
      <w:pPr>
        <w:snapToGrid w:val="0"/>
        <w:spacing w:line="360" w:lineRule="auto"/>
        <w:ind w:firstLine="482" w:firstLineChars="200"/>
        <w:jc w:val="left"/>
        <w:rPr>
          <w:rFonts w:hint="eastAsia" w:ascii="宋体" w:hAnsi="宋体" w:eastAsia="宋体" w:cs="宋体"/>
          <w:b/>
          <w:bCs/>
          <w:color w:val="auto"/>
          <w:kern w:val="0"/>
          <w:sz w:val="24"/>
          <w:lang w:val="zh-CN"/>
        </w:rPr>
      </w:pPr>
      <w:r>
        <w:rPr>
          <w:rFonts w:hint="eastAsia" w:ascii="宋体" w:hAnsi="宋体" w:eastAsia="宋体" w:cs="宋体"/>
          <w:b/>
          <w:bCs/>
          <w:color w:val="auto"/>
          <w:kern w:val="0"/>
          <w:sz w:val="24"/>
          <w:lang w:val="zh-CN"/>
        </w:rPr>
        <w:t>3、本次投标人填报“折扣”为投标人优惠后实收部分。折扣以“%”的形式填写，如“九折”应填写为“90%”。</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lang w:val="zh-CN"/>
        </w:rPr>
        <w:t>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szCs w:val="22"/>
          <w:lang w:val="en-US" w:eastAsia="zh-CN"/>
        </w:rPr>
        <w:t>5</w:t>
      </w:r>
      <w:r>
        <w:rPr>
          <w:rFonts w:hint="eastAsia" w:ascii="宋体" w:hAnsi="宋体" w:eastAsia="宋体" w:cs="宋体"/>
          <w:color w:val="auto"/>
          <w:kern w:val="0"/>
          <w:sz w:val="24"/>
          <w:szCs w:val="22"/>
          <w:lang w:val="zh-CN"/>
        </w:rPr>
        <w:t>、</w:t>
      </w:r>
      <w:r>
        <w:rPr>
          <w:rFonts w:hint="eastAsia" w:ascii="宋体" w:hAnsi="宋体" w:eastAsia="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宋体" w:hAnsi="宋体" w:eastAsia="宋体" w:cs="宋体"/>
          <w:b/>
          <w:color w:val="auto"/>
          <w:kern w:val="0"/>
          <w:sz w:val="24"/>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w:t>
      </w:r>
      <w:bookmarkStart w:id="400" w:name="_Hlk101259491"/>
      <w:r>
        <w:rPr>
          <w:rFonts w:hint="eastAsia" w:ascii="宋体" w:hAnsi="宋体" w:eastAsia="宋体" w:cs="宋体"/>
          <w:color w:val="auto"/>
          <w:sz w:val="32"/>
          <w:szCs w:val="32"/>
        </w:rPr>
        <w:t>（如果有）</w:t>
      </w:r>
      <w:bookmarkEnd w:id="400"/>
    </w:p>
    <w:p>
      <w:pPr>
        <w:widowControl/>
        <w:spacing w:line="360" w:lineRule="auto"/>
        <w:ind w:firstLine="120" w:firstLineChars="50"/>
        <w:jc w:val="left"/>
        <w:rPr>
          <w:rFonts w:hint="eastAsia" w:ascii="宋体" w:hAnsi="宋体" w:eastAsia="宋体" w:cs="宋体"/>
          <w:b/>
          <w:color w:val="auto"/>
          <w:sz w:val="24"/>
        </w:rPr>
      </w:pPr>
      <w:r>
        <w:rPr>
          <w:rFonts w:hint="eastAsia" w:ascii="宋体" w:hAnsi="宋体" w:eastAsia="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spacing w:line="360" w:lineRule="auto"/>
        <w:ind w:right="420" w:firstLine="3614" w:firstLineChars="1000"/>
        <w:rPr>
          <w:rFonts w:hint="eastAsia" w:ascii="宋体" w:hAnsi="宋体" w:eastAsia="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rPr>
      </w:pPr>
      <w:bookmarkStart w:id="401" w:name="_Toc465665161"/>
      <w:r>
        <w:rPr>
          <w:rFonts w:hint="eastAsia" w:ascii="宋体" w:hAnsi="宋体" w:eastAsia="宋体" w:cs="宋体"/>
          <w:color w:val="auto"/>
        </w:rPr>
        <w:t>附件</w:t>
      </w:r>
      <w:bookmarkEnd w:id="401"/>
    </w:p>
    <w:p>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pPr>
        <w:spacing w:line="360" w:lineRule="auto"/>
        <w:jc w:val="center"/>
        <w:rPr>
          <w:rFonts w:hint="eastAsia" w:ascii="宋体" w:hAnsi="宋体" w:eastAsia="宋体" w:cs="宋体"/>
          <w:b/>
          <w:color w:val="auto"/>
          <w:spacing w:val="6"/>
          <w:sz w:val="32"/>
          <w:szCs w:val="32"/>
        </w:rPr>
      </w:pPr>
      <w:bookmarkStart w:id="402" w:name="OLE_LINK14"/>
      <w:bookmarkStart w:id="403" w:name="OLE_LINK13"/>
      <w:r>
        <w:rPr>
          <w:rFonts w:hint="eastAsia" w:ascii="宋体" w:hAnsi="宋体" w:eastAsia="宋体" w:cs="宋体"/>
          <w:b/>
          <w:color w:val="auto"/>
          <w:spacing w:val="6"/>
          <w:sz w:val="32"/>
          <w:szCs w:val="32"/>
        </w:rPr>
        <w:t>残疾人福利性单位声明函</w:t>
      </w:r>
    </w:p>
    <w:bookmarkEnd w:id="402"/>
    <w:bookmarkEnd w:id="403"/>
    <w:p>
      <w:pPr>
        <w:spacing w:line="360" w:lineRule="auto"/>
        <w:rPr>
          <w:rFonts w:hint="eastAsia" w:ascii="宋体" w:hAnsi="宋体" w:eastAsia="宋体" w:cs="宋体"/>
          <w:b/>
          <w:color w:val="auto"/>
          <w:spacing w:val="6"/>
          <w:sz w:val="30"/>
          <w:szCs w:val="30"/>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lang w:eastAsia="zh-CN"/>
        </w:rPr>
        <w:t>杭州图书馆</w:t>
      </w:r>
      <w:r>
        <w:rPr>
          <w:rFonts w:hint="eastAsia" w:ascii="宋体" w:hAnsi="宋体" w:eastAsia="宋体" w:cs="宋体"/>
          <w:color w:val="auto"/>
          <w:sz w:val="24"/>
        </w:rPr>
        <w:t>_单位的_</w:t>
      </w:r>
      <w:r>
        <w:rPr>
          <w:rFonts w:hint="eastAsia" w:ascii="宋体" w:hAnsi="宋体" w:eastAsia="宋体" w:cs="宋体"/>
          <w:color w:val="auto"/>
          <w:sz w:val="24"/>
          <w:u w:val="single"/>
          <w:lang w:eastAsia="zh-CN"/>
        </w:rPr>
        <w:t>杭州图书馆2024年度</w:t>
      </w:r>
      <w:r>
        <w:rPr>
          <w:rFonts w:hint="eastAsia" w:ascii="宋体" w:hAnsi="宋体" w:cs="宋体"/>
          <w:color w:val="auto"/>
          <w:sz w:val="24"/>
          <w:u w:val="single"/>
          <w:lang w:eastAsia="zh-CN"/>
        </w:rPr>
        <w:t>中文图书（人文类、艺术类、财经类、文学类、科技类、生活类）</w:t>
      </w:r>
      <w:r>
        <w:rPr>
          <w:rFonts w:hint="eastAsia" w:ascii="宋体" w:hAnsi="宋体" w:eastAsia="宋体" w:cs="宋体"/>
          <w:color w:val="auto"/>
          <w:sz w:val="24"/>
          <w:u w:val="single"/>
          <w:lang w:eastAsia="zh-CN"/>
        </w:rPr>
        <w:t>采购项目</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p>
    <w:p>
      <w:pPr>
        <w:spacing w:line="360" w:lineRule="auto"/>
        <w:ind w:firstLine="480" w:firstLineChars="200"/>
        <w:rPr>
          <w:rFonts w:hint="eastAsia" w:ascii="宋体" w:hAnsi="宋体" w:eastAsia="宋体" w:cs="宋体"/>
          <w:color w:val="auto"/>
          <w:sz w:val="24"/>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jc w:val="center"/>
        <w:rPr>
          <w:rFonts w:hint="eastAsia" w:ascii="宋体" w:hAnsi="宋体" w:eastAsia="宋体" w:cs="宋体"/>
          <w:b/>
          <w:bCs/>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center"/>
        <w:rPr>
          <w:rFonts w:hint="eastAsia" w:ascii="宋体" w:hAnsi="宋体" w:eastAsia="宋体" w:cs="宋体"/>
          <w:b/>
          <w:color w:val="auto"/>
          <w:spacing w:val="6"/>
          <w:sz w:val="32"/>
          <w:szCs w:val="32"/>
        </w:rPr>
      </w:pPr>
    </w:p>
    <w:p>
      <w:pPr>
        <w:spacing w:line="360" w:lineRule="auto"/>
        <w:jc w:val="left"/>
        <w:rPr>
          <w:rFonts w:hint="eastAsia" w:ascii="宋体" w:hAnsi="宋体" w:eastAsia="宋体" w:cs="宋体"/>
          <w:b/>
          <w:color w:val="auto"/>
          <w:spacing w:val="6"/>
          <w:sz w:val="32"/>
          <w:szCs w:val="32"/>
        </w:rPr>
      </w:pPr>
    </w:p>
    <w:p>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pPr>
        <w:spacing w:line="360" w:lineRule="auto"/>
        <w:rPr>
          <w:rFonts w:hint="eastAsia" w:ascii="宋体" w:hAnsi="宋体" w:eastAsia="宋体" w:cs="宋体"/>
          <w:color w:val="auto"/>
          <w:sz w:val="24"/>
          <w:u w:val="single"/>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lang w:eastAsia="zh-CN"/>
        </w:rPr>
        <w:t>杭州图书馆</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东方经纬项目管理有限公司</w:t>
      </w:r>
      <w:r>
        <w:rPr>
          <w:rFonts w:hint="eastAsia" w:ascii="宋体" w:hAnsi="宋体" w:eastAsia="宋体" w:cs="宋体"/>
          <w:color w:val="auto"/>
          <w:sz w:val="24"/>
          <w:u w:val="single"/>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firstLine="494"/>
        <w:rPr>
          <w:rFonts w:hint="eastAsia" w:ascii="宋体" w:hAnsi="宋体" w:eastAsia="宋体" w:cs="宋体"/>
          <w:color w:val="auto"/>
          <w:sz w:val="24"/>
        </w:rPr>
      </w:pPr>
    </w:p>
    <w:p>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pPr>
        <w:rPr>
          <w:rFonts w:hint="eastAsia" w:ascii="宋体" w:hAnsi="宋体" w:eastAsia="宋体" w:cs="宋体"/>
          <w:color w:val="auto"/>
          <w:sz w:val="24"/>
        </w:rPr>
      </w:pPr>
      <w:r>
        <w:rPr>
          <w:rFonts w:hint="eastAsia" w:ascii="宋体" w:hAnsi="宋体" w:eastAsia="宋体" w:cs="宋体"/>
          <w:b/>
          <w:bCs/>
          <w:color w:val="auto"/>
          <w:sz w:val="24"/>
        </w:rPr>
        <w:t>附：</w:t>
      </w:r>
    </w:p>
    <w:p>
      <w:pPr>
        <w:spacing w:line="360" w:lineRule="auto"/>
        <w:rPr>
          <w:rFonts w:hint="eastAsia" w:ascii="宋体" w:hAnsi="宋体" w:eastAsia="宋体" w:cs="宋体"/>
          <w:bCs/>
          <w:color w:val="auto"/>
          <w:sz w:val="24"/>
        </w:rPr>
      </w:pPr>
      <w:r>
        <w:rPr>
          <w:rFonts w:hint="eastAsia" w:ascii="宋体" w:hAnsi="宋体" w:eastAsia="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rPr>
        <w:t>投标单位法定名称章（印模）                投标单位“XX专用章”（印模）</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jc w:val="center"/>
        <w:outlineLvl w:val="0"/>
        <w:rPr>
          <w:rFonts w:hint="eastAsia" w:ascii="宋体" w:hAnsi="宋体" w:eastAsia="宋体" w:cs="宋体"/>
          <w:b/>
          <w:color w:val="auto"/>
          <w:kern w:val="0"/>
          <w:sz w:val="32"/>
          <w:szCs w:val="32"/>
        </w:rPr>
      </w:pPr>
    </w:p>
    <w:p>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附件5：联合协议</w:t>
      </w:r>
    </w:p>
    <w:p>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投标。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pPr>
        <w:snapToGrid w:val="0"/>
        <w:spacing w:line="360" w:lineRule="auto"/>
        <w:ind w:firstLine="576"/>
        <w:rPr>
          <w:rFonts w:hint="eastAsia" w:ascii="宋体" w:hAnsi="宋体" w:eastAsia="宋体" w:cs="宋体"/>
          <w:color w:val="auto"/>
          <w:kern w:val="0"/>
          <w:sz w:val="24"/>
          <w:lang w:val="zh-CN"/>
        </w:rPr>
      </w:pPr>
      <w:bookmarkStart w:id="404" w:name="_Hlk101134295"/>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bookmarkEnd w:id="404"/>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提供的全部货物由小微企业制造，其合同份额占到合同总金额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snapToGrid w:val="0"/>
        <w:spacing w:line="360" w:lineRule="auto"/>
        <w:jc w:val="center"/>
        <w:outlineLvl w:val="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附件6：分包意向协议</w:t>
      </w:r>
    </w:p>
    <w:p>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lang w:eastAsia="zh-CN"/>
        </w:rPr>
        <w:t>杭州图书馆2024年度</w:t>
      </w:r>
      <w:r>
        <w:rPr>
          <w:rFonts w:hint="eastAsia" w:ascii="宋体" w:hAnsi="宋体" w:cs="宋体"/>
          <w:color w:val="auto"/>
          <w:sz w:val="24"/>
          <w:lang w:eastAsia="zh-CN"/>
        </w:rPr>
        <w:t>中文图书（人文类、艺术类、财经类、文学类、科技类、生活类）</w:t>
      </w:r>
      <w:r>
        <w:rPr>
          <w:rFonts w:hint="eastAsia" w:ascii="宋体" w:hAnsi="宋体" w:eastAsia="宋体" w:cs="宋体"/>
          <w:color w:val="auto"/>
          <w:sz w:val="24"/>
          <w:lang w:eastAsia="zh-CN"/>
        </w:rPr>
        <w:t>采购项目</w:t>
      </w:r>
      <w:r>
        <w:rPr>
          <w:rFonts w:hint="eastAsia" w:ascii="宋体" w:hAnsi="宋体" w:eastAsia="宋体" w:cs="宋体"/>
          <w:color w:val="auto"/>
          <w:sz w:val="24"/>
        </w:rPr>
        <w:t>【招标编号：</w:t>
      </w:r>
      <w:r>
        <w:rPr>
          <w:rFonts w:hint="eastAsia" w:ascii="宋体" w:hAnsi="宋体" w:cs="宋体"/>
          <w:color w:val="auto"/>
          <w:sz w:val="24"/>
          <w:lang w:eastAsia="zh-CN"/>
        </w:rPr>
        <w:t>DFJW2024-SC-013</w:t>
      </w:r>
      <w:r>
        <w:rPr>
          <w:rFonts w:hint="eastAsia" w:ascii="宋体" w:hAnsi="宋体" w:eastAsia="宋体" w:cs="宋体"/>
          <w:color w:val="auto"/>
          <w:sz w:val="24"/>
        </w:rPr>
        <w:t>】</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pPr>
        <w:pStyle w:val="5"/>
        <w:ind w:left="664" w:leftChars="316" w:firstLine="229"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（分包供应商X,……）提供的货物全部由小微企业制造，</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w:t>
      </w:r>
      <w:bookmarkStart w:id="405" w:name="_Hlk101133173"/>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bookmarkEnd w:id="405"/>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w:t>
      </w:r>
    </w:p>
    <w:p>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分包供应商名称(电子签名/公章)：</w:t>
      </w:r>
    </w:p>
    <w:p>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autoSpaceDE w:val="0"/>
        <w:autoSpaceDN w:val="0"/>
        <w:jc w:val="center"/>
        <w:rPr>
          <w:rFonts w:hint="eastAsia" w:ascii="宋体" w:hAnsi="宋体" w:eastAsia="宋体" w:cs="宋体"/>
          <w:b/>
          <w:color w:val="auto"/>
          <w:spacing w:val="6"/>
          <w:sz w:val="32"/>
          <w:szCs w:val="32"/>
        </w:rPr>
      </w:pPr>
    </w:p>
    <w:p>
      <w:pPr>
        <w:widowControl/>
        <w:adjustRightInd/>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snapToGrid w:val="0"/>
        <w:spacing w:line="360" w:lineRule="auto"/>
        <w:outlineLvl w:val="0"/>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附件7：中小企业声明函</w:t>
      </w:r>
    </w:p>
    <w:p>
      <w:pPr>
        <w:spacing w:line="360" w:lineRule="auto"/>
        <w:jc w:val="center"/>
        <w:rPr>
          <w:rFonts w:hint="eastAsia" w:ascii="宋体" w:hAnsi="宋体" w:eastAsia="宋体" w:cs="宋体"/>
          <w:color w:val="auto"/>
          <w:sz w:val="24"/>
          <w:u w:val="single"/>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lang w:eastAsia="zh-CN"/>
        </w:rPr>
        <w:t>杭州图书馆</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的 </w:t>
      </w:r>
      <w:r>
        <w:rPr>
          <w:rFonts w:hint="eastAsia" w:ascii="宋体" w:hAnsi="宋体" w:eastAsia="宋体" w:cs="宋体"/>
          <w:color w:val="auto"/>
          <w:sz w:val="24"/>
          <w:u w:val="single"/>
          <w:lang w:eastAsia="zh-CN"/>
        </w:rPr>
        <w:t>杭州图书馆2024年度</w:t>
      </w:r>
      <w:r>
        <w:rPr>
          <w:rFonts w:hint="eastAsia" w:ascii="宋体" w:hAnsi="宋体" w:cs="宋体"/>
          <w:color w:val="auto"/>
          <w:sz w:val="24"/>
          <w:u w:val="single"/>
          <w:lang w:eastAsia="zh-CN"/>
        </w:rPr>
        <w:t>中文图书（人文类、艺术类、财经类、文学类、科技类、生活类）</w:t>
      </w:r>
      <w:r>
        <w:rPr>
          <w:rFonts w:hint="eastAsia" w:ascii="宋体" w:hAnsi="宋体" w:eastAsia="宋体" w:cs="宋体"/>
          <w:color w:val="auto"/>
          <w:sz w:val="24"/>
          <w:u w:val="single"/>
          <w:lang w:eastAsia="zh-CN"/>
        </w:rPr>
        <w:t>采购项目</w:t>
      </w:r>
      <w:r>
        <w:rPr>
          <w:rFonts w:hint="eastAsia" w:ascii="宋体" w:hAnsi="宋体" w:eastAsia="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 xml:space="preserve"> ，属于 </w:t>
      </w:r>
      <w:r>
        <w:rPr>
          <w:rFonts w:hint="eastAsia" w:ascii="宋体" w:hAnsi="宋体" w:eastAsia="宋体" w:cs="宋体"/>
          <w:color w:val="auto"/>
          <w:sz w:val="24"/>
          <w:u w:val="single"/>
        </w:rPr>
        <w:t>（采购文件中明确的所属行业）</w:t>
      </w:r>
      <w:r>
        <w:rPr>
          <w:rFonts w:hint="eastAsia" w:ascii="宋体" w:hAnsi="宋体" w:eastAsia="宋体" w:cs="宋体"/>
          <w:color w:val="auto"/>
          <w:sz w:val="24"/>
        </w:rPr>
        <w:t>行业 ；制造商为</w:t>
      </w:r>
      <w:r>
        <w:rPr>
          <w:rFonts w:hint="eastAsia" w:ascii="宋体" w:hAnsi="宋体" w:eastAsia="宋体" w:cs="宋体"/>
          <w:color w:val="auto"/>
          <w:sz w:val="24"/>
          <w:u w:val="single"/>
        </w:rPr>
        <w:t xml:space="preserve"> （企业名称）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w:t>
      </w:r>
      <w:r>
        <w:rPr>
          <w:rFonts w:hint="eastAsia" w:ascii="宋体" w:hAnsi="宋体" w:eastAsia="宋体" w:cs="宋体"/>
          <w:color w:val="auto"/>
          <w:sz w:val="24"/>
        </w:rPr>
        <w:t xml:space="preserve">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rPr>
      </w:pPr>
      <w:r>
        <w:rPr>
          <w:rFonts w:hint="eastAsia" w:ascii="宋体" w:hAnsi="宋体" w:eastAsia="宋体" w:cs="宋体"/>
          <w:color w:val="auto"/>
          <w:kern w:val="0"/>
          <w:sz w:val="24"/>
          <w:lang w:val="zh-CN"/>
        </w:rPr>
        <w:t>投标人名称(电子签名)：</w:t>
      </w:r>
    </w:p>
    <w:p>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w:t>
      </w:r>
      <w:r>
        <w:rPr>
          <w:rFonts w:hint="eastAsia" w:ascii="宋体" w:hAnsi="宋体" w:eastAsia="宋体" w:cs="宋体"/>
          <w:color w:val="auto"/>
          <w:kern w:val="0"/>
          <w:sz w:val="24"/>
        </w:rPr>
        <w:t xml:space="preserve">：  年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p>
    <w:p>
      <w:pPr>
        <w:spacing w:line="360" w:lineRule="auto"/>
        <w:rPr>
          <w:rFonts w:hint="eastAsia" w:ascii="宋体" w:hAnsi="宋体" w:eastAsia="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131845147"/>
    <w:bookmarkStart w:id="407" w:name="_Toc91899912"/>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BC62A6"/>
    <w:multiLevelType w:val="multilevel"/>
    <w:tmpl w:val="28BC62A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2VjMzk5MmI4MjUwYTk2MWY5ZTEzNDhlYTg1Y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02EC4"/>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922DB"/>
    <w:rsid w:val="060E5941"/>
    <w:rsid w:val="06110FAF"/>
    <w:rsid w:val="06373F1C"/>
    <w:rsid w:val="06493CA7"/>
    <w:rsid w:val="065A6178"/>
    <w:rsid w:val="066F1CF3"/>
    <w:rsid w:val="06930BB8"/>
    <w:rsid w:val="07245D42"/>
    <w:rsid w:val="07264C62"/>
    <w:rsid w:val="0779354C"/>
    <w:rsid w:val="08061376"/>
    <w:rsid w:val="08452D77"/>
    <w:rsid w:val="085347FC"/>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8D27F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31267"/>
    <w:rsid w:val="0D827401"/>
    <w:rsid w:val="0D84094E"/>
    <w:rsid w:val="0D8A00E9"/>
    <w:rsid w:val="0D8D589E"/>
    <w:rsid w:val="0DA01C73"/>
    <w:rsid w:val="0DD63300"/>
    <w:rsid w:val="0DF50604"/>
    <w:rsid w:val="0DF702FE"/>
    <w:rsid w:val="0E060E51"/>
    <w:rsid w:val="0E5604B2"/>
    <w:rsid w:val="0E5D35C4"/>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B5141B"/>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33117D"/>
    <w:rsid w:val="167A5DA8"/>
    <w:rsid w:val="16A8729C"/>
    <w:rsid w:val="16B33777"/>
    <w:rsid w:val="16BC70A7"/>
    <w:rsid w:val="16C6339E"/>
    <w:rsid w:val="172F2D79"/>
    <w:rsid w:val="17557BEF"/>
    <w:rsid w:val="17D349C1"/>
    <w:rsid w:val="18244F26"/>
    <w:rsid w:val="1830729E"/>
    <w:rsid w:val="1870062C"/>
    <w:rsid w:val="18817102"/>
    <w:rsid w:val="18830A15"/>
    <w:rsid w:val="18852B28"/>
    <w:rsid w:val="188B5321"/>
    <w:rsid w:val="193C2941"/>
    <w:rsid w:val="198C04CB"/>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659AC"/>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5F3F8C"/>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A4F8F"/>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9F2106"/>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574312"/>
    <w:rsid w:val="39636459"/>
    <w:rsid w:val="396B7F6C"/>
    <w:rsid w:val="39B417A9"/>
    <w:rsid w:val="39FC5695"/>
    <w:rsid w:val="3A006D8E"/>
    <w:rsid w:val="3A3651E5"/>
    <w:rsid w:val="3A744481"/>
    <w:rsid w:val="3A8C7BEF"/>
    <w:rsid w:val="3A906246"/>
    <w:rsid w:val="3B2349B7"/>
    <w:rsid w:val="3B616CFF"/>
    <w:rsid w:val="3B6259F6"/>
    <w:rsid w:val="3B905E0F"/>
    <w:rsid w:val="3B976654"/>
    <w:rsid w:val="3BC01EFC"/>
    <w:rsid w:val="3BCA786A"/>
    <w:rsid w:val="3BCF7C92"/>
    <w:rsid w:val="3BD31E2F"/>
    <w:rsid w:val="3BF15831"/>
    <w:rsid w:val="3C105946"/>
    <w:rsid w:val="3C471448"/>
    <w:rsid w:val="3C5F759A"/>
    <w:rsid w:val="3C6C525A"/>
    <w:rsid w:val="3C8D0B22"/>
    <w:rsid w:val="3CCE23CB"/>
    <w:rsid w:val="3CD17D17"/>
    <w:rsid w:val="3D3C7F39"/>
    <w:rsid w:val="3D440F09"/>
    <w:rsid w:val="3D4504A0"/>
    <w:rsid w:val="3D8734BB"/>
    <w:rsid w:val="3D9A11D4"/>
    <w:rsid w:val="3DA16D89"/>
    <w:rsid w:val="3DA364BE"/>
    <w:rsid w:val="3DC9311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20165"/>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706C5"/>
    <w:rsid w:val="4809698F"/>
    <w:rsid w:val="4811697D"/>
    <w:rsid w:val="487A3E25"/>
    <w:rsid w:val="488B5503"/>
    <w:rsid w:val="48937E21"/>
    <w:rsid w:val="489A0361"/>
    <w:rsid w:val="48B94FF3"/>
    <w:rsid w:val="48C26CC5"/>
    <w:rsid w:val="48E37AAB"/>
    <w:rsid w:val="48FD4B4C"/>
    <w:rsid w:val="490A68E0"/>
    <w:rsid w:val="491055FE"/>
    <w:rsid w:val="493D00FA"/>
    <w:rsid w:val="495F5B3E"/>
    <w:rsid w:val="496F77D7"/>
    <w:rsid w:val="497654FD"/>
    <w:rsid w:val="49B64211"/>
    <w:rsid w:val="49F6167F"/>
    <w:rsid w:val="4A064FA0"/>
    <w:rsid w:val="4A16615C"/>
    <w:rsid w:val="4A4424D7"/>
    <w:rsid w:val="4AB82D0F"/>
    <w:rsid w:val="4AEB7664"/>
    <w:rsid w:val="4AFD7C19"/>
    <w:rsid w:val="4B0567D1"/>
    <w:rsid w:val="4B236AAE"/>
    <w:rsid w:val="4B2C0426"/>
    <w:rsid w:val="4B707271"/>
    <w:rsid w:val="4B9739F7"/>
    <w:rsid w:val="4BB41864"/>
    <w:rsid w:val="4BEE2503"/>
    <w:rsid w:val="4C245A30"/>
    <w:rsid w:val="4CB6685F"/>
    <w:rsid w:val="4CC367FE"/>
    <w:rsid w:val="4D077F3C"/>
    <w:rsid w:val="4D123355"/>
    <w:rsid w:val="4D2A3B31"/>
    <w:rsid w:val="4D312C52"/>
    <w:rsid w:val="4D905305"/>
    <w:rsid w:val="4D964A72"/>
    <w:rsid w:val="4D9C1254"/>
    <w:rsid w:val="4DD92F40"/>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7C7D68"/>
    <w:rsid w:val="52977FD4"/>
    <w:rsid w:val="52A25790"/>
    <w:rsid w:val="52A96B6F"/>
    <w:rsid w:val="52B45975"/>
    <w:rsid w:val="52D94AA4"/>
    <w:rsid w:val="52EA3A62"/>
    <w:rsid w:val="52F50BB8"/>
    <w:rsid w:val="53097272"/>
    <w:rsid w:val="53544462"/>
    <w:rsid w:val="5397158E"/>
    <w:rsid w:val="53CC4660"/>
    <w:rsid w:val="54013861"/>
    <w:rsid w:val="54487265"/>
    <w:rsid w:val="54493DF7"/>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547D5"/>
    <w:rsid w:val="55DC29B6"/>
    <w:rsid w:val="55DD4241"/>
    <w:rsid w:val="562E36B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066EA6"/>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7CB5"/>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743F4"/>
    <w:rsid w:val="619F7F92"/>
    <w:rsid w:val="61F94C26"/>
    <w:rsid w:val="62000E56"/>
    <w:rsid w:val="624F3E49"/>
    <w:rsid w:val="62632286"/>
    <w:rsid w:val="62885958"/>
    <w:rsid w:val="62F40B65"/>
    <w:rsid w:val="62FC2CFE"/>
    <w:rsid w:val="63024505"/>
    <w:rsid w:val="634F4A52"/>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CF7498"/>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17648"/>
    <w:rsid w:val="69CC2BFF"/>
    <w:rsid w:val="69FD55B8"/>
    <w:rsid w:val="6A0B1C62"/>
    <w:rsid w:val="6A2406C8"/>
    <w:rsid w:val="6ADE0BD1"/>
    <w:rsid w:val="6AE96859"/>
    <w:rsid w:val="6B147746"/>
    <w:rsid w:val="6B24787C"/>
    <w:rsid w:val="6B573233"/>
    <w:rsid w:val="6B5B6274"/>
    <w:rsid w:val="6B935D53"/>
    <w:rsid w:val="6BB00EF5"/>
    <w:rsid w:val="6C196F71"/>
    <w:rsid w:val="6C1F3EF7"/>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C2368"/>
    <w:rsid w:val="6E8335BD"/>
    <w:rsid w:val="6E8E12EF"/>
    <w:rsid w:val="6E972936"/>
    <w:rsid w:val="6ED446C5"/>
    <w:rsid w:val="6F2A7D94"/>
    <w:rsid w:val="6F4557D0"/>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B666A4"/>
    <w:rsid w:val="73AD0F2F"/>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D34B3"/>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772BBC"/>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8"/>
    <w:qFormat/>
    <w:uiPriority w:val="0"/>
    <w:pPr>
      <w:adjustRightInd/>
      <w:spacing w:after="120" w:line="240" w:lineRule="auto"/>
      <w:ind w:left="420" w:leftChars="200" w:firstLine="210"/>
    </w:pPr>
    <w:rPr>
      <w:sz w:val="21"/>
    </w:rPr>
  </w:style>
  <w:style w:type="paragraph" w:styleId="3">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7">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autoRedefine/>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29"/>
    <w:autoRedefine/>
    <w:qFormat/>
    <w:uiPriority w:val="0"/>
    <w:rPr>
      <w:lang w:val="zh-CN"/>
    </w:rPr>
  </w:style>
  <w:style w:type="paragraph" w:styleId="39">
    <w:name w:val="Balloon Text"/>
    <w:basedOn w:val="1"/>
    <w:link w:val="185"/>
    <w:autoRedefine/>
    <w:qFormat/>
    <w:uiPriority w:val="0"/>
    <w:rPr>
      <w:sz w:val="18"/>
      <w:szCs w:val="18"/>
    </w:rPr>
  </w:style>
  <w:style w:type="paragraph" w:styleId="40">
    <w:name w:val="footer"/>
    <w:basedOn w:val="1"/>
    <w:link w:val="380"/>
    <w:autoRedefine/>
    <w:qFormat/>
    <w:uiPriority w:val="99"/>
    <w:pPr>
      <w:tabs>
        <w:tab w:val="center" w:pos="4153"/>
        <w:tab w:val="right" w:pos="8306"/>
      </w:tabs>
      <w:snapToGrid w:val="0"/>
      <w:jc w:val="left"/>
    </w:pPr>
    <w:rPr>
      <w:sz w:val="18"/>
      <w:szCs w:val="18"/>
    </w:rPr>
  </w:style>
  <w:style w:type="paragraph" w:styleId="41">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299"/>
    <w:autoRedefine/>
    <w:qFormat/>
    <w:uiPriority w:val="0"/>
    <w:pPr>
      <w:spacing w:after="120" w:line="480" w:lineRule="auto"/>
    </w:pPr>
  </w:style>
  <w:style w:type="paragraph" w:styleId="57">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autoRedefine/>
    <w:qFormat/>
    <w:uiPriority w:val="0"/>
    <w:rPr>
      <w:b/>
      <w:bCs/>
    </w:rPr>
  </w:style>
  <w:style w:type="paragraph" w:styleId="61">
    <w:name w:val="Body Text First Indent"/>
    <w:basedOn w:val="25"/>
    <w:link w:val="318"/>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60"/>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2"/>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7"/>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10"/>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9"/>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2"/>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7"/>
    <w:autoRedefine/>
    <w:qFormat/>
    <w:uiPriority w:val="0"/>
    <w:rPr>
      <w:rFonts w:ascii="黑体" w:hAnsi="Courier New" w:eastAsia="黑体"/>
    </w:rPr>
  </w:style>
  <w:style w:type="character" w:customStyle="1" w:styleId="299">
    <w:name w:val="正文文本 2 Char1"/>
    <w:link w:val="56"/>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8"/>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1"/>
    <w:autoRedefine/>
    <w:qFormat/>
    <w:uiPriority w:val="0"/>
    <w:rPr>
      <w:b/>
      <w:bCs/>
      <w:kern w:val="2"/>
      <w:sz w:val="24"/>
      <w:szCs w:val="24"/>
    </w:rPr>
  </w:style>
  <w:style w:type="character" w:customStyle="1" w:styleId="305">
    <w:name w:val="正文文本缩进 2 Char"/>
    <w:link w:val="37"/>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50"/>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1"/>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8"/>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3"/>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autoRedefine/>
    <w:qFormat/>
    <w:uiPriority w:val="0"/>
    <w:rPr>
      <w:kern w:val="2"/>
      <w:sz w:val="21"/>
      <w:szCs w:val="24"/>
    </w:rPr>
  </w:style>
  <w:style w:type="character" w:customStyle="1" w:styleId="342">
    <w:name w:val="签名 Char"/>
    <w:link w:val="42"/>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2"/>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3"/>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40"/>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1"/>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7"/>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6"/>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9"/>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33363</Words>
  <Characters>35195</Characters>
  <Lines>279</Lines>
  <Paragraphs>78</Paragraphs>
  <TotalTime>39</TotalTime>
  <ScaleCrop>false</ScaleCrop>
  <LinksUpToDate>false</LinksUpToDate>
  <CharactersWithSpaces>39537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叶叶酱、</cp:lastModifiedBy>
  <cp:lastPrinted>2021-12-27T11:06:00Z</cp:lastPrinted>
  <dcterms:modified xsi:type="dcterms:W3CDTF">2024-06-13T08:57:44Z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