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38E16">
      <w:pPr>
        <w:adjustRightInd/>
        <w:spacing w:line="360" w:lineRule="auto"/>
        <w:jc w:val="center"/>
        <w:rPr>
          <w:rFonts w:ascii="宋体" w:hAnsi="宋体" w:cs="宋体"/>
          <w:color w:val="auto"/>
          <w:sz w:val="48"/>
          <w:szCs w:val="48"/>
          <w:highlight w:val="none"/>
        </w:rPr>
      </w:pPr>
    </w:p>
    <w:p w14:paraId="0A2E5643">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2024年西湖区道路端头交通安全治理绿化工程</w:t>
      </w:r>
    </w:p>
    <w:p w14:paraId="72F0BD1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竞争性磋商文件 </w:t>
      </w:r>
    </w:p>
    <w:p w14:paraId="5D3B4CC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 （电子交易）</w:t>
      </w:r>
    </w:p>
    <w:p w14:paraId="34B5AF28">
      <w:pPr>
        <w:adjustRightInd/>
        <w:spacing w:line="360" w:lineRule="auto"/>
        <w:rPr>
          <w:rFonts w:ascii="宋体" w:hAnsi="宋体" w:cs="宋体"/>
          <w:color w:val="auto"/>
          <w:sz w:val="28"/>
          <w:szCs w:val="20"/>
          <w:highlight w:val="none"/>
        </w:rPr>
      </w:pPr>
    </w:p>
    <w:p w14:paraId="0C74677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lang w:val="en-US" w:eastAsia="zh-CN"/>
        </w:rPr>
        <w:t xml:space="preserve"> </w:t>
      </w:r>
      <w:r>
        <w:rPr>
          <w:rFonts w:hint="eastAsia" w:ascii="宋体" w:hAnsi="宋体" w:cs="宋体"/>
          <w:b/>
          <w:color w:val="auto"/>
          <w:sz w:val="44"/>
          <w:szCs w:val="44"/>
          <w:highlight w:val="none"/>
        </w:rPr>
        <w:drawing>
          <wp:inline distT="0" distB="0" distL="114300" distR="114300">
            <wp:extent cx="1195705" cy="1585595"/>
            <wp:effectExtent l="0" t="0" r="444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1195705" cy="1585595"/>
                    </a:xfrm>
                    <a:prstGeom prst="rect">
                      <a:avLst/>
                    </a:prstGeom>
                    <a:noFill/>
                    <a:ln>
                      <a:noFill/>
                    </a:ln>
                  </pic:spPr>
                </pic:pic>
              </a:graphicData>
            </a:graphic>
          </wp:inline>
        </w:drawing>
      </w:r>
    </w:p>
    <w:p w14:paraId="1176C11D">
      <w:pPr>
        <w:spacing w:line="360" w:lineRule="auto"/>
        <w:jc w:val="center"/>
        <w:rPr>
          <w:rFonts w:ascii="宋体" w:hAnsi="宋体" w:cs="宋体"/>
          <w:color w:val="auto"/>
          <w:sz w:val="24"/>
          <w:highlight w:val="none"/>
        </w:rPr>
      </w:pPr>
    </w:p>
    <w:p w14:paraId="352E5266">
      <w:pPr>
        <w:snapToGrid w:val="0"/>
        <w:spacing w:line="360" w:lineRule="auto"/>
        <w:ind w:firstLine="3300" w:firstLineChars="1100"/>
        <w:rPr>
          <w:rFonts w:hint="eastAsia" w:ascii="宋体" w:hAnsi="宋体" w:eastAsia="宋体" w:cs="宋体"/>
          <w:bCs/>
          <w:color w:val="auto"/>
          <w:sz w:val="30"/>
          <w:szCs w:val="30"/>
          <w:highlight w:val="none"/>
          <w:u w:val="single"/>
          <w:lang w:eastAsia="zh-CN"/>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lang w:eastAsia="zh-CN"/>
        </w:rPr>
        <w:t>DFJW2024-XH-020</w:t>
      </w:r>
    </w:p>
    <w:p w14:paraId="4C3A7FE4">
      <w:pPr>
        <w:pStyle w:val="62"/>
        <w:spacing w:line="360" w:lineRule="auto"/>
        <w:ind w:firstLine="420"/>
        <w:rPr>
          <w:rFonts w:cs="宋体"/>
          <w:color w:val="auto"/>
          <w:highlight w:val="none"/>
        </w:rPr>
      </w:pPr>
    </w:p>
    <w:p w14:paraId="60F8330D">
      <w:pPr>
        <w:pStyle w:val="62"/>
        <w:spacing w:line="360" w:lineRule="auto"/>
        <w:ind w:firstLine="420"/>
        <w:rPr>
          <w:rFonts w:cs="宋体"/>
          <w:color w:val="auto"/>
          <w:highlight w:val="none"/>
        </w:rPr>
      </w:pPr>
    </w:p>
    <w:p w14:paraId="04A76477">
      <w:pPr>
        <w:pStyle w:val="62"/>
        <w:spacing w:line="360" w:lineRule="auto"/>
        <w:ind w:firstLine="420"/>
        <w:rPr>
          <w:rFonts w:cs="宋体"/>
          <w:color w:val="auto"/>
          <w:highlight w:val="none"/>
        </w:rPr>
      </w:pPr>
    </w:p>
    <w:p w14:paraId="5A49AF56">
      <w:pPr>
        <w:pStyle w:val="62"/>
        <w:spacing w:line="360" w:lineRule="auto"/>
        <w:ind w:firstLine="420"/>
        <w:rPr>
          <w:rFonts w:cs="宋体"/>
          <w:color w:val="auto"/>
          <w:highlight w:val="none"/>
        </w:rPr>
      </w:pPr>
    </w:p>
    <w:p w14:paraId="2433740A">
      <w:pPr>
        <w:snapToGrid w:val="0"/>
        <w:spacing w:line="360" w:lineRule="auto"/>
        <w:jc w:val="center"/>
        <w:rPr>
          <w:rFonts w:ascii="宋体" w:hAnsi="宋体" w:cs="宋体"/>
          <w:bCs/>
          <w:color w:val="auto"/>
          <w:sz w:val="30"/>
          <w:szCs w:val="30"/>
          <w:highlight w:val="none"/>
        </w:rPr>
      </w:pPr>
      <w:r>
        <w:rPr>
          <w:rFonts w:hint="eastAsia" w:ascii="宋体" w:hAnsi="宋体" w:cs="宋体"/>
          <w:bCs/>
          <w:color w:val="auto"/>
          <w:sz w:val="30"/>
          <w:szCs w:val="30"/>
          <w:highlight w:val="none"/>
          <w:lang w:val="en-US" w:eastAsia="zh-CN"/>
        </w:rPr>
        <w:t xml:space="preserve">      </w:t>
      </w:r>
      <w:r>
        <w:rPr>
          <w:rFonts w:hint="eastAsia" w:ascii="宋体" w:hAnsi="宋体" w:cs="宋体"/>
          <w:bCs/>
          <w:color w:val="auto"/>
          <w:sz w:val="30"/>
          <w:szCs w:val="30"/>
          <w:highlight w:val="none"/>
        </w:rPr>
        <w:t>采购人：杭州市西湖区综合行政执法局</w:t>
      </w:r>
      <w:r>
        <w:rPr>
          <w:rFonts w:hint="eastAsia" w:ascii="宋体" w:hAnsi="宋体" w:cs="宋体"/>
          <w:bCs/>
          <w:color w:val="auto"/>
          <w:sz w:val="30"/>
          <w:szCs w:val="30"/>
          <w:highlight w:val="none"/>
        </w:rPr>
        <w:br w:type="textWrapping"/>
      </w:r>
      <w:r>
        <w:rPr>
          <w:rFonts w:hint="eastAsia" w:ascii="宋体" w:hAnsi="宋体" w:cs="宋体"/>
          <w:bCs/>
          <w:color w:val="auto"/>
          <w:sz w:val="30"/>
          <w:szCs w:val="30"/>
          <w:highlight w:val="none"/>
        </w:rPr>
        <w:tab/>
      </w:r>
      <w:r>
        <w:rPr>
          <w:rFonts w:hint="eastAsia" w:ascii="宋体" w:hAnsi="宋体" w:cs="宋体"/>
          <w:bCs/>
          <w:color w:val="auto"/>
          <w:sz w:val="30"/>
          <w:szCs w:val="30"/>
          <w:highlight w:val="none"/>
        </w:rPr>
        <w:t>采购代理机构：东方经纬项目管理有限公司</w:t>
      </w:r>
    </w:p>
    <w:p w14:paraId="6AD66962">
      <w:pPr>
        <w:spacing w:line="360" w:lineRule="auto"/>
        <w:jc w:val="center"/>
        <w:rPr>
          <w:rFonts w:ascii="宋体" w:hAnsi="宋体" w:cs="宋体"/>
          <w:bCs/>
          <w:color w:val="auto"/>
          <w:sz w:val="32"/>
          <w:szCs w:val="32"/>
          <w:highlight w:val="none"/>
        </w:rPr>
      </w:pPr>
      <w:r>
        <w:rPr>
          <w:rFonts w:hint="eastAsia" w:ascii="宋体" w:hAnsi="宋体" w:cs="宋体"/>
          <w:bCs/>
          <w:color w:val="auto"/>
          <w:sz w:val="30"/>
          <w:szCs w:val="30"/>
          <w:highlight w:val="none"/>
        </w:rPr>
        <w:t>二〇二四年</w:t>
      </w:r>
      <w:r>
        <w:rPr>
          <w:rFonts w:hint="eastAsia" w:ascii="宋体" w:hAnsi="宋体" w:cs="宋体"/>
          <w:bCs/>
          <w:color w:val="auto"/>
          <w:sz w:val="30"/>
          <w:szCs w:val="30"/>
          <w:highlight w:val="none"/>
          <w:lang w:eastAsia="zh-CN"/>
        </w:rPr>
        <w:t>十一</w:t>
      </w:r>
      <w:r>
        <w:rPr>
          <w:rFonts w:hint="eastAsia" w:ascii="宋体" w:hAnsi="宋体" w:cs="宋体"/>
          <w:bCs/>
          <w:color w:val="auto"/>
          <w:sz w:val="30"/>
          <w:szCs w:val="30"/>
          <w:highlight w:val="none"/>
        </w:rPr>
        <w:t>月</w:t>
      </w:r>
      <w:r>
        <w:rPr>
          <w:rFonts w:hint="eastAsia" w:ascii="宋体" w:hAnsi="宋体" w:cs="宋体"/>
          <w:bCs/>
          <w:color w:val="auto"/>
          <w:sz w:val="30"/>
          <w:szCs w:val="30"/>
          <w:highlight w:val="none"/>
          <w:lang w:eastAsia="zh-CN"/>
        </w:rPr>
        <w:t>十四</w:t>
      </w:r>
      <w:r>
        <w:rPr>
          <w:rFonts w:hint="eastAsia" w:ascii="宋体" w:hAnsi="宋体" w:cs="宋体"/>
          <w:bCs/>
          <w:color w:val="auto"/>
          <w:sz w:val="30"/>
          <w:szCs w:val="30"/>
          <w:highlight w:val="none"/>
        </w:rPr>
        <w:t>日</w:t>
      </w:r>
    </w:p>
    <w:p w14:paraId="1EB34C05">
      <w:pPr>
        <w:spacing w:line="360" w:lineRule="auto"/>
        <w:jc w:val="center"/>
        <w:rPr>
          <w:rFonts w:ascii="宋体" w:hAnsi="宋体" w:cs="宋体"/>
          <w:color w:val="auto"/>
          <w:sz w:val="24"/>
          <w:highlight w:val="none"/>
        </w:rPr>
      </w:pPr>
      <w:bookmarkStart w:id="0" w:name="_Hlt67893495"/>
      <w:bookmarkEnd w:id="0"/>
    </w:p>
    <w:p w14:paraId="2F1744AD">
      <w:pPr>
        <w:spacing w:line="360" w:lineRule="auto"/>
        <w:jc w:val="center"/>
        <w:rPr>
          <w:rFonts w:ascii="宋体" w:hAnsi="宋体" w:cs="宋体"/>
          <w:color w:val="auto"/>
          <w:sz w:val="24"/>
          <w:highlight w:val="none"/>
        </w:rPr>
      </w:pPr>
    </w:p>
    <w:p w14:paraId="14668D0E">
      <w:pPr>
        <w:spacing w:line="360" w:lineRule="auto"/>
        <w:jc w:val="center"/>
        <w:rPr>
          <w:rFonts w:ascii="宋体" w:hAnsi="宋体" w:cs="宋体"/>
          <w:b/>
          <w:color w:val="auto"/>
          <w:sz w:val="48"/>
          <w:szCs w:val="48"/>
          <w:highlight w:val="none"/>
        </w:rPr>
        <w:sectPr>
          <w:headerReference r:id="rId3" w:type="even"/>
          <w:footerReference r:id="rId4" w:type="even"/>
          <w:pgSz w:w="11906" w:h="16838"/>
          <w:pgMar w:top="1440" w:right="1080" w:bottom="1440" w:left="1080" w:header="851" w:footer="992" w:gutter="0"/>
          <w:cols w:space="720" w:num="1"/>
          <w:titlePg/>
          <w:docGrid w:linePitch="312" w:charSpace="0"/>
        </w:sectPr>
      </w:pPr>
    </w:p>
    <w:p w14:paraId="36B5CF2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0F939D3">
      <w:pPr>
        <w:spacing w:line="360" w:lineRule="auto"/>
        <w:rPr>
          <w:rFonts w:ascii="宋体" w:hAnsi="宋体" w:cs="宋体"/>
          <w:color w:val="auto"/>
          <w:sz w:val="32"/>
          <w:szCs w:val="32"/>
          <w:highlight w:val="none"/>
        </w:rPr>
      </w:pPr>
    </w:p>
    <w:p w14:paraId="747E0549">
      <w:pPr>
        <w:spacing w:line="360" w:lineRule="auto"/>
        <w:rPr>
          <w:rFonts w:ascii="宋体" w:hAnsi="宋体" w:cs="宋体"/>
          <w:color w:val="auto"/>
          <w:sz w:val="32"/>
          <w:szCs w:val="32"/>
          <w:highlight w:val="none"/>
        </w:rPr>
      </w:pPr>
    </w:p>
    <w:p w14:paraId="426FC7F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7C84B52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752DA12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005A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6A7B68C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FDE09F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FE6AFB6">
      <w:pPr>
        <w:spacing w:line="360" w:lineRule="auto"/>
        <w:ind w:firstLine="1280" w:firstLineChars="400"/>
        <w:rPr>
          <w:rFonts w:ascii="宋体" w:hAnsi="宋体" w:cs="宋体"/>
          <w:color w:val="auto"/>
          <w:sz w:val="32"/>
          <w:szCs w:val="32"/>
          <w:highlight w:val="none"/>
        </w:rPr>
      </w:pPr>
    </w:p>
    <w:p w14:paraId="1A36928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C064394">
      <w:pPr>
        <w:spacing w:line="360" w:lineRule="auto"/>
        <w:ind w:firstLine="549" w:firstLineChars="229"/>
        <w:rPr>
          <w:rFonts w:ascii="宋体" w:hAnsi="宋体" w:cs="宋体"/>
          <w:color w:val="auto"/>
          <w:sz w:val="24"/>
          <w:highlight w:val="none"/>
        </w:rPr>
      </w:pPr>
    </w:p>
    <w:p w14:paraId="712AB3AA">
      <w:pPr>
        <w:spacing w:line="360" w:lineRule="auto"/>
        <w:ind w:firstLine="549" w:firstLineChars="229"/>
        <w:rPr>
          <w:rFonts w:ascii="宋体" w:hAnsi="宋体" w:cs="宋体"/>
          <w:color w:val="auto"/>
          <w:sz w:val="24"/>
          <w:highlight w:val="none"/>
        </w:rPr>
      </w:pPr>
    </w:p>
    <w:p w14:paraId="11C235A8">
      <w:pPr>
        <w:spacing w:line="360" w:lineRule="auto"/>
        <w:ind w:firstLine="549" w:firstLineChars="229"/>
        <w:rPr>
          <w:rFonts w:ascii="宋体" w:hAnsi="宋体" w:cs="宋体"/>
          <w:color w:val="auto"/>
          <w:sz w:val="24"/>
          <w:highlight w:val="none"/>
        </w:rPr>
      </w:pPr>
    </w:p>
    <w:p w14:paraId="2447CAB5">
      <w:pPr>
        <w:spacing w:line="360" w:lineRule="auto"/>
        <w:ind w:firstLine="549" w:firstLineChars="229"/>
        <w:rPr>
          <w:rFonts w:ascii="宋体" w:hAnsi="宋体" w:cs="宋体"/>
          <w:color w:val="auto"/>
          <w:sz w:val="24"/>
          <w:highlight w:val="none"/>
        </w:rPr>
      </w:pPr>
    </w:p>
    <w:p w14:paraId="024B4137">
      <w:pPr>
        <w:spacing w:line="360" w:lineRule="auto"/>
        <w:ind w:firstLine="549" w:firstLineChars="229"/>
        <w:rPr>
          <w:rFonts w:ascii="宋体" w:hAnsi="宋体" w:cs="宋体"/>
          <w:color w:val="auto"/>
          <w:sz w:val="24"/>
          <w:highlight w:val="none"/>
        </w:rPr>
      </w:pPr>
    </w:p>
    <w:p w14:paraId="72DD05D1">
      <w:pPr>
        <w:spacing w:line="360" w:lineRule="auto"/>
        <w:ind w:firstLine="549" w:firstLineChars="229"/>
        <w:rPr>
          <w:rFonts w:ascii="宋体" w:hAnsi="宋体" w:cs="宋体"/>
          <w:color w:val="auto"/>
          <w:sz w:val="24"/>
          <w:highlight w:val="none"/>
        </w:rPr>
      </w:pPr>
    </w:p>
    <w:p w14:paraId="11587F3D">
      <w:pPr>
        <w:spacing w:line="360" w:lineRule="auto"/>
        <w:ind w:firstLine="549" w:firstLineChars="229"/>
        <w:rPr>
          <w:rFonts w:ascii="宋体" w:hAnsi="宋体" w:cs="宋体"/>
          <w:color w:val="auto"/>
          <w:sz w:val="24"/>
          <w:highlight w:val="none"/>
        </w:rPr>
      </w:pPr>
    </w:p>
    <w:p w14:paraId="676F4EC9">
      <w:pPr>
        <w:spacing w:line="360" w:lineRule="auto"/>
        <w:ind w:firstLine="549" w:firstLineChars="229"/>
        <w:rPr>
          <w:rFonts w:ascii="宋体" w:hAnsi="宋体" w:cs="宋体"/>
          <w:color w:val="auto"/>
          <w:sz w:val="24"/>
          <w:highlight w:val="none"/>
        </w:rPr>
      </w:pPr>
    </w:p>
    <w:p w14:paraId="3894142C">
      <w:pPr>
        <w:spacing w:line="360" w:lineRule="auto"/>
        <w:ind w:firstLine="549" w:firstLineChars="229"/>
        <w:rPr>
          <w:rFonts w:ascii="宋体" w:hAnsi="宋体" w:cs="宋体"/>
          <w:color w:val="auto"/>
          <w:sz w:val="24"/>
          <w:highlight w:val="none"/>
        </w:rPr>
      </w:pPr>
    </w:p>
    <w:p w14:paraId="76DD4D3A">
      <w:pPr>
        <w:spacing w:line="360" w:lineRule="auto"/>
        <w:ind w:firstLine="549" w:firstLineChars="229"/>
        <w:rPr>
          <w:rFonts w:ascii="宋体" w:hAnsi="宋体" w:cs="宋体"/>
          <w:color w:val="auto"/>
          <w:sz w:val="24"/>
          <w:highlight w:val="none"/>
        </w:rPr>
      </w:pPr>
    </w:p>
    <w:p w14:paraId="7CF888F3">
      <w:pPr>
        <w:spacing w:line="360" w:lineRule="auto"/>
        <w:ind w:firstLine="549" w:firstLineChars="229"/>
        <w:rPr>
          <w:rFonts w:ascii="宋体" w:hAnsi="宋体" w:cs="宋体"/>
          <w:color w:val="auto"/>
          <w:sz w:val="24"/>
          <w:highlight w:val="none"/>
        </w:rPr>
      </w:pPr>
    </w:p>
    <w:p w14:paraId="2C21BAA4">
      <w:pPr>
        <w:spacing w:line="360" w:lineRule="auto"/>
        <w:ind w:firstLine="549" w:firstLineChars="229"/>
        <w:jc w:val="center"/>
        <w:outlineLvl w:val="0"/>
        <w:rPr>
          <w:rFonts w:ascii="宋体" w:hAnsi="宋体" w:cs="宋体"/>
          <w:b/>
          <w:color w:val="auto"/>
          <w:sz w:val="36"/>
          <w:szCs w:val="20"/>
          <w:highlight w:val="none"/>
        </w:rPr>
      </w:pPr>
      <w:r>
        <w:rPr>
          <w:rFonts w:ascii="宋体" w:hAnsi="宋体" w:cs="宋体"/>
          <w:color w:val="auto"/>
          <w:sz w:val="24"/>
          <w:highlight w:val="none"/>
        </w:rPr>
        <w:br w:type="column"/>
      </w:r>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竞争性磋商公告</w:t>
      </w:r>
    </w:p>
    <w:p w14:paraId="622D38B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711108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2024年西湖区道路端头交通安全治理绿化工程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日14点00分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2FE8F1CB">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6726F51">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DFJW2024-XH-020</w:t>
      </w:r>
    </w:p>
    <w:p w14:paraId="46534B6F">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2024年西湖区道路端头交通安全治理绿化工程</w:t>
      </w:r>
    </w:p>
    <w:p w14:paraId="4872C687">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3724757</w:t>
      </w:r>
    </w:p>
    <w:p w14:paraId="5163F356">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3724757</w:t>
      </w:r>
    </w:p>
    <w:p w14:paraId="1657D3BB">
      <w:pPr>
        <w:pStyle w:val="16"/>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2024年西湖区道路端头交通安全治理绿化工程</w:t>
      </w:r>
      <w:r>
        <w:rPr>
          <w:rFonts w:hint="eastAsia" w:hAnsi="宋体" w:cs="宋体"/>
          <w:bCs/>
          <w:snapToGrid/>
          <w:color w:val="auto"/>
          <w:kern w:val="2"/>
          <w:sz w:val="24"/>
          <w:szCs w:val="24"/>
          <w:highlight w:val="none"/>
        </w:rPr>
        <w:t>主要内容：对</w:t>
      </w:r>
      <w:r>
        <w:rPr>
          <w:rFonts w:hint="eastAsia" w:hAnsi="宋体" w:cs="宋体"/>
          <w:bCs/>
          <w:snapToGrid/>
          <w:color w:val="auto"/>
          <w:kern w:val="2"/>
          <w:sz w:val="24"/>
          <w:szCs w:val="24"/>
          <w:highlight w:val="none"/>
          <w:lang w:eastAsia="zh-CN"/>
        </w:rPr>
        <w:t>西湖</w:t>
      </w:r>
      <w:r>
        <w:rPr>
          <w:rFonts w:hint="eastAsia" w:hAnsi="宋体" w:cs="宋体"/>
          <w:bCs/>
          <w:snapToGrid/>
          <w:color w:val="auto"/>
          <w:kern w:val="2"/>
          <w:sz w:val="24"/>
          <w:szCs w:val="24"/>
          <w:highlight w:val="none"/>
        </w:rPr>
        <w:t>区道路端头影响交通安全的乔木进行修剪及灌木迁改</w:t>
      </w:r>
      <w:r>
        <w:rPr>
          <w:rFonts w:hint="eastAsia" w:hAnsi="宋体" w:cs="宋体"/>
          <w:bCs/>
          <w:snapToGrid/>
          <w:color w:val="auto"/>
          <w:kern w:val="2"/>
          <w:sz w:val="24"/>
          <w:szCs w:val="24"/>
          <w:highlight w:val="none"/>
          <w:lang w:eastAsia="zh-CN"/>
        </w:rPr>
        <w:t>等</w:t>
      </w:r>
      <w:r>
        <w:rPr>
          <w:rFonts w:hint="eastAsia" w:hAnsi="宋体" w:cs="宋体"/>
          <w:bCs/>
          <w:snapToGrid/>
          <w:color w:val="auto"/>
          <w:kern w:val="2"/>
          <w:sz w:val="24"/>
          <w:szCs w:val="24"/>
          <w:highlight w:val="none"/>
        </w:rPr>
        <w:t>。详见采购文件第三部分采购需求。</w:t>
      </w:r>
    </w:p>
    <w:p w14:paraId="506D170E">
      <w:pPr>
        <w:pStyle w:val="129"/>
        <w:snapToGrid w:val="0"/>
        <w:spacing w:before="0"/>
        <w:ind w:firstLine="48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60日历天</w:t>
      </w:r>
    </w:p>
    <w:p w14:paraId="5E85FC7B">
      <w:pPr>
        <w:pStyle w:val="16"/>
        <w:spacing w:line="360" w:lineRule="auto"/>
        <w:ind w:firstLine="482" w:firstLineChars="200"/>
        <w:rPr>
          <w:rFonts w:hint="default" w:hAnsi="宋体" w:eastAsia="宋体" w:cs="宋体"/>
          <w:b/>
          <w:color w:val="auto"/>
          <w:sz w:val="24"/>
          <w:highlight w:val="none"/>
          <w:lang w:val="en-US" w:eastAsia="zh-CN"/>
        </w:rPr>
      </w:pPr>
      <w:r>
        <w:rPr>
          <w:rFonts w:hint="eastAsia" w:hAnsi="宋体" w:cs="宋体"/>
          <w:b/>
          <w:color w:val="auto"/>
          <w:sz w:val="24"/>
          <w:highlight w:val="none"/>
        </w:rPr>
        <w:t>本项目接受联合体：</w:t>
      </w:r>
    </w:p>
    <w:p w14:paraId="2600394A">
      <w:pPr>
        <w:pStyle w:val="16"/>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63841DEC">
      <w:pPr>
        <w:pStyle w:val="16"/>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p>
    <w:p w14:paraId="064A642E">
      <w:pPr>
        <w:pStyle w:val="129"/>
        <w:snapToGrid w:val="0"/>
        <w:spacing w:before="0"/>
        <w:ind w:firstLine="48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3140FECB">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二、</w:t>
      </w: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252C60F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w:t>
      </w:r>
      <w:r>
        <w:rPr>
          <w:rFonts w:hint="eastAsia" w:ascii="宋体" w:hAnsi="宋体" w:cs="宋体"/>
          <w:snapToGrid w:val="0"/>
          <w:color w:val="auto"/>
          <w:kern w:val="28"/>
          <w:sz w:val="24"/>
          <w:szCs w:val="20"/>
          <w:highlight w:val="none"/>
          <w:lang w:val="en-US" w:eastAsia="zh-CN"/>
        </w:rPr>
        <w:t>.</w:t>
      </w:r>
      <w:r>
        <w:rPr>
          <w:rFonts w:hint="eastAsia" w:ascii="宋体" w:hAnsi="宋体" w:cs="宋体"/>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B7E1E5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00738494">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398DCB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26EE982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6C50511">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9247305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2E9B5F3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0E1BC38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1"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1"/>
    <w:p w14:paraId="58950B6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3EE1CB2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4F5545D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ABA3461">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3E6BF3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E62FC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C4D514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867D3B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1E210DD">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70425C8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日14点00分</w:t>
      </w:r>
      <w:r>
        <w:rPr>
          <w:rFonts w:hint="eastAsia" w:ascii="宋体" w:hAnsi="宋体" w:cs="宋体"/>
          <w:color w:val="auto"/>
          <w:sz w:val="24"/>
          <w:highlight w:val="none"/>
        </w:rPr>
        <w:t>（北京时间）</w:t>
      </w:r>
    </w:p>
    <w:p w14:paraId="40614E7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78494E5">
      <w:pPr>
        <w:spacing w:line="360" w:lineRule="auto"/>
        <w:outlineLvl w:val="1"/>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237AA2E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日14点00分</w:t>
      </w:r>
    </w:p>
    <w:p w14:paraId="7DD0384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3974CC6">
      <w:pPr>
        <w:spacing w:line="360" w:lineRule="auto"/>
        <w:outlineLvl w:val="1"/>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75F740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24C651ED">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七、其他补充事宜</w:t>
      </w:r>
    </w:p>
    <w:p w14:paraId="1AED89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助力扎实稳住经济的通知》（浙财采监〔2022〕8号）已分别于2022年1月29日、2022年2月1日和2022年7月1日开始实施，此前有关规定与上述文件内容不一致的，按上述文件要求执行。</w:t>
      </w:r>
    </w:p>
    <w:p w14:paraId="1A8072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35F0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90F5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3077AFAF">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335980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6104AE44">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杭州市西湖区综合行政执法局</w:t>
      </w:r>
    </w:p>
    <w:p w14:paraId="2E55CFD2">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 xml:space="preserve">杭州市西湖区文三西路9号 </w:t>
      </w:r>
    </w:p>
    <w:p w14:paraId="693BC8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 /</w:t>
      </w:r>
    </w:p>
    <w:p w14:paraId="1E3E80CC">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项目联系人（询问）：冯</w:t>
      </w:r>
      <w:r>
        <w:rPr>
          <w:rFonts w:hint="eastAsia" w:ascii="宋体" w:hAnsi="宋体" w:cs="宋体"/>
          <w:color w:val="auto"/>
          <w:sz w:val="24"/>
          <w:highlight w:val="none"/>
          <w:lang w:eastAsia="zh-CN"/>
        </w:rPr>
        <w:t>工</w:t>
      </w:r>
    </w:p>
    <w:p w14:paraId="0D9DAB5B">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0571-89511951</w:t>
      </w:r>
    </w:p>
    <w:p w14:paraId="60945EDF">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质疑联系人：邢</w:t>
      </w:r>
      <w:r>
        <w:rPr>
          <w:rFonts w:hint="eastAsia" w:ascii="宋体" w:hAnsi="宋体" w:cs="宋体"/>
          <w:color w:val="auto"/>
          <w:sz w:val="24"/>
          <w:highlight w:val="none"/>
          <w:lang w:eastAsia="zh-CN"/>
        </w:rPr>
        <w:t>老师</w:t>
      </w:r>
    </w:p>
    <w:p w14:paraId="6F42EEB9">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0571-89511944</w:t>
      </w:r>
    </w:p>
    <w:p w14:paraId="5F0AE8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536C51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名称：东方经纬项目管理有限公司 </w:t>
      </w:r>
    </w:p>
    <w:p w14:paraId="056723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地址：杭州市上城区馆驿后2号泰地万新大厦1号楼9楼 </w:t>
      </w:r>
    </w:p>
    <w:p w14:paraId="355CC6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  </w:t>
      </w:r>
    </w:p>
    <w:p w14:paraId="30B838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项目联系人（询问）：韦百亮、陈瑞宝</w:t>
      </w:r>
    </w:p>
    <w:p w14:paraId="6EF837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项目联系方式（询问）：15802100891</w:t>
      </w:r>
    </w:p>
    <w:p w14:paraId="315B3A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质疑联系人：单老师 </w:t>
      </w:r>
    </w:p>
    <w:p w14:paraId="490DA2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质疑联系方式：0571-56783590 </w:t>
      </w:r>
    </w:p>
    <w:p w14:paraId="06601A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7BC466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w:t>
      </w:r>
      <w:r>
        <w:rPr>
          <w:rFonts w:hint="eastAsia" w:ascii="宋体" w:hAnsi="宋体" w:cs="宋体"/>
          <w:color w:val="auto"/>
          <w:sz w:val="24"/>
          <w:highlight w:val="none"/>
        </w:rPr>
        <w:t>杭州市西湖区财政局、浙江省政府采购行政裁决服务中心（杭州）</w:t>
      </w:r>
    </w:p>
    <w:p w14:paraId="25CACEA5">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cs="宋体"/>
          <w:color w:val="auto"/>
          <w:sz w:val="24"/>
          <w:highlight w:val="none"/>
          <w:lang w:eastAsia="zh-CN"/>
        </w:rPr>
        <w:t>杭州市上城区清泰街549号城建综合大楼11楼（快递仅限ems或顺丰）</w:t>
      </w:r>
    </w:p>
    <w:p w14:paraId="2A978EE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w:t>
      </w:r>
    </w:p>
    <w:p w14:paraId="40F7D42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 ：朱女士</w:t>
      </w:r>
      <w:r>
        <w:rPr>
          <w:rFonts w:hint="eastAsia" w:ascii="宋体" w:hAnsi="宋体" w:cs="宋体"/>
          <w:color w:val="auto"/>
          <w:sz w:val="24"/>
          <w:highlight w:val="none"/>
          <w:lang w:eastAsia="zh-CN"/>
        </w:rPr>
        <w:t>、</w:t>
      </w:r>
      <w:r>
        <w:rPr>
          <w:rFonts w:hint="eastAsia" w:ascii="宋体" w:hAnsi="宋体" w:cs="宋体"/>
          <w:color w:val="auto"/>
          <w:sz w:val="24"/>
          <w:highlight w:val="none"/>
        </w:rPr>
        <w:t>王女士</w:t>
      </w:r>
    </w:p>
    <w:p w14:paraId="75898B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29CDF9A8">
      <w:pPr>
        <w:spacing w:line="360" w:lineRule="auto"/>
        <w:ind w:firstLine="480"/>
        <w:rPr>
          <w:rFonts w:ascii="宋体" w:hAnsi="宋体" w:cs="宋体"/>
          <w:color w:val="auto"/>
          <w:sz w:val="24"/>
          <w:highlight w:val="none"/>
        </w:rPr>
      </w:pPr>
    </w:p>
    <w:p w14:paraId="4DB00D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2E8A491B">
      <w:pPr>
        <w:snapToGrid w:val="0"/>
        <w:spacing w:line="360" w:lineRule="auto"/>
        <w:ind w:firstLine="480" w:firstLineChars="200"/>
        <w:rPr>
          <w:rFonts w:ascii="宋体" w:hAnsi="宋体" w:cs="宋体"/>
          <w:color w:val="auto"/>
          <w:sz w:val="24"/>
          <w:highlight w:val="none"/>
        </w:rPr>
        <w:sectPr>
          <w:footerReference r:id="rId6" w:type="first"/>
          <w:footerReference r:id="rId5" w:type="default"/>
          <w:pgSz w:w="11906" w:h="16838"/>
          <w:pgMar w:top="1440" w:right="1080" w:bottom="1440" w:left="1080" w:header="851" w:footer="992" w:gutter="0"/>
          <w:pgNumType w:fmt="decimal" w:start="1"/>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1A316B33">
      <w:pPr>
        <w:pStyle w:val="33"/>
        <w:spacing w:line="360" w:lineRule="auto"/>
        <w:jc w:val="center"/>
        <w:outlineLvl w:val="0"/>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7"/>
      <w:r>
        <w:rPr>
          <w:rFonts w:hint="eastAsia" w:hAnsi="宋体" w:cs="宋体"/>
          <w:b/>
          <w:snapToGrid/>
          <w:color w:val="auto"/>
          <w:sz w:val="36"/>
          <w:szCs w:val="20"/>
          <w:highlight w:val="none"/>
        </w:rPr>
        <w:t xml:space="preserve"> 供应商须知</w:t>
      </w:r>
      <w:bookmarkEnd w:id="8"/>
    </w:p>
    <w:p w14:paraId="282BF47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7850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756ABC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21D01C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67626FD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7FC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CBC26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74E64E3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495F6CC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工程类。</w:t>
            </w:r>
          </w:p>
        </w:tc>
      </w:tr>
      <w:tr w14:paraId="0C33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E697B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781DE6F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23A89147">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本项目专门面向中小企业采购。</w:t>
            </w:r>
          </w:p>
          <w:p w14:paraId="5274985F">
            <w:pPr>
              <w:spacing w:line="360" w:lineRule="auto"/>
              <w:rPr>
                <w:rFonts w:ascii="宋体" w:hAnsi="宋体" w:cs="宋体"/>
                <w:b/>
                <w:bCs/>
                <w:color w:val="auto"/>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2024年西湖区道路端头交通安全治理绿化工程</w:t>
            </w:r>
            <w:r>
              <w:rPr>
                <w:rFonts w:hint="eastAsia" w:ascii="宋体" w:hAnsi="宋体" w:cs="宋体"/>
                <w:color w:val="auto"/>
                <w:kern w:val="0"/>
                <w:sz w:val="24"/>
                <w:highlight w:val="none"/>
              </w:rPr>
              <w:t>，</w:t>
            </w:r>
            <w:r>
              <w:rPr>
                <w:rFonts w:hint="eastAsia" w:ascii="宋体" w:hAnsi="宋体" w:cs="宋体"/>
                <w:b/>
                <w:bCs/>
                <w:color w:val="auto"/>
                <w:sz w:val="24"/>
                <w:highlight w:val="none"/>
              </w:rPr>
              <w:t>属于</w:t>
            </w:r>
            <w:r>
              <w:rPr>
                <w:rFonts w:hint="eastAsia" w:ascii="宋体" w:hAnsi="宋体" w:cs="宋体"/>
                <w:b/>
                <w:bCs/>
                <w:color w:val="auto"/>
                <w:sz w:val="24"/>
                <w:highlight w:val="none"/>
                <w:u w:val="single"/>
              </w:rPr>
              <w:t>【建筑业】</w:t>
            </w:r>
            <w:r>
              <w:rPr>
                <w:rFonts w:hint="eastAsia" w:ascii="宋体" w:hAnsi="宋体" w:cs="宋体"/>
                <w:b/>
                <w:bCs/>
                <w:color w:val="auto"/>
                <w:sz w:val="24"/>
                <w:highlight w:val="none"/>
              </w:rPr>
              <w:t>；</w:t>
            </w:r>
          </w:p>
          <w:p w14:paraId="66AD73B5">
            <w:pPr>
              <w:spacing w:line="360" w:lineRule="auto"/>
              <w:rPr>
                <w:rFonts w:ascii="宋体" w:hAnsi="宋体" w:cs="宋体"/>
                <w:color w:val="auto"/>
                <w:kern w:val="0"/>
                <w:sz w:val="24"/>
                <w:highlight w:val="none"/>
              </w:rPr>
            </w:pPr>
            <w:r>
              <w:rPr>
                <w:rFonts w:hint="eastAsia" w:ascii="宋体" w:hAnsi="宋体" w:cs="宋体"/>
                <w:color w:val="auto"/>
                <w:sz w:val="24"/>
                <w:highlight w:val="none"/>
              </w:rPr>
              <w:t>根据工信部联企业〔2011〕300号《关于印发中小企业划型标准规定的通知》规定，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1CA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E73349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15D7E2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3F975C7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2AD778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14:paraId="1226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C2E0A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03573E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151DDC9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7047F7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p>
          <w:p w14:paraId="5113D54E">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5EB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1F5A0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33B7F1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1114D7D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1A0F2A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p>
        </w:tc>
      </w:tr>
      <w:tr w14:paraId="2086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A9D5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73D0FA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0773B60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05E517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0518490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14:paraId="3AB9298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14:paraId="7AC0C54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0F25D10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14:paraId="68FBC8A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3376AD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5B66F7B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5638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C026D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17E109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20675CB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B7E307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0F65D6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人。讲解演示结束后按要求解答磋商小组提问。</w:t>
            </w:r>
          </w:p>
          <w:p w14:paraId="0DC8559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C234B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5BFD28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1337152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B61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431FAE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2316E0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41F418C1">
            <w:pPr>
              <w:snapToGrid w:val="0"/>
              <w:spacing w:line="276" w:lineRule="auto"/>
              <w:rPr>
                <w:rFonts w:ascii="宋体" w:hAnsi="宋体" w:cs="宋体"/>
                <w:color w:val="auto"/>
                <w:sz w:val="24"/>
                <w:highlight w:val="none"/>
              </w:rPr>
            </w:pPr>
            <w:r>
              <w:rPr>
                <w:rFonts w:hint="eastAsia" w:ascii="宋体" w:hAnsi="宋体" w:cs="宋体"/>
                <w:color w:val="auto"/>
                <w:sz w:val="24"/>
                <w:highlight w:val="none"/>
              </w:rPr>
              <w:t>（1）资格证明文件：</w:t>
            </w:r>
          </w:p>
          <w:p w14:paraId="28A6FF3C">
            <w:pPr>
              <w:snapToGrid w:val="0"/>
              <w:spacing w:line="276"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w:t>
            </w:r>
          </w:p>
          <w:p w14:paraId="06E5DD97">
            <w:pPr>
              <w:snapToGrid w:val="0"/>
              <w:spacing w:line="276" w:lineRule="auto"/>
              <w:rPr>
                <w:rFonts w:ascii="宋体" w:hAnsi="宋体" w:cs="宋体"/>
                <w:color w:val="auto"/>
                <w:sz w:val="24"/>
                <w:highlight w:val="none"/>
              </w:rPr>
            </w:pPr>
            <w:r>
              <w:rPr>
                <w:rFonts w:hint="eastAsia" w:ascii="宋体" w:hAnsi="宋体" w:cs="宋体"/>
                <w:color w:val="auto"/>
                <w:sz w:val="24"/>
                <w:highlight w:val="none"/>
              </w:rPr>
              <w:t>2、联合协议（如果有）</w:t>
            </w:r>
          </w:p>
          <w:p w14:paraId="18FBFB0A">
            <w:pPr>
              <w:snapToGrid w:val="0"/>
              <w:spacing w:line="276"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3、落实政府采购政策需满足的资格要求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中小企业声明函》</w:t>
            </w:r>
          </w:p>
          <w:p w14:paraId="5AA4121B">
            <w:pPr>
              <w:snapToGrid w:val="0"/>
              <w:spacing w:line="276" w:lineRule="auto"/>
              <w:rPr>
                <w:rFonts w:ascii="宋体" w:hAnsi="宋体" w:cs="宋体"/>
                <w:color w:val="auto"/>
                <w:sz w:val="24"/>
                <w:highlight w:val="none"/>
              </w:rPr>
            </w:pPr>
            <w:r>
              <w:rPr>
                <w:rFonts w:hint="eastAsia" w:ascii="宋体" w:hAnsi="宋体" w:cs="宋体"/>
                <w:color w:val="auto"/>
                <w:sz w:val="24"/>
                <w:highlight w:val="none"/>
              </w:rPr>
              <w:t>4、本项目的特定资格要求（如果有）</w:t>
            </w:r>
          </w:p>
          <w:p w14:paraId="40F99916">
            <w:pPr>
              <w:spacing w:line="360" w:lineRule="auto"/>
              <w:rPr>
                <w:rFonts w:ascii="宋体" w:hAnsi="宋体" w:cs="宋体"/>
                <w:snapToGrid w:val="0"/>
                <w:color w:val="auto"/>
                <w:kern w:val="0"/>
                <w:sz w:val="24"/>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55D6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06E82EE0">
            <w:pPr>
              <w:snapToGrid w:val="0"/>
              <w:spacing w:line="360" w:lineRule="auto"/>
              <w:jc w:val="center"/>
              <w:rPr>
                <w:rFonts w:ascii="宋体" w:hAnsi="宋体" w:cs="宋体"/>
                <w:color w:val="auto"/>
                <w:sz w:val="24"/>
                <w:highlight w:val="none"/>
              </w:rPr>
            </w:pPr>
          </w:p>
        </w:tc>
        <w:tc>
          <w:tcPr>
            <w:tcW w:w="2093" w:type="dxa"/>
            <w:vMerge w:val="continue"/>
            <w:vAlign w:val="center"/>
          </w:tcPr>
          <w:p w14:paraId="5DD42731">
            <w:pPr>
              <w:snapToGrid w:val="0"/>
              <w:spacing w:line="360" w:lineRule="auto"/>
              <w:jc w:val="center"/>
              <w:rPr>
                <w:rFonts w:ascii="宋体" w:hAnsi="宋体" w:cs="宋体"/>
                <w:b/>
                <w:color w:val="auto"/>
                <w:sz w:val="24"/>
                <w:highlight w:val="none"/>
              </w:rPr>
            </w:pPr>
          </w:p>
        </w:tc>
        <w:tc>
          <w:tcPr>
            <w:tcW w:w="6927" w:type="dxa"/>
            <w:vAlign w:val="center"/>
          </w:tcPr>
          <w:p w14:paraId="7EBBD9C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0BD3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E238A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201908E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59D990D9">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716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7AB00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762813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0BAA86C3">
            <w:pPr>
              <w:spacing w:line="360" w:lineRule="auto"/>
              <w:rPr>
                <w:rFonts w:hint="eastAsia"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有关本项目实施所需的所有费用（含税费）均计入报价。</w:t>
            </w:r>
          </w:p>
          <w:p w14:paraId="0C33948B">
            <w:pPr>
              <w:spacing w:line="360" w:lineRule="auto"/>
              <w:rPr>
                <w:rFonts w:hint="eastAsia"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注：投标人报价低于最高限价的50%（不含）以下，应在报价文件中详细阐述不影响服务质量或者诚信履约的具体理由及依据，并提供针对</w:t>
            </w:r>
            <w:r>
              <w:rPr>
                <w:rFonts w:hint="eastAsia" w:ascii="宋体" w:hAnsi="宋体" w:cs="宋体"/>
                <w:snapToGrid w:val="0"/>
                <w:color w:val="auto"/>
                <w:kern w:val="28"/>
                <w:sz w:val="24"/>
                <w:highlight w:val="none"/>
                <w:lang w:val="en-US" w:eastAsia="zh-CN"/>
              </w:rPr>
              <w:t>绿化工程</w:t>
            </w:r>
            <w:r>
              <w:rPr>
                <w:rFonts w:hint="eastAsia" w:ascii="宋体" w:hAnsi="宋体" w:cs="宋体"/>
                <w:snapToGrid w:val="0"/>
                <w:color w:val="auto"/>
                <w:kern w:val="28"/>
                <w:sz w:val="24"/>
                <w:highlight w:val="none"/>
                <w:lang w:val="zh-CN"/>
              </w:rPr>
              <w:t>的各项经营成本进行分析。</w:t>
            </w:r>
          </w:p>
          <w:p w14:paraId="329FDBBD">
            <w:pPr>
              <w:spacing w:line="360" w:lineRule="auto"/>
              <w:rPr>
                <w:rFonts w:hint="eastAsia"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rPr>
              <w:t>报价单是报价的唯一载体</w:t>
            </w:r>
            <w:r>
              <w:rPr>
                <w:rFonts w:hint="eastAsia" w:ascii="宋体" w:hAnsi="宋体" w:cs="宋体"/>
                <w:snapToGrid w:val="0"/>
                <w:color w:val="auto"/>
                <w:kern w:val="28"/>
                <w:sz w:val="24"/>
                <w:highlight w:val="none"/>
                <w:lang w:val="zh-CN"/>
              </w:rPr>
              <w:t>。响应文件中价格全部采用人民币报价。采购文件未列明，而供应商认为必需的费用也需列入报价。提醒：验收时检测费用由采购人承担，不包含在总价中。</w:t>
            </w:r>
          </w:p>
          <w:p w14:paraId="156E868A">
            <w:pPr>
              <w:spacing w:line="360" w:lineRule="auto"/>
              <w:rPr>
                <w:rFonts w:hint="eastAsia"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最后报价出现下列情形的，响应文件无效：</w:t>
            </w:r>
          </w:p>
          <w:p w14:paraId="54A4E819">
            <w:pPr>
              <w:spacing w:line="360" w:lineRule="auto"/>
              <w:rPr>
                <w:rFonts w:hint="eastAsia"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响应文件出现不是唯一的、有选择性最后报价的；</w:t>
            </w:r>
          </w:p>
          <w:p w14:paraId="22C9A19B">
            <w:pPr>
              <w:spacing w:line="360" w:lineRule="auto"/>
              <w:rPr>
                <w:rFonts w:hint="eastAsia"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最后报价超过采购文件中规定的预算金额或者最高限价的;</w:t>
            </w:r>
          </w:p>
          <w:p w14:paraId="63AC6205">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报价明显低于其他通过符合性审查供应商的报价，有可能影响产品质量或者不能诚信履约的，未能按要求提供书面说明或者提交相关证明材料证明其报价合理性的;</w:t>
            </w:r>
          </w:p>
          <w:p w14:paraId="76C8E01A">
            <w:pPr>
              <w:spacing w:line="360" w:lineRule="auto"/>
              <w:rPr>
                <w:color w:val="auto"/>
                <w:highlight w:val="none"/>
              </w:rPr>
            </w:pPr>
            <w:r>
              <w:rPr>
                <w:rFonts w:hint="eastAsia" w:ascii="宋体" w:hAnsi="宋体" w:cs="宋体"/>
                <w:snapToGrid w:val="0"/>
                <w:color w:val="auto"/>
                <w:kern w:val="28"/>
                <w:sz w:val="24"/>
                <w:highlight w:val="none"/>
              </w:rPr>
              <w:t>供应商对根据修正原则修正后的报价不确认的。</w:t>
            </w:r>
          </w:p>
        </w:tc>
      </w:tr>
      <w:tr w14:paraId="26E3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94" w:hRule="atLeast"/>
        </w:trPr>
        <w:tc>
          <w:tcPr>
            <w:tcW w:w="714" w:type="dxa"/>
            <w:vAlign w:val="center"/>
          </w:tcPr>
          <w:p w14:paraId="046296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7CB2F9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089BD65D">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E51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1AE2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38F1B73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7F248DC7">
            <w:pPr>
              <w:pStyle w:val="33"/>
              <w:spacing w:line="360" w:lineRule="auto"/>
              <w:rPr>
                <w:rFonts w:hAnsi="宋体" w:cs="宋体"/>
                <w:color w:val="auto"/>
                <w:kern w:val="28"/>
                <w:sz w:val="24"/>
                <w:szCs w:val="24"/>
                <w:highlight w:val="none"/>
              </w:rPr>
            </w:pPr>
            <w:r>
              <w:rPr>
                <w:rFonts w:hint="eastAsia" w:hAnsi="宋体" w:cs="宋体"/>
                <w:b/>
                <w:bCs/>
                <w:color w:val="auto"/>
                <w:sz w:val="24"/>
                <w:szCs w:val="24"/>
                <w:highlight w:val="none"/>
                <w:u w:val="single"/>
              </w:rPr>
              <w:t>杭州市上城区馆驿后2号泰地万新大厦1号楼9楼</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韦百亮（15802100891）</w:t>
            </w:r>
            <w:r>
              <w:rPr>
                <w:rFonts w:hint="eastAsia" w:hAnsi="宋体" w:cs="宋体"/>
                <w:color w:val="auto"/>
                <w:kern w:val="28"/>
                <w:sz w:val="24"/>
                <w:szCs w:val="24"/>
                <w:highlight w:val="none"/>
              </w:rPr>
              <w:t>。</w:t>
            </w:r>
          </w:p>
          <w:p w14:paraId="02C15F4A">
            <w:pPr>
              <w:pStyle w:val="33"/>
              <w:spacing w:line="360" w:lineRule="auto"/>
              <w:rPr>
                <w:rFonts w:hAnsi="宋体" w:cs="宋体"/>
                <w:color w:val="auto"/>
                <w:kern w:val="28"/>
                <w:sz w:val="24"/>
                <w:szCs w:val="24"/>
                <w:highlight w:val="none"/>
              </w:rPr>
            </w:pPr>
            <w:r>
              <w:rPr>
                <w:rFonts w:hint="eastAsia" w:hAnsi="宋体" w:cs="宋体"/>
                <w:b/>
                <w:bCs/>
                <w:color w:val="auto"/>
                <w:sz w:val="24"/>
                <w:szCs w:val="24"/>
                <w:highlight w:val="none"/>
              </w:rPr>
              <w:t>采购人、采购机构不强制或变相强制投标人提交备份投标文件。</w:t>
            </w:r>
          </w:p>
        </w:tc>
      </w:tr>
      <w:tr w14:paraId="4B0B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7" w:hRule="atLeast"/>
        </w:trPr>
        <w:tc>
          <w:tcPr>
            <w:tcW w:w="714" w:type="dxa"/>
            <w:vMerge w:val="restart"/>
            <w:vAlign w:val="center"/>
          </w:tcPr>
          <w:p w14:paraId="49B1F3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Merge w:val="restart"/>
            <w:vAlign w:val="center"/>
          </w:tcPr>
          <w:p w14:paraId="676EDB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4277F05A">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p>
          <w:p w14:paraId="482FC88E">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联合体投标的，联合体中有一方或者联合体成员根据分工按招标文件评标标准要求提供资信证明文件的，视为符合了相关要求。</w:t>
            </w:r>
          </w:p>
          <w:p w14:paraId="15AB05E1">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以联合体形式参加政府采购活动，联合体各方均为中小企业的，联合体视同中小企业。其中，联合体各方均为小微企业的，联合体视同小微企业。</w:t>
            </w:r>
          </w:p>
        </w:tc>
      </w:tr>
      <w:tr w14:paraId="4B9B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714" w:type="dxa"/>
            <w:vMerge w:val="continue"/>
            <w:vAlign w:val="center"/>
          </w:tcPr>
          <w:p w14:paraId="3E56E6DA">
            <w:pPr>
              <w:spacing w:line="360" w:lineRule="auto"/>
              <w:rPr>
                <w:color w:val="auto"/>
                <w:highlight w:val="none"/>
              </w:rPr>
            </w:pPr>
          </w:p>
        </w:tc>
        <w:tc>
          <w:tcPr>
            <w:tcW w:w="2093" w:type="dxa"/>
            <w:vMerge w:val="continue"/>
            <w:vAlign w:val="center"/>
          </w:tcPr>
          <w:p w14:paraId="58AD2780">
            <w:pPr>
              <w:spacing w:line="360" w:lineRule="auto"/>
              <w:rPr>
                <w:color w:val="auto"/>
                <w:highlight w:val="none"/>
              </w:rPr>
            </w:pPr>
          </w:p>
        </w:tc>
        <w:tc>
          <w:tcPr>
            <w:tcW w:w="6927" w:type="dxa"/>
            <w:vAlign w:val="center"/>
          </w:tcPr>
          <w:p w14:paraId="0040EABE">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rPr>
              <w:t>成交单位应在合同签订时提供施工组织设计</w:t>
            </w:r>
            <w:r>
              <w:rPr>
                <w:rFonts w:hint="eastAsia" w:ascii="宋体" w:hAnsi="宋体" w:cs="宋体"/>
                <w:snapToGrid w:val="0"/>
                <w:color w:val="auto"/>
                <w:kern w:val="28"/>
                <w:sz w:val="24"/>
                <w:highlight w:val="none"/>
                <w:lang w:eastAsia="zh-CN"/>
              </w:rPr>
              <w:t>。</w:t>
            </w:r>
          </w:p>
        </w:tc>
      </w:tr>
      <w:tr w14:paraId="6270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7" w:hRule="atLeast"/>
        </w:trPr>
        <w:tc>
          <w:tcPr>
            <w:tcW w:w="714" w:type="dxa"/>
            <w:vMerge w:val="continue"/>
            <w:vAlign w:val="center"/>
          </w:tcPr>
          <w:p w14:paraId="163DB47E">
            <w:pPr>
              <w:spacing w:line="360" w:lineRule="auto"/>
              <w:rPr>
                <w:rFonts w:hint="eastAsia" w:ascii="宋体" w:hAnsi="宋体" w:cs="宋体"/>
                <w:b/>
                <w:bCs/>
                <w:snapToGrid w:val="0"/>
                <w:color w:val="auto"/>
                <w:kern w:val="28"/>
                <w:sz w:val="24"/>
                <w:highlight w:val="none"/>
              </w:rPr>
            </w:pPr>
          </w:p>
        </w:tc>
        <w:tc>
          <w:tcPr>
            <w:tcW w:w="2093" w:type="dxa"/>
            <w:vMerge w:val="continue"/>
            <w:vAlign w:val="center"/>
          </w:tcPr>
          <w:p w14:paraId="4878AC37">
            <w:pPr>
              <w:spacing w:line="360" w:lineRule="auto"/>
              <w:rPr>
                <w:rFonts w:hint="eastAsia" w:ascii="宋体" w:hAnsi="宋体" w:cs="宋体"/>
                <w:b/>
                <w:bCs/>
                <w:snapToGrid w:val="0"/>
                <w:color w:val="auto"/>
                <w:kern w:val="28"/>
                <w:sz w:val="24"/>
                <w:highlight w:val="none"/>
              </w:rPr>
            </w:pPr>
          </w:p>
        </w:tc>
        <w:tc>
          <w:tcPr>
            <w:tcW w:w="6927" w:type="dxa"/>
            <w:vAlign w:val="center"/>
          </w:tcPr>
          <w:p w14:paraId="47B5A4B0">
            <w:pPr>
              <w:spacing w:line="360" w:lineRule="auto"/>
              <w:rPr>
                <w:rFonts w:hint="eastAsia" w:ascii="宋体" w:hAnsi="宋体" w:cs="宋体"/>
                <w:snapToGrid w:val="0"/>
                <w:color w:val="auto"/>
                <w:kern w:val="28"/>
                <w:sz w:val="24"/>
                <w:highlight w:val="none"/>
              </w:rPr>
            </w:pPr>
            <w:r>
              <w:rPr>
                <w:rFonts w:hint="eastAsia" w:ascii="宋体" w:hAnsi="宋体" w:cs="宋体"/>
                <w:b/>
                <w:bCs/>
                <w:snapToGrid w:val="0"/>
                <w:color w:val="auto"/>
                <w:kern w:val="28"/>
                <w:sz w:val="24"/>
                <w:highlight w:val="none"/>
                <w:lang w:val="en-US" w:eastAsia="zh-CN"/>
              </w:rPr>
              <w:t>成交单位在中标后7日内需补充提供清单(按投标报价同比例下浮)。</w:t>
            </w:r>
          </w:p>
        </w:tc>
      </w:tr>
      <w:tr w14:paraId="3FC7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2F30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14:paraId="7D9F1E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代理服务费</w:t>
            </w:r>
          </w:p>
        </w:tc>
        <w:tc>
          <w:tcPr>
            <w:tcW w:w="6927" w:type="dxa"/>
            <w:vAlign w:val="center"/>
          </w:tcPr>
          <w:p w14:paraId="2EA2B603">
            <w:pPr>
              <w:spacing w:line="360" w:lineRule="auto"/>
              <w:rPr>
                <w:rFonts w:ascii="宋体" w:hAnsi="宋体" w:cs="宋体"/>
                <w:color w:val="auto"/>
                <w:kern w:val="0"/>
                <w:sz w:val="24"/>
                <w:highlight w:val="none"/>
              </w:rPr>
            </w:pPr>
            <w:r>
              <w:rPr>
                <w:rFonts w:hint="eastAsia" w:ascii="宋体" w:hAnsi="宋体" w:cs="宋体"/>
                <w:b/>
                <w:bCs/>
                <w:color w:val="auto"/>
                <w:sz w:val="24"/>
                <w:highlight w:val="none"/>
              </w:rPr>
              <w:t>1、</w:t>
            </w:r>
            <w:r>
              <w:rPr>
                <w:rFonts w:hint="eastAsia" w:ascii="宋体" w:hAnsi="宋体" w:cs="宋体"/>
                <w:b/>
                <w:bCs/>
                <w:color w:val="auto"/>
                <w:kern w:val="0"/>
                <w:sz w:val="24"/>
                <w:highlight w:val="none"/>
              </w:rPr>
              <w:t>成交单位须在领取成交通知书的同时，提供与线上递交的“电子加密响应文件”一致的纸质响应文件并装订成册一正三副给采购人（采购代理机构）。</w:t>
            </w:r>
          </w:p>
          <w:p w14:paraId="1791D1A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2、代理服务费：本项目的代理费由</w:t>
            </w:r>
            <w:r>
              <w:rPr>
                <w:rFonts w:hint="eastAsia" w:ascii="宋体" w:hAnsi="宋体" w:cs="宋体"/>
                <w:color w:val="auto"/>
                <w:kern w:val="0"/>
                <w:sz w:val="24"/>
                <w:highlight w:val="none"/>
                <w:u w:val="single"/>
              </w:rPr>
              <w:t>中标人</w:t>
            </w:r>
            <w:r>
              <w:rPr>
                <w:rFonts w:hint="eastAsia" w:ascii="宋体" w:hAnsi="宋体" w:cs="宋体"/>
                <w:color w:val="auto"/>
                <w:kern w:val="0"/>
                <w:sz w:val="24"/>
                <w:highlight w:val="none"/>
              </w:rPr>
              <w:t>支付</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招标代理费按</w:t>
            </w:r>
            <w:r>
              <w:rPr>
                <w:color w:val="auto"/>
                <w:highlight w:val="none"/>
              </w:rPr>
              <w:fldChar w:fldCharType="begin"/>
            </w:r>
            <w:r>
              <w:rPr>
                <w:color w:val="auto"/>
                <w:highlight w:val="none"/>
              </w:rPr>
              <w:instrText xml:space="preserve"> HYPERLINK "http://oa.zjsct.cn/formmode/view/AddFormMode.jsp?type=0&amp;modeId=52&amp;formId=-154&amp;billid=1&amp;billid_add=1&amp;formmode_authorize=formmode_authorize&amp;moduleid=formmode&amp;authorizemodeId=17&amp;authorizefieldid=9359&amp;authorizeformmodebillId=2653" \t "_blank" \o "发改价格〔2011〕534号" </w:instrText>
            </w:r>
            <w:r>
              <w:rPr>
                <w:color w:val="auto"/>
                <w:highlight w:val="none"/>
              </w:rPr>
              <w:fldChar w:fldCharType="separate"/>
            </w:r>
            <w:r>
              <w:rPr>
                <w:rFonts w:hint="eastAsia" w:ascii="宋体" w:hAnsi="宋体" w:cs="宋体"/>
                <w:color w:val="auto"/>
                <w:kern w:val="0"/>
                <w:sz w:val="24"/>
                <w:highlight w:val="none"/>
              </w:rPr>
              <w:t>发改价格〔2011〕534号</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文标准收取；造价咨询费按《浙建价协202113号浙江省建设工程造价咨询服务项目及收费指引》相关文件标准收取。</w:t>
            </w:r>
          </w:p>
          <w:p w14:paraId="2D2F51A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采购代理服务费交纳形式：汇票/支票/电汇/现金</w:t>
            </w:r>
          </w:p>
          <w:p w14:paraId="2032D6E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采购代理服务费由中标人在领取中标通知书时以人民币方式向采购代理机构支付。汇入以下账户：</w:t>
            </w:r>
          </w:p>
          <w:p w14:paraId="3C972D6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户名：东方经纬项目管理有限公司</w:t>
            </w:r>
          </w:p>
          <w:p w14:paraId="2A42ADA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开户：中信银行庆春支行</w:t>
            </w:r>
          </w:p>
          <w:p w14:paraId="08ADA36F">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账号：7332610182600025935</w:t>
            </w:r>
          </w:p>
        </w:tc>
      </w:tr>
    </w:tbl>
    <w:p w14:paraId="4370CFF7">
      <w:pPr>
        <w:snapToGrid w:val="0"/>
        <w:spacing w:line="360" w:lineRule="auto"/>
        <w:jc w:val="center"/>
        <w:rPr>
          <w:rFonts w:ascii="宋体" w:hAnsi="宋体" w:cs="宋体"/>
          <w:b/>
          <w:color w:val="auto"/>
          <w:sz w:val="32"/>
          <w:szCs w:val="20"/>
          <w:highlight w:val="none"/>
        </w:rPr>
      </w:pPr>
    </w:p>
    <w:bookmarkEnd w:id="9"/>
    <w:p w14:paraId="0D77D353">
      <w:pPr>
        <w:widowControl/>
        <w:adjustRightInd/>
        <w:jc w:val="left"/>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14:paraId="67DBE6FC">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121675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 适用范围</w:t>
      </w:r>
    </w:p>
    <w:p w14:paraId="0B68B2C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8AA32F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2.定义</w:t>
      </w:r>
    </w:p>
    <w:p w14:paraId="304B97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68A339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3F4BAA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060E02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39155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A7C4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40146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019C1B3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2C17EC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895E9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4ED0DC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0F8ED71B">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362CBE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C62CE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B0A67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BE7E7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55CB09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A8D8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4A801BE">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2C4C3DAB">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B76B8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color w:val="auto"/>
          <w:sz w:val="24"/>
          <w:highlight w:val="none"/>
        </w:rPr>
        <w:t>联合协议或者分包意向协议约定小微企业的合同份额占到合同总金额30%以上的</w:t>
      </w:r>
      <w:bookmarkEnd w:id="14"/>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B4C0E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EB896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F01A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976B4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6FCDB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C7DC9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40341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9E39150">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FCC549F">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3294D2C9">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1C100A68">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6A7CD9">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714232B">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52D88C">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B14DA7A">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B299306">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77BCDE3">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70E8F627">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170D7EBD">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4EF6D1C0">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A19734D">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6D362AB1">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73A8684">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11B3C455">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78946654">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62BDF6F3">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ADA4D2F">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16FC9F5">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5507A6D2">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0F68CFC3">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9E710C7">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C9F014A">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A305BAD">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61F74E5">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D316281">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70521181">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174F09E3">
      <w:pPr>
        <w:pStyle w:val="886"/>
        <w:shd w:val="clear" w:color="auto" w:fill="FFFFFF"/>
        <w:snapToGrid w:val="0"/>
        <w:spacing w:after="240" w:afterAutospacing="0" w:line="360" w:lineRule="auto"/>
        <w:ind w:firstLine="480" w:firstLineChars="200"/>
        <w:contextualSpacing/>
        <w:rPr>
          <w:color w:val="auto"/>
          <w:highlight w:val="none"/>
        </w:rPr>
      </w:pPr>
      <w:r>
        <w:rPr>
          <w:rFonts w:hint="eastAsia" w:asciiTheme="minorEastAsia" w:hAnsiTheme="minorEastAsia" w:eastAsiaTheme="minorEastAsia"/>
          <w:color w:val="auto"/>
          <w:highlight w:val="none"/>
        </w:rPr>
        <w:t>4.5.5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85B9EC3">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249AC9D9">
      <w:pPr>
        <w:pStyle w:val="129"/>
        <w:snapToGrid w:val="0"/>
        <w:spacing w:before="0"/>
        <w:ind w:firstLine="360"/>
        <w:rPr>
          <w:rFonts w:ascii="宋体" w:hAnsi="宋体" w:cs="宋体"/>
          <w:color w:val="auto"/>
          <w:sz w:val="18"/>
          <w:szCs w:val="18"/>
          <w:highlight w:val="none"/>
        </w:rPr>
      </w:pPr>
    </w:p>
    <w:p w14:paraId="0D76BC9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276A4D2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5194498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9A8F5A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1BAD420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364D053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B9D7D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14AFB00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FF34B4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BE48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7867B07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25BC45C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294B3FF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AF13888">
      <w:pPr>
        <w:pStyle w:val="24"/>
        <w:rPr>
          <w:rFonts w:hAnsi="宋体" w:cs="宋体"/>
          <w:color w:val="auto"/>
          <w:sz w:val="18"/>
          <w:szCs w:val="18"/>
          <w:highlight w:val="none"/>
          <w:lang w:val="en-US"/>
        </w:rPr>
      </w:pPr>
    </w:p>
    <w:p w14:paraId="4F962C5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07854B7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04447C91">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38151CF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24C7C38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45A2D6CB">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26026185">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0FA902F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7CF1309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77C5C3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428C47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A7AFC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6D649C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5" w:name="_Hlk101259339"/>
      <w:r>
        <w:rPr>
          <w:rFonts w:hint="eastAsia" w:ascii="宋体" w:hAnsi="宋体" w:cs="宋体"/>
          <w:snapToGrid w:val="0"/>
          <w:color w:val="auto"/>
          <w:kern w:val="28"/>
          <w:sz w:val="24"/>
          <w:szCs w:val="20"/>
          <w:highlight w:val="none"/>
        </w:rPr>
        <w:t>联合协议</w:t>
      </w:r>
      <w:bookmarkStart w:id="16" w:name="_Hlk101257010"/>
      <w:r>
        <w:rPr>
          <w:rFonts w:hint="eastAsia" w:ascii="宋体" w:hAnsi="宋体" w:cs="宋体"/>
          <w:snapToGrid w:val="0"/>
          <w:color w:val="auto"/>
          <w:kern w:val="28"/>
          <w:sz w:val="24"/>
          <w:szCs w:val="20"/>
          <w:highlight w:val="none"/>
        </w:rPr>
        <w:t>（如果有)</w:t>
      </w:r>
      <w:bookmarkEnd w:id="15"/>
      <w:bookmarkEnd w:id="16"/>
      <w:r>
        <w:rPr>
          <w:rFonts w:hint="eastAsia" w:ascii="宋体" w:hAnsi="宋体" w:cs="宋体"/>
          <w:snapToGrid w:val="0"/>
          <w:color w:val="auto"/>
          <w:kern w:val="28"/>
          <w:sz w:val="24"/>
          <w:szCs w:val="20"/>
          <w:highlight w:val="none"/>
        </w:rPr>
        <w:t>；</w:t>
      </w:r>
    </w:p>
    <w:p w14:paraId="18CC29B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落实政府采购政策需满足的资格要求；《中小企业声明函》；</w:t>
      </w:r>
    </w:p>
    <w:p w14:paraId="32E6D27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p>
    <w:p w14:paraId="1D51D8A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4CB9941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p>
    <w:p w14:paraId="1AB998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3CFBE9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7FB1DD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1D71A8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721FE0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5A5FD5F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8A8EE2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1DB3C6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5398C2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6D0C896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2F4FD539">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7199B173">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F18951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57B3FB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781C82DD">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9B05F6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076A46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04753954">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4FE7252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19013EC9">
      <w:pPr>
        <w:pStyle w:val="129"/>
        <w:snapToGrid w:val="0"/>
        <w:spacing w:before="0"/>
        <w:ind w:firstLine="0" w:firstLineChars="0"/>
        <w:rPr>
          <w:rFonts w:ascii="宋体" w:hAnsi="宋体" w:cs="宋体"/>
          <w:b/>
          <w:color w:val="auto"/>
          <w:szCs w:val="24"/>
          <w:highlight w:val="none"/>
        </w:rPr>
      </w:pPr>
    </w:p>
    <w:p w14:paraId="49B69D8A">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0B928238">
      <w:pPr>
        <w:pStyle w:val="129"/>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79C7346">
      <w:pPr>
        <w:pStyle w:val="129"/>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206D177D">
      <w:pPr>
        <w:pStyle w:val="129"/>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1F8741EC">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5E583717">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0472AB0E">
      <w:pPr>
        <w:pStyle w:val="3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477CC65A">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0BFA9002">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545F2332">
      <w:pPr>
        <w:pStyle w:val="33"/>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6243696">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7F63E852">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1B7AB13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4E6B171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3F81A91A">
      <w:pPr>
        <w:pStyle w:val="129"/>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7930E0DF">
      <w:pPr>
        <w:pStyle w:val="129"/>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3AC49333">
      <w:pPr>
        <w:pStyle w:val="129"/>
        <w:spacing w:before="0"/>
        <w:ind w:firstLine="643"/>
        <w:rPr>
          <w:rFonts w:ascii="宋体" w:hAnsi="宋体" w:cs="宋体"/>
          <w:b/>
          <w:color w:val="auto"/>
          <w:sz w:val="32"/>
          <w:highlight w:val="none"/>
        </w:rPr>
      </w:pPr>
    </w:p>
    <w:p w14:paraId="28297672">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4973F14F">
      <w:pPr>
        <w:pStyle w:val="555"/>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p>
    <w:p w14:paraId="18AB1CC7">
      <w:pPr>
        <w:pStyle w:val="555"/>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5E85FE27">
      <w:pPr>
        <w:pStyle w:val="555"/>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0AB44883">
      <w:pPr>
        <w:pStyle w:val="555"/>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335666A7">
      <w:pPr>
        <w:pStyle w:val="555"/>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0CA0C1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1D57F6F4">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17B1C84D">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557A7880">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0EA66425">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F4BC114">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7E1F780B">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7D948A22">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04C66150">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4947D6D">
      <w:pPr>
        <w:pStyle w:val="129"/>
        <w:spacing w:before="0"/>
        <w:ind w:firstLine="0" w:firstLineChars="0"/>
        <w:rPr>
          <w:rFonts w:ascii="宋体" w:hAnsi="宋体" w:cs="宋体"/>
          <w:color w:val="auto"/>
          <w:kern w:val="0"/>
          <w:szCs w:val="24"/>
          <w:highlight w:val="none"/>
        </w:rPr>
      </w:pPr>
    </w:p>
    <w:p w14:paraId="0E472A8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29F7747">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1FB463A1">
      <w:pPr>
        <w:spacing w:line="360" w:lineRule="auto"/>
        <w:rPr>
          <w:rFonts w:ascii="宋体" w:hAnsi="宋体" w:cs="宋体"/>
          <w:b/>
          <w:color w:val="auto"/>
          <w:sz w:val="24"/>
          <w:highlight w:val="none"/>
        </w:rPr>
      </w:pPr>
    </w:p>
    <w:p w14:paraId="14709897">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220AA6DB">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14:paraId="79D8D34B">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D5563A">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2BE445B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7720A81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4018C6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B17CB23">
      <w:pPr>
        <w:snapToGrid w:val="0"/>
        <w:spacing w:line="360" w:lineRule="auto"/>
        <w:ind w:left="120" w:leftChars="57" w:firstLine="482" w:firstLineChars="150"/>
        <w:jc w:val="center"/>
        <w:rPr>
          <w:rFonts w:ascii="宋体" w:hAnsi="宋体" w:cs="宋体"/>
          <w:b/>
          <w:color w:val="auto"/>
          <w:sz w:val="32"/>
          <w:highlight w:val="none"/>
        </w:rPr>
      </w:pPr>
    </w:p>
    <w:p w14:paraId="138F8DC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2D418E58">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01E701A">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17039C10">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AF3FA2E">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B3783D4">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E92017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080A01E">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7738EC30">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6DC8C363">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w:t>
      </w:r>
      <w:r>
        <w:rPr>
          <w:rFonts w:ascii="宋体" w:hAnsi="宋体"/>
          <w:color w:val="auto"/>
          <w:sz w:val="24"/>
          <w:highlight w:val="none"/>
        </w:rPr>
        <w:t>1%</w:t>
      </w:r>
      <w:r>
        <w:rPr>
          <w:rFonts w:hint="eastAsia" w:ascii="宋体" w:hAnsi="宋体"/>
          <w:color w:val="auto"/>
          <w:sz w:val="24"/>
          <w:highlight w:val="none"/>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olor w:val="auto"/>
          <w:sz w:val="24"/>
          <w:highlight w:val="none"/>
        </w:rPr>
        <w:t>延迟退还的，应当按照合同约定和法律规定承担相应的赔偿责任</w:t>
      </w:r>
      <w:r>
        <w:rPr>
          <w:rFonts w:hint="eastAsia" w:ascii="宋体" w:hAnsi="宋体"/>
          <w:color w:val="auto"/>
          <w:sz w:val="24"/>
          <w:highlight w:val="none"/>
        </w:rPr>
        <w:t>。</w:t>
      </w:r>
    </w:p>
    <w:p w14:paraId="5C28062D">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DC89B87">
      <w:pPr>
        <w:keepNext/>
        <w:keepLines/>
        <w:tabs>
          <w:tab w:val="left" w:pos="432"/>
        </w:tabs>
        <w:adjustRightInd/>
        <w:ind w:left="431" w:hanging="431"/>
        <w:rPr>
          <w:color w:val="auto"/>
          <w:highlight w:val="none"/>
        </w:rPr>
      </w:pPr>
      <w:r>
        <w:rPr>
          <w:rFonts w:ascii="宋体" w:hAnsi="宋体"/>
          <w:b/>
          <w:bCs/>
          <w:color w:val="auto"/>
          <w:sz w:val="24"/>
          <w:szCs w:val="32"/>
          <w:highlight w:val="none"/>
        </w:rPr>
        <w:t>27.预付款</w:t>
      </w:r>
    </w:p>
    <w:p w14:paraId="2D35C8C8">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3800212">
      <w:pPr>
        <w:rPr>
          <w:color w:val="auto"/>
          <w:highlight w:val="none"/>
        </w:rPr>
      </w:pPr>
    </w:p>
    <w:p w14:paraId="6F76EC1D">
      <w:pPr>
        <w:snapToGrid w:val="0"/>
        <w:spacing w:line="360" w:lineRule="auto"/>
        <w:ind w:firstLine="3357" w:firstLineChars="1045"/>
        <w:rPr>
          <w:rFonts w:ascii="宋体" w:hAnsi="宋体" w:cs="宋体"/>
          <w:b/>
          <w:color w:val="auto"/>
          <w:sz w:val="32"/>
          <w:highlight w:val="none"/>
        </w:rPr>
      </w:pPr>
    </w:p>
    <w:p w14:paraId="28B8DBDF">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1189AEEF">
      <w:pPr>
        <w:pStyle w:val="12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342813B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6CD5F8E">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0FA9D1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4702836">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37DA38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629B2DE">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4EF9F5">
      <w:pPr>
        <w:tabs>
          <w:tab w:val="left" w:pos="0"/>
        </w:tabs>
        <w:spacing w:line="360" w:lineRule="auto"/>
        <w:ind w:firstLine="480"/>
        <w:rPr>
          <w:rFonts w:ascii="宋体" w:hAnsi="宋体" w:cs="宋体"/>
          <w:color w:val="auto"/>
          <w:sz w:val="24"/>
          <w:highlight w:val="none"/>
        </w:rPr>
      </w:pPr>
    </w:p>
    <w:p w14:paraId="6F5A36E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7879C26F">
      <w:pPr>
        <w:pStyle w:val="25"/>
        <w:spacing w:line="360" w:lineRule="auto"/>
        <w:ind w:firstLine="0" w:firstLineChars="0"/>
        <w:rPr>
          <w:rFonts w:cs="宋体"/>
          <w:b/>
          <w:color w:val="auto"/>
          <w:highlight w:val="none"/>
        </w:rPr>
      </w:pPr>
      <w:r>
        <w:rPr>
          <w:rFonts w:hint="eastAsia" w:cs="宋体"/>
          <w:b/>
          <w:color w:val="auto"/>
          <w:highlight w:val="none"/>
        </w:rPr>
        <w:t>30.验收</w:t>
      </w:r>
    </w:p>
    <w:p w14:paraId="1C0B121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E3540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FD526D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19173E">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52D6996D">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pgNumType w:fmt="decimal"/>
          <w:cols w:space="720" w:num="1"/>
          <w:titlePg/>
          <w:docGrid w:linePitch="312" w:charSpace="0"/>
        </w:sectPr>
      </w:pPr>
      <w:bookmarkStart w:id="18" w:name="_Hlt75236101"/>
      <w:bookmarkEnd w:id="18"/>
      <w:bookmarkStart w:id="19" w:name="_Hlt74707468"/>
      <w:bookmarkEnd w:id="19"/>
      <w:bookmarkStart w:id="20" w:name="_Hlt75236290"/>
      <w:bookmarkEnd w:id="20"/>
      <w:bookmarkStart w:id="21" w:name="_Hlt68072998"/>
      <w:bookmarkEnd w:id="21"/>
      <w:bookmarkStart w:id="22" w:name="_Hlt74714665"/>
      <w:bookmarkEnd w:id="22"/>
      <w:bookmarkStart w:id="23" w:name="_Hlt74729768"/>
      <w:bookmarkEnd w:id="23"/>
      <w:bookmarkStart w:id="24" w:name="_Hlt74730295"/>
      <w:bookmarkEnd w:id="24"/>
      <w:bookmarkStart w:id="25" w:name="_Hlt68073093"/>
      <w:bookmarkEnd w:id="25"/>
      <w:bookmarkStart w:id="26" w:name="_Hlt75236011"/>
      <w:bookmarkEnd w:id="26"/>
      <w:bookmarkStart w:id="27" w:name="_Hlt68057669"/>
      <w:bookmarkEnd w:id="27"/>
      <w:bookmarkStart w:id="28" w:name="_Hlt68072990"/>
      <w:bookmarkEnd w:id="28"/>
      <w:bookmarkStart w:id="29" w:name="_Hlt68403820"/>
      <w:bookmarkEnd w:id="29"/>
    </w:p>
    <w:bookmarkEnd w:id="12"/>
    <w:bookmarkEnd w:id="13"/>
    <w:p w14:paraId="39504FF2">
      <w:pPr>
        <w:pStyle w:val="33"/>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Ansi="宋体" w:cs="宋体"/>
          <w:b/>
          <w:snapToGrid/>
          <w:color w:val="auto"/>
          <w:sz w:val="36"/>
          <w:szCs w:val="20"/>
          <w:highlight w:val="none"/>
        </w:rPr>
      </w:pPr>
      <w:bookmarkStart w:id="30" w:name="第四部分"/>
      <w:r>
        <w:rPr>
          <w:rFonts w:hint="eastAsia" w:hAnsi="宋体" w:cs="宋体"/>
          <w:b/>
          <w:snapToGrid/>
          <w:color w:val="auto"/>
          <w:sz w:val="36"/>
          <w:szCs w:val="20"/>
          <w:highlight w:val="none"/>
        </w:rPr>
        <w:t>第三部分 采购需求</w:t>
      </w:r>
    </w:p>
    <w:p w14:paraId="1634E90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626BB790">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2024年西湖区道路端头交通安全治理绿化工程，项目位于浙江省杭州市西湖区，具体内容和工程做法详见图纸说明及清单。</w:t>
      </w:r>
    </w:p>
    <w:p w14:paraId="7CDB03D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cs="仿宋_GB2312"/>
          <w:b/>
          <w:bCs/>
          <w:color w:val="auto"/>
          <w:sz w:val="24"/>
          <w:highlight w:val="none"/>
          <w:lang w:eastAsia="zh-CN"/>
        </w:rPr>
      </w:pPr>
      <w:r>
        <w:rPr>
          <w:rFonts w:hint="eastAsia" w:ascii="宋体" w:hAnsi="宋体" w:cs="仿宋_GB2312"/>
          <w:b/>
          <w:bCs/>
          <w:color w:val="auto"/>
          <w:sz w:val="24"/>
          <w:highlight w:val="none"/>
          <w:lang w:eastAsia="zh-CN"/>
        </w:rPr>
        <w:t xml:space="preserve">二、工程内容 </w:t>
      </w:r>
    </w:p>
    <w:p w14:paraId="6E172BA1">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1.工程名称</w:t>
      </w:r>
    </w:p>
    <w:p w14:paraId="510D4DFC">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2024年西湖区道路端头交通安全治理绿化工程。</w:t>
      </w:r>
    </w:p>
    <w:p w14:paraId="5DB27153">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2.现场条件</w:t>
      </w:r>
    </w:p>
    <w:p w14:paraId="33DCF218">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项目施工点零散，遍布整个西湖区，供应商应仔细了解图纸并详细勘察现场情况，且实施前应制定详细施工方案（含交通组织方案）报采购人及交通管理部门审批后方可实施，对此产生的一切费用包含在综合单价中，请各投标单位慎重报价。</w:t>
      </w:r>
    </w:p>
    <w:p w14:paraId="6B889DA0">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3.工程承包范围</w:t>
      </w:r>
    </w:p>
    <w:p w14:paraId="6444EFE3">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工程内容：2024年西湖区道路端头交通安全治理绿化工程，项目位于浙江省杭州市西湖区，具体内容和工程做法详见图纸说明及清单。</w:t>
      </w:r>
    </w:p>
    <w:p w14:paraId="77742517">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工程承包范围：</w:t>
      </w:r>
    </w:p>
    <w:p w14:paraId="075C63D8">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1）招标范围内的全部工程内容（具体详见招标文件、工程量清单及其编制说明)；可能出现的图纸修改引起的工程量增减以及其他发包人明确指令要求完成的工作量。</w:t>
      </w:r>
    </w:p>
    <w:p w14:paraId="02ED3079">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2）可能出现的施工图修改引起的工程量增减以及根据采购人明确指令需在招标范围外增加的工程量及招标范围内减少的工程量。</w:t>
      </w:r>
    </w:p>
    <w:p w14:paraId="552DA2D5">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3DD790E1">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4.工程质量标准</w:t>
      </w:r>
    </w:p>
    <w:p w14:paraId="1B35E1E4">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符合（工程施工质量验收规范）合格标准。</w:t>
      </w:r>
    </w:p>
    <w:p w14:paraId="0107D2B3">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5.工程施工要求</w:t>
      </w:r>
    </w:p>
    <w:p w14:paraId="0DB59570">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5.1技术规范要求：</w:t>
      </w:r>
    </w:p>
    <w:p w14:paraId="61DED89A">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（1）本工程项目的材料、设备、施工必须达到现行中华人民共和国及省、市、行业的一切有关法规、规范的要求，如标准及规范要求有出入则以较严格者为准。</w:t>
      </w:r>
    </w:p>
    <w:p w14:paraId="2BE67C62">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20A26385">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5.2安全文明施工要求</w:t>
      </w:r>
    </w:p>
    <w:p w14:paraId="19F23CE3">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（1）成交供应商应对进度施工现场的施工人员进行安全文明施工教育，配备必要的劳动保护用具，保证工程的施工安全和人身安全。</w:t>
      </w:r>
    </w:p>
    <w:p w14:paraId="4DBCC95B">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（2）成交供应商应强化安全意识，抓好安全生产，杜绝事故发生，施工中若因供应商原因发生安全及人身事故由成交供应商自行负责处理，并承担全部费用。</w:t>
      </w:r>
    </w:p>
    <w:p w14:paraId="3A96D5AF">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3）成交供应商须遵守地方政府和有关部门及采购人对施工场地交通、环卫、安全和施工噪音等的管理规定，并按规定办理所有审批手续，如：与电力部门的沟通及相关手续办理，因吊车占道与环卫、城管、交警等部门的沟通及相关手续办理等。</w:t>
      </w:r>
    </w:p>
    <w:p w14:paraId="02E312F9">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（4）成交供应商应采取有效措施尽量减小尘土和噪音污染，需要进行夜间作业时应经有关部门批准。</w:t>
      </w:r>
    </w:p>
    <w:p w14:paraId="75CDCB6C">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（5）项目实施期间，为减少对周边住户的影响，要求确保文明施工措施到位。</w:t>
      </w:r>
    </w:p>
    <w:p w14:paraId="537D8CF9">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5.3其它施工过程中需注意事项</w:t>
      </w:r>
    </w:p>
    <w:p w14:paraId="3FDF49F3">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（1）本工程在施工期间，成交供应商应注意保护好周边现有成品，如有损坏，须无条件修复至采购人满意。</w:t>
      </w:r>
    </w:p>
    <w:p w14:paraId="5A245F94">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（2）废弃材料不得丢弃或随意堆放，清理产生的拆除费、搬运费、交通运输费等各项费用均由供应商自行考虑并计入响应总价且一次性包干。</w:t>
      </w:r>
    </w:p>
    <w:p w14:paraId="4D874618">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（3）工程完工后，成交供应商需对施工现场进行全面的清洁工作。</w:t>
      </w:r>
    </w:p>
    <w:p w14:paraId="44C6577A">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6.工程管理要求</w:t>
      </w:r>
    </w:p>
    <w:p w14:paraId="7511A5A1">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1）成交供应商应严格按已确认的图纸说明及清单，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3C7FEF3E">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2AFBF74D">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（3）成交供应商应有详细的工程安全措施和安全组织及配备专职安全负责人的说明和承诺，以确保安全施工。</w:t>
      </w:r>
    </w:p>
    <w:p w14:paraId="19013DD2">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（4）成交供应商在进场施工前，应对施工图及现场实物等进行核对并对不符合要求部分提出整改意见，若成交供应商未及时提出意见造成的有关损失由成交供应商承担。</w:t>
      </w:r>
    </w:p>
    <w:p w14:paraId="71239F82">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（5）电力不足或停电，自备发电机，其费用由成交供应商自行承担。</w:t>
      </w:r>
    </w:p>
    <w:p w14:paraId="03B515CD">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（6）成交供应商在工程施工全过程中要认真做好产品保护。因失窃或失火造成的损失均由成交供应商负责，凡由此而损及采购方利益时，采购方将向成交供应商索赔。</w:t>
      </w:r>
    </w:p>
    <w:p w14:paraId="301F67A7">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7）本工程工期较紧，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70B45A14">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8）为减少对周边住户的影响，应按采购人、交通管理部门要求临时调整施工时间、施工方案等，施工作业环境的种种不利因素，如夜间施工、垃圾装袋外运等等均需由供应商考虑，并将所需费用包含在磋商报价中。</w:t>
      </w:r>
    </w:p>
    <w:p w14:paraId="3C5CEA99">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（9）施工期间，所有施工人员的食宿均由成交供应商自行安排。</w:t>
      </w:r>
    </w:p>
    <w:p w14:paraId="395A72C6">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（10）工程管理其他要求：</w:t>
      </w:r>
    </w:p>
    <w:p w14:paraId="566AB556">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1）本项目施工现场采购人不提供食宿，施工期间，所有施工人员的食宿均由成交供应商自行安排，材料的堆放及停车必须服从采购人的安排。</w:t>
      </w:r>
    </w:p>
    <w:p w14:paraId="3C46A3EB">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2）成交供应商须满足采购人管理的要求、遵守有关管理制度，服从监理的管理和协调，确保施工项目的安全、高效、顺利进行，满足采购人的日常需求，防范消防等安全事件的发生。</w:t>
      </w:r>
    </w:p>
    <w:p w14:paraId="6F593548">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3）施工期间，按采购人要求做好施工现场及其周边的卫生、特殊防护等，必要时需要中断施工等等，均需要由供应商在磋商报价中充分考虑并包含。</w:t>
      </w:r>
    </w:p>
    <w:p w14:paraId="28B8AA9C">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4）施工现场严禁吸烟。</w:t>
      </w:r>
    </w:p>
    <w:p w14:paraId="46058318">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（11）本项目施工时间需按照采购人管理要求。</w:t>
      </w:r>
    </w:p>
    <w:p w14:paraId="7E593875">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 xml:space="preserve">7.工程主要材料（设备）要求  </w:t>
      </w:r>
    </w:p>
    <w:p w14:paraId="37F61371">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7.1材料选择</w:t>
      </w:r>
    </w:p>
    <w:p w14:paraId="7B64B838">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（1）本项目所有的材料（苗木）采购前均需经建设单位、设计、监理确认后方可批量采购。</w:t>
      </w:r>
    </w:p>
    <w:p w14:paraId="5EF19403">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2）详细情况见图纸说明及清单。各响应单位在进行综合单价报价时必须结合图纸说明、磋商文件中的相关条款及清单描述进行报价，组价时应结合供应商现场勘察情况包括完成所有工序工作内容的全部费用。清单子目中未能对各节点详图进行完全性描述的必须结合现场情况进行报价，清单描述中未及的施工工艺必须结合图纸说明及现场情况进行报价，否则视为已计入相应项目综合单价中，成交后将不调整综合单价。</w:t>
      </w:r>
    </w:p>
    <w:p w14:paraId="1E71FB6F">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7.2养护要求：</w:t>
      </w:r>
    </w:p>
    <w:p w14:paraId="5F19B235">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（1）在养护期内，成交供应商对有缺陷的苗木必须无偿地给予更换，并承担一切由此引起的对采购人或第三者的直接损失，除非该缺陷是由于人为破坏或合同规定的不可抗力因素造成的损坏。</w:t>
      </w:r>
    </w:p>
    <w:p w14:paraId="0A7692D7">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（2）养护标准严格按照杭州市相关绿化养护标准实施。</w:t>
      </w:r>
    </w:p>
    <w:p w14:paraId="056A9AA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cs="仿宋_GB2312"/>
          <w:color w:val="auto"/>
          <w:sz w:val="24"/>
          <w:highlight w:val="none"/>
          <w:lang w:eastAsia="zh-CN"/>
        </w:rPr>
      </w:pPr>
      <w:r>
        <w:rPr>
          <w:rFonts w:hint="eastAsia" w:ascii="宋体" w:hAnsi="宋体" w:cs="仿宋_GB2312"/>
          <w:b/>
          <w:bCs/>
          <w:color w:val="auto"/>
          <w:sz w:val="24"/>
          <w:highlight w:val="none"/>
          <w:lang w:eastAsia="zh-CN"/>
        </w:rPr>
        <w:t>三、项目相关附件</w:t>
      </w:r>
      <w:r>
        <w:rPr>
          <w:rFonts w:hint="eastAsia" w:ascii="宋体" w:hAnsi="宋体" w:cs="仿宋_GB2312"/>
          <w:color w:val="auto"/>
          <w:sz w:val="24"/>
          <w:highlight w:val="none"/>
          <w:lang w:eastAsia="zh-CN"/>
        </w:rPr>
        <w:t>-项目图纸。</w:t>
      </w:r>
    </w:p>
    <w:p w14:paraId="0FFB54F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cs="仿宋_GB2312"/>
          <w:color w:val="auto"/>
          <w:sz w:val="24"/>
          <w:highlight w:val="none"/>
          <w:lang w:eastAsia="zh-CN"/>
        </w:rPr>
      </w:pPr>
      <w:r>
        <w:rPr>
          <w:rFonts w:hint="eastAsia" w:ascii="宋体" w:hAnsi="宋体" w:cs="仿宋_GB2312"/>
          <w:b/>
          <w:bCs/>
          <w:color w:val="auto"/>
          <w:sz w:val="24"/>
          <w:highlight w:val="none"/>
          <w:lang w:eastAsia="zh-CN"/>
        </w:rPr>
        <w:t>四、工程量清单</w:t>
      </w:r>
      <w:r>
        <w:rPr>
          <w:rFonts w:hint="eastAsia" w:ascii="宋体" w:hAnsi="宋体" w:cs="仿宋_GB2312"/>
          <w:color w:val="auto"/>
          <w:sz w:val="24"/>
          <w:highlight w:val="none"/>
          <w:lang w:eastAsia="zh-CN"/>
        </w:rPr>
        <w:t>-详见附件</w:t>
      </w:r>
    </w:p>
    <w:p w14:paraId="70BF361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cs="仿宋_GB2312"/>
          <w:b/>
          <w:bCs/>
          <w:color w:val="auto"/>
          <w:sz w:val="24"/>
          <w:highlight w:val="none"/>
          <w:lang w:eastAsia="zh-CN"/>
        </w:rPr>
      </w:pPr>
      <w:r>
        <w:rPr>
          <w:rFonts w:hint="eastAsia" w:ascii="宋体" w:hAnsi="宋体" w:cs="仿宋_GB2312"/>
          <w:b/>
          <w:bCs/>
          <w:color w:val="auto"/>
          <w:sz w:val="24"/>
          <w:highlight w:val="none"/>
          <w:lang w:eastAsia="zh-CN"/>
        </w:rPr>
        <w:t>五、相关说明</w:t>
      </w:r>
    </w:p>
    <w:p w14:paraId="7717DC9F">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5.1、工程进度款支付：根据《浙江省财政厅关于进一步发挥政府采购政策功能全力推动经济稳进提质的通知》-【浙财采监〔2022〕3号】相关规定：</w:t>
      </w:r>
    </w:p>
    <w:p w14:paraId="73B32320">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（1）开工后7个工作日内，采购人支付合同价的40%作为预付款（在签订合同时，供应商也可明确表示无需预付款或者主动要求降低预付款比例）给成交人；</w:t>
      </w:r>
    </w:p>
    <w:p w14:paraId="0BF97201">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2）待工程竣工验收合格后，支付至合同价的80%；工程审计完成且资料归档后，凭审计告知函或审计报告付至审计价的98.5%，剩余1.5%作为质保金于竣工验收合格一年后和质量回访合格后凭质量回访单、工程交接单无息付清。承包人承诺放弃因发包人内部请款流程等原因造成的支付合同价款时间与合同约定的支付时间不匹配而向委托人追究相关违约责任的权利。</w:t>
      </w:r>
    </w:p>
    <w:p w14:paraId="6EEAF8AC">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5.2、履约保证金：合同签订后，进度款支付前,中标人向采购人提供履约担保，金额为合同价1%。以转账支票、电汇或银行保函的形式向采购人提交履约担保。</w:t>
      </w:r>
    </w:p>
    <w:p w14:paraId="57EC4623">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 xml:space="preserve">履约担保包括：工程质量保证金占30%，工期保证金占30%，安全文明施工保证金占20%，项目班子到位保证金占20%。 </w:t>
      </w:r>
    </w:p>
    <w:p w14:paraId="0E24EEF5">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若中标人未提供履约担保，则采购人有权拒付工程款。中标人逾期提供履约担保的，采购人有权暂缓支付预付款，且不视为采购人违约，逾期超过20日，采购人有权解除合同，要求中标人承担50000元的违约金。</w:t>
      </w:r>
    </w:p>
    <w:p w14:paraId="6AC0583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eastAsia" w:ascii="宋体" w:hAnsi="宋体" w:cs="仿宋_GB2312"/>
          <w:b/>
          <w:bCs/>
          <w:color w:val="auto"/>
          <w:sz w:val="24"/>
          <w:highlight w:val="none"/>
          <w:lang w:eastAsia="zh-CN"/>
        </w:rPr>
      </w:pPr>
      <w:r>
        <w:rPr>
          <w:rFonts w:hint="eastAsia" w:ascii="宋体" w:hAnsi="宋体" w:cs="仿宋_GB2312"/>
          <w:b/>
          <w:bCs/>
          <w:color w:val="auto"/>
          <w:sz w:val="24"/>
          <w:highlight w:val="none"/>
          <w:lang w:eastAsia="zh-CN"/>
        </w:rPr>
        <w:t>六、工程标准</w:t>
      </w:r>
    </w:p>
    <w:p w14:paraId="689F1B16">
      <w:pPr>
        <w:spacing w:line="360" w:lineRule="auto"/>
        <w:ind w:firstLine="480" w:firstLineChars="200"/>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 xml:space="preserve">本项目需执行的国家相关标准、行业标准、地方标准或者其他标准、规范。 </w:t>
      </w:r>
    </w:p>
    <w:p w14:paraId="4E19D403">
      <w:pPr>
        <w:spacing w:line="360" w:lineRule="auto"/>
        <w:ind w:firstLine="723" w:firstLineChars="200"/>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1" w:name="_Toc184314460"/>
      <w:bookmarkEnd w:id="31"/>
      <w:bookmarkStart w:id="32" w:name="_Toc184312115"/>
      <w:bookmarkEnd w:id="32"/>
      <w:bookmarkStart w:id="33" w:name="_Toc184308086"/>
      <w:bookmarkEnd w:id="33"/>
      <w:bookmarkStart w:id="34" w:name="_Toc184313250"/>
      <w:bookmarkEnd w:id="34"/>
      <w:bookmarkStart w:id="35" w:name="_Toc184312138"/>
      <w:bookmarkEnd w:id="35"/>
      <w:bookmarkStart w:id="36" w:name="_Toc184314427"/>
      <w:bookmarkEnd w:id="36"/>
      <w:bookmarkStart w:id="37" w:name="_Toc184314472"/>
      <w:bookmarkEnd w:id="37"/>
      <w:bookmarkStart w:id="38" w:name="_Toc184314449"/>
      <w:bookmarkEnd w:id="38"/>
      <w:bookmarkStart w:id="39" w:name="_Toc184314462"/>
      <w:bookmarkEnd w:id="39"/>
      <w:bookmarkStart w:id="40" w:name="_Toc184313275"/>
      <w:bookmarkEnd w:id="40"/>
      <w:bookmarkStart w:id="41" w:name="_Toc184313260"/>
      <w:bookmarkEnd w:id="41"/>
      <w:bookmarkStart w:id="42" w:name="_Toc184312125"/>
      <w:bookmarkEnd w:id="42"/>
      <w:bookmarkStart w:id="43" w:name="_Toc184310326"/>
      <w:bookmarkEnd w:id="43"/>
      <w:bookmarkStart w:id="44" w:name="_Toc184308079"/>
      <w:bookmarkEnd w:id="44"/>
      <w:bookmarkStart w:id="45" w:name="_Toc184314422"/>
      <w:bookmarkEnd w:id="45"/>
      <w:bookmarkStart w:id="46" w:name="_Toc184308074"/>
      <w:bookmarkEnd w:id="46"/>
      <w:bookmarkStart w:id="47" w:name="_Toc184313268"/>
      <w:bookmarkEnd w:id="47"/>
      <w:bookmarkStart w:id="48" w:name="_Toc184310279"/>
      <w:bookmarkEnd w:id="48"/>
      <w:bookmarkStart w:id="49" w:name="_Toc184313308"/>
      <w:bookmarkEnd w:id="49"/>
      <w:bookmarkStart w:id="50" w:name="_Toc184313270"/>
      <w:bookmarkEnd w:id="50"/>
      <w:bookmarkStart w:id="51" w:name="_Toc184314469"/>
      <w:bookmarkEnd w:id="51"/>
      <w:bookmarkStart w:id="52" w:name="_Toc184310301"/>
      <w:bookmarkEnd w:id="52"/>
      <w:bookmarkStart w:id="53" w:name="_Toc184312088"/>
      <w:bookmarkEnd w:id="53"/>
      <w:bookmarkStart w:id="54" w:name="_Toc184310319"/>
      <w:bookmarkEnd w:id="54"/>
      <w:bookmarkStart w:id="55" w:name="_Toc184308058"/>
      <w:bookmarkEnd w:id="55"/>
      <w:bookmarkStart w:id="56" w:name="_Toc184312072"/>
      <w:bookmarkEnd w:id="56"/>
      <w:bookmarkStart w:id="57" w:name="_Toc184312133"/>
      <w:bookmarkEnd w:id="57"/>
      <w:bookmarkStart w:id="58" w:name="_Toc184310318"/>
      <w:bookmarkEnd w:id="58"/>
      <w:bookmarkStart w:id="59" w:name="_Toc184313266"/>
      <w:bookmarkEnd w:id="59"/>
      <w:bookmarkStart w:id="60" w:name="_Toc184313300"/>
      <w:bookmarkEnd w:id="60"/>
      <w:bookmarkStart w:id="61" w:name="_Toc184310291"/>
      <w:bookmarkEnd w:id="61"/>
      <w:bookmarkStart w:id="62" w:name="_Toc184308043"/>
      <w:bookmarkEnd w:id="62"/>
      <w:bookmarkStart w:id="63" w:name="_Toc184308083"/>
      <w:bookmarkEnd w:id="63"/>
      <w:bookmarkStart w:id="64" w:name="_Toc184313283"/>
      <w:bookmarkEnd w:id="64"/>
      <w:bookmarkStart w:id="65" w:name="_Toc184314468"/>
      <w:bookmarkEnd w:id="65"/>
      <w:bookmarkStart w:id="66" w:name="_Toc184313242"/>
      <w:bookmarkEnd w:id="66"/>
      <w:bookmarkStart w:id="67" w:name="_Toc184310333"/>
      <w:bookmarkEnd w:id="67"/>
      <w:bookmarkStart w:id="68" w:name="_Toc184310323"/>
      <w:bookmarkEnd w:id="68"/>
      <w:bookmarkStart w:id="69" w:name="_Toc184314432"/>
      <w:bookmarkEnd w:id="69"/>
      <w:bookmarkStart w:id="70" w:name="_Toc184314446"/>
      <w:bookmarkEnd w:id="70"/>
      <w:bookmarkStart w:id="71" w:name="_Toc184314431"/>
      <w:bookmarkEnd w:id="71"/>
      <w:bookmarkStart w:id="72" w:name="_Toc184314421"/>
      <w:bookmarkEnd w:id="72"/>
      <w:bookmarkStart w:id="73" w:name="_Toc184308103"/>
      <w:bookmarkEnd w:id="73"/>
      <w:bookmarkStart w:id="74" w:name="_Toc184310276"/>
      <w:bookmarkEnd w:id="74"/>
      <w:bookmarkStart w:id="75" w:name="_Toc184308050"/>
      <w:bookmarkEnd w:id="75"/>
      <w:bookmarkStart w:id="76" w:name="_Toc184310327"/>
      <w:bookmarkEnd w:id="76"/>
      <w:bookmarkStart w:id="77" w:name="_Toc184308048"/>
      <w:bookmarkEnd w:id="77"/>
      <w:bookmarkStart w:id="78" w:name="_Toc184312098"/>
      <w:bookmarkEnd w:id="78"/>
      <w:bookmarkStart w:id="79" w:name="_Toc184310312"/>
      <w:bookmarkEnd w:id="79"/>
      <w:bookmarkStart w:id="80" w:name="_Toc184313285"/>
      <w:bookmarkEnd w:id="80"/>
      <w:bookmarkStart w:id="81" w:name="_Toc184314477"/>
      <w:bookmarkEnd w:id="81"/>
      <w:bookmarkStart w:id="82" w:name="_Toc184314411"/>
      <w:bookmarkEnd w:id="82"/>
      <w:bookmarkStart w:id="83" w:name="_Toc184310305"/>
      <w:bookmarkEnd w:id="83"/>
      <w:bookmarkStart w:id="84" w:name="_Toc184308106"/>
      <w:bookmarkEnd w:id="84"/>
      <w:bookmarkStart w:id="85" w:name="_Toc184312086"/>
      <w:bookmarkEnd w:id="85"/>
      <w:bookmarkStart w:id="86" w:name="_Toc184314457"/>
      <w:bookmarkEnd w:id="86"/>
      <w:bookmarkStart w:id="87" w:name="_Toc184314461"/>
      <w:bookmarkEnd w:id="87"/>
      <w:bookmarkStart w:id="88" w:name="_Toc184313264"/>
      <w:bookmarkEnd w:id="88"/>
      <w:bookmarkStart w:id="89" w:name="_Toc184314470"/>
      <w:bookmarkEnd w:id="89"/>
      <w:bookmarkStart w:id="90" w:name="_Toc184313272"/>
      <w:bookmarkEnd w:id="90"/>
      <w:bookmarkStart w:id="91" w:name="_Toc184312084"/>
      <w:bookmarkEnd w:id="91"/>
      <w:bookmarkStart w:id="92" w:name="_Toc184310277"/>
      <w:bookmarkEnd w:id="92"/>
      <w:bookmarkStart w:id="93" w:name="_Toc184310335"/>
      <w:bookmarkEnd w:id="93"/>
      <w:bookmarkStart w:id="94" w:name="_Toc184308047"/>
      <w:bookmarkEnd w:id="94"/>
      <w:bookmarkStart w:id="95" w:name="_Toc184308070"/>
      <w:bookmarkEnd w:id="95"/>
      <w:bookmarkStart w:id="96" w:name="_Toc184312092"/>
      <w:bookmarkEnd w:id="96"/>
      <w:bookmarkStart w:id="97" w:name="_Toc184313282"/>
      <w:bookmarkEnd w:id="97"/>
      <w:bookmarkStart w:id="98" w:name="_Toc184314443"/>
      <w:bookmarkEnd w:id="98"/>
      <w:bookmarkStart w:id="99" w:name="_Toc184313265"/>
      <w:bookmarkEnd w:id="99"/>
      <w:bookmarkStart w:id="100" w:name="_Toc184314418"/>
      <w:bookmarkEnd w:id="100"/>
      <w:bookmarkStart w:id="101" w:name="_Toc184313309"/>
      <w:bookmarkEnd w:id="101"/>
      <w:bookmarkStart w:id="102" w:name="_Toc184312130"/>
      <w:bookmarkEnd w:id="102"/>
      <w:bookmarkStart w:id="103" w:name="_Toc184312101"/>
      <w:bookmarkEnd w:id="103"/>
      <w:bookmarkStart w:id="104" w:name="_Toc184314425"/>
      <w:bookmarkEnd w:id="104"/>
      <w:bookmarkStart w:id="105" w:name="_Toc184313274"/>
      <w:bookmarkEnd w:id="105"/>
      <w:bookmarkStart w:id="106" w:name="_Toc184310294"/>
      <w:bookmarkEnd w:id="106"/>
      <w:bookmarkStart w:id="107" w:name="_Toc184313267"/>
      <w:bookmarkEnd w:id="107"/>
      <w:bookmarkStart w:id="108" w:name="_Toc184310343"/>
      <w:bookmarkEnd w:id="108"/>
      <w:bookmarkStart w:id="109" w:name="_Toc184310293"/>
      <w:bookmarkEnd w:id="109"/>
      <w:bookmarkStart w:id="110" w:name="_Toc184313273"/>
      <w:bookmarkEnd w:id="110"/>
      <w:bookmarkStart w:id="111" w:name="_Toc184314482"/>
      <w:bookmarkEnd w:id="111"/>
      <w:bookmarkStart w:id="112" w:name="_Toc184308072"/>
      <w:bookmarkEnd w:id="112"/>
      <w:bookmarkStart w:id="113" w:name="_Toc184313243"/>
      <w:bookmarkEnd w:id="113"/>
      <w:bookmarkStart w:id="114" w:name="_Toc184314474"/>
      <w:bookmarkEnd w:id="114"/>
      <w:bookmarkStart w:id="115" w:name="_Toc184310296"/>
      <w:bookmarkEnd w:id="115"/>
      <w:bookmarkStart w:id="116" w:name="_Toc184313278"/>
      <w:bookmarkEnd w:id="116"/>
      <w:bookmarkStart w:id="117" w:name="_Toc184313238"/>
      <w:bookmarkEnd w:id="117"/>
      <w:bookmarkStart w:id="118" w:name="_Toc184313262"/>
      <w:bookmarkEnd w:id="118"/>
      <w:bookmarkStart w:id="119" w:name="_Toc184312103"/>
      <w:bookmarkEnd w:id="119"/>
      <w:bookmarkStart w:id="120" w:name="_Toc184314416"/>
      <w:bookmarkEnd w:id="120"/>
      <w:bookmarkStart w:id="121" w:name="_Toc184308040"/>
      <w:bookmarkEnd w:id="121"/>
      <w:bookmarkStart w:id="122" w:name="_Toc184312100"/>
      <w:bookmarkEnd w:id="122"/>
      <w:bookmarkStart w:id="123" w:name="_Toc184312114"/>
      <w:bookmarkEnd w:id="123"/>
      <w:bookmarkStart w:id="124" w:name="_Toc184308089"/>
      <w:bookmarkEnd w:id="124"/>
      <w:bookmarkStart w:id="125" w:name="_Toc184314437"/>
      <w:bookmarkEnd w:id="125"/>
      <w:bookmarkStart w:id="126" w:name="_Toc184312108"/>
      <w:bookmarkEnd w:id="126"/>
      <w:bookmarkStart w:id="127" w:name="_Toc184313298"/>
      <w:bookmarkEnd w:id="127"/>
      <w:bookmarkStart w:id="128" w:name="_Toc184312077"/>
      <w:bookmarkEnd w:id="128"/>
      <w:bookmarkStart w:id="129" w:name="_Toc184310334"/>
      <w:bookmarkEnd w:id="129"/>
      <w:bookmarkStart w:id="130" w:name="_Toc184313297"/>
      <w:bookmarkEnd w:id="130"/>
      <w:bookmarkStart w:id="131" w:name="_Toc184310282"/>
      <w:bookmarkEnd w:id="131"/>
      <w:bookmarkStart w:id="132" w:name="_Toc184314465"/>
      <w:bookmarkEnd w:id="132"/>
      <w:bookmarkStart w:id="133" w:name="_Toc184314435"/>
      <w:bookmarkEnd w:id="133"/>
      <w:bookmarkStart w:id="134" w:name="_Toc184308096"/>
      <w:bookmarkEnd w:id="134"/>
      <w:bookmarkStart w:id="135" w:name="_Toc184308077"/>
      <w:bookmarkEnd w:id="135"/>
      <w:bookmarkStart w:id="136" w:name="_Toc184308075"/>
      <w:bookmarkEnd w:id="136"/>
      <w:bookmarkStart w:id="137" w:name="_Toc184313290"/>
      <w:bookmarkEnd w:id="137"/>
      <w:bookmarkStart w:id="138" w:name="_Toc184313287"/>
      <w:bookmarkEnd w:id="138"/>
      <w:bookmarkStart w:id="139" w:name="_Toc184313289"/>
      <w:bookmarkEnd w:id="139"/>
      <w:bookmarkStart w:id="140" w:name="_Toc184308073"/>
      <w:bookmarkEnd w:id="140"/>
      <w:bookmarkStart w:id="141" w:name="_Toc184312091"/>
      <w:bookmarkEnd w:id="141"/>
      <w:bookmarkStart w:id="142" w:name="_Toc184308065"/>
      <w:bookmarkEnd w:id="142"/>
      <w:bookmarkStart w:id="143" w:name="_Toc184314459"/>
      <w:bookmarkEnd w:id="143"/>
      <w:bookmarkStart w:id="144" w:name="_Toc184308054"/>
      <w:bookmarkEnd w:id="144"/>
      <w:bookmarkStart w:id="145" w:name="_Toc184314464"/>
      <w:bookmarkEnd w:id="145"/>
      <w:bookmarkStart w:id="146" w:name="_Toc184312075"/>
      <w:bookmarkEnd w:id="146"/>
      <w:bookmarkStart w:id="147" w:name="_Toc184314444"/>
      <w:bookmarkEnd w:id="147"/>
      <w:bookmarkStart w:id="148" w:name="_Toc184310280"/>
      <w:bookmarkEnd w:id="148"/>
      <w:bookmarkStart w:id="149" w:name="_Toc184310341"/>
      <w:bookmarkEnd w:id="149"/>
      <w:bookmarkStart w:id="150" w:name="_Toc184308095"/>
      <w:bookmarkEnd w:id="150"/>
      <w:bookmarkStart w:id="151" w:name="_Toc184308060"/>
      <w:bookmarkEnd w:id="151"/>
      <w:bookmarkStart w:id="152" w:name="_Toc184308046"/>
      <w:bookmarkEnd w:id="152"/>
      <w:bookmarkStart w:id="153" w:name="_Toc184310324"/>
      <w:bookmarkEnd w:id="153"/>
      <w:bookmarkStart w:id="154" w:name="_Toc184308061"/>
      <w:bookmarkEnd w:id="154"/>
      <w:bookmarkStart w:id="155" w:name="_Toc184313307"/>
      <w:bookmarkEnd w:id="155"/>
      <w:bookmarkStart w:id="156" w:name="_Toc184314430"/>
      <w:bookmarkEnd w:id="156"/>
      <w:bookmarkStart w:id="157" w:name="_Toc184314478"/>
      <w:bookmarkEnd w:id="157"/>
      <w:bookmarkStart w:id="158" w:name="_Toc184308041"/>
      <w:bookmarkEnd w:id="158"/>
      <w:bookmarkStart w:id="159" w:name="_Toc184310287"/>
      <w:bookmarkEnd w:id="159"/>
      <w:bookmarkStart w:id="160" w:name="_Toc184308059"/>
      <w:bookmarkEnd w:id="160"/>
      <w:bookmarkStart w:id="161" w:name="_Toc184314454"/>
      <w:bookmarkEnd w:id="161"/>
      <w:bookmarkStart w:id="162" w:name="_Toc184310315"/>
      <w:bookmarkEnd w:id="162"/>
      <w:bookmarkStart w:id="163" w:name="_Toc184314480"/>
      <w:bookmarkEnd w:id="163"/>
      <w:bookmarkStart w:id="164" w:name="_Toc184308098"/>
      <w:bookmarkEnd w:id="164"/>
      <w:bookmarkStart w:id="165" w:name="_Toc184314448"/>
      <w:bookmarkEnd w:id="165"/>
      <w:bookmarkStart w:id="166" w:name="_Toc184310297"/>
      <w:bookmarkEnd w:id="166"/>
      <w:bookmarkStart w:id="167" w:name="_Toc184310288"/>
      <w:bookmarkEnd w:id="167"/>
      <w:bookmarkStart w:id="168" w:name="_Toc184314410"/>
      <w:bookmarkEnd w:id="168"/>
      <w:bookmarkStart w:id="169" w:name="_Toc184308037"/>
      <w:bookmarkEnd w:id="169"/>
      <w:bookmarkStart w:id="170" w:name="_Toc184308107"/>
      <w:bookmarkEnd w:id="170"/>
      <w:bookmarkStart w:id="171" w:name="_Toc184312110"/>
      <w:bookmarkEnd w:id="171"/>
      <w:bookmarkStart w:id="172" w:name="_Toc184310281"/>
      <w:bookmarkEnd w:id="172"/>
      <w:bookmarkStart w:id="173" w:name="_Toc184308085"/>
      <w:bookmarkEnd w:id="173"/>
      <w:bookmarkStart w:id="174" w:name="_Toc184310329"/>
      <w:bookmarkEnd w:id="174"/>
      <w:bookmarkStart w:id="175" w:name="_Toc184314466"/>
      <w:bookmarkEnd w:id="175"/>
      <w:bookmarkStart w:id="176" w:name="_Toc184310336"/>
      <w:bookmarkEnd w:id="176"/>
      <w:bookmarkStart w:id="177" w:name="_Toc184312120"/>
      <w:bookmarkEnd w:id="177"/>
      <w:bookmarkStart w:id="178" w:name="_Toc184313244"/>
      <w:bookmarkEnd w:id="178"/>
      <w:bookmarkStart w:id="179" w:name="_Toc184313252"/>
      <w:bookmarkEnd w:id="179"/>
      <w:bookmarkStart w:id="180" w:name="_Toc184308062"/>
      <w:bookmarkEnd w:id="180"/>
      <w:bookmarkStart w:id="181" w:name="_Toc184308056"/>
      <w:bookmarkEnd w:id="181"/>
      <w:bookmarkStart w:id="182" w:name="_Toc184310290"/>
      <w:bookmarkEnd w:id="182"/>
      <w:bookmarkStart w:id="183" w:name="_Toc184310344"/>
      <w:bookmarkEnd w:id="183"/>
      <w:bookmarkStart w:id="184" w:name="_Toc184308038"/>
      <w:bookmarkEnd w:id="184"/>
      <w:bookmarkStart w:id="185" w:name="_Toc184313292"/>
      <w:bookmarkEnd w:id="185"/>
      <w:bookmarkStart w:id="186" w:name="_Toc184313305"/>
      <w:bookmarkEnd w:id="186"/>
      <w:bookmarkStart w:id="187" w:name="_Toc184312087"/>
      <w:bookmarkEnd w:id="187"/>
      <w:bookmarkStart w:id="188" w:name="_Toc184313239"/>
      <w:bookmarkEnd w:id="188"/>
      <w:bookmarkStart w:id="189" w:name="_Toc184310317"/>
      <w:bookmarkEnd w:id="189"/>
      <w:bookmarkStart w:id="190" w:name="_Toc184312099"/>
      <w:bookmarkEnd w:id="190"/>
      <w:bookmarkStart w:id="191" w:name="_Toc184314450"/>
      <w:bookmarkEnd w:id="191"/>
      <w:bookmarkStart w:id="192" w:name="_Toc184312131"/>
      <w:bookmarkEnd w:id="192"/>
      <w:bookmarkStart w:id="193" w:name="_Toc184314426"/>
      <w:bookmarkEnd w:id="193"/>
      <w:bookmarkStart w:id="194" w:name="_Toc184314419"/>
      <w:bookmarkEnd w:id="194"/>
      <w:bookmarkStart w:id="195" w:name="_Toc184308039"/>
      <w:bookmarkEnd w:id="195"/>
      <w:bookmarkStart w:id="196" w:name="_Toc184312073"/>
      <w:bookmarkEnd w:id="196"/>
      <w:bookmarkStart w:id="197" w:name="_Toc184313301"/>
      <w:bookmarkEnd w:id="197"/>
      <w:bookmarkStart w:id="198" w:name="_Toc184313259"/>
      <w:bookmarkEnd w:id="198"/>
      <w:bookmarkStart w:id="199" w:name="_Toc184312083"/>
      <w:bookmarkEnd w:id="199"/>
      <w:bookmarkStart w:id="200" w:name="_Toc184308080"/>
      <w:bookmarkEnd w:id="200"/>
      <w:bookmarkStart w:id="201" w:name="_Toc184312139"/>
      <w:bookmarkEnd w:id="201"/>
      <w:bookmarkStart w:id="202" w:name="_Toc184313269"/>
      <w:bookmarkEnd w:id="202"/>
      <w:bookmarkStart w:id="203" w:name="_Toc184308045"/>
      <w:bookmarkEnd w:id="203"/>
      <w:bookmarkStart w:id="204" w:name="_Toc184313280"/>
      <w:bookmarkEnd w:id="204"/>
      <w:bookmarkStart w:id="205" w:name="_Toc184312134"/>
      <w:bookmarkEnd w:id="205"/>
      <w:bookmarkStart w:id="206" w:name="_Toc184312119"/>
      <w:bookmarkEnd w:id="206"/>
      <w:bookmarkStart w:id="207" w:name="_Toc184313261"/>
      <w:bookmarkEnd w:id="207"/>
      <w:bookmarkStart w:id="208" w:name="_Toc184314481"/>
      <w:bookmarkEnd w:id="208"/>
      <w:bookmarkStart w:id="209" w:name="_Toc184310304"/>
      <w:bookmarkEnd w:id="209"/>
      <w:bookmarkStart w:id="210" w:name="_Toc184313279"/>
      <w:bookmarkEnd w:id="210"/>
      <w:bookmarkStart w:id="211" w:name="_Toc184310273"/>
      <w:bookmarkEnd w:id="211"/>
      <w:bookmarkStart w:id="212" w:name="_Toc184314417"/>
      <w:bookmarkEnd w:id="212"/>
      <w:bookmarkStart w:id="213" w:name="_Toc184313310"/>
      <w:bookmarkEnd w:id="213"/>
      <w:bookmarkStart w:id="214" w:name="_Toc184314438"/>
      <w:bookmarkEnd w:id="214"/>
      <w:bookmarkStart w:id="215" w:name="_Toc184314434"/>
      <w:bookmarkEnd w:id="215"/>
      <w:bookmarkStart w:id="216" w:name="_Toc184310322"/>
      <w:bookmarkEnd w:id="216"/>
      <w:bookmarkStart w:id="217" w:name="_Toc184310299"/>
      <w:bookmarkEnd w:id="217"/>
      <w:bookmarkStart w:id="218" w:name="_Toc184308066"/>
      <w:bookmarkEnd w:id="218"/>
      <w:bookmarkStart w:id="219" w:name="_Toc184313302"/>
      <w:bookmarkEnd w:id="219"/>
      <w:bookmarkStart w:id="220" w:name="_Toc184314413"/>
      <w:bookmarkEnd w:id="220"/>
      <w:bookmarkStart w:id="221" w:name="_Toc184308087"/>
      <w:bookmarkEnd w:id="221"/>
      <w:bookmarkStart w:id="222" w:name="_Toc184312074"/>
      <w:bookmarkEnd w:id="222"/>
      <w:bookmarkStart w:id="223" w:name="_Toc184310320"/>
      <w:bookmarkEnd w:id="223"/>
      <w:bookmarkStart w:id="224" w:name="_Toc184310283"/>
      <w:bookmarkEnd w:id="224"/>
      <w:bookmarkStart w:id="225" w:name="_Toc184313263"/>
      <w:bookmarkEnd w:id="225"/>
      <w:bookmarkStart w:id="226" w:name="_Toc184313294"/>
      <w:bookmarkEnd w:id="226"/>
      <w:bookmarkStart w:id="227" w:name="_Toc184310311"/>
      <w:bookmarkEnd w:id="227"/>
      <w:bookmarkStart w:id="228" w:name="_Toc184310331"/>
      <w:bookmarkEnd w:id="228"/>
      <w:bookmarkStart w:id="229" w:name="_Toc184310310"/>
      <w:bookmarkEnd w:id="229"/>
      <w:bookmarkStart w:id="230" w:name="_Toc184308097"/>
      <w:bookmarkEnd w:id="230"/>
      <w:bookmarkStart w:id="231" w:name="_Toc184312123"/>
      <w:bookmarkEnd w:id="231"/>
      <w:bookmarkStart w:id="232" w:name="_Toc184314453"/>
      <w:bookmarkEnd w:id="232"/>
      <w:bookmarkStart w:id="233" w:name="_Toc184312106"/>
      <w:bookmarkEnd w:id="233"/>
      <w:bookmarkStart w:id="234" w:name="_Toc184313254"/>
      <w:bookmarkEnd w:id="234"/>
      <w:bookmarkStart w:id="235" w:name="_Toc184310278"/>
      <w:bookmarkEnd w:id="235"/>
      <w:bookmarkStart w:id="236" w:name="_Toc184312096"/>
      <w:bookmarkEnd w:id="236"/>
      <w:bookmarkStart w:id="237" w:name="_Toc184310313"/>
      <w:bookmarkEnd w:id="237"/>
      <w:bookmarkStart w:id="238" w:name="_Toc184308104"/>
      <w:bookmarkEnd w:id="238"/>
      <w:bookmarkStart w:id="239" w:name="_Toc184312122"/>
      <w:bookmarkEnd w:id="239"/>
      <w:bookmarkStart w:id="240" w:name="_Toc184312097"/>
      <w:bookmarkEnd w:id="240"/>
      <w:bookmarkStart w:id="241" w:name="_Toc184314442"/>
      <w:bookmarkEnd w:id="241"/>
      <w:bookmarkStart w:id="242" w:name="_Toc184313304"/>
      <w:bookmarkEnd w:id="242"/>
      <w:bookmarkStart w:id="243" w:name="_Toc184312068"/>
      <w:bookmarkEnd w:id="243"/>
      <w:bookmarkStart w:id="244" w:name="_Toc184314423"/>
      <w:bookmarkEnd w:id="244"/>
      <w:bookmarkStart w:id="245" w:name="_Toc184313241"/>
      <w:bookmarkEnd w:id="245"/>
      <w:bookmarkStart w:id="246" w:name="_Toc184314456"/>
      <w:bookmarkEnd w:id="246"/>
      <w:bookmarkStart w:id="247" w:name="_Toc184312095"/>
      <w:bookmarkEnd w:id="247"/>
      <w:bookmarkStart w:id="248" w:name="_Toc184308082"/>
      <w:bookmarkEnd w:id="248"/>
      <w:bookmarkStart w:id="249" w:name="_Toc184312124"/>
      <w:bookmarkEnd w:id="249"/>
      <w:bookmarkStart w:id="250" w:name="_Toc184308063"/>
      <w:bookmarkEnd w:id="250"/>
      <w:bookmarkStart w:id="251" w:name="_Toc184312112"/>
      <w:bookmarkEnd w:id="251"/>
      <w:bookmarkStart w:id="252" w:name="_Toc184308100"/>
      <w:bookmarkEnd w:id="252"/>
      <w:bookmarkStart w:id="253" w:name="_Toc184310295"/>
      <w:bookmarkEnd w:id="253"/>
      <w:bookmarkStart w:id="254" w:name="_Toc184308078"/>
      <w:bookmarkEnd w:id="254"/>
      <w:bookmarkStart w:id="255" w:name="_Toc184314455"/>
      <w:bookmarkEnd w:id="255"/>
      <w:bookmarkStart w:id="256" w:name="_Toc184310325"/>
      <w:bookmarkEnd w:id="256"/>
      <w:bookmarkStart w:id="257" w:name="_Toc184310338"/>
      <w:bookmarkEnd w:id="257"/>
      <w:bookmarkStart w:id="258" w:name="_Toc184312128"/>
      <w:bookmarkEnd w:id="258"/>
      <w:bookmarkStart w:id="259" w:name="_Toc184313271"/>
      <w:bookmarkEnd w:id="259"/>
      <w:bookmarkStart w:id="260" w:name="_Toc184312076"/>
      <w:bookmarkEnd w:id="260"/>
      <w:bookmarkStart w:id="261" w:name="_Toc184314479"/>
      <w:bookmarkEnd w:id="261"/>
      <w:bookmarkStart w:id="262" w:name="_Toc184310309"/>
      <w:bookmarkEnd w:id="262"/>
      <w:bookmarkStart w:id="263" w:name="_Toc184313281"/>
      <w:bookmarkEnd w:id="263"/>
      <w:bookmarkStart w:id="264" w:name="_Toc184312136"/>
      <w:bookmarkEnd w:id="264"/>
      <w:bookmarkStart w:id="265" w:name="_Toc184310292"/>
      <w:bookmarkEnd w:id="265"/>
      <w:bookmarkStart w:id="266" w:name="_Toc184313276"/>
      <w:bookmarkEnd w:id="266"/>
      <w:bookmarkStart w:id="267" w:name="_Toc184313291"/>
      <w:bookmarkEnd w:id="267"/>
      <w:bookmarkStart w:id="268" w:name="_Toc184314452"/>
      <w:bookmarkEnd w:id="268"/>
      <w:bookmarkStart w:id="269" w:name="_Toc184314424"/>
      <w:bookmarkEnd w:id="269"/>
      <w:bookmarkStart w:id="270" w:name="_Toc184310342"/>
      <w:bookmarkEnd w:id="270"/>
      <w:bookmarkStart w:id="271" w:name="_Toc184312081"/>
      <w:bookmarkEnd w:id="271"/>
      <w:bookmarkStart w:id="272" w:name="_Toc184308108"/>
      <w:bookmarkEnd w:id="272"/>
      <w:bookmarkStart w:id="273" w:name="_Toc184314471"/>
      <w:bookmarkEnd w:id="273"/>
      <w:bookmarkStart w:id="274" w:name="_Toc184312113"/>
      <w:bookmarkEnd w:id="274"/>
      <w:bookmarkStart w:id="275" w:name="_Toc184312116"/>
      <w:bookmarkEnd w:id="275"/>
      <w:bookmarkStart w:id="276" w:name="_Toc184313286"/>
      <w:bookmarkEnd w:id="276"/>
      <w:bookmarkStart w:id="277" w:name="_Toc184313247"/>
      <w:bookmarkEnd w:id="277"/>
      <w:bookmarkStart w:id="278" w:name="_Toc184308071"/>
      <w:bookmarkEnd w:id="278"/>
      <w:bookmarkStart w:id="279" w:name="_Toc184313251"/>
      <w:bookmarkEnd w:id="279"/>
      <w:bookmarkStart w:id="280" w:name="_Toc184312126"/>
      <w:bookmarkEnd w:id="280"/>
      <w:bookmarkStart w:id="281" w:name="_Toc184308051"/>
      <w:bookmarkEnd w:id="281"/>
      <w:bookmarkStart w:id="282" w:name="_Toc184314441"/>
      <w:bookmarkEnd w:id="282"/>
      <w:bookmarkStart w:id="283" w:name="_Toc184314433"/>
      <w:bookmarkEnd w:id="283"/>
      <w:bookmarkStart w:id="284" w:name="_Toc184310289"/>
      <w:bookmarkEnd w:id="284"/>
      <w:bookmarkStart w:id="285" w:name="_Toc184313277"/>
      <w:bookmarkEnd w:id="285"/>
      <w:bookmarkStart w:id="286" w:name="_Toc184310275"/>
      <w:bookmarkEnd w:id="286"/>
      <w:bookmarkStart w:id="287" w:name="_Toc184313248"/>
      <w:bookmarkEnd w:id="287"/>
      <w:bookmarkStart w:id="288" w:name="_Toc184308042"/>
      <w:bookmarkEnd w:id="288"/>
      <w:bookmarkStart w:id="289" w:name="_Toc184314467"/>
      <w:bookmarkEnd w:id="289"/>
      <w:bookmarkStart w:id="290" w:name="_Toc184313240"/>
      <w:bookmarkEnd w:id="290"/>
      <w:bookmarkStart w:id="291" w:name="_Toc184312107"/>
      <w:bookmarkEnd w:id="291"/>
      <w:bookmarkStart w:id="292" w:name="_Toc184313306"/>
      <w:bookmarkEnd w:id="292"/>
      <w:bookmarkStart w:id="293" w:name="_Toc184312067"/>
      <w:bookmarkEnd w:id="293"/>
      <w:bookmarkStart w:id="294" w:name="_Toc184312129"/>
      <w:bookmarkEnd w:id="294"/>
      <w:bookmarkStart w:id="295" w:name="_Toc184313296"/>
      <w:bookmarkEnd w:id="295"/>
      <w:bookmarkStart w:id="296" w:name="_Toc184310330"/>
      <w:bookmarkEnd w:id="296"/>
      <w:bookmarkStart w:id="297" w:name="_Toc184310302"/>
      <w:bookmarkEnd w:id="297"/>
      <w:bookmarkStart w:id="298" w:name="_Toc184312069"/>
      <w:bookmarkEnd w:id="298"/>
      <w:bookmarkStart w:id="299" w:name="_Toc184312082"/>
      <w:bookmarkEnd w:id="299"/>
      <w:bookmarkStart w:id="300" w:name="_Toc184310314"/>
      <w:bookmarkEnd w:id="300"/>
      <w:bookmarkStart w:id="301" w:name="_Toc184312105"/>
      <w:bookmarkEnd w:id="301"/>
      <w:bookmarkStart w:id="302" w:name="_Toc184313295"/>
      <w:bookmarkEnd w:id="302"/>
      <w:bookmarkStart w:id="303" w:name="_Toc184310339"/>
      <w:bookmarkEnd w:id="303"/>
      <w:bookmarkStart w:id="304" w:name="_Toc184313288"/>
      <w:bookmarkEnd w:id="304"/>
      <w:bookmarkStart w:id="305" w:name="_Toc184313293"/>
      <w:bookmarkEnd w:id="305"/>
      <w:bookmarkStart w:id="306" w:name="_Toc184313249"/>
      <w:bookmarkEnd w:id="306"/>
      <w:bookmarkStart w:id="307" w:name="_Toc184308105"/>
      <w:bookmarkEnd w:id="307"/>
      <w:bookmarkStart w:id="308" w:name="_Toc184314439"/>
      <w:bookmarkEnd w:id="308"/>
      <w:bookmarkStart w:id="309" w:name="_Toc184312104"/>
      <w:bookmarkEnd w:id="309"/>
      <w:bookmarkStart w:id="310" w:name="_Toc184312111"/>
      <w:bookmarkEnd w:id="310"/>
      <w:bookmarkStart w:id="311" w:name="_Toc184308091"/>
      <w:bookmarkEnd w:id="311"/>
      <w:bookmarkStart w:id="312" w:name="_Toc184312070"/>
      <w:bookmarkEnd w:id="312"/>
      <w:bookmarkStart w:id="313" w:name="_Toc184310308"/>
      <w:bookmarkEnd w:id="313"/>
      <w:bookmarkStart w:id="314" w:name="_Toc184313253"/>
      <w:bookmarkEnd w:id="314"/>
      <w:bookmarkStart w:id="315" w:name="_Toc184314463"/>
      <w:bookmarkEnd w:id="315"/>
      <w:bookmarkStart w:id="316" w:name="_Toc184308036"/>
      <w:bookmarkEnd w:id="316"/>
      <w:bookmarkStart w:id="317" w:name="_Toc184313257"/>
      <w:bookmarkEnd w:id="317"/>
      <w:bookmarkStart w:id="318" w:name="_Toc184312089"/>
      <w:bookmarkEnd w:id="318"/>
      <w:bookmarkStart w:id="319" w:name="_Toc184310300"/>
      <w:bookmarkEnd w:id="319"/>
      <w:bookmarkStart w:id="320" w:name="_Toc184313303"/>
      <w:bookmarkEnd w:id="320"/>
      <w:bookmarkStart w:id="321" w:name="_Toc184312121"/>
      <w:bookmarkEnd w:id="321"/>
      <w:bookmarkStart w:id="322" w:name="_Toc184308069"/>
      <w:bookmarkEnd w:id="322"/>
      <w:bookmarkStart w:id="323" w:name="_Toc184308093"/>
      <w:bookmarkEnd w:id="323"/>
      <w:bookmarkStart w:id="324" w:name="_Toc184312132"/>
      <w:bookmarkEnd w:id="324"/>
      <w:bookmarkStart w:id="325" w:name="_Toc184308094"/>
      <w:bookmarkEnd w:id="325"/>
      <w:bookmarkStart w:id="326" w:name="_Toc184308088"/>
      <w:bookmarkEnd w:id="326"/>
      <w:bookmarkStart w:id="327" w:name="_Toc184313245"/>
      <w:bookmarkEnd w:id="327"/>
      <w:bookmarkStart w:id="328" w:name="_Toc184308055"/>
      <w:bookmarkEnd w:id="328"/>
      <w:bookmarkStart w:id="329" w:name="_Toc184310286"/>
      <w:bookmarkEnd w:id="329"/>
      <w:bookmarkStart w:id="330" w:name="_Toc184314412"/>
      <w:bookmarkEnd w:id="330"/>
      <w:bookmarkStart w:id="331" w:name="_Toc184312078"/>
      <w:bookmarkEnd w:id="331"/>
      <w:bookmarkStart w:id="332" w:name="_Toc184314475"/>
      <w:bookmarkEnd w:id="332"/>
      <w:bookmarkStart w:id="333" w:name="_Toc184314476"/>
      <w:bookmarkEnd w:id="333"/>
      <w:bookmarkStart w:id="334" w:name="_Toc184312127"/>
      <w:bookmarkEnd w:id="334"/>
      <w:bookmarkStart w:id="335" w:name="_Toc184310328"/>
      <w:bookmarkEnd w:id="335"/>
      <w:bookmarkStart w:id="336" w:name="_Toc184310316"/>
      <w:bookmarkEnd w:id="336"/>
      <w:bookmarkStart w:id="337" w:name="_Toc184312102"/>
      <w:bookmarkEnd w:id="337"/>
      <w:bookmarkStart w:id="338" w:name="_Toc184312135"/>
      <w:bookmarkEnd w:id="338"/>
      <w:bookmarkStart w:id="339" w:name="_Toc184308064"/>
      <w:bookmarkEnd w:id="339"/>
      <w:bookmarkStart w:id="340" w:name="_Toc184312094"/>
      <w:bookmarkEnd w:id="340"/>
      <w:bookmarkStart w:id="341" w:name="_Toc184313255"/>
      <w:bookmarkEnd w:id="341"/>
      <w:bookmarkStart w:id="342" w:name="_Toc184308092"/>
      <w:bookmarkEnd w:id="342"/>
      <w:bookmarkStart w:id="343" w:name="_Toc184310332"/>
      <w:bookmarkEnd w:id="343"/>
      <w:bookmarkStart w:id="344" w:name="_Toc184310285"/>
      <w:bookmarkEnd w:id="344"/>
      <w:bookmarkStart w:id="345" w:name="_Toc184314414"/>
      <w:bookmarkEnd w:id="345"/>
      <w:bookmarkStart w:id="346" w:name="_Toc184308090"/>
      <w:bookmarkEnd w:id="346"/>
      <w:bookmarkStart w:id="347" w:name="_Toc184313246"/>
      <w:bookmarkEnd w:id="347"/>
      <w:bookmarkStart w:id="348" w:name="_Toc184313256"/>
      <w:bookmarkEnd w:id="348"/>
      <w:bookmarkStart w:id="349" w:name="_Toc184312071"/>
      <w:bookmarkEnd w:id="349"/>
      <w:bookmarkStart w:id="350" w:name="_Toc184308053"/>
      <w:bookmarkEnd w:id="350"/>
      <w:bookmarkStart w:id="351" w:name="_Toc184310303"/>
      <w:bookmarkEnd w:id="351"/>
      <w:bookmarkStart w:id="352" w:name="_Toc184314428"/>
      <w:bookmarkEnd w:id="352"/>
      <w:bookmarkStart w:id="353" w:name="_Toc184314473"/>
      <w:bookmarkEnd w:id="353"/>
      <w:bookmarkStart w:id="354" w:name="_Toc184314447"/>
      <w:bookmarkEnd w:id="354"/>
      <w:bookmarkStart w:id="355" w:name="_Toc184314458"/>
      <w:bookmarkEnd w:id="355"/>
      <w:bookmarkStart w:id="356" w:name="_Toc184308099"/>
      <w:bookmarkEnd w:id="356"/>
      <w:bookmarkStart w:id="357" w:name="_Toc184314415"/>
      <w:bookmarkEnd w:id="357"/>
      <w:bookmarkStart w:id="358" w:name="_Toc184308084"/>
      <w:bookmarkEnd w:id="358"/>
      <w:bookmarkStart w:id="359" w:name="_Toc184312109"/>
      <w:bookmarkEnd w:id="359"/>
      <w:bookmarkStart w:id="360" w:name="_Toc184310307"/>
      <w:bookmarkEnd w:id="360"/>
      <w:bookmarkStart w:id="361" w:name="_Toc184308057"/>
      <w:bookmarkEnd w:id="361"/>
      <w:bookmarkStart w:id="362" w:name="_Toc184310340"/>
      <w:bookmarkEnd w:id="362"/>
      <w:bookmarkStart w:id="363" w:name="_Toc184308101"/>
      <w:bookmarkEnd w:id="363"/>
      <w:bookmarkStart w:id="364" w:name="_Toc184312080"/>
      <w:bookmarkEnd w:id="364"/>
      <w:bookmarkStart w:id="365" w:name="_Toc184312118"/>
      <w:bookmarkEnd w:id="365"/>
      <w:bookmarkStart w:id="366" w:name="_Toc184308067"/>
      <w:bookmarkEnd w:id="366"/>
      <w:bookmarkStart w:id="367" w:name="_Toc184308076"/>
      <w:bookmarkEnd w:id="367"/>
      <w:bookmarkStart w:id="368" w:name="_Toc184312090"/>
      <w:bookmarkEnd w:id="368"/>
      <w:bookmarkStart w:id="369" w:name="_Toc184310306"/>
      <w:bookmarkEnd w:id="369"/>
      <w:bookmarkStart w:id="370" w:name="_Toc184312093"/>
      <w:bookmarkEnd w:id="370"/>
      <w:bookmarkStart w:id="371" w:name="_Toc184314445"/>
      <w:bookmarkEnd w:id="371"/>
      <w:bookmarkStart w:id="372" w:name="_Toc184314440"/>
      <w:bookmarkEnd w:id="372"/>
      <w:bookmarkStart w:id="373" w:name="_Toc184310272"/>
      <w:bookmarkEnd w:id="373"/>
      <w:bookmarkStart w:id="374" w:name="_Toc184310274"/>
      <w:bookmarkEnd w:id="374"/>
      <w:bookmarkStart w:id="375" w:name="_Toc184308068"/>
      <w:bookmarkEnd w:id="375"/>
      <w:bookmarkStart w:id="376" w:name="_Toc184308044"/>
      <w:bookmarkEnd w:id="376"/>
      <w:bookmarkStart w:id="377" w:name="_Toc184314420"/>
      <w:bookmarkEnd w:id="377"/>
      <w:bookmarkStart w:id="378" w:name="_Toc184314451"/>
      <w:bookmarkEnd w:id="378"/>
      <w:bookmarkStart w:id="379" w:name="_Toc184308102"/>
      <w:bookmarkEnd w:id="379"/>
      <w:bookmarkStart w:id="380" w:name="_Toc184310284"/>
      <w:bookmarkEnd w:id="380"/>
      <w:bookmarkStart w:id="381" w:name="_Toc184310337"/>
      <w:bookmarkEnd w:id="381"/>
      <w:bookmarkStart w:id="382" w:name="_Toc184312117"/>
      <w:bookmarkEnd w:id="382"/>
      <w:bookmarkStart w:id="383" w:name="_Toc184312137"/>
      <w:bookmarkEnd w:id="383"/>
      <w:bookmarkStart w:id="384" w:name="_Toc184313299"/>
      <w:bookmarkEnd w:id="384"/>
      <w:bookmarkStart w:id="385" w:name="_Toc184308081"/>
      <w:bookmarkEnd w:id="385"/>
      <w:bookmarkStart w:id="386" w:name="_Toc184308052"/>
      <w:bookmarkEnd w:id="386"/>
      <w:bookmarkStart w:id="387" w:name="_Toc184313258"/>
      <w:bookmarkEnd w:id="387"/>
      <w:bookmarkStart w:id="388" w:name="_Toc184312085"/>
      <w:bookmarkEnd w:id="388"/>
      <w:bookmarkStart w:id="389" w:name="_Toc184314436"/>
      <w:bookmarkEnd w:id="389"/>
      <w:bookmarkStart w:id="390" w:name="_Toc184314429"/>
      <w:bookmarkEnd w:id="390"/>
      <w:bookmarkStart w:id="391" w:name="_Toc184308049"/>
      <w:bookmarkEnd w:id="391"/>
      <w:bookmarkStart w:id="392" w:name="_Toc184313284"/>
      <w:bookmarkEnd w:id="392"/>
      <w:bookmarkStart w:id="393" w:name="_Toc184310321"/>
      <w:bookmarkEnd w:id="393"/>
      <w:bookmarkStart w:id="394" w:name="_Toc184312079"/>
      <w:bookmarkEnd w:id="394"/>
      <w:bookmarkStart w:id="395" w:name="_Toc184310298"/>
      <w:bookmarkEnd w:id="395"/>
      <w:r>
        <w:rPr>
          <w:rFonts w:hint="eastAsia" w:ascii="宋体" w:hAnsi="宋体" w:cs="宋体"/>
          <w:b/>
          <w:color w:val="auto"/>
          <w:sz w:val="36"/>
          <w:szCs w:val="20"/>
          <w:highlight w:val="none"/>
        </w:rPr>
        <w:t xml:space="preserve"> 评审办法</w:t>
      </w:r>
    </w:p>
    <w:p w14:paraId="0DF223F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0525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8484827">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5897" w:type="dxa"/>
            <w:vAlign w:val="center"/>
          </w:tcPr>
          <w:p w14:paraId="2C931520">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793" w:type="dxa"/>
            <w:vAlign w:val="center"/>
          </w:tcPr>
          <w:p w14:paraId="513B030E">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2133" w:type="dxa"/>
          </w:tcPr>
          <w:p w14:paraId="1915DF8E">
            <w:pPr>
              <w:snapToGrid w:val="0"/>
              <w:outlineLvl w:val="0"/>
              <w:rPr>
                <w:rFonts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14:paraId="7601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5CBD48A">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5897" w:type="dxa"/>
            <w:vAlign w:val="center"/>
          </w:tcPr>
          <w:p w14:paraId="57B6BBDC">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投标人自2021年11月1日（以合同签订时间为准）以来完成过类似绿化项目，每提供一份得1分，最高得3分。</w:t>
            </w:r>
          </w:p>
          <w:p w14:paraId="773FD31A">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证明文件：提供合同复印件并加盖单位公章，否则不得分。</w:t>
            </w:r>
          </w:p>
        </w:tc>
        <w:tc>
          <w:tcPr>
            <w:tcW w:w="793" w:type="dxa"/>
          </w:tcPr>
          <w:p w14:paraId="7D9E3011">
            <w:pPr>
              <w:snapToGrid w:val="0"/>
              <w:jc w:val="center"/>
              <w:outlineLvl w:val="0"/>
              <w:rPr>
                <w:rFonts w:hint="eastAsia" w:ascii="宋体" w:hAnsi="宋体" w:cs="宋体"/>
                <w:bCs/>
                <w:color w:val="auto"/>
                <w:sz w:val="24"/>
                <w:highlight w:val="none"/>
                <w:lang w:val="en-US" w:eastAsia="zh-CN"/>
              </w:rPr>
            </w:pPr>
          </w:p>
          <w:p w14:paraId="2A6F7618">
            <w:pPr>
              <w:snapToGrid w:val="0"/>
              <w:jc w:val="center"/>
              <w:outlineLvl w:val="0"/>
              <w:rPr>
                <w:rFonts w:hint="eastAsia" w:ascii="宋体" w:hAnsi="宋体" w:cs="宋体"/>
                <w:bCs/>
                <w:color w:val="auto"/>
                <w:sz w:val="24"/>
                <w:highlight w:val="none"/>
                <w:lang w:val="en-US" w:eastAsia="zh-CN"/>
              </w:rPr>
            </w:pPr>
          </w:p>
          <w:p w14:paraId="55A03DC8">
            <w:pPr>
              <w:snapToGrid w:val="0"/>
              <w:jc w:val="center"/>
              <w:outlineLvl w:val="0"/>
              <w:rPr>
                <w:rFonts w:hint="eastAsia" w:ascii="宋体" w:hAnsi="宋体" w:cs="宋体"/>
                <w:bCs/>
                <w:color w:val="auto"/>
                <w:sz w:val="24"/>
                <w:highlight w:val="none"/>
                <w:lang w:val="en-US" w:eastAsia="zh-CN"/>
              </w:rPr>
            </w:pPr>
          </w:p>
          <w:p w14:paraId="51C6A44E">
            <w:pPr>
              <w:snapToGrid w:val="0"/>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2133" w:type="dxa"/>
            <w:vAlign w:val="center"/>
          </w:tcPr>
          <w:p w14:paraId="69E54429">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类似业绩</w:t>
            </w:r>
          </w:p>
        </w:tc>
      </w:tr>
      <w:tr w14:paraId="52E8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3FEA8C56">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p>
        </w:tc>
        <w:tc>
          <w:tcPr>
            <w:tcW w:w="5897" w:type="dxa"/>
            <w:vAlign w:val="center"/>
          </w:tcPr>
          <w:p w14:paraId="70A44890">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投标人通过质量管理体系认证的得1分；通过环境管理体系认证的得1分；通过职业健康安全体系认证的得1分。</w:t>
            </w:r>
          </w:p>
          <w:p w14:paraId="3D1E66B5">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证明材料：提供有效期内加盖公章的证书复印件并提供官方查询截图。</w:t>
            </w:r>
          </w:p>
        </w:tc>
        <w:tc>
          <w:tcPr>
            <w:tcW w:w="793" w:type="dxa"/>
          </w:tcPr>
          <w:p w14:paraId="0F300E59">
            <w:pPr>
              <w:snapToGrid w:val="0"/>
              <w:jc w:val="center"/>
              <w:outlineLvl w:val="0"/>
              <w:rPr>
                <w:rFonts w:hint="eastAsia" w:ascii="宋体" w:hAnsi="宋体" w:cs="宋体"/>
                <w:bCs/>
                <w:color w:val="auto"/>
                <w:sz w:val="24"/>
                <w:highlight w:val="none"/>
                <w:lang w:val="en-US" w:eastAsia="zh-CN"/>
              </w:rPr>
            </w:pPr>
          </w:p>
          <w:p w14:paraId="7EFCE78B">
            <w:pPr>
              <w:snapToGrid w:val="0"/>
              <w:jc w:val="center"/>
              <w:outlineLvl w:val="0"/>
              <w:rPr>
                <w:rFonts w:hint="eastAsia" w:ascii="宋体" w:hAnsi="宋体" w:cs="宋体"/>
                <w:bCs/>
                <w:color w:val="auto"/>
                <w:sz w:val="24"/>
                <w:highlight w:val="none"/>
                <w:lang w:val="en-US" w:eastAsia="zh-CN"/>
              </w:rPr>
            </w:pPr>
          </w:p>
          <w:p w14:paraId="1F847D2D">
            <w:pPr>
              <w:snapToGrid w:val="0"/>
              <w:jc w:val="center"/>
              <w:outlineLvl w:val="0"/>
              <w:rPr>
                <w:rFonts w:hint="eastAsia" w:ascii="宋体" w:hAnsi="宋体" w:cs="宋体"/>
                <w:bCs/>
                <w:color w:val="auto"/>
                <w:sz w:val="24"/>
                <w:highlight w:val="none"/>
                <w:lang w:val="en-US" w:eastAsia="zh-CN"/>
              </w:rPr>
            </w:pPr>
          </w:p>
          <w:p w14:paraId="3FDA6709">
            <w:pPr>
              <w:snapToGrid w:val="0"/>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2133" w:type="dxa"/>
            <w:vAlign w:val="center"/>
          </w:tcPr>
          <w:p w14:paraId="5B775324">
            <w:pP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体系认证</w:t>
            </w:r>
          </w:p>
        </w:tc>
      </w:tr>
      <w:tr w14:paraId="7FF7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910" w:type="dxa"/>
            <w:shd w:val="clear" w:color="auto" w:fill="auto"/>
            <w:vAlign w:val="center"/>
          </w:tcPr>
          <w:p w14:paraId="28AE45C5">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c>
          <w:tcPr>
            <w:tcW w:w="5897" w:type="dxa"/>
            <w:vAlign w:val="center"/>
          </w:tcPr>
          <w:p w14:paraId="7EA4E941">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项目整体实施方案（包括但不限于交通安全组织方案）针对性强、合理有效的得5分；方案较为完善合理的得3分；方案存在偏离的得1分；未提供不得分。</w:t>
            </w:r>
          </w:p>
        </w:tc>
        <w:tc>
          <w:tcPr>
            <w:tcW w:w="793" w:type="dxa"/>
          </w:tcPr>
          <w:p w14:paraId="21072D7B">
            <w:pPr>
              <w:snapToGrid w:val="0"/>
              <w:jc w:val="center"/>
              <w:outlineLvl w:val="0"/>
              <w:rPr>
                <w:rFonts w:hint="eastAsia" w:ascii="宋体" w:hAnsi="宋体" w:cs="宋体"/>
                <w:bCs/>
                <w:color w:val="auto"/>
                <w:sz w:val="24"/>
                <w:highlight w:val="none"/>
                <w:lang w:val="en-US" w:eastAsia="zh-CN"/>
              </w:rPr>
            </w:pPr>
          </w:p>
          <w:p w14:paraId="18A5CF2A">
            <w:pPr>
              <w:snapToGrid w:val="0"/>
              <w:jc w:val="center"/>
              <w:outlineLvl w:val="0"/>
              <w:rPr>
                <w:rFonts w:hint="eastAsia" w:ascii="宋体" w:hAnsi="宋体" w:cs="宋体"/>
                <w:bCs/>
                <w:color w:val="auto"/>
                <w:sz w:val="24"/>
                <w:highlight w:val="none"/>
                <w:lang w:val="en-US" w:eastAsia="zh-CN"/>
              </w:rPr>
            </w:pPr>
          </w:p>
          <w:p w14:paraId="3C9C05AA">
            <w:pPr>
              <w:snapToGrid w:val="0"/>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2133" w:type="dxa"/>
          </w:tcPr>
          <w:p w14:paraId="2E1AD77E">
            <w:pPr>
              <w:snapToGrid w:val="0"/>
              <w:spacing w:line="360" w:lineRule="auto"/>
              <w:ind w:firstLine="480" w:firstLineChars="200"/>
              <w:rPr>
                <w:rFonts w:hint="eastAsia" w:ascii="宋体" w:hAnsi="宋体" w:eastAsia="宋体" w:cs="宋体"/>
                <w:color w:val="auto"/>
                <w:sz w:val="24"/>
                <w:highlight w:val="none"/>
                <w:lang w:val="en-US" w:eastAsia="zh-CN"/>
              </w:rPr>
            </w:pPr>
          </w:p>
          <w:p w14:paraId="65F9E87A">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项目整体</w:t>
            </w:r>
          </w:p>
          <w:p w14:paraId="515E6B35">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实施方案</w:t>
            </w:r>
          </w:p>
        </w:tc>
      </w:tr>
      <w:tr w14:paraId="0CA8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1EB7C76D">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c>
          <w:tcPr>
            <w:tcW w:w="5897" w:type="dxa"/>
            <w:vAlign w:val="center"/>
          </w:tcPr>
          <w:p w14:paraId="4CB15E7F">
            <w:pP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投标人针对本项目零散施工作业安排计划科学完善的得5分；较为全面合理的得3分；计划存在偏离的得1分；未提供不得分。</w:t>
            </w:r>
          </w:p>
        </w:tc>
        <w:tc>
          <w:tcPr>
            <w:tcW w:w="793" w:type="dxa"/>
          </w:tcPr>
          <w:p w14:paraId="486684E6">
            <w:pPr>
              <w:snapToGrid w:val="0"/>
              <w:jc w:val="center"/>
              <w:outlineLvl w:val="0"/>
              <w:rPr>
                <w:rFonts w:hint="eastAsia" w:ascii="宋体" w:hAnsi="宋体" w:cs="宋体"/>
                <w:bCs/>
                <w:color w:val="auto"/>
                <w:sz w:val="24"/>
                <w:highlight w:val="none"/>
                <w:lang w:val="en-US" w:eastAsia="zh-CN"/>
              </w:rPr>
            </w:pPr>
          </w:p>
          <w:p w14:paraId="098E9FE9">
            <w:pPr>
              <w:snapToGrid w:val="0"/>
              <w:jc w:val="center"/>
              <w:outlineLvl w:val="0"/>
              <w:rPr>
                <w:rFonts w:hint="eastAsia" w:ascii="宋体" w:hAnsi="宋体" w:cs="宋体"/>
                <w:bCs/>
                <w:color w:val="auto"/>
                <w:sz w:val="24"/>
                <w:highlight w:val="none"/>
                <w:lang w:val="en-US" w:eastAsia="zh-CN"/>
              </w:rPr>
            </w:pPr>
          </w:p>
          <w:p w14:paraId="75F582D2">
            <w:pPr>
              <w:snapToGrid w:val="0"/>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2133" w:type="dxa"/>
          </w:tcPr>
          <w:p w14:paraId="1D2FF425">
            <w:pPr>
              <w:snapToGrid w:val="0"/>
              <w:spacing w:line="360" w:lineRule="auto"/>
              <w:jc w:val="center"/>
              <w:rPr>
                <w:rFonts w:hint="eastAsia" w:ascii="宋体" w:hAnsi="宋体" w:cs="宋体"/>
                <w:color w:val="auto"/>
                <w:sz w:val="24"/>
                <w:highlight w:val="none"/>
                <w:lang w:val="en-US" w:eastAsia="zh-CN"/>
              </w:rPr>
            </w:pPr>
          </w:p>
          <w:p w14:paraId="7702340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零散施工作业安排计划</w:t>
            </w:r>
          </w:p>
        </w:tc>
      </w:tr>
      <w:tr w14:paraId="46AC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6067D683">
            <w:pPr>
              <w:snapToGrid w:val="0"/>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5897" w:type="dxa"/>
            <w:shd w:val="clear" w:color="auto" w:fill="auto"/>
            <w:vAlign w:val="center"/>
          </w:tcPr>
          <w:p w14:paraId="5A243562">
            <w:pPr>
              <w:snapToGrid w:val="0"/>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投标人针对本项目的技术组织措施科学合理、全面有效的得5分；措施较为科学合理、较完善的得3分；措施针对性一般且存在偏离的得1分；未提供不得分。</w:t>
            </w:r>
          </w:p>
        </w:tc>
        <w:tc>
          <w:tcPr>
            <w:tcW w:w="793" w:type="dxa"/>
            <w:shd w:val="clear" w:color="auto" w:fill="auto"/>
            <w:vAlign w:val="top"/>
          </w:tcPr>
          <w:p w14:paraId="0D5DB10C">
            <w:pPr>
              <w:snapToGrid w:val="0"/>
              <w:spacing w:line="360" w:lineRule="auto"/>
              <w:ind w:firstLine="480" w:firstLineChars="200"/>
              <w:rPr>
                <w:rFonts w:hint="eastAsia" w:ascii="宋体" w:hAnsi="宋体" w:cs="宋体"/>
                <w:color w:val="auto"/>
                <w:sz w:val="24"/>
                <w:highlight w:val="none"/>
                <w:lang w:val="en-US" w:eastAsia="zh-CN"/>
              </w:rPr>
            </w:pPr>
          </w:p>
          <w:p w14:paraId="5753EB25">
            <w:pPr>
              <w:snapToGrid w:val="0"/>
              <w:spacing w:line="360" w:lineRule="auto"/>
              <w:ind w:firstLine="240" w:firstLineChars="10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133" w:type="dxa"/>
            <w:shd w:val="clear" w:color="auto" w:fill="auto"/>
            <w:vAlign w:val="top"/>
          </w:tcPr>
          <w:p w14:paraId="3B3BAD7C">
            <w:pPr>
              <w:snapToGrid w:val="0"/>
              <w:spacing w:line="360" w:lineRule="auto"/>
              <w:ind w:firstLine="480" w:firstLineChars="200"/>
              <w:rPr>
                <w:rFonts w:hint="eastAsia" w:ascii="宋体" w:hAnsi="宋体" w:cs="宋体"/>
                <w:color w:val="auto"/>
                <w:sz w:val="24"/>
                <w:highlight w:val="none"/>
                <w:lang w:val="en-US" w:eastAsia="zh-CN"/>
              </w:rPr>
            </w:pPr>
          </w:p>
          <w:p w14:paraId="2BB2D576">
            <w:pPr>
              <w:snapToGrid w:val="0"/>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技术组织措施</w:t>
            </w:r>
          </w:p>
        </w:tc>
      </w:tr>
      <w:tr w14:paraId="12DC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10" w:type="dxa"/>
            <w:shd w:val="clear" w:color="auto" w:fill="auto"/>
            <w:vAlign w:val="center"/>
          </w:tcPr>
          <w:p w14:paraId="0D99B15C">
            <w:pPr>
              <w:snapToGrid w:val="0"/>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5897" w:type="dxa"/>
            <w:shd w:val="clear" w:color="auto" w:fill="auto"/>
            <w:vAlign w:val="center"/>
          </w:tcPr>
          <w:p w14:paraId="12C8B6D5">
            <w:pPr>
              <w:snapToGrid w:val="0"/>
              <w:spacing w:line="360" w:lineRule="auto"/>
              <w:ind w:firstLine="480" w:firstLineChars="200"/>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针对本项目的总体概述，分析本项目的特点、难点，以及重难点的解决方案科学合理、有效可行的得5分；较为全面合理的得3分；分析解决方案一般的得1分；未提供不得分。</w:t>
            </w:r>
          </w:p>
        </w:tc>
        <w:tc>
          <w:tcPr>
            <w:tcW w:w="793" w:type="dxa"/>
            <w:shd w:val="clear" w:color="auto" w:fill="auto"/>
            <w:vAlign w:val="top"/>
          </w:tcPr>
          <w:p w14:paraId="45FD6334">
            <w:pPr>
              <w:snapToGrid w:val="0"/>
              <w:jc w:val="center"/>
              <w:outlineLvl w:val="0"/>
              <w:rPr>
                <w:rFonts w:ascii="宋体" w:hAnsi="宋体" w:cs="宋体"/>
                <w:bCs/>
                <w:color w:val="auto"/>
                <w:sz w:val="24"/>
                <w:highlight w:val="none"/>
              </w:rPr>
            </w:pPr>
          </w:p>
          <w:p w14:paraId="598DEAEE">
            <w:pPr>
              <w:snapToGrid w:val="0"/>
              <w:jc w:val="center"/>
              <w:outlineLvl w:val="0"/>
              <w:rPr>
                <w:rFonts w:ascii="宋体" w:hAnsi="宋体" w:cs="宋体"/>
                <w:bCs/>
                <w:color w:val="auto"/>
                <w:sz w:val="24"/>
                <w:highlight w:val="none"/>
              </w:rPr>
            </w:pPr>
          </w:p>
          <w:p w14:paraId="289837D2">
            <w:pPr>
              <w:snapToGrid w:val="0"/>
              <w:jc w:val="center"/>
              <w:outlineLvl w:val="0"/>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5</w:t>
            </w:r>
          </w:p>
        </w:tc>
        <w:tc>
          <w:tcPr>
            <w:tcW w:w="2133" w:type="dxa"/>
            <w:shd w:val="clear" w:color="auto" w:fill="auto"/>
            <w:vAlign w:val="top"/>
          </w:tcPr>
          <w:p w14:paraId="01D63FDD">
            <w:pPr>
              <w:snapToGrid w:val="0"/>
              <w:outlineLvl w:val="0"/>
              <w:rPr>
                <w:rFonts w:ascii="宋体" w:hAnsi="宋体" w:cs="宋体"/>
                <w:color w:val="auto"/>
                <w:sz w:val="24"/>
                <w:highlight w:val="none"/>
              </w:rPr>
            </w:pPr>
          </w:p>
          <w:p w14:paraId="75148BCE">
            <w:pPr>
              <w:snapToGrid w:val="0"/>
              <w:jc w:val="center"/>
              <w:outlineLvl w:val="0"/>
              <w:rPr>
                <w:rFonts w:ascii="宋体" w:hAnsi="宋体" w:cs="宋体"/>
                <w:color w:val="auto"/>
                <w:sz w:val="24"/>
                <w:highlight w:val="none"/>
              </w:rPr>
            </w:pPr>
          </w:p>
          <w:p w14:paraId="6F3AC85D">
            <w:pPr>
              <w:snapToGrid w:val="0"/>
              <w:jc w:val="center"/>
              <w:outlineLvl w:val="0"/>
              <w:rPr>
                <w:rFonts w:hint="eastAsia" w:ascii="宋体" w:hAnsi="宋体"/>
                <w:color w:val="auto"/>
                <w:sz w:val="24"/>
                <w:highlight w:val="none"/>
                <w:lang w:eastAsia="zh-CN"/>
              </w:rPr>
            </w:pPr>
            <w:r>
              <w:rPr>
                <w:rFonts w:hint="eastAsia" w:ascii="宋体" w:hAnsi="宋体"/>
                <w:color w:val="auto"/>
                <w:sz w:val="24"/>
                <w:highlight w:val="none"/>
                <w:lang w:eastAsia="zh-CN"/>
              </w:rPr>
              <w:t>重难点分析及</w:t>
            </w:r>
          </w:p>
          <w:p w14:paraId="00590F1C">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eastAsia="zh-CN"/>
              </w:rPr>
              <w:t>解决方案</w:t>
            </w:r>
          </w:p>
        </w:tc>
      </w:tr>
      <w:tr w14:paraId="3EFF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910" w:type="dxa"/>
            <w:shd w:val="clear" w:color="auto" w:fill="auto"/>
            <w:vAlign w:val="center"/>
          </w:tcPr>
          <w:p w14:paraId="55146989">
            <w:pPr>
              <w:snapToGrid w:val="0"/>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c>
          <w:tcPr>
            <w:tcW w:w="5897" w:type="dxa"/>
            <w:shd w:val="clear" w:color="auto" w:fill="auto"/>
            <w:vAlign w:val="center"/>
          </w:tcPr>
          <w:p w14:paraId="09EA629C">
            <w:pPr>
              <w:snapToGrid w:val="0"/>
              <w:spacing w:line="360" w:lineRule="auto"/>
              <w:ind w:firstLine="480" w:firstLineChars="200"/>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施工进度安排及工期保障措施科学合理、有效可行的得5分；较为全面合理的得3分；安排措施方案一般的得1分；未提供不得分。</w:t>
            </w:r>
          </w:p>
        </w:tc>
        <w:tc>
          <w:tcPr>
            <w:tcW w:w="793" w:type="dxa"/>
            <w:shd w:val="clear" w:color="auto" w:fill="auto"/>
            <w:vAlign w:val="top"/>
          </w:tcPr>
          <w:p w14:paraId="5C6D0749">
            <w:pPr>
              <w:snapToGrid w:val="0"/>
              <w:jc w:val="center"/>
              <w:outlineLvl w:val="0"/>
              <w:rPr>
                <w:rFonts w:ascii="宋体" w:hAnsi="宋体" w:cs="宋体"/>
                <w:bCs/>
                <w:color w:val="auto"/>
                <w:sz w:val="24"/>
                <w:highlight w:val="none"/>
              </w:rPr>
            </w:pPr>
          </w:p>
          <w:p w14:paraId="6F4A983F">
            <w:pPr>
              <w:snapToGrid w:val="0"/>
              <w:jc w:val="center"/>
              <w:outlineLvl w:val="0"/>
              <w:rPr>
                <w:rFonts w:ascii="宋体" w:hAnsi="宋体" w:cs="宋体"/>
                <w:bCs/>
                <w:color w:val="auto"/>
                <w:sz w:val="24"/>
                <w:highlight w:val="none"/>
              </w:rPr>
            </w:pPr>
          </w:p>
          <w:p w14:paraId="42DC523C">
            <w:pPr>
              <w:snapToGrid w:val="0"/>
              <w:jc w:val="center"/>
              <w:outlineLvl w:val="0"/>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5</w:t>
            </w:r>
          </w:p>
        </w:tc>
        <w:tc>
          <w:tcPr>
            <w:tcW w:w="2133" w:type="dxa"/>
            <w:shd w:val="clear" w:color="auto" w:fill="auto"/>
            <w:vAlign w:val="top"/>
          </w:tcPr>
          <w:p w14:paraId="3B8E2131">
            <w:pPr>
              <w:snapToGrid w:val="0"/>
              <w:outlineLvl w:val="0"/>
              <w:rPr>
                <w:rFonts w:ascii="宋体" w:hAnsi="宋体" w:cs="宋体"/>
                <w:color w:val="auto"/>
                <w:sz w:val="24"/>
                <w:highlight w:val="none"/>
              </w:rPr>
            </w:pPr>
          </w:p>
          <w:p w14:paraId="366F4B22">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施工进度安排及工期保障</w:t>
            </w:r>
            <w:r>
              <w:rPr>
                <w:rFonts w:hint="eastAsia" w:ascii="宋体" w:hAnsi="宋体" w:cs="宋体"/>
                <w:color w:val="auto"/>
                <w:sz w:val="24"/>
                <w:highlight w:val="none"/>
                <w:lang w:val="en-US" w:eastAsia="zh-CN"/>
              </w:rPr>
              <w:t>措施</w:t>
            </w:r>
          </w:p>
        </w:tc>
      </w:tr>
      <w:tr w14:paraId="5A1B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55660AB9">
            <w:pPr>
              <w:snapToGrid w:val="0"/>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p>
        </w:tc>
        <w:tc>
          <w:tcPr>
            <w:tcW w:w="5897" w:type="dxa"/>
            <w:shd w:val="clear" w:color="auto" w:fill="auto"/>
            <w:vAlign w:val="center"/>
          </w:tcPr>
          <w:p w14:paraId="70671132">
            <w:pPr>
              <w:snapToGrid w:val="0"/>
              <w:spacing w:line="360" w:lineRule="auto"/>
              <w:ind w:firstLine="480" w:firstLineChars="200"/>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针对本项目</w:t>
            </w:r>
            <w:r>
              <w:rPr>
                <w:rFonts w:hint="eastAsia" w:ascii="宋体" w:hAnsi="宋体" w:cs="宋体"/>
                <w:color w:val="auto"/>
                <w:sz w:val="24"/>
                <w:highlight w:val="none"/>
                <w:lang w:eastAsia="zh-CN"/>
              </w:rPr>
              <w:t>投入设备（包括但不限于种类、数量、实用性等）全面</w:t>
            </w:r>
            <w:r>
              <w:rPr>
                <w:rFonts w:hint="eastAsia" w:ascii="宋体" w:hAnsi="宋体" w:cs="宋体"/>
                <w:color w:val="auto"/>
                <w:sz w:val="24"/>
                <w:highlight w:val="none"/>
              </w:rPr>
              <w:t>合理、</w:t>
            </w:r>
            <w:r>
              <w:rPr>
                <w:rFonts w:hint="eastAsia" w:ascii="宋体" w:hAnsi="宋体" w:cs="宋体"/>
                <w:color w:val="auto"/>
                <w:sz w:val="24"/>
                <w:highlight w:val="none"/>
                <w:lang w:eastAsia="zh-CN"/>
              </w:rPr>
              <w:t>详尽科学</w:t>
            </w:r>
            <w:r>
              <w:rPr>
                <w:rFonts w:hint="eastAsia" w:ascii="宋体" w:hAnsi="宋体" w:cs="宋体"/>
                <w:color w:val="auto"/>
                <w:sz w:val="24"/>
                <w:highlight w:val="none"/>
              </w:rPr>
              <w:t>的得5分；较为</w:t>
            </w:r>
            <w:r>
              <w:rPr>
                <w:rFonts w:hint="eastAsia" w:ascii="宋体" w:hAnsi="宋体" w:cs="宋体"/>
                <w:color w:val="auto"/>
                <w:sz w:val="24"/>
                <w:highlight w:val="none"/>
                <w:lang w:eastAsia="zh-CN"/>
              </w:rPr>
              <w:t>突出</w:t>
            </w:r>
            <w:r>
              <w:rPr>
                <w:rFonts w:hint="eastAsia" w:ascii="宋体" w:hAnsi="宋体" w:cs="宋体"/>
                <w:color w:val="auto"/>
                <w:sz w:val="24"/>
                <w:highlight w:val="none"/>
              </w:rPr>
              <w:t>的得3分；</w:t>
            </w:r>
            <w:r>
              <w:rPr>
                <w:rFonts w:hint="eastAsia" w:ascii="宋体" w:hAnsi="宋体" w:cs="宋体"/>
                <w:color w:val="auto"/>
                <w:sz w:val="24"/>
                <w:highlight w:val="none"/>
                <w:lang w:eastAsia="zh-CN"/>
              </w:rPr>
              <w:t>设备投入</w:t>
            </w:r>
            <w:r>
              <w:rPr>
                <w:rFonts w:hint="eastAsia" w:ascii="宋体" w:hAnsi="宋体" w:cs="宋体"/>
                <w:color w:val="auto"/>
                <w:sz w:val="24"/>
                <w:highlight w:val="none"/>
              </w:rPr>
              <w:t>存在欠缺的得1分；未提供不得分。</w:t>
            </w:r>
          </w:p>
        </w:tc>
        <w:tc>
          <w:tcPr>
            <w:tcW w:w="793" w:type="dxa"/>
            <w:shd w:val="clear" w:color="auto" w:fill="auto"/>
            <w:vAlign w:val="top"/>
          </w:tcPr>
          <w:p w14:paraId="77D2C020">
            <w:pPr>
              <w:snapToGrid w:val="0"/>
              <w:jc w:val="center"/>
              <w:outlineLvl w:val="0"/>
              <w:rPr>
                <w:rFonts w:ascii="宋体" w:hAnsi="宋体" w:cs="宋体"/>
                <w:bCs/>
                <w:color w:val="auto"/>
                <w:sz w:val="24"/>
                <w:highlight w:val="none"/>
              </w:rPr>
            </w:pPr>
          </w:p>
          <w:p w14:paraId="55451265">
            <w:pPr>
              <w:snapToGrid w:val="0"/>
              <w:jc w:val="center"/>
              <w:outlineLvl w:val="0"/>
              <w:rPr>
                <w:rFonts w:ascii="宋体" w:hAnsi="宋体" w:cs="宋体"/>
                <w:bCs/>
                <w:color w:val="auto"/>
                <w:sz w:val="24"/>
                <w:highlight w:val="none"/>
              </w:rPr>
            </w:pPr>
          </w:p>
          <w:p w14:paraId="28938E36">
            <w:pPr>
              <w:snapToGrid w:val="0"/>
              <w:jc w:val="center"/>
              <w:outlineLvl w:val="0"/>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5</w:t>
            </w:r>
          </w:p>
        </w:tc>
        <w:tc>
          <w:tcPr>
            <w:tcW w:w="2133" w:type="dxa"/>
            <w:shd w:val="clear" w:color="auto" w:fill="auto"/>
            <w:vAlign w:val="top"/>
          </w:tcPr>
          <w:p w14:paraId="458EEF8C">
            <w:pPr>
              <w:snapToGrid w:val="0"/>
              <w:outlineLvl w:val="0"/>
              <w:rPr>
                <w:rFonts w:ascii="宋体" w:hAnsi="宋体"/>
                <w:color w:val="auto"/>
                <w:sz w:val="24"/>
                <w:highlight w:val="none"/>
              </w:rPr>
            </w:pPr>
          </w:p>
          <w:p w14:paraId="611A4A56">
            <w:pPr>
              <w:snapToGrid w:val="0"/>
              <w:outlineLvl w:val="0"/>
              <w:rPr>
                <w:rFonts w:ascii="宋体" w:hAnsi="宋体"/>
                <w:color w:val="auto"/>
                <w:sz w:val="24"/>
                <w:highlight w:val="none"/>
              </w:rPr>
            </w:pPr>
          </w:p>
          <w:p w14:paraId="52BC07D0">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投入设备</w:t>
            </w:r>
          </w:p>
        </w:tc>
      </w:tr>
      <w:tr w14:paraId="1782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910" w:type="dxa"/>
            <w:shd w:val="clear" w:color="auto" w:fill="auto"/>
            <w:vAlign w:val="center"/>
          </w:tcPr>
          <w:p w14:paraId="5A9A3311">
            <w:pPr>
              <w:snapToGrid w:val="0"/>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5897" w:type="dxa"/>
            <w:shd w:val="clear" w:color="auto" w:fill="auto"/>
            <w:vAlign w:val="center"/>
          </w:tcPr>
          <w:p w14:paraId="3E36DE9D">
            <w:p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投标人提供的秩序交通及行人安全保障方案</w:t>
            </w:r>
            <w:r>
              <w:rPr>
                <w:rFonts w:hint="eastAsia" w:ascii="宋体" w:hAnsi="宋体" w:cs="宋体"/>
                <w:color w:val="auto"/>
                <w:sz w:val="24"/>
                <w:highlight w:val="none"/>
              </w:rPr>
              <w:t>科学合理、全面可行的得5分；较为</w:t>
            </w:r>
            <w:r>
              <w:rPr>
                <w:rFonts w:hint="eastAsia" w:ascii="宋体" w:hAnsi="宋体" w:cs="宋体"/>
                <w:color w:val="auto"/>
                <w:sz w:val="24"/>
                <w:highlight w:val="none"/>
                <w:lang w:eastAsia="zh-CN"/>
              </w:rPr>
              <w:t>完善</w:t>
            </w:r>
            <w:r>
              <w:rPr>
                <w:rFonts w:hint="eastAsia" w:ascii="宋体" w:hAnsi="宋体" w:cs="宋体"/>
                <w:color w:val="auto"/>
                <w:sz w:val="24"/>
                <w:highlight w:val="none"/>
              </w:rPr>
              <w:t>有效的得3分；</w:t>
            </w:r>
            <w:r>
              <w:rPr>
                <w:rFonts w:hint="eastAsia" w:ascii="宋体" w:hAnsi="宋体" w:cs="宋体"/>
                <w:color w:val="auto"/>
                <w:sz w:val="24"/>
                <w:highlight w:val="none"/>
                <w:lang w:eastAsia="zh-CN"/>
              </w:rPr>
              <w:t>保障</w:t>
            </w:r>
            <w:r>
              <w:rPr>
                <w:rFonts w:hint="eastAsia" w:ascii="宋体" w:hAnsi="宋体" w:cs="宋体"/>
                <w:color w:val="auto"/>
                <w:sz w:val="24"/>
                <w:highlight w:val="none"/>
              </w:rPr>
              <w:t>方案存在偏离的得1分；未提供不得分。</w:t>
            </w:r>
          </w:p>
        </w:tc>
        <w:tc>
          <w:tcPr>
            <w:tcW w:w="793" w:type="dxa"/>
            <w:shd w:val="clear" w:color="auto" w:fill="auto"/>
            <w:vAlign w:val="top"/>
          </w:tcPr>
          <w:p w14:paraId="0B1331F0">
            <w:pPr>
              <w:snapToGrid w:val="0"/>
              <w:jc w:val="center"/>
              <w:outlineLvl w:val="0"/>
              <w:rPr>
                <w:rFonts w:hint="eastAsia" w:ascii="宋体" w:hAnsi="宋体" w:cs="宋体"/>
                <w:bCs/>
                <w:color w:val="auto"/>
                <w:sz w:val="24"/>
                <w:highlight w:val="none"/>
              </w:rPr>
            </w:pPr>
          </w:p>
          <w:p w14:paraId="4E6F3B82">
            <w:pPr>
              <w:snapToGrid w:val="0"/>
              <w:jc w:val="center"/>
              <w:outlineLvl w:val="0"/>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5</w:t>
            </w:r>
          </w:p>
        </w:tc>
        <w:tc>
          <w:tcPr>
            <w:tcW w:w="2133" w:type="dxa"/>
            <w:shd w:val="clear" w:color="auto" w:fill="auto"/>
            <w:vAlign w:val="top"/>
          </w:tcPr>
          <w:p w14:paraId="179FC7A4">
            <w:pPr>
              <w:snapToGrid w:val="0"/>
              <w:jc w:val="center"/>
              <w:rPr>
                <w:rFonts w:hint="eastAsia" w:ascii="宋体" w:hAnsi="宋体" w:cs="宋体"/>
                <w:color w:val="auto"/>
                <w:sz w:val="24"/>
                <w:highlight w:val="none"/>
                <w:lang w:val="en-US" w:eastAsia="zh-CN"/>
              </w:rPr>
            </w:pPr>
          </w:p>
          <w:p w14:paraId="7CADC8C1">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秩序交通及行人安全保障方案</w:t>
            </w:r>
          </w:p>
        </w:tc>
      </w:tr>
      <w:tr w14:paraId="0513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1B33A207">
            <w:pPr>
              <w:snapToGrid w:val="0"/>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5897" w:type="dxa"/>
            <w:shd w:val="clear" w:color="auto" w:fill="auto"/>
            <w:vAlign w:val="center"/>
          </w:tcPr>
          <w:p w14:paraId="0C43D49F">
            <w:pPr>
              <w:snapToGrid w:val="0"/>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质量目标、施工质量管理体系、质量控制计划、现场质量检查措施及成品保护方案明确具体、科学合理的得5分；较为全面有效的得3分；体系安排方案存在偏离的得1分；未提供不得分。</w:t>
            </w:r>
          </w:p>
        </w:tc>
        <w:tc>
          <w:tcPr>
            <w:tcW w:w="793" w:type="dxa"/>
            <w:shd w:val="clear" w:color="auto" w:fill="auto"/>
            <w:vAlign w:val="top"/>
          </w:tcPr>
          <w:p w14:paraId="577AA914">
            <w:pPr>
              <w:snapToGrid w:val="0"/>
              <w:jc w:val="center"/>
              <w:outlineLvl w:val="0"/>
              <w:rPr>
                <w:rFonts w:ascii="宋体" w:hAnsi="宋体" w:cs="宋体"/>
                <w:bCs/>
                <w:color w:val="auto"/>
                <w:sz w:val="24"/>
                <w:highlight w:val="none"/>
              </w:rPr>
            </w:pPr>
          </w:p>
          <w:p w14:paraId="0F160573">
            <w:pPr>
              <w:snapToGrid w:val="0"/>
              <w:jc w:val="center"/>
              <w:outlineLvl w:val="0"/>
              <w:rPr>
                <w:rFonts w:ascii="宋体" w:hAnsi="宋体" w:cs="宋体"/>
                <w:bCs/>
                <w:color w:val="auto"/>
                <w:sz w:val="24"/>
                <w:highlight w:val="none"/>
              </w:rPr>
            </w:pPr>
          </w:p>
          <w:p w14:paraId="4107D2E7">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5</w:t>
            </w:r>
          </w:p>
        </w:tc>
        <w:tc>
          <w:tcPr>
            <w:tcW w:w="2133" w:type="dxa"/>
            <w:shd w:val="clear" w:color="auto" w:fill="auto"/>
            <w:vAlign w:val="top"/>
          </w:tcPr>
          <w:p w14:paraId="180D46E3">
            <w:pPr>
              <w:snapToGrid w:val="0"/>
              <w:jc w:val="center"/>
              <w:rPr>
                <w:rFonts w:hint="eastAsia" w:ascii="宋体" w:hAnsi="宋体" w:cs="宋体"/>
                <w:color w:val="auto"/>
                <w:sz w:val="24"/>
                <w:highlight w:val="none"/>
                <w:lang w:val="en-US" w:eastAsia="zh-CN"/>
              </w:rPr>
            </w:pPr>
          </w:p>
          <w:p w14:paraId="169CA367">
            <w:pPr>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质量目标、施工质量管理体系、质量控制计划、现场质量检查措施及成品保护方案</w:t>
            </w:r>
          </w:p>
        </w:tc>
      </w:tr>
      <w:tr w14:paraId="5208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075135BE">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5897" w:type="dxa"/>
            <w:shd w:val="clear" w:color="auto" w:fill="auto"/>
            <w:vAlign w:val="center"/>
          </w:tcPr>
          <w:p w14:paraId="31736C58">
            <w:p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安全、文明保护措施</w:t>
            </w:r>
            <w:r>
              <w:rPr>
                <w:rFonts w:hint="eastAsia" w:ascii="宋体" w:hAnsi="宋体" w:cs="宋体"/>
                <w:color w:val="auto"/>
                <w:sz w:val="24"/>
                <w:highlight w:val="none"/>
                <w:lang w:eastAsia="zh-CN"/>
              </w:rPr>
              <w:t>（包括但不限于环境保护等）</w:t>
            </w:r>
            <w:r>
              <w:rPr>
                <w:rFonts w:hint="eastAsia" w:ascii="宋体" w:hAnsi="宋体" w:cs="宋体"/>
                <w:color w:val="auto"/>
                <w:sz w:val="24"/>
                <w:highlight w:val="none"/>
              </w:rPr>
              <w:t>全面具体、科学合理的得5分；针对性较强的得3分；相关措施存在偏离的得1分；未提供不得分。</w:t>
            </w:r>
          </w:p>
        </w:tc>
        <w:tc>
          <w:tcPr>
            <w:tcW w:w="793" w:type="dxa"/>
            <w:shd w:val="clear" w:color="auto" w:fill="auto"/>
            <w:vAlign w:val="top"/>
          </w:tcPr>
          <w:p w14:paraId="6BE59A6A">
            <w:pPr>
              <w:snapToGrid w:val="0"/>
              <w:jc w:val="center"/>
              <w:outlineLvl w:val="0"/>
              <w:rPr>
                <w:rFonts w:ascii="宋体" w:hAnsi="宋体" w:cs="宋体"/>
                <w:bCs/>
                <w:color w:val="auto"/>
                <w:sz w:val="24"/>
                <w:highlight w:val="none"/>
              </w:rPr>
            </w:pPr>
          </w:p>
          <w:p w14:paraId="78743561">
            <w:pPr>
              <w:snapToGrid w:val="0"/>
              <w:jc w:val="center"/>
              <w:outlineLvl w:val="0"/>
              <w:rPr>
                <w:rFonts w:ascii="宋体" w:hAnsi="宋体" w:cs="宋体"/>
                <w:bCs/>
                <w:color w:val="auto"/>
                <w:sz w:val="24"/>
                <w:highlight w:val="none"/>
              </w:rPr>
            </w:pPr>
          </w:p>
          <w:p w14:paraId="4E5F9571">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5</w:t>
            </w:r>
          </w:p>
        </w:tc>
        <w:tc>
          <w:tcPr>
            <w:tcW w:w="2133" w:type="dxa"/>
            <w:shd w:val="clear" w:color="auto" w:fill="auto"/>
            <w:vAlign w:val="top"/>
          </w:tcPr>
          <w:p w14:paraId="0E988DFD">
            <w:pPr>
              <w:snapToGrid w:val="0"/>
              <w:rPr>
                <w:rFonts w:ascii="宋体" w:hAnsi="宋体"/>
                <w:color w:val="auto"/>
                <w:sz w:val="24"/>
                <w:highlight w:val="none"/>
              </w:rPr>
            </w:pPr>
          </w:p>
          <w:p w14:paraId="4030CAB7">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安全、文明保护</w:t>
            </w:r>
          </w:p>
          <w:p w14:paraId="432D8000">
            <w:pPr>
              <w:snapToGrid w:val="0"/>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sz w:val="24"/>
                <w:highlight w:val="none"/>
              </w:rPr>
              <w:t>措施</w:t>
            </w:r>
          </w:p>
        </w:tc>
      </w:tr>
      <w:tr w14:paraId="04C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0C12A446">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5897" w:type="dxa"/>
            <w:shd w:val="clear" w:color="auto" w:fill="auto"/>
            <w:vAlign w:val="center"/>
          </w:tcPr>
          <w:p w14:paraId="7DD1BDCB">
            <w:p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突发事件下的应急措施方案科学合理、切实可行的得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分；较为及时有效的得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分；方案表现一般的得1分；未提供不得分。</w:t>
            </w:r>
          </w:p>
        </w:tc>
        <w:tc>
          <w:tcPr>
            <w:tcW w:w="793" w:type="dxa"/>
            <w:shd w:val="clear" w:color="auto" w:fill="auto"/>
            <w:vAlign w:val="top"/>
          </w:tcPr>
          <w:p w14:paraId="48876DF7">
            <w:pPr>
              <w:snapToGrid w:val="0"/>
              <w:jc w:val="center"/>
              <w:outlineLvl w:val="0"/>
              <w:rPr>
                <w:rFonts w:ascii="宋体" w:hAnsi="宋体" w:cs="宋体"/>
                <w:bCs/>
                <w:color w:val="auto"/>
                <w:sz w:val="24"/>
                <w:highlight w:val="none"/>
              </w:rPr>
            </w:pPr>
          </w:p>
          <w:p w14:paraId="7434D936">
            <w:pPr>
              <w:snapToGrid w:val="0"/>
              <w:jc w:val="center"/>
              <w:outlineLvl w:val="0"/>
              <w:rPr>
                <w:rFonts w:ascii="宋体" w:hAnsi="宋体" w:cs="宋体"/>
                <w:bCs/>
                <w:color w:val="auto"/>
                <w:sz w:val="24"/>
                <w:highlight w:val="none"/>
              </w:rPr>
            </w:pPr>
          </w:p>
          <w:p w14:paraId="1BAD85CE">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5</w:t>
            </w:r>
          </w:p>
        </w:tc>
        <w:tc>
          <w:tcPr>
            <w:tcW w:w="2133" w:type="dxa"/>
            <w:shd w:val="clear" w:color="auto" w:fill="auto"/>
            <w:vAlign w:val="top"/>
          </w:tcPr>
          <w:p w14:paraId="2F4A6FC7">
            <w:pPr>
              <w:snapToGrid w:val="0"/>
              <w:rPr>
                <w:rFonts w:hint="eastAsia" w:ascii="宋体" w:hAnsi="宋体" w:cs="宋体"/>
                <w:color w:val="auto"/>
                <w:sz w:val="24"/>
                <w:highlight w:val="none"/>
              </w:rPr>
            </w:pPr>
          </w:p>
          <w:p w14:paraId="4ACC2309">
            <w:pPr>
              <w:snapToGrid w:val="0"/>
              <w:rPr>
                <w:rFonts w:hint="eastAsia" w:ascii="宋体" w:hAnsi="宋体" w:cs="宋体"/>
                <w:color w:val="auto"/>
                <w:sz w:val="24"/>
                <w:highlight w:val="none"/>
              </w:rPr>
            </w:pPr>
          </w:p>
          <w:p w14:paraId="1CEB8D44">
            <w:pPr>
              <w:snapToGrid w:val="0"/>
              <w:jc w:val="center"/>
              <w:rPr>
                <w:rFonts w:ascii="宋体" w:hAnsi="宋体" w:eastAsia="宋体" w:cs="宋体"/>
                <w:color w:val="auto"/>
                <w:kern w:val="2"/>
                <w:sz w:val="21"/>
                <w:szCs w:val="24"/>
                <w:highlight w:val="none"/>
                <w:lang w:val="en-US" w:eastAsia="zh-CN" w:bidi="ar-SA"/>
              </w:rPr>
            </w:pPr>
            <w:bookmarkStart w:id="1401" w:name="_GoBack"/>
            <w:r>
              <w:rPr>
                <w:rFonts w:hint="eastAsia" w:ascii="宋体" w:hAnsi="宋体" w:cs="宋体"/>
                <w:color w:val="auto"/>
                <w:sz w:val="24"/>
                <w:highlight w:val="none"/>
              </w:rPr>
              <w:t>应急措施方案</w:t>
            </w:r>
            <w:bookmarkEnd w:id="1401"/>
          </w:p>
        </w:tc>
      </w:tr>
      <w:tr w14:paraId="1CB7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10" w:type="dxa"/>
            <w:shd w:val="clear" w:color="auto" w:fill="auto"/>
            <w:vAlign w:val="center"/>
          </w:tcPr>
          <w:p w14:paraId="315D8954">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5897" w:type="dxa"/>
            <w:shd w:val="clear" w:color="auto" w:fill="auto"/>
            <w:vAlign w:val="center"/>
          </w:tcPr>
          <w:p w14:paraId="3AE8A898">
            <w:pPr>
              <w:snapToGrid w:val="0"/>
              <w:spacing w:line="360" w:lineRule="auto"/>
              <w:ind w:firstLine="480" w:firstLineChars="200"/>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项目组具有完备的管理组织、项目实施规范和管理制度，并能有效实施的得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分；较为科学</w:t>
            </w:r>
            <w:r>
              <w:rPr>
                <w:rFonts w:hint="eastAsia" w:ascii="宋体" w:hAnsi="宋体" w:cs="宋体"/>
                <w:color w:val="auto"/>
                <w:sz w:val="24"/>
                <w:highlight w:val="none"/>
                <w:lang w:eastAsia="zh-CN"/>
              </w:rPr>
              <w:t>完善</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分；规范</w:t>
            </w:r>
            <w:r>
              <w:rPr>
                <w:rFonts w:hint="eastAsia" w:ascii="宋体" w:hAnsi="宋体" w:cs="宋体"/>
                <w:color w:val="auto"/>
                <w:sz w:val="24"/>
                <w:highlight w:val="none"/>
                <w:lang w:eastAsia="zh-CN"/>
              </w:rPr>
              <w:t>制度</w:t>
            </w:r>
            <w:r>
              <w:rPr>
                <w:rFonts w:hint="eastAsia" w:ascii="宋体" w:hAnsi="宋体" w:cs="宋体"/>
                <w:color w:val="auto"/>
                <w:sz w:val="24"/>
                <w:highlight w:val="none"/>
              </w:rPr>
              <w:t>表现一般的得1分；未提供不得分。</w:t>
            </w:r>
          </w:p>
        </w:tc>
        <w:tc>
          <w:tcPr>
            <w:tcW w:w="793" w:type="dxa"/>
            <w:shd w:val="clear" w:color="auto" w:fill="auto"/>
            <w:vAlign w:val="top"/>
          </w:tcPr>
          <w:p w14:paraId="5563D135">
            <w:pPr>
              <w:snapToGrid w:val="0"/>
              <w:jc w:val="center"/>
              <w:outlineLvl w:val="0"/>
              <w:rPr>
                <w:rFonts w:ascii="宋体" w:hAnsi="宋体" w:cs="宋体"/>
                <w:bCs/>
                <w:color w:val="auto"/>
                <w:sz w:val="24"/>
                <w:highlight w:val="none"/>
              </w:rPr>
            </w:pPr>
          </w:p>
          <w:p w14:paraId="6F20441E">
            <w:pPr>
              <w:snapToGrid w:val="0"/>
              <w:jc w:val="center"/>
              <w:outlineLvl w:val="0"/>
              <w:rPr>
                <w:rFonts w:ascii="宋体" w:hAnsi="宋体" w:cs="宋体"/>
                <w:bCs/>
                <w:color w:val="auto"/>
                <w:sz w:val="24"/>
                <w:highlight w:val="none"/>
              </w:rPr>
            </w:pPr>
          </w:p>
          <w:p w14:paraId="177FEF31">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5</w:t>
            </w:r>
          </w:p>
        </w:tc>
        <w:tc>
          <w:tcPr>
            <w:tcW w:w="2133" w:type="dxa"/>
            <w:shd w:val="clear" w:color="auto" w:fill="auto"/>
            <w:vAlign w:val="top"/>
          </w:tcPr>
          <w:p w14:paraId="5CDDCDF9">
            <w:pPr>
              <w:snapToGrid w:val="0"/>
              <w:rPr>
                <w:rFonts w:ascii="宋体" w:hAnsi="宋体"/>
                <w:color w:val="auto"/>
                <w:sz w:val="24"/>
                <w:highlight w:val="none"/>
              </w:rPr>
            </w:pPr>
          </w:p>
          <w:p w14:paraId="0FDCE61E">
            <w:pPr>
              <w:snapToGrid w:val="0"/>
              <w:jc w:val="center"/>
              <w:rPr>
                <w:rFonts w:hint="eastAsia" w:ascii="宋体" w:hAnsi="宋体"/>
                <w:color w:val="auto"/>
                <w:sz w:val="24"/>
                <w:highlight w:val="none"/>
              </w:rPr>
            </w:pPr>
            <w:r>
              <w:rPr>
                <w:rFonts w:hint="eastAsia" w:ascii="宋体" w:hAnsi="宋体"/>
                <w:color w:val="auto"/>
                <w:sz w:val="24"/>
                <w:highlight w:val="none"/>
              </w:rPr>
              <w:t>项目实施技术</w:t>
            </w:r>
          </w:p>
          <w:p w14:paraId="3DC732BE">
            <w:pPr>
              <w:snapToGrid w:val="0"/>
              <w:jc w:val="center"/>
              <w:rPr>
                <w:rFonts w:hint="default" w:ascii="宋体" w:hAnsi="宋体" w:eastAsia="宋体" w:cs="宋体"/>
                <w:color w:val="auto"/>
                <w:kern w:val="2"/>
                <w:sz w:val="21"/>
                <w:szCs w:val="24"/>
                <w:highlight w:val="none"/>
                <w:lang w:val="en-US" w:eastAsia="zh-CN" w:bidi="ar-SA"/>
              </w:rPr>
            </w:pPr>
            <w:r>
              <w:rPr>
                <w:rFonts w:hint="eastAsia" w:ascii="宋体" w:hAnsi="宋体"/>
                <w:color w:val="auto"/>
                <w:sz w:val="24"/>
                <w:highlight w:val="none"/>
              </w:rPr>
              <w:t>力量</w:t>
            </w:r>
          </w:p>
        </w:tc>
      </w:tr>
      <w:tr w14:paraId="3790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910" w:type="dxa"/>
            <w:shd w:val="clear" w:color="auto" w:fill="auto"/>
            <w:vAlign w:val="center"/>
          </w:tcPr>
          <w:p w14:paraId="6D8A25D4">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5897" w:type="dxa"/>
            <w:shd w:val="clear" w:color="auto" w:fill="auto"/>
            <w:vAlign w:val="center"/>
          </w:tcPr>
          <w:p w14:paraId="2DACFCE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拟派项目负责人具有中级工程师得1分</w:t>
            </w:r>
            <w:r>
              <w:rPr>
                <w:rFonts w:hint="eastAsia" w:ascii="宋体" w:hAnsi="宋体" w:cs="宋体"/>
                <w:color w:val="auto"/>
                <w:sz w:val="24"/>
                <w:highlight w:val="none"/>
                <w:lang w:eastAsia="zh-CN"/>
              </w:rPr>
              <w:t>；</w:t>
            </w:r>
            <w:r>
              <w:rPr>
                <w:rFonts w:hint="eastAsia" w:ascii="宋体" w:hAnsi="宋体" w:cs="宋体"/>
                <w:color w:val="auto"/>
                <w:sz w:val="24"/>
                <w:highlight w:val="none"/>
              </w:rPr>
              <w:t>高级工程师及以上得2分。</w:t>
            </w:r>
          </w:p>
          <w:p w14:paraId="114F53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除项目负责人外拟派专业人员中具备绿化类高级或以上技术职称，每有1人得1分，最高得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4583547F">
            <w:pPr>
              <w:snapToGrid w:val="0"/>
              <w:spacing w:line="360" w:lineRule="auto"/>
              <w:ind w:firstLine="480" w:firstLineChars="200"/>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证明文件：</w:t>
            </w:r>
            <w:r>
              <w:rPr>
                <w:rFonts w:hint="eastAsia" w:ascii="宋体" w:hAnsi="宋体" w:cs="宋体"/>
                <w:color w:val="auto"/>
                <w:sz w:val="24"/>
                <w:highlight w:val="none"/>
                <w:lang w:val="en-US" w:eastAsia="zh-CN"/>
              </w:rPr>
              <w:t>相关</w:t>
            </w:r>
            <w:r>
              <w:rPr>
                <w:rFonts w:hint="eastAsia" w:ascii="宋体" w:hAnsi="宋体" w:cs="宋体"/>
                <w:color w:val="auto"/>
                <w:sz w:val="24"/>
                <w:highlight w:val="none"/>
              </w:rPr>
              <w:t>证书扫描件及</w:t>
            </w:r>
            <w:r>
              <w:rPr>
                <w:rFonts w:hint="eastAsia" w:ascii="宋体" w:hAnsi="宋体" w:cs="宋体"/>
                <w:color w:val="auto"/>
                <w:sz w:val="24"/>
                <w:highlight w:val="none"/>
                <w:lang w:val="en-US" w:eastAsia="zh-CN"/>
              </w:rPr>
              <w:t>投标人为其缴纳的</w:t>
            </w:r>
            <w:r>
              <w:rPr>
                <w:rFonts w:hint="eastAsia" w:ascii="宋体" w:hAnsi="宋体" w:cs="宋体"/>
                <w:color w:val="auto"/>
                <w:sz w:val="24"/>
                <w:highlight w:val="none"/>
              </w:rPr>
              <w:t>近三个月社保证明。</w:t>
            </w:r>
          </w:p>
        </w:tc>
        <w:tc>
          <w:tcPr>
            <w:tcW w:w="793" w:type="dxa"/>
            <w:shd w:val="clear" w:color="auto" w:fill="auto"/>
            <w:vAlign w:val="top"/>
          </w:tcPr>
          <w:p w14:paraId="4E88B57D">
            <w:pPr>
              <w:snapToGrid w:val="0"/>
              <w:jc w:val="center"/>
              <w:outlineLvl w:val="0"/>
              <w:rPr>
                <w:rFonts w:ascii="宋体" w:hAnsi="宋体" w:cs="宋体"/>
                <w:bCs/>
                <w:color w:val="auto"/>
                <w:sz w:val="24"/>
                <w:highlight w:val="none"/>
              </w:rPr>
            </w:pPr>
          </w:p>
          <w:p w14:paraId="5DF0D4E2">
            <w:pPr>
              <w:snapToGrid w:val="0"/>
              <w:jc w:val="center"/>
              <w:outlineLvl w:val="0"/>
              <w:rPr>
                <w:rFonts w:hint="eastAsia" w:ascii="宋体" w:hAnsi="宋体" w:cs="宋体"/>
                <w:bCs/>
                <w:color w:val="auto"/>
                <w:sz w:val="24"/>
                <w:highlight w:val="none"/>
              </w:rPr>
            </w:pPr>
          </w:p>
          <w:p w14:paraId="63329779">
            <w:pPr>
              <w:snapToGrid w:val="0"/>
              <w:jc w:val="center"/>
              <w:outlineLvl w:val="0"/>
              <w:rPr>
                <w:rFonts w:hint="eastAsia" w:ascii="宋体" w:hAnsi="宋体" w:cs="宋体"/>
                <w:bCs/>
                <w:color w:val="auto"/>
                <w:sz w:val="24"/>
                <w:highlight w:val="none"/>
              </w:rPr>
            </w:pPr>
          </w:p>
          <w:p w14:paraId="24CA13EE">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2133" w:type="dxa"/>
            <w:shd w:val="clear" w:color="auto" w:fill="auto"/>
            <w:vAlign w:val="top"/>
          </w:tcPr>
          <w:p w14:paraId="265BE9BE">
            <w:pPr>
              <w:snapToGrid w:val="0"/>
              <w:rPr>
                <w:rFonts w:hint="eastAsia" w:ascii="宋体" w:hAnsi="宋体" w:cs="宋体"/>
                <w:color w:val="auto"/>
                <w:sz w:val="24"/>
                <w:highlight w:val="none"/>
              </w:rPr>
            </w:pPr>
          </w:p>
          <w:p w14:paraId="226B4B5D">
            <w:pPr>
              <w:snapToGrid w:val="0"/>
              <w:rPr>
                <w:rFonts w:hint="eastAsia" w:ascii="宋体" w:hAnsi="宋体" w:cs="宋体"/>
                <w:color w:val="auto"/>
                <w:sz w:val="24"/>
                <w:highlight w:val="none"/>
              </w:rPr>
            </w:pPr>
          </w:p>
          <w:p w14:paraId="65871329">
            <w:pPr>
              <w:snapToGrid w:val="0"/>
              <w:jc w:val="center"/>
              <w:rPr>
                <w:rFonts w:hint="eastAsia" w:ascii="宋体" w:hAnsi="宋体" w:cs="宋体"/>
                <w:color w:val="auto"/>
                <w:sz w:val="24"/>
                <w:highlight w:val="none"/>
              </w:rPr>
            </w:pPr>
          </w:p>
          <w:p w14:paraId="6DD301B5">
            <w:pPr>
              <w:snapToGrid w:val="0"/>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负责人及其团队情况</w:t>
            </w:r>
          </w:p>
        </w:tc>
      </w:tr>
      <w:tr w14:paraId="33DE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14132862">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5897" w:type="dxa"/>
            <w:shd w:val="clear" w:color="auto" w:fill="auto"/>
            <w:vAlign w:val="center"/>
          </w:tcPr>
          <w:p w14:paraId="3E406E62">
            <w:pPr>
              <w:snapToGrid w:val="0"/>
              <w:spacing w:line="360" w:lineRule="auto"/>
              <w:ind w:firstLine="480" w:firstLineChars="200"/>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提供的合理化建议合理、具有可操作性、针对性的得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分；合理化建议较合理、具有可操作性、针对性的得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分；合理化建议部分合理、操作性、针对性一般得1分；未提供的不得分。</w:t>
            </w:r>
          </w:p>
        </w:tc>
        <w:tc>
          <w:tcPr>
            <w:tcW w:w="793" w:type="dxa"/>
            <w:shd w:val="clear" w:color="auto" w:fill="auto"/>
            <w:vAlign w:val="top"/>
          </w:tcPr>
          <w:p w14:paraId="599CA3BB">
            <w:pPr>
              <w:snapToGrid w:val="0"/>
              <w:jc w:val="center"/>
              <w:outlineLvl w:val="0"/>
              <w:rPr>
                <w:rFonts w:ascii="宋体" w:hAnsi="宋体" w:cs="宋体"/>
                <w:bCs/>
                <w:color w:val="auto"/>
                <w:sz w:val="24"/>
                <w:highlight w:val="none"/>
              </w:rPr>
            </w:pPr>
          </w:p>
          <w:p w14:paraId="55B07657">
            <w:pPr>
              <w:snapToGrid w:val="0"/>
              <w:jc w:val="center"/>
              <w:outlineLvl w:val="0"/>
              <w:rPr>
                <w:rFonts w:ascii="宋体" w:hAnsi="宋体" w:cs="宋体"/>
                <w:bCs/>
                <w:color w:val="auto"/>
                <w:sz w:val="24"/>
                <w:highlight w:val="none"/>
              </w:rPr>
            </w:pPr>
          </w:p>
          <w:p w14:paraId="1E974F79">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w:t>
            </w:r>
          </w:p>
        </w:tc>
        <w:tc>
          <w:tcPr>
            <w:tcW w:w="2133" w:type="dxa"/>
            <w:shd w:val="clear" w:color="auto" w:fill="auto"/>
            <w:vAlign w:val="top"/>
          </w:tcPr>
          <w:p w14:paraId="51AEDA66">
            <w:pPr>
              <w:snapToGrid w:val="0"/>
              <w:jc w:val="center"/>
              <w:rPr>
                <w:rFonts w:hint="eastAsia" w:ascii="宋体" w:hAnsi="宋体" w:cs="宋体"/>
                <w:color w:val="auto"/>
                <w:sz w:val="24"/>
                <w:highlight w:val="none"/>
                <w:lang w:val="en-US" w:eastAsia="zh-CN"/>
              </w:rPr>
            </w:pPr>
          </w:p>
          <w:p w14:paraId="113C7DC3">
            <w:pPr>
              <w:snapToGrid w:val="0"/>
              <w:jc w:val="center"/>
              <w:rPr>
                <w:rFonts w:hint="eastAsia" w:ascii="宋体" w:hAnsi="宋体" w:cs="宋体"/>
                <w:color w:val="auto"/>
                <w:sz w:val="24"/>
                <w:highlight w:val="none"/>
                <w:lang w:val="en-US" w:eastAsia="zh-CN"/>
              </w:rPr>
            </w:pPr>
          </w:p>
          <w:p w14:paraId="0A2774AA">
            <w:pPr>
              <w:snapToGrid w:val="0"/>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4"/>
                <w:highlight w:val="none"/>
                <w:lang w:val="en-US" w:eastAsia="zh-CN"/>
              </w:rPr>
              <w:t>合理化建议</w:t>
            </w:r>
          </w:p>
        </w:tc>
      </w:tr>
      <w:tr w14:paraId="5937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571DB92B">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5897" w:type="dxa"/>
            <w:shd w:val="clear" w:color="auto" w:fill="auto"/>
            <w:vAlign w:val="top"/>
          </w:tcPr>
          <w:p w14:paraId="1EF602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有效最后报价的最低价作为评审基准价，其最低报价为满分；按［最后报价得分=（评审基准价/最后报价）*30］的计算公式计算。</w:t>
            </w:r>
          </w:p>
          <w:p w14:paraId="0D7B66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p w14:paraId="105FD8C4">
            <w:pPr>
              <w:snapToGrid w:val="0"/>
              <w:spacing w:line="360" w:lineRule="auto"/>
              <w:ind w:firstLine="482" w:firstLineChars="200"/>
              <w:rPr>
                <w:rFonts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rPr>
              <w:t>本项目专门面向中小企业</w:t>
            </w:r>
            <w:r>
              <w:rPr>
                <w:rFonts w:hint="eastAsia" w:ascii="宋体" w:hAnsi="宋体" w:cs="宋体"/>
                <w:b/>
                <w:bCs/>
                <w:color w:val="auto"/>
                <w:sz w:val="24"/>
                <w:highlight w:val="none"/>
                <w:lang w:eastAsia="zh-CN"/>
              </w:rPr>
              <w:t>承建</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报价</w:t>
            </w:r>
            <w:r>
              <w:rPr>
                <w:rFonts w:hint="eastAsia" w:ascii="宋体" w:hAnsi="宋体" w:cs="宋体"/>
                <w:b/>
                <w:bCs/>
                <w:color w:val="auto"/>
                <w:sz w:val="24"/>
                <w:highlight w:val="none"/>
              </w:rPr>
              <w:t>不进行政策价格扣除。</w:t>
            </w:r>
          </w:p>
        </w:tc>
        <w:tc>
          <w:tcPr>
            <w:tcW w:w="793" w:type="dxa"/>
            <w:shd w:val="clear" w:color="auto" w:fill="auto"/>
            <w:vAlign w:val="center"/>
          </w:tcPr>
          <w:p w14:paraId="40FD8D51">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30</w:t>
            </w:r>
          </w:p>
        </w:tc>
        <w:tc>
          <w:tcPr>
            <w:tcW w:w="2133" w:type="dxa"/>
            <w:shd w:val="clear" w:color="auto" w:fill="auto"/>
            <w:vAlign w:val="center"/>
          </w:tcPr>
          <w:p w14:paraId="75560B43">
            <w:pPr>
              <w:snapToGrid w:val="0"/>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w:t>
            </w:r>
          </w:p>
        </w:tc>
      </w:tr>
    </w:tbl>
    <w:p w14:paraId="24E2C39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184C0EB9">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552140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1"/>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0582421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292ABB3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1"/>
        <w:rPr>
          <w:rFonts w:ascii="宋体" w:hAnsi="宋体" w:cs="宋体"/>
          <w:b/>
          <w:color w:val="auto"/>
          <w:sz w:val="32"/>
          <w:highlight w:val="none"/>
        </w:rPr>
      </w:pPr>
      <w:r>
        <w:rPr>
          <w:rFonts w:hint="eastAsia" w:ascii="宋体" w:hAnsi="宋体" w:cs="宋体"/>
          <w:b/>
          <w:color w:val="auto"/>
          <w:sz w:val="32"/>
          <w:highlight w:val="none"/>
        </w:rPr>
        <w:t>二、评审标准</w:t>
      </w:r>
    </w:p>
    <w:p w14:paraId="1E026E6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2.评审标准：</w:t>
      </w:r>
      <w:r>
        <w:rPr>
          <w:rFonts w:hint="eastAsia" w:ascii="宋体" w:hAnsi="宋体" w:cs="宋体"/>
          <w:color w:val="auto"/>
          <w:kern w:val="0"/>
          <w:sz w:val="24"/>
          <w:highlight w:val="none"/>
        </w:rPr>
        <w:t>见评审办法前附表。</w:t>
      </w:r>
    </w:p>
    <w:p w14:paraId="3BD306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1"/>
        <w:rPr>
          <w:rFonts w:ascii="宋体" w:hAnsi="宋体" w:cs="宋体"/>
          <w:b/>
          <w:color w:val="auto"/>
          <w:sz w:val="32"/>
          <w:highlight w:val="none"/>
        </w:rPr>
      </w:pPr>
      <w:r>
        <w:rPr>
          <w:rFonts w:hint="eastAsia" w:ascii="宋体" w:hAnsi="宋体" w:cs="宋体"/>
          <w:b/>
          <w:color w:val="auto"/>
          <w:sz w:val="32"/>
          <w:highlight w:val="none"/>
        </w:rPr>
        <w:t>三、评审程序</w:t>
      </w:r>
    </w:p>
    <w:p w14:paraId="6388E28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6D944CD">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024C7A30">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63A12CF3">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36717880">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2CC14B2F">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555D7F35">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14281A1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9AC4664">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0C3010C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79977C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4216E4C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55833E22">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7A040A6C">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74CBE4B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746680AF">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056C51B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657D265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47F38DA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553BDDA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3CFAE6F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689BD4C">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5D9AEB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FACF74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1"/>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4CFA96C5">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11D1897">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65FDEC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41AAE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437834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92C29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78BD17D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79B4D0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075943E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09BDB15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055735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0984C2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16F670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203C190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586212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3EAD2E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29BF2E8">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6B79BCF1">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5EEF07F8">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7F95961">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732145DF">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30EA83F">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7E5CAB97">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5BFD915">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19C5CC5">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48042EED">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2BA9A6AB">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1C36CC68">
      <w:pPr>
        <w:pStyle w:val="25"/>
        <w:snapToGrid w:val="0"/>
        <w:spacing w:line="360" w:lineRule="auto"/>
        <w:ind w:firstLine="0" w:firstLineChars="0"/>
        <w:rPr>
          <w:rFonts w:cs="宋体"/>
          <w:color w:val="auto"/>
          <w:highlight w:val="none"/>
        </w:rPr>
        <w:sectPr>
          <w:pgSz w:w="11907" w:h="16840"/>
          <w:pgMar w:top="1440" w:right="1080" w:bottom="1440" w:left="1080" w:header="851" w:footer="851" w:gutter="0"/>
          <w:pgNumType w:fmt="decimal"/>
          <w:cols w:space="720" w:num="1"/>
        </w:sectPr>
      </w:pPr>
    </w:p>
    <w:bookmarkEnd w:id="30"/>
    <w:p w14:paraId="41B1F534">
      <w:pPr>
        <w:spacing w:line="360" w:lineRule="auto"/>
        <w:jc w:val="center"/>
        <w:outlineLvl w:val="0"/>
        <w:rPr>
          <w:rFonts w:ascii="宋体" w:hAnsi="宋体" w:cs="宋体"/>
          <w:b/>
          <w:color w:val="auto"/>
          <w:sz w:val="36"/>
          <w:szCs w:val="36"/>
          <w:highlight w:val="none"/>
        </w:rPr>
      </w:pPr>
      <w:bookmarkStart w:id="396" w:name="_Toc86217003"/>
      <w:bookmarkStart w:id="397" w:name="第五部分"/>
      <w:r>
        <w:rPr>
          <w:rFonts w:hint="eastAsia" w:ascii="宋体" w:hAnsi="宋体" w:cs="宋体"/>
          <w:b/>
          <w:color w:val="auto"/>
          <w:sz w:val="36"/>
          <w:szCs w:val="36"/>
          <w:highlight w:val="none"/>
        </w:rPr>
        <w:t>第五部分 拟签订的合同文本</w:t>
      </w:r>
    </w:p>
    <w:p w14:paraId="44340642">
      <w:pPr>
        <w:spacing w:line="500" w:lineRule="exact"/>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（GF-2013-0201）</w:t>
      </w:r>
    </w:p>
    <w:p w14:paraId="2E255F66">
      <w:pPr>
        <w:spacing w:line="500" w:lineRule="exact"/>
        <w:jc w:val="center"/>
        <w:rPr>
          <w:rFonts w:hint="eastAsia" w:ascii="宋体" w:hAnsi="宋体" w:eastAsia="宋体" w:cs="宋体"/>
          <w:b/>
          <w:color w:val="auto"/>
          <w:sz w:val="24"/>
          <w:szCs w:val="24"/>
          <w:highlight w:val="none"/>
        </w:rPr>
      </w:pPr>
    </w:p>
    <w:p w14:paraId="6E9C785D">
      <w:pPr>
        <w:spacing w:line="500" w:lineRule="exact"/>
        <w:jc w:val="center"/>
        <w:rPr>
          <w:rFonts w:hint="eastAsia" w:ascii="宋体" w:hAnsi="宋体" w:eastAsia="宋体" w:cs="宋体"/>
          <w:b/>
          <w:color w:val="auto"/>
          <w:sz w:val="24"/>
          <w:szCs w:val="24"/>
          <w:highlight w:val="none"/>
        </w:rPr>
      </w:pPr>
    </w:p>
    <w:p w14:paraId="3E655121">
      <w:pPr>
        <w:spacing w:line="500" w:lineRule="exact"/>
        <w:jc w:val="center"/>
        <w:rPr>
          <w:rFonts w:hint="eastAsia" w:ascii="宋体" w:hAnsi="宋体" w:eastAsia="宋体" w:cs="宋体"/>
          <w:b/>
          <w:color w:val="auto"/>
          <w:sz w:val="24"/>
          <w:szCs w:val="24"/>
          <w:highlight w:val="none"/>
        </w:rPr>
      </w:pPr>
    </w:p>
    <w:p w14:paraId="569EDB09">
      <w:pPr>
        <w:spacing w:line="500" w:lineRule="exact"/>
        <w:jc w:val="center"/>
        <w:rPr>
          <w:rFonts w:hint="eastAsia" w:ascii="宋体" w:hAnsi="宋体" w:eastAsia="宋体" w:cs="宋体"/>
          <w:b/>
          <w:color w:val="auto"/>
          <w:sz w:val="24"/>
          <w:szCs w:val="24"/>
          <w:highlight w:val="none"/>
        </w:rPr>
      </w:pPr>
    </w:p>
    <w:p w14:paraId="5E47FE69">
      <w:pPr>
        <w:spacing w:line="500" w:lineRule="exact"/>
        <w:jc w:val="center"/>
        <w:rPr>
          <w:rFonts w:hint="eastAsia" w:ascii="宋体" w:hAnsi="宋体" w:eastAsia="宋体" w:cs="宋体"/>
          <w:b/>
          <w:color w:val="auto"/>
          <w:sz w:val="24"/>
          <w:szCs w:val="24"/>
          <w:highlight w:val="none"/>
        </w:rPr>
      </w:pPr>
    </w:p>
    <w:p w14:paraId="14703E4C">
      <w:pPr>
        <w:jc w:val="center"/>
        <w:rPr>
          <w:rFonts w:hint="eastAsia" w:ascii="宋体" w:hAnsi="宋体" w:eastAsia="宋体" w:cs="宋体"/>
          <w:b/>
          <w:color w:val="auto"/>
          <w:sz w:val="72"/>
          <w:szCs w:val="72"/>
          <w:highlight w:val="none"/>
          <w:lang w:eastAsia="zh-CN"/>
        </w:rPr>
      </w:pPr>
      <w:r>
        <w:rPr>
          <w:rFonts w:hint="eastAsia" w:ascii="宋体" w:hAnsi="宋体" w:eastAsia="宋体" w:cs="宋体"/>
          <w:b/>
          <w:color w:val="auto"/>
          <w:sz w:val="72"/>
          <w:szCs w:val="72"/>
          <w:highlight w:val="none"/>
        </w:rPr>
        <w:t>建设工程施工合同</w:t>
      </w:r>
    </w:p>
    <w:p w14:paraId="4ADAAE50">
      <w:pPr>
        <w:jc w:val="center"/>
        <w:rPr>
          <w:rFonts w:hint="eastAsia" w:ascii="宋体" w:hAnsi="宋体" w:eastAsia="宋体" w:cs="宋体"/>
          <w:b/>
          <w:color w:val="auto"/>
          <w:sz w:val="24"/>
          <w:szCs w:val="24"/>
          <w:highlight w:val="none"/>
          <w:lang w:eastAsia="zh-CN"/>
        </w:rPr>
      </w:pPr>
    </w:p>
    <w:p w14:paraId="6B9EE674">
      <w:pPr>
        <w:jc w:val="center"/>
        <w:rPr>
          <w:rFonts w:hint="eastAsia" w:ascii="宋体" w:hAnsi="宋体" w:eastAsia="宋体" w:cs="宋体"/>
          <w:b/>
          <w:color w:val="auto"/>
          <w:sz w:val="24"/>
          <w:szCs w:val="24"/>
          <w:highlight w:val="none"/>
        </w:rPr>
      </w:pPr>
    </w:p>
    <w:p w14:paraId="4BD463C6">
      <w:pPr>
        <w:spacing w:line="500" w:lineRule="exact"/>
        <w:jc w:val="center"/>
        <w:rPr>
          <w:rFonts w:hint="eastAsia" w:ascii="宋体" w:hAnsi="宋体" w:eastAsia="宋体" w:cs="宋体"/>
          <w:b/>
          <w:color w:val="auto"/>
          <w:sz w:val="24"/>
          <w:szCs w:val="24"/>
          <w:highlight w:val="none"/>
        </w:rPr>
      </w:pPr>
    </w:p>
    <w:p w14:paraId="38B39E80">
      <w:pPr>
        <w:spacing w:line="500" w:lineRule="exact"/>
        <w:jc w:val="center"/>
        <w:rPr>
          <w:rFonts w:hint="eastAsia" w:ascii="宋体" w:hAnsi="宋体" w:eastAsia="宋体" w:cs="宋体"/>
          <w:b/>
          <w:color w:val="auto"/>
          <w:sz w:val="24"/>
          <w:szCs w:val="24"/>
          <w:highlight w:val="none"/>
        </w:rPr>
      </w:pPr>
    </w:p>
    <w:p w14:paraId="1306E145">
      <w:pPr>
        <w:spacing w:line="500" w:lineRule="exact"/>
        <w:jc w:val="center"/>
        <w:rPr>
          <w:rFonts w:hint="eastAsia" w:ascii="宋体" w:hAnsi="宋体" w:eastAsia="宋体" w:cs="宋体"/>
          <w:b/>
          <w:color w:val="auto"/>
          <w:sz w:val="24"/>
          <w:szCs w:val="24"/>
          <w:highlight w:val="none"/>
        </w:rPr>
      </w:pPr>
    </w:p>
    <w:p w14:paraId="3F84C633">
      <w:pPr>
        <w:spacing w:line="500" w:lineRule="exact"/>
        <w:jc w:val="center"/>
        <w:rPr>
          <w:rFonts w:hint="eastAsia" w:ascii="宋体" w:hAnsi="宋体" w:eastAsia="宋体" w:cs="宋体"/>
          <w:b/>
          <w:color w:val="auto"/>
          <w:sz w:val="24"/>
          <w:szCs w:val="24"/>
          <w:highlight w:val="none"/>
        </w:rPr>
      </w:pPr>
    </w:p>
    <w:p w14:paraId="0151B411">
      <w:pPr>
        <w:spacing w:line="500" w:lineRule="exact"/>
        <w:jc w:val="center"/>
        <w:rPr>
          <w:rFonts w:hint="eastAsia" w:ascii="宋体" w:hAnsi="宋体" w:eastAsia="宋体" w:cs="宋体"/>
          <w:b/>
          <w:color w:val="auto"/>
          <w:sz w:val="24"/>
          <w:szCs w:val="24"/>
          <w:highlight w:val="none"/>
        </w:rPr>
      </w:pPr>
    </w:p>
    <w:p w14:paraId="620B1573">
      <w:pPr>
        <w:spacing w:line="500" w:lineRule="exact"/>
        <w:jc w:val="center"/>
        <w:rPr>
          <w:rFonts w:hint="eastAsia" w:ascii="宋体" w:hAnsi="宋体" w:eastAsia="宋体" w:cs="宋体"/>
          <w:b/>
          <w:color w:val="auto"/>
          <w:sz w:val="24"/>
          <w:szCs w:val="24"/>
          <w:highlight w:val="none"/>
        </w:rPr>
      </w:pPr>
    </w:p>
    <w:p w14:paraId="2BC20A1F">
      <w:pPr>
        <w:spacing w:line="500" w:lineRule="exact"/>
        <w:jc w:val="center"/>
        <w:rPr>
          <w:rFonts w:hint="eastAsia" w:ascii="宋体" w:hAnsi="宋体" w:eastAsia="宋体" w:cs="宋体"/>
          <w:b/>
          <w:color w:val="auto"/>
          <w:sz w:val="24"/>
          <w:szCs w:val="24"/>
          <w:highlight w:val="none"/>
        </w:rPr>
      </w:pPr>
    </w:p>
    <w:p w14:paraId="099E8160">
      <w:pPr>
        <w:spacing w:line="500" w:lineRule="exact"/>
        <w:jc w:val="center"/>
        <w:rPr>
          <w:rFonts w:hint="eastAsia" w:ascii="宋体" w:hAnsi="宋体" w:eastAsia="宋体" w:cs="宋体"/>
          <w:b/>
          <w:color w:val="auto"/>
          <w:sz w:val="24"/>
          <w:szCs w:val="24"/>
          <w:highlight w:val="none"/>
        </w:rPr>
      </w:pPr>
    </w:p>
    <w:p w14:paraId="5E1C0BC5">
      <w:pPr>
        <w:spacing w:line="500" w:lineRule="exact"/>
        <w:jc w:val="center"/>
        <w:rPr>
          <w:rFonts w:hint="eastAsia" w:ascii="宋体" w:hAnsi="宋体" w:eastAsia="宋体" w:cs="宋体"/>
          <w:b/>
          <w:color w:val="auto"/>
          <w:sz w:val="24"/>
          <w:szCs w:val="24"/>
          <w:highlight w:val="none"/>
        </w:rPr>
      </w:pPr>
    </w:p>
    <w:p w14:paraId="3E005068">
      <w:pPr>
        <w:spacing w:line="500" w:lineRule="exact"/>
        <w:jc w:val="center"/>
        <w:rPr>
          <w:rFonts w:hint="eastAsia" w:ascii="宋体" w:hAnsi="宋体" w:eastAsia="宋体" w:cs="宋体"/>
          <w:b/>
          <w:color w:val="auto"/>
          <w:sz w:val="24"/>
          <w:szCs w:val="24"/>
          <w:highlight w:val="none"/>
        </w:rPr>
      </w:pPr>
    </w:p>
    <w:p w14:paraId="5FB79AC8">
      <w:pPr>
        <w:spacing w:line="500" w:lineRule="exact"/>
        <w:jc w:val="center"/>
        <w:rPr>
          <w:rFonts w:hint="eastAsia" w:ascii="宋体" w:hAnsi="宋体" w:eastAsia="宋体" w:cs="宋体"/>
          <w:b/>
          <w:color w:val="auto"/>
          <w:sz w:val="24"/>
          <w:szCs w:val="24"/>
          <w:highlight w:val="none"/>
        </w:rPr>
      </w:pPr>
    </w:p>
    <w:p w14:paraId="1159A02A">
      <w:pPr>
        <w:spacing w:line="500" w:lineRule="exact"/>
        <w:jc w:val="center"/>
        <w:rPr>
          <w:rFonts w:hint="eastAsia" w:ascii="宋体" w:hAnsi="宋体" w:eastAsia="宋体" w:cs="宋体"/>
          <w:b/>
          <w:color w:val="auto"/>
          <w:sz w:val="24"/>
          <w:szCs w:val="24"/>
          <w:highlight w:val="none"/>
        </w:rPr>
      </w:pPr>
    </w:p>
    <w:p w14:paraId="350D85B9">
      <w:pPr>
        <w:spacing w:line="500" w:lineRule="exact"/>
        <w:jc w:val="center"/>
        <w:rPr>
          <w:rFonts w:hint="eastAsia" w:ascii="宋体" w:hAnsi="宋体" w:eastAsia="宋体" w:cs="宋体"/>
          <w:color w:val="auto"/>
          <w:sz w:val="24"/>
          <w:szCs w:val="24"/>
          <w:highlight w:val="none"/>
        </w:rPr>
      </w:pPr>
    </w:p>
    <w:p w14:paraId="2F98F8B5">
      <w:pPr>
        <w:spacing w:line="500" w:lineRule="exact"/>
        <w:jc w:val="center"/>
        <w:rPr>
          <w:rFonts w:hint="eastAsia" w:ascii="宋体" w:hAnsi="宋体" w:eastAsia="宋体" w:cs="宋体"/>
          <w:color w:val="auto"/>
          <w:sz w:val="24"/>
          <w:szCs w:val="24"/>
          <w:highlight w:val="none"/>
        </w:rPr>
      </w:pPr>
    </w:p>
    <w:p w14:paraId="44AEDF79">
      <w:pPr>
        <w:spacing w:line="500" w:lineRule="exact"/>
        <w:jc w:val="center"/>
        <w:rPr>
          <w:rFonts w:hint="eastAsia" w:ascii="宋体" w:hAnsi="宋体" w:eastAsia="宋体" w:cs="宋体"/>
          <w:color w:val="auto"/>
          <w:sz w:val="24"/>
          <w:szCs w:val="24"/>
          <w:highlight w:val="none"/>
        </w:rPr>
      </w:pPr>
    </w:p>
    <w:p w14:paraId="758D6F5F">
      <w:pPr>
        <w:pStyle w:val="2"/>
        <w:rPr>
          <w:rFonts w:hint="eastAsia" w:ascii="宋体" w:hAnsi="宋体" w:eastAsia="宋体" w:cs="宋体"/>
          <w:color w:val="auto"/>
          <w:sz w:val="24"/>
          <w:szCs w:val="24"/>
          <w:highlight w:val="none"/>
        </w:rPr>
      </w:pPr>
    </w:p>
    <w:p w14:paraId="18A2304D">
      <w:pPr>
        <w:pStyle w:val="2"/>
        <w:rPr>
          <w:rFonts w:hint="eastAsia" w:ascii="宋体" w:hAnsi="宋体" w:eastAsia="宋体" w:cs="宋体"/>
          <w:color w:val="auto"/>
          <w:sz w:val="24"/>
          <w:szCs w:val="24"/>
          <w:highlight w:val="none"/>
        </w:rPr>
      </w:pPr>
    </w:p>
    <w:p w14:paraId="6FF02AE7">
      <w:pPr>
        <w:pStyle w:val="2"/>
        <w:rPr>
          <w:rFonts w:hint="eastAsia" w:ascii="宋体" w:hAnsi="宋体" w:eastAsia="宋体" w:cs="宋体"/>
          <w:color w:val="auto"/>
          <w:sz w:val="24"/>
          <w:szCs w:val="24"/>
          <w:highlight w:val="none"/>
        </w:rPr>
      </w:pPr>
    </w:p>
    <w:p w14:paraId="20FF47B6">
      <w:pPr>
        <w:pStyle w:val="5"/>
        <w:keepNext/>
        <w:keepLines/>
        <w:tabs>
          <w:tab w:val="clear" w:pos="900"/>
        </w:tabs>
        <w:spacing w:before="260" w:after="260" w:line="413"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第一部分</w:t>
      </w:r>
      <w:r>
        <w:rPr>
          <w:rFonts w:hint="eastAsia" w:ascii="宋体" w:hAnsi="宋体" w:eastAsia="宋体" w:cs="宋体"/>
          <w:b/>
          <w:color w:val="auto"/>
          <w:sz w:val="24"/>
          <w:szCs w:val="24"/>
          <w:highlight w:val="none"/>
          <w:lang w:eastAsia="zh-CN"/>
        </w:rPr>
        <w:t xml:space="preserve"> </w:t>
      </w:r>
      <w:r>
        <w:rPr>
          <w:rFonts w:hint="eastAsia" w:ascii="宋体" w:hAnsi="宋体" w:eastAsia="宋体" w:cs="宋体"/>
          <w:b/>
          <w:color w:val="auto"/>
          <w:sz w:val="24"/>
          <w:szCs w:val="24"/>
          <w:highlight w:val="none"/>
        </w:rPr>
        <w:t>合同协议书</w:t>
      </w:r>
    </w:p>
    <w:p w14:paraId="2E50FB45">
      <w:pPr>
        <w:spacing w:line="500" w:lineRule="exac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杭州市西湖区综合行政执法局</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0630F793">
      <w:pPr>
        <w:spacing w:line="500" w:lineRule="exac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w:t>
      </w:r>
    </w:p>
    <w:p w14:paraId="159C7F9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根据《中华人民共和国民法典》、《中华人民共和国建筑法》及有关法律规定，遵循平等、自愿、公平和诚实信用的原则，双方就</w:t>
      </w:r>
      <w:r>
        <w:rPr>
          <w:rFonts w:hint="eastAsia" w:hAnsi="宋体" w:cs="宋体"/>
          <w:color w:val="auto"/>
          <w:kern w:val="0"/>
          <w:sz w:val="24"/>
          <w:szCs w:val="24"/>
          <w:highlight w:val="none"/>
          <w:u w:val="single"/>
          <w:lang w:val="en-US" w:eastAsia="zh-CN" w:bidi="ar"/>
        </w:rPr>
        <w:t>2024年西湖区道路端头交通安全治理绿化工程</w:t>
      </w:r>
      <w:r>
        <w:rPr>
          <w:rFonts w:hint="eastAsia" w:ascii="宋体" w:hAnsi="宋体" w:eastAsia="宋体" w:cs="宋体"/>
          <w:color w:val="auto"/>
          <w:sz w:val="24"/>
          <w:szCs w:val="24"/>
          <w:highlight w:val="none"/>
        </w:rPr>
        <w:t>施工及有关事项协商一致，共同达成如下协议：</w:t>
      </w:r>
    </w:p>
    <w:p w14:paraId="370BAFCE">
      <w:pPr>
        <w:pStyle w:val="6"/>
        <w:spacing w:before="120" w:after="120" w:line="360" w:lineRule="auto"/>
        <w:rPr>
          <w:rFonts w:hint="eastAsia" w:ascii="宋体" w:hAnsi="宋体" w:eastAsia="宋体" w:cs="宋体"/>
          <w:bCs w:val="0"/>
          <w:color w:val="auto"/>
          <w:sz w:val="24"/>
          <w:szCs w:val="24"/>
          <w:highlight w:val="none"/>
        </w:rPr>
      </w:pPr>
      <w:bookmarkStart w:id="398" w:name="_Toc351203481"/>
      <w:r>
        <w:rPr>
          <w:rFonts w:hint="eastAsia" w:ascii="宋体" w:hAnsi="宋体" w:eastAsia="宋体" w:cs="宋体"/>
          <w:b w:val="0"/>
          <w:color w:val="auto"/>
          <w:sz w:val="24"/>
          <w:szCs w:val="24"/>
          <w:highlight w:val="none"/>
        </w:rPr>
        <w:t>一、工程概况</w:t>
      </w:r>
      <w:bookmarkEnd w:id="398"/>
    </w:p>
    <w:p w14:paraId="6146647E">
      <w:pPr>
        <w:spacing w:line="500" w:lineRule="exact"/>
        <w:ind w:firstLine="470" w:firstLineChars="196"/>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hAnsi="宋体" w:cs="宋体"/>
          <w:color w:val="auto"/>
          <w:kern w:val="0"/>
          <w:sz w:val="24"/>
          <w:szCs w:val="24"/>
          <w:highlight w:val="none"/>
          <w:u w:val="single"/>
          <w:lang w:val="en-US" w:eastAsia="zh-CN" w:bidi="ar"/>
        </w:rPr>
        <w:t>2024年西湖区道路端头交通安全治理绿化工程</w:t>
      </w:r>
      <w:r>
        <w:rPr>
          <w:rFonts w:hint="eastAsia" w:ascii="宋体" w:hAnsi="宋体" w:eastAsia="宋体" w:cs="宋体"/>
          <w:color w:val="auto"/>
          <w:sz w:val="24"/>
          <w:szCs w:val="24"/>
          <w:highlight w:val="none"/>
        </w:rPr>
        <w:t>。</w:t>
      </w:r>
    </w:p>
    <w:p w14:paraId="2DAEFBB6">
      <w:pPr>
        <w:spacing w:line="5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kern w:val="0"/>
          <w:sz w:val="24"/>
          <w:szCs w:val="24"/>
          <w:highlight w:val="none"/>
          <w:u w:val="single"/>
          <w:lang w:val="en-US" w:eastAsia="zh-CN" w:bidi="ar"/>
        </w:rPr>
        <w:t>杭州市西湖区</w:t>
      </w:r>
      <w:r>
        <w:rPr>
          <w:rFonts w:hint="eastAsia" w:ascii="宋体" w:hAnsi="宋体" w:eastAsia="宋体" w:cs="宋体"/>
          <w:color w:val="auto"/>
          <w:sz w:val="24"/>
          <w:szCs w:val="24"/>
          <w:highlight w:val="none"/>
        </w:rPr>
        <w:t>。</w:t>
      </w:r>
    </w:p>
    <w:p w14:paraId="72662E66">
      <w:pPr>
        <w:spacing w:line="5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232B3B71">
      <w:pPr>
        <w:spacing w:line="5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财政       </w:t>
      </w:r>
      <w:r>
        <w:rPr>
          <w:rFonts w:hint="eastAsia" w:ascii="宋体" w:hAnsi="宋体" w:eastAsia="宋体" w:cs="宋体"/>
          <w:bCs/>
          <w:color w:val="auto"/>
          <w:sz w:val="24"/>
          <w:szCs w:val="24"/>
          <w:highlight w:val="none"/>
        </w:rPr>
        <w:t>。</w:t>
      </w:r>
    </w:p>
    <w:p w14:paraId="08900879">
      <w:pPr>
        <w:spacing w:line="5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工程量清单范围内的所有工作内容    </w:t>
      </w:r>
      <w:r>
        <w:rPr>
          <w:rFonts w:hint="eastAsia" w:ascii="宋体" w:hAnsi="宋体" w:eastAsia="宋体" w:cs="宋体"/>
          <w:bCs/>
          <w:color w:val="auto"/>
          <w:sz w:val="24"/>
          <w:szCs w:val="24"/>
          <w:highlight w:val="none"/>
        </w:rPr>
        <w:t>。</w:t>
      </w:r>
    </w:p>
    <w:p w14:paraId="15D2B60C">
      <w:pPr>
        <w:spacing w:line="50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6.工程承包范围：</w:t>
      </w:r>
    </w:p>
    <w:p w14:paraId="2FF628A4">
      <w:pPr>
        <w:spacing w:line="500" w:lineRule="exact"/>
        <w:ind w:right="-29" w:rightChars="-14" w:firstLine="698" w:firstLineChars="291"/>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地点西湖区，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工程</w:t>
      </w:r>
      <w:r>
        <w:rPr>
          <w:rFonts w:hint="eastAsia" w:ascii="宋体" w:hAnsi="宋体" w:eastAsia="宋体" w:cs="宋体"/>
          <w:bCs/>
          <w:color w:val="auto"/>
          <w:sz w:val="24"/>
          <w:szCs w:val="24"/>
          <w:highlight w:val="none"/>
          <w:u w:val="single"/>
        </w:rPr>
        <w:t xml:space="preserve">施工图中所包含的一切内容和工程量清单等已明确的工程内容 </w:t>
      </w:r>
      <w:r>
        <w:rPr>
          <w:rFonts w:hint="eastAsia" w:ascii="宋体" w:hAnsi="宋体" w:eastAsia="宋体" w:cs="宋体"/>
          <w:color w:val="auto"/>
          <w:sz w:val="24"/>
          <w:szCs w:val="24"/>
          <w:highlight w:val="none"/>
        </w:rPr>
        <w:t>。</w:t>
      </w:r>
    </w:p>
    <w:p w14:paraId="4B27081F">
      <w:pPr>
        <w:pStyle w:val="6"/>
        <w:spacing w:before="120" w:after="120" w:line="360" w:lineRule="auto"/>
        <w:rPr>
          <w:rFonts w:hint="eastAsia" w:ascii="宋体" w:hAnsi="宋体" w:eastAsia="宋体" w:cs="宋体"/>
          <w:b w:val="0"/>
          <w:color w:val="auto"/>
          <w:sz w:val="24"/>
          <w:szCs w:val="24"/>
          <w:highlight w:val="none"/>
          <w:lang w:val="en-US" w:eastAsia="zh-CN"/>
        </w:rPr>
      </w:pPr>
      <w:bookmarkStart w:id="399" w:name="_Toc351203482"/>
      <w:r>
        <w:rPr>
          <w:rFonts w:hint="eastAsia" w:ascii="宋体" w:hAnsi="宋体" w:eastAsia="宋体" w:cs="宋体"/>
          <w:b w:val="0"/>
          <w:color w:val="auto"/>
          <w:sz w:val="24"/>
          <w:szCs w:val="24"/>
          <w:highlight w:val="none"/>
        </w:rPr>
        <w:t>二、合同工期</w:t>
      </w:r>
      <w:bookmarkEnd w:id="399"/>
      <w:r>
        <w:rPr>
          <w:rFonts w:hint="eastAsia" w:ascii="宋体" w:hAnsi="宋体" w:eastAsia="宋体" w:cs="宋体"/>
          <w:b w:val="0"/>
          <w:color w:val="auto"/>
          <w:sz w:val="24"/>
          <w:szCs w:val="24"/>
          <w:highlight w:val="none"/>
          <w:lang w:val="en-US" w:eastAsia="zh-CN"/>
        </w:rPr>
        <w:t xml:space="preserve"> </w:t>
      </w:r>
    </w:p>
    <w:p w14:paraId="34545D85">
      <w:pPr>
        <w:spacing w:line="500" w:lineRule="exact"/>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日。或以经批准的开工报告为准。</w:t>
      </w:r>
    </w:p>
    <w:p w14:paraId="7FA4F8C9">
      <w:pPr>
        <w:spacing w:line="500" w:lineRule="exact"/>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日。或从开工之日起按合同工期顺延。</w:t>
      </w:r>
    </w:p>
    <w:p w14:paraId="1BD2D445">
      <w:pPr>
        <w:spacing w:line="500" w:lineRule="exact"/>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5C452B2A">
      <w:pPr>
        <w:pStyle w:val="6"/>
        <w:spacing w:before="120" w:after="120" w:line="360" w:lineRule="auto"/>
        <w:rPr>
          <w:rFonts w:hint="eastAsia" w:ascii="宋体" w:hAnsi="宋体" w:eastAsia="宋体" w:cs="宋体"/>
          <w:b w:val="0"/>
          <w:color w:val="auto"/>
          <w:sz w:val="24"/>
          <w:szCs w:val="24"/>
          <w:highlight w:val="none"/>
        </w:rPr>
      </w:pPr>
      <w:bookmarkStart w:id="400" w:name="_Toc351203483"/>
      <w:r>
        <w:rPr>
          <w:rFonts w:hint="eastAsia" w:ascii="宋体" w:hAnsi="宋体" w:eastAsia="宋体" w:cs="宋体"/>
          <w:b w:val="0"/>
          <w:color w:val="auto"/>
          <w:sz w:val="24"/>
          <w:szCs w:val="24"/>
          <w:highlight w:val="none"/>
        </w:rPr>
        <w:t>三、质量标准</w:t>
      </w:r>
      <w:bookmarkEnd w:id="400"/>
    </w:p>
    <w:p w14:paraId="1E47697D">
      <w:pPr>
        <w:spacing w:line="500" w:lineRule="exact"/>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t>    合格  </w:t>
      </w:r>
      <w:r>
        <w:rPr>
          <w:rFonts w:hint="eastAsia" w:ascii="宋体" w:hAnsi="宋体" w:eastAsia="宋体" w:cs="宋体"/>
          <w:color w:val="auto"/>
          <w:sz w:val="24"/>
          <w:szCs w:val="24"/>
          <w:highlight w:val="none"/>
        </w:rPr>
        <w:t>标准。</w:t>
      </w:r>
    </w:p>
    <w:p w14:paraId="3016FCBE">
      <w:pPr>
        <w:spacing w:line="500" w:lineRule="exact"/>
        <w:ind w:firstLine="45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具体验收标准参照《混凝土结构工程施工质量验收规范》（GB50204-2002）（2011版）、《砌体结构工程施工质量验收规范》（GB50203-2011）、《建筑地基基础工程施工质量验收规范》（GB50202-2002）</w:t>
      </w:r>
    </w:p>
    <w:p w14:paraId="6B0C1FDF">
      <w:pPr>
        <w:pStyle w:val="6"/>
        <w:spacing w:before="120" w:after="120" w:line="360" w:lineRule="auto"/>
        <w:rPr>
          <w:rFonts w:hint="eastAsia" w:ascii="宋体" w:hAnsi="宋体" w:eastAsia="宋体" w:cs="宋体"/>
          <w:bCs w:val="0"/>
          <w:color w:val="auto"/>
          <w:sz w:val="24"/>
          <w:szCs w:val="24"/>
          <w:highlight w:val="none"/>
        </w:rPr>
      </w:pPr>
      <w:bookmarkStart w:id="401" w:name="_Toc351203484"/>
      <w:r>
        <w:rPr>
          <w:rFonts w:hint="eastAsia" w:ascii="宋体" w:hAnsi="宋体" w:eastAsia="宋体" w:cs="宋体"/>
          <w:b w:val="0"/>
          <w:color w:val="auto"/>
          <w:sz w:val="24"/>
          <w:szCs w:val="24"/>
          <w:highlight w:val="none"/>
        </w:rPr>
        <w:t>四、签约合同价与合同价格形式</w:t>
      </w:r>
      <w:bookmarkEnd w:id="401"/>
      <w:r>
        <w:rPr>
          <w:rFonts w:hint="eastAsia" w:ascii="宋体" w:hAnsi="宋体" w:eastAsia="宋体" w:cs="宋体"/>
          <w:b w:val="0"/>
          <w:color w:val="auto"/>
          <w:sz w:val="24"/>
          <w:szCs w:val="24"/>
          <w:highlight w:val="none"/>
        </w:rPr>
        <w:tab/>
      </w:r>
    </w:p>
    <w:p w14:paraId="03147A40">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1.签约合同价为：</w:t>
      </w:r>
    </w:p>
    <w:p w14:paraId="1CD9587B">
      <w:pPr>
        <w:spacing w:line="50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7C980B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固定单价合同     </w:t>
      </w:r>
      <w:r>
        <w:rPr>
          <w:rFonts w:hint="eastAsia" w:ascii="宋体" w:hAnsi="宋体" w:eastAsia="宋体" w:cs="宋体"/>
          <w:color w:val="auto"/>
          <w:sz w:val="24"/>
          <w:szCs w:val="24"/>
          <w:highlight w:val="none"/>
        </w:rPr>
        <w:t>。</w:t>
      </w:r>
    </w:p>
    <w:p w14:paraId="37D63A00">
      <w:pPr>
        <w:pStyle w:val="6"/>
        <w:spacing w:before="120" w:after="120" w:line="360" w:lineRule="auto"/>
        <w:rPr>
          <w:rFonts w:hint="eastAsia" w:ascii="宋体" w:hAnsi="宋体" w:eastAsia="宋体" w:cs="宋体"/>
          <w:b w:val="0"/>
          <w:color w:val="auto"/>
          <w:sz w:val="24"/>
          <w:szCs w:val="24"/>
          <w:highlight w:val="none"/>
        </w:rPr>
      </w:pPr>
      <w:bookmarkStart w:id="402" w:name="_Toc351203485"/>
      <w:r>
        <w:rPr>
          <w:rFonts w:hint="eastAsia" w:ascii="宋体" w:hAnsi="宋体" w:eastAsia="宋体" w:cs="宋体"/>
          <w:b w:val="0"/>
          <w:color w:val="auto"/>
          <w:sz w:val="24"/>
          <w:szCs w:val="24"/>
          <w:highlight w:val="none"/>
        </w:rPr>
        <w:t>五、</w:t>
      </w:r>
      <w:bookmarkEnd w:id="402"/>
      <w:r>
        <w:rPr>
          <w:rFonts w:hint="eastAsia" w:ascii="宋体" w:hAnsi="宋体" w:eastAsia="宋体" w:cs="宋体"/>
          <w:b w:val="0"/>
          <w:color w:val="auto"/>
          <w:sz w:val="24"/>
          <w:szCs w:val="24"/>
          <w:highlight w:val="none"/>
        </w:rPr>
        <w:t>项目经理</w:t>
      </w:r>
    </w:p>
    <w:p w14:paraId="39054F6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EFFD29C">
      <w:pPr>
        <w:pStyle w:val="6"/>
        <w:spacing w:before="120" w:after="120" w:line="360" w:lineRule="auto"/>
        <w:rPr>
          <w:rFonts w:hint="eastAsia" w:ascii="宋体" w:hAnsi="宋体" w:eastAsia="宋体" w:cs="宋体"/>
          <w:b w:val="0"/>
          <w:color w:val="auto"/>
          <w:sz w:val="24"/>
          <w:szCs w:val="24"/>
          <w:highlight w:val="none"/>
        </w:rPr>
      </w:pPr>
      <w:bookmarkStart w:id="403" w:name="_Toc351203486"/>
      <w:r>
        <w:rPr>
          <w:rFonts w:hint="eastAsia" w:ascii="宋体" w:hAnsi="宋体" w:eastAsia="宋体" w:cs="宋体"/>
          <w:b w:val="0"/>
          <w:color w:val="auto"/>
          <w:sz w:val="24"/>
          <w:szCs w:val="24"/>
          <w:highlight w:val="none"/>
        </w:rPr>
        <w:t>六、合同文件构成</w:t>
      </w:r>
      <w:bookmarkEnd w:id="403"/>
    </w:p>
    <w:p w14:paraId="1A9B02CB">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71422F22">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（1）中标通知书（如果有）；</w:t>
      </w:r>
    </w:p>
    <w:p w14:paraId="7AB6D412">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（2）投标函及其附录（如果有）； </w:t>
      </w:r>
    </w:p>
    <w:p w14:paraId="6CE8A380">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049C7EE0">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6A0DFD33">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7B9D5FE9">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3A19D11B">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4A860B61">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6953DD5B">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0DE568D9">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0A45D185">
      <w:pPr>
        <w:pStyle w:val="6"/>
        <w:spacing w:before="120" w:after="120" w:line="360" w:lineRule="auto"/>
        <w:rPr>
          <w:rFonts w:hint="eastAsia" w:ascii="宋体" w:hAnsi="宋体" w:eastAsia="宋体" w:cs="宋体"/>
          <w:b w:val="0"/>
          <w:color w:val="auto"/>
          <w:sz w:val="24"/>
          <w:szCs w:val="24"/>
          <w:highlight w:val="none"/>
        </w:rPr>
      </w:pPr>
      <w:bookmarkStart w:id="404" w:name="_Toc351203487"/>
      <w:r>
        <w:rPr>
          <w:rFonts w:hint="eastAsia" w:ascii="宋体" w:hAnsi="宋体" w:eastAsia="宋体" w:cs="宋体"/>
          <w:b w:val="0"/>
          <w:color w:val="auto"/>
          <w:sz w:val="24"/>
          <w:szCs w:val="24"/>
          <w:highlight w:val="none"/>
        </w:rPr>
        <w:t>七、承诺</w:t>
      </w:r>
      <w:bookmarkEnd w:id="404"/>
    </w:p>
    <w:p w14:paraId="6B9DA26E">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72CA24BF">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792C27B1">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299424AB">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乙方有任何违约行为的，甲方均有权暂缓付款而不视为甲方违约。甲方有权从应支付给乙方的任意一笔款项中扣除乙方应承担的全部款项（包括但不限于违约金、损害赔偿金等），而不视为甲方违约。</w:t>
      </w:r>
    </w:p>
    <w:p w14:paraId="1A36042A">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 xml:space="preserve"> </w:t>
      </w:r>
      <w:r>
        <w:rPr>
          <w:rFonts w:hint="eastAsia" w:ascii="宋体" w:hAnsi="宋体" w:cs="宋体"/>
          <w:bCs/>
          <w:color w:val="auto"/>
          <w:sz w:val="24"/>
          <w:szCs w:val="24"/>
          <w:highlight w:val="none"/>
          <w:lang w:val="en-US" w:eastAsia="zh-CN"/>
        </w:rPr>
        <w:t>承包人</w:t>
      </w:r>
      <w:r>
        <w:rPr>
          <w:rFonts w:hint="eastAsia" w:ascii="宋体" w:hAnsi="宋体" w:eastAsia="宋体" w:cs="宋体"/>
          <w:bCs/>
          <w:color w:val="auto"/>
          <w:sz w:val="24"/>
          <w:szCs w:val="24"/>
          <w:highlight w:val="none"/>
        </w:rPr>
        <w:t>承诺放弃因</w:t>
      </w:r>
      <w:r>
        <w:rPr>
          <w:rFonts w:hint="eastAsia" w:ascii="宋体" w:hAnsi="宋体" w:cs="宋体"/>
          <w:bCs/>
          <w:color w:val="auto"/>
          <w:sz w:val="24"/>
          <w:szCs w:val="24"/>
          <w:highlight w:val="none"/>
          <w:lang w:val="en-US" w:eastAsia="zh-CN"/>
        </w:rPr>
        <w:t>发包人</w:t>
      </w:r>
      <w:r>
        <w:rPr>
          <w:rFonts w:hint="eastAsia" w:ascii="宋体" w:hAnsi="宋体" w:eastAsia="宋体" w:cs="宋体"/>
          <w:bCs/>
          <w:color w:val="auto"/>
          <w:sz w:val="24"/>
          <w:szCs w:val="24"/>
          <w:highlight w:val="none"/>
        </w:rPr>
        <w:t>内部请款流程等原因造成的支付合同价款时间与合同约定的支付时间不匹配而向</w:t>
      </w:r>
      <w:r>
        <w:rPr>
          <w:rFonts w:hint="eastAsia" w:ascii="宋体" w:hAnsi="宋体" w:cs="宋体"/>
          <w:bCs/>
          <w:color w:val="auto"/>
          <w:sz w:val="24"/>
          <w:szCs w:val="24"/>
          <w:highlight w:val="none"/>
          <w:lang w:val="en-US" w:eastAsia="zh-CN"/>
        </w:rPr>
        <w:t>发包人</w:t>
      </w:r>
      <w:r>
        <w:rPr>
          <w:rFonts w:hint="eastAsia" w:ascii="宋体" w:hAnsi="宋体" w:eastAsia="宋体" w:cs="宋体"/>
          <w:bCs/>
          <w:color w:val="auto"/>
          <w:sz w:val="24"/>
          <w:szCs w:val="24"/>
          <w:highlight w:val="none"/>
        </w:rPr>
        <w:t>追究相关违约责任的权利。</w:t>
      </w:r>
    </w:p>
    <w:p w14:paraId="4F0B56C8">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6.任何一方违反本协议的约定即视为违约，违约方除应承担违约损害赔偿外，还应承担守约方为实现权利而支出的合理费用，包括但不限于诉讼费、保全费、鉴定费、律师代理费、执行费、差旅费等。</w:t>
      </w:r>
    </w:p>
    <w:p w14:paraId="64918907">
      <w:pPr>
        <w:pStyle w:val="6"/>
        <w:spacing w:before="120" w:after="120" w:line="360" w:lineRule="auto"/>
        <w:rPr>
          <w:rFonts w:hint="eastAsia" w:ascii="宋体" w:hAnsi="宋体" w:eastAsia="宋体" w:cs="宋体"/>
          <w:b w:val="0"/>
          <w:color w:val="auto"/>
          <w:sz w:val="24"/>
          <w:szCs w:val="24"/>
          <w:highlight w:val="none"/>
        </w:rPr>
      </w:pPr>
      <w:bookmarkStart w:id="405" w:name="_Toc351203488"/>
      <w:r>
        <w:rPr>
          <w:rFonts w:hint="eastAsia" w:ascii="宋体" w:hAnsi="宋体" w:eastAsia="宋体" w:cs="宋体"/>
          <w:b w:val="0"/>
          <w:color w:val="auto"/>
          <w:sz w:val="24"/>
          <w:szCs w:val="24"/>
          <w:highlight w:val="none"/>
        </w:rPr>
        <w:t>八、词语含义</w:t>
      </w:r>
      <w:bookmarkEnd w:id="405"/>
    </w:p>
    <w:p w14:paraId="5F4D4B7D">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3B159959">
      <w:pPr>
        <w:pStyle w:val="6"/>
        <w:spacing w:before="120" w:after="120" w:line="360" w:lineRule="auto"/>
        <w:rPr>
          <w:rFonts w:hint="eastAsia" w:ascii="宋体" w:hAnsi="宋体" w:eastAsia="宋体" w:cs="宋体"/>
          <w:b w:val="0"/>
          <w:color w:val="auto"/>
          <w:sz w:val="24"/>
          <w:szCs w:val="24"/>
          <w:highlight w:val="none"/>
        </w:rPr>
      </w:pPr>
      <w:bookmarkStart w:id="406" w:name="_Toc351203489"/>
      <w:r>
        <w:rPr>
          <w:rFonts w:hint="eastAsia" w:ascii="宋体" w:hAnsi="宋体" w:eastAsia="宋体" w:cs="宋体"/>
          <w:b w:val="0"/>
          <w:color w:val="auto"/>
          <w:sz w:val="24"/>
          <w:szCs w:val="24"/>
          <w:highlight w:val="none"/>
        </w:rPr>
        <w:t>九、签订时间</w:t>
      </w:r>
      <w:bookmarkEnd w:id="406"/>
    </w:p>
    <w:p w14:paraId="4CAB13C9">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日 </w:t>
      </w:r>
      <w:r>
        <w:rPr>
          <w:rFonts w:hint="eastAsia" w:ascii="宋体" w:hAnsi="宋体" w:eastAsia="宋体" w:cs="宋体"/>
          <w:bCs/>
          <w:color w:val="auto"/>
          <w:sz w:val="24"/>
          <w:szCs w:val="24"/>
          <w:highlight w:val="none"/>
        </w:rPr>
        <w:t>签订。</w:t>
      </w:r>
    </w:p>
    <w:p w14:paraId="7312E4EA">
      <w:pPr>
        <w:pStyle w:val="6"/>
        <w:spacing w:before="120" w:after="120" w:line="360" w:lineRule="auto"/>
        <w:rPr>
          <w:rFonts w:hint="eastAsia" w:ascii="宋体" w:hAnsi="宋体" w:eastAsia="宋体" w:cs="宋体"/>
          <w:b w:val="0"/>
          <w:color w:val="auto"/>
          <w:sz w:val="24"/>
          <w:szCs w:val="24"/>
          <w:highlight w:val="none"/>
        </w:rPr>
      </w:pPr>
      <w:bookmarkStart w:id="407" w:name="_Toc351203490"/>
      <w:r>
        <w:rPr>
          <w:rFonts w:hint="eastAsia" w:ascii="宋体" w:hAnsi="宋体" w:eastAsia="宋体" w:cs="宋体"/>
          <w:b w:val="0"/>
          <w:color w:val="auto"/>
          <w:sz w:val="24"/>
          <w:szCs w:val="24"/>
          <w:highlight w:val="none"/>
        </w:rPr>
        <w:t>十、签订地点</w:t>
      </w:r>
      <w:bookmarkEnd w:id="407"/>
    </w:p>
    <w:p w14:paraId="4DD8EFE6">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lang w:val="en-US" w:eastAsia="zh-CN"/>
        </w:rPr>
        <w:t xml:space="preserve">    杭州市西湖区综合行政执法局    </w:t>
      </w:r>
      <w:r>
        <w:rPr>
          <w:rFonts w:hint="eastAsia" w:ascii="宋体" w:hAnsi="宋体" w:eastAsia="宋体" w:cs="宋体"/>
          <w:bCs/>
          <w:color w:val="auto"/>
          <w:sz w:val="24"/>
          <w:szCs w:val="24"/>
          <w:highlight w:val="none"/>
        </w:rPr>
        <w:t>签订。</w:t>
      </w:r>
    </w:p>
    <w:p w14:paraId="0CEFA2A7">
      <w:pPr>
        <w:pStyle w:val="6"/>
        <w:spacing w:before="120" w:after="120" w:line="360" w:lineRule="auto"/>
        <w:rPr>
          <w:rFonts w:hint="eastAsia" w:ascii="宋体" w:hAnsi="宋体" w:eastAsia="宋体" w:cs="宋体"/>
          <w:b w:val="0"/>
          <w:color w:val="auto"/>
          <w:sz w:val="24"/>
          <w:szCs w:val="24"/>
          <w:highlight w:val="none"/>
        </w:rPr>
      </w:pPr>
      <w:bookmarkStart w:id="408" w:name="_Toc351203491"/>
      <w:r>
        <w:rPr>
          <w:rFonts w:hint="eastAsia" w:ascii="宋体" w:hAnsi="宋体" w:eastAsia="宋体" w:cs="宋体"/>
          <w:b w:val="0"/>
          <w:color w:val="auto"/>
          <w:sz w:val="24"/>
          <w:szCs w:val="24"/>
          <w:highlight w:val="none"/>
        </w:rPr>
        <w:t>十一、补充协议</w:t>
      </w:r>
      <w:bookmarkEnd w:id="408"/>
    </w:p>
    <w:p w14:paraId="08A0E371">
      <w:pPr>
        <w:spacing w:line="5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07F92A42">
      <w:pPr>
        <w:pStyle w:val="6"/>
        <w:spacing w:before="120" w:after="120" w:line="360" w:lineRule="auto"/>
        <w:rPr>
          <w:rFonts w:hint="eastAsia" w:ascii="宋体" w:hAnsi="宋体" w:eastAsia="宋体" w:cs="宋体"/>
          <w:b w:val="0"/>
          <w:color w:val="auto"/>
          <w:sz w:val="24"/>
          <w:szCs w:val="24"/>
          <w:highlight w:val="none"/>
        </w:rPr>
      </w:pPr>
      <w:bookmarkStart w:id="409" w:name="_Toc351203492"/>
      <w:r>
        <w:rPr>
          <w:rFonts w:hint="eastAsia" w:ascii="宋体" w:hAnsi="宋体" w:eastAsia="宋体" w:cs="宋体"/>
          <w:b w:val="0"/>
          <w:color w:val="auto"/>
          <w:sz w:val="24"/>
          <w:szCs w:val="24"/>
          <w:highlight w:val="none"/>
        </w:rPr>
        <w:t>十二、合同生效</w:t>
      </w:r>
      <w:bookmarkEnd w:id="409"/>
    </w:p>
    <w:p w14:paraId="7AA4971E">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双方委托代理人或法定代表人签字且双方</w:t>
      </w:r>
      <w:r>
        <w:rPr>
          <w:rFonts w:hint="eastAsia" w:ascii="宋体" w:hAnsi="宋体" w:eastAsia="宋体" w:cs="宋体"/>
          <w:bCs/>
          <w:color w:val="auto"/>
          <w:sz w:val="24"/>
          <w:szCs w:val="24"/>
          <w:highlight w:val="none"/>
          <w:u w:val="single"/>
          <w:lang w:val="en-US" w:eastAsia="zh-Hans"/>
        </w:rPr>
        <w:t>加盖公</w:t>
      </w:r>
      <w:r>
        <w:rPr>
          <w:rFonts w:hint="eastAsia" w:ascii="宋体" w:hAnsi="宋体" w:eastAsia="宋体" w:cs="宋体"/>
          <w:bCs/>
          <w:color w:val="auto"/>
          <w:sz w:val="24"/>
          <w:szCs w:val="24"/>
          <w:highlight w:val="none"/>
          <w:u w:val="single"/>
        </w:rPr>
        <w:t>章后</w:t>
      </w:r>
      <w:r>
        <w:rPr>
          <w:rFonts w:hint="eastAsia" w:ascii="宋体" w:hAnsi="宋体" w:eastAsia="宋体" w:cs="宋体"/>
          <w:bCs/>
          <w:color w:val="auto"/>
          <w:sz w:val="24"/>
          <w:szCs w:val="24"/>
          <w:highlight w:val="none"/>
        </w:rPr>
        <w:t>生效。</w:t>
      </w:r>
    </w:p>
    <w:p w14:paraId="7F3132E8">
      <w:pPr>
        <w:pStyle w:val="6"/>
        <w:spacing w:before="120" w:after="120" w:line="360" w:lineRule="auto"/>
        <w:rPr>
          <w:rFonts w:hint="eastAsia" w:ascii="宋体" w:hAnsi="宋体" w:eastAsia="宋体" w:cs="宋体"/>
          <w:b w:val="0"/>
          <w:color w:val="auto"/>
          <w:sz w:val="24"/>
          <w:szCs w:val="24"/>
          <w:highlight w:val="none"/>
        </w:rPr>
      </w:pPr>
      <w:bookmarkStart w:id="410" w:name="_Toc351203493"/>
      <w:r>
        <w:rPr>
          <w:rFonts w:hint="eastAsia" w:ascii="宋体" w:hAnsi="宋体" w:eastAsia="宋体" w:cs="宋体"/>
          <w:b w:val="0"/>
          <w:color w:val="auto"/>
          <w:sz w:val="24"/>
          <w:szCs w:val="24"/>
          <w:highlight w:val="none"/>
        </w:rPr>
        <w:t>十三、合同份数</w:t>
      </w:r>
      <w:bookmarkEnd w:id="410"/>
    </w:p>
    <w:p w14:paraId="120233CD">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cs="宋体"/>
          <w:bCs/>
          <w:color w:val="auto"/>
          <w:sz w:val="24"/>
          <w:szCs w:val="24"/>
          <w:highlight w:val="none"/>
          <w:lang w:eastAsia="zh-CN"/>
        </w:rPr>
        <w:t>拾</w:t>
      </w:r>
      <w:r>
        <w:rPr>
          <w:rFonts w:hint="eastAsia" w:ascii="宋体" w:hAnsi="宋体" w:eastAsia="宋体" w:cs="宋体"/>
          <w:bCs/>
          <w:color w:val="auto"/>
          <w:sz w:val="24"/>
          <w:szCs w:val="24"/>
          <w:highlight w:val="none"/>
        </w:rPr>
        <w:t>份，均具有同等法律效力，发包人执伍份，承包人执伍份。</w:t>
      </w:r>
    </w:p>
    <w:p w14:paraId="205862FF">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  (公章)               承包人：  (公章)       </w:t>
      </w:r>
    </w:p>
    <w:p w14:paraId="59286C17">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           法定代表人：（签字）</w:t>
      </w:r>
    </w:p>
    <w:p w14:paraId="7B1B8B37">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委托代理人：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委托代理人：</w:t>
      </w:r>
      <w:r>
        <w:rPr>
          <w:rFonts w:hint="eastAsia" w:ascii="宋体" w:hAnsi="宋体" w:eastAsia="宋体" w:cs="宋体"/>
          <w:color w:val="auto"/>
          <w:sz w:val="24"/>
          <w:szCs w:val="24"/>
          <w:highlight w:val="none"/>
        </w:rPr>
        <w:t xml:space="preserve"> </w:t>
      </w:r>
    </w:p>
    <w:p w14:paraId="423500CB">
      <w:pPr>
        <w:spacing w:line="6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91EFA6C">
      <w:pPr>
        <w:spacing w:line="600" w:lineRule="exact"/>
        <w:ind w:left="5460" w:hanging="4680" w:hangingChars="19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7742D44">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p>
    <w:p w14:paraId="636352E6">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D07A57F">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14:paraId="44F65021">
      <w:pPr>
        <w:spacing w:line="600" w:lineRule="exact"/>
        <w:ind w:left="5600" w:hanging="4800" w:hangingChars="20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322DCCA7">
      <w:pPr>
        <w:spacing w:line="60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2B9AE8B7">
      <w:pPr>
        <w:spacing w:line="6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经办人：</w:t>
      </w:r>
      <w:r>
        <w:rPr>
          <w:rFonts w:hint="eastAsia" w:ascii="宋体" w:hAnsi="宋体" w:eastAsia="宋体" w:cs="宋体"/>
          <w:color w:val="auto"/>
          <w:sz w:val="24"/>
          <w:szCs w:val="24"/>
          <w:highlight w:val="none"/>
          <w:lang w:val="en-US" w:eastAsia="zh-CN"/>
        </w:rPr>
        <w:t xml:space="preserve">  </w:t>
      </w:r>
    </w:p>
    <w:p w14:paraId="1DD338BF">
      <w:pPr>
        <w:spacing w:line="600" w:lineRule="exact"/>
        <w:rPr>
          <w:rFonts w:hint="eastAsia" w:ascii="宋体" w:hAnsi="宋体" w:eastAsia="宋体" w:cs="宋体"/>
          <w:color w:val="auto"/>
          <w:sz w:val="24"/>
          <w:szCs w:val="24"/>
          <w:highlight w:val="none"/>
        </w:rPr>
      </w:pPr>
      <w:bookmarkStart w:id="411" w:name="_Toc351203494"/>
      <w:bookmarkStart w:id="412" w:name="_Toc351203632"/>
      <w:r>
        <w:rPr>
          <w:rFonts w:hint="eastAsia" w:ascii="宋体" w:hAnsi="宋体" w:eastAsia="宋体" w:cs="宋体"/>
          <w:color w:val="auto"/>
          <w:sz w:val="24"/>
          <w:szCs w:val="24"/>
          <w:highlight w:val="none"/>
        </w:rPr>
        <w:br w:type="column"/>
      </w:r>
    </w:p>
    <w:p w14:paraId="5CE2D7EC">
      <w:pPr>
        <w:pStyle w:val="964"/>
        <w:spacing w:before="0" w:after="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通用合同条款</w:t>
      </w:r>
      <w:bookmarkEnd w:id="411"/>
      <w:bookmarkStart w:id="413" w:name="_Toc337558727"/>
    </w:p>
    <w:p w14:paraId="5CE5CDBB">
      <w:pPr>
        <w:pStyle w:val="6"/>
        <w:spacing w:before="120" w:after="120" w:line="360" w:lineRule="auto"/>
        <w:rPr>
          <w:rFonts w:hint="eastAsia" w:ascii="宋体" w:hAnsi="宋体" w:eastAsia="宋体" w:cs="宋体"/>
          <w:b w:val="0"/>
          <w:color w:val="auto"/>
          <w:sz w:val="24"/>
          <w:szCs w:val="24"/>
          <w:highlight w:val="none"/>
        </w:rPr>
      </w:pPr>
      <w:bookmarkStart w:id="414" w:name="_Toc351203495"/>
      <w:r>
        <w:rPr>
          <w:rFonts w:hint="eastAsia" w:ascii="宋体" w:hAnsi="宋体" w:eastAsia="宋体" w:cs="宋体"/>
          <w:b w:val="0"/>
          <w:color w:val="auto"/>
          <w:sz w:val="24"/>
          <w:szCs w:val="24"/>
          <w:highlight w:val="none"/>
        </w:rPr>
        <w:t>1.</w:t>
      </w:r>
      <w:bookmarkStart w:id="415" w:name="_Toc303538973"/>
      <w:bookmarkEnd w:id="415"/>
      <w:bookmarkStart w:id="416" w:name="_Toc303538972"/>
      <w:bookmarkEnd w:id="416"/>
      <w:bookmarkStart w:id="417" w:name="_Toc303538974"/>
      <w:bookmarkEnd w:id="417"/>
      <w:bookmarkStart w:id="418" w:name="_Toc303538976"/>
      <w:bookmarkEnd w:id="418"/>
      <w:bookmarkStart w:id="419" w:name="_Toc303538975"/>
      <w:bookmarkEnd w:id="419"/>
      <w:bookmarkStart w:id="420" w:name="_Toc296346528"/>
      <w:bookmarkStart w:id="421" w:name="_Toc296503027"/>
      <w:r>
        <w:rPr>
          <w:rFonts w:hint="eastAsia" w:ascii="宋体" w:hAnsi="宋体" w:eastAsia="宋体" w:cs="宋体"/>
          <w:b w:val="0"/>
          <w:color w:val="auto"/>
          <w:sz w:val="24"/>
          <w:szCs w:val="24"/>
          <w:highlight w:val="none"/>
        </w:rPr>
        <w:t xml:space="preserve"> 一般约定</w:t>
      </w:r>
      <w:bookmarkEnd w:id="413"/>
      <w:bookmarkEnd w:id="414"/>
      <w:bookmarkEnd w:id="420"/>
      <w:bookmarkEnd w:id="421"/>
    </w:p>
    <w:p w14:paraId="4615D9B5">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22" w:name="_Toc296503028"/>
      <w:bookmarkStart w:id="423" w:name="_Toc296346529"/>
      <w:bookmarkStart w:id="424" w:name="_Toc337558728"/>
      <w:bookmarkStart w:id="425" w:name="_Toc351203496"/>
      <w:r>
        <w:rPr>
          <w:rFonts w:hint="eastAsia" w:ascii="宋体" w:hAnsi="宋体" w:eastAsia="宋体" w:cs="宋体"/>
          <w:b w:val="0"/>
          <w:color w:val="auto"/>
          <w:sz w:val="24"/>
          <w:szCs w:val="24"/>
          <w:highlight w:val="none"/>
        </w:rPr>
        <w:t>1.1词语定义</w:t>
      </w:r>
      <w:bookmarkEnd w:id="422"/>
      <w:bookmarkEnd w:id="423"/>
      <w:bookmarkEnd w:id="424"/>
      <w:r>
        <w:rPr>
          <w:rFonts w:hint="eastAsia" w:ascii="宋体" w:hAnsi="宋体" w:eastAsia="宋体" w:cs="宋体"/>
          <w:b w:val="0"/>
          <w:color w:val="auto"/>
          <w:sz w:val="24"/>
          <w:szCs w:val="24"/>
          <w:highlight w:val="none"/>
        </w:rPr>
        <w:t>与解释</w:t>
      </w:r>
      <w:bookmarkEnd w:id="425"/>
    </w:p>
    <w:p w14:paraId="5030F9B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合同协议书、通用合同条款、专用合同条款中的下列词语具有本款所赋予的含义：</w:t>
      </w:r>
    </w:p>
    <w:p w14:paraId="3326290A">
      <w:pPr>
        <w:autoSpaceDE w:val="0"/>
        <w:autoSpaceDN w:val="0"/>
        <w:adjustRightInd w:val="0"/>
        <w:spacing w:line="5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1.1.1 合同</w:t>
      </w:r>
    </w:p>
    <w:p w14:paraId="505F6D3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 w:val="24"/>
          <w:szCs w:val="24"/>
          <w:highlight w:val="none"/>
        </w:rPr>
        <w:t>及其附件</w:t>
      </w:r>
      <w:r>
        <w:rPr>
          <w:rFonts w:hint="eastAsia" w:ascii="宋体" w:hAnsi="宋体" w:eastAsia="宋体" w:cs="宋体"/>
          <w:color w:val="auto"/>
          <w:kern w:val="0"/>
          <w:sz w:val="24"/>
          <w:szCs w:val="24"/>
          <w:highlight w:val="none"/>
        </w:rPr>
        <w:t>、通用合同条款、技术标准和要求、图纸、已标价工程量清单或预算书以及其他合同文件。</w:t>
      </w:r>
    </w:p>
    <w:p w14:paraId="192ABA7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1.1.1.2 合同协议书：是指构成合同的由发包人和承包人共同签署的称为“合同协议书”的书面文件。</w:t>
      </w:r>
    </w:p>
    <w:p w14:paraId="0B3253E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1.1.1.3 中标通知书：是指构成合同的由发包人通知承包人中标的书面文件。</w:t>
      </w:r>
    </w:p>
    <w:p w14:paraId="3B1B06B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1.1.1.4 投标函：是指构成合同的由承包人填写并签署的用于投标的称为“投标函”的文件。</w:t>
      </w:r>
    </w:p>
    <w:p w14:paraId="3D701C7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1.1.1.5 投标函附录：是指构成合同的附在投标函后的称为“投标函附录”的文件。</w:t>
      </w:r>
    </w:p>
    <w:p w14:paraId="60DBA25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1.1.1.6 技术标准和要求：是指构成合同的施工应当遵守的或指导施工的国家、行业或地方的技术标准和要求，以及合同约定的技术标准和要求。</w:t>
      </w:r>
    </w:p>
    <w:p w14:paraId="6F7FA19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4200C0D3">
      <w:pPr>
        <w:autoSpaceDE w:val="0"/>
        <w:autoSpaceDN w:val="0"/>
        <w:adjustRightInd w:val="0"/>
        <w:spacing w:line="500" w:lineRule="exact"/>
        <w:ind w:firstLine="468" w:firstLineChars="1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1.1.1.8 已标价工程量清单：是指构成合同的由承包人按照规定的格式和要求填写并标明价格的工程量清单，包括说明和表格。</w:t>
      </w:r>
    </w:p>
    <w:p w14:paraId="4217F24E">
      <w:pPr>
        <w:autoSpaceDE w:val="0"/>
        <w:autoSpaceDN w:val="0"/>
        <w:adjustRightInd w:val="0"/>
        <w:spacing w:line="500" w:lineRule="exact"/>
        <w:ind w:firstLine="468" w:firstLineChars="1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1.1.1.9 预算书：是指构成合同的由承包人按照发包人规定的格式和要求编制的工程预算文件。</w:t>
      </w:r>
    </w:p>
    <w:p w14:paraId="074B94D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 其他合同文件：是指经合同当事人约定的与工程施工有关的具有合同约束力的文件或书面协议。合同当事人可以在专用合同条款中进行约定。</w:t>
      </w:r>
    </w:p>
    <w:p w14:paraId="1F223F0E">
      <w:pPr>
        <w:autoSpaceDE w:val="0"/>
        <w:autoSpaceDN w:val="0"/>
        <w:adjustRightInd w:val="0"/>
        <w:spacing w:line="5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1.1.2 合同当事人及其他相关方</w:t>
      </w:r>
    </w:p>
    <w:p w14:paraId="1297457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1.1.2.1 合同当事人：是指发包人和（或）承包人。</w:t>
      </w:r>
    </w:p>
    <w:p w14:paraId="0ADBA1F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1.1.2.2 发包人：是指与承包人签订合同协议书的当事人及取得该当事人资格的合法继承人。</w:t>
      </w:r>
    </w:p>
    <w:p w14:paraId="236E666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1.1.2.3 承包人：是指与发包人签订合同协议书的，具有相应工程施工承包资质的当事人及取得该当事人资格的合法继承人。</w:t>
      </w:r>
    </w:p>
    <w:p w14:paraId="18BD76A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1.1.2.4 监理人：是指在专用合同条款中指明的，受发包人委托按照法律规定进行工程监督管理的法人或其他组织。</w:t>
      </w:r>
    </w:p>
    <w:p w14:paraId="5B1FA98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1.1.2.5 设计人：是指在专用合同条款中指明的，受发包人委托负责工程设计并具备相应工程设计资质的法人或其他组织。</w:t>
      </w:r>
    </w:p>
    <w:p w14:paraId="1A3C7381">
      <w:pPr>
        <w:spacing w:line="500" w:lineRule="exact"/>
        <w:ind w:firstLine="468" w:firstLineChars="1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1.1.2.6 分包人：</w:t>
      </w:r>
      <w:bookmarkStart w:id="426" w:name="#go5"/>
      <w:bookmarkEnd w:id="426"/>
      <w:r>
        <w:rPr>
          <w:rFonts w:hint="eastAsia" w:ascii="宋体" w:hAnsi="宋体" w:eastAsia="宋体" w:cs="宋体"/>
          <w:color w:val="auto"/>
          <w:kern w:val="0"/>
          <w:sz w:val="24"/>
          <w:szCs w:val="24"/>
          <w:highlight w:val="none"/>
        </w:rPr>
        <w:t>是指按照法律规定和合同约定，分包部分工程或工作，并与承包人签订分包合同的具有相应资质的法人。</w:t>
      </w:r>
    </w:p>
    <w:p w14:paraId="76D1554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1.1.2.7 发包人代表：是指由发包人任命并派驻施工现场在发包人授权范围内行使发包人权利的人。</w:t>
      </w:r>
    </w:p>
    <w:p w14:paraId="445ABBF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1.1.2.8 项目经理：是指由承包人任命并派驻施工现场，在承包人授权范围内负责合同履行，且按照法律规定具有相应资格的项目负责人。</w:t>
      </w:r>
    </w:p>
    <w:p w14:paraId="526A1606">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1.1.2.9 总监理工程师：是指由监理人任命并派驻施工现场进行工程监理的总负责人。</w:t>
      </w:r>
    </w:p>
    <w:p w14:paraId="178F96A8">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 工程和设备</w:t>
      </w:r>
    </w:p>
    <w:p w14:paraId="0646626B">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1.1.3.1 工程：是指与合同协议书中工程承包范围对应的永久工程和（或）临时工程。</w:t>
      </w:r>
    </w:p>
    <w:p w14:paraId="41E56753">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1.1.3.2 永久工程：是指按合同约定建造并移交给发包人的工程，包括工程设备。</w:t>
      </w:r>
    </w:p>
    <w:p w14:paraId="4D5C05B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1.1.3.3 临时工程：是指为完成合同约定的永久工程所修建的各类临时性工程，不包括施工设备。</w:t>
      </w:r>
    </w:p>
    <w:p w14:paraId="1789E2E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1.1.3.4 单位工程：是指在合同协议书中指明的，具备独立施工条件并能形成独立使用功能的永久工程。</w:t>
      </w:r>
    </w:p>
    <w:p w14:paraId="5C8CE0A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1.1.3.5 工程设备：是指构成永久工程的机电设备、金属结构设备、仪器及其他类似的设备和装置。</w:t>
      </w:r>
    </w:p>
    <w:p w14:paraId="685B412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1.1.3.6 施工设备：是指为完成合同约定的各项工作所需的设备、器具和其他物品，但不包括工程设备、临时工程和材料。</w:t>
      </w:r>
    </w:p>
    <w:p w14:paraId="08C541F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1.1.3.7 施工现场：是指用于工程施工的场所，以及在专用合同条款中指明作为施工场所组成部分的其他场所，包括永久占地和临时占地。</w:t>
      </w:r>
    </w:p>
    <w:p w14:paraId="227E302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1.1.3.8临时设施：是指为完成合同约定的各项工作所服务的临时性生产和生活设施。</w:t>
      </w:r>
    </w:p>
    <w:p w14:paraId="4CC47142">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永久占地：是指专用合同条款中指明为实施工程需永久占用的土地。</w:t>
      </w:r>
    </w:p>
    <w:p w14:paraId="62B01E06">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1.1.3.10 临时占地：是指专用合同条款中指明为实施工程需要临时占用的土地。</w:t>
      </w:r>
    </w:p>
    <w:p w14:paraId="63D3A30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 日期和期限</w:t>
      </w:r>
    </w:p>
    <w:p w14:paraId="6507E8D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2C960A5">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1.1.4.2 竣工日期：包括计划竣工日期和实际竣工日期。计划竣工日期是指合同协议书约定的竣工日期；实际竣工日期按照第13.2.3项〔竣工日期〕的约定确定。 </w:t>
      </w:r>
    </w:p>
    <w:p w14:paraId="347F862E">
      <w:pPr>
        <w:spacing w:line="500" w:lineRule="exact"/>
        <w:ind w:firstLine="487" w:firstLineChars="203"/>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1.1.4.3 工期：是指在合同协议书约定的承包人完成工程所需的期限，包括按照合同约定所作的期限变更。</w:t>
      </w:r>
    </w:p>
    <w:p w14:paraId="5B69814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1.1.4.4 缺陷责任期：是指承包人按照合同约定承担缺陷修复义务，且发包人预留质量保证金的期限，自工程实际竣工日期起计算。</w:t>
      </w:r>
    </w:p>
    <w:p w14:paraId="1681D9C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1.1.4.5 保修期：是指承包人按照合同约定对工程承担保修责任的期限，从工程竣工验收合格之日起计算。</w:t>
      </w:r>
    </w:p>
    <w:p w14:paraId="3673D58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1.1.4.6 基准日期：招标发包的工程以投标截止日前28天的日期为基准日期，直接发包的工程以合同签订日前28天的日期为基准日期。</w:t>
      </w:r>
    </w:p>
    <w:p w14:paraId="5E16AEA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1.1.4.7 天：除特别指明外，均指日历天。合同中按天计算时间的，开始当天不计入，从次日开始计算，期限最后一天的截止时间为当天24:00时。</w:t>
      </w:r>
    </w:p>
    <w:p w14:paraId="708D18E2">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 合同价格和费用</w:t>
      </w:r>
    </w:p>
    <w:p w14:paraId="198478C5">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1.1.5.1 签约合同价：是指</w:t>
      </w:r>
      <w:r>
        <w:rPr>
          <w:rFonts w:hint="eastAsia" w:ascii="宋体" w:hAnsi="宋体" w:eastAsia="宋体" w:cs="宋体"/>
          <w:color w:val="auto"/>
          <w:sz w:val="24"/>
          <w:szCs w:val="24"/>
          <w:highlight w:val="none"/>
        </w:rPr>
        <w:t>发包人和承包人在合同协议书中确定的总金额，包括安全文明施工费、暂估价及暂列金额等。</w:t>
      </w:r>
    </w:p>
    <w:p w14:paraId="3F5B6B6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1.1.5.2 合同价格：是指发包人用于支付承包人按照合同约定完成承包范围内全部工作的金额，包括合同履行过程中按合同约定发生的价格变化。</w:t>
      </w:r>
    </w:p>
    <w:p w14:paraId="5A9E0A9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1.1.5.3 费用：是指为履行合同所发生的或将要发生的所有必需的开支，包括管理费和应分摊的其他费用，但不包括利润。</w:t>
      </w:r>
    </w:p>
    <w:p w14:paraId="571459BB">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1.1.5.4 暂估价：是指发包人在工程量清单或预算书中提供的用于支付必然发生但暂时不能确定价格的材料、工程设备的单价、专业工程以及服务工作的金额。</w:t>
      </w:r>
    </w:p>
    <w:p w14:paraId="626D14B8">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D9109F2">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1.1.5.6 计日工：是指合同履行过程中，承包人完成发包人提出的零星工作或需要采用计日工计价的变更工作时，按合同中约定的单价计价的一种方式。</w:t>
      </w:r>
    </w:p>
    <w:p w14:paraId="5F454B5D">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1.1.5.7 质量保证金</w:t>
      </w:r>
      <w:bookmarkStart w:id="427" w:name="#go2"/>
      <w:bookmarkEnd w:id="427"/>
      <w:r>
        <w:rPr>
          <w:rFonts w:hint="eastAsia" w:ascii="宋体" w:hAnsi="宋体" w:eastAsia="宋体" w:cs="宋体"/>
          <w:color w:val="auto"/>
          <w:kern w:val="0"/>
          <w:sz w:val="24"/>
          <w:szCs w:val="24"/>
          <w:highlight w:val="none"/>
        </w:rPr>
        <w:t>：是指按照第15.3款〔质量保证金〕约定承包人用于保证其在缺陷责任期内履行缺陷修补义务的担保</w:t>
      </w:r>
      <w:r>
        <w:rPr>
          <w:rFonts w:hint="eastAsia" w:ascii="宋体" w:hAnsi="宋体" w:eastAsia="宋体" w:cs="宋体"/>
          <w:color w:val="auto"/>
          <w:sz w:val="24"/>
          <w:szCs w:val="24"/>
          <w:highlight w:val="none"/>
        </w:rPr>
        <w:t>。</w:t>
      </w:r>
    </w:p>
    <w:p w14:paraId="622839B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1.1.5.8 总价项目：是指在现行国家、行业以及地方的计量规则中无工程量计算规则，在已标价工程量清单或预算书中以总价或以费率形式计算的项目。</w:t>
      </w:r>
    </w:p>
    <w:p w14:paraId="68A55162">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其他</w:t>
      </w:r>
    </w:p>
    <w:p w14:paraId="69D5ED0C">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1.1.6.1 书面形式：是指合同文件、信函、电报、传真等可以有形地表现所载内容的形式。</w:t>
      </w:r>
    </w:p>
    <w:p w14:paraId="2A8D4D1B">
      <w:pPr>
        <w:pStyle w:val="7"/>
        <w:spacing w:before="120" w:after="12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428" w:name="_Toc296503029"/>
      <w:bookmarkStart w:id="429" w:name="_Toc351203497"/>
      <w:bookmarkStart w:id="430" w:name="_Toc296346530"/>
      <w:bookmarkStart w:id="431" w:name="_Toc337558729"/>
      <w:r>
        <w:rPr>
          <w:rFonts w:hint="eastAsia" w:ascii="宋体" w:hAnsi="宋体" w:eastAsia="宋体" w:cs="宋体"/>
          <w:b w:val="0"/>
          <w:color w:val="auto"/>
          <w:sz w:val="24"/>
          <w:szCs w:val="24"/>
          <w:highlight w:val="none"/>
        </w:rPr>
        <w:t>1.2语言文字</w:t>
      </w:r>
      <w:bookmarkEnd w:id="428"/>
      <w:bookmarkEnd w:id="429"/>
      <w:bookmarkEnd w:id="430"/>
      <w:bookmarkEnd w:id="431"/>
    </w:p>
    <w:p w14:paraId="0C52CCF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合同以中国的汉语简体文字编写、解释和说明。合同当事人在专用合同条款中约定使用两种以上语言时，汉语为优先解释和说明合同的语言。</w:t>
      </w:r>
    </w:p>
    <w:p w14:paraId="0789A3ED">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32" w:name="_Toc296503030"/>
      <w:bookmarkStart w:id="433" w:name="_Toc296346531"/>
      <w:bookmarkStart w:id="434" w:name="_Toc337558730"/>
      <w:bookmarkStart w:id="435" w:name="_Toc351203498"/>
      <w:r>
        <w:rPr>
          <w:rFonts w:hint="eastAsia" w:ascii="宋体" w:hAnsi="宋体" w:eastAsia="宋体" w:cs="宋体"/>
          <w:b w:val="0"/>
          <w:color w:val="auto"/>
          <w:sz w:val="24"/>
          <w:szCs w:val="24"/>
          <w:highlight w:val="none"/>
        </w:rPr>
        <w:t>1.3法律</w:t>
      </w:r>
      <w:bookmarkEnd w:id="432"/>
      <w:bookmarkEnd w:id="433"/>
      <w:bookmarkEnd w:id="434"/>
      <w:bookmarkEnd w:id="435"/>
    </w:p>
    <w:p w14:paraId="2F587DC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合同所称法律是指中华人民共和国法律、行政法规、部门规章，以及工程所在地的地方性法规、自治条例、单行条例和地方政府规章等。</w:t>
      </w:r>
    </w:p>
    <w:p w14:paraId="2D4DD60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合同当事人可以在专用合同条款中约定合同适用的其他规范性文件。</w:t>
      </w:r>
    </w:p>
    <w:p w14:paraId="0B38E25B">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36" w:name="_Toc351203499"/>
      <w:r>
        <w:rPr>
          <w:rFonts w:hint="eastAsia" w:ascii="宋体" w:hAnsi="宋体" w:eastAsia="宋体" w:cs="宋体"/>
          <w:b w:val="0"/>
          <w:color w:val="auto"/>
          <w:sz w:val="24"/>
          <w:szCs w:val="24"/>
          <w:highlight w:val="none"/>
        </w:rPr>
        <w:t>1.4 标准和规范</w:t>
      </w:r>
      <w:bookmarkEnd w:id="436"/>
    </w:p>
    <w:p w14:paraId="7CCB825E">
      <w:pPr>
        <w:autoSpaceDE w:val="0"/>
        <w:autoSpaceDN w:val="0"/>
        <w:adjustRightInd w:val="0"/>
        <w:spacing w:line="500" w:lineRule="exact"/>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 适用于工程的国家标准、行业标准、工程所在地的地方性标准，以及相应的规范、规程等，合同当事人有特别要求的，应在专用合同条款中约定。</w:t>
      </w:r>
    </w:p>
    <w:p w14:paraId="6CCEC64D">
      <w:pPr>
        <w:autoSpaceDE w:val="0"/>
        <w:autoSpaceDN w:val="0"/>
        <w:adjustRightInd w:val="0"/>
        <w:spacing w:line="500" w:lineRule="exact"/>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 发包人要求使用国外标准、规范的，发包人负责提供原文版本和中文译本，并在专用合同条款中约定提供标准规范的名称、份数和时间。</w:t>
      </w:r>
    </w:p>
    <w:p w14:paraId="381D97B0">
      <w:pPr>
        <w:autoSpaceDE w:val="0"/>
        <w:autoSpaceDN w:val="0"/>
        <w:adjustRightInd w:val="0"/>
        <w:spacing w:line="500" w:lineRule="exact"/>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C9AB507">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37" w:name="_Toc351203500"/>
      <w:r>
        <w:rPr>
          <w:rFonts w:hint="eastAsia" w:ascii="宋体" w:hAnsi="宋体" w:eastAsia="宋体" w:cs="宋体"/>
          <w:b w:val="0"/>
          <w:color w:val="auto"/>
          <w:sz w:val="24"/>
          <w:szCs w:val="24"/>
          <w:highlight w:val="none"/>
        </w:rPr>
        <w:t>1</w:t>
      </w:r>
      <w:bookmarkStart w:id="438" w:name="_Toc296346532"/>
      <w:bookmarkStart w:id="439" w:name="_Toc337558731"/>
      <w:bookmarkStart w:id="440" w:name="_Toc296503031"/>
      <w:r>
        <w:rPr>
          <w:rFonts w:hint="eastAsia" w:ascii="宋体" w:hAnsi="宋体" w:eastAsia="宋体" w:cs="宋体"/>
          <w:b w:val="0"/>
          <w:color w:val="auto"/>
          <w:sz w:val="24"/>
          <w:szCs w:val="24"/>
          <w:highlight w:val="none"/>
        </w:rPr>
        <w:t>.5 合同文件的优先顺序</w:t>
      </w:r>
      <w:bookmarkEnd w:id="437"/>
    </w:p>
    <w:bookmarkEnd w:id="438"/>
    <w:bookmarkEnd w:id="439"/>
    <w:bookmarkEnd w:id="440"/>
    <w:p w14:paraId="48C048E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组成合同的各项文件应互相解释，互为说明。除专用合同条款另有约定外，解释合同文件的优先顺序如下：</w:t>
      </w:r>
    </w:p>
    <w:p w14:paraId="31B6677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（1）合同协议书；</w:t>
      </w:r>
    </w:p>
    <w:p w14:paraId="02D06B9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（2）中标通知书（如果有）；</w:t>
      </w:r>
    </w:p>
    <w:p w14:paraId="110FB52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（3）投标函及其附录（如果有）；</w:t>
      </w:r>
    </w:p>
    <w:p w14:paraId="30B15AB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（4）专用合同条款</w:t>
      </w:r>
      <w:r>
        <w:rPr>
          <w:rFonts w:hint="eastAsia" w:ascii="宋体" w:hAnsi="宋体" w:eastAsia="宋体" w:cs="宋体"/>
          <w:color w:val="auto"/>
          <w:sz w:val="24"/>
          <w:szCs w:val="24"/>
          <w:highlight w:val="none"/>
        </w:rPr>
        <w:t>及其附件</w:t>
      </w:r>
      <w:r>
        <w:rPr>
          <w:rFonts w:hint="eastAsia" w:ascii="宋体" w:hAnsi="宋体" w:eastAsia="宋体" w:cs="宋体"/>
          <w:color w:val="auto"/>
          <w:kern w:val="0"/>
          <w:sz w:val="24"/>
          <w:szCs w:val="24"/>
          <w:highlight w:val="none"/>
        </w:rPr>
        <w:t>；</w:t>
      </w:r>
    </w:p>
    <w:p w14:paraId="0D01F30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（5）通用合同条款；</w:t>
      </w:r>
    </w:p>
    <w:p w14:paraId="59BC6CA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（6）技术标准和要求；</w:t>
      </w:r>
    </w:p>
    <w:p w14:paraId="23EFB4E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（7）图纸；</w:t>
      </w:r>
    </w:p>
    <w:p w14:paraId="191A3ED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（8）已标价工程量清单或预算书；</w:t>
      </w:r>
    </w:p>
    <w:p w14:paraId="57697476">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（9）其他合同文件。</w:t>
      </w:r>
    </w:p>
    <w:p w14:paraId="6D6A6040">
      <w:pPr>
        <w:spacing w:line="500" w:lineRule="exact"/>
        <w:ind w:firstLine="511" w:firstLineChars="2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14:paraId="2278D055">
      <w:pPr>
        <w:spacing w:line="500" w:lineRule="exact"/>
        <w:ind w:firstLine="511" w:firstLineChars="2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在合同订立及履行过程中形成的与合同有关的文件均构成合同文件组成部分，并根据其性质确定优先解释顺序。</w:t>
      </w:r>
    </w:p>
    <w:p w14:paraId="021F8369">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41" w:name="_Toc351203501"/>
      <w:r>
        <w:rPr>
          <w:rFonts w:hint="eastAsia" w:ascii="宋体" w:hAnsi="宋体" w:eastAsia="宋体" w:cs="宋体"/>
          <w:b w:val="0"/>
          <w:color w:val="auto"/>
          <w:sz w:val="24"/>
          <w:szCs w:val="24"/>
          <w:highlight w:val="none"/>
        </w:rPr>
        <w:t>1</w:t>
      </w:r>
      <w:bookmarkStart w:id="442" w:name="_Toc337558732"/>
      <w:bookmarkStart w:id="443" w:name="_Toc296346533"/>
      <w:bookmarkStart w:id="444" w:name="_Toc296503032"/>
      <w:r>
        <w:rPr>
          <w:rFonts w:hint="eastAsia" w:ascii="宋体" w:hAnsi="宋体" w:eastAsia="宋体" w:cs="宋体"/>
          <w:b w:val="0"/>
          <w:color w:val="auto"/>
          <w:sz w:val="24"/>
          <w:szCs w:val="24"/>
          <w:highlight w:val="none"/>
        </w:rPr>
        <w:t>.6图纸和承包人文件</w:t>
      </w:r>
      <w:bookmarkEnd w:id="441"/>
    </w:p>
    <w:bookmarkEnd w:id="442"/>
    <w:bookmarkEnd w:id="443"/>
    <w:bookmarkEnd w:id="444"/>
    <w:p w14:paraId="40D87228">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 图纸的提供和交底</w:t>
      </w:r>
    </w:p>
    <w:p w14:paraId="4FFE1FF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7EEDD9B">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因发包人未按合同约定提供图纸导致承包人费用增加和（或）工期延误的，按照第7.5.1项〔因发包人原因导致工期延误〕约定办理。</w:t>
      </w:r>
    </w:p>
    <w:p w14:paraId="53AA33D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 图纸的错误</w:t>
      </w:r>
    </w:p>
    <w:p w14:paraId="2C9718A6">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F07D002">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1.6.3 图纸的修改和补充</w:t>
      </w:r>
    </w:p>
    <w:p w14:paraId="1146CA45">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374DE08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1.6.4 承包人文件</w:t>
      </w:r>
    </w:p>
    <w:p w14:paraId="41122FD5">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0E1C71F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51BBD7A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1.6.5 图纸和承包人文件的保管</w:t>
      </w:r>
    </w:p>
    <w:p w14:paraId="021C3F38">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除专用合同条款另有约定外，承包人应在施工现场另外保存一套完整的图纸和承包人文件，供发包人、监理人及有关人员进行工程检查时使用。</w:t>
      </w:r>
    </w:p>
    <w:p w14:paraId="262A3AF3">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45" w:name="_Toc351203502"/>
      <w:r>
        <w:rPr>
          <w:rFonts w:hint="eastAsia" w:ascii="宋体" w:hAnsi="宋体" w:eastAsia="宋体" w:cs="宋体"/>
          <w:b w:val="0"/>
          <w:color w:val="auto"/>
          <w:sz w:val="24"/>
          <w:szCs w:val="24"/>
          <w:highlight w:val="none"/>
        </w:rPr>
        <w:t>1</w:t>
      </w:r>
      <w:bookmarkStart w:id="446" w:name="_Toc296503033"/>
      <w:bookmarkStart w:id="447" w:name="_Toc296346534"/>
      <w:bookmarkStart w:id="448" w:name="_Toc337558733"/>
      <w:r>
        <w:rPr>
          <w:rFonts w:hint="eastAsia" w:ascii="宋体" w:hAnsi="宋体" w:eastAsia="宋体" w:cs="宋体"/>
          <w:b w:val="0"/>
          <w:color w:val="auto"/>
          <w:sz w:val="24"/>
          <w:szCs w:val="24"/>
          <w:highlight w:val="none"/>
        </w:rPr>
        <w:t>.7联络</w:t>
      </w:r>
      <w:bookmarkEnd w:id="445"/>
    </w:p>
    <w:bookmarkEnd w:id="446"/>
    <w:bookmarkEnd w:id="447"/>
    <w:bookmarkEnd w:id="448"/>
    <w:p w14:paraId="6CF4005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 与合同有关的通知、批准、证明、证书、指示、指令、要求、请求、同意、意见、确定和决定等，均应采用书面形式，并应在合同约定的期限内送达接收人和送达地点。</w:t>
      </w:r>
    </w:p>
    <w:p w14:paraId="0092E44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2407D3A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 发包人和承包人应当及时签收另一方送达至送达地点和指定接收人的来往信函。拒不签收的，由此增加的费用和（或）延误的工期由拒绝接收一方承担。</w:t>
      </w:r>
    </w:p>
    <w:p w14:paraId="16E885C6">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49" w:name="_Toc351203503"/>
      <w:r>
        <w:rPr>
          <w:rFonts w:hint="eastAsia" w:ascii="宋体" w:hAnsi="宋体" w:eastAsia="宋体" w:cs="宋体"/>
          <w:b w:val="0"/>
          <w:color w:val="auto"/>
          <w:sz w:val="24"/>
          <w:szCs w:val="24"/>
          <w:highlight w:val="none"/>
        </w:rPr>
        <w:t>1</w:t>
      </w:r>
      <w:bookmarkStart w:id="450" w:name="_Toc337558734"/>
      <w:bookmarkStart w:id="451" w:name="_Toc296503035"/>
      <w:bookmarkStart w:id="452" w:name="_Toc296346536"/>
      <w:r>
        <w:rPr>
          <w:rFonts w:hint="eastAsia" w:ascii="宋体" w:hAnsi="宋体" w:eastAsia="宋体" w:cs="宋体"/>
          <w:b w:val="0"/>
          <w:color w:val="auto"/>
          <w:sz w:val="24"/>
          <w:szCs w:val="24"/>
          <w:highlight w:val="none"/>
        </w:rPr>
        <w:t>.8严禁贿赂</w:t>
      </w:r>
      <w:bookmarkEnd w:id="449"/>
    </w:p>
    <w:bookmarkEnd w:id="450"/>
    <w:bookmarkEnd w:id="451"/>
    <w:bookmarkEnd w:id="452"/>
    <w:p w14:paraId="34C8587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14:paraId="3F57FFB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5547E6CB">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53" w:name="_Toc351203504"/>
      <w:r>
        <w:rPr>
          <w:rFonts w:hint="eastAsia" w:ascii="宋体" w:hAnsi="宋体" w:eastAsia="宋体" w:cs="宋体"/>
          <w:b w:val="0"/>
          <w:color w:val="auto"/>
          <w:sz w:val="24"/>
          <w:szCs w:val="24"/>
          <w:highlight w:val="none"/>
        </w:rPr>
        <w:t>1</w:t>
      </w:r>
      <w:bookmarkStart w:id="454" w:name="_Toc296346537"/>
      <w:bookmarkStart w:id="455" w:name="_Toc296503036"/>
      <w:bookmarkStart w:id="456" w:name="_Toc337558735"/>
      <w:r>
        <w:rPr>
          <w:rFonts w:hint="eastAsia" w:ascii="宋体" w:hAnsi="宋体" w:eastAsia="宋体" w:cs="宋体"/>
          <w:b w:val="0"/>
          <w:color w:val="auto"/>
          <w:sz w:val="24"/>
          <w:szCs w:val="24"/>
          <w:highlight w:val="none"/>
        </w:rPr>
        <w:t>.9化石、文物</w:t>
      </w:r>
      <w:bookmarkEnd w:id="453"/>
    </w:p>
    <w:bookmarkEnd w:id="454"/>
    <w:bookmarkEnd w:id="455"/>
    <w:bookmarkEnd w:id="456"/>
    <w:p w14:paraId="53E240E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A43289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发包人、监理人和承包人应按有关政府行政管理部门要求采取妥善的保护措施，由此增加的费用和（或）延误的工期由发包人承担。</w:t>
      </w:r>
    </w:p>
    <w:p w14:paraId="63A599C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承包人发现文物后不及时报告或隐瞒不报，致使文物丢失或损坏的，应赔偿损失，并承担相应的法律责任。</w:t>
      </w:r>
    </w:p>
    <w:p w14:paraId="4076FA5E">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57" w:name="_Toc351203505"/>
      <w:r>
        <w:rPr>
          <w:rFonts w:hint="eastAsia" w:ascii="宋体" w:hAnsi="宋体" w:eastAsia="宋体" w:cs="宋体"/>
          <w:b w:val="0"/>
          <w:color w:val="auto"/>
          <w:sz w:val="24"/>
          <w:szCs w:val="24"/>
          <w:highlight w:val="none"/>
        </w:rPr>
        <w:t>1</w:t>
      </w:r>
      <w:bookmarkStart w:id="458" w:name="_Toc337558736"/>
      <w:r>
        <w:rPr>
          <w:rFonts w:hint="eastAsia" w:ascii="宋体" w:hAnsi="宋体" w:eastAsia="宋体" w:cs="宋体"/>
          <w:b w:val="0"/>
          <w:color w:val="auto"/>
          <w:sz w:val="24"/>
          <w:szCs w:val="24"/>
          <w:highlight w:val="none"/>
        </w:rPr>
        <w:t>.10交通运输</w:t>
      </w:r>
      <w:bookmarkEnd w:id="457"/>
    </w:p>
    <w:bookmarkEnd w:id="458"/>
    <w:p w14:paraId="1559C16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1.10.1 出入现场的权利</w:t>
      </w:r>
    </w:p>
    <w:p w14:paraId="4FA82C50">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0F85D0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C22BE1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1.10.2 场外交通</w:t>
      </w:r>
    </w:p>
    <w:p w14:paraId="12E1B15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A01EC92">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1.10.3场内交通</w:t>
      </w:r>
    </w:p>
    <w:p w14:paraId="2DD14848">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3A49A86F">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78293C28">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场外交通和场内交通的边界由合同当事人在专用合同条款中约定。</w:t>
      </w:r>
    </w:p>
    <w:p w14:paraId="0D1D9DA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1.10.4 超大件和超重件的运输</w:t>
      </w:r>
    </w:p>
    <w:p w14:paraId="43CBBC2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4BB887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1.10.5 道路和桥梁的损坏责任</w:t>
      </w:r>
    </w:p>
    <w:p w14:paraId="463F792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因承包人运输造成施工场地内外公共道路和桥梁损坏的，由承包人承担修复损坏的全部费用和可能引起的赔偿。</w:t>
      </w:r>
    </w:p>
    <w:p w14:paraId="14B28F4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1.10.6 水路和航空运输</w:t>
      </w:r>
    </w:p>
    <w:p w14:paraId="1312471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301CEA30">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59" w:name="_Toc351203506"/>
      <w:r>
        <w:rPr>
          <w:rFonts w:hint="eastAsia" w:ascii="宋体" w:hAnsi="宋体" w:eastAsia="宋体" w:cs="宋体"/>
          <w:b w:val="0"/>
          <w:color w:val="auto"/>
          <w:sz w:val="24"/>
          <w:szCs w:val="24"/>
          <w:highlight w:val="none"/>
        </w:rPr>
        <w:t>1</w:t>
      </w:r>
      <w:bookmarkStart w:id="460" w:name="_Toc337558737"/>
      <w:bookmarkStart w:id="461" w:name="_Toc296346538"/>
      <w:bookmarkStart w:id="462" w:name="_Toc296503037"/>
      <w:r>
        <w:rPr>
          <w:rFonts w:hint="eastAsia" w:ascii="宋体" w:hAnsi="宋体" w:eastAsia="宋体" w:cs="宋体"/>
          <w:b w:val="0"/>
          <w:color w:val="auto"/>
          <w:sz w:val="24"/>
          <w:szCs w:val="24"/>
          <w:highlight w:val="none"/>
        </w:rPr>
        <w:t>.11知识产权</w:t>
      </w:r>
      <w:bookmarkEnd w:id="459"/>
      <w:r>
        <w:rPr>
          <w:rFonts w:hint="eastAsia" w:ascii="宋体" w:hAnsi="宋体" w:eastAsia="宋体" w:cs="宋体"/>
          <w:b w:val="0"/>
          <w:color w:val="auto"/>
          <w:sz w:val="24"/>
          <w:szCs w:val="24"/>
          <w:highlight w:val="none"/>
        </w:rPr>
        <w:t xml:space="preserve"> </w:t>
      </w:r>
      <w:bookmarkEnd w:id="460"/>
    </w:p>
    <w:bookmarkEnd w:id="461"/>
    <w:bookmarkEnd w:id="462"/>
    <w:p w14:paraId="3FF0A6F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427CD6A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FE60BA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455674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1.11.4 除专用合同条款另有约定外，承包人在合同签订前和签订时已确定采用的专利、专有技术、技术秘密的使用费已包含在签约合同价中。</w:t>
      </w:r>
    </w:p>
    <w:p w14:paraId="6C93837E">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63" w:name="_Toc351203507"/>
      <w:r>
        <w:rPr>
          <w:rFonts w:hint="eastAsia" w:ascii="宋体" w:hAnsi="宋体" w:eastAsia="宋体" w:cs="宋体"/>
          <w:b w:val="0"/>
          <w:color w:val="auto"/>
          <w:sz w:val="24"/>
          <w:szCs w:val="24"/>
          <w:highlight w:val="none"/>
        </w:rPr>
        <w:t>1</w:t>
      </w:r>
      <w:bookmarkStart w:id="464" w:name="_Toc337558738"/>
      <w:r>
        <w:rPr>
          <w:rFonts w:hint="eastAsia" w:ascii="宋体" w:hAnsi="宋体" w:eastAsia="宋体" w:cs="宋体"/>
          <w:b w:val="0"/>
          <w:color w:val="auto"/>
          <w:sz w:val="24"/>
          <w:szCs w:val="24"/>
          <w:highlight w:val="none"/>
        </w:rPr>
        <w:t>.12保密</w:t>
      </w:r>
      <w:bookmarkEnd w:id="463"/>
    </w:p>
    <w:bookmarkEnd w:id="464"/>
    <w:p w14:paraId="7736B7A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除法律规定或合同另有约定外，未经发包人同意，承包人不得将发包人提供的图纸、文件以及声明需要保密的资料信息等商业秘密泄露给第三方。</w:t>
      </w:r>
    </w:p>
    <w:p w14:paraId="17A973C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除法律规定或合同另有约定外，未经承包人同意，发包人不得将承包人提供的技术秘密及声明需要保密的资料信息等商业秘密泄露给第三方。</w:t>
      </w:r>
    </w:p>
    <w:p w14:paraId="38762944">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65" w:name="_Toc351203508"/>
      <w:r>
        <w:rPr>
          <w:rFonts w:hint="eastAsia" w:ascii="宋体" w:hAnsi="宋体" w:eastAsia="宋体" w:cs="宋体"/>
          <w:b w:val="0"/>
          <w:color w:val="auto"/>
          <w:sz w:val="24"/>
          <w:szCs w:val="24"/>
          <w:highlight w:val="none"/>
        </w:rPr>
        <w:t>1.13工程量清单错误的修正</w:t>
      </w:r>
      <w:bookmarkEnd w:id="465"/>
    </w:p>
    <w:p w14:paraId="29D5B6C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除专用合同条款另有约定外，发包人提供的工程量清单，应被认为是准确的和完整的。出现下列情形之一时，发包人应予以修正，并相应调整合同价格：</w:t>
      </w:r>
    </w:p>
    <w:p w14:paraId="479507E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（1）工程量清单存在缺项、漏项的；</w:t>
      </w:r>
    </w:p>
    <w:p w14:paraId="39BE45D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（2）工程量清单偏差超出专用合同条款约定的工程量偏差范围的；</w:t>
      </w:r>
    </w:p>
    <w:p w14:paraId="5335F72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（3）未按照国家现行计量规范强制性规定计量的。</w:t>
      </w:r>
    </w:p>
    <w:p w14:paraId="1AB780CE">
      <w:pPr>
        <w:pStyle w:val="6"/>
        <w:spacing w:before="120" w:after="120" w:line="360" w:lineRule="auto"/>
        <w:rPr>
          <w:rFonts w:hint="eastAsia" w:ascii="宋体" w:hAnsi="宋体" w:eastAsia="宋体" w:cs="宋体"/>
          <w:b w:val="0"/>
          <w:color w:val="auto"/>
          <w:sz w:val="24"/>
          <w:szCs w:val="24"/>
          <w:highlight w:val="none"/>
        </w:rPr>
      </w:pPr>
      <w:bookmarkStart w:id="466" w:name="_Toc351203509"/>
      <w:r>
        <w:rPr>
          <w:rFonts w:hint="eastAsia" w:ascii="宋体" w:hAnsi="宋体" w:eastAsia="宋体" w:cs="宋体"/>
          <w:b w:val="0"/>
          <w:color w:val="auto"/>
          <w:sz w:val="24"/>
          <w:szCs w:val="24"/>
          <w:highlight w:val="none"/>
        </w:rPr>
        <w:t>2</w:t>
      </w:r>
      <w:bookmarkStart w:id="467" w:name="_Toc337558739"/>
      <w:bookmarkStart w:id="468" w:name="_Toc296503038"/>
      <w:bookmarkStart w:id="469" w:name="_Toc296346539"/>
      <w:bookmarkStart w:id="470" w:name="OLE_LINK1"/>
      <w:bookmarkStart w:id="471" w:name="OLE_LINK2"/>
      <w:r>
        <w:rPr>
          <w:rFonts w:hint="eastAsia" w:ascii="宋体" w:hAnsi="宋体" w:eastAsia="宋体" w:cs="宋体"/>
          <w:b w:val="0"/>
          <w:color w:val="auto"/>
          <w:sz w:val="24"/>
          <w:szCs w:val="24"/>
          <w:highlight w:val="none"/>
        </w:rPr>
        <w:t>. 发包人</w:t>
      </w:r>
      <w:bookmarkEnd w:id="466"/>
    </w:p>
    <w:bookmarkEnd w:id="467"/>
    <w:bookmarkEnd w:id="468"/>
    <w:bookmarkEnd w:id="469"/>
    <w:p w14:paraId="16CCEEB3">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72" w:name="_Toc351203510"/>
      <w:r>
        <w:rPr>
          <w:rFonts w:hint="eastAsia" w:ascii="宋体" w:hAnsi="宋体" w:eastAsia="宋体" w:cs="宋体"/>
          <w:b w:val="0"/>
          <w:color w:val="auto"/>
          <w:sz w:val="24"/>
          <w:szCs w:val="24"/>
          <w:highlight w:val="none"/>
        </w:rPr>
        <w:t>2</w:t>
      </w:r>
      <w:bookmarkStart w:id="473" w:name="_Toc337558740"/>
      <w:bookmarkStart w:id="474" w:name="_Toc296346540"/>
      <w:bookmarkStart w:id="475" w:name="_Toc296503039"/>
      <w:r>
        <w:rPr>
          <w:rFonts w:hint="eastAsia" w:ascii="宋体" w:hAnsi="宋体" w:eastAsia="宋体" w:cs="宋体"/>
          <w:b w:val="0"/>
          <w:color w:val="auto"/>
          <w:sz w:val="24"/>
          <w:szCs w:val="24"/>
          <w:highlight w:val="none"/>
        </w:rPr>
        <w:t>.1 许可或批准</w:t>
      </w:r>
      <w:bookmarkEnd w:id="472"/>
    </w:p>
    <w:p w14:paraId="5F7509E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0B28BA7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因发包人原因未能及时办理完毕前述许可、批准或备案，由发包人承担由此增加的费用和（或）延误的工期，并支付承包人合理的利润。</w:t>
      </w:r>
    </w:p>
    <w:p w14:paraId="4AF7E0B9">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76" w:name="_Toc351203511"/>
      <w:r>
        <w:rPr>
          <w:rFonts w:hint="eastAsia" w:ascii="宋体" w:hAnsi="宋体" w:eastAsia="宋体" w:cs="宋体"/>
          <w:b w:val="0"/>
          <w:color w:val="auto"/>
          <w:sz w:val="24"/>
          <w:szCs w:val="24"/>
          <w:highlight w:val="none"/>
        </w:rPr>
        <w:t>2.2 发包人代表</w:t>
      </w:r>
      <w:bookmarkEnd w:id="476"/>
    </w:p>
    <w:p w14:paraId="0DB2D27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73D95AB1">
      <w:pPr>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发包人代表不能按照合同约定履行其职责及义务，并导致合同无法继续正常履行的，承包人可以要求发包人撤换发包人代表。</w:t>
      </w:r>
    </w:p>
    <w:p w14:paraId="7D03A90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不属于法定必须监理的工程，监理人的职权可以由发包人代表或发包人指定的其他人员行使。</w:t>
      </w:r>
    </w:p>
    <w:p w14:paraId="025A60AA">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77" w:name="_Toc351203512"/>
      <w:r>
        <w:rPr>
          <w:rFonts w:hint="eastAsia" w:ascii="宋体" w:hAnsi="宋体" w:eastAsia="宋体" w:cs="宋体"/>
          <w:b w:val="0"/>
          <w:color w:val="auto"/>
          <w:sz w:val="24"/>
          <w:szCs w:val="24"/>
          <w:highlight w:val="none"/>
        </w:rPr>
        <w:t>2.3 发包人人员</w:t>
      </w:r>
      <w:bookmarkEnd w:id="477"/>
    </w:p>
    <w:p w14:paraId="1C8BE3E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0BFECDE7">
      <w:pPr>
        <w:spacing w:line="500" w:lineRule="exact"/>
        <w:ind w:firstLine="6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发包人人员包括发包人代表及其他由发包人派驻施工现场的人员。</w:t>
      </w:r>
      <w:bookmarkEnd w:id="473"/>
      <w:bookmarkEnd w:id="474"/>
      <w:bookmarkEnd w:id="475"/>
    </w:p>
    <w:p w14:paraId="39FA9B8B">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78" w:name="_Toc351203513"/>
      <w:r>
        <w:rPr>
          <w:rFonts w:hint="eastAsia" w:ascii="宋体" w:hAnsi="宋体" w:eastAsia="宋体" w:cs="宋体"/>
          <w:b w:val="0"/>
          <w:color w:val="auto"/>
          <w:sz w:val="24"/>
          <w:szCs w:val="24"/>
          <w:highlight w:val="none"/>
        </w:rPr>
        <w:t>2</w:t>
      </w:r>
      <w:bookmarkStart w:id="479" w:name="_Toc296503040"/>
      <w:bookmarkStart w:id="480" w:name="_Toc296346541"/>
      <w:bookmarkStart w:id="481" w:name="_Toc337558741"/>
      <w:r>
        <w:rPr>
          <w:rFonts w:hint="eastAsia" w:ascii="宋体" w:hAnsi="宋体" w:eastAsia="宋体" w:cs="宋体"/>
          <w:b w:val="0"/>
          <w:color w:val="auto"/>
          <w:sz w:val="24"/>
          <w:szCs w:val="24"/>
          <w:highlight w:val="none"/>
        </w:rPr>
        <w:t>.4 施工现场、施工条件和基础资料的提供</w:t>
      </w:r>
      <w:bookmarkEnd w:id="478"/>
      <w:r>
        <w:rPr>
          <w:rFonts w:hint="eastAsia" w:ascii="宋体" w:hAnsi="宋体" w:eastAsia="宋体" w:cs="宋体"/>
          <w:b w:val="0"/>
          <w:color w:val="auto"/>
          <w:sz w:val="24"/>
          <w:szCs w:val="24"/>
          <w:highlight w:val="none"/>
        </w:rPr>
        <w:t xml:space="preserve"> </w:t>
      </w:r>
      <w:bookmarkEnd w:id="479"/>
      <w:bookmarkEnd w:id="480"/>
      <w:bookmarkEnd w:id="481"/>
      <w:r>
        <w:rPr>
          <w:rFonts w:hint="eastAsia" w:ascii="宋体" w:hAnsi="宋体" w:eastAsia="宋体" w:cs="宋体"/>
          <w:b w:val="0"/>
          <w:color w:val="auto"/>
          <w:sz w:val="24"/>
          <w:szCs w:val="24"/>
          <w:highlight w:val="none"/>
        </w:rPr>
        <w:t xml:space="preserve"> </w:t>
      </w:r>
    </w:p>
    <w:p w14:paraId="042B197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2.4.1 提供施工现场</w:t>
      </w:r>
    </w:p>
    <w:p w14:paraId="7302F0A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w:t>
      </w:r>
      <w:bookmarkEnd w:id="470"/>
      <w:bookmarkEnd w:id="471"/>
      <w:r>
        <w:rPr>
          <w:rFonts w:hint="eastAsia" w:ascii="宋体" w:hAnsi="宋体" w:eastAsia="宋体" w:cs="宋体"/>
          <w:color w:val="auto"/>
          <w:kern w:val="0"/>
          <w:sz w:val="24"/>
          <w:szCs w:val="24"/>
          <w:highlight w:val="none"/>
        </w:rPr>
        <w:t>专用合同条款另有约定外，发包人应最迟于开工日期7天前向承包人移交施工现场。</w:t>
      </w:r>
    </w:p>
    <w:p w14:paraId="0A75C0D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 提供施工条件</w:t>
      </w:r>
    </w:p>
    <w:p w14:paraId="49A5628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除专用合同条款另有约定外，发包人应负责提供施工所需要的条件，包括：</w:t>
      </w:r>
    </w:p>
    <w:p w14:paraId="088558A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（1）将施工用水、电力、通讯线路等施工所必需的条件接至施工现场内；</w:t>
      </w:r>
    </w:p>
    <w:p w14:paraId="75A4935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（2）保证向承包人提供正常施工所需要的进入施工现场的交通条件；</w:t>
      </w:r>
    </w:p>
    <w:p w14:paraId="2924E86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（3）协调处理施工现场周围地下管线和邻近建筑物、构筑物、古树名木的保护工作，并承担相关费用；</w:t>
      </w:r>
    </w:p>
    <w:p w14:paraId="436B758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（4）按照专用合同条款约定应提供的其他设施和条件。</w:t>
      </w:r>
    </w:p>
    <w:p w14:paraId="68044DD0">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2.4.3 提供基础资料</w:t>
      </w:r>
    </w:p>
    <w:p w14:paraId="31310FD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0CECCFD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7949698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2.4.4 逾期提供的责任</w:t>
      </w:r>
    </w:p>
    <w:p w14:paraId="7C03D70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因发包人原因未能按合同约定及时向承包人提供施工现场、施工条件、基础资料的，由发包人承担由此增加的费用和（或）延误的工期。</w:t>
      </w:r>
    </w:p>
    <w:p w14:paraId="5BF8A4A5">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82" w:name="_Toc351203514"/>
      <w:r>
        <w:rPr>
          <w:rFonts w:hint="eastAsia" w:ascii="宋体" w:hAnsi="宋体" w:eastAsia="宋体" w:cs="宋体"/>
          <w:b w:val="0"/>
          <w:color w:val="auto"/>
          <w:sz w:val="24"/>
          <w:szCs w:val="24"/>
          <w:highlight w:val="none"/>
        </w:rPr>
        <w:t>2</w:t>
      </w:r>
      <w:bookmarkStart w:id="483" w:name="_Toc337558745"/>
      <w:bookmarkStart w:id="484" w:name="_Toc296346543"/>
      <w:bookmarkStart w:id="485" w:name="_Toc296503042"/>
      <w:r>
        <w:rPr>
          <w:rFonts w:hint="eastAsia" w:ascii="宋体" w:hAnsi="宋体" w:eastAsia="宋体" w:cs="宋体"/>
          <w:b w:val="0"/>
          <w:color w:val="auto"/>
          <w:sz w:val="24"/>
          <w:szCs w:val="24"/>
          <w:highlight w:val="none"/>
        </w:rPr>
        <w:t>.5 资</w:t>
      </w:r>
      <w:bookmarkEnd w:id="483"/>
      <w:bookmarkEnd w:id="484"/>
      <w:bookmarkEnd w:id="485"/>
      <w:r>
        <w:rPr>
          <w:rFonts w:hint="eastAsia" w:ascii="宋体" w:hAnsi="宋体" w:eastAsia="宋体" w:cs="宋体"/>
          <w:b w:val="0"/>
          <w:color w:val="auto"/>
          <w:sz w:val="24"/>
          <w:szCs w:val="24"/>
          <w:highlight w:val="none"/>
        </w:rPr>
        <w:t>金来源证明及支付担保</w:t>
      </w:r>
      <w:bookmarkEnd w:id="482"/>
    </w:p>
    <w:p w14:paraId="5A135BC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786F41C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42B0E622">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86" w:name="_Toc351203515"/>
      <w:r>
        <w:rPr>
          <w:rFonts w:hint="eastAsia" w:ascii="宋体" w:hAnsi="宋体" w:eastAsia="宋体" w:cs="宋体"/>
          <w:b w:val="0"/>
          <w:color w:val="auto"/>
          <w:sz w:val="24"/>
          <w:szCs w:val="24"/>
          <w:highlight w:val="none"/>
        </w:rPr>
        <w:t>2.6 支付合同价款</w:t>
      </w:r>
      <w:bookmarkEnd w:id="486"/>
    </w:p>
    <w:p w14:paraId="7F9FC5F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发包人应按合同约定向承包人及时支付合同价款。</w:t>
      </w:r>
    </w:p>
    <w:p w14:paraId="4A97D1A8">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87" w:name="_Toc351203516"/>
      <w:r>
        <w:rPr>
          <w:rFonts w:hint="eastAsia" w:ascii="宋体" w:hAnsi="宋体" w:eastAsia="宋体" w:cs="宋体"/>
          <w:b w:val="0"/>
          <w:color w:val="auto"/>
          <w:sz w:val="24"/>
          <w:szCs w:val="24"/>
          <w:highlight w:val="none"/>
        </w:rPr>
        <w:t>2.7 组织竣工验收</w:t>
      </w:r>
      <w:bookmarkEnd w:id="487"/>
    </w:p>
    <w:p w14:paraId="43C2C6B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发包人应按合同约定及时组织竣工验收。</w:t>
      </w:r>
    </w:p>
    <w:p w14:paraId="0F3A3C2C">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88" w:name="_Toc351203517"/>
      <w:r>
        <w:rPr>
          <w:rFonts w:hint="eastAsia" w:ascii="宋体" w:hAnsi="宋体" w:eastAsia="宋体" w:cs="宋体"/>
          <w:b w:val="0"/>
          <w:color w:val="auto"/>
          <w:sz w:val="24"/>
          <w:szCs w:val="24"/>
          <w:highlight w:val="none"/>
        </w:rPr>
        <w:t>2.8 现场统一管理协议</w:t>
      </w:r>
      <w:bookmarkEnd w:id="488"/>
    </w:p>
    <w:p w14:paraId="77231970">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发包人应与承包人、由发包人直接发包的专业工程的承包人签订施工现场统一管理协议，明确各方的权利义务。施工现场统一管理协议作为专用合同条款的附件。</w:t>
      </w:r>
    </w:p>
    <w:p w14:paraId="3F5B5BC8">
      <w:pPr>
        <w:pStyle w:val="6"/>
        <w:spacing w:before="120" w:after="120" w:line="360" w:lineRule="auto"/>
        <w:rPr>
          <w:rFonts w:hint="eastAsia" w:ascii="宋体" w:hAnsi="宋体" w:eastAsia="宋体" w:cs="宋体"/>
          <w:b w:val="0"/>
          <w:color w:val="auto"/>
          <w:sz w:val="24"/>
          <w:szCs w:val="24"/>
          <w:highlight w:val="none"/>
        </w:rPr>
      </w:pPr>
      <w:bookmarkStart w:id="489" w:name="_Toc351203518"/>
      <w:r>
        <w:rPr>
          <w:rFonts w:hint="eastAsia" w:ascii="宋体" w:hAnsi="宋体" w:eastAsia="宋体" w:cs="宋体"/>
          <w:b w:val="0"/>
          <w:color w:val="auto"/>
          <w:sz w:val="24"/>
          <w:szCs w:val="24"/>
          <w:highlight w:val="none"/>
        </w:rPr>
        <w:t>3</w:t>
      </w:r>
      <w:bookmarkStart w:id="490" w:name="_Toc296346546"/>
      <w:bookmarkStart w:id="491" w:name="_Toc337558746"/>
      <w:bookmarkStart w:id="492" w:name="_Toc296503045"/>
      <w:r>
        <w:rPr>
          <w:rFonts w:hint="eastAsia" w:ascii="宋体" w:hAnsi="宋体" w:eastAsia="宋体" w:cs="宋体"/>
          <w:b w:val="0"/>
          <w:color w:val="auto"/>
          <w:sz w:val="24"/>
          <w:szCs w:val="24"/>
          <w:highlight w:val="none"/>
        </w:rPr>
        <w:t>. 承包人</w:t>
      </w:r>
      <w:bookmarkEnd w:id="489"/>
    </w:p>
    <w:bookmarkEnd w:id="490"/>
    <w:bookmarkEnd w:id="491"/>
    <w:bookmarkEnd w:id="492"/>
    <w:p w14:paraId="4A5BE904">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93" w:name="_Toc351203519"/>
      <w:r>
        <w:rPr>
          <w:rFonts w:hint="eastAsia" w:ascii="宋体" w:hAnsi="宋体" w:eastAsia="宋体" w:cs="宋体"/>
          <w:b w:val="0"/>
          <w:color w:val="auto"/>
          <w:sz w:val="24"/>
          <w:szCs w:val="24"/>
          <w:highlight w:val="none"/>
        </w:rPr>
        <w:t>3</w:t>
      </w:r>
      <w:bookmarkStart w:id="494" w:name="_Toc296346547"/>
      <w:bookmarkStart w:id="495" w:name="_Toc296503046"/>
      <w:bookmarkStart w:id="496" w:name="_Toc337558747"/>
      <w:r>
        <w:rPr>
          <w:rFonts w:hint="eastAsia" w:ascii="宋体" w:hAnsi="宋体" w:eastAsia="宋体" w:cs="宋体"/>
          <w:b w:val="0"/>
          <w:color w:val="auto"/>
          <w:sz w:val="24"/>
          <w:szCs w:val="24"/>
          <w:highlight w:val="none"/>
        </w:rPr>
        <w:t>.1 承包人的一般义务</w:t>
      </w:r>
      <w:bookmarkEnd w:id="493"/>
    </w:p>
    <w:bookmarkEnd w:id="494"/>
    <w:bookmarkEnd w:id="495"/>
    <w:bookmarkEnd w:id="496"/>
    <w:p w14:paraId="74F7325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承包人在履行合同过程中应遵守法律和工程建设标准规范，并履行以下义务：</w:t>
      </w:r>
    </w:p>
    <w:p w14:paraId="58F63B69">
      <w:pPr>
        <w:numPr>
          <w:ilvl w:val="0"/>
          <w:numId w:val="1"/>
        </w:num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办理法律规定应由承包人办理的许可和批准，并将办理结果书面报送发包人留存；</w:t>
      </w:r>
    </w:p>
    <w:p w14:paraId="1D65884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（2）按法律规定和合同约定完成工程，并在保修期内承担保修义务；</w:t>
      </w:r>
    </w:p>
    <w:p w14:paraId="107CE74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（3）按法律规定和合同约定采取施工安全和环境保护措施，办理工伤保险，确保工程及人员、材料、设备和设施的安全；</w:t>
      </w:r>
    </w:p>
    <w:p w14:paraId="6A8E199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（4）按合同约定的工作内容和施工进度要求，编制施工组织设计和施工措施计划，并对所有施工作业和施工方法的完备性和安全可靠性负责；</w:t>
      </w:r>
    </w:p>
    <w:p w14:paraId="3E51303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0D64BF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（6）按照第6.3款〔环境保护〕约定负责施工场地及其周边环境与生态的保护工作；</w:t>
      </w:r>
    </w:p>
    <w:p w14:paraId="36AEFDB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（7）按第6.1款〔安全文明施工〕约定采取施工安全措施，确保工程及其人员、材料、设备和设施的安全，防止因工程施工造成的人身伤害和财产损失；</w:t>
      </w:r>
    </w:p>
    <w:p w14:paraId="33E4903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（8）将发包人按合同约定支付的各项价款专用于合同工程，且应及时支付其雇用人员工资，并及时向分包人支付合同价款；</w:t>
      </w:r>
    </w:p>
    <w:p w14:paraId="2E3EE44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（9）按照法律规定和合同约定编制竣工资料，完成竣工资料立卷及归档，并按专用合同条款约定的竣工资料的套数、内容、时间等要求移交发包人；</w:t>
      </w:r>
    </w:p>
    <w:p w14:paraId="5410D77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（10）应履行的其他义务。</w:t>
      </w:r>
    </w:p>
    <w:p w14:paraId="3EC37066">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497" w:name="_Toc351203520"/>
      <w:r>
        <w:rPr>
          <w:rFonts w:hint="eastAsia" w:ascii="宋体" w:hAnsi="宋体" w:eastAsia="宋体" w:cs="宋体"/>
          <w:b w:val="0"/>
          <w:color w:val="auto"/>
          <w:sz w:val="24"/>
          <w:szCs w:val="24"/>
          <w:highlight w:val="none"/>
        </w:rPr>
        <w:t>3</w:t>
      </w:r>
      <w:bookmarkStart w:id="498" w:name="_Toc296346548"/>
      <w:bookmarkStart w:id="499" w:name="_Toc296503047"/>
      <w:bookmarkStart w:id="500" w:name="_Toc337558748"/>
      <w:r>
        <w:rPr>
          <w:rFonts w:hint="eastAsia" w:ascii="宋体" w:hAnsi="宋体" w:eastAsia="宋体" w:cs="宋体"/>
          <w:b w:val="0"/>
          <w:color w:val="auto"/>
          <w:sz w:val="24"/>
          <w:szCs w:val="24"/>
          <w:highlight w:val="none"/>
        </w:rPr>
        <w:t xml:space="preserve">.2 </w:t>
      </w:r>
      <w:bookmarkEnd w:id="497"/>
      <w:r>
        <w:rPr>
          <w:rFonts w:hint="eastAsia" w:ascii="宋体" w:hAnsi="宋体" w:eastAsia="宋体" w:cs="宋体"/>
          <w:b w:val="0"/>
          <w:color w:val="auto"/>
          <w:sz w:val="24"/>
          <w:szCs w:val="24"/>
          <w:highlight w:val="none"/>
        </w:rPr>
        <w:t>项目经理</w:t>
      </w:r>
    </w:p>
    <w:bookmarkEnd w:id="498"/>
    <w:bookmarkEnd w:id="499"/>
    <w:bookmarkEnd w:id="500"/>
    <w:p w14:paraId="78F838C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48B38C7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3D1B53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承包人违反上述约定的，应按照专用合同条款的约定，承担违约责任。</w:t>
      </w:r>
    </w:p>
    <w:p w14:paraId="1185C05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ACA4ED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64B733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1EB114D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21C61E87">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01" w:name="_Toc351203521"/>
      <w:r>
        <w:rPr>
          <w:rFonts w:hint="eastAsia" w:ascii="宋体" w:hAnsi="宋体" w:eastAsia="宋体" w:cs="宋体"/>
          <w:b w:val="0"/>
          <w:color w:val="auto"/>
          <w:sz w:val="24"/>
          <w:szCs w:val="24"/>
          <w:highlight w:val="none"/>
        </w:rPr>
        <w:t>3</w:t>
      </w:r>
      <w:bookmarkStart w:id="502" w:name="_Toc296346549"/>
      <w:bookmarkStart w:id="503" w:name="_Toc296503048"/>
      <w:bookmarkStart w:id="504" w:name="_Toc337558749"/>
      <w:r>
        <w:rPr>
          <w:rFonts w:hint="eastAsia" w:ascii="宋体" w:hAnsi="宋体" w:eastAsia="宋体" w:cs="宋体"/>
          <w:b w:val="0"/>
          <w:color w:val="auto"/>
          <w:sz w:val="24"/>
          <w:szCs w:val="24"/>
          <w:highlight w:val="none"/>
        </w:rPr>
        <w:t xml:space="preserve">.3 </w:t>
      </w:r>
      <w:bookmarkEnd w:id="502"/>
      <w:bookmarkEnd w:id="503"/>
      <w:r>
        <w:rPr>
          <w:rFonts w:hint="eastAsia" w:ascii="宋体" w:hAnsi="宋体" w:eastAsia="宋体" w:cs="宋体"/>
          <w:b w:val="0"/>
          <w:color w:val="auto"/>
          <w:sz w:val="24"/>
          <w:szCs w:val="24"/>
          <w:highlight w:val="none"/>
        </w:rPr>
        <w:t>承包人人员</w:t>
      </w:r>
      <w:bookmarkEnd w:id="501"/>
    </w:p>
    <w:bookmarkEnd w:id="504"/>
    <w:p w14:paraId="3D8B1FC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9E228C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6D0ABE7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特殊工种作业人员均应持有相应的资格证明，监理人可以随时检查。</w:t>
      </w:r>
    </w:p>
    <w:p w14:paraId="54FAEB0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82224C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3811B87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3.3.5 承包人擅自更换主要施工管理人员，或前述人员未经监理人或发包人同意擅自离开施工现场的，应按照专用合同条款约定承担违约责任。</w:t>
      </w:r>
    </w:p>
    <w:p w14:paraId="57709813">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05" w:name="_Toc351203522"/>
      <w:r>
        <w:rPr>
          <w:rFonts w:hint="eastAsia" w:ascii="宋体" w:hAnsi="宋体" w:eastAsia="宋体" w:cs="宋体"/>
          <w:b w:val="0"/>
          <w:color w:val="auto"/>
          <w:sz w:val="24"/>
          <w:szCs w:val="24"/>
          <w:highlight w:val="none"/>
        </w:rPr>
        <w:t>3</w:t>
      </w:r>
      <w:bookmarkStart w:id="506" w:name="_Toc296346551"/>
      <w:bookmarkStart w:id="507" w:name="_Toc337558750"/>
      <w:bookmarkStart w:id="508" w:name="_Toc296503050"/>
      <w:r>
        <w:rPr>
          <w:rFonts w:hint="eastAsia" w:ascii="宋体" w:hAnsi="宋体" w:eastAsia="宋体" w:cs="宋体"/>
          <w:b w:val="0"/>
          <w:color w:val="auto"/>
          <w:sz w:val="24"/>
          <w:szCs w:val="24"/>
          <w:highlight w:val="none"/>
        </w:rPr>
        <w:t>.4 承包人现场查勘</w:t>
      </w:r>
      <w:bookmarkEnd w:id="505"/>
    </w:p>
    <w:bookmarkEnd w:id="506"/>
    <w:bookmarkEnd w:id="507"/>
    <w:bookmarkEnd w:id="508"/>
    <w:p w14:paraId="198E1532">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25901BD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6EFF60B">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09" w:name="_Toc351203523"/>
      <w:r>
        <w:rPr>
          <w:rFonts w:hint="eastAsia" w:ascii="宋体" w:hAnsi="宋体" w:eastAsia="宋体" w:cs="宋体"/>
          <w:b w:val="0"/>
          <w:color w:val="auto"/>
          <w:sz w:val="24"/>
          <w:szCs w:val="24"/>
          <w:highlight w:val="none"/>
        </w:rPr>
        <w:t>3</w:t>
      </w:r>
      <w:bookmarkStart w:id="510" w:name="_Toc296503051"/>
      <w:bookmarkStart w:id="511" w:name="_Toc337558751"/>
      <w:bookmarkStart w:id="512" w:name="_Toc296346552"/>
      <w:r>
        <w:rPr>
          <w:rFonts w:hint="eastAsia" w:ascii="宋体" w:hAnsi="宋体" w:eastAsia="宋体" w:cs="宋体"/>
          <w:b w:val="0"/>
          <w:color w:val="auto"/>
          <w:sz w:val="24"/>
          <w:szCs w:val="24"/>
          <w:highlight w:val="none"/>
        </w:rPr>
        <w:t>.5 分包</w:t>
      </w:r>
      <w:bookmarkEnd w:id="509"/>
    </w:p>
    <w:bookmarkEnd w:id="510"/>
    <w:bookmarkEnd w:id="511"/>
    <w:bookmarkEnd w:id="512"/>
    <w:p w14:paraId="561062D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 分包的一般约定</w:t>
      </w:r>
    </w:p>
    <w:p w14:paraId="44E69E3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6B45D6A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承包人不得以劳务分包的名义转包或违法分包工程。</w:t>
      </w:r>
    </w:p>
    <w:p w14:paraId="34D699DB">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3.5.2 分包的确定</w:t>
      </w:r>
    </w:p>
    <w:p w14:paraId="701F25B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ACD0CD6">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3.5.3 分包管理</w:t>
      </w:r>
    </w:p>
    <w:p w14:paraId="6DDB296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承包人应向监理人提交分包人的主要施工管理人员表，并对分包人的施工人员进行实名制管理，包括但不限于进出场管理、登记造册以及各种证照的办理。</w:t>
      </w:r>
    </w:p>
    <w:p w14:paraId="30B28AB2">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3.5.4 分包合同价款</w:t>
      </w:r>
    </w:p>
    <w:p w14:paraId="061AF150">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（1）除本项第（2）目约定的情况或专用合同条款另有约定外，分包合同价款由承包人与分包人结算，未经承包人同意，发包人不得向分包人支付分包工程价款；</w:t>
      </w:r>
    </w:p>
    <w:p w14:paraId="53F4C75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（2）生效法律文书要求发包人向分包人支付分包合同价款的，发包人有权从应付承包人工程款中扣除该部分款项。</w:t>
      </w:r>
    </w:p>
    <w:p w14:paraId="40152E4B">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3.5.5 分包合同权益的转让</w:t>
      </w:r>
    </w:p>
    <w:p w14:paraId="0F0EC433">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13" w:name="_Toc351203524"/>
    </w:p>
    <w:p w14:paraId="42538468">
      <w:pPr>
        <w:pStyle w:val="7"/>
        <w:spacing w:before="120" w:after="12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3.6 工程照管与成品、半成品保护</w:t>
      </w:r>
      <w:bookmarkEnd w:id="513"/>
    </w:p>
    <w:p w14:paraId="79A8ABE5">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（1）除专用合同条款另有约定外，自发包人向承包人移交施工现场之日起，承包人应负责照管工程及工程相关的材料、工程设备，直到颁发工程接收证书之日止。</w:t>
      </w:r>
    </w:p>
    <w:p w14:paraId="30F857A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（2）在承包人负责照管期间，因承包人原因造成工程、材料、工程设备损坏的，由承包人负责修复或更换，并承担由此增加的费用和（或）延误的工期。</w:t>
      </w:r>
    </w:p>
    <w:p w14:paraId="670D6BE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61A1AE29">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14" w:name="_Toc351203525"/>
      <w:r>
        <w:rPr>
          <w:rFonts w:hint="eastAsia" w:ascii="宋体" w:hAnsi="宋体" w:eastAsia="宋体" w:cs="宋体"/>
          <w:b w:val="0"/>
          <w:color w:val="auto"/>
          <w:sz w:val="24"/>
          <w:szCs w:val="24"/>
          <w:highlight w:val="none"/>
        </w:rPr>
        <w:t>3</w:t>
      </w:r>
      <w:bookmarkStart w:id="515" w:name="_Toc337558752"/>
      <w:bookmarkStart w:id="516" w:name="_Toc296503052"/>
      <w:bookmarkStart w:id="517" w:name="_Toc296346553"/>
      <w:r>
        <w:rPr>
          <w:rFonts w:hint="eastAsia" w:ascii="宋体" w:hAnsi="宋体" w:eastAsia="宋体" w:cs="宋体"/>
          <w:b w:val="0"/>
          <w:color w:val="auto"/>
          <w:sz w:val="24"/>
          <w:szCs w:val="24"/>
          <w:highlight w:val="none"/>
        </w:rPr>
        <w:t>.7 履约担保</w:t>
      </w:r>
      <w:bookmarkEnd w:id="514"/>
    </w:p>
    <w:bookmarkEnd w:id="515"/>
    <w:bookmarkEnd w:id="516"/>
    <w:bookmarkEnd w:id="517"/>
    <w:p w14:paraId="7236C7E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30C322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61FC315E">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18" w:name="_Toc351203526"/>
      <w:r>
        <w:rPr>
          <w:rFonts w:hint="eastAsia" w:ascii="宋体" w:hAnsi="宋体" w:eastAsia="宋体" w:cs="宋体"/>
          <w:b w:val="0"/>
          <w:color w:val="auto"/>
          <w:sz w:val="24"/>
          <w:szCs w:val="24"/>
          <w:highlight w:val="none"/>
        </w:rPr>
        <w:t>3.8 联合体</w:t>
      </w:r>
      <w:bookmarkEnd w:id="518"/>
    </w:p>
    <w:p w14:paraId="35EF332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3.8.1 联合体各方应共同与发包人签订合同协议书。联合体各方应为履行合同向发包人承担连带责任。</w:t>
      </w:r>
    </w:p>
    <w:p w14:paraId="4F83F8C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3.8.2 联合体协议经发包人确认后作为合同附件。在履行合同过程中，未经发包人同意，不得修改联合体协议。</w:t>
      </w:r>
    </w:p>
    <w:p w14:paraId="5B83CEA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3.8.3 联合体牵头人负责与发包人和监理人联系，并接受指示，负责组织联合体各成员全面履行合同。</w:t>
      </w:r>
    </w:p>
    <w:p w14:paraId="35CA47D8">
      <w:pPr>
        <w:pStyle w:val="6"/>
        <w:spacing w:before="120" w:after="120" w:line="360" w:lineRule="auto"/>
        <w:rPr>
          <w:rFonts w:hint="eastAsia" w:ascii="宋体" w:hAnsi="宋体" w:eastAsia="宋体" w:cs="宋体"/>
          <w:b w:val="0"/>
          <w:color w:val="auto"/>
          <w:sz w:val="24"/>
          <w:szCs w:val="24"/>
          <w:highlight w:val="none"/>
        </w:rPr>
      </w:pPr>
      <w:bookmarkStart w:id="519" w:name="_Toc351203527"/>
      <w:r>
        <w:rPr>
          <w:rFonts w:hint="eastAsia" w:ascii="宋体" w:hAnsi="宋体" w:eastAsia="宋体" w:cs="宋体"/>
          <w:b w:val="0"/>
          <w:color w:val="auto"/>
          <w:sz w:val="24"/>
          <w:szCs w:val="24"/>
          <w:highlight w:val="none"/>
        </w:rPr>
        <w:t>4</w:t>
      </w:r>
      <w:bookmarkStart w:id="520" w:name="_Toc296503053"/>
      <w:bookmarkStart w:id="521" w:name="_Toc296346554"/>
      <w:bookmarkStart w:id="522" w:name="_Toc337558753"/>
      <w:r>
        <w:rPr>
          <w:rFonts w:hint="eastAsia" w:ascii="宋体" w:hAnsi="宋体" w:eastAsia="宋体" w:cs="宋体"/>
          <w:b w:val="0"/>
          <w:color w:val="auto"/>
          <w:sz w:val="24"/>
          <w:szCs w:val="24"/>
          <w:highlight w:val="none"/>
        </w:rPr>
        <w:t>. 监</w:t>
      </w:r>
      <w:bookmarkEnd w:id="520"/>
      <w:bookmarkEnd w:id="521"/>
      <w:r>
        <w:rPr>
          <w:rFonts w:hint="eastAsia" w:ascii="宋体" w:hAnsi="宋体" w:eastAsia="宋体" w:cs="宋体"/>
          <w:b w:val="0"/>
          <w:color w:val="auto"/>
          <w:sz w:val="24"/>
          <w:szCs w:val="24"/>
          <w:highlight w:val="none"/>
        </w:rPr>
        <w:t>理人</w:t>
      </w:r>
      <w:bookmarkEnd w:id="519"/>
    </w:p>
    <w:bookmarkEnd w:id="522"/>
    <w:p w14:paraId="11EDBF5E">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23" w:name="_Toc351203528"/>
      <w:r>
        <w:rPr>
          <w:rFonts w:hint="eastAsia" w:ascii="宋体" w:hAnsi="宋体" w:eastAsia="宋体" w:cs="宋体"/>
          <w:b w:val="0"/>
          <w:color w:val="auto"/>
          <w:sz w:val="24"/>
          <w:szCs w:val="24"/>
          <w:highlight w:val="none"/>
        </w:rPr>
        <w:t>4</w:t>
      </w:r>
      <w:bookmarkStart w:id="524" w:name="_Toc296346555"/>
      <w:bookmarkStart w:id="525" w:name="_Toc337558754"/>
      <w:bookmarkStart w:id="526" w:name="_Toc296503054"/>
      <w:r>
        <w:rPr>
          <w:rFonts w:hint="eastAsia" w:ascii="宋体" w:hAnsi="宋体" w:eastAsia="宋体" w:cs="宋体"/>
          <w:b w:val="0"/>
          <w:color w:val="auto"/>
          <w:sz w:val="24"/>
          <w:szCs w:val="24"/>
          <w:highlight w:val="none"/>
        </w:rPr>
        <w:t>.1监理人的一般规定</w:t>
      </w:r>
      <w:bookmarkEnd w:id="523"/>
    </w:p>
    <w:bookmarkEnd w:id="524"/>
    <w:bookmarkEnd w:id="525"/>
    <w:bookmarkEnd w:id="526"/>
    <w:p w14:paraId="173FA8A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B221D5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除专用合同条款另有约定外，监理人在施工现场的办公场所、生活场所由承包人提供，所发生的费用由发包人承担。</w:t>
      </w:r>
    </w:p>
    <w:p w14:paraId="00B3F432">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27" w:name="_Toc351203529"/>
      <w:r>
        <w:rPr>
          <w:rFonts w:hint="eastAsia" w:ascii="宋体" w:hAnsi="宋体" w:eastAsia="宋体" w:cs="宋体"/>
          <w:b w:val="0"/>
          <w:color w:val="auto"/>
          <w:sz w:val="24"/>
          <w:szCs w:val="24"/>
          <w:highlight w:val="none"/>
        </w:rPr>
        <w:t>4</w:t>
      </w:r>
      <w:bookmarkStart w:id="528" w:name="_Toc337558755"/>
      <w:r>
        <w:rPr>
          <w:rFonts w:hint="eastAsia" w:ascii="宋体" w:hAnsi="宋体" w:eastAsia="宋体" w:cs="宋体"/>
          <w:b w:val="0"/>
          <w:color w:val="auto"/>
          <w:sz w:val="24"/>
          <w:szCs w:val="24"/>
          <w:highlight w:val="none"/>
        </w:rPr>
        <w:t>.2监理人员</w:t>
      </w:r>
      <w:bookmarkEnd w:id="527"/>
    </w:p>
    <w:bookmarkEnd w:id="528"/>
    <w:p w14:paraId="556C765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68FC49B">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29" w:name="_Toc351203530"/>
      <w:r>
        <w:rPr>
          <w:rFonts w:hint="eastAsia" w:ascii="宋体" w:hAnsi="宋体" w:eastAsia="宋体" w:cs="宋体"/>
          <w:b w:val="0"/>
          <w:color w:val="auto"/>
          <w:sz w:val="24"/>
          <w:szCs w:val="24"/>
          <w:highlight w:val="none"/>
        </w:rPr>
        <w:t>4</w:t>
      </w:r>
      <w:bookmarkStart w:id="530" w:name="_Toc296346556"/>
      <w:bookmarkStart w:id="531" w:name="_Toc296503055"/>
      <w:bookmarkStart w:id="532" w:name="_Toc337558756"/>
      <w:r>
        <w:rPr>
          <w:rFonts w:hint="eastAsia" w:ascii="宋体" w:hAnsi="宋体" w:eastAsia="宋体" w:cs="宋体"/>
          <w:b w:val="0"/>
          <w:color w:val="auto"/>
          <w:sz w:val="24"/>
          <w:szCs w:val="24"/>
          <w:highlight w:val="none"/>
        </w:rPr>
        <w:t>.3</w:t>
      </w:r>
      <w:bookmarkEnd w:id="530"/>
      <w:bookmarkEnd w:id="531"/>
      <w:r>
        <w:rPr>
          <w:rFonts w:hint="eastAsia" w:ascii="宋体" w:hAnsi="宋体" w:eastAsia="宋体" w:cs="宋体"/>
          <w:b w:val="0"/>
          <w:color w:val="auto"/>
          <w:sz w:val="24"/>
          <w:szCs w:val="24"/>
          <w:highlight w:val="none"/>
        </w:rPr>
        <w:t>监理人的指</w:t>
      </w:r>
      <w:bookmarkEnd w:id="532"/>
      <w:r>
        <w:rPr>
          <w:rFonts w:hint="eastAsia" w:ascii="宋体" w:hAnsi="宋体" w:eastAsia="宋体" w:cs="宋体"/>
          <w:b w:val="0"/>
          <w:color w:val="auto"/>
          <w:sz w:val="24"/>
          <w:szCs w:val="24"/>
          <w:highlight w:val="none"/>
        </w:rPr>
        <w:t>示</w:t>
      </w:r>
      <w:bookmarkEnd w:id="529"/>
    </w:p>
    <w:p w14:paraId="30456C2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B3C468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00AFB4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6AB6A72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27C85D1E">
      <w:pPr>
        <w:pStyle w:val="6"/>
        <w:spacing w:before="120" w:after="120" w:line="360" w:lineRule="auto"/>
        <w:ind w:firstLine="480" w:firstLineChars="200"/>
        <w:rPr>
          <w:rFonts w:hint="eastAsia" w:ascii="宋体" w:hAnsi="宋体" w:eastAsia="宋体" w:cs="宋体"/>
          <w:b w:val="0"/>
          <w:color w:val="auto"/>
          <w:sz w:val="24"/>
          <w:szCs w:val="24"/>
          <w:highlight w:val="none"/>
        </w:rPr>
      </w:pPr>
      <w:bookmarkStart w:id="533" w:name="_Toc351203531"/>
      <w:r>
        <w:rPr>
          <w:rFonts w:hint="eastAsia" w:ascii="宋体" w:hAnsi="宋体" w:eastAsia="宋体" w:cs="宋体"/>
          <w:b w:val="0"/>
          <w:color w:val="auto"/>
          <w:sz w:val="24"/>
          <w:szCs w:val="24"/>
          <w:highlight w:val="none"/>
        </w:rPr>
        <w:t>4</w:t>
      </w:r>
      <w:bookmarkStart w:id="534" w:name="_Toc337558757"/>
      <w:bookmarkStart w:id="535" w:name="_Toc296503057"/>
      <w:bookmarkStart w:id="536" w:name="_Toc296346558"/>
      <w:r>
        <w:rPr>
          <w:rFonts w:hint="eastAsia" w:ascii="宋体" w:hAnsi="宋体" w:eastAsia="宋体" w:cs="宋体"/>
          <w:b w:val="0"/>
          <w:color w:val="auto"/>
          <w:sz w:val="24"/>
          <w:szCs w:val="24"/>
          <w:highlight w:val="none"/>
        </w:rPr>
        <w:t>.4 商定或确定</w:t>
      </w:r>
      <w:bookmarkEnd w:id="533"/>
    </w:p>
    <w:bookmarkEnd w:id="534"/>
    <w:bookmarkEnd w:id="535"/>
    <w:bookmarkEnd w:id="536"/>
    <w:p w14:paraId="380B3BA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合同当事人进行商定或确定时，总监理工程师应当会同合同当事人尽量通过协商达成一致，不能达成一致的，由总监理工程师按照合同约定审慎做出公正的确定。</w:t>
      </w:r>
    </w:p>
    <w:p w14:paraId="31526A9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6B6CA7A8">
      <w:pPr>
        <w:pStyle w:val="6"/>
        <w:spacing w:before="120" w:after="120" w:line="360" w:lineRule="auto"/>
        <w:rPr>
          <w:rFonts w:hint="eastAsia" w:ascii="宋体" w:hAnsi="宋体" w:eastAsia="宋体" w:cs="宋体"/>
          <w:b w:val="0"/>
          <w:color w:val="auto"/>
          <w:sz w:val="24"/>
          <w:szCs w:val="24"/>
          <w:highlight w:val="none"/>
        </w:rPr>
      </w:pPr>
      <w:bookmarkStart w:id="537" w:name="_Toc351203532"/>
      <w:r>
        <w:rPr>
          <w:rFonts w:hint="eastAsia" w:ascii="宋体" w:hAnsi="宋体" w:eastAsia="宋体" w:cs="宋体"/>
          <w:b w:val="0"/>
          <w:color w:val="auto"/>
          <w:sz w:val="24"/>
          <w:szCs w:val="24"/>
          <w:highlight w:val="none"/>
        </w:rPr>
        <w:t>5</w:t>
      </w:r>
      <w:bookmarkStart w:id="538" w:name="_Toc337558758"/>
      <w:r>
        <w:rPr>
          <w:rFonts w:hint="eastAsia" w:ascii="宋体" w:hAnsi="宋体" w:eastAsia="宋体" w:cs="宋体"/>
          <w:b w:val="0"/>
          <w:color w:val="auto"/>
          <w:sz w:val="24"/>
          <w:szCs w:val="24"/>
          <w:highlight w:val="none"/>
        </w:rPr>
        <w:t>. 工程质量</w:t>
      </w:r>
      <w:bookmarkEnd w:id="537"/>
    </w:p>
    <w:bookmarkEnd w:id="538"/>
    <w:p w14:paraId="49CD8A0F">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39" w:name="_Toc351203533"/>
      <w:r>
        <w:rPr>
          <w:rFonts w:hint="eastAsia" w:ascii="宋体" w:hAnsi="宋体" w:eastAsia="宋体" w:cs="宋体"/>
          <w:b w:val="0"/>
          <w:color w:val="auto"/>
          <w:sz w:val="24"/>
          <w:szCs w:val="24"/>
          <w:highlight w:val="none"/>
        </w:rPr>
        <w:t>5</w:t>
      </w:r>
      <w:bookmarkStart w:id="540" w:name="_Toc337558759"/>
      <w:r>
        <w:rPr>
          <w:rFonts w:hint="eastAsia" w:ascii="宋体" w:hAnsi="宋体" w:eastAsia="宋体" w:cs="宋体"/>
          <w:b w:val="0"/>
          <w:color w:val="auto"/>
          <w:sz w:val="24"/>
          <w:szCs w:val="24"/>
          <w:highlight w:val="none"/>
        </w:rPr>
        <w:t>.1质量要求</w:t>
      </w:r>
      <w:bookmarkEnd w:id="539"/>
    </w:p>
    <w:bookmarkEnd w:id="540"/>
    <w:p w14:paraId="33FB876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5.1.1 工程质量标准必须符合现行国家有关工程施工质量验收规范和标准的要求。有关工程质量的特殊标准或要求由合同当事人在专用合同条款中约定。</w:t>
      </w:r>
    </w:p>
    <w:p w14:paraId="6CC21D1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5.1.2 因发包人原因造成工程质量未达到合同约定标准的，由发包人承担由此增加的费用和（或）延误的工期，并支付承包人合理的利润。</w:t>
      </w:r>
    </w:p>
    <w:p w14:paraId="038E51E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76CAD4CE">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41" w:name="_Toc351203534"/>
      <w:r>
        <w:rPr>
          <w:rFonts w:hint="eastAsia" w:ascii="宋体" w:hAnsi="宋体" w:eastAsia="宋体" w:cs="宋体"/>
          <w:b w:val="0"/>
          <w:color w:val="auto"/>
          <w:sz w:val="24"/>
          <w:szCs w:val="24"/>
          <w:highlight w:val="none"/>
        </w:rPr>
        <w:t>5</w:t>
      </w:r>
      <w:bookmarkStart w:id="542" w:name="_Toc337558760"/>
      <w:r>
        <w:rPr>
          <w:rFonts w:hint="eastAsia" w:ascii="宋体" w:hAnsi="宋体" w:eastAsia="宋体" w:cs="宋体"/>
          <w:b w:val="0"/>
          <w:color w:val="auto"/>
          <w:sz w:val="24"/>
          <w:szCs w:val="24"/>
          <w:highlight w:val="none"/>
        </w:rPr>
        <w:t>.2质量保证措施</w:t>
      </w:r>
      <w:bookmarkEnd w:id="541"/>
    </w:p>
    <w:bookmarkEnd w:id="542"/>
    <w:p w14:paraId="02D9403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5.2.1 发包人的质量管理</w:t>
      </w:r>
    </w:p>
    <w:p w14:paraId="45AF9DB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发包人应按照法律规定及合同约定完成与工程质量有关的各项工作。</w:t>
      </w:r>
    </w:p>
    <w:p w14:paraId="40B08F0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5.2.2 承包人的质量管理</w:t>
      </w:r>
    </w:p>
    <w:p w14:paraId="746F587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7449DC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承包人应对施工人员进行质量教育和技术培训，定期考核施工人员的劳动技能，严格执行施工规范和操作规程。</w:t>
      </w:r>
    </w:p>
    <w:p w14:paraId="6B8A21D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5018DA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5.2.3 监理人的质量检查和检验</w:t>
      </w:r>
    </w:p>
    <w:p w14:paraId="2F3214A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7E012C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693E9C6">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43" w:name="_Toc351203535"/>
      <w:r>
        <w:rPr>
          <w:rFonts w:hint="eastAsia" w:ascii="宋体" w:hAnsi="宋体" w:eastAsia="宋体" w:cs="宋体"/>
          <w:b w:val="0"/>
          <w:color w:val="auto"/>
          <w:sz w:val="24"/>
          <w:szCs w:val="24"/>
          <w:highlight w:val="none"/>
        </w:rPr>
        <w:t>5</w:t>
      </w:r>
      <w:bookmarkStart w:id="544" w:name="_Toc337558761"/>
      <w:r>
        <w:rPr>
          <w:rFonts w:hint="eastAsia" w:ascii="宋体" w:hAnsi="宋体" w:eastAsia="宋体" w:cs="宋体"/>
          <w:b w:val="0"/>
          <w:color w:val="auto"/>
          <w:sz w:val="24"/>
          <w:szCs w:val="24"/>
          <w:highlight w:val="none"/>
        </w:rPr>
        <w:t>.3 隐蔽工程检查</w:t>
      </w:r>
      <w:bookmarkEnd w:id="543"/>
    </w:p>
    <w:bookmarkEnd w:id="544"/>
    <w:p w14:paraId="2CA537E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5.3.1承包人自检</w:t>
      </w:r>
    </w:p>
    <w:p w14:paraId="749D334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承包人应当对工程隐蔽部位进行自检，并经自检确认是否具备覆盖条件。</w:t>
      </w:r>
    </w:p>
    <w:p w14:paraId="078AC0C5">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5.3.2检查程序</w:t>
      </w:r>
    </w:p>
    <w:p w14:paraId="535E1E6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2E6E15E6">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3280FA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5BE80F3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5.3.3 重新检查</w:t>
      </w:r>
    </w:p>
    <w:p w14:paraId="18C13CB3">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AE14F0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5.3.4 承包人私自覆盖</w:t>
      </w:r>
    </w:p>
    <w:p w14:paraId="23F0529C">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219A6617">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45" w:name="_Toc351203536"/>
      <w:r>
        <w:rPr>
          <w:rFonts w:hint="eastAsia" w:ascii="宋体" w:hAnsi="宋体" w:eastAsia="宋体" w:cs="宋体"/>
          <w:b w:val="0"/>
          <w:color w:val="auto"/>
          <w:sz w:val="24"/>
          <w:szCs w:val="24"/>
          <w:highlight w:val="none"/>
        </w:rPr>
        <w:t>5</w:t>
      </w:r>
      <w:bookmarkStart w:id="546" w:name="_Toc337558762"/>
      <w:r>
        <w:rPr>
          <w:rFonts w:hint="eastAsia" w:ascii="宋体" w:hAnsi="宋体" w:eastAsia="宋体" w:cs="宋体"/>
          <w:b w:val="0"/>
          <w:color w:val="auto"/>
          <w:sz w:val="24"/>
          <w:szCs w:val="24"/>
          <w:highlight w:val="none"/>
        </w:rPr>
        <w:t>.4不合格工程的处理</w:t>
      </w:r>
      <w:bookmarkEnd w:id="545"/>
    </w:p>
    <w:bookmarkEnd w:id="546"/>
    <w:p w14:paraId="755A215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576D338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5.4.2 因发包人原因造成工程不合格的，由此增加的费用和（或）延误的工期由发包人承担，并支付承包人合理的利润。</w:t>
      </w:r>
    </w:p>
    <w:p w14:paraId="0CDBA6D1">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47" w:name="_Toc351203537"/>
      <w:r>
        <w:rPr>
          <w:rFonts w:hint="eastAsia" w:ascii="宋体" w:hAnsi="宋体" w:eastAsia="宋体" w:cs="宋体"/>
          <w:b w:val="0"/>
          <w:color w:val="auto"/>
          <w:sz w:val="24"/>
          <w:szCs w:val="24"/>
          <w:highlight w:val="none"/>
        </w:rPr>
        <w:t>5.5 质量争议检测</w:t>
      </w:r>
      <w:bookmarkEnd w:id="547"/>
    </w:p>
    <w:p w14:paraId="53AE192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合同当事人对工程质量有争议的，由双方协商确定的工程质量检测机构鉴定，由此产生的费用及因此造成的损失，由责任方承担。</w:t>
      </w:r>
    </w:p>
    <w:p w14:paraId="75276D5E">
      <w:pPr>
        <w:autoSpaceDE w:val="0"/>
        <w:autoSpaceDN w:val="0"/>
        <w:adjustRightInd w:val="0"/>
        <w:spacing w:line="5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合同当事人均有责任的，由双方根据其责任分别承担。合同当事人无法达成一致的，按照第4.4款〔商定或确定〕执行。</w:t>
      </w:r>
    </w:p>
    <w:p w14:paraId="24FFAE01">
      <w:pPr>
        <w:pStyle w:val="6"/>
        <w:spacing w:before="120" w:after="120" w:line="360" w:lineRule="auto"/>
        <w:rPr>
          <w:rFonts w:hint="eastAsia" w:ascii="宋体" w:hAnsi="宋体" w:eastAsia="宋体" w:cs="宋体"/>
          <w:b w:val="0"/>
          <w:color w:val="auto"/>
          <w:sz w:val="24"/>
          <w:szCs w:val="24"/>
          <w:highlight w:val="none"/>
        </w:rPr>
      </w:pPr>
      <w:bookmarkStart w:id="548" w:name="_Toc351203538"/>
      <w:r>
        <w:rPr>
          <w:rFonts w:hint="eastAsia" w:ascii="宋体" w:hAnsi="宋体" w:eastAsia="宋体" w:cs="宋体"/>
          <w:b w:val="0"/>
          <w:color w:val="auto"/>
          <w:sz w:val="24"/>
          <w:szCs w:val="24"/>
          <w:highlight w:val="none"/>
        </w:rPr>
        <w:t>6</w:t>
      </w:r>
      <w:bookmarkStart w:id="549" w:name="_Toc337558763"/>
      <w:r>
        <w:rPr>
          <w:rFonts w:hint="eastAsia" w:ascii="宋体" w:hAnsi="宋体" w:eastAsia="宋体" w:cs="宋体"/>
          <w:b w:val="0"/>
          <w:color w:val="auto"/>
          <w:sz w:val="24"/>
          <w:szCs w:val="24"/>
          <w:highlight w:val="none"/>
        </w:rPr>
        <w:t>. 安全文明施工与环境保护</w:t>
      </w:r>
      <w:bookmarkEnd w:id="548"/>
    </w:p>
    <w:bookmarkEnd w:id="549"/>
    <w:p w14:paraId="0E65A1D1">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50" w:name="_Toc351203539"/>
      <w:r>
        <w:rPr>
          <w:rFonts w:hint="eastAsia" w:ascii="宋体" w:hAnsi="宋体" w:eastAsia="宋体" w:cs="宋体"/>
          <w:b w:val="0"/>
          <w:color w:val="auto"/>
          <w:sz w:val="24"/>
          <w:szCs w:val="24"/>
          <w:highlight w:val="none"/>
        </w:rPr>
        <w:t>6</w:t>
      </w:r>
      <w:bookmarkStart w:id="551" w:name="_Toc337558764"/>
      <w:r>
        <w:rPr>
          <w:rFonts w:hint="eastAsia" w:ascii="宋体" w:hAnsi="宋体" w:eastAsia="宋体" w:cs="宋体"/>
          <w:b w:val="0"/>
          <w:color w:val="auto"/>
          <w:sz w:val="24"/>
          <w:szCs w:val="24"/>
          <w:highlight w:val="none"/>
        </w:rPr>
        <w:t>.1安全文明施工</w:t>
      </w:r>
      <w:bookmarkEnd w:id="550"/>
    </w:p>
    <w:bookmarkEnd w:id="551"/>
    <w:p w14:paraId="7B54551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6.1.1安全生产要求</w:t>
      </w:r>
    </w:p>
    <w:p w14:paraId="1493790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4B9132A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4"/>
          <w:szCs w:val="24"/>
          <w:highlight w:val="none"/>
        </w:rPr>
        <w:t>政府有关行政管理部门</w:t>
      </w:r>
      <w:r>
        <w:rPr>
          <w:rFonts w:hint="eastAsia" w:ascii="宋体" w:hAnsi="宋体" w:eastAsia="宋体" w:cs="宋体"/>
          <w:color w:val="auto"/>
          <w:sz w:val="24"/>
          <w:szCs w:val="24"/>
          <w:highlight w:val="none"/>
        </w:rPr>
        <w:t>采取应急措施。</w:t>
      </w:r>
    </w:p>
    <w:p w14:paraId="1C23B80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因安全生产需要暂停施工的，按照第7.8款〔暂停施工〕的约定执行。</w:t>
      </w:r>
    </w:p>
    <w:p w14:paraId="57870F5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安全生产保证措施</w:t>
      </w:r>
    </w:p>
    <w:p w14:paraId="6A9CC5F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承包人应当按照有关</w:t>
      </w:r>
      <w:r>
        <w:rPr>
          <w:rFonts w:hint="eastAsia" w:ascii="宋体" w:hAnsi="宋体" w:eastAsia="宋体" w:cs="宋体"/>
          <w:color w:val="auto"/>
          <w:kern w:val="0"/>
          <w:sz w:val="24"/>
          <w:szCs w:val="24"/>
          <w:highlight w:val="none"/>
        </w:rPr>
        <w:t>规定编制安全技术措施或者专项施工方案，</w:t>
      </w:r>
      <w:r>
        <w:rPr>
          <w:rFonts w:hint="eastAsia" w:ascii="宋体" w:hAnsi="宋体" w:eastAsia="宋体" w:cs="宋体"/>
          <w:color w:val="auto"/>
          <w:sz w:val="24"/>
          <w:szCs w:val="24"/>
          <w:highlight w:val="none"/>
        </w:rPr>
        <w:t>建立安全生产责任制度、治安保卫制度及安全生产教育培训制度，并</w:t>
      </w:r>
      <w:r>
        <w:rPr>
          <w:rFonts w:hint="eastAsia" w:ascii="宋体" w:hAnsi="宋体" w:eastAsia="宋体" w:cs="宋体"/>
          <w:color w:val="auto"/>
          <w:kern w:val="0"/>
          <w:sz w:val="24"/>
          <w:szCs w:val="24"/>
          <w:highlight w:val="none"/>
        </w:rPr>
        <w:t>按安全生产法律规定及合同约定履行安全职责，如实</w:t>
      </w:r>
      <w:r>
        <w:rPr>
          <w:rFonts w:hint="eastAsia" w:ascii="宋体" w:hAnsi="宋体" w:eastAsia="宋体" w:cs="宋体"/>
          <w:color w:val="auto"/>
          <w:sz w:val="24"/>
          <w:szCs w:val="24"/>
          <w:highlight w:val="none"/>
        </w:rPr>
        <w:t>编制工程安全生产的有关记录，</w:t>
      </w:r>
      <w:r>
        <w:rPr>
          <w:rFonts w:hint="eastAsia" w:ascii="宋体" w:hAnsi="宋体" w:eastAsia="宋体" w:cs="宋体"/>
          <w:color w:val="auto"/>
          <w:kern w:val="0"/>
          <w:sz w:val="24"/>
          <w:szCs w:val="24"/>
          <w:highlight w:val="none"/>
        </w:rPr>
        <w:t>接受发包人、监理人及政府安全监督部门的检查与监督。</w:t>
      </w:r>
    </w:p>
    <w:p w14:paraId="0E24AE3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6.1.3特别安全生产事项</w:t>
      </w:r>
    </w:p>
    <w:p w14:paraId="21FCB98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35E63E6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2B794E6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AD5412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需单独编制危险性较大分部分项专项工程施工方案的，及要求进行专家论证的超过一定规模的危险性较大的分部分项工程，承包人应及时编制和组织论证。</w:t>
      </w:r>
    </w:p>
    <w:p w14:paraId="2597968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治安保卫</w:t>
      </w:r>
    </w:p>
    <w:p w14:paraId="357CBC2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0E6E6E7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发包人和承包人除应协助现场治安管理机构或联防组织维护施工场地的社会治安外，还应做好包括生活区在内的各自管辖区的治安保卫工作。</w:t>
      </w:r>
    </w:p>
    <w:p w14:paraId="77BB5BD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A0E04A2">
      <w:pPr>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6.1.5 文明施工</w:t>
      </w:r>
    </w:p>
    <w:p w14:paraId="5054D59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B610C6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9188AA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安全文明施工费</w:t>
      </w:r>
    </w:p>
    <w:p w14:paraId="5FC113A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0BF4789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79840B2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1CB84D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9989D8F">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6.1.7 紧急情况处理</w:t>
      </w:r>
    </w:p>
    <w:p w14:paraId="1ABD7633">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178CF9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6.1.8 事故处理</w:t>
      </w:r>
    </w:p>
    <w:p w14:paraId="6CE5233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715E6B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6.1.9 安全生产责任</w:t>
      </w:r>
    </w:p>
    <w:p w14:paraId="2201D46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6.1.9.1 发包人的安全责任</w:t>
      </w:r>
    </w:p>
    <w:p w14:paraId="6A43661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发包人应负责赔偿以下各种情况造成的损失：</w:t>
      </w:r>
    </w:p>
    <w:p w14:paraId="69232BB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（1）工程或工程的任何部分对土地的占用所造成的第三者财产损失；</w:t>
      </w:r>
    </w:p>
    <w:p w14:paraId="47A04E4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（2）由于发包人原因在施工场地及其毗邻地带造成的第三者人身伤亡和财产损失；</w:t>
      </w:r>
    </w:p>
    <w:p w14:paraId="54820D8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（3）由于发包人原因对承包人、监理人造成的人员人身伤亡和财产损失；</w:t>
      </w:r>
    </w:p>
    <w:p w14:paraId="1609B54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（4）由于发包人原因造成的发包人自身人员的人身伤害以及财产损失。</w:t>
      </w:r>
    </w:p>
    <w:p w14:paraId="10B4BFB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6.1.9.2 承包人的安全责任</w:t>
      </w:r>
    </w:p>
    <w:p w14:paraId="26697788">
      <w:pPr>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由于承包人原因在施工场地内及其毗邻地带造成的发包人、监理人以及第三者人员伤亡和财产损失，由承包人负责赔偿。</w:t>
      </w:r>
    </w:p>
    <w:p w14:paraId="318A2E77">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52" w:name="_Toc351203540"/>
      <w:r>
        <w:rPr>
          <w:rFonts w:hint="eastAsia" w:ascii="宋体" w:hAnsi="宋体" w:eastAsia="宋体" w:cs="宋体"/>
          <w:b w:val="0"/>
          <w:color w:val="auto"/>
          <w:sz w:val="24"/>
          <w:szCs w:val="24"/>
          <w:highlight w:val="none"/>
        </w:rPr>
        <w:t>6</w:t>
      </w:r>
      <w:bookmarkStart w:id="553" w:name="_Toc337558765"/>
      <w:r>
        <w:rPr>
          <w:rFonts w:hint="eastAsia" w:ascii="宋体" w:hAnsi="宋体" w:eastAsia="宋体" w:cs="宋体"/>
          <w:b w:val="0"/>
          <w:color w:val="auto"/>
          <w:sz w:val="24"/>
          <w:szCs w:val="24"/>
          <w:highlight w:val="none"/>
        </w:rPr>
        <w:t>.2 职业健康</w:t>
      </w:r>
      <w:bookmarkEnd w:id="552"/>
    </w:p>
    <w:bookmarkEnd w:id="553"/>
    <w:p w14:paraId="43AA7AD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6.2.1 劳动保护</w:t>
      </w:r>
    </w:p>
    <w:p w14:paraId="25BB47C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42204C4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E37A8E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B432E3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6.2.2 生活条件</w:t>
      </w:r>
    </w:p>
    <w:p w14:paraId="3F000AD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499F953F">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54" w:name="_Toc351203541"/>
      <w:r>
        <w:rPr>
          <w:rFonts w:hint="eastAsia" w:ascii="宋体" w:hAnsi="宋体" w:eastAsia="宋体" w:cs="宋体"/>
          <w:b w:val="0"/>
          <w:color w:val="auto"/>
          <w:sz w:val="24"/>
          <w:szCs w:val="24"/>
          <w:highlight w:val="none"/>
        </w:rPr>
        <w:t>6</w:t>
      </w:r>
      <w:bookmarkStart w:id="555" w:name="_Toc337558766"/>
      <w:r>
        <w:rPr>
          <w:rFonts w:hint="eastAsia" w:ascii="宋体" w:hAnsi="宋体" w:eastAsia="宋体" w:cs="宋体"/>
          <w:b w:val="0"/>
          <w:color w:val="auto"/>
          <w:sz w:val="24"/>
          <w:szCs w:val="24"/>
          <w:highlight w:val="none"/>
        </w:rPr>
        <w:t>.3 环境保护</w:t>
      </w:r>
      <w:bookmarkEnd w:id="554"/>
    </w:p>
    <w:bookmarkEnd w:id="555"/>
    <w:p w14:paraId="7A17B23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436947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3C2D3944">
      <w:pPr>
        <w:pStyle w:val="6"/>
        <w:spacing w:before="120" w:after="120" w:line="360" w:lineRule="auto"/>
        <w:rPr>
          <w:rFonts w:hint="eastAsia" w:ascii="宋体" w:hAnsi="宋体" w:eastAsia="宋体" w:cs="宋体"/>
          <w:b w:val="0"/>
          <w:color w:val="auto"/>
          <w:sz w:val="24"/>
          <w:szCs w:val="24"/>
          <w:highlight w:val="none"/>
        </w:rPr>
      </w:pPr>
      <w:bookmarkStart w:id="556" w:name="_Toc351203542"/>
      <w:r>
        <w:rPr>
          <w:rFonts w:hint="eastAsia" w:ascii="宋体" w:hAnsi="宋体" w:eastAsia="宋体" w:cs="宋体"/>
          <w:b w:val="0"/>
          <w:color w:val="auto"/>
          <w:sz w:val="24"/>
          <w:szCs w:val="24"/>
          <w:highlight w:val="none"/>
        </w:rPr>
        <w:t>7</w:t>
      </w:r>
      <w:bookmarkStart w:id="557" w:name="_Toc337558767"/>
      <w:r>
        <w:rPr>
          <w:rFonts w:hint="eastAsia" w:ascii="宋体" w:hAnsi="宋体" w:eastAsia="宋体" w:cs="宋体"/>
          <w:b w:val="0"/>
          <w:color w:val="auto"/>
          <w:sz w:val="24"/>
          <w:szCs w:val="24"/>
          <w:highlight w:val="none"/>
        </w:rPr>
        <w:t>. 工期和进度</w:t>
      </w:r>
      <w:bookmarkEnd w:id="556"/>
    </w:p>
    <w:bookmarkEnd w:id="557"/>
    <w:p w14:paraId="07598DC9">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58" w:name="_Toc351203543"/>
      <w:r>
        <w:rPr>
          <w:rFonts w:hint="eastAsia" w:ascii="宋体" w:hAnsi="宋体" w:eastAsia="宋体" w:cs="宋体"/>
          <w:b w:val="0"/>
          <w:color w:val="auto"/>
          <w:sz w:val="24"/>
          <w:szCs w:val="24"/>
          <w:highlight w:val="none"/>
        </w:rPr>
        <w:t>7</w:t>
      </w:r>
      <w:bookmarkStart w:id="559" w:name="_Toc337558768"/>
      <w:bookmarkStart w:id="560" w:name="_Toc296503066"/>
      <w:bookmarkStart w:id="561" w:name="_Toc296346567"/>
      <w:r>
        <w:rPr>
          <w:rFonts w:hint="eastAsia" w:ascii="宋体" w:hAnsi="宋体" w:eastAsia="宋体" w:cs="宋体"/>
          <w:b w:val="0"/>
          <w:color w:val="auto"/>
          <w:sz w:val="24"/>
          <w:szCs w:val="24"/>
          <w:highlight w:val="none"/>
        </w:rPr>
        <w:t>.1施工组织设计</w:t>
      </w:r>
      <w:bookmarkEnd w:id="558"/>
    </w:p>
    <w:bookmarkEnd w:id="559"/>
    <w:p w14:paraId="18FF13B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7.1.1 </w:t>
      </w:r>
      <w:r>
        <w:rPr>
          <w:rFonts w:hint="eastAsia" w:ascii="宋体" w:hAnsi="宋体" w:eastAsia="宋体" w:cs="宋体"/>
          <w:color w:val="auto"/>
          <w:kern w:val="0"/>
          <w:sz w:val="24"/>
          <w:szCs w:val="24"/>
          <w:highlight w:val="none"/>
        </w:rPr>
        <w:t>施工组织设计的内容</w:t>
      </w:r>
    </w:p>
    <w:p w14:paraId="000DEF2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施工组织设计应包含以下内容：</w:t>
      </w:r>
    </w:p>
    <w:p w14:paraId="7B66D2C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（1）施工方案； </w:t>
      </w:r>
    </w:p>
    <w:p w14:paraId="29BC517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（2）施工现场平面布置图；</w:t>
      </w:r>
    </w:p>
    <w:p w14:paraId="3EECD26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（3）施工进度计划和保证措施； </w:t>
      </w:r>
    </w:p>
    <w:p w14:paraId="6939977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（4）劳动力及材料供应计划；</w:t>
      </w:r>
    </w:p>
    <w:p w14:paraId="16BD714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（5）施工机械设备的选用；</w:t>
      </w:r>
    </w:p>
    <w:p w14:paraId="642F43C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（6）质量保证体系及措施；</w:t>
      </w:r>
    </w:p>
    <w:p w14:paraId="1D7B926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（7）安全生产、文明施工措施；</w:t>
      </w:r>
    </w:p>
    <w:p w14:paraId="144CE45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（8）环境保护、成本控制措施；</w:t>
      </w:r>
    </w:p>
    <w:p w14:paraId="5A839D9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（9）合同当事人约定的其他内容。</w:t>
      </w:r>
    </w:p>
    <w:p w14:paraId="5968C6A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7EB85C2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EFA712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施工进度计划的编制和修改按照第7.2款〔施工进度计划〕执行。</w:t>
      </w:r>
    </w:p>
    <w:p w14:paraId="3877DF15">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62" w:name="_Toc351203544"/>
      <w:r>
        <w:rPr>
          <w:rFonts w:hint="eastAsia" w:ascii="宋体" w:hAnsi="宋体" w:eastAsia="宋体" w:cs="宋体"/>
          <w:b w:val="0"/>
          <w:color w:val="auto"/>
          <w:sz w:val="24"/>
          <w:szCs w:val="24"/>
          <w:highlight w:val="none"/>
        </w:rPr>
        <w:t>7</w:t>
      </w:r>
      <w:bookmarkStart w:id="563" w:name="_Toc337558769"/>
      <w:r>
        <w:rPr>
          <w:rFonts w:hint="eastAsia" w:ascii="宋体" w:hAnsi="宋体" w:eastAsia="宋体" w:cs="宋体"/>
          <w:b w:val="0"/>
          <w:color w:val="auto"/>
          <w:sz w:val="24"/>
          <w:szCs w:val="24"/>
          <w:highlight w:val="none"/>
        </w:rPr>
        <w:t>.2 施工进度计划</w:t>
      </w:r>
      <w:bookmarkEnd w:id="562"/>
    </w:p>
    <w:bookmarkEnd w:id="563"/>
    <w:p w14:paraId="0F5E89F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7.2.1 施工进度计划的编制</w:t>
      </w:r>
    </w:p>
    <w:p w14:paraId="6020CFE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8DD202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7.2.2 施工进度计划的修订</w:t>
      </w:r>
    </w:p>
    <w:p w14:paraId="33E8F29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309C28C">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64" w:name="_Toc351203545"/>
      <w:r>
        <w:rPr>
          <w:rFonts w:hint="eastAsia" w:ascii="宋体" w:hAnsi="宋体" w:eastAsia="宋体" w:cs="宋体"/>
          <w:b w:val="0"/>
          <w:color w:val="auto"/>
          <w:sz w:val="24"/>
          <w:szCs w:val="24"/>
          <w:highlight w:val="none"/>
        </w:rPr>
        <w:t>7</w:t>
      </w:r>
      <w:bookmarkStart w:id="565" w:name="_Toc337558770"/>
      <w:r>
        <w:rPr>
          <w:rFonts w:hint="eastAsia" w:ascii="宋体" w:hAnsi="宋体" w:eastAsia="宋体" w:cs="宋体"/>
          <w:b w:val="0"/>
          <w:color w:val="auto"/>
          <w:sz w:val="24"/>
          <w:szCs w:val="24"/>
          <w:highlight w:val="none"/>
        </w:rPr>
        <w:t>.3 开工</w:t>
      </w:r>
      <w:bookmarkEnd w:id="564"/>
    </w:p>
    <w:p w14:paraId="27F69C4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7.3.1 开工准备</w:t>
      </w:r>
    </w:p>
    <w:p w14:paraId="31908C6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F03E41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除专用合同条款另有约定外，合同当事人应按约定完成开工准备工作。</w:t>
      </w:r>
    </w:p>
    <w:p w14:paraId="6EB9439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7.3.2 开工通知</w:t>
      </w:r>
    </w:p>
    <w:bookmarkEnd w:id="565"/>
    <w:p w14:paraId="56FA672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6E85292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620D42D6">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66" w:name="_Toc351203546"/>
      <w:r>
        <w:rPr>
          <w:rFonts w:hint="eastAsia" w:ascii="宋体" w:hAnsi="宋体" w:eastAsia="宋体" w:cs="宋体"/>
          <w:b w:val="0"/>
          <w:color w:val="auto"/>
          <w:sz w:val="24"/>
          <w:szCs w:val="24"/>
          <w:highlight w:val="none"/>
        </w:rPr>
        <w:t>7.4测量放线</w:t>
      </w:r>
      <w:bookmarkEnd w:id="566"/>
    </w:p>
    <w:p w14:paraId="0A48676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5E36648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E1AB6F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4F7E145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施工过程中对施工现场内水准点等测量标志物的保护工作由承包人负责。</w:t>
      </w:r>
      <w:bookmarkStart w:id="567" w:name="_Toc351203547"/>
    </w:p>
    <w:p w14:paraId="7C3AF056">
      <w:pPr>
        <w:pStyle w:val="7"/>
        <w:spacing w:before="120" w:after="12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w:t>
      </w:r>
      <w:bookmarkEnd w:id="560"/>
      <w:bookmarkEnd w:id="561"/>
      <w:bookmarkStart w:id="568" w:name="_Toc337558772"/>
      <w:bookmarkStart w:id="569" w:name="_Toc296503073"/>
      <w:bookmarkStart w:id="570" w:name="_Toc296346574"/>
      <w:r>
        <w:rPr>
          <w:rFonts w:hint="eastAsia" w:ascii="宋体" w:hAnsi="宋体" w:eastAsia="宋体" w:cs="宋体"/>
          <w:b w:val="0"/>
          <w:color w:val="auto"/>
          <w:sz w:val="24"/>
          <w:szCs w:val="24"/>
          <w:highlight w:val="none"/>
        </w:rPr>
        <w:t>.5 工期延误</w:t>
      </w:r>
      <w:bookmarkEnd w:id="567"/>
    </w:p>
    <w:bookmarkEnd w:id="568"/>
    <w:bookmarkEnd w:id="569"/>
    <w:bookmarkEnd w:id="570"/>
    <w:p w14:paraId="3DFB02F3">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7.5.1 因发包人原因导致工期延误</w:t>
      </w:r>
    </w:p>
    <w:p w14:paraId="74760AA0">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在合同履行过程中，因下列情况导致工期延误和（或）费用增加的，由发包人承担由此延误的工期和（或）增加的费用，且发包人应支付承包人合理的利润： </w:t>
      </w:r>
    </w:p>
    <w:p w14:paraId="498F0630">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（1）发包人未能按合同约定提供图纸或所提供图纸不符合合同约定的；</w:t>
      </w:r>
    </w:p>
    <w:p w14:paraId="72EF1B92">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（2）发包人未能按合同约定提供施工现场、施工条件、基础资料、许可、批准等开工条件的；</w:t>
      </w:r>
    </w:p>
    <w:p w14:paraId="5ACFB2D5">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（3）发包人提供的测量基准点、基准线和水准点及其书面资料存在错误或疏漏的；</w:t>
      </w:r>
    </w:p>
    <w:p w14:paraId="090DAB4F">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（4）发包人未能在计划开工日期之日起7天内同意下达开工通知的；</w:t>
      </w:r>
    </w:p>
    <w:p w14:paraId="4F446988">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（5）发包人未能按合同约定日期支付工程预付款、进度款或竣工结算款的；</w:t>
      </w:r>
    </w:p>
    <w:p w14:paraId="0F7EF0E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（6）监理人未按合同约定发出指示、批准等文件的；</w:t>
      </w:r>
    </w:p>
    <w:p w14:paraId="524F561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（7）专用合同条款中约定的其他情形。</w:t>
      </w:r>
    </w:p>
    <w:p w14:paraId="396275E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6BD1C99">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7.5.2 因承包人原因导致工期延误</w:t>
      </w:r>
    </w:p>
    <w:p w14:paraId="25ED43A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bookmarkStart w:id="571" w:name="_Toc296503076"/>
      <w:bookmarkStart w:id="572" w:name="_Toc296346577"/>
      <w:r>
        <w:rPr>
          <w:rFonts w:hint="eastAsia" w:ascii="宋体" w:hAnsi="宋体" w:eastAsia="宋体" w:cs="宋体"/>
          <w:color w:val="auto"/>
          <w:kern w:val="0"/>
          <w:sz w:val="24"/>
          <w:szCs w:val="24"/>
          <w:highlight w:val="none"/>
        </w:rPr>
        <w:t>因</w:t>
      </w:r>
      <w:bookmarkEnd w:id="571"/>
      <w:bookmarkEnd w:id="572"/>
      <w:r>
        <w:rPr>
          <w:rFonts w:hint="eastAsia" w:ascii="宋体" w:hAnsi="宋体" w:eastAsia="宋体" w:cs="宋体"/>
          <w:color w:val="auto"/>
          <w:kern w:val="0"/>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1BECD046">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73" w:name="_Toc351203548"/>
      <w:r>
        <w:rPr>
          <w:rFonts w:hint="eastAsia" w:ascii="宋体" w:hAnsi="宋体" w:eastAsia="宋体" w:cs="宋体"/>
          <w:b w:val="0"/>
          <w:color w:val="auto"/>
          <w:sz w:val="24"/>
          <w:szCs w:val="24"/>
          <w:highlight w:val="none"/>
        </w:rPr>
        <w:t>7</w:t>
      </w:r>
      <w:bookmarkStart w:id="574" w:name="_Toc296503074"/>
      <w:bookmarkStart w:id="575" w:name="_Toc337558773"/>
      <w:bookmarkStart w:id="576" w:name="_Toc296346575"/>
      <w:bookmarkStart w:id="577" w:name="_Toc296346578"/>
      <w:bookmarkStart w:id="578" w:name="_Toc296503077"/>
      <w:r>
        <w:rPr>
          <w:rFonts w:hint="eastAsia" w:ascii="宋体" w:hAnsi="宋体" w:eastAsia="宋体" w:cs="宋体"/>
          <w:b w:val="0"/>
          <w:color w:val="auto"/>
          <w:sz w:val="24"/>
          <w:szCs w:val="24"/>
          <w:highlight w:val="none"/>
        </w:rPr>
        <w:t>.6 不利物质条件</w:t>
      </w:r>
      <w:bookmarkEnd w:id="573"/>
    </w:p>
    <w:bookmarkEnd w:id="574"/>
    <w:bookmarkEnd w:id="575"/>
    <w:bookmarkEnd w:id="576"/>
    <w:p w14:paraId="54121F9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DBDBAA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637E9B7B">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79" w:name="_Toc351203549"/>
      <w:r>
        <w:rPr>
          <w:rFonts w:hint="eastAsia" w:ascii="宋体" w:hAnsi="宋体" w:eastAsia="宋体" w:cs="宋体"/>
          <w:b w:val="0"/>
          <w:color w:val="auto"/>
          <w:sz w:val="24"/>
          <w:szCs w:val="24"/>
          <w:highlight w:val="none"/>
        </w:rPr>
        <w:t>7</w:t>
      </w:r>
      <w:bookmarkStart w:id="580" w:name="_Toc296346576"/>
      <w:bookmarkStart w:id="581" w:name="_Toc296503075"/>
      <w:bookmarkStart w:id="582" w:name="_Toc337558774"/>
      <w:r>
        <w:rPr>
          <w:rFonts w:hint="eastAsia" w:ascii="宋体" w:hAnsi="宋体" w:eastAsia="宋体" w:cs="宋体"/>
          <w:b w:val="0"/>
          <w:color w:val="auto"/>
          <w:sz w:val="24"/>
          <w:szCs w:val="24"/>
          <w:highlight w:val="none"/>
        </w:rPr>
        <w:t>.7 异常恶劣的气候条件</w:t>
      </w:r>
      <w:bookmarkEnd w:id="579"/>
    </w:p>
    <w:bookmarkEnd w:id="580"/>
    <w:bookmarkEnd w:id="581"/>
    <w:bookmarkEnd w:id="582"/>
    <w:p w14:paraId="3DD5589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E44C68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583" w:name="_Toc351203550"/>
    </w:p>
    <w:p w14:paraId="58BF1589">
      <w:pPr>
        <w:autoSpaceDE w:val="0"/>
        <w:autoSpaceDN w:val="0"/>
        <w:adjustRightInd w:val="0"/>
        <w:spacing w:line="5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bookmarkStart w:id="584" w:name="_Toc337558775"/>
      <w:r>
        <w:rPr>
          <w:rFonts w:hint="eastAsia" w:ascii="宋体" w:hAnsi="宋体" w:eastAsia="宋体" w:cs="宋体"/>
          <w:bCs/>
          <w:color w:val="auto"/>
          <w:sz w:val="24"/>
          <w:szCs w:val="24"/>
          <w:highlight w:val="none"/>
        </w:rPr>
        <w:t>.8 暂停施工</w:t>
      </w:r>
      <w:bookmarkEnd w:id="583"/>
    </w:p>
    <w:bookmarkEnd w:id="577"/>
    <w:bookmarkEnd w:id="578"/>
    <w:bookmarkEnd w:id="584"/>
    <w:p w14:paraId="6EC52CF6">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7.8.1发包人原因引起的暂停施工</w:t>
      </w:r>
    </w:p>
    <w:p w14:paraId="2281248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3AC001B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因发包人原因引起的暂停施工，发包人应承担由此增加的费用和（或）延误的工期，并支付承包人合理的利润。</w:t>
      </w:r>
    </w:p>
    <w:p w14:paraId="2D2DCE7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7.8.2 承包人原因引起的暂停施工</w:t>
      </w:r>
    </w:p>
    <w:p w14:paraId="1C9B32C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0DB631C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7.8.3 指示暂停施工</w:t>
      </w:r>
    </w:p>
    <w:p w14:paraId="5559B2D8">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监理人认为有必要时，并经发包人批准后，可向承包人作出暂停施工的指示，承包人应按监理人指示暂停施工。</w:t>
      </w:r>
    </w:p>
    <w:p w14:paraId="1E898F4B">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7.8.4 紧急情况下的暂停施工</w:t>
      </w:r>
    </w:p>
    <w:p w14:paraId="39B52DA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05CFA26">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7.8.5 暂停施工后的复工</w:t>
      </w:r>
    </w:p>
    <w:p w14:paraId="07CC518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B04BE95">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承包人无故拖延和拒绝复工的，承包人承担由此增加的费用和（或）延误的工期；因发包人原因无法按时复工的，按照第7.5.1项〔因发包人原因导致工期延误〕约定办理。</w:t>
      </w:r>
    </w:p>
    <w:p w14:paraId="6E51DB38">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7.8.6 暂停施工持续56天以上</w:t>
      </w:r>
    </w:p>
    <w:p w14:paraId="487FBFEB">
      <w:pPr>
        <w:spacing w:line="500" w:lineRule="exact"/>
        <w:ind w:firstLine="468" w:firstLineChars="1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D0DFD06">
      <w:pPr>
        <w:spacing w:line="500" w:lineRule="exact"/>
        <w:ind w:firstLine="468" w:firstLineChars="1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645C183">
      <w:pPr>
        <w:spacing w:line="500" w:lineRule="exact"/>
        <w:ind w:left="16" w:firstLine="468" w:firstLineChars="19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7.8.7 暂停施工期间的工程照管</w:t>
      </w:r>
    </w:p>
    <w:p w14:paraId="0539AD5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暂停施工期间，承包人应负责妥善照管工程并提供安全保障，由此增加的费用由责任方承担。</w:t>
      </w:r>
    </w:p>
    <w:p w14:paraId="7D28A780">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7.8.8 暂停施工的措施</w:t>
      </w:r>
    </w:p>
    <w:p w14:paraId="1D5398D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暂停施工期间，发包人和承包人均应采取必要的措施确保工程质量及安全，防止因暂停施工扩大损失。</w:t>
      </w:r>
    </w:p>
    <w:p w14:paraId="68B570C0">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85" w:name="_Toc351203551"/>
      <w:r>
        <w:rPr>
          <w:rFonts w:hint="eastAsia" w:ascii="宋体" w:hAnsi="宋体" w:eastAsia="宋体" w:cs="宋体"/>
          <w:b w:val="0"/>
          <w:color w:val="auto"/>
          <w:sz w:val="24"/>
          <w:szCs w:val="24"/>
          <w:highlight w:val="none"/>
        </w:rPr>
        <w:t>7.9提前竣工</w:t>
      </w:r>
      <w:bookmarkEnd w:id="585"/>
    </w:p>
    <w:p w14:paraId="4F804053">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528E4E66">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7.9.2 发包人要求承包人提前竣工，或承包人提出提前竣工的建议能够给发包人带来效益的，合同当事人可以在专用合同条款中约定提前竣工的奖励。</w:t>
      </w:r>
    </w:p>
    <w:p w14:paraId="1A770A34">
      <w:pPr>
        <w:pStyle w:val="6"/>
        <w:spacing w:before="120" w:after="120" w:line="360" w:lineRule="auto"/>
        <w:rPr>
          <w:rFonts w:hint="eastAsia" w:ascii="宋体" w:hAnsi="宋体" w:eastAsia="宋体" w:cs="宋体"/>
          <w:b w:val="0"/>
          <w:color w:val="auto"/>
          <w:sz w:val="24"/>
          <w:szCs w:val="24"/>
          <w:highlight w:val="none"/>
        </w:rPr>
      </w:pPr>
      <w:bookmarkStart w:id="586" w:name="_Toc351203552"/>
      <w:r>
        <w:rPr>
          <w:rFonts w:hint="eastAsia" w:ascii="宋体" w:hAnsi="宋体" w:eastAsia="宋体" w:cs="宋体"/>
          <w:b w:val="0"/>
          <w:color w:val="auto"/>
          <w:sz w:val="24"/>
          <w:szCs w:val="24"/>
          <w:highlight w:val="none"/>
        </w:rPr>
        <w:t>8</w:t>
      </w:r>
      <w:bookmarkStart w:id="587" w:name="_Toc296503058"/>
      <w:bookmarkStart w:id="588" w:name="_Toc296346559"/>
      <w:bookmarkStart w:id="589" w:name="_Toc337558776"/>
      <w:r>
        <w:rPr>
          <w:rFonts w:hint="eastAsia" w:ascii="宋体" w:hAnsi="宋体" w:eastAsia="宋体" w:cs="宋体"/>
          <w:b w:val="0"/>
          <w:color w:val="auto"/>
          <w:sz w:val="24"/>
          <w:szCs w:val="24"/>
          <w:highlight w:val="none"/>
        </w:rPr>
        <w:t>. 材料与设备</w:t>
      </w:r>
      <w:bookmarkEnd w:id="586"/>
    </w:p>
    <w:bookmarkEnd w:id="587"/>
    <w:bookmarkEnd w:id="588"/>
    <w:bookmarkEnd w:id="589"/>
    <w:p w14:paraId="5668C0FC">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90" w:name="_Toc351203553"/>
      <w:r>
        <w:rPr>
          <w:rFonts w:hint="eastAsia" w:ascii="宋体" w:hAnsi="宋体" w:eastAsia="宋体" w:cs="宋体"/>
          <w:b w:val="0"/>
          <w:color w:val="auto"/>
          <w:sz w:val="24"/>
          <w:szCs w:val="24"/>
          <w:highlight w:val="none"/>
        </w:rPr>
        <w:t>8</w:t>
      </w:r>
      <w:bookmarkStart w:id="591" w:name="_Toc296503059"/>
      <w:bookmarkStart w:id="592" w:name="_Toc296346560"/>
      <w:bookmarkStart w:id="593" w:name="_Toc337558777"/>
      <w:bookmarkStart w:id="594" w:name="_Toc468936960"/>
      <w:r>
        <w:rPr>
          <w:rFonts w:hint="eastAsia" w:ascii="宋体" w:hAnsi="宋体" w:eastAsia="宋体" w:cs="宋体"/>
          <w:b w:val="0"/>
          <w:color w:val="auto"/>
          <w:sz w:val="24"/>
          <w:szCs w:val="24"/>
          <w:highlight w:val="none"/>
        </w:rPr>
        <w:t>.1发包人供应材料与工程设备</w:t>
      </w:r>
      <w:bookmarkEnd w:id="590"/>
    </w:p>
    <w:bookmarkEnd w:id="591"/>
    <w:bookmarkEnd w:id="592"/>
    <w:bookmarkEnd w:id="593"/>
    <w:p w14:paraId="613E71D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017EA49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F81EED1">
      <w:pPr>
        <w:pStyle w:val="7"/>
        <w:spacing w:before="120" w:after="120" w:line="360" w:lineRule="auto"/>
        <w:ind w:firstLine="480" w:firstLineChars="200"/>
        <w:rPr>
          <w:rFonts w:hint="eastAsia" w:ascii="宋体" w:hAnsi="宋体" w:eastAsia="宋体" w:cs="宋体"/>
          <w:color w:val="auto"/>
          <w:sz w:val="24"/>
          <w:szCs w:val="24"/>
          <w:highlight w:val="none"/>
        </w:rPr>
      </w:pPr>
      <w:bookmarkStart w:id="595" w:name="_Toc351203554"/>
      <w:r>
        <w:rPr>
          <w:rFonts w:hint="eastAsia" w:ascii="宋体" w:hAnsi="宋体" w:eastAsia="宋体" w:cs="宋体"/>
          <w:b w:val="0"/>
          <w:color w:val="auto"/>
          <w:sz w:val="24"/>
          <w:szCs w:val="24"/>
          <w:highlight w:val="none"/>
        </w:rPr>
        <w:t>8</w:t>
      </w:r>
      <w:bookmarkStart w:id="596" w:name="_Toc296503060"/>
      <w:bookmarkStart w:id="597" w:name="_Toc296346561"/>
      <w:bookmarkStart w:id="598" w:name="_Toc337558778"/>
      <w:r>
        <w:rPr>
          <w:rFonts w:hint="eastAsia" w:ascii="宋体" w:hAnsi="宋体" w:eastAsia="宋体" w:cs="宋体"/>
          <w:b w:val="0"/>
          <w:color w:val="auto"/>
          <w:sz w:val="24"/>
          <w:szCs w:val="24"/>
          <w:highlight w:val="none"/>
        </w:rPr>
        <w:t>.2承包人采购材料与工程设备</w:t>
      </w:r>
      <w:bookmarkEnd w:id="595"/>
    </w:p>
    <w:bookmarkEnd w:id="596"/>
    <w:bookmarkEnd w:id="597"/>
    <w:bookmarkEnd w:id="598"/>
    <w:p w14:paraId="6217C1D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C0616DD">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599" w:name="_Toc351203555"/>
      <w:r>
        <w:rPr>
          <w:rFonts w:hint="eastAsia" w:ascii="宋体" w:hAnsi="宋体" w:eastAsia="宋体" w:cs="宋体"/>
          <w:b w:val="0"/>
          <w:color w:val="auto"/>
          <w:sz w:val="24"/>
          <w:szCs w:val="24"/>
          <w:highlight w:val="none"/>
        </w:rPr>
        <w:t>8</w:t>
      </w:r>
      <w:bookmarkStart w:id="600" w:name="_Toc296346562"/>
      <w:bookmarkStart w:id="601" w:name="_Toc296503061"/>
      <w:bookmarkStart w:id="602" w:name="_Toc337558779"/>
      <w:r>
        <w:rPr>
          <w:rFonts w:hint="eastAsia" w:ascii="宋体" w:hAnsi="宋体" w:eastAsia="宋体" w:cs="宋体"/>
          <w:b w:val="0"/>
          <w:color w:val="auto"/>
          <w:sz w:val="24"/>
          <w:szCs w:val="24"/>
          <w:highlight w:val="none"/>
        </w:rPr>
        <w:t>.3材料与工程设备的接收与拒收</w:t>
      </w:r>
      <w:bookmarkEnd w:id="599"/>
    </w:p>
    <w:bookmarkEnd w:id="600"/>
    <w:bookmarkEnd w:id="601"/>
    <w:bookmarkEnd w:id="602"/>
    <w:p w14:paraId="4C74F80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6C7FD1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14:paraId="0EA3650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8.3.2 承包人采购的材料和工程设备，应保证产品质量合格，承包人应在材料和工程设备到货前24小时通知监理人检验。承</w:t>
      </w:r>
      <w:bookmarkStart w:id="603" w:name="_Toc250655469"/>
      <w:r>
        <w:rPr>
          <w:rFonts w:hint="eastAsia" w:ascii="宋体" w:hAnsi="宋体" w:eastAsia="宋体" w:cs="宋体"/>
          <w:color w:val="auto"/>
          <w:kern w:val="0"/>
          <w:sz w:val="24"/>
          <w:szCs w:val="24"/>
          <w:highlight w:val="none"/>
        </w:rPr>
        <w:t>包人进行永久设备、材料的制造和生产的，应符合相关质量标准，并向监理人提交材料的样本以及有关资料，并应在使用该材料或工程设备之前获得监理人同意。</w:t>
      </w:r>
    </w:p>
    <w:bookmarkEnd w:id="603"/>
    <w:p w14:paraId="2EF0F037">
      <w:pPr>
        <w:autoSpaceDE w:val="0"/>
        <w:autoSpaceDN w:val="0"/>
        <w:adjustRightInd w:val="0"/>
        <w:spacing w:line="500" w:lineRule="exact"/>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52A48F5">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04" w:name="_Toc351203556"/>
      <w:r>
        <w:rPr>
          <w:rFonts w:hint="eastAsia" w:ascii="宋体" w:hAnsi="宋体" w:eastAsia="宋体" w:cs="宋体"/>
          <w:b w:val="0"/>
          <w:color w:val="auto"/>
          <w:sz w:val="24"/>
          <w:szCs w:val="24"/>
          <w:highlight w:val="none"/>
        </w:rPr>
        <w:t>8</w:t>
      </w:r>
      <w:bookmarkStart w:id="605" w:name="_Toc296503062"/>
      <w:bookmarkStart w:id="606" w:name="_Toc337558780"/>
      <w:bookmarkStart w:id="607" w:name="_Toc296346563"/>
      <w:r>
        <w:rPr>
          <w:rFonts w:hint="eastAsia" w:ascii="宋体" w:hAnsi="宋体" w:eastAsia="宋体" w:cs="宋体"/>
          <w:b w:val="0"/>
          <w:color w:val="auto"/>
          <w:sz w:val="24"/>
          <w:szCs w:val="24"/>
          <w:highlight w:val="none"/>
        </w:rPr>
        <w:t>.4材料与工程设备的保管与使用</w:t>
      </w:r>
      <w:bookmarkEnd w:id="604"/>
    </w:p>
    <w:bookmarkEnd w:id="605"/>
    <w:bookmarkEnd w:id="606"/>
    <w:bookmarkEnd w:id="607"/>
    <w:p w14:paraId="112A930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8.4.1 发包人供应</w:t>
      </w:r>
      <w:r>
        <w:rPr>
          <w:rFonts w:hint="eastAsia" w:ascii="宋体" w:hAnsi="宋体" w:eastAsia="宋体" w:cs="宋体"/>
          <w:color w:val="auto"/>
          <w:sz w:val="24"/>
          <w:szCs w:val="24"/>
          <w:highlight w:val="none"/>
        </w:rPr>
        <w:t>材料与</w:t>
      </w: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设备的保管与使用</w:t>
      </w:r>
    </w:p>
    <w:p w14:paraId="6CE5F4D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FC513E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发包人供应的材料和工程设备使用前，由承包人负责检验，检验费用由发包人承担，不合格的不得使用。</w:t>
      </w:r>
    </w:p>
    <w:p w14:paraId="38395FD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8.4.2 承包人采购</w:t>
      </w:r>
      <w:r>
        <w:rPr>
          <w:rFonts w:hint="eastAsia" w:ascii="宋体" w:hAnsi="宋体" w:eastAsia="宋体" w:cs="宋体"/>
          <w:color w:val="auto"/>
          <w:sz w:val="24"/>
          <w:szCs w:val="24"/>
          <w:highlight w:val="none"/>
        </w:rPr>
        <w:t>材料与</w:t>
      </w: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设备的保管与使用</w:t>
      </w:r>
    </w:p>
    <w:p w14:paraId="71CB3DB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A1E2C1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24D845AC">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08" w:name="_Toc351203557"/>
      <w:r>
        <w:rPr>
          <w:rFonts w:hint="eastAsia" w:ascii="宋体" w:hAnsi="宋体" w:eastAsia="宋体" w:cs="宋体"/>
          <w:b w:val="0"/>
          <w:color w:val="auto"/>
          <w:sz w:val="24"/>
          <w:szCs w:val="24"/>
          <w:highlight w:val="none"/>
        </w:rPr>
        <w:t>8.5禁止使用不合格的材料和工程设备</w:t>
      </w:r>
      <w:bookmarkEnd w:id="608"/>
    </w:p>
    <w:p w14:paraId="0FA498F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05A7E92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8.5.2 监理人发现承包人使用了不合格的材料和工程设备，承包人应按照监理人的指示立即改正，并禁止在工程中继续使用不合格的材料和工程设备。</w:t>
      </w:r>
    </w:p>
    <w:p w14:paraId="1A7EB55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14:paraId="35D1310D">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09" w:name="_Toc351203558"/>
      <w:r>
        <w:rPr>
          <w:rFonts w:hint="eastAsia" w:ascii="宋体" w:hAnsi="宋体" w:eastAsia="宋体" w:cs="宋体"/>
          <w:b w:val="0"/>
          <w:color w:val="auto"/>
          <w:sz w:val="24"/>
          <w:szCs w:val="24"/>
          <w:highlight w:val="none"/>
        </w:rPr>
        <w:t>8.6 样品</w:t>
      </w:r>
      <w:bookmarkEnd w:id="609"/>
    </w:p>
    <w:p w14:paraId="4182287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6A6A34C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需要承包人报送样品的材料或工程设备，样品的种类、名称、规格、数量等要求均应在专用合同条款中约定。样品的报送程序如下：</w:t>
      </w:r>
    </w:p>
    <w:p w14:paraId="219181C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848CF0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FDBF01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0FF2F1F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42538CA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8.6.2 样品的保管</w:t>
      </w:r>
    </w:p>
    <w:p w14:paraId="75A6AF6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经批准的样品应由监理人负责封存于现场，承包人应在现场为保存样品提供适当和固定的场所并保持适当和良好的存储环境条件。</w:t>
      </w:r>
    </w:p>
    <w:p w14:paraId="348711E9">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10" w:name="_Toc351203559"/>
      <w:r>
        <w:rPr>
          <w:rFonts w:hint="eastAsia" w:ascii="宋体" w:hAnsi="宋体" w:eastAsia="宋体" w:cs="宋体"/>
          <w:b w:val="0"/>
          <w:color w:val="auto"/>
          <w:sz w:val="24"/>
          <w:szCs w:val="24"/>
          <w:highlight w:val="none"/>
        </w:rPr>
        <w:t>8.7材料与工程设备的替代</w:t>
      </w:r>
      <w:bookmarkEnd w:id="610"/>
    </w:p>
    <w:p w14:paraId="5E73B57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8.7.1 出现下列情况需要使用替代材料和工程设备的，承包人应按照第8.7.2项约定的程序执行：</w:t>
      </w:r>
    </w:p>
    <w:p w14:paraId="4C7E626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（1）基准日期后生效的法律规定禁止使用的；</w:t>
      </w:r>
    </w:p>
    <w:p w14:paraId="5C5D167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（2）发包人要求使用替代品的；</w:t>
      </w:r>
    </w:p>
    <w:p w14:paraId="24E1769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（3）因其他原因必须使用替代品的。</w:t>
      </w:r>
    </w:p>
    <w:p w14:paraId="661E293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8.7.2 承包人应在使用替代材料和工程设备28天前书面通知监理人，并附下列文件：</w:t>
      </w:r>
    </w:p>
    <w:p w14:paraId="367CE33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（1）被替代的材料和工程设备的名称、数量、规格、型号、品牌、性能、价格及其他相关资料；</w:t>
      </w:r>
    </w:p>
    <w:p w14:paraId="34CE293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（2）替代品的名称、数量、规格、型号、品牌、性能、价格及其他相关资料；</w:t>
      </w:r>
    </w:p>
    <w:p w14:paraId="29456A7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（3）替代品与被替代产品之间的差异以及使用替代品可能对工程产生的影响；</w:t>
      </w:r>
    </w:p>
    <w:p w14:paraId="66D8729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（4）替代品与被替代产品的价格差异；</w:t>
      </w:r>
    </w:p>
    <w:p w14:paraId="7E12213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（5）使用替代品的理由和原因说明；</w:t>
      </w:r>
    </w:p>
    <w:p w14:paraId="4F0E730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（6）监理人要求的其他文件。</w:t>
      </w:r>
    </w:p>
    <w:p w14:paraId="3A01DDE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监理人应在收到通知后14天内向承包人发出经发包人签认的书面指示；监理人逾期发出书面指示的，视为发包人和监理人同意使用替代品。</w:t>
      </w:r>
    </w:p>
    <w:p w14:paraId="336A752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1E1E36D5">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11" w:name="_Toc351203560"/>
      <w:r>
        <w:rPr>
          <w:rFonts w:hint="eastAsia" w:ascii="宋体" w:hAnsi="宋体" w:eastAsia="宋体" w:cs="宋体"/>
          <w:b w:val="0"/>
          <w:color w:val="auto"/>
          <w:sz w:val="24"/>
          <w:szCs w:val="24"/>
          <w:highlight w:val="none"/>
        </w:rPr>
        <w:t>8.8施工设备和临时设施</w:t>
      </w:r>
      <w:bookmarkEnd w:id="611"/>
    </w:p>
    <w:p w14:paraId="1394AE9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8.8.1 承包人提供的施工设备和临时设施</w:t>
      </w:r>
    </w:p>
    <w:p w14:paraId="506A7AE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ACDA51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除专用合同条款另有约定外，承包人应自行承担修建临时设施的费用，需要临时占地的，应由发包人办理申请手续并承担相应费用。</w:t>
      </w:r>
    </w:p>
    <w:p w14:paraId="605B842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8.8.2发包人提供的施工设备和临时设施</w:t>
      </w:r>
    </w:p>
    <w:p w14:paraId="5898DEB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发包人提供的施工设备或临时设施在专用合同条款中约定。</w:t>
      </w:r>
    </w:p>
    <w:p w14:paraId="16C933F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8.8.3要求承包人增加或更换施工设备</w:t>
      </w:r>
    </w:p>
    <w:p w14:paraId="5AAB8E1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342C723D">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12" w:name="_Toc351203561"/>
      <w:r>
        <w:rPr>
          <w:rFonts w:hint="eastAsia" w:ascii="宋体" w:hAnsi="宋体" w:eastAsia="宋体" w:cs="宋体"/>
          <w:b w:val="0"/>
          <w:color w:val="auto"/>
          <w:sz w:val="24"/>
          <w:szCs w:val="24"/>
          <w:highlight w:val="none"/>
        </w:rPr>
        <w:t>8</w:t>
      </w:r>
      <w:bookmarkStart w:id="613" w:name="_Toc296346564"/>
      <w:bookmarkStart w:id="614" w:name="_Toc337558781"/>
      <w:bookmarkStart w:id="615" w:name="_Toc296503063"/>
      <w:r>
        <w:rPr>
          <w:rFonts w:hint="eastAsia" w:ascii="宋体" w:hAnsi="宋体" w:eastAsia="宋体" w:cs="宋体"/>
          <w:b w:val="0"/>
          <w:color w:val="auto"/>
          <w:sz w:val="24"/>
          <w:szCs w:val="24"/>
          <w:highlight w:val="none"/>
        </w:rPr>
        <w:t>.9材料与设备专用</w:t>
      </w:r>
      <w:bookmarkEnd w:id="612"/>
      <w:r>
        <w:rPr>
          <w:rFonts w:hint="eastAsia" w:ascii="宋体" w:hAnsi="宋体" w:eastAsia="宋体" w:cs="宋体"/>
          <w:b w:val="0"/>
          <w:color w:val="auto"/>
          <w:sz w:val="24"/>
          <w:szCs w:val="24"/>
          <w:highlight w:val="none"/>
        </w:rPr>
        <w:t>要求</w:t>
      </w:r>
    </w:p>
    <w:bookmarkEnd w:id="613"/>
    <w:bookmarkEnd w:id="614"/>
    <w:bookmarkEnd w:id="615"/>
    <w:p w14:paraId="25CBF122">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594"/>
      <w:r>
        <w:rPr>
          <w:rFonts w:hint="eastAsia" w:ascii="宋体" w:hAnsi="宋体" w:eastAsia="宋体" w:cs="宋体"/>
          <w:color w:val="auto"/>
          <w:kern w:val="0"/>
          <w:sz w:val="24"/>
          <w:szCs w:val="24"/>
          <w:highlight w:val="none"/>
        </w:rPr>
        <w:t>经发包人批准，承包人可以根据施工进度计划撤走闲置的施工设备和其他物品。</w:t>
      </w:r>
    </w:p>
    <w:p w14:paraId="5097F0A6">
      <w:pPr>
        <w:pStyle w:val="6"/>
        <w:spacing w:before="120" w:after="120" w:line="360" w:lineRule="auto"/>
        <w:rPr>
          <w:rFonts w:hint="eastAsia" w:ascii="宋体" w:hAnsi="宋体" w:eastAsia="宋体" w:cs="宋体"/>
          <w:b w:val="0"/>
          <w:color w:val="auto"/>
          <w:sz w:val="24"/>
          <w:szCs w:val="24"/>
          <w:highlight w:val="none"/>
        </w:rPr>
      </w:pPr>
      <w:bookmarkStart w:id="616" w:name="_Toc351203562"/>
      <w:r>
        <w:rPr>
          <w:rFonts w:hint="eastAsia" w:ascii="宋体" w:hAnsi="宋体" w:eastAsia="宋体" w:cs="宋体"/>
          <w:b w:val="0"/>
          <w:color w:val="auto"/>
          <w:sz w:val="24"/>
          <w:szCs w:val="24"/>
          <w:highlight w:val="none"/>
        </w:rPr>
        <w:t>9</w:t>
      </w:r>
      <w:bookmarkStart w:id="617" w:name="_Toc337558782"/>
      <w:bookmarkStart w:id="618" w:name="_Toc296503083"/>
      <w:bookmarkStart w:id="619" w:name="_Toc296346584"/>
      <w:r>
        <w:rPr>
          <w:rFonts w:hint="eastAsia" w:ascii="宋体" w:hAnsi="宋体" w:eastAsia="宋体" w:cs="宋体"/>
          <w:b w:val="0"/>
          <w:color w:val="auto"/>
          <w:sz w:val="24"/>
          <w:szCs w:val="24"/>
          <w:highlight w:val="none"/>
        </w:rPr>
        <w:t>. 试验与检验</w:t>
      </w:r>
      <w:bookmarkEnd w:id="616"/>
    </w:p>
    <w:bookmarkEnd w:id="617"/>
    <w:p w14:paraId="09489C55">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20" w:name="_Toc351203563"/>
      <w:r>
        <w:rPr>
          <w:rFonts w:hint="eastAsia" w:ascii="宋体" w:hAnsi="宋体" w:eastAsia="宋体" w:cs="宋体"/>
          <w:b w:val="0"/>
          <w:color w:val="auto"/>
          <w:sz w:val="24"/>
          <w:szCs w:val="24"/>
          <w:highlight w:val="none"/>
        </w:rPr>
        <w:t>9</w:t>
      </w:r>
      <w:bookmarkStart w:id="621" w:name="_Toc337558783"/>
      <w:r>
        <w:rPr>
          <w:rFonts w:hint="eastAsia" w:ascii="宋体" w:hAnsi="宋体" w:eastAsia="宋体" w:cs="宋体"/>
          <w:b w:val="0"/>
          <w:color w:val="auto"/>
          <w:sz w:val="24"/>
          <w:szCs w:val="24"/>
          <w:highlight w:val="none"/>
        </w:rPr>
        <w:t>.1试验设备与试验人员</w:t>
      </w:r>
      <w:bookmarkEnd w:id="620"/>
    </w:p>
    <w:bookmarkEnd w:id="621"/>
    <w:p w14:paraId="54E4075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7ECDF9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9.1.2 承包人应按专用合同条款的约定提供试验设备、取样装置、试验场所和试验条件，并向监理人提交相应进场计划表。</w:t>
      </w:r>
    </w:p>
    <w:p w14:paraId="08363C23">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承包人配置的试验设备要符合相应试验规程的要求并经过具有资质的检测单位检测，且在正式使用该试验设备前，需要经过监理人与承包人共同校定。</w:t>
      </w:r>
    </w:p>
    <w:p w14:paraId="24CA5D0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4D1F55D9">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22" w:name="_Toc351203564"/>
      <w:r>
        <w:rPr>
          <w:rFonts w:hint="eastAsia" w:ascii="宋体" w:hAnsi="宋体" w:eastAsia="宋体" w:cs="宋体"/>
          <w:b w:val="0"/>
          <w:color w:val="auto"/>
          <w:sz w:val="24"/>
          <w:szCs w:val="24"/>
          <w:highlight w:val="none"/>
        </w:rPr>
        <w:t>9</w:t>
      </w:r>
      <w:bookmarkStart w:id="623" w:name="_Toc337558784"/>
      <w:r>
        <w:rPr>
          <w:rFonts w:hint="eastAsia" w:ascii="宋体" w:hAnsi="宋体" w:eastAsia="宋体" w:cs="宋体"/>
          <w:b w:val="0"/>
          <w:color w:val="auto"/>
          <w:sz w:val="24"/>
          <w:szCs w:val="24"/>
          <w:highlight w:val="none"/>
        </w:rPr>
        <w:t>.2取样</w:t>
      </w:r>
      <w:bookmarkEnd w:id="622"/>
    </w:p>
    <w:bookmarkEnd w:id="623"/>
    <w:p w14:paraId="4365CDA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试验属于自检性质的，承包人可以单独取样。试验属于监理人抽检性质的，可由监理人取样，也可由承包人的试验人员在监理人的监督下取样。</w:t>
      </w:r>
    </w:p>
    <w:p w14:paraId="150B65BE">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24" w:name="_Toc351203565"/>
      <w:r>
        <w:rPr>
          <w:rFonts w:hint="eastAsia" w:ascii="宋体" w:hAnsi="宋体" w:eastAsia="宋体" w:cs="宋体"/>
          <w:b w:val="0"/>
          <w:color w:val="auto"/>
          <w:sz w:val="24"/>
          <w:szCs w:val="24"/>
          <w:highlight w:val="none"/>
        </w:rPr>
        <w:t>9</w:t>
      </w:r>
      <w:bookmarkStart w:id="625" w:name="_Toc337558785"/>
      <w:r>
        <w:rPr>
          <w:rFonts w:hint="eastAsia" w:ascii="宋体" w:hAnsi="宋体" w:eastAsia="宋体" w:cs="宋体"/>
          <w:b w:val="0"/>
          <w:color w:val="auto"/>
          <w:sz w:val="24"/>
          <w:szCs w:val="24"/>
          <w:highlight w:val="none"/>
        </w:rPr>
        <w:t>.3材料、工程设备和工程的试验和检验</w:t>
      </w:r>
      <w:bookmarkEnd w:id="624"/>
    </w:p>
    <w:bookmarkEnd w:id="625"/>
    <w:p w14:paraId="7FB9A202">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5452BE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875FF3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24827FB">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26" w:name="_Toc351203566"/>
      <w:r>
        <w:rPr>
          <w:rFonts w:hint="eastAsia" w:ascii="宋体" w:hAnsi="宋体" w:eastAsia="宋体" w:cs="宋体"/>
          <w:b w:val="0"/>
          <w:color w:val="auto"/>
          <w:sz w:val="24"/>
          <w:szCs w:val="24"/>
          <w:highlight w:val="none"/>
        </w:rPr>
        <w:t>9</w:t>
      </w:r>
      <w:bookmarkStart w:id="627" w:name="_Toc337558786"/>
      <w:r>
        <w:rPr>
          <w:rFonts w:hint="eastAsia" w:ascii="宋体" w:hAnsi="宋体" w:eastAsia="宋体" w:cs="宋体"/>
          <w:b w:val="0"/>
          <w:color w:val="auto"/>
          <w:sz w:val="24"/>
          <w:szCs w:val="24"/>
          <w:highlight w:val="none"/>
        </w:rPr>
        <w:t>.4现场工艺试验</w:t>
      </w:r>
      <w:bookmarkEnd w:id="626"/>
    </w:p>
    <w:bookmarkEnd w:id="627"/>
    <w:p w14:paraId="4EFC016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49E3F3A1">
      <w:pPr>
        <w:pStyle w:val="6"/>
        <w:spacing w:before="120" w:after="120" w:line="360" w:lineRule="auto"/>
        <w:rPr>
          <w:rFonts w:hint="eastAsia" w:ascii="宋体" w:hAnsi="宋体" w:eastAsia="宋体" w:cs="宋体"/>
          <w:b w:val="0"/>
          <w:color w:val="auto"/>
          <w:sz w:val="24"/>
          <w:szCs w:val="24"/>
          <w:highlight w:val="none"/>
        </w:rPr>
      </w:pPr>
      <w:bookmarkStart w:id="628" w:name="_Toc351203567"/>
      <w:r>
        <w:rPr>
          <w:rFonts w:hint="eastAsia" w:ascii="宋体" w:hAnsi="宋体" w:eastAsia="宋体" w:cs="宋体"/>
          <w:b w:val="0"/>
          <w:color w:val="auto"/>
          <w:sz w:val="24"/>
          <w:szCs w:val="24"/>
          <w:highlight w:val="none"/>
        </w:rPr>
        <w:t>1</w:t>
      </w:r>
      <w:bookmarkStart w:id="629" w:name="_Toc337558787"/>
      <w:r>
        <w:rPr>
          <w:rFonts w:hint="eastAsia" w:ascii="宋体" w:hAnsi="宋体" w:eastAsia="宋体" w:cs="宋体"/>
          <w:b w:val="0"/>
          <w:color w:val="auto"/>
          <w:sz w:val="24"/>
          <w:szCs w:val="24"/>
          <w:highlight w:val="none"/>
        </w:rPr>
        <w:t>0. 变更</w:t>
      </w:r>
      <w:bookmarkEnd w:id="618"/>
      <w:bookmarkEnd w:id="619"/>
      <w:bookmarkEnd w:id="628"/>
    </w:p>
    <w:bookmarkEnd w:id="629"/>
    <w:p w14:paraId="228A770D">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30" w:name="_Toc351203568"/>
      <w:r>
        <w:rPr>
          <w:rFonts w:hint="eastAsia" w:ascii="宋体" w:hAnsi="宋体" w:eastAsia="宋体" w:cs="宋体"/>
          <w:b w:val="0"/>
          <w:color w:val="auto"/>
          <w:sz w:val="24"/>
          <w:szCs w:val="24"/>
          <w:highlight w:val="none"/>
        </w:rPr>
        <w:t>1</w:t>
      </w:r>
      <w:bookmarkStart w:id="631" w:name="_Toc296346585"/>
      <w:bookmarkStart w:id="632" w:name="_Toc296503084"/>
      <w:bookmarkStart w:id="633" w:name="_Toc337558788"/>
      <w:r>
        <w:rPr>
          <w:rFonts w:hint="eastAsia" w:ascii="宋体" w:hAnsi="宋体" w:eastAsia="宋体" w:cs="宋体"/>
          <w:b w:val="0"/>
          <w:color w:val="auto"/>
          <w:sz w:val="24"/>
          <w:szCs w:val="24"/>
          <w:highlight w:val="none"/>
        </w:rPr>
        <w:t>0.1变更的范围</w:t>
      </w:r>
      <w:bookmarkEnd w:id="630"/>
    </w:p>
    <w:bookmarkEnd w:id="631"/>
    <w:bookmarkEnd w:id="632"/>
    <w:bookmarkEnd w:id="633"/>
    <w:p w14:paraId="73DF33F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除专用合同条款另有约定外，合同履行过程中发生以下情形的，应按照本条约定进行变更：</w:t>
      </w:r>
    </w:p>
    <w:p w14:paraId="65F3EF7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（1）增加或减少合同中任何工作，或追加额外的工作；</w:t>
      </w:r>
    </w:p>
    <w:p w14:paraId="638D9A7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（2）取消合同中任何工作，但转由他人实施的工作除外；</w:t>
      </w:r>
    </w:p>
    <w:p w14:paraId="628D599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（3）改变合同中任何工作的质量标准或其他特性；</w:t>
      </w:r>
    </w:p>
    <w:p w14:paraId="326BFA8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（4）改变工程的基线、标高、位置和尺寸；</w:t>
      </w:r>
    </w:p>
    <w:p w14:paraId="11EC4B8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（5）改变工程的时间安排或实施顺序。</w:t>
      </w:r>
    </w:p>
    <w:p w14:paraId="7BEFC169">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34" w:name="_Toc351203569"/>
      <w:r>
        <w:rPr>
          <w:rFonts w:hint="eastAsia" w:ascii="宋体" w:hAnsi="宋体" w:eastAsia="宋体" w:cs="宋体"/>
          <w:b w:val="0"/>
          <w:color w:val="auto"/>
          <w:sz w:val="24"/>
          <w:szCs w:val="24"/>
          <w:highlight w:val="none"/>
        </w:rPr>
        <w:t>1</w:t>
      </w:r>
      <w:bookmarkStart w:id="635" w:name="_Toc296503085"/>
      <w:bookmarkStart w:id="636" w:name="_Toc337558789"/>
      <w:bookmarkStart w:id="637" w:name="_Toc296346586"/>
      <w:r>
        <w:rPr>
          <w:rFonts w:hint="eastAsia" w:ascii="宋体" w:hAnsi="宋体" w:eastAsia="宋体" w:cs="宋体"/>
          <w:b w:val="0"/>
          <w:color w:val="auto"/>
          <w:sz w:val="24"/>
          <w:szCs w:val="24"/>
          <w:highlight w:val="none"/>
        </w:rPr>
        <w:t>0.2变更权</w:t>
      </w:r>
      <w:bookmarkEnd w:id="634"/>
    </w:p>
    <w:bookmarkEnd w:id="635"/>
    <w:bookmarkEnd w:id="636"/>
    <w:bookmarkEnd w:id="637"/>
    <w:p w14:paraId="166EAEA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E0941C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涉及设计变更的，应由设计人提供变更后的图纸和说明。如变更超过原设计标准或批准的建设规模时，发包人应及时办理规划、设计变更等审批手续。</w:t>
      </w:r>
    </w:p>
    <w:p w14:paraId="2890BF3E">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38" w:name="_Toc351203570"/>
      <w:r>
        <w:rPr>
          <w:rFonts w:hint="eastAsia" w:ascii="宋体" w:hAnsi="宋体" w:eastAsia="宋体" w:cs="宋体"/>
          <w:b w:val="0"/>
          <w:color w:val="auto"/>
          <w:sz w:val="24"/>
          <w:szCs w:val="24"/>
          <w:highlight w:val="none"/>
        </w:rPr>
        <w:t>1</w:t>
      </w:r>
      <w:bookmarkStart w:id="639" w:name="_Toc296346587"/>
      <w:bookmarkStart w:id="640" w:name="_Toc337558790"/>
      <w:bookmarkStart w:id="641" w:name="_Toc296503086"/>
      <w:r>
        <w:rPr>
          <w:rFonts w:hint="eastAsia" w:ascii="宋体" w:hAnsi="宋体" w:eastAsia="宋体" w:cs="宋体"/>
          <w:b w:val="0"/>
          <w:color w:val="auto"/>
          <w:sz w:val="24"/>
          <w:szCs w:val="24"/>
          <w:highlight w:val="none"/>
        </w:rPr>
        <w:t>0.3变更程序</w:t>
      </w:r>
      <w:bookmarkEnd w:id="638"/>
    </w:p>
    <w:bookmarkEnd w:id="639"/>
    <w:bookmarkEnd w:id="640"/>
    <w:bookmarkEnd w:id="641"/>
    <w:p w14:paraId="031FD3F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kern w:val="0"/>
          <w:sz w:val="24"/>
          <w:szCs w:val="24"/>
          <w:highlight w:val="none"/>
        </w:rPr>
        <w:t>.3.1 发包人提出变更</w:t>
      </w:r>
    </w:p>
    <w:p w14:paraId="049BA71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发包人提出变更的，应通过监理人向承包人发出变更指示，变更指示应说明计划变更的工程范围和变更的内容。</w:t>
      </w:r>
    </w:p>
    <w:p w14:paraId="2C8C704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kern w:val="0"/>
          <w:sz w:val="24"/>
          <w:szCs w:val="24"/>
          <w:highlight w:val="none"/>
        </w:rPr>
        <w:t>.3.2 监理人提出变更建议</w:t>
      </w:r>
    </w:p>
    <w:p w14:paraId="7953349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8640A8E">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10.3.3 变更执行</w:t>
      </w:r>
    </w:p>
    <w:p w14:paraId="2CB690F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E532BBA">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42" w:name="_Toc351203571"/>
      <w:r>
        <w:rPr>
          <w:rFonts w:hint="eastAsia" w:ascii="宋体" w:hAnsi="宋体" w:eastAsia="宋体" w:cs="宋体"/>
          <w:b w:val="0"/>
          <w:color w:val="auto"/>
          <w:sz w:val="24"/>
          <w:szCs w:val="24"/>
          <w:highlight w:val="none"/>
        </w:rPr>
        <w:t>1</w:t>
      </w:r>
      <w:bookmarkStart w:id="643" w:name="_Toc296346588"/>
      <w:bookmarkStart w:id="644" w:name="_Toc337558791"/>
      <w:bookmarkStart w:id="645" w:name="_Toc296503087"/>
      <w:r>
        <w:rPr>
          <w:rFonts w:hint="eastAsia" w:ascii="宋体" w:hAnsi="宋体" w:eastAsia="宋体" w:cs="宋体"/>
          <w:b w:val="0"/>
          <w:color w:val="auto"/>
          <w:sz w:val="24"/>
          <w:szCs w:val="24"/>
          <w:highlight w:val="none"/>
        </w:rPr>
        <w:t>0.4变更估价</w:t>
      </w:r>
      <w:bookmarkEnd w:id="642"/>
    </w:p>
    <w:bookmarkEnd w:id="643"/>
    <w:bookmarkEnd w:id="644"/>
    <w:bookmarkEnd w:id="645"/>
    <w:p w14:paraId="05CD17E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10.4.1 变更估价原则</w:t>
      </w:r>
    </w:p>
    <w:p w14:paraId="31FF8B0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除专用合同条款另有约定外，变更估价按照本款约定处理：</w:t>
      </w:r>
    </w:p>
    <w:p w14:paraId="65E5791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（1）已标价工程量清单或预算书有相同项目的，按照相同项目单价认定；</w:t>
      </w:r>
    </w:p>
    <w:p w14:paraId="0DFEFB7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（2）已标价工程量清单或预算书中无相同项目，但有类似项目的，参照类似项目的单价认定；</w:t>
      </w:r>
    </w:p>
    <w:p w14:paraId="00D3DC0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F0DE52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10.4.2 变更估价程序</w:t>
      </w:r>
    </w:p>
    <w:p w14:paraId="0392CFD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163D709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因变更引起的价格调整应计入最近一期的进度款中支付。</w:t>
      </w:r>
    </w:p>
    <w:p w14:paraId="2026711F">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46" w:name="_Toc351203572"/>
      <w:r>
        <w:rPr>
          <w:rFonts w:hint="eastAsia" w:ascii="宋体" w:hAnsi="宋体" w:eastAsia="宋体" w:cs="宋体"/>
          <w:b w:val="0"/>
          <w:color w:val="auto"/>
          <w:sz w:val="24"/>
          <w:szCs w:val="24"/>
          <w:highlight w:val="none"/>
        </w:rPr>
        <w:t>1</w:t>
      </w:r>
      <w:bookmarkStart w:id="647" w:name="_Toc337558792"/>
      <w:bookmarkStart w:id="648" w:name="_Toc296346595"/>
      <w:bookmarkStart w:id="649" w:name="_Toc296503094"/>
      <w:r>
        <w:rPr>
          <w:rFonts w:hint="eastAsia" w:ascii="宋体" w:hAnsi="宋体" w:eastAsia="宋体" w:cs="宋体"/>
          <w:b w:val="0"/>
          <w:color w:val="auto"/>
          <w:sz w:val="24"/>
          <w:szCs w:val="24"/>
          <w:highlight w:val="none"/>
        </w:rPr>
        <w:t>0.5承包人的合理化建议</w:t>
      </w:r>
      <w:bookmarkEnd w:id="646"/>
    </w:p>
    <w:bookmarkEnd w:id="647"/>
    <w:bookmarkEnd w:id="648"/>
    <w:bookmarkEnd w:id="649"/>
    <w:p w14:paraId="6E3C114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承包人提出合理化建议的，应向监理人提交合理化建议说明，说明建议的内容和理由，以及实施该建议对合同价格和工期的影响。</w:t>
      </w:r>
    </w:p>
    <w:p w14:paraId="506CA63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5E3E335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合理化建议降低了合同价格或者提高了工程经济效益的，发包人可对承包人给予奖励，奖励的方法和金额在专用合同条款中约定。</w:t>
      </w:r>
    </w:p>
    <w:p w14:paraId="716B90F3">
      <w:pPr>
        <w:pStyle w:val="7"/>
        <w:spacing w:before="120" w:after="120" w:line="360" w:lineRule="auto"/>
        <w:ind w:firstLine="480" w:firstLineChars="200"/>
        <w:rPr>
          <w:rFonts w:hint="eastAsia" w:ascii="宋体" w:hAnsi="宋体" w:eastAsia="宋体" w:cs="宋体"/>
          <w:color w:val="auto"/>
          <w:sz w:val="24"/>
          <w:szCs w:val="24"/>
          <w:highlight w:val="none"/>
        </w:rPr>
      </w:pPr>
      <w:bookmarkStart w:id="650" w:name="_Toc351203573"/>
      <w:r>
        <w:rPr>
          <w:rFonts w:hint="eastAsia" w:ascii="宋体" w:hAnsi="宋体" w:eastAsia="宋体" w:cs="宋体"/>
          <w:b w:val="0"/>
          <w:color w:val="auto"/>
          <w:sz w:val="24"/>
          <w:szCs w:val="24"/>
          <w:highlight w:val="none"/>
        </w:rPr>
        <w:t>1</w:t>
      </w:r>
      <w:bookmarkStart w:id="651" w:name="_Toc337558793"/>
      <w:r>
        <w:rPr>
          <w:rFonts w:hint="eastAsia" w:ascii="宋体" w:hAnsi="宋体" w:eastAsia="宋体" w:cs="宋体"/>
          <w:b w:val="0"/>
          <w:color w:val="auto"/>
          <w:sz w:val="24"/>
          <w:szCs w:val="24"/>
          <w:highlight w:val="none"/>
        </w:rPr>
        <w:t>0.6变更引起的工期调整</w:t>
      </w:r>
      <w:bookmarkEnd w:id="650"/>
      <w:r>
        <w:rPr>
          <w:rFonts w:hint="eastAsia" w:ascii="宋体" w:hAnsi="宋体" w:eastAsia="宋体" w:cs="宋体"/>
          <w:b w:val="0"/>
          <w:color w:val="auto"/>
          <w:sz w:val="24"/>
          <w:szCs w:val="24"/>
          <w:highlight w:val="none"/>
        </w:rPr>
        <w:t xml:space="preserve"> </w:t>
      </w:r>
      <w:bookmarkEnd w:id="651"/>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7AC4EFB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因变更引起工期变化的，合同当事人均可要求调整合同工期，由合同当事人按照第4.4款〔商定或确定〕并参考工程所在地的工期定额标准确定增减工期天数。</w:t>
      </w:r>
    </w:p>
    <w:p w14:paraId="481174C0">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52" w:name="_Toc351203574"/>
      <w:r>
        <w:rPr>
          <w:rFonts w:hint="eastAsia" w:ascii="宋体" w:hAnsi="宋体" w:eastAsia="宋体" w:cs="宋体"/>
          <w:b w:val="0"/>
          <w:color w:val="auto"/>
          <w:sz w:val="24"/>
          <w:szCs w:val="24"/>
          <w:highlight w:val="none"/>
        </w:rPr>
        <w:t>10.7暂估价</w:t>
      </w:r>
      <w:bookmarkEnd w:id="652"/>
    </w:p>
    <w:p w14:paraId="662F820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暂估价专业分包工程、服务、材料和工程设备的明细由合同当事人在专用合同条款中约定。</w:t>
      </w:r>
    </w:p>
    <w:p w14:paraId="46775535">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10.7.1</w:t>
      </w:r>
      <w:r>
        <w:rPr>
          <w:rFonts w:hint="eastAsia" w:ascii="宋体" w:hAnsi="宋体" w:eastAsia="宋体" w:cs="宋体"/>
          <w:color w:val="auto"/>
          <w:kern w:val="0"/>
          <w:sz w:val="24"/>
          <w:szCs w:val="24"/>
          <w:highlight w:val="none"/>
        </w:rPr>
        <w:t xml:space="preserve"> 依法必须招标的暂估价项目</w:t>
      </w:r>
    </w:p>
    <w:p w14:paraId="1A70EC9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对于依法必须招标的暂估价项目，采取以下第1种方式确定。合同当事人也可以在专用合同条款中选择其他招标方式。</w:t>
      </w:r>
    </w:p>
    <w:p w14:paraId="42C3EAB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第1种方式：对于依法必须招标的暂估价项目，由承包人招标，对该暂估价项目的确认和批准按照以下约定执行：</w:t>
      </w:r>
    </w:p>
    <w:p w14:paraId="05CE6CE0">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63FF72B">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0D6DA9D7">
      <w:pPr>
        <w:spacing w:line="5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FEEA53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700F46F">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10.7.2</w:t>
      </w:r>
      <w:r>
        <w:rPr>
          <w:rFonts w:hint="eastAsia" w:ascii="宋体" w:hAnsi="宋体" w:eastAsia="宋体" w:cs="宋体"/>
          <w:color w:val="auto"/>
          <w:kern w:val="0"/>
          <w:sz w:val="24"/>
          <w:szCs w:val="24"/>
          <w:highlight w:val="none"/>
        </w:rPr>
        <w:t>不属于依法必须招标的暂估价项目</w:t>
      </w:r>
    </w:p>
    <w:p w14:paraId="6740E3D5">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除专用合同条款另有约定外，对于不属于依法必须招标的暂估价项目，采取以下第1种方式确定： </w:t>
      </w:r>
    </w:p>
    <w:p w14:paraId="784506A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第1种方式：对于不属于依法必须招标的暂估价项目，按本项约定确认和批准：</w:t>
      </w:r>
    </w:p>
    <w:p w14:paraId="499ADF66">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E7F0DD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（2）发包人认为承包人确定的供应商、分包人无法满足工程质量或合同要求的，发包人可以要求承包人重新确定暂估价项目的供应商、分包人;</w:t>
      </w:r>
    </w:p>
    <w:p w14:paraId="0446D97F">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（3）承包人应当在签订暂估价合同后7天内，将暂估价合同副本报送发包人留存。</w:t>
      </w:r>
    </w:p>
    <w:p w14:paraId="3DE5B2B6">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第2种方式：承包人按照第10.7.1项〔依法必须招标的暂估价项目〕约定的第1种方式确定暂估价项目。</w:t>
      </w:r>
    </w:p>
    <w:p w14:paraId="0B6C897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43AB188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承包人具备实施暂估价项目的资格和条件的，经发包人和承包人协商一致后，可由承包人自行实施暂估价项目，合同当事人可以在专用合同条款约定具体事项。</w:t>
      </w:r>
    </w:p>
    <w:p w14:paraId="0090C56F">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5772135">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53" w:name="_Toc351203575"/>
      <w:r>
        <w:rPr>
          <w:rFonts w:hint="eastAsia" w:ascii="宋体" w:hAnsi="宋体" w:eastAsia="宋体" w:cs="宋体"/>
          <w:b w:val="0"/>
          <w:color w:val="auto"/>
          <w:sz w:val="24"/>
          <w:szCs w:val="24"/>
          <w:highlight w:val="none"/>
        </w:rPr>
        <w:t>1</w:t>
      </w:r>
      <w:bookmarkStart w:id="654" w:name="_Toc337558794"/>
      <w:bookmarkStart w:id="655" w:name="_Toc296346591"/>
      <w:bookmarkStart w:id="656" w:name="_Toc296503090"/>
      <w:bookmarkStart w:id="657" w:name="_Toc322522561"/>
      <w:r>
        <w:rPr>
          <w:rFonts w:hint="eastAsia" w:ascii="宋体" w:hAnsi="宋体" w:eastAsia="宋体" w:cs="宋体"/>
          <w:b w:val="0"/>
          <w:color w:val="auto"/>
          <w:sz w:val="24"/>
          <w:szCs w:val="24"/>
          <w:highlight w:val="none"/>
        </w:rPr>
        <w:t>0.8暂列金额</w:t>
      </w:r>
      <w:bookmarkEnd w:id="653"/>
    </w:p>
    <w:bookmarkEnd w:id="654"/>
    <w:p w14:paraId="61E1D3E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暂列金额应按照发包人的要求使用，发包人的要求应通过监理人发出。合同当事人可以在专用合同条款中协商确定有关事项。</w:t>
      </w:r>
    </w:p>
    <w:bookmarkEnd w:id="655"/>
    <w:bookmarkEnd w:id="656"/>
    <w:bookmarkEnd w:id="657"/>
    <w:p w14:paraId="132B426B">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58" w:name="_Toc351203576"/>
      <w:r>
        <w:rPr>
          <w:rFonts w:hint="eastAsia" w:ascii="宋体" w:hAnsi="宋体" w:eastAsia="宋体" w:cs="宋体"/>
          <w:b w:val="0"/>
          <w:color w:val="auto"/>
          <w:sz w:val="24"/>
          <w:szCs w:val="24"/>
          <w:highlight w:val="none"/>
        </w:rPr>
        <w:t>1</w:t>
      </w:r>
      <w:bookmarkStart w:id="659" w:name="_Toc296346592"/>
      <w:bookmarkStart w:id="660" w:name="_Toc337558796"/>
      <w:bookmarkStart w:id="661" w:name="_Toc296503091"/>
      <w:r>
        <w:rPr>
          <w:rFonts w:hint="eastAsia" w:ascii="宋体" w:hAnsi="宋体" w:eastAsia="宋体" w:cs="宋体"/>
          <w:b w:val="0"/>
          <w:color w:val="auto"/>
          <w:sz w:val="24"/>
          <w:szCs w:val="24"/>
          <w:highlight w:val="none"/>
        </w:rPr>
        <w:t>0.9计日工</w:t>
      </w:r>
      <w:bookmarkEnd w:id="658"/>
      <w:r>
        <w:rPr>
          <w:rFonts w:hint="eastAsia" w:ascii="宋体" w:hAnsi="宋体" w:eastAsia="宋体" w:cs="宋体"/>
          <w:b w:val="0"/>
          <w:color w:val="auto"/>
          <w:sz w:val="24"/>
          <w:szCs w:val="24"/>
          <w:highlight w:val="none"/>
        </w:rPr>
        <w:t xml:space="preserve"> </w:t>
      </w:r>
      <w:bookmarkEnd w:id="659"/>
      <w:bookmarkEnd w:id="660"/>
      <w:bookmarkEnd w:id="661"/>
    </w:p>
    <w:p w14:paraId="27B4264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18D35A7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采用计日工计价的任何一项工作，承包人应在该项工作实施过程中，每天提交以下报表和有关凭证报送监理人审查：</w:t>
      </w:r>
    </w:p>
    <w:p w14:paraId="4686DD2B">
      <w:pPr>
        <w:spacing w:line="500" w:lineRule="exact"/>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（1）工作名称、内容和数量；</w:t>
      </w:r>
    </w:p>
    <w:p w14:paraId="6D065BD8">
      <w:pPr>
        <w:spacing w:line="500" w:lineRule="exact"/>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（2）投入该工作的所有人员的姓名、专业、工种、级别和耗用工时；</w:t>
      </w:r>
    </w:p>
    <w:p w14:paraId="00FA0F56">
      <w:pPr>
        <w:spacing w:line="500" w:lineRule="exact"/>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（3）投入该工作的材料类别和数量；</w:t>
      </w:r>
    </w:p>
    <w:p w14:paraId="393DD307">
      <w:pPr>
        <w:spacing w:line="500" w:lineRule="exact"/>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（4）投入该工作的施工设备型号、台数和耗用台时；</w:t>
      </w:r>
    </w:p>
    <w:p w14:paraId="0ED87E67">
      <w:pPr>
        <w:spacing w:line="500" w:lineRule="exact"/>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（5）其他有关资料和凭证。</w:t>
      </w:r>
    </w:p>
    <w:p w14:paraId="225EB171">
      <w:pPr>
        <w:spacing w:line="500" w:lineRule="exact"/>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计日工由承包人汇总后，列入最近一期进度付款申请单，由监理人审查并经发包人批准后列入进度付款。</w:t>
      </w:r>
    </w:p>
    <w:p w14:paraId="7D644226">
      <w:pPr>
        <w:pStyle w:val="6"/>
        <w:spacing w:before="120" w:after="120" w:line="360" w:lineRule="auto"/>
        <w:rPr>
          <w:rFonts w:hint="eastAsia" w:ascii="宋体" w:hAnsi="宋体" w:eastAsia="宋体" w:cs="宋体"/>
          <w:b w:val="0"/>
          <w:color w:val="auto"/>
          <w:sz w:val="24"/>
          <w:szCs w:val="24"/>
          <w:highlight w:val="none"/>
        </w:rPr>
      </w:pPr>
      <w:bookmarkStart w:id="662" w:name="_Toc351203577"/>
      <w:r>
        <w:rPr>
          <w:rFonts w:hint="eastAsia" w:ascii="宋体" w:hAnsi="宋体" w:eastAsia="宋体" w:cs="宋体"/>
          <w:b w:val="0"/>
          <w:color w:val="auto"/>
          <w:sz w:val="24"/>
          <w:szCs w:val="24"/>
          <w:highlight w:val="none"/>
        </w:rPr>
        <w:t>11. 价格调整</w:t>
      </w:r>
      <w:bookmarkEnd w:id="662"/>
    </w:p>
    <w:p w14:paraId="3F374DF1">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63" w:name="_Toc351203578"/>
      <w:bookmarkStart w:id="664" w:name="_Toc337558797"/>
      <w:bookmarkStart w:id="665" w:name="_Toc296346593"/>
      <w:bookmarkStart w:id="666" w:name="_Toc296503092"/>
      <w:r>
        <w:rPr>
          <w:rFonts w:hint="eastAsia" w:ascii="宋体" w:hAnsi="宋体" w:eastAsia="宋体" w:cs="宋体"/>
          <w:b w:val="0"/>
          <w:color w:val="auto"/>
          <w:sz w:val="24"/>
          <w:szCs w:val="24"/>
          <w:highlight w:val="none"/>
        </w:rPr>
        <w:t>11.1市场价格波动引起的调整</w:t>
      </w:r>
      <w:bookmarkEnd w:id="663"/>
    </w:p>
    <w:bookmarkEnd w:id="664"/>
    <w:bookmarkEnd w:id="665"/>
    <w:bookmarkEnd w:id="666"/>
    <w:p w14:paraId="54C052BB">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6FA908A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13019F8A">
      <w:pPr>
        <w:tabs>
          <w:tab w:val="left" w:pos="0"/>
          <w:tab w:val="left" w:pos="360"/>
          <w:tab w:val="left" w:pos="5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（1）价格调整公式</w:t>
      </w:r>
    </w:p>
    <w:p w14:paraId="0560CF5D">
      <w:pPr>
        <w:tabs>
          <w:tab w:val="left" w:pos="0"/>
          <w:tab w:val="left" w:pos="360"/>
          <w:tab w:val="left" w:pos="5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因人工、材料和设备等价格波动影响合同价格时，根据专用合同条款中约定的数据，按以下公式计算差额并调整合同价格：</w:t>
      </w:r>
    </w:p>
    <w:p w14:paraId="4F850687">
      <w:pPr>
        <w:tabs>
          <w:tab w:val="left" w:pos="0"/>
          <w:tab w:val="left" w:pos="360"/>
          <w:tab w:val="left" w:pos="5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position w:val="-30"/>
          <w:sz w:val="24"/>
          <w:szCs w:val="24"/>
          <w:highlight w:val="none"/>
        </w:rPr>
        <w:object>
          <v:shape id="_x0000_i1025" o:spt="75" type="#_x0000_t75" style="height:43.9pt;width:359.85pt;" o:ole="t" filled="f" stroked="f" coordsize="21600,21600">
            <v:path/>
            <v:fill on="f" focussize="0,0"/>
            <v:stroke on="f"/>
            <v:imagedata r:id="rId24" o:title=""/>
            <o:lock v:ext="edit" grouping="f" rotation="f" text="f" aspectratio="t"/>
            <w10:wrap type="none"/>
            <w10:anchorlock/>
          </v:shape>
          <o:OLEObject Type="Embed" ProgID="Equation.KSEE3" ShapeID="_x0000_i1025" DrawAspect="Content" ObjectID="_1468075725" r:id="rId23">
            <o:LockedField>false</o:LockedField>
          </o:OLEObject>
        </w:object>
      </w:r>
    </w:p>
    <w:p w14:paraId="46DCD941">
      <w:pPr>
        <w:tabs>
          <w:tab w:val="left" w:pos="0"/>
          <w:tab w:val="left" w:pos="360"/>
          <w:tab w:val="left" w:pos="540"/>
        </w:tabs>
        <w:spacing w:line="50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公式中：ΔP——需调整的价格差额；</w:t>
      </w:r>
    </w:p>
    <w:p w14:paraId="3BACB39F">
      <w:pPr>
        <w:tabs>
          <w:tab w:val="left" w:pos="0"/>
          <w:tab w:val="left" w:pos="360"/>
          <w:tab w:val="left" w:pos="540"/>
        </w:tabs>
        <w:spacing w:line="500" w:lineRule="exact"/>
        <w:ind w:firstLine="1440" w:firstLineChars="600"/>
        <w:rPr>
          <w:rFonts w:hint="eastAsia" w:ascii="宋体" w:hAnsi="宋体" w:eastAsia="宋体" w:cs="宋体"/>
          <w:color w:val="auto"/>
          <w:sz w:val="24"/>
          <w:szCs w:val="24"/>
          <w:highlight w:val="none"/>
        </w:rPr>
      </w:pPr>
      <w:r>
        <w:rPr>
          <w:rFonts w:hint="eastAsia" w:ascii="宋体" w:hAnsi="宋体" w:eastAsia="宋体" w:cs="宋体"/>
          <w:color w:val="auto"/>
          <w:position w:val="-6"/>
          <w:sz w:val="24"/>
          <w:szCs w:val="24"/>
          <w:highlight w:val="none"/>
        </w:rPr>
        <w:object>
          <v:shape id="_x0000_i1026" o:spt="75" type="#_x0000_t75" style="height:17.85pt;width:17.85pt;" o:ole="t" filled="f" stroked="f" coordsize="21600,21600">
            <v:path/>
            <v:fill on="f" focussize="0,0"/>
            <v:stroke on="f"/>
            <v:imagedata r:id="rId26" o:title=""/>
            <o:lock v:ext="edit" grouping="f" rotation="f" text="f" aspectratio="t"/>
            <w10:wrap type="none"/>
            <w10:anchorlock/>
          </v:shape>
          <o:OLEObject Type="Embed" ProgID="Equation.KSEE3" ShapeID="_x0000_i1026" DrawAspect="Content" ObjectID="_1468075726" r:id="rId25">
            <o:LockedField>false</o:LockedField>
          </o:OLEObject>
        </w:object>
      </w:r>
      <w:r>
        <w:rPr>
          <w:rFonts w:hint="eastAsia" w:ascii="宋体" w:hAnsi="宋体" w:eastAsia="宋体" w:cs="宋体"/>
          <w:color w:val="auto"/>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72ECD34F">
      <w:pPr>
        <w:tabs>
          <w:tab w:val="left" w:pos="0"/>
          <w:tab w:val="left" w:pos="360"/>
          <w:tab w:val="left" w:pos="5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A——定值权重（即不调部分的权重）；</w:t>
      </w:r>
    </w:p>
    <w:p w14:paraId="499D872A">
      <w:pPr>
        <w:tabs>
          <w:tab w:val="left" w:pos="0"/>
          <w:tab w:val="left" w:pos="360"/>
          <w:tab w:val="left" w:pos="5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position w:val="-10"/>
          <w:sz w:val="24"/>
          <w:szCs w:val="24"/>
          <w:highlight w:val="none"/>
        </w:rPr>
        <w:object>
          <v:shape id="_x0000_i1027" o:spt="75" type="#_x0000_t75" style="height:21pt;width:101pt;" o:ole="t" filled="f" stroked="f" coordsize="21600,21600">
            <v:path/>
            <v:fill on="f" focussize="0,0"/>
            <v:stroke on="f"/>
            <v:imagedata r:id="rId28" o:title=""/>
            <o:lock v:ext="edit" grouping="f" rotation="f" text="f" aspectratio="t"/>
            <w10:wrap type="none"/>
            <w10:anchorlock/>
          </v:shape>
          <o:OLEObject Type="Embed" ProgID="Equation.KSEE3" ShapeID="_x0000_i1027" DrawAspect="Content" ObjectID="_1468075727" r:id="rId27">
            <o:LockedField>false</o:LockedField>
          </o:OLEObject>
        </w:object>
      </w:r>
      <w:r>
        <w:rPr>
          <w:rFonts w:hint="eastAsia" w:ascii="宋体" w:hAnsi="宋体" w:eastAsia="宋体" w:cs="宋体"/>
          <w:color w:val="auto"/>
          <w:sz w:val="24"/>
          <w:szCs w:val="24"/>
          <w:highlight w:val="none"/>
        </w:rPr>
        <w:t>——各可调因子的变值权重（即可调部分的权重），为各可调因子在签约合同价中所占的比例；</w:t>
      </w:r>
    </w:p>
    <w:p w14:paraId="41E911FA">
      <w:pPr>
        <w:tabs>
          <w:tab w:val="left" w:pos="0"/>
          <w:tab w:val="left" w:pos="360"/>
          <w:tab w:val="left" w:pos="5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position w:val="-10"/>
          <w:sz w:val="24"/>
          <w:szCs w:val="24"/>
          <w:highlight w:val="none"/>
        </w:rPr>
        <w:object>
          <v:shape id="_x0000_i1028" o:spt="75" type="#_x0000_t75" style="height:20.6pt;width:102.05pt;" o:ole="t" filled="f" stroked="f" coordsize="21600,21600">
            <v:path/>
            <v:fill on="f" focussize="0,0"/>
            <v:stroke on="f"/>
            <v:imagedata r:id="rId30" o:title=""/>
            <o:lock v:ext="edit" grouping="f" rotation="f" text="f" aspectratio="t"/>
            <w10:wrap type="none"/>
            <w10:anchorlock/>
          </v:shape>
          <o:OLEObject Type="Embed" ProgID="Equation.KSEE3" ShapeID="_x0000_i1028" DrawAspect="Content" ObjectID="_1468075728" r:id="rId29">
            <o:LockedField>false</o:LockedField>
          </o:OLEObject>
        </w:object>
      </w:r>
      <w:r>
        <w:rPr>
          <w:rFonts w:hint="eastAsia" w:ascii="宋体" w:hAnsi="宋体" w:eastAsia="宋体" w:cs="宋体"/>
          <w:color w:val="auto"/>
          <w:sz w:val="24"/>
          <w:szCs w:val="24"/>
          <w:highlight w:val="none"/>
        </w:rPr>
        <w:t>——各可调因子的现行价格指数，指约定的付款证书相关周期最后一天的前42天的各可调因子的价格指数；</w:t>
      </w:r>
    </w:p>
    <w:p w14:paraId="790C5700">
      <w:pPr>
        <w:tabs>
          <w:tab w:val="left" w:pos="0"/>
          <w:tab w:val="left" w:pos="360"/>
          <w:tab w:val="left" w:pos="5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position w:val="-10"/>
          <w:sz w:val="24"/>
          <w:szCs w:val="24"/>
          <w:highlight w:val="none"/>
        </w:rPr>
        <w:object>
          <v:shape id="_x0000_i1029" o:spt="75" type="#_x0000_t75" style="height:20.2pt;width:108.1pt;" o:ole="t" filled="f" stroked="f" coordsize="21600,21600">
            <v:path/>
            <v:fill on="f" focussize="0,0"/>
            <v:stroke on="f"/>
            <v:imagedata r:id="rId32" o:title=""/>
            <o:lock v:ext="edit" grouping="f" rotation="f" text="f" aspectratio="t"/>
            <w10:wrap type="none"/>
            <w10:anchorlock/>
          </v:shape>
          <o:OLEObject Type="Embed" ProgID="Equation.KSEE3" ShapeID="_x0000_i1029" DrawAspect="Content" ObjectID="_1468075729" r:id="rId31">
            <o:LockedField>false</o:LockedField>
          </o:OLEObject>
        </w:object>
      </w:r>
      <w:r>
        <w:rPr>
          <w:rFonts w:hint="eastAsia" w:ascii="宋体" w:hAnsi="宋体" w:eastAsia="宋体" w:cs="宋体"/>
          <w:color w:val="auto"/>
          <w:sz w:val="24"/>
          <w:szCs w:val="24"/>
          <w:highlight w:val="none"/>
        </w:rPr>
        <w:t>——各可调因子的基本价格指数，指基准日期的各可调因子的价格指数。</w:t>
      </w:r>
    </w:p>
    <w:p w14:paraId="708FAB2F">
      <w:pPr>
        <w:tabs>
          <w:tab w:val="left" w:pos="0"/>
          <w:tab w:val="left" w:pos="360"/>
          <w:tab w:val="left" w:pos="5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B2970CD">
      <w:pPr>
        <w:tabs>
          <w:tab w:val="left" w:pos="0"/>
          <w:tab w:val="left" w:pos="360"/>
          <w:tab w:val="left" w:pos="5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（2）暂时确定调整差额</w:t>
      </w:r>
    </w:p>
    <w:p w14:paraId="55782F27">
      <w:pPr>
        <w:tabs>
          <w:tab w:val="left" w:pos="0"/>
          <w:tab w:val="left" w:pos="360"/>
          <w:tab w:val="left" w:pos="5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在计算调整差额时无现行价格指数的，合同当事人同意暂用前次价格指数计算。实际价格指数有调整的，合同当事人进行相应调整。</w:t>
      </w:r>
    </w:p>
    <w:p w14:paraId="0083591F">
      <w:pPr>
        <w:tabs>
          <w:tab w:val="left" w:pos="0"/>
          <w:tab w:val="left" w:pos="360"/>
          <w:tab w:val="left" w:pos="5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（3）权重的调整</w:t>
      </w:r>
    </w:p>
    <w:p w14:paraId="2BFEA29D">
      <w:pPr>
        <w:tabs>
          <w:tab w:val="left" w:pos="0"/>
          <w:tab w:val="left" w:pos="360"/>
          <w:tab w:val="left" w:pos="5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因变更导致合同约定的权重不合理时，按照第4.4款〔商定或确定〕执行。</w:t>
      </w:r>
    </w:p>
    <w:p w14:paraId="2845E930">
      <w:pPr>
        <w:tabs>
          <w:tab w:val="left" w:pos="0"/>
          <w:tab w:val="left" w:pos="360"/>
          <w:tab w:val="left" w:pos="5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（4）因承包人原因工期延误后的价格调整</w:t>
      </w:r>
    </w:p>
    <w:p w14:paraId="6712B060">
      <w:pPr>
        <w:tabs>
          <w:tab w:val="left" w:pos="0"/>
          <w:tab w:val="left" w:pos="360"/>
          <w:tab w:val="left" w:pos="540"/>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1AABACF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0FA9883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100EEFB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453BB1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（2）材料、工程设备价格变化的价款调整按照发包人提供的基准价格，按以下风险范围规定执行:</w:t>
      </w:r>
    </w:p>
    <w:p w14:paraId="5B7D7DE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312414D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46D36A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64FE803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76CB3D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45B8111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（3）施工机械台班单价或施工机械使用费发生变化超过省级或行业建设主管部门或其授权的工程造价管理机构规定的范围时，按规定调整合同价格。</w:t>
      </w:r>
    </w:p>
    <w:p w14:paraId="4875886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第3种方式：专用合同条款约定的其他方式。</w:t>
      </w:r>
    </w:p>
    <w:p w14:paraId="0AEA5807">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67" w:name="_Toc351203579"/>
      <w:bookmarkStart w:id="668" w:name="_Toc337558798"/>
      <w:bookmarkStart w:id="669" w:name="_Toc296503093"/>
      <w:bookmarkStart w:id="670" w:name="_Toc296346594"/>
      <w:r>
        <w:rPr>
          <w:rFonts w:hint="eastAsia" w:ascii="宋体" w:hAnsi="宋体" w:eastAsia="宋体" w:cs="宋体"/>
          <w:b w:val="0"/>
          <w:color w:val="auto"/>
          <w:sz w:val="24"/>
          <w:szCs w:val="24"/>
          <w:highlight w:val="none"/>
        </w:rPr>
        <w:t>11.2法律变化引起的调整</w:t>
      </w:r>
      <w:bookmarkEnd w:id="667"/>
    </w:p>
    <w:bookmarkEnd w:id="668"/>
    <w:bookmarkEnd w:id="669"/>
    <w:bookmarkEnd w:id="670"/>
    <w:p w14:paraId="7E6A5EE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6913FD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因法律变化引起的合同价格和工期调整，合同当事人无法达成一致的，由总监理工程师按第4.4款〔商定或确定〕的约定处理。</w:t>
      </w:r>
    </w:p>
    <w:p w14:paraId="108F1E7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因承包人原因造成工期延误，在工期延误期间出现法律变化的，由此增加的费用和（或）延误的工期由承包人承担。</w:t>
      </w:r>
    </w:p>
    <w:p w14:paraId="444D0CA4">
      <w:pPr>
        <w:pStyle w:val="6"/>
        <w:spacing w:before="120" w:after="120" w:line="360" w:lineRule="auto"/>
        <w:rPr>
          <w:rFonts w:hint="eastAsia" w:ascii="宋体" w:hAnsi="宋体" w:eastAsia="宋体" w:cs="宋体"/>
          <w:b w:val="0"/>
          <w:color w:val="auto"/>
          <w:sz w:val="24"/>
          <w:szCs w:val="24"/>
          <w:highlight w:val="none"/>
        </w:rPr>
      </w:pPr>
      <w:bookmarkStart w:id="671" w:name="_Toc351203580"/>
      <w:bookmarkStart w:id="672" w:name="_Toc337558799"/>
      <w:bookmarkStart w:id="673" w:name="_Toc296346597"/>
      <w:bookmarkStart w:id="674" w:name="_Toc296503096"/>
      <w:r>
        <w:rPr>
          <w:rFonts w:hint="eastAsia" w:ascii="宋体" w:hAnsi="宋体" w:eastAsia="宋体" w:cs="宋体"/>
          <w:b w:val="0"/>
          <w:color w:val="auto"/>
          <w:sz w:val="24"/>
          <w:szCs w:val="24"/>
          <w:highlight w:val="none"/>
        </w:rPr>
        <w:t>12. 合同价格、计量与支付</w:t>
      </w:r>
      <w:bookmarkEnd w:id="671"/>
    </w:p>
    <w:bookmarkEnd w:id="672"/>
    <w:p w14:paraId="690867B5">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75" w:name="_Toc351203581"/>
      <w:bookmarkStart w:id="676" w:name="_Toc337558800"/>
      <w:r>
        <w:rPr>
          <w:rFonts w:hint="eastAsia" w:ascii="宋体" w:hAnsi="宋体" w:eastAsia="宋体" w:cs="宋体"/>
          <w:b w:val="0"/>
          <w:color w:val="auto"/>
          <w:sz w:val="24"/>
          <w:szCs w:val="24"/>
          <w:highlight w:val="none"/>
        </w:rPr>
        <w:t>12.1 合同价</w:t>
      </w:r>
      <w:bookmarkEnd w:id="673"/>
      <w:bookmarkEnd w:id="674"/>
      <w:r>
        <w:rPr>
          <w:rFonts w:hint="eastAsia" w:ascii="宋体" w:hAnsi="宋体" w:eastAsia="宋体" w:cs="宋体"/>
          <w:b w:val="0"/>
          <w:color w:val="auto"/>
          <w:sz w:val="24"/>
          <w:szCs w:val="24"/>
          <w:highlight w:val="none"/>
        </w:rPr>
        <w:t>格形式</w:t>
      </w:r>
      <w:bookmarkEnd w:id="675"/>
    </w:p>
    <w:bookmarkEnd w:id="676"/>
    <w:p w14:paraId="2D1BCCF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发包人和承包人应在合同协议书中选择下列一种合同价格形式： </w:t>
      </w:r>
    </w:p>
    <w:p w14:paraId="6FFBF6F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1、单价合同</w:t>
      </w:r>
    </w:p>
    <w:p w14:paraId="6B93784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4"/>
          <w:szCs w:val="24"/>
          <w:highlight w:val="none"/>
        </w:rPr>
        <w:t>在约定的范围内合同单价不作调整</w:t>
      </w:r>
      <w:r>
        <w:rPr>
          <w:rFonts w:hint="eastAsia" w:ascii="宋体" w:hAnsi="宋体" w:eastAsia="宋体" w:cs="宋体"/>
          <w:color w:val="auto"/>
          <w:kern w:val="0"/>
          <w:sz w:val="24"/>
          <w:szCs w:val="24"/>
          <w:highlight w:val="none"/>
        </w:rPr>
        <w:t>。合同当事人应在专用合同条款中约定综合单价包含的风险范围和风险费用的计算方法</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并约定风险范围以外的合同价格的调整方法，其中因市场价格波动引起的调整按第11.1款〔市场价格波动引起的调整〕约定执行。</w:t>
      </w:r>
    </w:p>
    <w:p w14:paraId="220B2C6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2、总价合同</w:t>
      </w:r>
    </w:p>
    <w:p w14:paraId="013AE47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4"/>
          <w:szCs w:val="24"/>
          <w:highlight w:val="none"/>
        </w:rPr>
        <w:t>在约定的范围内合同总价不作调整</w:t>
      </w:r>
      <w:r>
        <w:rPr>
          <w:rFonts w:hint="eastAsia" w:ascii="宋体" w:hAnsi="宋体" w:eastAsia="宋体" w:cs="宋体"/>
          <w:color w:val="auto"/>
          <w:kern w:val="0"/>
          <w:sz w:val="24"/>
          <w:szCs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67D8F3E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3、其它价格形式</w:t>
      </w:r>
    </w:p>
    <w:p w14:paraId="40BA767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合同当事人可在专用合同条款中约定其他合同价格形式。</w:t>
      </w:r>
    </w:p>
    <w:p w14:paraId="1FFBB77C">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77" w:name="_Toc296503097"/>
      <w:bookmarkStart w:id="678" w:name="_Toc296346598"/>
      <w:bookmarkStart w:id="679" w:name="_Toc351203582"/>
      <w:bookmarkStart w:id="680" w:name="_Toc337558801"/>
      <w:r>
        <w:rPr>
          <w:rFonts w:hint="eastAsia" w:ascii="宋体" w:hAnsi="宋体" w:eastAsia="宋体" w:cs="宋体"/>
          <w:b w:val="0"/>
          <w:color w:val="auto"/>
          <w:sz w:val="24"/>
          <w:szCs w:val="24"/>
          <w:highlight w:val="none"/>
        </w:rPr>
        <w:t>12.2预</w:t>
      </w:r>
      <w:bookmarkEnd w:id="677"/>
      <w:bookmarkEnd w:id="678"/>
      <w:bookmarkStart w:id="681" w:name="_Toc296503100"/>
      <w:bookmarkStart w:id="682" w:name="_Toc296346601"/>
      <w:r>
        <w:rPr>
          <w:rFonts w:hint="eastAsia" w:ascii="宋体" w:hAnsi="宋体" w:eastAsia="宋体" w:cs="宋体"/>
          <w:b w:val="0"/>
          <w:color w:val="auto"/>
          <w:sz w:val="24"/>
          <w:szCs w:val="24"/>
          <w:highlight w:val="none"/>
        </w:rPr>
        <w:t>付款</w:t>
      </w:r>
      <w:bookmarkEnd w:id="679"/>
    </w:p>
    <w:bookmarkEnd w:id="680"/>
    <w:bookmarkEnd w:id="681"/>
    <w:bookmarkEnd w:id="682"/>
    <w:p w14:paraId="06FB164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kern w:val="0"/>
          <w:sz w:val="24"/>
          <w:szCs w:val="24"/>
          <w:highlight w:val="none"/>
        </w:rPr>
        <w:t>1预付款的支付</w:t>
      </w:r>
    </w:p>
    <w:p w14:paraId="6E68B192">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7E7AFE5B">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除专用合同条款另有约定外，预付款在进度付款中同比例扣回。在颁发工程接收证书前，提前解除合同的，尚未扣完的预付款应与合同价款一并结算。</w:t>
      </w:r>
    </w:p>
    <w:p w14:paraId="437DFD02">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14:paraId="39E7ECBA">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0918F222">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043E298">
      <w:pPr>
        <w:spacing w:line="500" w:lineRule="exact"/>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发包人在工程款中逐期扣回预付款后，预付款担保额度应相应减少，但剩余的预付款担保金额不得低于未被扣回的预付款金额。</w:t>
      </w:r>
      <w:r>
        <w:rPr>
          <w:rFonts w:hint="eastAsia" w:ascii="宋体" w:hAnsi="宋体" w:cs="宋体"/>
          <w:color w:val="auto"/>
          <w:kern w:val="0"/>
          <w:sz w:val="24"/>
          <w:szCs w:val="24"/>
          <w:highlight w:val="none"/>
          <w:lang w:val="en-US" w:eastAsia="zh-CN"/>
        </w:rPr>
        <w:t>承包人主动放弃预付款的，发包人应应允。</w:t>
      </w:r>
    </w:p>
    <w:p w14:paraId="1F3017A6">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83" w:name="_Toc351203583"/>
      <w:bookmarkStart w:id="684" w:name="_Toc337558802"/>
      <w:r>
        <w:rPr>
          <w:rFonts w:hint="eastAsia" w:ascii="宋体" w:hAnsi="宋体" w:eastAsia="宋体" w:cs="宋体"/>
          <w:b w:val="0"/>
          <w:color w:val="auto"/>
          <w:sz w:val="24"/>
          <w:szCs w:val="24"/>
          <w:highlight w:val="none"/>
        </w:rPr>
        <w:t>12.3计量</w:t>
      </w:r>
      <w:bookmarkEnd w:id="683"/>
    </w:p>
    <w:bookmarkEnd w:id="684"/>
    <w:p w14:paraId="2A5BE1D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12.3.1 计量原则</w:t>
      </w:r>
    </w:p>
    <w:p w14:paraId="4CB8BD03">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0C2865DB">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12.3.2 计量周期</w:t>
      </w:r>
    </w:p>
    <w:p w14:paraId="2D318143">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除专用合同条款另有约定外，工程量的计量按月进行。</w:t>
      </w:r>
    </w:p>
    <w:p w14:paraId="4618982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12.3.3 单价合同的计量</w:t>
      </w:r>
    </w:p>
    <w:p w14:paraId="5214F3B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除专用合同条款另有约定外，单价合同的计量按照本项约定执行：</w:t>
      </w:r>
    </w:p>
    <w:p w14:paraId="3A6A2BCB">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（1）承包人应于每月25日向监理人报送上月20日至当月19日已完成的工程量报告，并附具进度付款申请单、已完成工程量报表和有关资料。</w:t>
      </w:r>
    </w:p>
    <w:p w14:paraId="2CBD841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3F7520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（3）监理人未在收到承包人提交的工程量报表后的7天内完成审核的，承包人报送的工程量报告中的工程量视为承包人实际完成的工程量，据此计算工程价款。</w:t>
      </w:r>
    </w:p>
    <w:p w14:paraId="122D4B60">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12.3.4 总价合同的计量</w:t>
      </w:r>
    </w:p>
    <w:p w14:paraId="364A349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除专用合同条款另有约定外，按月计量支付的总价合同，按照本项约定执行：</w:t>
      </w:r>
    </w:p>
    <w:p w14:paraId="79CE630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（1）承包人应于每月25日向监理人报送上月20日至当月19日已完成的工程量报告，并附具进度付款申请单、已完成工程量报表和有关资料。</w:t>
      </w:r>
    </w:p>
    <w:p w14:paraId="0AE6EFC8">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041031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（3）监理人未在收到承包人提交的工程量报表后的7天内完成复核的，承包人提交的工程量报告中的工程量视为承包人实际完成的工程量。</w:t>
      </w:r>
    </w:p>
    <w:p w14:paraId="36F3378F">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12.3.5 总价合同采用支付分解表计量支付的，可以按照第12.3.4项〔总价合同的计量〕约定进行计量，但合同价款按照支付分解表进行支付。</w:t>
      </w:r>
    </w:p>
    <w:p w14:paraId="7D304F2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12.3.6 其他价格形式合同的计量</w:t>
      </w:r>
    </w:p>
    <w:p w14:paraId="1AA9DD43">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合同当事人可在专用合同条款中约定其他价格形式合同的计量方式和程序。</w:t>
      </w:r>
    </w:p>
    <w:p w14:paraId="3E3A8C44">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85" w:name="_Toc296503101"/>
      <w:bookmarkStart w:id="686" w:name="_Toc296346602"/>
      <w:bookmarkStart w:id="687" w:name="_Toc351203584"/>
      <w:bookmarkStart w:id="688" w:name="_Toc337558803"/>
      <w:r>
        <w:rPr>
          <w:rFonts w:hint="eastAsia" w:ascii="宋体" w:hAnsi="宋体" w:eastAsia="宋体" w:cs="宋体"/>
          <w:b w:val="0"/>
          <w:color w:val="auto"/>
          <w:sz w:val="24"/>
          <w:szCs w:val="24"/>
          <w:highlight w:val="none"/>
        </w:rPr>
        <w:t>12.4工程进度款支</w:t>
      </w:r>
      <w:bookmarkEnd w:id="685"/>
      <w:bookmarkEnd w:id="686"/>
      <w:r>
        <w:rPr>
          <w:rFonts w:hint="eastAsia" w:ascii="宋体" w:hAnsi="宋体" w:eastAsia="宋体" w:cs="宋体"/>
          <w:b w:val="0"/>
          <w:color w:val="auto"/>
          <w:sz w:val="24"/>
          <w:szCs w:val="24"/>
          <w:highlight w:val="none"/>
        </w:rPr>
        <w:t>付</w:t>
      </w:r>
      <w:bookmarkEnd w:id="687"/>
    </w:p>
    <w:bookmarkEnd w:id="688"/>
    <w:p w14:paraId="7FB1112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kern w:val="0"/>
          <w:sz w:val="24"/>
          <w:szCs w:val="24"/>
          <w:highlight w:val="none"/>
        </w:rPr>
        <w:t>.1 付款周期</w:t>
      </w:r>
    </w:p>
    <w:p w14:paraId="71ED739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除专用合同条款另有约定外，付款周期应按照第12.3.2项〔计量周期〕的约定与计量周期保持一致。</w:t>
      </w:r>
    </w:p>
    <w:p w14:paraId="346F0FD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kern w:val="0"/>
          <w:sz w:val="24"/>
          <w:szCs w:val="24"/>
          <w:highlight w:val="none"/>
        </w:rPr>
        <w:t>.2 进度付款申请单的编制</w:t>
      </w:r>
    </w:p>
    <w:p w14:paraId="081F616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除专用合同条款另有约定外，进度付款申请单应包括下列内容：</w:t>
      </w:r>
    </w:p>
    <w:p w14:paraId="4A1C292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（1）截至本次付款周期已完成工作对应的金额；</w:t>
      </w:r>
    </w:p>
    <w:p w14:paraId="6ED4BDC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（2）根据第10条〔变更〕应增加和扣减的变更金额；</w:t>
      </w:r>
    </w:p>
    <w:p w14:paraId="0A36678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（3）根据第12.2款〔预付款〕约定应支付的预付款和扣减的返还预付款；</w:t>
      </w:r>
    </w:p>
    <w:p w14:paraId="5FE7937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（4）根据第15.3款〔质量保证金〕约定应扣减的质量保证金；</w:t>
      </w:r>
    </w:p>
    <w:p w14:paraId="30DA767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（5）根据第19条〔索赔〕应增加和扣减的索赔金额；</w:t>
      </w:r>
    </w:p>
    <w:p w14:paraId="5E02C4A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（6）对已签发的进度款支付证书中出现错误的修正，应在本次进度付款中支付或扣除的金额；</w:t>
      </w:r>
    </w:p>
    <w:p w14:paraId="76A6848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（7）根据合同约定应增加和扣减的其他金额。</w:t>
      </w:r>
    </w:p>
    <w:p w14:paraId="7D1FF43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12.4.3 进度付款申请单的提交</w:t>
      </w:r>
    </w:p>
    <w:p w14:paraId="7D7B5AE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（1）单价合同进度付款申请单的提交</w:t>
      </w:r>
    </w:p>
    <w:p w14:paraId="777B0CB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9BF732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（2）总价合同进度付款申请单的提交</w:t>
      </w:r>
    </w:p>
    <w:p w14:paraId="12F12BF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总价合同按月计量支付的，承包人按照第12.3.4项〔总价合同的计量〕约定的时间按月向监理人提交进度付款申请单，并附上已完成工程量报表和有关资料。</w:t>
      </w:r>
    </w:p>
    <w:p w14:paraId="50F8B4F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总价合同按支付分解表支付的，承包人应按照第12.4.6项〔支付分解表〕及第12.4.2项〔进度付款申请单的编制〕的约定向监理人提交进度付款申请单。</w:t>
      </w:r>
    </w:p>
    <w:p w14:paraId="15B1C1D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（3）其他价格形式合同的进度付款申请单的提交</w:t>
      </w:r>
    </w:p>
    <w:p w14:paraId="0810108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合同当事人可在专用合同条款中约定其他价格形式合同的进度付款申请单的编制和提交程序。</w:t>
      </w:r>
    </w:p>
    <w:p w14:paraId="2D5056D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kern w:val="0"/>
          <w:sz w:val="24"/>
          <w:szCs w:val="24"/>
          <w:highlight w:val="none"/>
        </w:rPr>
        <w:t>.4 进度款审核和支付</w:t>
      </w:r>
    </w:p>
    <w:p w14:paraId="464A4F4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FB9A05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31F98C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6C2CF49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（3）发包人签发进度款支付证书或临时进度款支付证书，不表明发包人已同意、批准或接受了承包人完成的相应部分的工作。</w:t>
      </w:r>
    </w:p>
    <w:p w14:paraId="59CC065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12.4.5 进度付款的修正</w:t>
      </w:r>
    </w:p>
    <w:p w14:paraId="252F00F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4ED3E96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12.4.6 支付分解表</w:t>
      </w:r>
    </w:p>
    <w:p w14:paraId="22E2A53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1、支付分解表的编制要求</w:t>
      </w:r>
    </w:p>
    <w:p w14:paraId="3C203A4B">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（1）支付分解表中所列的每期付款金额，应为第12.4.2项〔进度付款申请单的编制〕第（1）目的估算金额；</w:t>
      </w:r>
    </w:p>
    <w:p w14:paraId="2A4781A5">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（2）实际进度与施工进度计划不一致的，合同当事人可按照第4.4款〔商定或确定〕修改支付分解表；</w:t>
      </w:r>
    </w:p>
    <w:p w14:paraId="254C3A5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（3）不采用支付分解表的，承包人应向发包人和监理人提交按季度编制的支付估算分解表，用于支付参考。</w:t>
      </w:r>
    </w:p>
    <w:p w14:paraId="0D7CBFD8">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2、总价合同支付分解表的编制与审批</w:t>
      </w:r>
    </w:p>
    <w:p w14:paraId="223DB87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5C65303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23DF2888">
      <w:pPr>
        <w:spacing w:line="5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（3）发包人逾期未完成支付分解表审批的，也未及时要求承包人进行修正和提供补充资料的，则承包人提交的支付分解表视为已经获得发包人批准。</w:t>
      </w:r>
    </w:p>
    <w:p w14:paraId="2997061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3、单价合同的总价项目支付分解表的编制与审批</w:t>
      </w:r>
    </w:p>
    <w:p w14:paraId="3459113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09B2989">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89" w:name="_Toc351203585"/>
      <w:r>
        <w:rPr>
          <w:rFonts w:hint="eastAsia" w:ascii="宋体" w:hAnsi="宋体" w:eastAsia="宋体" w:cs="宋体"/>
          <w:b w:val="0"/>
          <w:color w:val="auto"/>
          <w:sz w:val="24"/>
          <w:szCs w:val="24"/>
          <w:highlight w:val="none"/>
        </w:rPr>
        <w:t>12.5支付账户</w:t>
      </w:r>
      <w:bookmarkEnd w:id="689"/>
    </w:p>
    <w:p w14:paraId="35D51E38">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发包人应将合同价款支付至合同协议书中约定的承包人账户。</w:t>
      </w:r>
    </w:p>
    <w:p w14:paraId="33A97CC4">
      <w:pPr>
        <w:pStyle w:val="6"/>
        <w:spacing w:before="120" w:after="120" w:line="360" w:lineRule="auto"/>
        <w:rPr>
          <w:rFonts w:hint="eastAsia" w:ascii="宋体" w:hAnsi="宋体" w:eastAsia="宋体" w:cs="宋体"/>
          <w:b w:val="0"/>
          <w:color w:val="auto"/>
          <w:sz w:val="24"/>
          <w:szCs w:val="24"/>
          <w:highlight w:val="none"/>
        </w:rPr>
      </w:pPr>
      <w:bookmarkStart w:id="690" w:name="_Toc351203586"/>
      <w:bookmarkStart w:id="691" w:name="_Toc322522574"/>
      <w:bookmarkStart w:id="692" w:name="_Toc337558804"/>
      <w:bookmarkStart w:id="693" w:name="_Toc296346607"/>
      <w:bookmarkStart w:id="694" w:name="_Toc296503106"/>
      <w:r>
        <w:rPr>
          <w:rFonts w:hint="eastAsia" w:ascii="宋体" w:hAnsi="宋体" w:eastAsia="宋体" w:cs="宋体"/>
          <w:b w:val="0"/>
          <w:color w:val="auto"/>
          <w:sz w:val="24"/>
          <w:szCs w:val="24"/>
          <w:highlight w:val="none"/>
        </w:rPr>
        <w:t>13. 验收和工程试车</w:t>
      </w:r>
      <w:bookmarkEnd w:id="690"/>
    </w:p>
    <w:bookmarkEnd w:id="691"/>
    <w:bookmarkEnd w:id="692"/>
    <w:bookmarkEnd w:id="693"/>
    <w:bookmarkEnd w:id="694"/>
    <w:p w14:paraId="3BD9579C">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95" w:name="_Toc351203587"/>
      <w:bookmarkStart w:id="696" w:name="_Toc337558805"/>
      <w:bookmarkStart w:id="697" w:name="_Toc296346611"/>
      <w:bookmarkStart w:id="698" w:name="_Toc296503110"/>
      <w:r>
        <w:rPr>
          <w:rFonts w:hint="eastAsia" w:ascii="宋体" w:hAnsi="宋体" w:eastAsia="宋体" w:cs="宋体"/>
          <w:b w:val="0"/>
          <w:color w:val="auto"/>
          <w:sz w:val="24"/>
          <w:szCs w:val="24"/>
          <w:highlight w:val="none"/>
        </w:rPr>
        <w:t>13.1分部分项工程验收</w:t>
      </w:r>
      <w:bookmarkEnd w:id="695"/>
    </w:p>
    <w:bookmarkEnd w:id="696"/>
    <w:p w14:paraId="6C94802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13.1.1 分部分项工程质量应符合国家有关工程施工验收规范、标准及合同约定，承包人应按照施工组织设计的要求完成分部分项工程施工。</w:t>
      </w:r>
    </w:p>
    <w:p w14:paraId="4B5D3E2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4"/>
          <w:szCs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4"/>
          <w:szCs w:val="24"/>
          <w:highlight w:val="none"/>
        </w:rPr>
        <w:t>分部分项工程未经验收的，不得进入下一道工序施工。</w:t>
      </w:r>
    </w:p>
    <w:p w14:paraId="151161B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分部分项工程的验收资料应当作为竣工资料的组成部分。</w:t>
      </w:r>
    </w:p>
    <w:p w14:paraId="2983A3A2">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699" w:name="_Toc351203588"/>
      <w:bookmarkStart w:id="700" w:name="_Toc337558806"/>
      <w:r>
        <w:rPr>
          <w:rFonts w:hint="eastAsia" w:ascii="宋体" w:hAnsi="宋体" w:eastAsia="宋体" w:cs="宋体"/>
          <w:b w:val="0"/>
          <w:color w:val="auto"/>
          <w:sz w:val="24"/>
          <w:szCs w:val="24"/>
          <w:highlight w:val="none"/>
        </w:rPr>
        <w:t>13.2竣工验收</w:t>
      </w:r>
      <w:bookmarkEnd w:id="699"/>
    </w:p>
    <w:bookmarkEnd w:id="697"/>
    <w:bookmarkEnd w:id="698"/>
    <w:bookmarkEnd w:id="700"/>
    <w:p w14:paraId="052A757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13.2.1竣工验收条件</w:t>
      </w:r>
    </w:p>
    <w:p w14:paraId="0607287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工程具备以下条件的，承包人可以申请竣工验收：</w:t>
      </w:r>
    </w:p>
    <w:p w14:paraId="4139157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（1）除发包人同意的甩项工作和缺陷修补工作外，合同范围内的全部工程以及有关工作，包括合同要求的试验、试运行以及检验均已完成，并符合合同要求；</w:t>
      </w:r>
    </w:p>
    <w:p w14:paraId="7E8A82F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（2）已按合同约定编制了甩项工作和缺陷修补工作清单以及相应的施工计划；</w:t>
      </w:r>
    </w:p>
    <w:p w14:paraId="1372F4A8">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（3）已按合同约定的内容和份数备齐竣工资料。</w:t>
      </w:r>
    </w:p>
    <w:p w14:paraId="3005888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13.2.2竣工验收程序</w:t>
      </w:r>
    </w:p>
    <w:p w14:paraId="4BCA96F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除专用合同条款另有约定外，承包人申请竣工验收的，应当按照以下程序进行：</w:t>
      </w:r>
    </w:p>
    <w:p w14:paraId="00216EB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4422EAB3">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BDD25F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146DCAD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01E62F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32ABDEB">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4608A31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13.2.3竣工日期</w:t>
      </w:r>
    </w:p>
    <w:p w14:paraId="037FE70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701" w:name="#go14"/>
      <w:bookmarkEnd w:id="701"/>
      <w:r>
        <w:rPr>
          <w:rFonts w:hint="eastAsia" w:ascii="宋体" w:hAnsi="宋体" w:eastAsia="宋体" w:cs="宋体"/>
          <w:color w:val="auto"/>
          <w:kern w:val="0"/>
          <w:sz w:val="24"/>
          <w:szCs w:val="24"/>
          <w:highlight w:val="none"/>
        </w:rPr>
        <w:t>收申请报告的日期为实际竣工日期；工程未经竣工验收，发包人擅自使用的，以转移占有工程之日为实际竣工日期。</w:t>
      </w:r>
    </w:p>
    <w:p w14:paraId="3B8B8FA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13.2.4 拒绝接收全部或部分工程</w:t>
      </w:r>
    </w:p>
    <w:p w14:paraId="3053D05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50D7FD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13.2.5 移交、接收全部与部分工程</w:t>
      </w:r>
    </w:p>
    <w:p w14:paraId="7CF06C9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除专用合同条款另有约定外，合同当事人应当在颁发工程接收证书后7天内完成工程的移交。</w:t>
      </w:r>
    </w:p>
    <w:p w14:paraId="18BC6F9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607611E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72B305D3">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02" w:name="_Toc351203589"/>
      <w:bookmarkStart w:id="703" w:name="_Toc296346612"/>
      <w:bookmarkStart w:id="704" w:name="_Toc337558807"/>
      <w:bookmarkStart w:id="705" w:name="_Toc296503111"/>
      <w:r>
        <w:rPr>
          <w:rFonts w:hint="eastAsia" w:ascii="宋体" w:hAnsi="宋体" w:eastAsia="宋体" w:cs="宋体"/>
          <w:b w:val="0"/>
          <w:color w:val="auto"/>
          <w:sz w:val="24"/>
          <w:szCs w:val="24"/>
          <w:highlight w:val="none"/>
        </w:rPr>
        <w:t>13.3工程试车</w:t>
      </w:r>
      <w:bookmarkEnd w:id="702"/>
    </w:p>
    <w:bookmarkEnd w:id="703"/>
    <w:bookmarkEnd w:id="704"/>
    <w:bookmarkEnd w:id="705"/>
    <w:p w14:paraId="4C0680F0">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13.3.1试车程序</w:t>
      </w:r>
    </w:p>
    <w:p w14:paraId="0C3C61A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工程需要试车的，除专用合同条款另有约定外，试车内容应与承包人承包范围相一致，试车费用由承包人承担。工程试车应按如下程序进行：</w:t>
      </w:r>
    </w:p>
    <w:p w14:paraId="6C169B4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76F4823">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D232455">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4C01699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13.3.2 试车中的责任</w:t>
      </w:r>
    </w:p>
    <w:p w14:paraId="78509C7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096144A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33644E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618973E0">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627D6C5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B871B39">
      <w:pPr>
        <w:pStyle w:val="7"/>
        <w:spacing w:before="120" w:after="120" w:line="360" w:lineRule="auto"/>
        <w:rPr>
          <w:rFonts w:hint="eastAsia" w:ascii="宋体" w:hAnsi="宋体" w:eastAsia="宋体" w:cs="宋体"/>
          <w:b w:val="0"/>
          <w:color w:val="auto"/>
          <w:sz w:val="24"/>
          <w:szCs w:val="24"/>
          <w:highlight w:val="none"/>
        </w:rPr>
      </w:pPr>
      <w:bookmarkStart w:id="706" w:name="_Toc337558808"/>
      <w:r>
        <w:rPr>
          <w:rFonts w:hint="eastAsia" w:ascii="宋体" w:hAnsi="宋体" w:eastAsia="宋体" w:cs="宋体"/>
          <w:b w:val="0"/>
          <w:color w:val="auto"/>
          <w:sz w:val="24"/>
          <w:szCs w:val="24"/>
          <w:highlight w:val="none"/>
        </w:rPr>
        <w:t xml:space="preserve">    </w:t>
      </w:r>
      <w:bookmarkStart w:id="707" w:name="_Toc351203590"/>
      <w:r>
        <w:rPr>
          <w:rFonts w:hint="eastAsia" w:ascii="宋体" w:hAnsi="宋体" w:eastAsia="宋体" w:cs="宋体"/>
          <w:b w:val="0"/>
          <w:color w:val="auto"/>
          <w:sz w:val="24"/>
          <w:szCs w:val="24"/>
          <w:highlight w:val="none"/>
        </w:rPr>
        <w:t>13.4提前交付单位工程的验收</w:t>
      </w:r>
      <w:bookmarkEnd w:id="707"/>
    </w:p>
    <w:bookmarkEnd w:id="706"/>
    <w:p w14:paraId="49067560">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78E9D72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3511596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14:paraId="69719894">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08" w:name="_Toc351203591"/>
      <w:r>
        <w:rPr>
          <w:rFonts w:hint="eastAsia" w:ascii="宋体" w:hAnsi="宋体" w:eastAsia="宋体" w:cs="宋体"/>
          <w:b w:val="0"/>
          <w:color w:val="auto"/>
          <w:sz w:val="24"/>
          <w:szCs w:val="24"/>
          <w:highlight w:val="none"/>
        </w:rPr>
        <w:t>13.5 施工期运行</w:t>
      </w:r>
      <w:bookmarkEnd w:id="708"/>
    </w:p>
    <w:p w14:paraId="0777F86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48946E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13.5.2 在施工期运行中发现工程或工程设备损坏或存在缺陷的，由承包人按第15.2款〔缺陷责任期〕约定进行修复。</w:t>
      </w:r>
    </w:p>
    <w:p w14:paraId="1F7F9ED4">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09" w:name="_Toc296346613"/>
      <w:bookmarkStart w:id="710" w:name="_Toc296503112"/>
      <w:bookmarkStart w:id="711" w:name="_Toc351203592"/>
      <w:bookmarkStart w:id="712" w:name="_Toc337558809"/>
      <w:r>
        <w:rPr>
          <w:rFonts w:hint="eastAsia" w:ascii="宋体" w:hAnsi="宋体" w:eastAsia="宋体" w:cs="宋体"/>
          <w:b w:val="0"/>
          <w:color w:val="auto"/>
          <w:sz w:val="24"/>
          <w:szCs w:val="24"/>
          <w:highlight w:val="none"/>
        </w:rPr>
        <w:t>13.6 竣工退</w:t>
      </w:r>
      <w:bookmarkEnd w:id="709"/>
      <w:bookmarkEnd w:id="710"/>
      <w:r>
        <w:rPr>
          <w:rFonts w:hint="eastAsia" w:ascii="宋体" w:hAnsi="宋体" w:eastAsia="宋体" w:cs="宋体"/>
          <w:b w:val="0"/>
          <w:color w:val="auto"/>
          <w:sz w:val="24"/>
          <w:szCs w:val="24"/>
          <w:highlight w:val="none"/>
        </w:rPr>
        <w:t>场</w:t>
      </w:r>
      <w:bookmarkEnd w:id="711"/>
    </w:p>
    <w:bookmarkEnd w:id="712"/>
    <w:p w14:paraId="52625B2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14F7341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颁发工程接收证书后，承包人应按以下要求对施工现场进行清理：</w:t>
      </w:r>
    </w:p>
    <w:p w14:paraId="17559C8F">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（1）施工现场内残留的垃圾已全部清除出场；</w:t>
      </w:r>
    </w:p>
    <w:p w14:paraId="557EEAD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（2）临时工程已拆除，场地已进行清理、平整或复原；</w:t>
      </w:r>
    </w:p>
    <w:p w14:paraId="00F54A5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（3）按合同约定应撤离的人员、承包人施工设备和剩余的材料，包括废弃的施工设备和材料，已按计划撤离施工现场；</w:t>
      </w:r>
    </w:p>
    <w:p w14:paraId="3BCA69D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（4）施工现场周边及其附近道路、河道的施工堆积物，已全部清理；</w:t>
      </w:r>
    </w:p>
    <w:p w14:paraId="1843FCD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（5）施工现场其他场地清理工作已全部完成。</w:t>
      </w:r>
    </w:p>
    <w:p w14:paraId="7FF6D57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6A84D23">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13.6.2 地表还原</w:t>
      </w:r>
    </w:p>
    <w:p w14:paraId="0F6CF4AF">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B2F51DC">
      <w:pPr>
        <w:pStyle w:val="6"/>
        <w:spacing w:before="120" w:after="120" w:line="360" w:lineRule="auto"/>
        <w:rPr>
          <w:rFonts w:hint="eastAsia" w:ascii="宋体" w:hAnsi="宋体" w:eastAsia="宋体" w:cs="宋体"/>
          <w:b w:val="0"/>
          <w:color w:val="auto"/>
          <w:sz w:val="24"/>
          <w:szCs w:val="24"/>
          <w:highlight w:val="none"/>
        </w:rPr>
      </w:pPr>
      <w:bookmarkStart w:id="713" w:name="_Toc351203593"/>
      <w:bookmarkStart w:id="714" w:name="_Toc337558810"/>
      <w:bookmarkStart w:id="715" w:name="_Toc296503113"/>
      <w:bookmarkStart w:id="716" w:name="_Toc296346614"/>
      <w:r>
        <w:rPr>
          <w:rFonts w:hint="eastAsia" w:ascii="宋体" w:hAnsi="宋体" w:eastAsia="宋体" w:cs="宋体"/>
          <w:b w:val="0"/>
          <w:color w:val="auto"/>
          <w:sz w:val="24"/>
          <w:szCs w:val="24"/>
          <w:highlight w:val="none"/>
        </w:rPr>
        <w:t>14. 竣工结算</w:t>
      </w:r>
      <w:bookmarkEnd w:id="713"/>
    </w:p>
    <w:bookmarkEnd w:id="714"/>
    <w:p w14:paraId="6D5DA0EA">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17" w:name="_Toc351203594"/>
      <w:bookmarkStart w:id="718" w:name="_Toc337558811"/>
      <w:r>
        <w:rPr>
          <w:rFonts w:hint="eastAsia" w:ascii="宋体" w:hAnsi="宋体" w:eastAsia="宋体" w:cs="宋体"/>
          <w:b w:val="0"/>
          <w:color w:val="auto"/>
          <w:sz w:val="24"/>
          <w:szCs w:val="24"/>
          <w:highlight w:val="none"/>
        </w:rPr>
        <w:t>14.1 竣工结算申请</w:t>
      </w:r>
      <w:bookmarkEnd w:id="717"/>
    </w:p>
    <w:bookmarkEnd w:id="718"/>
    <w:p w14:paraId="36DFF0A2">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除专用合同条款另有约定外，</w:t>
      </w:r>
      <w:r>
        <w:rPr>
          <w:rFonts w:hint="eastAsia" w:ascii="宋体" w:hAnsi="宋体" w:eastAsia="宋体" w:cs="宋体"/>
          <w:color w:val="auto"/>
          <w:sz w:val="24"/>
          <w:szCs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24BE45D9">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除专用合同条款另有约定外，竣工结算申请单应包括以下内容：</w:t>
      </w:r>
    </w:p>
    <w:p w14:paraId="399AD3E1">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（1）竣工结算合同价格；</w:t>
      </w:r>
    </w:p>
    <w:p w14:paraId="03576BCB">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（2）发包人已支付承包人的款项；</w:t>
      </w:r>
    </w:p>
    <w:p w14:paraId="27411EA7">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（3）应扣留的质量保证金； </w:t>
      </w:r>
    </w:p>
    <w:p w14:paraId="0844EA01">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（4）发包人应支付承包人的合同价款。</w:t>
      </w:r>
    </w:p>
    <w:p w14:paraId="581432D9">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19" w:name="_Toc351203595"/>
      <w:bookmarkStart w:id="720" w:name="_Toc337558812"/>
      <w:r>
        <w:rPr>
          <w:rFonts w:hint="eastAsia" w:ascii="宋体" w:hAnsi="宋体" w:eastAsia="宋体" w:cs="宋体"/>
          <w:b w:val="0"/>
          <w:color w:val="auto"/>
          <w:sz w:val="24"/>
          <w:szCs w:val="24"/>
          <w:highlight w:val="none"/>
        </w:rPr>
        <w:t>14.2 竣工结算审核</w:t>
      </w:r>
      <w:bookmarkEnd w:id="719"/>
    </w:p>
    <w:bookmarkEnd w:id="720"/>
    <w:p w14:paraId="5D81FE6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4"/>
          <w:szCs w:val="24"/>
          <w:highlight w:val="none"/>
        </w:rPr>
        <w:t>发包人对竣工</w:t>
      </w:r>
      <w:r>
        <w:rPr>
          <w:rFonts w:hint="eastAsia" w:ascii="宋体" w:hAnsi="宋体" w:eastAsia="宋体" w:cs="宋体"/>
          <w:color w:val="auto"/>
          <w:kern w:val="0"/>
          <w:sz w:val="24"/>
          <w:szCs w:val="24"/>
          <w:highlight w:val="none"/>
        </w:rPr>
        <w:t>结算</w:t>
      </w:r>
      <w:r>
        <w:rPr>
          <w:rFonts w:hint="eastAsia" w:ascii="宋体" w:hAnsi="宋体" w:eastAsia="宋体" w:cs="宋体"/>
          <w:color w:val="auto"/>
          <w:sz w:val="24"/>
          <w:szCs w:val="24"/>
          <w:highlight w:val="none"/>
        </w:rPr>
        <w:t>申请单有异议的，有权要求承包人进行修正和提供补充资料，承包人应提交修正后的竣工</w:t>
      </w:r>
      <w:r>
        <w:rPr>
          <w:rFonts w:hint="eastAsia" w:ascii="宋体" w:hAnsi="宋体" w:eastAsia="宋体" w:cs="宋体"/>
          <w:color w:val="auto"/>
          <w:kern w:val="0"/>
          <w:sz w:val="24"/>
          <w:szCs w:val="24"/>
          <w:highlight w:val="none"/>
        </w:rPr>
        <w:t>结算</w:t>
      </w:r>
      <w:r>
        <w:rPr>
          <w:rFonts w:hint="eastAsia" w:ascii="宋体" w:hAnsi="宋体" w:eastAsia="宋体" w:cs="宋体"/>
          <w:color w:val="auto"/>
          <w:sz w:val="24"/>
          <w:szCs w:val="24"/>
          <w:highlight w:val="none"/>
        </w:rPr>
        <w:t>申请单。</w:t>
      </w:r>
    </w:p>
    <w:p w14:paraId="653843A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0153847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7480826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545A72AF">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21" w:name="_Toc351203596"/>
      <w:bookmarkStart w:id="722" w:name="_Toc337558813"/>
      <w:r>
        <w:rPr>
          <w:rFonts w:hint="eastAsia" w:ascii="宋体" w:hAnsi="宋体" w:eastAsia="宋体" w:cs="宋体"/>
          <w:b w:val="0"/>
          <w:color w:val="auto"/>
          <w:sz w:val="24"/>
          <w:szCs w:val="24"/>
          <w:highlight w:val="none"/>
        </w:rPr>
        <w:t>14.3 甩项竣工协议</w:t>
      </w:r>
      <w:bookmarkEnd w:id="721"/>
    </w:p>
    <w:bookmarkEnd w:id="722"/>
    <w:p w14:paraId="0BCEBC28">
      <w:pPr>
        <w:autoSpaceDE w:val="0"/>
        <w:autoSpaceDN w:val="0"/>
        <w:adjustRightInd w:val="0"/>
        <w:spacing w:line="500" w:lineRule="exact"/>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73E42234">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23" w:name="_Toc351203597"/>
      <w:bookmarkStart w:id="724" w:name="_Toc337558814"/>
      <w:r>
        <w:rPr>
          <w:rFonts w:hint="eastAsia" w:ascii="宋体" w:hAnsi="宋体" w:eastAsia="宋体" w:cs="宋体"/>
          <w:b w:val="0"/>
          <w:color w:val="auto"/>
          <w:sz w:val="24"/>
          <w:szCs w:val="24"/>
          <w:highlight w:val="none"/>
        </w:rPr>
        <w:t>14.4 最终结清</w:t>
      </w:r>
      <w:bookmarkEnd w:id="723"/>
    </w:p>
    <w:bookmarkEnd w:id="724"/>
    <w:p w14:paraId="65BF0DF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2FA1947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（1）除专用合同条款另有约定外，承包人应在缺陷责任期终止证书颁发后7天内，按专用合同条款约定的份数向发包人提交最终结清申请单，并提供相关证明材料。</w:t>
      </w:r>
    </w:p>
    <w:p w14:paraId="121AC11E">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w:t>
      </w:r>
      <w:r>
        <w:rPr>
          <w:rFonts w:hint="eastAsia" w:ascii="宋体" w:hAnsi="宋体" w:eastAsia="宋体" w:cs="宋体"/>
          <w:color w:val="auto"/>
          <w:kern w:val="0"/>
          <w:sz w:val="24"/>
          <w:szCs w:val="24"/>
          <w:highlight w:val="none"/>
        </w:rPr>
        <w:t>最终结清申请单</w:t>
      </w:r>
      <w:r>
        <w:rPr>
          <w:rFonts w:hint="eastAsia" w:ascii="宋体" w:hAnsi="宋体" w:eastAsia="宋体" w:cs="宋体"/>
          <w:color w:val="auto"/>
          <w:sz w:val="24"/>
          <w:szCs w:val="24"/>
          <w:highlight w:val="none"/>
        </w:rPr>
        <w:t>应列明质量保证金、应扣除的质量保证金、缺陷责任期内发生的增减费用。</w:t>
      </w:r>
    </w:p>
    <w:p w14:paraId="50CBEF3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（2）发包人对最终结清申请单内容有异议的，有权要求承包人进行修正和提供补充资料，承包人应向发包人提交修正后的最终结清申请单。</w:t>
      </w:r>
    </w:p>
    <w:p w14:paraId="7D16B2D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14.4.2 最终结清证书和支付</w:t>
      </w:r>
    </w:p>
    <w:p w14:paraId="101AE31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4132554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240080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（3）承包人对发包人颁发的最终结清证书有异议的，按第20条〔争议解决〕的约定办理。</w:t>
      </w:r>
    </w:p>
    <w:p w14:paraId="06FA8AC0">
      <w:pPr>
        <w:pStyle w:val="6"/>
        <w:spacing w:before="120" w:after="120" w:line="360" w:lineRule="auto"/>
        <w:rPr>
          <w:rFonts w:hint="eastAsia" w:ascii="宋体" w:hAnsi="宋体" w:eastAsia="宋体" w:cs="宋体"/>
          <w:b w:val="0"/>
          <w:color w:val="auto"/>
          <w:sz w:val="24"/>
          <w:szCs w:val="24"/>
          <w:highlight w:val="none"/>
        </w:rPr>
      </w:pPr>
      <w:bookmarkStart w:id="725" w:name="_Toc351203598"/>
      <w:bookmarkStart w:id="726" w:name="_Toc337558815"/>
      <w:r>
        <w:rPr>
          <w:rFonts w:hint="eastAsia" w:ascii="宋体" w:hAnsi="宋体" w:eastAsia="宋体" w:cs="宋体"/>
          <w:b w:val="0"/>
          <w:color w:val="auto"/>
          <w:sz w:val="24"/>
          <w:szCs w:val="24"/>
          <w:highlight w:val="none"/>
        </w:rPr>
        <w:t>15. 缺陷责任与保修</w:t>
      </w:r>
      <w:bookmarkEnd w:id="725"/>
    </w:p>
    <w:bookmarkEnd w:id="715"/>
    <w:bookmarkEnd w:id="716"/>
    <w:bookmarkEnd w:id="726"/>
    <w:p w14:paraId="1342B312">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27" w:name="_Toc351203599"/>
      <w:bookmarkStart w:id="728" w:name="_Toc337558816"/>
      <w:bookmarkStart w:id="729" w:name="_Toc296503114"/>
      <w:bookmarkStart w:id="730" w:name="_Toc296346615"/>
      <w:r>
        <w:rPr>
          <w:rFonts w:hint="eastAsia" w:ascii="宋体" w:hAnsi="宋体" w:eastAsia="宋体" w:cs="宋体"/>
          <w:b w:val="0"/>
          <w:color w:val="auto"/>
          <w:sz w:val="24"/>
          <w:szCs w:val="24"/>
          <w:highlight w:val="none"/>
        </w:rPr>
        <w:t>15.1 工程保修的原则</w:t>
      </w:r>
      <w:bookmarkEnd w:id="727"/>
    </w:p>
    <w:bookmarkEnd w:id="728"/>
    <w:p w14:paraId="04006DF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0DD2CCFA">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31" w:name="_Toc351203600"/>
      <w:bookmarkStart w:id="732" w:name="_Toc337558817"/>
      <w:r>
        <w:rPr>
          <w:rFonts w:hint="eastAsia" w:ascii="宋体" w:hAnsi="宋体" w:eastAsia="宋体" w:cs="宋体"/>
          <w:b w:val="0"/>
          <w:color w:val="auto"/>
          <w:sz w:val="24"/>
          <w:szCs w:val="24"/>
          <w:highlight w:val="none"/>
        </w:rPr>
        <w:t>15.2 缺陷责任期</w:t>
      </w:r>
      <w:bookmarkEnd w:id="729"/>
      <w:bookmarkEnd w:id="730"/>
      <w:bookmarkEnd w:id="731"/>
    </w:p>
    <w:bookmarkEnd w:id="732"/>
    <w:p w14:paraId="7F4E1BD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15.2.1 缺陷责任期自实际竣工日期起计算，合同当事人应在专用合同条款约定缺陷责任期的具体期限，但该期限最长不超过24个月。</w:t>
      </w:r>
    </w:p>
    <w:p w14:paraId="3934501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725C64C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z w:val="24"/>
          <w:szCs w:val="24"/>
          <w:highlight w:val="none"/>
        </w:rPr>
        <w:t>包人延长缺陷责任期，</w:t>
      </w:r>
      <w:r>
        <w:rPr>
          <w:rFonts w:hint="eastAsia" w:ascii="宋体" w:hAnsi="宋体" w:eastAsia="宋体" w:cs="宋体"/>
          <w:color w:val="auto"/>
          <w:kern w:val="0"/>
          <w:sz w:val="24"/>
          <w:szCs w:val="24"/>
          <w:highlight w:val="none"/>
        </w:rPr>
        <w:t>并应在原缺陷责任期届满前发出延长通知，</w:t>
      </w:r>
      <w:r>
        <w:rPr>
          <w:rFonts w:hint="eastAsia" w:ascii="宋体" w:hAnsi="宋体" w:eastAsia="宋体" w:cs="宋体"/>
          <w:bCs/>
          <w:color w:val="auto"/>
          <w:sz w:val="24"/>
          <w:szCs w:val="24"/>
          <w:highlight w:val="none"/>
        </w:rPr>
        <w:t>但缺陷责任期最长</w:t>
      </w:r>
      <w:r>
        <w:rPr>
          <w:rFonts w:hint="eastAsia" w:ascii="宋体" w:hAnsi="宋体" w:eastAsia="宋体" w:cs="宋体"/>
          <w:color w:val="auto"/>
          <w:kern w:val="0"/>
          <w:sz w:val="24"/>
          <w:szCs w:val="24"/>
          <w:highlight w:val="none"/>
        </w:rPr>
        <w:t>不能超过24个月。</w:t>
      </w:r>
    </w:p>
    <w:p w14:paraId="411AA07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638439D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D37D211">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33" w:name="_Toc351203601"/>
      <w:bookmarkStart w:id="734" w:name="_Toc337558818"/>
      <w:bookmarkStart w:id="735" w:name="_Toc296346616"/>
      <w:bookmarkStart w:id="736" w:name="_Toc296503115"/>
      <w:r>
        <w:rPr>
          <w:rFonts w:hint="eastAsia" w:ascii="宋体" w:hAnsi="宋体" w:eastAsia="宋体" w:cs="宋体"/>
          <w:b w:val="0"/>
          <w:color w:val="auto"/>
          <w:sz w:val="24"/>
          <w:szCs w:val="24"/>
          <w:highlight w:val="none"/>
        </w:rPr>
        <w:t>15.3 质量保证金</w:t>
      </w:r>
      <w:bookmarkEnd w:id="733"/>
    </w:p>
    <w:bookmarkEnd w:id="734"/>
    <w:p w14:paraId="67EFBAD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经合同当事人协商一致扣留质量保证金的，应在专用合同条款中予以明确。</w:t>
      </w:r>
    </w:p>
    <w:p w14:paraId="6A47AE2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15.3.1 承包人提供质量保证金的方式</w:t>
      </w:r>
    </w:p>
    <w:p w14:paraId="0CB0517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承包人提供质量保证金有以下三种方式：</w:t>
      </w:r>
    </w:p>
    <w:p w14:paraId="6AD300A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（1）质量保证金保函； </w:t>
      </w:r>
    </w:p>
    <w:p w14:paraId="716C824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（2）相应比例的工程款；</w:t>
      </w:r>
    </w:p>
    <w:p w14:paraId="176DD47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（3）双方约定的其他方式。</w:t>
      </w:r>
    </w:p>
    <w:p w14:paraId="5E0E0C9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除专用合同条款另有约定外，质量保证金原则上采用上述第（1）种方式。</w:t>
      </w:r>
    </w:p>
    <w:p w14:paraId="52519FB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15.3.2 质量保证金的扣留</w:t>
      </w:r>
    </w:p>
    <w:p w14:paraId="2BC2A7D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质量保证金的扣留有以下三种方式：</w:t>
      </w:r>
    </w:p>
    <w:p w14:paraId="319416C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64223A4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w:t>
      </w:r>
      <w:bookmarkStart w:id="737" w:name="#go6"/>
      <w:bookmarkEnd w:id="737"/>
      <w:r>
        <w:rPr>
          <w:rFonts w:hint="eastAsia" w:ascii="宋体" w:hAnsi="宋体" w:eastAsia="宋体" w:cs="宋体"/>
          <w:color w:val="auto"/>
          <w:kern w:val="0"/>
          <w:sz w:val="24"/>
          <w:szCs w:val="24"/>
          <w:highlight w:val="none"/>
        </w:rPr>
        <w:t>程竣工结算时一次性扣留质量保证金；</w:t>
      </w:r>
    </w:p>
    <w:p w14:paraId="22B36E1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（3）双方约定的其他扣留方式。</w:t>
      </w:r>
    </w:p>
    <w:p w14:paraId="66BAAFF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除专用合同条款另有约定外，质量保证金的扣留原则上采用上述第（1）种方式。</w:t>
      </w:r>
    </w:p>
    <w:p w14:paraId="1CBDC41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w:t>
      </w:r>
      <w:bookmarkStart w:id="738" w:name="#go4"/>
      <w:bookmarkEnd w:id="738"/>
      <w:r>
        <w:rPr>
          <w:rFonts w:hint="eastAsia" w:ascii="宋体" w:hAnsi="宋体" w:eastAsia="宋体" w:cs="宋体"/>
          <w:color w:val="auto"/>
          <w:kern w:val="0"/>
          <w:sz w:val="24"/>
          <w:szCs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5EC4E22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15.3.3 </w:t>
      </w:r>
      <w:r>
        <w:rPr>
          <w:rFonts w:hint="eastAsia" w:ascii="宋体" w:hAnsi="宋体" w:eastAsia="宋体" w:cs="宋体"/>
          <w:color w:val="auto"/>
          <w:sz w:val="24"/>
          <w:szCs w:val="24"/>
          <w:highlight w:val="none"/>
        </w:rPr>
        <w:t>质量保证金</w:t>
      </w:r>
      <w:r>
        <w:rPr>
          <w:rFonts w:hint="eastAsia" w:ascii="宋体" w:hAnsi="宋体" w:eastAsia="宋体" w:cs="宋体"/>
          <w:color w:val="auto"/>
          <w:kern w:val="0"/>
          <w:sz w:val="24"/>
          <w:szCs w:val="24"/>
          <w:highlight w:val="none"/>
        </w:rPr>
        <w:t>的退还</w:t>
      </w:r>
    </w:p>
    <w:p w14:paraId="76EAB7D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发包人应按14.4款〔最终结清〕的约定退还质量保证金。</w:t>
      </w:r>
    </w:p>
    <w:p w14:paraId="0D7443C9">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39" w:name="_Toc351203602"/>
      <w:bookmarkStart w:id="740" w:name="_Toc337558819"/>
      <w:r>
        <w:rPr>
          <w:rFonts w:hint="eastAsia" w:ascii="宋体" w:hAnsi="宋体" w:eastAsia="宋体" w:cs="宋体"/>
          <w:b w:val="0"/>
          <w:color w:val="auto"/>
          <w:sz w:val="24"/>
          <w:szCs w:val="24"/>
          <w:highlight w:val="none"/>
        </w:rPr>
        <w:t>15.4 保修</w:t>
      </w:r>
      <w:bookmarkEnd w:id="739"/>
    </w:p>
    <w:bookmarkEnd w:id="735"/>
    <w:bookmarkEnd w:id="736"/>
    <w:bookmarkEnd w:id="740"/>
    <w:p w14:paraId="3223269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15.4.1保修责任</w:t>
      </w:r>
    </w:p>
    <w:p w14:paraId="1DCA7458">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CF183F5">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发包人未经竣工验收擅自使用工程的，保修期自</w:t>
      </w:r>
      <w:r>
        <w:rPr>
          <w:rFonts w:hint="eastAsia" w:ascii="宋体" w:hAnsi="宋体" w:eastAsia="宋体" w:cs="宋体"/>
          <w:color w:val="auto"/>
          <w:kern w:val="0"/>
          <w:sz w:val="24"/>
          <w:szCs w:val="24"/>
          <w:highlight w:val="none"/>
        </w:rPr>
        <w:t>转移占有之日起算</w:t>
      </w:r>
      <w:r>
        <w:rPr>
          <w:rFonts w:hint="eastAsia" w:ascii="宋体" w:hAnsi="宋体" w:eastAsia="宋体" w:cs="宋体"/>
          <w:color w:val="auto"/>
          <w:sz w:val="24"/>
          <w:szCs w:val="24"/>
          <w:highlight w:val="none"/>
        </w:rPr>
        <w:t>。</w:t>
      </w:r>
    </w:p>
    <w:p w14:paraId="5879ADE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15.4.2 修复费用</w:t>
      </w:r>
    </w:p>
    <w:p w14:paraId="70218FA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保修期内，修复的费用按照以下约定处理：</w:t>
      </w:r>
    </w:p>
    <w:p w14:paraId="7502BBC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（1）保修期内，因承包人原因造成工程的缺陷、损坏，承包人应负责修复，并承担修复的费用以及因工程的缺陷、损坏造成的人身伤害和财产损失；</w:t>
      </w:r>
    </w:p>
    <w:p w14:paraId="6F08FD0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（2）保修期内，因发包人使用不当造成工程的缺陷、损坏，可以委托承包人修复，但发包人应承担修复的费用，并支付承包人合理利润；</w:t>
      </w:r>
    </w:p>
    <w:p w14:paraId="2BB28B9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5A1B96F3">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15.4.3 修复通知</w:t>
      </w:r>
    </w:p>
    <w:p w14:paraId="73F2F50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E29E94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15.4.4 未能修复</w:t>
      </w:r>
    </w:p>
    <w:p w14:paraId="6B9AFDF4">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40A4DFB">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15.4.5 承包人出入权</w:t>
      </w:r>
    </w:p>
    <w:p w14:paraId="57F553C2">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1C16253">
      <w:pPr>
        <w:pStyle w:val="6"/>
        <w:spacing w:before="120" w:after="120" w:line="360" w:lineRule="auto"/>
        <w:rPr>
          <w:rFonts w:hint="eastAsia" w:ascii="宋体" w:hAnsi="宋体" w:eastAsia="宋体" w:cs="宋体"/>
          <w:b w:val="0"/>
          <w:color w:val="auto"/>
          <w:sz w:val="24"/>
          <w:szCs w:val="24"/>
          <w:highlight w:val="none"/>
        </w:rPr>
      </w:pPr>
      <w:bookmarkStart w:id="741" w:name="_Toc351203603"/>
      <w:bookmarkStart w:id="742" w:name="_Toc337558820"/>
      <w:r>
        <w:rPr>
          <w:rFonts w:hint="eastAsia" w:ascii="宋体" w:hAnsi="宋体" w:eastAsia="宋体" w:cs="宋体"/>
          <w:b w:val="0"/>
          <w:color w:val="auto"/>
          <w:sz w:val="24"/>
          <w:szCs w:val="24"/>
          <w:highlight w:val="none"/>
        </w:rPr>
        <w:t>16. 违约</w:t>
      </w:r>
      <w:bookmarkEnd w:id="741"/>
    </w:p>
    <w:bookmarkEnd w:id="742"/>
    <w:p w14:paraId="5F3F36E5">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43" w:name="_Toc296503129"/>
      <w:bookmarkStart w:id="744" w:name="_Toc296346630"/>
      <w:bookmarkStart w:id="745" w:name="_Toc351203604"/>
      <w:bookmarkStart w:id="746" w:name="_Toc337558821"/>
      <w:r>
        <w:rPr>
          <w:rFonts w:hint="eastAsia" w:ascii="宋体" w:hAnsi="宋体" w:eastAsia="宋体" w:cs="宋体"/>
          <w:b w:val="0"/>
          <w:color w:val="auto"/>
          <w:sz w:val="24"/>
          <w:szCs w:val="24"/>
          <w:highlight w:val="none"/>
        </w:rPr>
        <w:t>16.1 发</w:t>
      </w:r>
      <w:bookmarkEnd w:id="743"/>
      <w:bookmarkEnd w:id="744"/>
      <w:r>
        <w:rPr>
          <w:rFonts w:hint="eastAsia" w:ascii="宋体" w:hAnsi="宋体" w:eastAsia="宋体" w:cs="宋体"/>
          <w:b w:val="0"/>
          <w:color w:val="auto"/>
          <w:sz w:val="24"/>
          <w:szCs w:val="24"/>
          <w:highlight w:val="none"/>
        </w:rPr>
        <w:t>包人违约</w:t>
      </w:r>
      <w:bookmarkEnd w:id="745"/>
    </w:p>
    <w:bookmarkEnd w:id="746"/>
    <w:p w14:paraId="30350B9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16.1.1 发包人违约的情形</w:t>
      </w:r>
    </w:p>
    <w:p w14:paraId="3E0F92C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在合同履行过程中发生的下列情形，属于发包人违约：</w:t>
      </w:r>
    </w:p>
    <w:p w14:paraId="1603153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（1）因发包人原因未能在计划开工日期前7天内下达开工通知的；</w:t>
      </w:r>
    </w:p>
    <w:p w14:paraId="51258B0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w:t>
      </w:r>
    </w:p>
    <w:p w14:paraId="239EF35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w:t>
      </w:r>
    </w:p>
    <w:p w14:paraId="7FE1F62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w:t>
      </w:r>
    </w:p>
    <w:p w14:paraId="19D994A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w:t>
      </w:r>
    </w:p>
    <w:p w14:paraId="2A57E96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w:t>
      </w:r>
    </w:p>
    <w:p w14:paraId="12B4414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（7）发包人明确表示或者以其行为表明不履行合同主要义务的；</w:t>
      </w:r>
    </w:p>
    <w:p w14:paraId="3E5034A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（8）发包人未能按照合同约定履行其他义务的。</w:t>
      </w:r>
    </w:p>
    <w:p w14:paraId="01F4CEC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0FBE147">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16.1.2 发包人违约的责任</w:t>
      </w:r>
    </w:p>
    <w:p w14:paraId="02E4B96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7A0D316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16.1.3 因发包人违约解除合同</w:t>
      </w:r>
    </w:p>
    <w:p w14:paraId="2AB242E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700F5AA">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16.1.4 因发包人违约解除合同后的付款</w:t>
      </w:r>
    </w:p>
    <w:p w14:paraId="5B3A359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承包人按照本款约定解除合同的，发包人应在解除合同后28天内支付下列款项，并解除履约担保：</w:t>
      </w:r>
    </w:p>
    <w:p w14:paraId="60D9D2B6">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（1）合同解除前所完成工作的价款；</w:t>
      </w:r>
    </w:p>
    <w:p w14:paraId="03E40A76">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（2）承包人为工程施工订购并已付款的材料、工程设备和其他物品的价款；</w:t>
      </w:r>
    </w:p>
    <w:p w14:paraId="5FB8C565">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（3）承包人撤离施工现场以及遣散承包人人员的款项；</w:t>
      </w:r>
    </w:p>
    <w:p w14:paraId="5539380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（4）按照合同约定在合同解除前应支付的违约金；</w:t>
      </w:r>
    </w:p>
    <w:p w14:paraId="2F414E4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（5）按照合同约定应当支付给承包人的其他款项；</w:t>
      </w:r>
    </w:p>
    <w:p w14:paraId="453426F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（6）按照合同约定应退还的质量保证金；</w:t>
      </w:r>
    </w:p>
    <w:p w14:paraId="13D8B8A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（7）因解除合同给承包人造成的损失。</w:t>
      </w:r>
    </w:p>
    <w:p w14:paraId="2A2F1D76">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合同当事人未能就解除合同后的结清达成一致的，按照第20条〔争议解决〕的约定处理。</w:t>
      </w:r>
    </w:p>
    <w:p w14:paraId="0D617872">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5A788E85">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47" w:name="_Toc351203605"/>
      <w:bookmarkStart w:id="748" w:name="_Toc296346632"/>
      <w:bookmarkStart w:id="749" w:name="_Toc296503131"/>
      <w:bookmarkStart w:id="750" w:name="_Toc337558822"/>
      <w:r>
        <w:rPr>
          <w:rFonts w:hint="eastAsia" w:ascii="宋体" w:hAnsi="宋体" w:eastAsia="宋体" w:cs="宋体"/>
          <w:b w:val="0"/>
          <w:color w:val="auto"/>
          <w:sz w:val="24"/>
          <w:szCs w:val="24"/>
          <w:highlight w:val="none"/>
        </w:rPr>
        <w:t>16.2 承包人违约</w:t>
      </w:r>
      <w:bookmarkEnd w:id="747"/>
    </w:p>
    <w:bookmarkEnd w:id="748"/>
    <w:bookmarkEnd w:id="749"/>
    <w:bookmarkEnd w:id="750"/>
    <w:p w14:paraId="05D632B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10D1360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在合同履行过程中发生的下列情形，属于承包人违约：</w:t>
      </w:r>
    </w:p>
    <w:p w14:paraId="2A38BB2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（1）承包人违反合同约定进行转包或违法分包的；</w:t>
      </w:r>
    </w:p>
    <w:p w14:paraId="345BD26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（2）承包人违反合同约定采购和使用不合格的材料和工程设备的；</w:t>
      </w:r>
    </w:p>
    <w:p w14:paraId="259EB11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（3）因承包人原因导致工程质量不符合合同要求的； </w:t>
      </w:r>
    </w:p>
    <w:p w14:paraId="34A1FEB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（4）承包人违反第8.9款〔材料与设备专用要求〕的约定，未经批准，私自将已按照合同约定进入施工现场的材料或设备撤离施工现场的；</w:t>
      </w:r>
    </w:p>
    <w:p w14:paraId="0948F99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（5）承包人未能按施工进度计划及时完成合同约定的工作，造成工期延误的；</w:t>
      </w:r>
    </w:p>
    <w:p w14:paraId="0943003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（6）承包人在缺陷责任期及保修期内，未能在合理期限对工程缺陷进行修复，或拒绝按发包人要求进行修复的；</w:t>
      </w:r>
    </w:p>
    <w:p w14:paraId="46B57AC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（7）承包人明确表示或者以其行为表明不履行合同主要义务的；</w:t>
      </w:r>
    </w:p>
    <w:p w14:paraId="4AFCB9E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（8）承包人未能按照合同约定履行其他义务的。</w:t>
      </w:r>
    </w:p>
    <w:p w14:paraId="3E43211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承包人发生除本项第（7）目约定以外的其他违约情况时，监理人可向承包人发出整改通知，要求其在指定的期限内改正。</w:t>
      </w:r>
    </w:p>
    <w:p w14:paraId="78F5282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 承包人违约的责任</w:t>
      </w:r>
    </w:p>
    <w:p w14:paraId="3E62EA8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承包人应承担因其违约行为而增加的费用和（或）延误的工期。此外，合同当事人可在专用合同条款中另行约定承包人违约责任的承担方式和计算方法。</w:t>
      </w:r>
    </w:p>
    <w:p w14:paraId="3506D52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16.2.3 因承包人违约解除合同</w:t>
      </w:r>
    </w:p>
    <w:p w14:paraId="25524FC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03790D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16.2.4因承包人违约解除合同后的处理</w:t>
      </w:r>
    </w:p>
    <w:p w14:paraId="4886736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因承包人原因导致合同解除的，则合同当事人应在合同解除后28天内完成估价、付款和清算，并按以下约定执行：</w:t>
      </w:r>
    </w:p>
    <w:p w14:paraId="32916B2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（1）合同解除后，按第4.4款〔商定或确定〕商定或确定承包人实际完成工作对应的合同价款，以及承包人已提供的材料、工程设备、施工设备和临时工程等的价值；</w:t>
      </w:r>
    </w:p>
    <w:p w14:paraId="25A22CA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（2）合同解除后，承包人应支付的违约金；</w:t>
      </w:r>
    </w:p>
    <w:p w14:paraId="6ADA053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（3）合同解除后，因解除合同给发包人造成的损失；</w:t>
      </w:r>
    </w:p>
    <w:p w14:paraId="0A07A251">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（4）合同解除后，承包人应按照发包人要求和监理人的指示完成现场的清理和撤离；</w:t>
      </w:r>
    </w:p>
    <w:p w14:paraId="16205E6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（5）发包人和承包人应在合同解除后进行清算，出具最终结清付款证书，结清全部款项。</w:t>
      </w:r>
    </w:p>
    <w:p w14:paraId="5FF85F5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0AAAB24B">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16.2.5采购合同权益转让</w:t>
      </w:r>
    </w:p>
    <w:p w14:paraId="357D765D">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6077740">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51" w:name="_Toc351203606"/>
      <w:r>
        <w:rPr>
          <w:rFonts w:hint="eastAsia" w:ascii="宋体" w:hAnsi="宋体" w:eastAsia="宋体" w:cs="宋体"/>
          <w:b w:val="0"/>
          <w:color w:val="auto"/>
          <w:sz w:val="24"/>
          <w:szCs w:val="24"/>
          <w:highlight w:val="none"/>
        </w:rPr>
        <w:t>16.3 第三人造成的违约</w:t>
      </w:r>
      <w:bookmarkEnd w:id="751"/>
    </w:p>
    <w:p w14:paraId="1F695FC9">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3E3756A6">
      <w:pPr>
        <w:pStyle w:val="6"/>
        <w:spacing w:before="120" w:after="120" w:line="360" w:lineRule="auto"/>
        <w:rPr>
          <w:rFonts w:hint="eastAsia" w:ascii="宋体" w:hAnsi="宋体" w:eastAsia="宋体" w:cs="宋体"/>
          <w:b w:val="0"/>
          <w:color w:val="auto"/>
          <w:sz w:val="24"/>
          <w:szCs w:val="24"/>
          <w:highlight w:val="none"/>
        </w:rPr>
      </w:pPr>
      <w:bookmarkStart w:id="752" w:name="_Toc351203607"/>
      <w:bookmarkStart w:id="753" w:name="_Toc296503116"/>
      <w:bookmarkStart w:id="754" w:name="_Toc296346617"/>
      <w:bookmarkStart w:id="755" w:name="_Toc337558823"/>
      <w:r>
        <w:rPr>
          <w:rFonts w:hint="eastAsia" w:ascii="宋体" w:hAnsi="宋体" w:eastAsia="宋体" w:cs="宋体"/>
          <w:b w:val="0"/>
          <w:color w:val="auto"/>
          <w:sz w:val="24"/>
          <w:szCs w:val="24"/>
          <w:highlight w:val="none"/>
        </w:rPr>
        <w:t>17. 不可抗力</w:t>
      </w:r>
      <w:bookmarkEnd w:id="752"/>
      <w:r>
        <w:rPr>
          <w:rFonts w:hint="eastAsia" w:ascii="宋体" w:hAnsi="宋体" w:eastAsia="宋体" w:cs="宋体"/>
          <w:b w:val="0"/>
          <w:color w:val="auto"/>
          <w:sz w:val="24"/>
          <w:szCs w:val="24"/>
          <w:highlight w:val="none"/>
        </w:rPr>
        <w:t xml:space="preserve"> </w:t>
      </w:r>
      <w:bookmarkEnd w:id="753"/>
      <w:bookmarkEnd w:id="754"/>
      <w:bookmarkEnd w:id="755"/>
    </w:p>
    <w:p w14:paraId="1C527DEF">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56" w:name="_Toc351203608"/>
      <w:bookmarkStart w:id="757" w:name="_Toc296346618"/>
      <w:bookmarkStart w:id="758" w:name="_Toc296503117"/>
      <w:bookmarkStart w:id="759" w:name="_Toc337558824"/>
      <w:r>
        <w:rPr>
          <w:rFonts w:hint="eastAsia" w:ascii="宋体" w:hAnsi="宋体" w:eastAsia="宋体" w:cs="宋体"/>
          <w:b w:val="0"/>
          <w:color w:val="auto"/>
          <w:sz w:val="24"/>
          <w:szCs w:val="24"/>
          <w:highlight w:val="none"/>
        </w:rPr>
        <w:t>17.1 不可抗力的确认</w:t>
      </w:r>
      <w:bookmarkEnd w:id="756"/>
    </w:p>
    <w:bookmarkEnd w:id="757"/>
    <w:bookmarkEnd w:id="758"/>
    <w:bookmarkEnd w:id="759"/>
    <w:p w14:paraId="2ADD3DA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20529E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421A4EA">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60" w:name="_Toc351203609"/>
      <w:bookmarkStart w:id="761" w:name="_Toc296346619"/>
      <w:bookmarkStart w:id="762" w:name="_Toc296503118"/>
      <w:bookmarkStart w:id="763" w:name="_Toc337558825"/>
      <w:r>
        <w:rPr>
          <w:rFonts w:hint="eastAsia" w:ascii="宋体" w:hAnsi="宋体" w:eastAsia="宋体" w:cs="宋体"/>
          <w:b w:val="0"/>
          <w:color w:val="auto"/>
          <w:sz w:val="24"/>
          <w:szCs w:val="24"/>
          <w:highlight w:val="none"/>
        </w:rPr>
        <w:t>17.2 不可抗力的通知</w:t>
      </w:r>
      <w:bookmarkEnd w:id="760"/>
    </w:p>
    <w:bookmarkEnd w:id="761"/>
    <w:bookmarkEnd w:id="762"/>
    <w:bookmarkEnd w:id="763"/>
    <w:p w14:paraId="01AE861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644C36F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48628F75">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64" w:name="_Toc351203610"/>
      <w:bookmarkStart w:id="765" w:name="_Toc296346620"/>
      <w:bookmarkStart w:id="766" w:name="_Toc296503119"/>
      <w:bookmarkStart w:id="767" w:name="_Toc337558826"/>
      <w:r>
        <w:rPr>
          <w:rFonts w:hint="eastAsia" w:ascii="宋体" w:hAnsi="宋体" w:eastAsia="宋体" w:cs="宋体"/>
          <w:b w:val="0"/>
          <w:color w:val="auto"/>
          <w:sz w:val="24"/>
          <w:szCs w:val="24"/>
          <w:highlight w:val="none"/>
        </w:rPr>
        <w:t>17.3 不可抗力后果的承担</w:t>
      </w:r>
      <w:bookmarkEnd w:id="764"/>
    </w:p>
    <w:bookmarkEnd w:id="765"/>
    <w:bookmarkEnd w:id="766"/>
    <w:bookmarkEnd w:id="767"/>
    <w:p w14:paraId="36AB003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17.3.1 不可抗力引起的后果及造成的损失由合同当事人按照法律规定及合同约定各自承担。不可抗力发生前已完成的工程应当按照合同约定进行计量支付。</w:t>
      </w:r>
    </w:p>
    <w:p w14:paraId="662A33E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17.3.2 不可抗力导致的人员伤亡、财产损失、费用增加和（或）工期延误等后果，由合同当事人按以下原则承担：</w:t>
      </w:r>
    </w:p>
    <w:p w14:paraId="2C0A4A5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（1）永久工程、已运至施工现场的材料和工程设备的损坏，以及因工程损坏造成的第三人人员伤亡和财产损失由发包人承担；</w:t>
      </w:r>
    </w:p>
    <w:p w14:paraId="3B31624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（2）承包人施工设备的损坏由承包人承担；</w:t>
      </w:r>
    </w:p>
    <w:p w14:paraId="6DE8840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（3）发包人和承包人承担各自人员伤亡和财产的损失；</w:t>
      </w:r>
    </w:p>
    <w:p w14:paraId="4F2FE79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53978B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（5）因不可抗力引起或将引起工期延误，发包人要求赶工的，由此增加的赶工费用由发包人承担；</w:t>
      </w:r>
    </w:p>
    <w:p w14:paraId="0FBB30F8">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（6）承包人在停工期间按照发包人要求照管、清理和修复工程的费用由发包人承担。</w:t>
      </w:r>
    </w:p>
    <w:p w14:paraId="3B42EA2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不可抗力发生后，合同当事人均应采取措施尽量避免和减少损失的扩大，任何一方当事人没有采取有效措施导致损失扩大的，应对扩大的损失承担责任。</w:t>
      </w:r>
    </w:p>
    <w:p w14:paraId="2AF7F51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因合同一方迟延履行合同义务，在迟延履行期间遭遇不可抗力的，不免除其违约责任。</w:t>
      </w:r>
    </w:p>
    <w:p w14:paraId="181568EC">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68" w:name="_Toc351203611"/>
      <w:bookmarkStart w:id="769" w:name="_Toc337558827"/>
      <w:r>
        <w:rPr>
          <w:rFonts w:hint="eastAsia" w:ascii="宋体" w:hAnsi="宋体" w:eastAsia="宋体" w:cs="宋体"/>
          <w:b w:val="0"/>
          <w:color w:val="auto"/>
          <w:sz w:val="24"/>
          <w:szCs w:val="24"/>
          <w:highlight w:val="none"/>
        </w:rPr>
        <w:t>17.4 因不可抗力解除合同</w:t>
      </w:r>
      <w:bookmarkEnd w:id="768"/>
    </w:p>
    <w:bookmarkEnd w:id="769"/>
    <w:p w14:paraId="7AC1B860">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400BE495">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（1）合同解除前承包人已完成工作的价款；</w:t>
      </w:r>
    </w:p>
    <w:p w14:paraId="60F70B4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（2）承包人为工程订购的并已交付给承包人，或承包人有责任接受交付的材料、工程设备和其他物品的价款；</w:t>
      </w:r>
    </w:p>
    <w:p w14:paraId="72411C2C">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（3）发包人要求承包人退货或解除订货合同而产生的费用，或因不能退货或解除合同而产生的损失；</w:t>
      </w:r>
    </w:p>
    <w:p w14:paraId="74787742">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（4）承包人撤离施工现场以及遣散承包人人员的费用；</w:t>
      </w:r>
    </w:p>
    <w:p w14:paraId="3E325ABA">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（5）按照合同约定在合同解除前应支付给承包人的其他款项；</w:t>
      </w:r>
    </w:p>
    <w:p w14:paraId="17E1BB5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（6）扣减承包人按照合同约定应向发包人支付的款项；</w:t>
      </w:r>
    </w:p>
    <w:p w14:paraId="26087E47">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（7）双方商定或确定的其他款项。</w:t>
      </w:r>
    </w:p>
    <w:p w14:paraId="5C4B680E">
      <w:pPr>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除专用合同条款另有约定外，合同解除后，发包人应在商定或确定上述款项后28天内完成上述款项的支付。</w:t>
      </w:r>
    </w:p>
    <w:p w14:paraId="34E98BFD">
      <w:pPr>
        <w:pStyle w:val="6"/>
        <w:spacing w:before="120" w:after="120" w:line="360" w:lineRule="auto"/>
        <w:rPr>
          <w:rFonts w:hint="eastAsia" w:ascii="宋体" w:hAnsi="宋体" w:eastAsia="宋体" w:cs="宋体"/>
          <w:b w:val="0"/>
          <w:color w:val="auto"/>
          <w:sz w:val="24"/>
          <w:szCs w:val="24"/>
          <w:highlight w:val="none"/>
        </w:rPr>
      </w:pPr>
      <w:bookmarkStart w:id="770" w:name="_Toc351203612"/>
      <w:bookmarkStart w:id="771" w:name="_Toc296503120"/>
      <w:bookmarkStart w:id="772" w:name="_Toc296346621"/>
      <w:bookmarkStart w:id="773" w:name="_Toc337558828"/>
      <w:r>
        <w:rPr>
          <w:rFonts w:hint="eastAsia" w:ascii="宋体" w:hAnsi="宋体" w:eastAsia="宋体" w:cs="宋体"/>
          <w:b w:val="0"/>
          <w:color w:val="auto"/>
          <w:sz w:val="24"/>
          <w:szCs w:val="24"/>
          <w:highlight w:val="none"/>
        </w:rPr>
        <w:t>18. 保险</w:t>
      </w:r>
      <w:bookmarkEnd w:id="770"/>
    </w:p>
    <w:bookmarkEnd w:id="771"/>
    <w:bookmarkEnd w:id="772"/>
    <w:bookmarkEnd w:id="773"/>
    <w:p w14:paraId="5421C44A">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74" w:name="_Toc351203613"/>
      <w:bookmarkStart w:id="775" w:name="_Toc337558829"/>
      <w:bookmarkStart w:id="776" w:name="_Toc296503121"/>
      <w:bookmarkStart w:id="777" w:name="_Toc296346622"/>
      <w:r>
        <w:rPr>
          <w:rFonts w:hint="eastAsia" w:ascii="宋体" w:hAnsi="宋体" w:eastAsia="宋体" w:cs="宋体"/>
          <w:b w:val="0"/>
          <w:color w:val="auto"/>
          <w:sz w:val="24"/>
          <w:szCs w:val="24"/>
          <w:highlight w:val="none"/>
        </w:rPr>
        <w:t>18.1 工程保险</w:t>
      </w:r>
      <w:bookmarkEnd w:id="774"/>
    </w:p>
    <w:bookmarkEnd w:id="775"/>
    <w:bookmarkEnd w:id="776"/>
    <w:bookmarkEnd w:id="777"/>
    <w:p w14:paraId="41A97CE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071B4D1C">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78" w:name="_Toc351203614"/>
      <w:bookmarkStart w:id="779" w:name="_Toc296503122"/>
      <w:bookmarkStart w:id="780" w:name="_Toc337558830"/>
      <w:bookmarkStart w:id="781" w:name="_Toc296346623"/>
      <w:r>
        <w:rPr>
          <w:rFonts w:hint="eastAsia" w:ascii="宋体" w:hAnsi="宋体" w:eastAsia="宋体" w:cs="宋体"/>
          <w:b w:val="0"/>
          <w:color w:val="auto"/>
          <w:sz w:val="24"/>
          <w:szCs w:val="24"/>
          <w:highlight w:val="none"/>
        </w:rPr>
        <w:t>18.2 工伤保险</w:t>
      </w:r>
      <w:bookmarkEnd w:id="778"/>
    </w:p>
    <w:bookmarkEnd w:id="779"/>
    <w:bookmarkEnd w:id="780"/>
    <w:bookmarkEnd w:id="781"/>
    <w:p w14:paraId="3D909EB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22F8279A">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374B2CE6">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82" w:name="_Toc351203615"/>
      <w:bookmarkStart w:id="783" w:name="_Toc296503125"/>
      <w:bookmarkStart w:id="784" w:name="_Toc296346626"/>
      <w:bookmarkStart w:id="785" w:name="_Toc337558831"/>
      <w:r>
        <w:rPr>
          <w:rFonts w:hint="eastAsia" w:ascii="宋体" w:hAnsi="宋体" w:eastAsia="宋体" w:cs="宋体"/>
          <w:b w:val="0"/>
          <w:color w:val="auto"/>
          <w:sz w:val="24"/>
          <w:szCs w:val="24"/>
          <w:highlight w:val="none"/>
        </w:rPr>
        <w:t>18.3其他保险</w:t>
      </w:r>
      <w:bookmarkEnd w:id="782"/>
    </w:p>
    <w:bookmarkEnd w:id="783"/>
    <w:bookmarkEnd w:id="784"/>
    <w:bookmarkEnd w:id="785"/>
    <w:p w14:paraId="6A1DE37D">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27A9F1EB">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除专用合同条款另有约定外，承包人应为其施工设备等办理财产保险。</w:t>
      </w:r>
    </w:p>
    <w:p w14:paraId="1DF3D54D">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86" w:name="_Toc351203616"/>
      <w:r>
        <w:rPr>
          <w:rFonts w:hint="eastAsia" w:ascii="宋体" w:hAnsi="宋体" w:eastAsia="宋体" w:cs="宋体"/>
          <w:b w:val="0"/>
          <w:color w:val="auto"/>
          <w:sz w:val="24"/>
          <w:szCs w:val="24"/>
          <w:highlight w:val="none"/>
        </w:rPr>
        <w:t>18.4持续保险</w:t>
      </w:r>
      <w:bookmarkEnd w:id="786"/>
    </w:p>
    <w:p w14:paraId="0ED72D55">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合同当事人应与保险人保持联系，使保险人能够随时了解工程实施中的变动，并确保按保险合同条款要求持续保险。</w:t>
      </w:r>
    </w:p>
    <w:p w14:paraId="2D01637B">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87" w:name="_Toc351203617"/>
      <w:bookmarkStart w:id="788" w:name="_Toc337558832"/>
      <w:bookmarkStart w:id="789" w:name="_Toc296503126"/>
      <w:bookmarkStart w:id="790" w:name="_Toc296346627"/>
      <w:r>
        <w:rPr>
          <w:rFonts w:hint="eastAsia" w:ascii="宋体" w:hAnsi="宋体" w:eastAsia="宋体" w:cs="宋体"/>
          <w:b w:val="0"/>
          <w:color w:val="auto"/>
          <w:sz w:val="24"/>
          <w:szCs w:val="24"/>
          <w:highlight w:val="none"/>
        </w:rPr>
        <w:t>18.5 保险凭证</w:t>
      </w:r>
      <w:bookmarkEnd w:id="787"/>
    </w:p>
    <w:bookmarkEnd w:id="788"/>
    <w:bookmarkEnd w:id="789"/>
    <w:bookmarkEnd w:id="790"/>
    <w:p w14:paraId="43D52944">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合同当事人应及时向另一方当事人提交其已投保的各项保险的凭证和保险单复印件。</w:t>
      </w:r>
    </w:p>
    <w:p w14:paraId="0CD7060F">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91" w:name="_Toc351203618"/>
      <w:bookmarkStart w:id="792" w:name="_Toc337558833"/>
      <w:bookmarkStart w:id="793" w:name="_Toc296346628"/>
      <w:bookmarkStart w:id="794" w:name="_Toc296503127"/>
      <w:r>
        <w:rPr>
          <w:rFonts w:hint="eastAsia" w:ascii="宋体" w:hAnsi="宋体" w:eastAsia="宋体" w:cs="宋体"/>
          <w:b w:val="0"/>
          <w:color w:val="auto"/>
          <w:sz w:val="24"/>
          <w:szCs w:val="24"/>
          <w:highlight w:val="none"/>
        </w:rPr>
        <w:t>18.6 未按约定投保的补救</w:t>
      </w:r>
      <w:bookmarkEnd w:id="791"/>
    </w:p>
    <w:bookmarkEnd w:id="792"/>
    <w:bookmarkEnd w:id="793"/>
    <w:bookmarkEnd w:id="794"/>
    <w:p w14:paraId="00B87E31">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618B108C">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2E2059DD">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795" w:name="_Toc351203619"/>
      <w:bookmarkStart w:id="796" w:name="_Toc337558834"/>
      <w:r>
        <w:rPr>
          <w:rFonts w:hint="eastAsia" w:ascii="宋体" w:hAnsi="宋体" w:eastAsia="宋体" w:cs="宋体"/>
          <w:b w:val="0"/>
          <w:color w:val="auto"/>
          <w:sz w:val="24"/>
          <w:szCs w:val="24"/>
          <w:highlight w:val="none"/>
        </w:rPr>
        <w:t>18.7 通知义务</w:t>
      </w:r>
      <w:bookmarkEnd w:id="795"/>
    </w:p>
    <w:bookmarkEnd w:id="796"/>
    <w:p w14:paraId="45F3AE0D">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54977253">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保险事故发生时，投保人应按照保险合同规定的条件和期限及时向保险人报告。发包人和承包人应当在知道保险事故发生后及时通知对方。</w:t>
      </w:r>
    </w:p>
    <w:p w14:paraId="1D8D0D89">
      <w:pPr>
        <w:pStyle w:val="6"/>
        <w:spacing w:before="120" w:after="120" w:line="360" w:lineRule="auto"/>
        <w:rPr>
          <w:rFonts w:hint="eastAsia" w:ascii="宋体" w:hAnsi="宋体" w:eastAsia="宋体" w:cs="宋体"/>
          <w:b w:val="0"/>
          <w:color w:val="auto"/>
          <w:sz w:val="24"/>
          <w:szCs w:val="24"/>
          <w:highlight w:val="none"/>
        </w:rPr>
      </w:pPr>
      <w:bookmarkStart w:id="797" w:name="_Toc351203620"/>
      <w:bookmarkStart w:id="798" w:name="_Toc296346641"/>
      <w:bookmarkStart w:id="799" w:name="_Toc337558835"/>
      <w:bookmarkStart w:id="800" w:name="_Toc296503140"/>
      <w:r>
        <w:rPr>
          <w:rFonts w:hint="eastAsia" w:ascii="宋体" w:hAnsi="宋体" w:eastAsia="宋体" w:cs="宋体"/>
          <w:b w:val="0"/>
          <w:color w:val="auto"/>
          <w:sz w:val="24"/>
          <w:szCs w:val="24"/>
          <w:highlight w:val="none"/>
        </w:rPr>
        <w:t>19. 索赔</w:t>
      </w:r>
      <w:bookmarkEnd w:id="797"/>
    </w:p>
    <w:bookmarkEnd w:id="798"/>
    <w:bookmarkEnd w:id="799"/>
    <w:bookmarkEnd w:id="800"/>
    <w:p w14:paraId="40172619">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801" w:name="_Toc351203621"/>
      <w:bookmarkStart w:id="802" w:name="_Toc296346642"/>
      <w:bookmarkStart w:id="803" w:name="_Toc337558836"/>
      <w:bookmarkStart w:id="804" w:name="_Toc296503141"/>
      <w:r>
        <w:rPr>
          <w:rFonts w:hint="eastAsia" w:ascii="宋体" w:hAnsi="宋体" w:eastAsia="宋体" w:cs="宋体"/>
          <w:b w:val="0"/>
          <w:color w:val="auto"/>
          <w:sz w:val="24"/>
          <w:szCs w:val="24"/>
          <w:highlight w:val="none"/>
        </w:rPr>
        <w:t>19.1承包人的索赔</w:t>
      </w:r>
      <w:bookmarkEnd w:id="801"/>
    </w:p>
    <w:bookmarkEnd w:id="802"/>
    <w:bookmarkEnd w:id="803"/>
    <w:bookmarkEnd w:id="804"/>
    <w:p w14:paraId="44E723B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根据合同约定，承包人认为有权得到追加付款和（或）延长工期的，应按以下程序向发包人提出索赔：</w:t>
      </w:r>
    </w:p>
    <w:p w14:paraId="4305B09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F8F2B4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68832D4F">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33BD217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（4）在索赔事件影响结束后28天内，承包人应向监理人递交最终索赔报告，说明最终要求索赔的追加付款金额和（或）延长的工期，并附必要的记录和证明材料。</w:t>
      </w:r>
    </w:p>
    <w:p w14:paraId="46E90DA6">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805" w:name="_Toc351203622"/>
      <w:bookmarkStart w:id="806" w:name="_Toc337558837"/>
      <w:bookmarkStart w:id="807" w:name="_Toc296503142"/>
      <w:bookmarkStart w:id="808" w:name="_Toc296346643"/>
      <w:r>
        <w:rPr>
          <w:rFonts w:hint="eastAsia" w:ascii="宋体" w:hAnsi="宋体" w:eastAsia="宋体" w:cs="宋体"/>
          <w:b w:val="0"/>
          <w:color w:val="auto"/>
          <w:sz w:val="24"/>
          <w:szCs w:val="24"/>
          <w:highlight w:val="none"/>
        </w:rPr>
        <w:t>19.2 对承包人索赔的处理</w:t>
      </w:r>
      <w:bookmarkEnd w:id="805"/>
    </w:p>
    <w:bookmarkEnd w:id="806"/>
    <w:bookmarkEnd w:id="807"/>
    <w:bookmarkEnd w:id="808"/>
    <w:p w14:paraId="0B29DAB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对承包人索赔的处理如下：</w:t>
      </w:r>
    </w:p>
    <w:p w14:paraId="545F1C7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（1）监理人应在收到索赔报告后14天内完成审查并报送发包人。监理人对索赔报告存在异议的，有权要求承包人提交全部原始记录副本；</w:t>
      </w:r>
    </w:p>
    <w:p w14:paraId="4014050E">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392A49F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（3）承包人接受索赔处理结果的，索赔款项在当期进度款中进行支付；承包人不接受索赔处理结果的，按照第20条〔争议解决〕约定处理。</w:t>
      </w:r>
    </w:p>
    <w:p w14:paraId="122D1532">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809" w:name="_Toc351203623"/>
      <w:bookmarkStart w:id="810" w:name="_Toc337558838"/>
      <w:bookmarkStart w:id="811" w:name="_Toc296503143"/>
      <w:bookmarkStart w:id="812" w:name="_Toc296346644"/>
      <w:r>
        <w:rPr>
          <w:rFonts w:hint="eastAsia" w:ascii="宋体" w:hAnsi="宋体" w:eastAsia="宋体" w:cs="宋体"/>
          <w:b w:val="0"/>
          <w:color w:val="auto"/>
          <w:sz w:val="24"/>
          <w:szCs w:val="24"/>
          <w:highlight w:val="none"/>
        </w:rPr>
        <w:t>19.3发包人的索赔</w:t>
      </w:r>
      <w:bookmarkEnd w:id="809"/>
    </w:p>
    <w:bookmarkEnd w:id="810"/>
    <w:bookmarkEnd w:id="811"/>
    <w:bookmarkEnd w:id="812"/>
    <w:p w14:paraId="5CBA427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根据合同约定，发包人认为有权得到赔付金额和（或）延长缺陷责任期的，监理人应向承包人发出通知并附有详细的证明。</w:t>
      </w:r>
    </w:p>
    <w:p w14:paraId="57B8288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F3741E8">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813" w:name="_Toc351203624"/>
      <w:bookmarkStart w:id="814" w:name="_Toc296503144"/>
      <w:bookmarkStart w:id="815" w:name="_Toc296346645"/>
      <w:bookmarkStart w:id="816" w:name="_Toc337558839"/>
      <w:r>
        <w:rPr>
          <w:rFonts w:hint="eastAsia" w:ascii="宋体" w:hAnsi="宋体" w:eastAsia="宋体" w:cs="宋体"/>
          <w:b w:val="0"/>
          <w:color w:val="auto"/>
          <w:sz w:val="24"/>
          <w:szCs w:val="24"/>
          <w:highlight w:val="none"/>
        </w:rPr>
        <w:t>19.4 对发包人索赔的处理</w:t>
      </w:r>
      <w:bookmarkEnd w:id="813"/>
    </w:p>
    <w:bookmarkEnd w:id="814"/>
    <w:bookmarkEnd w:id="815"/>
    <w:bookmarkEnd w:id="816"/>
    <w:p w14:paraId="099E8BC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对发包人索赔的处理如下：</w:t>
      </w:r>
    </w:p>
    <w:p w14:paraId="543DE01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（1）承包人收到发包人提交的索赔报告后，应及时审查索赔报告的内容、查验发包人证明材料；</w:t>
      </w:r>
    </w:p>
    <w:p w14:paraId="52A8A51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4DC01E1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4CD64778">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817" w:name="_Toc351203625"/>
      <w:r>
        <w:rPr>
          <w:rFonts w:hint="eastAsia" w:ascii="宋体" w:hAnsi="宋体" w:eastAsia="宋体" w:cs="宋体"/>
          <w:b w:val="0"/>
          <w:color w:val="auto"/>
          <w:sz w:val="24"/>
          <w:szCs w:val="24"/>
          <w:highlight w:val="none"/>
        </w:rPr>
        <w:t>19.5 提出索赔的期限</w:t>
      </w:r>
      <w:bookmarkEnd w:id="817"/>
    </w:p>
    <w:p w14:paraId="16935030">
      <w:pPr>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（1）承包人按第14.2款〔竣工结算审核〕约定接收竣工付款证书后，应被视为已无权再提出在工程接收证书颁发前所发生的任何索赔。</w:t>
      </w:r>
    </w:p>
    <w:p w14:paraId="0B21A59A">
      <w:pPr>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（2）承包人按第14.4款〔最终结清〕提交的最终结清申请单中，只限于提出工程接收证书颁发后发生的索赔。提出索赔的期限自接受最终结清证书时终止。</w:t>
      </w:r>
    </w:p>
    <w:p w14:paraId="35693122">
      <w:pPr>
        <w:pStyle w:val="6"/>
        <w:spacing w:before="120" w:after="120" w:line="360" w:lineRule="auto"/>
        <w:rPr>
          <w:rFonts w:hint="eastAsia" w:ascii="宋体" w:hAnsi="宋体" w:eastAsia="宋体" w:cs="宋体"/>
          <w:b w:val="0"/>
          <w:color w:val="auto"/>
          <w:sz w:val="24"/>
          <w:szCs w:val="24"/>
          <w:highlight w:val="none"/>
        </w:rPr>
      </w:pPr>
      <w:bookmarkStart w:id="818" w:name="_Toc351203626"/>
      <w:r>
        <w:rPr>
          <w:rFonts w:hint="eastAsia" w:ascii="宋体" w:hAnsi="宋体" w:eastAsia="宋体" w:cs="宋体"/>
          <w:b w:val="0"/>
          <w:color w:val="auto"/>
          <w:sz w:val="24"/>
          <w:szCs w:val="24"/>
          <w:highlight w:val="none"/>
        </w:rPr>
        <w:t>20</w:t>
      </w:r>
      <w:bookmarkStart w:id="819" w:name="_Toc337558840"/>
      <w:bookmarkStart w:id="820" w:name="_Toc296503146"/>
      <w:bookmarkStart w:id="821" w:name="_Toc296346647"/>
      <w:r>
        <w:rPr>
          <w:rFonts w:hint="eastAsia" w:ascii="宋体" w:hAnsi="宋体" w:eastAsia="宋体" w:cs="宋体"/>
          <w:b w:val="0"/>
          <w:color w:val="auto"/>
          <w:sz w:val="24"/>
          <w:szCs w:val="24"/>
          <w:highlight w:val="none"/>
        </w:rPr>
        <w:t>. 争议解决</w:t>
      </w:r>
      <w:bookmarkEnd w:id="818"/>
    </w:p>
    <w:bookmarkEnd w:id="819"/>
    <w:bookmarkEnd w:id="820"/>
    <w:bookmarkEnd w:id="821"/>
    <w:p w14:paraId="70D7435A">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822" w:name="_Toc351203627"/>
      <w:bookmarkStart w:id="823" w:name="_Toc296346648"/>
      <w:bookmarkStart w:id="824" w:name="_Toc337558841"/>
      <w:bookmarkStart w:id="825" w:name="_Toc296503147"/>
      <w:r>
        <w:rPr>
          <w:rFonts w:hint="eastAsia" w:ascii="宋体" w:hAnsi="宋体" w:eastAsia="宋体" w:cs="宋体"/>
          <w:b w:val="0"/>
          <w:color w:val="auto"/>
          <w:sz w:val="24"/>
          <w:szCs w:val="24"/>
          <w:highlight w:val="none"/>
        </w:rPr>
        <w:t>20.1和解</w:t>
      </w:r>
      <w:bookmarkEnd w:id="822"/>
    </w:p>
    <w:bookmarkEnd w:id="823"/>
    <w:bookmarkEnd w:id="824"/>
    <w:bookmarkEnd w:id="825"/>
    <w:p w14:paraId="46270BE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合同当事人可以就争议自行和解，自行和解达成协议的经双方签字并盖章后作为合同补充文件，双方均应遵照执行。</w:t>
      </w:r>
    </w:p>
    <w:p w14:paraId="2DC1B455">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826" w:name="_Toc351203628"/>
      <w:r>
        <w:rPr>
          <w:rFonts w:hint="eastAsia" w:ascii="宋体" w:hAnsi="宋体" w:eastAsia="宋体" w:cs="宋体"/>
          <w:b w:val="0"/>
          <w:color w:val="auto"/>
          <w:sz w:val="24"/>
          <w:szCs w:val="24"/>
          <w:highlight w:val="none"/>
        </w:rPr>
        <w:t>20</w:t>
      </w:r>
      <w:bookmarkStart w:id="827" w:name="_Toc337558842"/>
      <w:bookmarkStart w:id="828" w:name="_Toc296346649"/>
      <w:bookmarkStart w:id="829" w:name="_Toc296503148"/>
      <w:r>
        <w:rPr>
          <w:rFonts w:hint="eastAsia" w:ascii="宋体" w:hAnsi="宋体" w:eastAsia="宋体" w:cs="宋体"/>
          <w:b w:val="0"/>
          <w:color w:val="auto"/>
          <w:sz w:val="24"/>
          <w:szCs w:val="24"/>
          <w:highlight w:val="none"/>
        </w:rPr>
        <w:t>.2调解</w:t>
      </w:r>
      <w:bookmarkEnd w:id="826"/>
    </w:p>
    <w:bookmarkEnd w:id="827"/>
    <w:bookmarkEnd w:id="828"/>
    <w:bookmarkEnd w:id="829"/>
    <w:p w14:paraId="3668F3C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合同当事人可以就争议请求建设行政主管部门、行业协会或其他第三方进行调解，调解达成协议的，经双方签字并盖章后作为合同补充文件，双方均应遵照执行。</w:t>
      </w:r>
    </w:p>
    <w:p w14:paraId="55DB70BB">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830" w:name="_Toc351203629"/>
      <w:bookmarkStart w:id="831" w:name="_Toc337558843"/>
      <w:bookmarkStart w:id="832" w:name="_Toc296503149"/>
      <w:bookmarkStart w:id="833" w:name="_Toc296346650"/>
      <w:r>
        <w:rPr>
          <w:rFonts w:hint="eastAsia" w:ascii="宋体" w:hAnsi="宋体" w:eastAsia="宋体" w:cs="宋体"/>
          <w:b w:val="0"/>
          <w:color w:val="auto"/>
          <w:sz w:val="24"/>
          <w:szCs w:val="24"/>
          <w:highlight w:val="none"/>
        </w:rPr>
        <w:t>20.3争议评审</w:t>
      </w:r>
      <w:bookmarkEnd w:id="830"/>
    </w:p>
    <w:bookmarkEnd w:id="831"/>
    <w:bookmarkEnd w:id="832"/>
    <w:bookmarkEnd w:id="833"/>
    <w:p w14:paraId="699B531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合同当事人在专用合同条款中约定采取争议评审方式解决争议以及评审规则，并按下列约定执行： </w:t>
      </w:r>
    </w:p>
    <w:p w14:paraId="2407211C">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20.3.1 争议评审小组的确定</w:t>
      </w:r>
    </w:p>
    <w:p w14:paraId="62892B5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1EF2DBA1">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137A82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除专用合同条款另有约定外，评审员报酬由发包人和承包人各承担一半。</w:t>
      </w:r>
    </w:p>
    <w:p w14:paraId="263FB542">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26A42BED">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7799859">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20.3.3 争议评审小组决定的效力</w:t>
      </w:r>
    </w:p>
    <w:p w14:paraId="65E16880">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争议评审小组作出的书面决定经合同当事人签字确认后，对双方具有约束力，双方应遵照执行。</w:t>
      </w:r>
    </w:p>
    <w:p w14:paraId="69B410EB">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任何一方当事人不接受争议评审小组决定或不履行争议评审小组决定的，双方可选择采用其他争议解决方式。</w:t>
      </w:r>
    </w:p>
    <w:p w14:paraId="5D2DDDF9">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834" w:name="_Toc351203630"/>
      <w:bookmarkStart w:id="835" w:name="_Toc296503150"/>
      <w:bookmarkStart w:id="836" w:name="_Toc296346651"/>
      <w:bookmarkStart w:id="837" w:name="_Toc337558844"/>
      <w:r>
        <w:rPr>
          <w:rFonts w:hint="eastAsia" w:ascii="宋体" w:hAnsi="宋体" w:eastAsia="宋体" w:cs="宋体"/>
          <w:b w:val="0"/>
          <w:color w:val="auto"/>
          <w:sz w:val="24"/>
          <w:szCs w:val="24"/>
          <w:highlight w:val="none"/>
        </w:rPr>
        <w:t>20.4仲裁或诉讼</w:t>
      </w:r>
      <w:bookmarkEnd w:id="834"/>
    </w:p>
    <w:bookmarkEnd w:id="835"/>
    <w:bookmarkEnd w:id="836"/>
    <w:bookmarkEnd w:id="837"/>
    <w:p w14:paraId="7A4CB694">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因合同及合同有关事项产生的争议，合同当事人可以在专用合同条款中约定以下一种方式解决争议：</w:t>
      </w:r>
    </w:p>
    <w:p w14:paraId="52B126B6">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（1）向约定的仲裁委员会申请仲裁；</w:t>
      </w:r>
    </w:p>
    <w:p w14:paraId="3B4C8F95">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（2）向有管辖权的人民法院起诉。</w:t>
      </w:r>
    </w:p>
    <w:p w14:paraId="29498F3D">
      <w:pPr>
        <w:pStyle w:val="7"/>
        <w:spacing w:before="120" w:after="120" w:line="360" w:lineRule="auto"/>
        <w:ind w:firstLine="480" w:firstLineChars="200"/>
        <w:rPr>
          <w:rFonts w:hint="eastAsia" w:ascii="宋体" w:hAnsi="宋体" w:eastAsia="宋体" w:cs="宋体"/>
          <w:b w:val="0"/>
          <w:color w:val="auto"/>
          <w:sz w:val="24"/>
          <w:szCs w:val="24"/>
          <w:highlight w:val="none"/>
        </w:rPr>
      </w:pPr>
      <w:bookmarkStart w:id="838" w:name="_Toc351203631"/>
      <w:bookmarkStart w:id="839" w:name="_Toc296346653"/>
      <w:bookmarkStart w:id="840" w:name="_Toc296503152"/>
      <w:bookmarkStart w:id="841" w:name="_Toc337558845"/>
      <w:r>
        <w:rPr>
          <w:rFonts w:hint="eastAsia" w:ascii="宋体" w:hAnsi="宋体" w:eastAsia="宋体" w:cs="宋体"/>
          <w:b w:val="0"/>
          <w:color w:val="auto"/>
          <w:sz w:val="24"/>
          <w:szCs w:val="24"/>
          <w:highlight w:val="none"/>
        </w:rPr>
        <w:t>20.5争议解决条款效力</w:t>
      </w:r>
      <w:bookmarkEnd w:id="838"/>
    </w:p>
    <w:bookmarkEnd w:id="839"/>
    <w:bookmarkEnd w:id="840"/>
    <w:bookmarkEnd w:id="841"/>
    <w:p w14:paraId="61288223">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合同有关争议解决的条款独立存在，合同的变更、解除、终止、无效或者被撤销均不影响其效力。 </w:t>
      </w:r>
    </w:p>
    <w:p w14:paraId="36C0B05B">
      <w:pPr>
        <w:pStyle w:val="964"/>
        <w:spacing w:before="0" w:after="0" w:line="240" w:lineRule="auto"/>
        <w:ind w:firstLine="88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第三部分 专用合同条款</w:t>
      </w:r>
    </w:p>
    <w:bookmarkEnd w:id="412"/>
    <w:p w14:paraId="03F4060A">
      <w:pPr>
        <w:pStyle w:val="6"/>
        <w:rPr>
          <w:rFonts w:hint="eastAsia" w:ascii="宋体" w:hAnsi="宋体" w:eastAsia="宋体" w:cs="宋体"/>
          <w:color w:val="auto"/>
          <w:sz w:val="24"/>
          <w:szCs w:val="24"/>
          <w:highlight w:val="none"/>
        </w:rPr>
      </w:pPr>
      <w:bookmarkStart w:id="842" w:name="_Toc351203633"/>
      <w:r>
        <w:rPr>
          <w:rFonts w:hint="eastAsia" w:ascii="宋体" w:hAnsi="宋体" w:eastAsia="宋体" w:cs="宋体"/>
          <w:color w:val="auto"/>
          <w:sz w:val="24"/>
          <w:szCs w:val="24"/>
          <w:highlight w:val="none"/>
        </w:rPr>
        <w:t>1</w:t>
      </w:r>
      <w:bookmarkStart w:id="843" w:name="_Toc297048342"/>
      <w:bookmarkStart w:id="844" w:name="_Toc296347155"/>
      <w:bookmarkStart w:id="845" w:name="_Toc296503156"/>
      <w:bookmarkStart w:id="846" w:name="_Toc292559866"/>
      <w:bookmarkStart w:id="847" w:name="_Toc296944495"/>
      <w:bookmarkStart w:id="848" w:name="_Toc292559361"/>
      <w:bookmarkStart w:id="849" w:name="_Toc297120456"/>
      <w:bookmarkStart w:id="850" w:name="_Toc296890984"/>
      <w:bookmarkStart w:id="851" w:name="_Toc296346657"/>
      <w:bookmarkStart w:id="852" w:name="_Toc296891196"/>
      <w:r>
        <w:rPr>
          <w:rFonts w:hint="eastAsia" w:ascii="宋体" w:hAnsi="宋体" w:eastAsia="宋体" w:cs="宋体"/>
          <w:color w:val="auto"/>
          <w:sz w:val="24"/>
          <w:szCs w:val="24"/>
          <w:highlight w:val="none"/>
        </w:rPr>
        <w:t>. 一般约定</w:t>
      </w:r>
      <w:bookmarkEnd w:id="842"/>
    </w:p>
    <w:bookmarkEnd w:id="843"/>
    <w:bookmarkEnd w:id="844"/>
    <w:bookmarkEnd w:id="845"/>
    <w:bookmarkEnd w:id="846"/>
    <w:bookmarkEnd w:id="847"/>
    <w:bookmarkEnd w:id="848"/>
    <w:bookmarkEnd w:id="849"/>
    <w:bookmarkEnd w:id="850"/>
    <w:bookmarkEnd w:id="851"/>
    <w:bookmarkEnd w:id="852"/>
    <w:p w14:paraId="3D2D96B6">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0BA7E79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1.1.1合同</w:t>
      </w:r>
    </w:p>
    <w:p w14:paraId="15B576F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1.1.1.1其他合同文件包括：</w:t>
      </w:r>
      <w:r>
        <w:rPr>
          <w:rFonts w:hint="eastAsia" w:ascii="宋体" w:hAnsi="宋体" w:eastAsia="宋体" w:cs="宋体"/>
          <w:color w:val="auto"/>
          <w:sz w:val="24"/>
          <w:szCs w:val="24"/>
          <w:highlight w:val="none"/>
          <w:u w:val="single"/>
        </w:rPr>
        <w:t>施工组织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"http://baike.baidu.com/view/14417.htm"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u w:val="single"/>
        </w:rPr>
        <w:t>设计</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rPr>
        <w:t>是用来指导</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"http://baike.baidu.com/view/1094820.htm"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u w:val="single"/>
        </w:rPr>
        <w:t>施工项目</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rPr>
        <w:t>全过程各项活动的技术、经济和组织的综合性文件</w:t>
      </w:r>
      <w:r>
        <w:rPr>
          <w:rFonts w:hint="eastAsia" w:ascii="宋体" w:hAnsi="宋体" w:eastAsia="宋体" w:cs="宋体"/>
          <w:color w:val="auto"/>
          <w:sz w:val="24"/>
          <w:szCs w:val="24"/>
          <w:highlight w:val="none"/>
        </w:rPr>
        <w:t>。</w:t>
      </w:r>
    </w:p>
    <w:p w14:paraId="3DBDEB5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3FF815B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监理人（以下必须填写）：</w:t>
      </w:r>
    </w:p>
    <w:p w14:paraId="074D42F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7F8622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1B114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838A5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E9016C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B199F6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设计人（以下必须填写）：</w:t>
      </w:r>
    </w:p>
    <w:p w14:paraId="5A06FAD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7F00C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27D206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64D2AC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7D9AD3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9BAB2A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1782D3B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作为施工现场组成部分的其他场所包括：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DD1F46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永久占地包括：</w:t>
      </w:r>
      <w:r>
        <w:rPr>
          <w:rFonts w:hint="eastAsia" w:ascii="宋体" w:hAnsi="宋体" w:eastAsia="宋体" w:cs="宋体"/>
          <w:color w:val="auto"/>
          <w:sz w:val="24"/>
          <w:szCs w:val="24"/>
          <w:highlight w:val="none"/>
          <w:u w:val="single"/>
        </w:rPr>
        <w:t>施工范围内为实施本合同工程需永久占用的土地</w:t>
      </w:r>
      <w:r>
        <w:rPr>
          <w:rFonts w:hint="eastAsia" w:ascii="宋体" w:hAnsi="宋体" w:eastAsia="宋体" w:cs="宋体"/>
          <w:color w:val="auto"/>
          <w:sz w:val="24"/>
          <w:szCs w:val="24"/>
          <w:highlight w:val="none"/>
        </w:rPr>
        <w:t>。</w:t>
      </w:r>
    </w:p>
    <w:p w14:paraId="53AD034B">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临时占地包括：</w:t>
      </w:r>
      <w:r>
        <w:rPr>
          <w:rFonts w:hint="eastAsia" w:ascii="宋体" w:hAnsi="宋体" w:eastAsia="宋体" w:cs="宋体"/>
          <w:color w:val="auto"/>
          <w:sz w:val="24"/>
          <w:szCs w:val="24"/>
          <w:highlight w:val="none"/>
          <w:u w:val="single"/>
        </w:rPr>
        <w:t>指永久占地之外为实施合同工程需临时占用的土地。</w:t>
      </w:r>
    </w:p>
    <w:p w14:paraId="2F335C91">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法律 </w:t>
      </w:r>
    </w:p>
    <w:p w14:paraId="58ED65E7">
      <w:pPr>
        <w:pStyle w:val="7"/>
        <w:spacing w:before="120" w:after="120" w:line="58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p>
    <w:p w14:paraId="0285AC6F">
      <w:pPr>
        <w:autoSpaceDE w:val="0"/>
        <w:autoSpaceDN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（1）《杭州市建设工程工程量清单计价实施细则》</w:t>
      </w:r>
    </w:p>
    <w:p w14:paraId="04F401CD">
      <w:pPr>
        <w:autoSpaceDE w:val="0"/>
        <w:autoSpaceDN w:val="0"/>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（2）《关于进一步加强建筑施工领域企业安全生产工作的实施意见》的通知 （杭建工发〔2011〕130号）</w:t>
      </w:r>
    </w:p>
    <w:p w14:paraId="05888D59">
      <w:pPr>
        <w:autoSpaceDE w:val="0"/>
        <w:autoSpaceDN w:val="0"/>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（3）《关于进一步加强建设工程安全质量物联网管理应用平台建设的通知》（杭建工发【2012】426号）</w:t>
      </w:r>
    </w:p>
    <w:p w14:paraId="68AF5FA0">
      <w:pPr>
        <w:autoSpaceDE w:val="0"/>
        <w:autoSpaceDN w:val="0"/>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（4）《杭州市人民政府办公厅关于印发杭州市建设工程推广应用预拌砂浆管理办法的通知》（杭政办函（2011）32号）</w:t>
      </w:r>
    </w:p>
    <w:p w14:paraId="18B11AF3">
      <w:pPr>
        <w:autoSpaceDE w:val="0"/>
        <w:autoSpaceDN w:val="0"/>
        <w:spacing w:line="500" w:lineRule="exact"/>
        <w:ind w:firstLine="472" w:firstLineChars="197"/>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（5）《关于落实建筑工棚安装空调事宜的通知》（杭建工发【2011】237号）</w:t>
      </w:r>
    </w:p>
    <w:p w14:paraId="0489D0B0">
      <w:pPr>
        <w:autoSpaceDE w:val="0"/>
        <w:autoSpaceDN w:val="0"/>
        <w:spacing w:line="500" w:lineRule="exact"/>
        <w:ind w:firstLine="472" w:firstLineChars="197"/>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（6）《关于进一步加强杭州市建设工程市场要素价格动态管理的指导意见》（杭建市发〔2018〕579号）</w:t>
      </w:r>
    </w:p>
    <w:p w14:paraId="44713637">
      <w:pPr>
        <w:autoSpaceDE w:val="0"/>
        <w:autoSpaceDN w:val="0"/>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（7）《关于进一步明确杭州市建设工程优质工程增加费计取规定的通知》（杭建市【2012】240号）</w:t>
      </w:r>
    </w:p>
    <w:p w14:paraId="598C3603">
      <w:pPr>
        <w:autoSpaceDE w:val="0"/>
        <w:autoSpaceDN w:val="0"/>
        <w:spacing w:line="500" w:lineRule="exact"/>
        <w:ind w:left="424" w:leftChars="202"/>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（8）新工艺、新技术的约定：                             </w:t>
      </w:r>
    </w:p>
    <w:p w14:paraId="3FD56A50">
      <w:pPr>
        <w:autoSpaceDE w:val="0"/>
        <w:autoSpaceDN w:val="0"/>
        <w:spacing w:line="500" w:lineRule="exact"/>
        <w:ind w:left="424" w:leftChars="202"/>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（9）其他：地方政府或部门颁发的其他相关规定             </w:t>
      </w:r>
    </w:p>
    <w:p w14:paraId="1394FB06">
      <w:pPr>
        <w:autoSpaceDE w:val="0"/>
        <w:autoSpaceDN w:val="0"/>
        <w:spacing w:line="500" w:lineRule="exact"/>
        <w:ind w:left="424" w:leftChars="202"/>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①《关于进一步加强杭州市建设工程安全文明施工费计取管理规定的通知》（杭建市〔2016〕25号）及《关于规范建设工程安全文明施工费计取的通知》（建建发[2015]517号）</w:t>
      </w:r>
    </w:p>
    <w:p w14:paraId="37041E55">
      <w:pPr>
        <w:autoSpaceDE w:val="0"/>
        <w:autoSpaceDN w:val="0"/>
        <w:spacing w:line="500" w:lineRule="exact"/>
        <w:ind w:left="424" w:leftChars="202"/>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②关于贯彻浙江省建设厅《关于建筑业实施营改增后浙江省建设工程计价规则调整》的通知（杭建市发[2016]216号）及系列文件</w:t>
      </w:r>
    </w:p>
    <w:p w14:paraId="0F739B97">
      <w:pPr>
        <w:autoSpaceDE w:val="0"/>
        <w:autoSpaceDN w:val="0"/>
        <w:spacing w:line="500" w:lineRule="exact"/>
        <w:ind w:left="424" w:leftChars="202"/>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③《杭州市建筑市场管理若干规定》（杭州市人民政府令第277号）</w:t>
      </w:r>
    </w:p>
    <w:p w14:paraId="7E5C04F4">
      <w:pPr>
        <w:autoSpaceDE w:val="0"/>
        <w:autoSpaceDN w:val="0"/>
        <w:spacing w:line="500" w:lineRule="exact"/>
        <w:ind w:left="424" w:leftChars="202"/>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④《杭州市建设工程文明施工管理规定》（杭州市人民政府令第278号）</w:t>
      </w:r>
    </w:p>
    <w:p w14:paraId="71D0D76C">
      <w:pPr>
        <w:autoSpaceDE w:val="0"/>
        <w:autoSpaceDN w:val="0"/>
        <w:spacing w:line="500" w:lineRule="exact"/>
        <w:ind w:left="424" w:leftChars="202"/>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⑤浙江省、杭州市相关政策文件</w:t>
      </w:r>
    </w:p>
    <w:p w14:paraId="2A5CF52A">
      <w:pPr>
        <w:autoSpaceDE w:val="0"/>
        <w:autoSpaceDN w:val="0"/>
        <w:spacing w:line="500" w:lineRule="exact"/>
        <w:ind w:left="424" w:leftChars="202"/>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⑥其他适用于本工程的法规文件。</w:t>
      </w:r>
    </w:p>
    <w:p w14:paraId="139A4B0A">
      <w:pPr>
        <w:autoSpaceDE w:val="0"/>
        <w:autoSpaceDN w:val="0"/>
        <w:spacing w:line="500" w:lineRule="exact"/>
        <w:ind w:left="424" w:leftChars="202"/>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以上文件若有新规定新要求并适用于本工程的，按新文件执行。 </w:t>
      </w:r>
    </w:p>
    <w:p w14:paraId="1884A6F2">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标准和规范</w:t>
      </w:r>
    </w:p>
    <w:p w14:paraId="69B46B9F">
      <w:pPr>
        <w:spacing w:line="500" w:lineRule="exact"/>
        <w:ind w:left="596" w:leftChars="2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.1适用于工程的标准规范包括：</w:t>
      </w:r>
      <w:r>
        <w:rPr>
          <w:rFonts w:hint="eastAsia" w:ascii="宋体" w:hAnsi="宋体" w:eastAsia="宋体" w:cs="宋体"/>
          <w:color w:val="auto"/>
          <w:sz w:val="24"/>
          <w:szCs w:val="24"/>
          <w:highlight w:val="none"/>
          <w:u w:val="single"/>
        </w:rPr>
        <w:t></w:t>
      </w:r>
      <w:r>
        <w:rPr>
          <w:rFonts w:hint="eastAsia" w:ascii="宋体" w:hAnsi="宋体" w:eastAsia="宋体" w:cs="宋体"/>
          <w:b/>
          <w:color w:val="auto"/>
          <w:sz w:val="24"/>
          <w:szCs w:val="24"/>
          <w:highlight w:val="none"/>
          <w:u w:val="single"/>
        </w:rPr>
        <w:t xml:space="preserve">按通用条款约定 </w:t>
      </w:r>
      <w:r>
        <w:rPr>
          <w:rFonts w:hint="eastAsia" w:ascii="宋体" w:hAnsi="宋体" w:eastAsia="宋体" w:cs="宋体"/>
          <w:color w:val="auto"/>
          <w:sz w:val="24"/>
          <w:szCs w:val="24"/>
          <w:highlight w:val="none"/>
        </w:rPr>
        <w:t>。</w:t>
      </w:r>
    </w:p>
    <w:p w14:paraId="13E6C854">
      <w:pPr>
        <w:spacing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发包人提供国外标准、规范的名称：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2AF60D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发包人提供国外标准、规范的份数：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459A4D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A6B9D6B">
      <w:pPr>
        <w:spacing w:line="500" w:lineRule="exact"/>
        <w:ind w:left="596" w:leftChars="2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.3发包人对工程的技术标准和功能要求的特殊要求：</w:t>
      </w:r>
    </w:p>
    <w:p w14:paraId="32123927">
      <w:pPr>
        <w:spacing w:line="500" w:lineRule="exact"/>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eastAsia="宋体" w:cs="宋体"/>
          <w:b/>
          <w:bCs/>
          <w:color w:val="auto"/>
          <w:sz w:val="24"/>
          <w:szCs w:val="24"/>
          <w:highlight w:val="none"/>
          <w:u w:val="single"/>
        </w:rPr>
        <w:t>详见设计文件和招标技术要求</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B50980C">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合同文件的优先顺序</w:t>
      </w:r>
    </w:p>
    <w:p w14:paraId="57F97C57">
      <w:pPr>
        <w:autoSpaceDE w:val="0"/>
        <w:autoSpaceDN w:val="0"/>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u w:val="single"/>
        </w:rPr>
        <w:t>合同协议书</w:t>
      </w:r>
      <w:r>
        <w:rPr>
          <w:rFonts w:hint="eastAsia" w:ascii="宋体" w:hAnsi="宋体" w:eastAsia="宋体" w:cs="宋体"/>
          <w:b/>
          <w:color w:val="auto"/>
          <w:sz w:val="24"/>
          <w:szCs w:val="24"/>
          <w:highlight w:val="none"/>
        </w:rPr>
        <w:t>；</w:t>
      </w:r>
    </w:p>
    <w:p w14:paraId="03697DDB">
      <w:pPr>
        <w:autoSpaceDE w:val="0"/>
        <w:autoSpaceDN w:val="0"/>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u w:val="single"/>
        </w:rPr>
        <w:t>中标通知书（或项目发承包基本情况表）</w:t>
      </w:r>
      <w:r>
        <w:rPr>
          <w:rFonts w:hint="eastAsia" w:ascii="宋体" w:hAnsi="宋体" w:eastAsia="宋体" w:cs="宋体"/>
          <w:b/>
          <w:color w:val="auto"/>
          <w:sz w:val="24"/>
          <w:szCs w:val="24"/>
          <w:highlight w:val="none"/>
        </w:rPr>
        <w:t>；</w:t>
      </w:r>
    </w:p>
    <w:p w14:paraId="0B50FB47">
      <w:pPr>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u w:val="single"/>
        </w:rPr>
        <w:t>投标函及其附录（如果有）</w:t>
      </w:r>
      <w:r>
        <w:rPr>
          <w:rFonts w:hint="eastAsia" w:ascii="宋体" w:hAnsi="宋体" w:eastAsia="宋体" w:cs="宋体"/>
          <w:b/>
          <w:color w:val="auto"/>
          <w:sz w:val="24"/>
          <w:szCs w:val="24"/>
          <w:highlight w:val="none"/>
        </w:rPr>
        <w:t>；</w:t>
      </w:r>
    </w:p>
    <w:p w14:paraId="26EAF795">
      <w:pPr>
        <w:autoSpaceDE w:val="0"/>
        <w:autoSpaceDN w:val="0"/>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u w:val="single"/>
        </w:rPr>
        <w:t>专用合同条款及其附件</w:t>
      </w:r>
      <w:r>
        <w:rPr>
          <w:rFonts w:hint="eastAsia" w:ascii="宋体" w:hAnsi="宋体" w:eastAsia="宋体" w:cs="宋体"/>
          <w:b/>
          <w:color w:val="auto"/>
          <w:sz w:val="24"/>
          <w:szCs w:val="24"/>
          <w:highlight w:val="none"/>
        </w:rPr>
        <w:t>；</w:t>
      </w:r>
    </w:p>
    <w:p w14:paraId="3F774811">
      <w:pPr>
        <w:autoSpaceDE w:val="0"/>
        <w:autoSpaceDN w:val="0"/>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u w:val="single"/>
        </w:rPr>
        <w:t>通用合同条款</w:t>
      </w:r>
      <w:r>
        <w:rPr>
          <w:rFonts w:hint="eastAsia" w:ascii="宋体" w:hAnsi="宋体" w:eastAsia="宋体" w:cs="宋体"/>
          <w:b/>
          <w:color w:val="auto"/>
          <w:sz w:val="24"/>
          <w:szCs w:val="24"/>
          <w:highlight w:val="none"/>
        </w:rPr>
        <w:t>；</w:t>
      </w:r>
    </w:p>
    <w:p w14:paraId="6CBEF617">
      <w:pPr>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u w:val="single"/>
        </w:rPr>
        <w:t>技术标准和要求</w:t>
      </w:r>
      <w:r>
        <w:rPr>
          <w:rFonts w:hint="eastAsia" w:ascii="宋体" w:hAnsi="宋体" w:eastAsia="宋体" w:cs="宋体"/>
          <w:b/>
          <w:color w:val="auto"/>
          <w:sz w:val="24"/>
          <w:szCs w:val="24"/>
          <w:highlight w:val="none"/>
        </w:rPr>
        <w:t>；</w:t>
      </w:r>
    </w:p>
    <w:p w14:paraId="0680DFBA">
      <w:pPr>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u w:val="single"/>
        </w:rPr>
        <w:t>图纸；</w:t>
      </w:r>
    </w:p>
    <w:p w14:paraId="75A5DC06">
      <w:pPr>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u w:val="single"/>
        </w:rPr>
        <w:t>已标价工程量清单或预算书</w:t>
      </w:r>
      <w:r>
        <w:rPr>
          <w:rFonts w:hint="eastAsia" w:ascii="宋体" w:hAnsi="宋体" w:eastAsia="宋体" w:cs="宋体"/>
          <w:b/>
          <w:color w:val="auto"/>
          <w:sz w:val="24"/>
          <w:szCs w:val="24"/>
          <w:highlight w:val="none"/>
        </w:rPr>
        <w:t>；</w:t>
      </w:r>
    </w:p>
    <w:p w14:paraId="5595B626">
      <w:pPr>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u w:val="single"/>
        </w:rPr>
        <w:t>其他合同文件</w:t>
      </w:r>
      <w:r>
        <w:rPr>
          <w:rFonts w:hint="eastAsia" w:ascii="宋体" w:hAnsi="宋体" w:eastAsia="宋体" w:cs="宋体"/>
          <w:b/>
          <w:color w:val="auto"/>
          <w:sz w:val="24"/>
          <w:szCs w:val="24"/>
          <w:highlight w:val="none"/>
        </w:rPr>
        <w:t>：</w:t>
      </w:r>
    </w:p>
    <w:p w14:paraId="2CBABFF3">
      <w:pPr>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 xml:space="preserve"> ①</w:t>
      </w:r>
      <w:r>
        <w:rPr>
          <w:rFonts w:hint="eastAsia" w:ascii="宋体" w:hAnsi="宋体" w:eastAsia="宋体" w:cs="宋体"/>
          <w:b/>
          <w:color w:val="auto"/>
          <w:sz w:val="24"/>
          <w:szCs w:val="24"/>
          <w:highlight w:val="none"/>
          <w:u w:val="single"/>
        </w:rPr>
        <w:t>施工组织设计</w:t>
      </w:r>
      <w:r>
        <w:rPr>
          <w:rFonts w:hint="eastAsia" w:ascii="宋体" w:hAnsi="宋体" w:eastAsia="宋体" w:cs="宋体"/>
          <w:b/>
          <w:color w:val="auto"/>
          <w:sz w:val="24"/>
          <w:szCs w:val="24"/>
          <w:highlight w:val="none"/>
        </w:rPr>
        <w:t>；</w:t>
      </w:r>
    </w:p>
    <w:p w14:paraId="2688E71E">
      <w:pPr>
        <w:spacing w:line="500" w:lineRule="exact"/>
        <w:ind w:firstLine="475" w:firstLineChars="19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②</w:t>
      </w:r>
      <w:r>
        <w:rPr>
          <w:rFonts w:hint="eastAsia" w:ascii="宋体" w:hAnsi="宋体" w:eastAsia="宋体" w:cs="宋体"/>
          <w:b/>
          <w:color w:val="auto"/>
          <w:sz w:val="24"/>
          <w:szCs w:val="24"/>
          <w:highlight w:val="none"/>
          <w:u w:val="single"/>
        </w:rPr>
        <w:t>其他：发包人、承包人有关工程的洽商、工程变更、询标纪要等书面协议或文件及招标文件、补充招标文件等相关文件</w:t>
      </w:r>
      <w:r>
        <w:rPr>
          <w:rFonts w:hint="eastAsia" w:ascii="宋体" w:hAnsi="宋体" w:eastAsia="宋体" w:cs="宋体"/>
          <w:b/>
          <w:color w:val="auto"/>
          <w:sz w:val="24"/>
          <w:szCs w:val="24"/>
          <w:highlight w:val="none"/>
        </w:rPr>
        <w:t>。</w:t>
      </w:r>
    </w:p>
    <w:p w14:paraId="11F4AEC2">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图纸和承包人文件</w:t>
      </w:r>
      <w:r>
        <w:rPr>
          <w:rFonts w:hint="eastAsia" w:ascii="宋体" w:hAnsi="宋体" w:eastAsia="宋体" w:cs="宋体"/>
          <w:color w:val="auto"/>
          <w:sz w:val="24"/>
          <w:szCs w:val="24"/>
          <w:highlight w:val="none"/>
        </w:rPr>
        <w:tab/>
      </w:r>
    </w:p>
    <w:p w14:paraId="3C0CB34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图纸的提供</w:t>
      </w:r>
    </w:p>
    <w:p w14:paraId="634B8E2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本合同签订后十四天内</w:t>
      </w:r>
      <w:r>
        <w:rPr>
          <w:rFonts w:hint="eastAsia" w:ascii="宋体" w:hAnsi="宋体" w:eastAsia="宋体" w:cs="宋体"/>
          <w:color w:val="auto"/>
          <w:sz w:val="24"/>
          <w:szCs w:val="24"/>
          <w:highlight w:val="none"/>
        </w:rPr>
        <w:t>；</w:t>
      </w:r>
    </w:p>
    <w:p w14:paraId="35D609C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肆套（包括制作竣工图的原始施工图），如承包人额外需要提供施工图纸的，则额外增加的施工图纸的制作费由承包人承担</w:t>
      </w:r>
      <w:r>
        <w:rPr>
          <w:rFonts w:hint="eastAsia" w:ascii="宋体" w:hAnsi="宋体" w:eastAsia="宋体" w:cs="宋体"/>
          <w:color w:val="auto"/>
          <w:sz w:val="24"/>
          <w:szCs w:val="24"/>
          <w:highlight w:val="none"/>
        </w:rPr>
        <w:t>；</w:t>
      </w:r>
    </w:p>
    <w:p w14:paraId="661E01D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施工图（详见签收表）</w:t>
      </w:r>
      <w:r>
        <w:rPr>
          <w:rFonts w:hint="eastAsia" w:ascii="宋体" w:hAnsi="宋体" w:eastAsia="宋体" w:cs="宋体"/>
          <w:color w:val="auto"/>
          <w:sz w:val="24"/>
          <w:szCs w:val="24"/>
          <w:highlight w:val="none"/>
        </w:rPr>
        <w:t>。</w:t>
      </w:r>
    </w:p>
    <w:p w14:paraId="46C7CCD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承包人文件</w:t>
      </w:r>
    </w:p>
    <w:p w14:paraId="5B8F8D44">
      <w:pPr>
        <w:spacing w:line="500" w:lineRule="exact"/>
        <w:ind w:left="596" w:leftChars="28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施工组织设计、进度计划、发包人和政府规定要求必须提供的其他文件</w:t>
      </w:r>
      <w:r>
        <w:rPr>
          <w:rFonts w:hint="eastAsia" w:ascii="宋体" w:hAnsi="宋体" w:eastAsia="宋体" w:cs="宋体"/>
          <w:color w:val="auto"/>
          <w:sz w:val="24"/>
          <w:szCs w:val="24"/>
          <w:highlight w:val="none"/>
        </w:rPr>
        <w:t>；</w:t>
      </w:r>
    </w:p>
    <w:p w14:paraId="279F20B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发包人提出要求后7天内</w:t>
      </w:r>
      <w:r>
        <w:rPr>
          <w:rFonts w:hint="eastAsia" w:ascii="宋体" w:hAnsi="宋体" w:eastAsia="宋体" w:cs="宋体"/>
          <w:color w:val="auto"/>
          <w:sz w:val="24"/>
          <w:szCs w:val="24"/>
          <w:highlight w:val="none"/>
        </w:rPr>
        <w:t>；</w:t>
      </w:r>
    </w:p>
    <w:p w14:paraId="4DC3AE2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双方协商确定       </w:t>
      </w:r>
      <w:r>
        <w:rPr>
          <w:rFonts w:hint="eastAsia" w:ascii="宋体" w:hAnsi="宋体" w:eastAsia="宋体" w:cs="宋体"/>
          <w:color w:val="auto"/>
          <w:sz w:val="24"/>
          <w:szCs w:val="24"/>
          <w:highlight w:val="none"/>
        </w:rPr>
        <w:t>；</w:t>
      </w:r>
    </w:p>
    <w:p w14:paraId="715813F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按发包人要求      </w:t>
      </w:r>
      <w:r>
        <w:rPr>
          <w:rFonts w:hint="eastAsia" w:ascii="宋体" w:hAnsi="宋体" w:eastAsia="宋体" w:cs="宋体"/>
          <w:color w:val="auto"/>
          <w:sz w:val="24"/>
          <w:szCs w:val="24"/>
          <w:highlight w:val="none"/>
        </w:rPr>
        <w:t>；</w:t>
      </w:r>
    </w:p>
    <w:p w14:paraId="6122636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 xml:space="preserve">收到后7天内     </w:t>
      </w:r>
      <w:r>
        <w:rPr>
          <w:rFonts w:hint="eastAsia" w:ascii="宋体" w:hAnsi="宋体" w:eastAsia="宋体" w:cs="宋体"/>
          <w:color w:val="auto"/>
          <w:sz w:val="24"/>
          <w:szCs w:val="24"/>
          <w:highlight w:val="none"/>
        </w:rPr>
        <w:t>。</w:t>
      </w:r>
    </w:p>
    <w:p w14:paraId="4005E05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现场图纸准备</w:t>
      </w:r>
    </w:p>
    <w:p w14:paraId="1A29C5A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发包人、监理人及有关人员进行工程检查时使用的图纸由承包人提供</w:t>
      </w:r>
      <w:r>
        <w:rPr>
          <w:rFonts w:hint="eastAsia" w:ascii="宋体" w:hAnsi="宋体" w:eastAsia="宋体" w:cs="宋体"/>
          <w:color w:val="auto"/>
          <w:sz w:val="24"/>
          <w:szCs w:val="24"/>
          <w:highlight w:val="none"/>
        </w:rPr>
        <w:t>。</w:t>
      </w:r>
    </w:p>
    <w:p w14:paraId="5CB2C754">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联络</w:t>
      </w:r>
    </w:p>
    <w:p w14:paraId="66391A9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.1发包人和承包人应当在</w:t>
      </w:r>
      <w:r>
        <w:rPr>
          <w:rFonts w:hint="eastAsia" w:ascii="宋体" w:hAnsi="宋体" w:eastAsia="宋体" w:cs="宋体"/>
          <w:color w:val="auto"/>
          <w:sz w:val="24"/>
          <w:szCs w:val="24"/>
          <w:highlight w:val="none"/>
          <w:u w:val="single"/>
        </w:rPr>
        <w:t>叁</w:t>
      </w:r>
      <w:r>
        <w:rPr>
          <w:rFonts w:hint="eastAsia" w:ascii="宋体" w:hAnsi="宋体" w:eastAsia="宋体" w:cs="宋体"/>
          <w:color w:val="auto"/>
          <w:sz w:val="24"/>
          <w:szCs w:val="24"/>
          <w:highlight w:val="none"/>
        </w:rPr>
        <w:t>天内将与合同有关的通知、批准、证明、证书、指示、指令、要求、请求、同意、意见、确定和决定等书面函件送达对方当事人。</w:t>
      </w:r>
    </w:p>
    <w:p w14:paraId="42417B7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发包人接收文件的地点：</w:t>
      </w:r>
      <w:r>
        <w:rPr>
          <w:rFonts w:hint="eastAsia" w:ascii="宋体" w:hAnsi="宋体" w:eastAsia="宋体" w:cs="宋体"/>
          <w:color w:val="auto"/>
          <w:sz w:val="24"/>
          <w:szCs w:val="24"/>
          <w:highlight w:val="none"/>
          <w:u w:val="single"/>
        </w:rPr>
        <w:t xml:space="preserve"> 杭州市西湖区</w:t>
      </w:r>
      <w:r>
        <w:rPr>
          <w:rFonts w:hint="eastAsia" w:ascii="宋体" w:hAnsi="宋体" w:eastAsia="宋体" w:cs="宋体"/>
          <w:color w:val="auto"/>
          <w:sz w:val="24"/>
          <w:szCs w:val="24"/>
          <w:highlight w:val="none"/>
          <w:u w:val="single"/>
          <w:lang w:val="en-US" w:eastAsia="zh-CN"/>
        </w:rPr>
        <w:t>综合行政执法局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0C5434D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发包人指定的接收人为：</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575FB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 xml:space="preserve">  杭州市西湖区</w:t>
      </w:r>
      <w:r>
        <w:rPr>
          <w:rFonts w:hint="eastAsia" w:ascii="宋体" w:hAnsi="宋体" w:eastAsia="宋体" w:cs="宋体"/>
          <w:color w:val="auto"/>
          <w:sz w:val="24"/>
          <w:szCs w:val="24"/>
          <w:highlight w:val="none"/>
          <w:u w:val="single"/>
          <w:lang w:val="en-US" w:eastAsia="zh-CN"/>
        </w:rPr>
        <w:t>综合行政执法局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D10D48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4AD30C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监理人接收文件的地点：</w:t>
      </w:r>
      <w:r>
        <w:rPr>
          <w:rFonts w:hint="eastAsia" w:ascii="宋体" w:hAnsi="宋体" w:eastAsia="宋体" w:cs="宋体"/>
          <w:color w:val="auto"/>
          <w:sz w:val="24"/>
          <w:szCs w:val="24"/>
          <w:highlight w:val="none"/>
          <w:u w:val="single"/>
        </w:rPr>
        <w:t>杭州市西湖区</w:t>
      </w:r>
      <w:r>
        <w:rPr>
          <w:rFonts w:hint="eastAsia" w:ascii="宋体" w:hAnsi="宋体" w:eastAsia="宋体" w:cs="宋体"/>
          <w:color w:val="auto"/>
          <w:sz w:val="24"/>
          <w:szCs w:val="24"/>
          <w:highlight w:val="none"/>
          <w:u w:val="single"/>
          <w:lang w:val="en-US" w:eastAsia="zh-CN"/>
        </w:rPr>
        <w:t>综合行政执法局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61DEC9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监理人指定的接收人为：</w:t>
      </w:r>
      <w:r>
        <w:rPr>
          <w:rFonts w:hint="eastAsia" w:ascii="宋体" w:hAnsi="宋体" w:eastAsia="宋体" w:cs="宋体"/>
          <w:color w:val="auto"/>
          <w:sz w:val="24"/>
          <w:szCs w:val="24"/>
          <w:highlight w:val="none"/>
          <w:u w:val="single"/>
        </w:rPr>
        <w:t></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16B8D195">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交通运输</w:t>
      </w:r>
    </w:p>
    <w:p w14:paraId="2A8F0D52">
      <w:pPr>
        <w:spacing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853" w:name="_Toc304295521"/>
      <w:bookmarkStart w:id="854" w:name="_Toc303539100"/>
      <w:bookmarkStart w:id="855" w:name="_Toc318581155"/>
      <w:bookmarkStart w:id="856" w:name="_Toc300934943"/>
      <w:bookmarkStart w:id="857" w:name="_Toc31267798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出入现场的权利</w:t>
      </w:r>
    </w:p>
    <w:p w14:paraId="79E4C0DC">
      <w:pPr>
        <w:spacing w:line="500" w:lineRule="exact"/>
        <w:ind w:left="596" w:leftChars="28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bookmarkEnd w:id="853"/>
    <w:bookmarkEnd w:id="854"/>
    <w:bookmarkEnd w:id="855"/>
    <w:bookmarkEnd w:id="856"/>
    <w:bookmarkEnd w:id="857"/>
    <w:p w14:paraId="408A24E2">
      <w:pPr>
        <w:spacing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858" w:name="_Toc318581156"/>
      <w:bookmarkStart w:id="859" w:name="_Toc300934944"/>
      <w:bookmarkStart w:id="860" w:name="_Toc303539101"/>
      <w:bookmarkStart w:id="861" w:name="_Toc312677987"/>
      <w:bookmarkStart w:id="862" w:name="_Toc30429552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场内交通</w:t>
      </w:r>
    </w:p>
    <w:p w14:paraId="68FF2BD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关于场外交通和场内交通的边界的约定：</w:t>
      </w:r>
      <w:r>
        <w:rPr>
          <w:rFonts w:hint="eastAsia" w:ascii="宋体" w:hAnsi="宋体" w:eastAsia="宋体" w:cs="宋体"/>
          <w:color w:val="auto"/>
          <w:sz w:val="24"/>
          <w:szCs w:val="24"/>
          <w:highlight w:val="none"/>
          <w:u w:val="single"/>
        </w:rPr>
        <w:t>以施工现场围墙（挡）为界</w:t>
      </w:r>
      <w:r>
        <w:rPr>
          <w:rFonts w:hint="eastAsia" w:ascii="宋体" w:hAnsi="宋体" w:eastAsia="宋体" w:cs="宋体"/>
          <w:color w:val="auto"/>
          <w:sz w:val="24"/>
          <w:szCs w:val="24"/>
          <w:highlight w:val="none"/>
        </w:rPr>
        <w:t>。</w:t>
      </w:r>
    </w:p>
    <w:p w14:paraId="610F4C1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利用现有的场内道路和交通设施，如需新建，承包人自行建设，并承担费用</w:t>
      </w:r>
      <w:r>
        <w:rPr>
          <w:rFonts w:hint="eastAsia" w:ascii="宋体" w:hAnsi="宋体" w:eastAsia="宋体" w:cs="宋体"/>
          <w:color w:val="auto"/>
          <w:sz w:val="24"/>
          <w:szCs w:val="24"/>
          <w:highlight w:val="none"/>
        </w:rPr>
        <w:t>。</w:t>
      </w:r>
      <w:bookmarkEnd w:id="858"/>
      <w:bookmarkEnd w:id="859"/>
      <w:bookmarkEnd w:id="860"/>
      <w:bookmarkEnd w:id="861"/>
      <w:bookmarkEnd w:id="862"/>
      <w:bookmarkStart w:id="863" w:name="_Toc318581157"/>
    </w:p>
    <w:p w14:paraId="3DD363A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超大件和超重件的运输</w:t>
      </w:r>
    </w:p>
    <w:p w14:paraId="68B3028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p w14:paraId="53AC0CC9">
      <w:pPr>
        <w:spacing w:line="5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本工程的超大件：</w:t>
      </w:r>
      <w:r>
        <w:rPr>
          <w:rFonts w:hint="eastAsia" w:ascii="宋体" w:hAnsi="宋体" w:eastAsia="宋体" w:cs="宋体"/>
          <w:b/>
          <w:color w:val="auto"/>
          <w:sz w:val="24"/>
          <w:szCs w:val="24"/>
          <w:highlight w:val="none"/>
          <w:u w:val="single"/>
        </w:rPr>
        <w:t xml:space="preserve"> 见设计施工图                       </w:t>
      </w:r>
      <w:r>
        <w:rPr>
          <w:rFonts w:hint="eastAsia" w:ascii="宋体" w:hAnsi="宋体" w:eastAsia="宋体" w:cs="宋体"/>
          <w:b/>
          <w:color w:val="auto"/>
          <w:sz w:val="24"/>
          <w:szCs w:val="24"/>
          <w:highlight w:val="none"/>
        </w:rPr>
        <w:t>。</w:t>
      </w:r>
    </w:p>
    <w:p w14:paraId="02DEC98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本工程的超重件：</w:t>
      </w:r>
      <w:r>
        <w:rPr>
          <w:rFonts w:hint="eastAsia" w:ascii="宋体" w:hAnsi="宋体" w:eastAsia="宋体" w:cs="宋体"/>
          <w:b/>
          <w:color w:val="auto"/>
          <w:sz w:val="24"/>
          <w:szCs w:val="24"/>
          <w:highlight w:val="none"/>
          <w:u w:val="single"/>
        </w:rPr>
        <w:t xml:space="preserve"> 见设计施工图</w:t>
      </w:r>
      <w:r>
        <w:rPr>
          <w:rFonts w:hint="eastAsia" w:ascii="宋体" w:hAnsi="宋体" w:eastAsia="宋体" w:cs="宋体"/>
          <w:color w:val="auto"/>
          <w:sz w:val="24"/>
          <w:szCs w:val="24"/>
          <w:highlight w:val="none"/>
        </w:rPr>
        <w:t>。</w:t>
      </w:r>
    </w:p>
    <w:bookmarkEnd w:id="863"/>
    <w:p w14:paraId="5C18A1B1">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知识产权</w:t>
      </w:r>
    </w:p>
    <w:p w14:paraId="309EE5F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4B6360EC">
      <w:pPr>
        <w:spacing w:line="500" w:lineRule="exact"/>
        <w:ind w:left="596" w:leftChars="2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5687C1D3">
      <w:pPr>
        <w:spacing w:line="500" w:lineRule="exact"/>
        <w:ind w:left="596" w:leftChars="284"/>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关于承包人为实施工程所编制文件的著作权的归属：</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58CE3CB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1FF934C4">
      <w:pPr>
        <w:spacing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承包人在施工过程中所采用的专利、专有技术、技术秘密的使用费的承担方式：</w:t>
      </w:r>
      <w:r>
        <w:rPr>
          <w:rFonts w:hint="eastAsia" w:ascii="宋体" w:hAnsi="宋体" w:eastAsia="宋体" w:cs="宋体"/>
          <w:b/>
          <w:color w:val="auto"/>
          <w:sz w:val="24"/>
          <w:szCs w:val="24"/>
          <w:highlight w:val="none"/>
          <w:u w:val="single"/>
        </w:rPr>
        <w:t xml:space="preserve">（除发包人指明外）承包人在施工过程中所采用的专利、专有技术、技术秘密的使用费包含在合同价款内  </w:t>
      </w:r>
      <w:r>
        <w:rPr>
          <w:rFonts w:hint="eastAsia" w:ascii="宋体" w:hAnsi="宋体" w:eastAsia="宋体" w:cs="宋体"/>
          <w:color w:val="auto"/>
          <w:sz w:val="24"/>
          <w:szCs w:val="24"/>
          <w:highlight w:val="none"/>
        </w:rPr>
        <w:t>。</w:t>
      </w:r>
    </w:p>
    <w:p w14:paraId="7DCF48EF">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工程量清单错误的修正</w:t>
      </w:r>
    </w:p>
    <w:p w14:paraId="4E17479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是      </w:t>
      </w:r>
      <w:r>
        <w:rPr>
          <w:rFonts w:hint="eastAsia" w:ascii="宋体" w:hAnsi="宋体" w:eastAsia="宋体" w:cs="宋体"/>
          <w:color w:val="auto"/>
          <w:sz w:val="24"/>
          <w:szCs w:val="24"/>
          <w:highlight w:val="none"/>
        </w:rPr>
        <w:t>。</w:t>
      </w:r>
    </w:p>
    <w:p w14:paraId="464E1E8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按10.4条执行</w:t>
      </w:r>
      <w:r>
        <w:rPr>
          <w:rFonts w:hint="eastAsia" w:ascii="宋体" w:hAnsi="宋体" w:eastAsia="宋体" w:cs="宋体"/>
          <w:color w:val="auto"/>
          <w:sz w:val="24"/>
          <w:szCs w:val="24"/>
          <w:highlight w:val="none"/>
        </w:rPr>
        <w:t>。</w:t>
      </w:r>
    </w:p>
    <w:p w14:paraId="4C4B69FE">
      <w:pPr>
        <w:spacing w:line="5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调整合同价格的修正时间：</w:t>
      </w:r>
      <w:r>
        <w:rPr>
          <w:rFonts w:hint="eastAsia" w:ascii="宋体" w:hAnsi="宋体" w:eastAsia="宋体" w:cs="宋体"/>
          <w:color w:val="auto"/>
          <w:sz w:val="24"/>
          <w:szCs w:val="24"/>
          <w:highlight w:val="none"/>
          <w:u w:val="single"/>
        </w:rPr>
        <w:t>发生时双方协商确定</w:t>
      </w:r>
      <w:r>
        <w:rPr>
          <w:rFonts w:hint="eastAsia" w:ascii="宋体" w:hAnsi="宋体" w:eastAsia="宋体" w:cs="宋体"/>
          <w:bCs/>
          <w:color w:val="auto"/>
          <w:sz w:val="24"/>
          <w:szCs w:val="24"/>
          <w:highlight w:val="none"/>
        </w:rPr>
        <w:t xml:space="preserve">。 </w:t>
      </w:r>
    </w:p>
    <w:p w14:paraId="28B742D9">
      <w:pPr>
        <w:pStyle w:val="6"/>
        <w:spacing w:before="120" w:after="120" w:line="360" w:lineRule="auto"/>
        <w:rPr>
          <w:rFonts w:hint="eastAsia" w:ascii="宋体" w:hAnsi="宋体" w:eastAsia="宋体" w:cs="宋体"/>
          <w:b w:val="0"/>
          <w:color w:val="auto"/>
          <w:sz w:val="24"/>
          <w:szCs w:val="24"/>
          <w:highlight w:val="none"/>
        </w:rPr>
      </w:pPr>
      <w:bookmarkStart w:id="864" w:name="_Toc351203634"/>
      <w:r>
        <w:rPr>
          <w:rFonts w:hint="eastAsia" w:ascii="宋体" w:hAnsi="宋体" w:eastAsia="宋体" w:cs="宋体"/>
          <w:b w:val="0"/>
          <w:color w:val="auto"/>
          <w:sz w:val="24"/>
          <w:szCs w:val="24"/>
          <w:highlight w:val="none"/>
        </w:rPr>
        <w:t>2</w:t>
      </w:r>
      <w:bookmarkStart w:id="865" w:name="_Toc296891197"/>
      <w:bookmarkStart w:id="866" w:name="_Toc296347156"/>
      <w:bookmarkStart w:id="867" w:name="_Toc296944496"/>
      <w:bookmarkStart w:id="868" w:name="_Toc296503157"/>
      <w:bookmarkStart w:id="869" w:name="_Toc292559867"/>
      <w:bookmarkStart w:id="870" w:name="_Toc296890985"/>
      <w:bookmarkStart w:id="871" w:name="_Toc297120457"/>
      <w:bookmarkStart w:id="872" w:name="_Toc297048343"/>
      <w:bookmarkStart w:id="873" w:name="_Toc296346658"/>
      <w:bookmarkStart w:id="874" w:name="_Toc292559362"/>
      <w:r>
        <w:rPr>
          <w:rFonts w:hint="eastAsia" w:ascii="宋体" w:hAnsi="宋体" w:eastAsia="宋体" w:cs="宋体"/>
          <w:b w:val="0"/>
          <w:color w:val="auto"/>
          <w:sz w:val="24"/>
          <w:szCs w:val="24"/>
          <w:highlight w:val="none"/>
        </w:rPr>
        <w:t>. 发包人</w:t>
      </w:r>
      <w:bookmarkEnd w:id="864"/>
    </w:p>
    <w:bookmarkEnd w:id="865"/>
    <w:bookmarkEnd w:id="866"/>
    <w:bookmarkEnd w:id="867"/>
    <w:bookmarkEnd w:id="868"/>
    <w:bookmarkEnd w:id="869"/>
    <w:bookmarkEnd w:id="870"/>
    <w:bookmarkEnd w:id="871"/>
    <w:bookmarkEnd w:id="872"/>
    <w:bookmarkEnd w:id="873"/>
    <w:bookmarkEnd w:id="874"/>
    <w:p w14:paraId="17E86EA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发包人代表（按各项目负责人填写）</w:t>
      </w:r>
    </w:p>
    <w:p w14:paraId="55256C3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0C26E2A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 </w:t>
      </w:r>
      <w:r>
        <w:rPr>
          <w:rFonts w:hint="eastAsia" w:ascii="宋体" w:hAnsi="宋体" w:eastAsia="宋体" w:cs="宋体"/>
          <w:color w:val="auto"/>
          <w:sz w:val="24"/>
          <w:szCs w:val="24"/>
          <w:highlight w:val="none"/>
        </w:rPr>
        <w:t>；</w:t>
      </w:r>
    </w:p>
    <w:p w14:paraId="0769388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91FBD2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652763D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D531D4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A93580F">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b/>
          <w:bCs/>
          <w:color w:val="auto"/>
          <w:sz w:val="24"/>
          <w:szCs w:val="24"/>
          <w:highlight w:val="none"/>
          <w:u w:val="single"/>
        </w:rPr>
        <w:t>对质量、成本、安全、进度进行全面管理，涉及合同价格变更、安全事故、质量事故等重大事项的处理须经发包人</w:t>
      </w:r>
      <w:r>
        <w:rPr>
          <w:rFonts w:hint="eastAsia" w:ascii="宋体" w:hAnsi="宋体" w:eastAsia="宋体" w:cs="宋体"/>
          <w:b/>
          <w:bCs/>
          <w:color w:val="auto"/>
          <w:sz w:val="24"/>
          <w:szCs w:val="24"/>
          <w:highlight w:val="none"/>
          <w:u w:val="single"/>
          <w:lang w:val="en-US" w:eastAsia="zh-Hans"/>
        </w:rPr>
        <w:t>相关有权部门</w:t>
      </w:r>
      <w:r>
        <w:rPr>
          <w:rFonts w:hint="eastAsia" w:ascii="宋体" w:hAnsi="宋体" w:eastAsia="宋体" w:cs="宋体"/>
          <w:b/>
          <w:bCs/>
          <w:color w:val="auto"/>
          <w:sz w:val="24"/>
          <w:szCs w:val="24"/>
          <w:highlight w:val="none"/>
          <w:u w:val="single"/>
          <w:lang w:eastAsia="zh-Hans"/>
        </w:rPr>
        <w:t>/</w:t>
      </w:r>
      <w:r>
        <w:rPr>
          <w:rFonts w:hint="eastAsia" w:ascii="宋体" w:hAnsi="宋体" w:eastAsia="宋体" w:cs="宋体"/>
          <w:b/>
          <w:bCs/>
          <w:color w:val="auto"/>
          <w:sz w:val="24"/>
          <w:szCs w:val="24"/>
          <w:highlight w:val="none"/>
          <w:u w:val="single"/>
          <w:lang w:val="en-US" w:eastAsia="zh-Hans"/>
        </w:rPr>
        <w:t>机构决议通过并出具书面</w:t>
      </w:r>
      <w:r>
        <w:rPr>
          <w:rFonts w:hint="eastAsia" w:ascii="宋体" w:hAnsi="宋体" w:eastAsia="宋体" w:cs="宋体"/>
          <w:b/>
          <w:bCs/>
          <w:color w:val="auto"/>
          <w:sz w:val="24"/>
          <w:szCs w:val="24"/>
          <w:highlight w:val="none"/>
          <w:u w:val="single"/>
        </w:rPr>
        <w:t>同意</w:t>
      </w:r>
      <w:r>
        <w:rPr>
          <w:rFonts w:hint="eastAsia" w:ascii="宋体" w:hAnsi="宋体" w:eastAsia="宋体" w:cs="宋体"/>
          <w:color w:val="auto"/>
          <w:sz w:val="24"/>
          <w:szCs w:val="24"/>
          <w:highlight w:val="none"/>
          <w:u w:val="single"/>
        </w:rPr>
        <w:t>。</w:t>
      </w:r>
    </w:p>
    <w:p w14:paraId="15224245">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督促承包人按照合同约定的工期、施工进度、施工图纸、质量技术标准、施工工艺、安全与环保生产条件、劳工保护规定等进行施工,发出指令，代表发包人检查工程进度、参与材料与设备的验收，对承包人的违反合同约定或法律法规规定的行为发出工程变更联系单，对工程涉及的设计、工艺等问题提出处理建议。</w:t>
      </w:r>
    </w:p>
    <w:p w14:paraId="54CA59C1">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（2）代为签收承包人、项目经理送达的工程变更联系单或者文件。</w:t>
      </w:r>
    </w:p>
    <w:p w14:paraId="6F6FA49E">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（3）代表发包人检查工程质量、监督工程施工安全，处理工程中涉及质量、安全的有关问题，并就质量、安全等方面发出指令。代表发包人参与基础工程、中间工程、隐蔽工程、整体工程施工质量的验收。</w:t>
      </w:r>
    </w:p>
    <w:p w14:paraId="683025F9">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有关确认工期延长、增加工程价款的工程变更联系单或其他文件，同意豁免承包人任何经济责任、违约责任的工程变更联系单或其他文件，暂停或终止施工的工程变更联系单或其他文件，对合同条款的实质性变更文件，均必须由发包人相关有权部门/机构决议通过</w:t>
      </w:r>
      <w:r>
        <w:rPr>
          <w:rFonts w:hint="eastAsia" w:ascii="宋体" w:hAnsi="宋体" w:eastAsia="宋体" w:cs="宋体"/>
          <w:color w:val="auto"/>
          <w:sz w:val="24"/>
          <w:szCs w:val="24"/>
          <w:highlight w:val="none"/>
          <w:u w:val="single"/>
          <w:lang w:eastAsia="zh-Hans"/>
        </w:rPr>
        <w:t>，</w:t>
      </w:r>
      <w:r>
        <w:rPr>
          <w:rFonts w:hint="eastAsia" w:ascii="宋体" w:hAnsi="宋体" w:eastAsia="宋体" w:cs="宋体"/>
          <w:color w:val="auto"/>
          <w:sz w:val="24"/>
          <w:szCs w:val="24"/>
          <w:highlight w:val="none"/>
          <w:u w:val="single"/>
          <w:lang w:val="en-US" w:eastAsia="zh-Hans"/>
        </w:rPr>
        <w:t>且由发包人委托代理人</w:t>
      </w:r>
      <w:r>
        <w:rPr>
          <w:rFonts w:hint="eastAsia" w:ascii="宋体" w:hAnsi="宋体" w:eastAsia="宋体" w:cs="宋体"/>
          <w:color w:val="auto"/>
          <w:sz w:val="24"/>
          <w:szCs w:val="24"/>
          <w:highlight w:val="none"/>
          <w:u w:val="single"/>
          <w:lang w:eastAsia="zh-Hans"/>
        </w:rPr>
        <w:t>/</w:t>
      </w:r>
      <w:r>
        <w:rPr>
          <w:rFonts w:hint="eastAsia" w:ascii="宋体" w:hAnsi="宋体" w:eastAsia="宋体" w:cs="宋体"/>
          <w:color w:val="auto"/>
          <w:sz w:val="24"/>
          <w:szCs w:val="24"/>
          <w:highlight w:val="none"/>
          <w:u w:val="single"/>
          <w:lang w:val="en-US" w:eastAsia="zh-Hans"/>
        </w:rPr>
        <w:t>法定代表人</w:t>
      </w:r>
      <w:r>
        <w:rPr>
          <w:rFonts w:hint="eastAsia" w:ascii="宋体" w:hAnsi="宋体" w:eastAsia="宋体" w:cs="宋体"/>
          <w:color w:val="auto"/>
          <w:sz w:val="24"/>
          <w:szCs w:val="24"/>
          <w:highlight w:val="none"/>
          <w:u w:val="single"/>
        </w:rPr>
        <w:t>签字并加盖发包人公章后方能生效，否则无效，且不能作为竣工结算的有效依据，即使承包人已经送达或者发包人委派的工程师已经签署文件。</w:t>
      </w:r>
    </w:p>
    <w:p w14:paraId="1A9CB75F">
      <w:pPr>
        <w:spacing w:line="500" w:lineRule="exact"/>
        <w:ind w:firstLine="480" w:firstLineChars="200"/>
        <w:rPr>
          <w:rFonts w:hint="eastAsia" w:ascii="宋体" w:hAnsi="宋体" w:eastAsia="宋体" w:cs="宋体"/>
          <w:b/>
          <w:bCs/>
          <w:color w:val="auto"/>
          <w:sz w:val="24"/>
          <w:szCs w:val="24"/>
          <w:highlight w:val="none"/>
        </w:rPr>
      </w:pPr>
    </w:p>
    <w:p w14:paraId="396AA503">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施工现场、施工条件和基础资料的提供</w:t>
      </w:r>
    </w:p>
    <w:p w14:paraId="636CBA8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提供施工现场</w:t>
      </w:r>
    </w:p>
    <w:p w14:paraId="3A600EE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276E613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提供施工条件</w:t>
      </w:r>
    </w:p>
    <w:p w14:paraId="3051B999">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color w:val="auto"/>
          <w:sz w:val="24"/>
          <w:szCs w:val="24"/>
          <w:highlight w:val="none"/>
          <w:u w:val="single"/>
        </w:rPr>
        <w:t>除通用合同条款第2.4.2条规定外，开工日3天前，由发包人组织设计人、承包人、监理单位进行图纸会审，设计人向承包人进行设计交底</w:t>
      </w:r>
      <w:r>
        <w:rPr>
          <w:rFonts w:hint="eastAsia" w:ascii="宋体" w:hAnsi="宋体" w:eastAsia="宋体" w:cs="宋体"/>
          <w:color w:val="auto"/>
          <w:sz w:val="24"/>
          <w:szCs w:val="24"/>
          <w:highlight w:val="none"/>
        </w:rPr>
        <w:t>。</w:t>
      </w:r>
    </w:p>
    <w:p w14:paraId="00864514">
      <w:pPr>
        <w:autoSpaceDE w:val="0"/>
        <w:autoSpaceDN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（1）施工场地具备施工条件的要求及完成的时间：在开工前提供符合开工条件的施工场地。临时设施的搭建原则在红线范围内解决。若在红线范围外由承包人与其他单位协商解决。</w:t>
      </w:r>
    </w:p>
    <w:p w14:paraId="4BB8EC47">
      <w:pPr>
        <w:autoSpaceDE w:val="0"/>
        <w:autoSpaceDN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（2）将施工所需的水、电、电讯线路接至施工场地的时间、地点和供应要求：开工前临时电接至现场。由承包人接至场内相关费用自行承担。</w:t>
      </w:r>
    </w:p>
    <w:p w14:paraId="5E0C5223">
      <w:pPr>
        <w:autoSpaceDE w:val="0"/>
        <w:autoSpaceDN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（3）施工场地与公共道路的通道开通时间和要求：开工前7 天开通，需满足施工的实际运输要求，但施工期间的维护及相应费用由承包人承担。</w:t>
      </w:r>
    </w:p>
    <w:p w14:paraId="7A200CBA">
      <w:pPr>
        <w:autoSpaceDE w:val="0"/>
        <w:autoSpaceDN w:val="0"/>
        <w:spacing w:line="500" w:lineRule="exact"/>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（4）工程地质和地下管线资料的提供时间：工程地质报告及地下管线资料（除招标时已提供的以外）开工前提供。承包人收到发包人提交的资料后7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w:t>
      </w:r>
    </w:p>
    <w:p w14:paraId="24C0492D">
      <w:pPr>
        <w:autoSpaceDE w:val="0"/>
        <w:autoSpaceDN w:val="0"/>
        <w:spacing w:line="500" w:lineRule="exac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包人如发现施工场地周围可能存在资料中未反映的地下管网线的，应立即停止施工并向发包人及相关单位书面报告，待确认安全后方可施工，否则，因施工损坏地下管网线的，由承包人承担责任。</w:t>
      </w:r>
    </w:p>
    <w:p w14:paraId="274F2F20">
      <w:pPr>
        <w:autoSpaceDE w:val="0"/>
        <w:autoSpaceDN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（5）由发包人办理的施工所需证件、批件的名称和完成时间：开工前陆续提供，承包人应协助发包人办理。</w:t>
      </w:r>
    </w:p>
    <w:p w14:paraId="34324209">
      <w:pPr>
        <w:autoSpaceDE w:val="0"/>
        <w:autoSpaceDN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（6）水准点与座标控制点交验要求：开工前3 天，将水准点和坐标控制点以书面形式提交给承包人，双方在现场交验水准点和坐标控制点，交验完毕，即由承包人负责保护，此后由于破坏或失准带来的重新放点费用和其他损失均由承包人负责。工程完工后，承包人将水准点和坐标控制点完好无损的交还给发包人。</w:t>
      </w:r>
    </w:p>
    <w:p w14:paraId="4611F1EC">
      <w:pPr>
        <w:autoSpaceDE w:val="0"/>
        <w:autoSpaceDN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协调处理施工场地周围地下管线和邻近建筑物、构筑物（含文物保护建筑）、古树名木的保护工作：承包人在施工前对场地周围建筑物和地下管线提出保护方案后，发包人须及时会同有关部门进行审核，以便承包人进行施工，确保其安全正常进行。</w:t>
      </w:r>
    </w:p>
    <w:p w14:paraId="55AEE662">
      <w:pPr>
        <w:autoSpaceDE w:val="0"/>
        <w:autoSpaceDN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（8）发包人委托承包人办理的工作：应由承包人负责办理其他与施工及施工验收有关的手续，相关费用已包含在合同价款中</w:t>
      </w:r>
      <w:r>
        <w:rPr>
          <w:rFonts w:hint="eastAsia" w:ascii="宋体" w:hAnsi="宋体" w:eastAsia="宋体" w:cs="宋体"/>
          <w:color w:val="auto"/>
          <w:sz w:val="24"/>
          <w:szCs w:val="24"/>
          <w:highlight w:val="none"/>
        </w:rPr>
        <w:t>。</w:t>
      </w:r>
    </w:p>
    <w:p w14:paraId="1041AA4C">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资金来源证明及支付担保</w:t>
      </w:r>
    </w:p>
    <w:p w14:paraId="5BF133A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504D7FE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2D4D53B3">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4E9496B">
      <w:pPr>
        <w:pStyle w:val="6"/>
        <w:spacing w:before="120" w:after="120" w:line="360" w:lineRule="auto"/>
        <w:rPr>
          <w:rFonts w:hint="eastAsia" w:ascii="宋体" w:hAnsi="宋体" w:eastAsia="宋体" w:cs="宋体"/>
          <w:b w:val="0"/>
          <w:color w:val="auto"/>
          <w:sz w:val="24"/>
          <w:szCs w:val="24"/>
          <w:highlight w:val="none"/>
        </w:rPr>
      </w:pPr>
      <w:bookmarkStart w:id="875" w:name="_Toc351203635"/>
      <w:r>
        <w:rPr>
          <w:rFonts w:hint="eastAsia" w:ascii="宋体" w:hAnsi="宋体" w:eastAsia="宋体" w:cs="宋体"/>
          <w:b w:val="0"/>
          <w:color w:val="auto"/>
          <w:sz w:val="24"/>
          <w:szCs w:val="24"/>
          <w:highlight w:val="none"/>
        </w:rPr>
        <w:t>3</w:t>
      </w:r>
      <w:bookmarkStart w:id="876" w:name="_Toc297048344"/>
      <w:bookmarkStart w:id="877" w:name="_Toc296347157"/>
      <w:bookmarkStart w:id="878" w:name="_Toc296346659"/>
      <w:bookmarkStart w:id="879" w:name="_Toc296503158"/>
      <w:bookmarkStart w:id="880" w:name="_Toc296890986"/>
      <w:bookmarkStart w:id="881" w:name="_Toc292559868"/>
      <w:bookmarkStart w:id="882" w:name="_Toc296891198"/>
      <w:bookmarkStart w:id="883" w:name="_Toc297120458"/>
      <w:bookmarkStart w:id="884" w:name="_Toc296944497"/>
      <w:bookmarkStart w:id="885" w:name="_Toc292559363"/>
      <w:r>
        <w:rPr>
          <w:rFonts w:hint="eastAsia" w:ascii="宋体" w:hAnsi="宋体" w:eastAsia="宋体" w:cs="宋体"/>
          <w:b w:val="0"/>
          <w:color w:val="auto"/>
          <w:sz w:val="24"/>
          <w:szCs w:val="24"/>
          <w:highlight w:val="none"/>
        </w:rPr>
        <w:t>. 承包人</w:t>
      </w:r>
      <w:bookmarkEnd w:id="875"/>
    </w:p>
    <w:bookmarkEnd w:id="876"/>
    <w:bookmarkEnd w:id="877"/>
    <w:bookmarkEnd w:id="878"/>
    <w:bookmarkEnd w:id="879"/>
    <w:bookmarkEnd w:id="880"/>
    <w:bookmarkEnd w:id="881"/>
    <w:bookmarkEnd w:id="882"/>
    <w:bookmarkEnd w:id="883"/>
    <w:bookmarkEnd w:id="884"/>
    <w:bookmarkEnd w:id="885"/>
    <w:p w14:paraId="3D4FCC41">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3C4681D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b/>
          <w:bCs/>
          <w:color w:val="auto"/>
          <w:sz w:val="24"/>
          <w:szCs w:val="24"/>
          <w:highlight w:val="none"/>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w:t>
      </w:r>
      <w:r>
        <w:rPr>
          <w:rFonts w:hint="eastAsia" w:ascii="宋体" w:hAnsi="宋体" w:eastAsia="宋体" w:cs="宋体"/>
          <w:color w:val="auto"/>
          <w:sz w:val="24"/>
          <w:szCs w:val="24"/>
          <w:highlight w:val="none"/>
        </w:rPr>
        <w:t>。</w:t>
      </w:r>
    </w:p>
    <w:p w14:paraId="5F5FF97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一式肆份，同时提供电子文档</w:t>
      </w:r>
      <w:r>
        <w:rPr>
          <w:rFonts w:hint="eastAsia" w:ascii="宋体" w:hAnsi="宋体" w:eastAsia="宋体" w:cs="宋体"/>
          <w:color w:val="auto"/>
          <w:sz w:val="24"/>
          <w:szCs w:val="24"/>
          <w:highlight w:val="none"/>
        </w:rPr>
        <w:t>。</w:t>
      </w:r>
    </w:p>
    <w:p w14:paraId="1E96E67B">
      <w:pPr>
        <w:spacing w:line="500" w:lineRule="exact"/>
        <w:ind w:left="638" w:leftChars="3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承包人承担</w:t>
      </w:r>
      <w:r>
        <w:rPr>
          <w:rFonts w:hint="eastAsia" w:ascii="宋体" w:hAnsi="宋体" w:eastAsia="宋体" w:cs="宋体"/>
          <w:color w:val="auto"/>
          <w:sz w:val="24"/>
          <w:szCs w:val="24"/>
          <w:highlight w:val="none"/>
        </w:rPr>
        <w:t>。</w:t>
      </w:r>
    </w:p>
    <w:p w14:paraId="1A63BF2B">
      <w:pPr>
        <w:spacing w:line="500" w:lineRule="exact"/>
        <w:ind w:left="638" w:leftChars="3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合同规定的工程竣工前7天</w:t>
      </w:r>
      <w:r>
        <w:rPr>
          <w:rFonts w:hint="eastAsia" w:ascii="宋体" w:hAnsi="宋体" w:eastAsia="宋体" w:cs="宋体"/>
          <w:color w:val="auto"/>
          <w:sz w:val="24"/>
          <w:szCs w:val="24"/>
          <w:highlight w:val="none"/>
        </w:rPr>
        <w:t>。</w:t>
      </w:r>
    </w:p>
    <w:p w14:paraId="7D1AE2F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向发包方提供竣工图、竣工资料及竣工验收报告，并附光盘（含影像资料、图片等）</w:t>
      </w:r>
      <w:r>
        <w:rPr>
          <w:rFonts w:hint="eastAsia" w:ascii="宋体" w:hAnsi="宋体" w:eastAsia="宋体" w:cs="宋体"/>
          <w:color w:val="auto"/>
          <w:sz w:val="24"/>
          <w:szCs w:val="24"/>
          <w:highlight w:val="none"/>
        </w:rPr>
        <w:t>。</w:t>
      </w:r>
    </w:p>
    <w:p w14:paraId="097B9FA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）承包人应履行的其他义务：</w:t>
      </w:r>
    </w:p>
    <w:p w14:paraId="3917851E">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 根据工程需要，提供和维修非夜间施工使用的照明、围栏设施，并负责安全保卫。</w:t>
      </w:r>
    </w:p>
    <w:p w14:paraId="3D328E47">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 将施工所需的水、电、电讯线路接至施工场地，费用已包含在投标报价中。</w:t>
      </w:r>
    </w:p>
    <w:p w14:paraId="78464815">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 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73C8F3A6">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④ 施工场地清洁卫生要求：按浙江省、杭州市标化工地管理的有关要求、规定执行。所发生的各项清理费用、临时性收费、临时性占用场地费、临时性设施费及不可预见的费用，均已包括在</w:t>
      </w:r>
      <w:r>
        <w:rPr>
          <w:rFonts w:hint="eastAsia" w:ascii="宋体" w:hAnsi="宋体" w:eastAsia="宋体" w:cs="宋体"/>
          <w:color w:val="auto"/>
          <w:sz w:val="24"/>
          <w:szCs w:val="24"/>
          <w:highlight w:val="none"/>
          <w:u w:val="single"/>
          <w:lang w:val="en-US" w:eastAsia="zh-Hans"/>
        </w:rPr>
        <w:t>签约合同价</w:t>
      </w:r>
      <w:r>
        <w:rPr>
          <w:rFonts w:hint="eastAsia" w:ascii="宋体" w:hAnsi="宋体" w:eastAsia="宋体" w:cs="宋体"/>
          <w:color w:val="auto"/>
          <w:sz w:val="24"/>
          <w:szCs w:val="24"/>
          <w:highlight w:val="none"/>
          <w:u w:val="single"/>
        </w:rPr>
        <w:t>内。</w:t>
      </w:r>
    </w:p>
    <w:p w14:paraId="28BE69D8">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⑤ 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14:paraId="11FCB076">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⑥ 参加发包人召开的与本工程相关的会议，并作好会前有关资料的准备。在保修期内要及时做好回访工作，属保修责任范围的事项应及时按质检标准修好。</w:t>
      </w:r>
    </w:p>
    <w:p w14:paraId="38FD0B07">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⑦ 在工程实施过程中，要自始至终将安全和质量管理放在首位；除按发包人要求做好安全质量管理外，应采取应急预警措施以确保本项目工程的安全和质量以及周边建筑物、构筑物及市政设施的安全。</w:t>
      </w:r>
    </w:p>
    <w:p w14:paraId="7A52B5BC">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⑧ 由于承包人施工原因，引起第三方与发包人或承包人的纠纷或第三方向发包人或承包人提出的索赔等，由承包人全权负责解决并承担全部责任，由此引起的一切后果与发包人无关。</w:t>
      </w:r>
    </w:p>
    <w:p w14:paraId="52E0CA10">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⑨ 在工程实施过程中，严格执行省、市颁发的相关规定，切实加强外来务工人员管理，保障农民工的合法权益。按主管部门要求，如必要设立民工学校应按规定设立，费用自理。若在施工期间，由于承包人的责任发生违法、违规事件，后果由承包人自负。</w:t>
      </w:r>
    </w:p>
    <w:p w14:paraId="42CEAA1C">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⑩ 文明施工：按市政府有关部门颁发的文明施工要求及招标文件中技术条款执行，施工时不影响经交管部门审批确认的道路交通的正常运行和保证排水畅通。施工区域范围内必须采取全封闭措施，搞好市容环境卫生，并接受有关主管部门和发包人、监理人的检查；环境控制按招标文件的要求执行。因承包人原因造成工程损失或人身伤害，由承包人承担全部责任及费用。</w:t>
      </w:r>
    </w:p>
    <w:p w14:paraId="289408A9">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⑪ 上述（包括但不限于）各条款涉及的各类费用均已包括在合同价款内，发包人不再向承包人另行支付。且如果因此类原因导致工期延误，工期不予顺延，并由承包人承担相应的责任及费用。</w:t>
      </w:r>
    </w:p>
    <w:p w14:paraId="7464D25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⑫ 承包人对其递交的变更、签证、结算资料的合法性、真实性、完整性负责，并不由于发包人和监理人的签认免除承包人的责任</w:t>
      </w:r>
      <w:r>
        <w:rPr>
          <w:rFonts w:hint="eastAsia" w:ascii="宋体" w:hAnsi="宋体" w:eastAsia="宋体" w:cs="宋体"/>
          <w:color w:val="auto"/>
          <w:sz w:val="24"/>
          <w:szCs w:val="24"/>
          <w:highlight w:val="none"/>
        </w:rPr>
        <w:t>。</w:t>
      </w:r>
    </w:p>
    <w:p w14:paraId="40A5675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⑬</w:t>
      </w:r>
      <w:r>
        <w:rPr>
          <w:rFonts w:hint="eastAsia" w:ascii="宋体" w:hAnsi="宋体" w:eastAsia="宋体" w:cs="宋体"/>
          <w:b/>
          <w:color w:val="auto"/>
          <w:sz w:val="24"/>
          <w:szCs w:val="24"/>
          <w:highlight w:val="none"/>
          <w:u w:val="single"/>
          <w:lang w:val="zh-CN"/>
        </w:rPr>
        <w:t>未按要求落实安全文明施工措施的，如数字城管</w:t>
      </w:r>
      <w:r>
        <w:rPr>
          <w:rFonts w:hint="eastAsia" w:ascii="宋体" w:hAnsi="宋体" w:eastAsia="宋体" w:cs="宋体"/>
          <w:b/>
          <w:color w:val="auto"/>
          <w:sz w:val="24"/>
          <w:szCs w:val="24"/>
          <w:highlight w:val="none"/>
          <w:u w:val="single"/>
          <w:lang w:val="en-US" w:eastAsia="zh-Hans"/>
        </w:rPr>
        <w:t>巡查发现存在问题</w:t>
      </w:r>
      <w:r>
        <w:rPr>
          <w:rFonts w:hint="eastAsia" w:ascii="宋体" w:hAnsi="宋体" w:eastAsia="宋体" w:cs="宋体"/>
          <w:b/>
          <w:color w:val="auto"/>
          <w:sz w:val="24"/>
          <w:szCs w:val="24"/>
          <w:highlight w:val="none"/>
          <w:u w:val="single"/>
          <w:lang w:val="zh-CN"/>
        </w:rPr>
        <w:t>或</w:t>
      </w:r>
      <w:r>
        <w:rPr>
          <w:rFonts w:hint="eastAsia" w:ascii="宋体" w:hAnsi="宋体" w:eastAsia="宋体" w:cs="宋体"/>
          <w:b/>
          <w:color w:val="auto"/>
          <w:sz w:val="24"/>
          <w:szCs w:val="24"/>
          <w:highlight w:val="none"/>
          <w:u w:val="single"/>
          <w:lang w:val="en-US" w:eastAsia="zh-Hans"/>
        </w:rPr>
        <w:t>社会公众通过</w:t>
      </w:r>
      <w:r>
        <w:rPr>
          <w:rFonts w:hint="eastAsia" w:ascii="宋体" w:hAnsi="宋体" w:eastAsia="宋体" w:cs="宋体"/>
          <w:b/>
          <w:color w:val="auto"/>
          <w:sz w:val="24"/>
          <w:szCs w:val="24"/>
          <w:highlight w:val="none"/>
          <w:u w:val="single"/>
          <w:lang w:val="zh-CN"/>
        </w:rPr>
        <w:t>其他方式投诉反映</w:t>
      </w:r>
      <w:r>
        <w:rPr>
          <w:rFonts w:hint="eastAsia" w:ascii="宋体" w:hAnsi="宋体" w:eastAsia="宋体" w:cs="宋体"/>
          <w:b/>
          <w:color w:val="auto"/>
          <w:sz w:val="24"/>
          <w:szCs w:val="24"/>
          <w:highlight w:val="none"/>
          <w:u w:val="single"/>
          <w:lang w:val="en-US" w:eastAsia="zh-Hans"/>
        </w:rPr>
        <w:t>存在问题</w:t>
      </w:r>
      <w:r>
        <w:rPr>
          <w:rFonts w:hint="eastAsia" w:ascii="宋体" w:hAnsi="宋体" w:eastAsia="宋体" w:cs="宋体"/>
          <w:b/>
          <w:color w:val="auto"/>
          <w:sz w:val="24"/>
          <w:szCs w:val="24"/>
          <w:highlight w:val="none"/>
          <w:u w:val="single"/>
          <w:lang w:val="zh-CN"/>
        </w:rPr>
        <w:t>的，</w:t>
      </w:r>
      <w:r>
        <w:rPr>
          <w:rFonts w:hint="eastAsia" w:ascii="宋体" w:hAnsi="宋体" w:eastAsia="宋体" w:cs="宋体"/>
          <w:b/>
          <w:color w:val="auto"/>
          <w:sz w:val="24"/>
          <w:szCs w:val="24"/>
          <w:highlight w:val="none"/>
          <w:u w:val="single"/>
          <w:lang w:val="en-US" w:eastAsia="zh-Hans"/>
        </w:rPr>
        <w:t>承包人应于</w:t>
      </w:r>
      <w:r>
        <w:rPr>
          <w:rFonts w:hint="eastAsia" w:ascii="宋体" w:hAnsi="宋体" w:eastAsia="宋体" w:cs="宋体"/>
          <w:b/>
          <w:color w:val="auto"/>
          <w:sz w:val="24"/>
          <w:szCs w:val="24"/>
          <w:highlight w:val="none"/>
          <w:u w:val="single"/>
          <w:lang w:val="zh-CN"/>
        </w:rPr>
        <w:t>接到通知后2个小时内进行现场核实确认，确认后必须在限定时间内整改到位并进行回复。未及时整改或整改不到位或被二次投诉的，每发生一起</w:t>
      </w:r>
      <w:r>
        <w:rPr>
          <w:rFonts w:hint="eastAsia" w:ascii="宋体" w:hAnsi="宋体" w:eastAsia="宋体" w:cs="宋体"/>
          <w:b/>
          <w:color w:val="auto"/>
          <w:sz w:val="24"/>
          <w:szCs w:val="24"/>
          <w:highlight w:val="none"/>
          <w:u w:val="single"/>
          <w:lang w:val="en-US" w:eastAsia="zh-Hans"/>
        </w:rPr>
        <w:t>向发包人赔偿违约金</w:t>
      </w:r>
      <w:r>
        <w:rPr>
          <w:rFonts w:hint="eastAsia" w:ascii="宋体" w:hAnsi="宋体" w:eastAsia="宋体" w:cs="宋体"/>
          <w:b/>
          <w:color w:val="auto"/>
          <w:sz w:val="24"/>
          <w:szCs w:val="24"/>
          <w:highlight w:val="none"/>
          <w:u w:val="single"/>
          <w:lang w:val="zh-CN"/>
        </w:rPr>
        <w:t>1000元（多次同个地点投拆，扣款累计3次）；拒绝整改的，每发生一起</w:t>
      </w:r>
      <w:r>
        <w:rPr>
          <w:rFonts w:hint="eastAsia" w:ascii="宋体" w:hAnsi="宋体" w:eastAsia="宋体" w:cs="宋体"/>
          <w:b/>
          <w:color w:val="auto"/>
          <w:sz w:val="24"/>
          <w:szCs w:val="24"/>
          <w:highlight w:val="none"/>
          <w:u w:val="single"/>
          <w:lang w:val="en-US" w:eastAsia="zh-Hans"/>
        </w:rPr>
        <w:t>向发包人赔偿违约金</w:t>
      </w:r>
      <w:r>
        <w:rPr>
          <w:rFonts w:hint="eastAsia" w:ascii="宋体" w:hAnsi="宋体" w:eastAsia="宋体" w:cs="宋体"/>
          <w:b/>
          <w:color w:val="auto"/>
          <w:sz w:val="24"/>
          <w:szCs w:val="24"/>
          <w:highlight w:val="none"/>
          <w:u w:val="single"/>
          <w:lang w:val="zh-CN"/>
        </w:rPr>
        <w:t>5000元；该笔</w:t>
      </w:r>
      <w:r>
        <w:rPr>
          <w:rFonts w:hint="eastAsia" w:ascii="宋体" w:hAnsi="宋体" w:eastAsia="宋体" w:cs="宋体"/>
          <w:b/>
          <w:color w:val="auto"/>
          <w:sz w:val="24"/>
          <w:szCs w:val="24"/>
          <w:highlight w:val="none"/>
          <w:u w:val="single"/>
          <w:lang w:val="en-US" w:eastAsia="zh-Hans"/>
        </w:rPr>
        <w:t>赔偿</w:t>
      </w:r>
      <w:r>
        <w:rPr>
          <w:rFonts w:hint="eastAsia" w:ascii="宋体" w:hAnsi="宋体" w:eastAsia="宋体" w:cs="宋体"/>
          <w:b/>
          <w:color w:val="auto"/>
          <w:sz w:val="24"/>
          <w:szCs w:val="24"/>
          <w:highlight w:val="none"/>
          <w:u w:val="single"/>
          <w:lang w:val="zh-CN"/>
        </w:rPr>
        <w:t>款项从</w:t>
      </w:r>
      <w:r>
        <w:rPr>
          <w:rFonts w:hint="eastAsia" w:ascii="宋体" w:hAnsi="宋体" w:eastAsia="宋体" w:cs="宋体"/>
          <w:b/>
          <w:color w:val="auto"/>
          <w:sz w:val="24"/>
          <w:szCs w:val="24"/>
          <w:highlight w:val="none"/>
          <w:u w:val="single"/>
          <w:lang w:val="en-US" w:eastAsia="zh-Hans"/>
        </w:rPr>
        <w:t>本</w:t>
      </w:r>
      <w:r>
        <w:rPr>
          <w:rFonts w:hint="eastAsia" w:ascii="宋体" w:hAnsi="宋体" w:eastAsia="宋体" w:cs="宋体"/>
          <w:b/>
          <w:color w:val="auto"/>
          <w:sz w:val="24"/>
          <w:szCs w:val="24"/>
          <w:highlight w:val="none"/>
          <w:u w:val="single"/>
          <w:lang w:val="zh-CN"/>
        </w:rPr>
        <w:t>合同</w:t>
      </w:r>
      <w:r>
        <w:rPr>
          <w:rFonts w:hint="eastAsia" w:ascii="宋体" w:hAnsi="宋体" w:eastAsia="宋体" w:cs="宋体"/>
          <w:b/>
          <w:color w:val="auto"/>
          <w:sz w:val="24"/>
          <w:szCs w:val="24"/>
          <w:highlight w:val="none"/>
          <w:u w:val="single"/>
          <w:lang w:val="en-US" w:eastAsia="zh-Hans"/>
        </w:rPr>
        <w:t>工程结算款</w:t>
      </w:r>
      <w:r>
        <w:rPr>
          <w:rFonts w:hint="eastAsia" w:ascii="宋体" w:hAnsi="宋体" w:eastAsia="宋体" w:cs="宋体"/>
          <w:b/>
          <w:color w:val="auto"/>
          <w:sz w:val="24"/>
          <w:szCs w:val="24"/>
          <w:highlight w:val="none"/>
          <w:u w:val="single"/>
          <w:lang w:val="zh-CN"/>
        </w:rPr>
        <w:t>中扣除。</w:t>
      </w:r>
    </w:p>
    <w:p w14:paraId="7845514E">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0B42D00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项目经理（以下必须填写）：</w:t>
      </w:r>
    </w:p>
    <w:p w14:paraId="4768421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C531A4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58C8DD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7F3DE6D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8FFB0E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FCFCAD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ED8EC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31E97A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47767F1">
      <w:pPr>
        <w:spacing w:line="500" w:lineRule="exact"/>
        <w:ind w:left="1620" w:leftChars="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7366DC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全面负责本工程的质量、安全、工期及成本控制</w:t>
      </w:r>
      <w:r>
        <w:rPr>
          <w:rFonts w:hint="eastAsia" w:ascii="宋体" w:hAnsi="宋体" w:eastAsia="宋体" w:cs="宋体"/>
          <w:color w:val="auto"/>
          <w:sz w:val="24"/>
          <w:szCs w:val="24"/>
          <w:highlight w:val="none"/>
        </w:rPr>
        <w:t>。</w:t>
      </w:r>
    </w:p>
    <w:p w14:paraId="7344F6F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关于项目经理每月在施工现场的时间要求：</w:t>
      </w:r>
      <w:r>
        <w:rPr>
          <w:rFonts w:hint="eastAsia" w:ascii="宋体" w:hAnsi="宋体" w:eastAsia="宋体" w:cs="宋体"/>
          <w:color w:val="auto"/>
          <w:sz w:val="24"/>
          <w:szCs w:val="24"/>
          <w:highlight w:val="none"/>
          <w:u w:val="single"/>
        </w:rPr>
        <w:t>到位率为80%以上(按每月25天，每天工作8小时考勤)，重要施工工序或环节时项目经理、技术负责人等必须到场</w:t>
      </w:r>
      <w:r>
        <w:rPr>
          <w:rFonts w:hint="eastAsia" w:ascii="宋体" w:hAnsi="宋体" w:eastAsia="宋体" w:cs="宋体"/>
          <w:color w:val="auto"/>
          <w:sz w:val="24"/>
          <w:szCs w:val="24"/>
          <w:highlight w:val="none"/>
        </w:rPr>
        <w:t>。</w:t>
      </w:r>
    </w:p>
    <w:p w14:paraId="1E8E0D8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责令承包人改正，并从结算款中扣除1万元的违约金</w:t>
      </w:r>
      <w:r>
        <w:rPr>
          <w:rFonts w:hint="eastAsia" w:ascii="宋体" w:hAnsi="宋体" w:eastAsia="宋体" w:cs="宋体"/>
          <w:color w:val="auto"/>
          <w:sz w:val="24"/>
          <w:szCs w:val="24"/>
          <w:highlight w:val="none"/>
        </w:rPr>
        <w:t>。</w:t>
      </w:r>
    </w:p>
    <w:p w14:paraId="49E51BEE">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按违约金人民币2000元/天从结算款中扣除</w:t>
      </w:r>
      <w:r>
        <w:rPr>
          <w:rFonts w:hint="eastAsia" w:ascii="宋体" w:hAnsi="宋体" w:eastAsia="宋体" w:cs="宋体"/>
          <w:color w:val="auto"/>
          <w:sz w:val="24"/>
          <w:szCs w:val="24"/>
          <w:highlight w:val="none"/>
        </w:rPr>
        <w:t>。</w:t>
      </w:r>
    </w:p>
    <w:p w14:paraId="526D3FB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承包人擅自更换项目经理的违约责任：</w:t>
      </w:r>
    </w:p>
    <w:p w14:paraId="07B2611B">
      <w:pPr>
        <w:spacing w:line="500" w:lineRule="exact"/>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（1）承包人确需更换项目经理的，继任项目经理注册执业资格、管理经验的约定：</w:t>
      </w:r>
      <w:r>
        <w:rPr>
          <w:rFonts w:hint="eastAsia" w:ascii="宋体" w:hAnsi="宋体" w:eastAsia="宋体" w:cs="宋体"/>
          <w:b/>
          <w:color w:val="auto"/>
          <w:sz w:val="24"/>
          <w:szCs w:val="24"/>
          <w:highlight w:val="none"/>
          <w:u w:val="single"/>
        </w:rPr>
        <w:t>不得低于原项目经理的注册执业资格、管理经验</w:t>
      </w:r>
      <w:r>
        <w:rPr>
          <w:rFonts w:hint="eastAsia" w:ascii="宋体" w:hAnsi="宋体" w:eastAsia="宋体" w:cs="宋体"/>
          <w:b/>
          <w:color w:val="auto"/>
          <w:sz w:val="24"/>
          <w:szCs w:val="24"/>
          <w:highlight w:val="none"/>
        </w:rPr>
        <w:t>。</w:t>
      </w:r>
    </w:p>
    <w:p w14:paraId="369D868A">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（2）承包人擅自更换项目经理的违约责任：</w:t>
      </w:r>
      <w:r>
        <w:rPr>
          <w:rFonts w:hint="eastAsia" w:ascii="宋体" w:hAnsi="宋体" w:eastAsia="宋体" w:cs="宋体"/>
          <w:color w:val="auto"/>
          <w:sz w:val="24"/>
          <w:szCs w:val="24"/>
          <w:highlight w:val="none"/>
          <w:u w:val="single"/>
        </w:rPr>
        <w:t>在施工期间不准更换，特殊情况要求更换的项目经理的，须经发包人同意并报招标办及相关部门认可备案。承包人更换项目经理的将被视为承包人违约，并按照0.5万元/人•次付给发包人违约金</w:t>
      </w:r>
      <w:r>
        <w:rPr>
          <w:rFonts w:hint="eastAsia" w:ascii="宋体" w:hAnsi="宋体" w:eastAsia="宋体" w:cs="宋体"/>
          <w:color w:val="auto"/>
          <w:sz w:val="24"/>
          <w:szCs w:val="24"/>
          <w:highlight w:val="none"/>
        </w:rPr>
        <w:t>。</w:t>
      </w:r>
    </w:p>
    <w:p w14:paraId="59F14124">
      <w:pPr>
        <w:spacing w:line="500" w:lineRule="exac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承包人无正当理由拒绝更换项目经理的违约责任：</w:t>
      </w:r>
      <w:r>
        <w:rPr>
          <w:rFonts w:hint="eastAsia" w:ascii="宋体" w:hAnsi="宋体" w:eastAsia="宋体" w:cs="宋体"/>
          <w:color w:val="auto"/>
          <w:sz w:val="24"/>
          <w:szCs w:val="24"/>
          <w:highlight w:val="none"/>
          <w:u w:val="single"/>
        </w:rPr>
        <w:t>从结算款中扣除5万元/人/次的违约金</w:t>
      </w:r>
      <w:r>
        <w:rPr>
          <w:rFonts w:hint="eastAsia" w:ascii="宋体" w:hAnsi="宋体" w:eastAsia="宋体" w:cs="宋体"/>
          <w:color w:val="auto"/>
          <w:sz w:val="24"/>
          <w:szCs w:val="24"/>
          <w:highlight w:val="none"/>
        </w:rPr>
        <w:t>。</w:t>
      </w:r>
    </w:p>
    <w:p w14:paraId="23FE13D6">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38ACCE1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合同生效后7天内</w:t>
      </w:r>
      <w:r>
        <w:rPr>
          <w:rFonts w:hint="eastAsia" w:ascii="宋体" w:hAnsi="宋体" w:eastAsia="宋体" w:cs="宋体"/>
          <w:color w:val="auto"/>
          <w:sz w:val="24"/>
          <w:szCs w:val="24"/>
          <w:highlight w:val="none"/>
        </w:rPr>
        <w:t>。</w:t>
      </w:r>
    </w:p>
    <w:p w14:paraId="68BD7C15">
      <w:pPr>
        <w:spacing w:line="5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3.3.2 承包人需更换主要施工管理人员的，继任人员的数量、注册执业资格、管理经验的约定：</w:t>
      </w:r>
      <w:r>
        <w:rPr>
          <w:rFonts w:hint="eastAsia" w:ascii="宋体" w:hAnsi="宋体" w:eastAsia="宋体" w:cs="宋体"/>
          <w:b/>
          <w:color w:val="auto"/>
          <w:sz w:val="24"/>
          <w:szCs w:val="24"/>
          <w:highlight w:val="none"/>
          <w:u w:val="single"/>
        </w:rPr>
        <w:t>不得低于原主要施工管理人员的数量、注册执业资格、管理经验。</w:t>
      </w:r>
    </w:p>
    <w:p w14:paraId="235DB90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从结算款中扣除2万元/人/次的违约金。</w:t>
      </w:r>
    </w:p>
    <w:p w14:paraId="0CAA7CA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52AA099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在施工期间不准更换，特殊情况要求更换的，须经发包人同意备案。承包人更换技术负责人、施工员的将被视为承包人违约，并按照2000元/人•次付给发包人违约金</w:t>
      </w:r>
      <w:r>
        <w:rPr>
          <w:rFonts w:hint="eastAsia" w:ascii="宋体" w:hAnsi="宋体" w:eastAsia="宋体" w:cs="宋体"/>
          <w:color w:val="auto"/>
          <w:sz w:val="24"/>
          <w:szCs w:val="24"/>
          <w:highlight w:val="none"/>
        </w:rPr>
        <w:t>。</w:t>
      </w:r>
    </w:p>
    <w:p w14:paraId="5F1398A9">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若技术负责人、施工员出勤率不足投标承诺，支付违约金1000元人民币/天/人；安全员、质检员、材料员出勤率不足投标承诺，支付违约金800元人民币/天/人</w:t>
      </w:r>
      <w:r>
        <w:rPr>
          <w:rFonts w:hint="eastAsia" w:ascii="宋体" w:hAnsi="宋体" w:eastAsia="宋体" w:cs="宋体"/>
          <w:color w:val="auto"/>
          <w:sz w:val="24"/>
          <w:szCs w:val="24"/>
          <w:highlight w:val="none"/>
        </w:rPr>
        <w:t>。</w:t>
      </w:r>
    </w:p>
    <w:p w14:paraId="1599080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886" w:name="_Toc297048345"/>
      <w:bookmarkStart w:id="887" w:name="_Toc296944498"/>
      <w:bookmarkStart w:id="888" w:name="_Toc300934945"/>
      <w:bookmarkStart w:id="889" w:name="_Toc292559364"/>
      <w:bookmarkStart w:id="890" w:name="_Toc304295523"/>
      <w:bookmarkStart w:id="891" w:name="_Toc296503159"/>
      <w:bookmarkStart w:id="892" w:name="_Toc312677988"/>
      <w:bookmarkStart w:id="893" w:name="_Toc297216151"/>
      <w:bookmarkStart w:id="894" w:name="_Toc296346660"/>
      <w:bookmarkStart w:id="895" w:name="_Toc296891199"/>
      <w:bookmarkStart w:id="896" w:name="_Toc292559869"/>
      <w:bookmarkStart w:id="897" w:name="_Toc297123492"/>
      <w:bookmarkStart w:id="898" w:name="_Toc296890987"/>
      <w:bookmarkStart w:id="899" w:name="_Toc297120459"/>
      <w:bookmarkStart w:id="900" w:name="_Toc296347158"/>
      <w:bookmarkStart w:id="901" w:name="_Toc30353910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分包</w:t>
      </w:r>
    </w:p>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14:paraId="70A9B24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902" w:name="_Toc296346661"/>
      <w:bookmarkStart w:id="903" w:name="_Toc297123493"/>
      <w:bookmarkStart w:id="904" w:name="_Toc300934946"/>
      <w:bookmarkStart w:id="905" w:name="_Toc303539103"/>
      <w:bookmarkStart w:id="906" w:name="_Toc297216152"/>
      <w:bookmarkStart w:id="907" w:name="_Toc296944499"/>
      <w:bookmarkStart w:id="908" w:name="_Toc297120460"/>
      <w:bookmarkStart w:id="909" w:name="_Toc292559870"/>
      <w:bookmarkStart w:id="910" w:name="_Toc296503160"/>
      <w:bookmarkStart w:id="911" w:name="_Toc296347159"/>
      <w:bookmarkStart w:id="912" w:name="_Toc296891200"/>
      <w:bookmarkStart w:id="913" w:name="_Toc292559365"/>
      <w:bookmarkStart w:id="914" w:name="_Toc304295524"/>
      <w:bookmarkStart w:id="915" w:name="_Toc296890988"/>
      <w:bookmarkStart w:id="916" w:name="_Toc297048346"/>
      <w:bookmarkStart w:id="917" w:name="_Toc312677989"/>
      <w:bookmarkStart w:id="918" w:name="_Toc31858115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分包的一般约定</w:t>
      </w:r>
    </w:p>
    <w:p w14:paraId="34AE189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主体结构、关键性工作</w:t>
      </w:r>
      <w:r>
        <w:rPr>
          <w:rFonts w:hint="eastAsia" w:ascii="宋体" w:hAnsi="宋体" w:eastAsia="宋体" w:cs="宋体"/>
          <w:color w:val="auto"/>
          <w:sz w:val="24"/>
          <w:szCs w:val="24"/>
          <w:highlight w:val="none"/>
        </w:rPr>
        <w:t>。</w:t>
      </w:r>
    </w:p>
    <w:p w14:paraId="209ADF21">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发生时双方协商确定</w:t>
      </w:r>
      <w:r>
        <w:rPr>
          <w:rFonts w:hint="eastAsia" w:ascii="宋体" w:hAnsi="宋体" w:eastAsia="宋体" w:cs="宋体"/>
          <w:color w:val="auto"/>
          <w:sz w:val="24"/>
          <w:szCs w:val="24"/>
          <w:highlight w:val="none"/>
        </w:rPr>
        <w:t>。</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Start w:id="919" w:name="_Toc297216153"/>
      <w:bookmarkStart w:id="920" w:name="_Toc296346662"/>
      <w:bookmarkStart w:id="921" w:name="_Toc304295525"/>
      <w:bookmarkStart w:id="922" w:name="_Toc297123494"/>
      <w:bookmarkStart w:id="923" w:name="_Toc296503161"/>
      <w:bookmarkStart w:id="924" w:name="_Toc296347160"/>
      <w:bookmarkStart w:id="925" w:name="_Toc303539104"/>
      <w:bookmarkStart w:id="926" w:name="_Toc297048347"/>
      <w:bookmarkStart w:id="927" w:name="_Toc297120461"/>
      <w:bookmarkStart w:id="928" w:name="_Toc300934947"/>
      <w:bookmarkStart w:id="929" w:name="_Toc296891201"/>
      <w:bookmarkStart w:id="930" w:name="_Toc296890989"/>
      <w:bookmarkStart w:id="931" w:name="_Toc296944500"/>
    </w:p>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14:paraId="477F670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w:t>
      </w:r>
      <w:bookmarkStart w:id="932" w:name="_Toc312677990"/>
      <w:bookmarkStart w:id="933" w:name="_Toc318581159"/>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.2分包的确定</w:t>
      </w:r>
    </w:p>
    <w:p w14:paraId="2D2D5050">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未经发包人同意，承包人不得将承包工程的任何部分分包，如发现擅自分包，除立即取消分包人的分包资格外，承包人还应按合同价的10%向发包人支付违约金</w:t>
      </w:r>
      <w:r>
        <w:rPr>
          <w:rFonts w:hint="eastAsia" w:ascii="宋体" w:hAnsi="宋体" w:eastAsia="宋体" w:cs="宋体"/>
          <w:color w:val="auto"/>
          <w:sz w:val="24"/>
          <w:szCs w:val="24"/>
          <w:highlight w:val="none"/>
        </w:rPr>
        <w:t>。</w:t>
      </w:r>
    </w:p>
    <w:p w14:paraId="1C97819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483201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分包合同价款</w:t>
      </w:r>
    </w:p>
    <w:p w14:paraId="3934924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bookmarkEnd w:id="932"/>
    <w:bookmarkEnd w:id="933"/>
    <w:p w14:paraId="6170037C">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工程照管与成品、半成品保护</w:t>
      </w:r>
    </w:p>
    <w:p w14:paraId="33896573">
      <w:pPr>
        <w:spacing w:before="120" w:after="120"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承包人负责照管工程及工程相关的材料、工程设备的起始时间：</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55F038B8">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履约担保</w:t>
      </w:r>
    </w:p>
    <w:p w14:paraId="55B3DA1D">
      <w:pPr>
        <w:autoSpaceDE/>
        <w:autoSpaceDN/>
        <w:snapToGrid w:val="0"/>
        <w:spacing w:line="360" w:lineRule="auto"/>
        <w:ind w:firstLine="480" w:firstLineChars="200"/>
        <w:jc w:val="both"/>
        <w:rPr>
          <w:rFonts w:hint="eastAsia" w:ascii="宋体" w:hAnsi="宋体" w:eastAsia="宋体" w:cs="宋体"/>
          <w:b/>
          <w:color w:val="auto"/>
          <w:sz w:val="24"/>
          <w:szCs w:val="24"/>
          <w:highlight w:val="none"/>
          <w:u w:val="single"/>
        </w:rPr>
      </w:pPr>
      <w:bookmarkStart w:id="934" w:name="_Toc351203636"/>
      <w:r>
        <w:rPr>
          <w:rFonts w:hint="eastAsia" w:ascii="宋体" w:hAnsi="宋体" w:eastAsia="宋体" w:cs="宋体"/>
          <w:b/>
          <w:color w:val="auto"/>
          <w:sz w:val="24"/>
          <w:szCs w:val="24"/>
          <w:highlight w:val="none"/>
          <w:u w:val="single"/>
        </w:rPr>
        <w:t>承包人是否提供履约担保：是。</w:t>
      </w:r>
    </w:p>
    <w:p w14:paraId="0F257C01">
      <w:pPr>
        <w:autoSpaceDE/>
        <w:autoSpaceDN/>
        <w:snapToGrid w:val="0"/>
        <w:spacing w:line="360" w:lineRule="auto"/>
        <w:ind w:firstLine="480" w:firstLineChars="200"/>
        <w:jc w:val="both"/>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承包人提供履约担保的形式、金额及期限的，采用以下第 （3） 种方式：</w:t>
      </w:r>
    </w:p>
    <w:p w14:paraId="2A4F6174">
      <w:pPr>
        <w:autoSpaceDE/>
        <w:autoSpaceDN/>
        <w:snapToGrid w:val="0"/>
        <w:spacing w:line="360" w:lineRule="auto"/>
        <w:ind w:firstLine="480" w:firstLineChars="200"/>
        <w:jc w:val="both"/>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（1）保证保险，金额及期限为：；</w:t>
      </w:r>
    </w:p>
    <w:p w14:paraId="18009C4D">
      <w:pPr>
        <w:autoSpaceDE/>
        <w:autoSpaceDN/>
        <w:snapToGrid w:val="0"/>
        <w:spacing w:line="360" w:lineRule="auto"/>
        <w:ind w:firstLine="480" w:firstLineChars="200"/>
        <w:jc w:val="both"/>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（2）银行保函，金额及期限为：；</w:t>
      </w:r>
    </w:p>
    <w:p w14:paraId="62C9220B">
      <w:pPr>
        <w:autoSpaceDE/>
        <w:autoSpaceDN/>
        <w:snapToGrid w:val="0"/>
        <w:spacing w:line="360" w:lineRule="auto"/>
        <w:ind w:firstLine="480" w:firstLineChars="200"/>
        <w:jc w:val="both"/>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u w:val="single"/>
        </w:rPr>
        <w:t>（3）其他方式:合同签订后，</w:t>
      </w:r>
      <w:r>
        <w:rPr>
          <w:rFonts w:hint="eastAsia" w:ascii="宋体" w:hAnsi="宋体" w:eastAsia="宋体" w:cs="宋体"/>
          <w:b/>
          <w:color w:val="auto"/>
          <w:sz w:val="24"/>
          <w:szCs w:val="24"/>
          <w:highlight w:val="none"/>
          <w:u w:val="single"/>
          <w:lang w:val="en-US" w:eastAsia="zh-CN"/>
        </w:rPr>
        <w:t>进度款支付</w:t>
      </w:r>
      <w:r>
        <w:rPr>
          <w:rFonts w:hint="eastAsia" w:ascii="宋体" w:hAnsi="宋体" w:eastAsia="宋体" w:cs="宋体"/>
          <w:b/>
          <w:color w:val="auto"/>
          <w:sz w:val="24"/>
          <w:szCs w:val="24"/>
          <w:highlight w:val="none"/>
          <w:u w:val="single"/>
        </w:rPr>
        <w:t>前,承包人向发包人提供履约担保，金额为合同价</w:t>
      </w:r>
      <w:r>
        <w:rPr>
          <w:rFonts w:hint="eastAsia" w:hAnsi="宋体" w:cs="宋体"/>
          <w:b/>
          <w:color w:val="auto"/>
          <w:sz w:val="24"/>
          <w:szCs w:val="24"/>
          <w:highlight w:val="none"/>
          <w:u w:val="single"/>
          <w:lang w:val="en-US" w:eastAsia="zh-CN"/>
        </w:rPr>
        <w:t>1</w:t>
      </w:r>
      <w:r>
        <w:rPr>
          <w:rFonts w:hint="eastAsia" w:ascii="宋体" w:hAnsi="宋体" w:eastAsia="宋体" w:cs="宋体"/>
          <w:b/>
          <w:color w:val="auto"/>
          <w:sz w:val="24"/>
          <w:szCs w:val="24"/>
          <w:highlight w:val="none"/>
          <w:u w:val="single"/>
        </w:rPr>
        <w:t>%。以转账支票、电汇或银行保函的形式向发包人提交履约担保</w:t>
      </w:r>
      <w:r>
        <w:rPr>
          <w:rFonts w:hint="eastAsia" w:ascii="宋体" w:hAnsi="宋体" w:eastAsia="宋体" w:cs="宋体"/>
          <w:b/>
          <w:color w:val="auto"/>
          <w:sz w:val="24"/>
          <w:szCs w:val="24"/>
          <w:highlight w:val="none"/>
          <w:u w:val="single"/>
          <w:lang w:eastAsia="zh-CN"/>
        </w:rPr>
        <w:t>。</w:t>
      </w:r>
    </w:p>
    <w:p w14:paraId="01D1848F">
      <w:pPr>
        <w:autoSpaceDE/>
        <w:autoSpaceDN/>
        <w:snapToGrid w:val="0"/>
        <w:spacing w:line="360" w:lineRule="auto"/>
        <w:ind w:firstLine="480" w:firstLineChars="200"/>
        <w:jc w:val="both"/>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履约担保包括：工程质量保证金占30%，工期保证金占30%，安全文明施工保证金占20%，项目班子到位保证金占20%。 </w:t>
      </w:r>
    </w:p>
    <w:p w14:paraId="33241553">
      <w:pPr>
        <w:autoSpaceDE/>
        <w:autoSpaceDN/>
        <w:snapToGrid w:val="0"/>
        <w:spacing w:line="360" w:lineRule="auto"/>
        <w:ind w:firstLine="480" w:firstLineChars="200"/>
        <w:jc w:val="both"/>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此担保在承包人完成全部工程内容，并且对应的履约保证均达到合同约定要求的，在竣工验收合格后</w:t>
      </w:r>
      <w:r>
        <w:rPr>
          <w:rFonts w:hint="eastAsia" w:ascii="宋体" w:hAnsi="宋体" w:eastAsia="宋体" w:cs="宋体"/>
          <w:b/>
          <w:color w:val="auto"/>
          <w:sz w:val="24"/>
          <w:szCs w:val="24"/>
          <w:highlight w:val="none"/>
          <w:u w:val="single"/>
          <w:lang w:val="en-US" w:eastAsia="zh-CN"/>
        </w:rPr>
        <w:t>6</w:t>
      </w:r>
      <w:r>
        <w:rPr>
          <w:rFonts w:hint="eastAsia" w:ascii="宋体" w:hAnsi="宋体" w:eastAsia="宋体" w:cs="宋体"/>
          <w:b/>
          <w:color w:val="auto"/>
          <w:sz w:val="24"/>
          <w:szCs w:val="24"/>
          <w:highlight w:val="none"/>
          <w:u w:val="single"/>
        </w:rPr>
        <w:t>个月由发包人无息退还承包人。</w:t>
      </w:r>
    </w:p>
    <w:p w14:paraId="1A6C8AC1">
      <w:pPr>
        <w:spacing w:line="5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若承包人未提供履约担保，则发包人有权拒付工程款。承包人逾期提供履约担保的，发包人有权暂缓支付预付款，且不视为发包人违约，逾期超过20日，发包人有权解除合同，要求承包人承担50000元的违约金。</w:t>
      </w:r>
    </w:p>
    <w:p w14:paraId="7DDE20D6">
      <w:pPr>
        <w:pStyle w:val="6"/>
        <w:spacing w:before="120" w:after="12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w:t>
      </w:r>
      <w:bookmarkStart w:id="935" w:name="_Toc296503162"/>
      <w:bookmarkStart w:id="936" w:name="_Toc296347161"/>
      <w:bookmarkStart w:id="937" w:name="_Toc292559871"/>
      <w:bookmarkStart w:id="938" w:name="_Toc296944501"/>
      <w:bookmarkStart w:id="939" w:name="_Toc267251413"/>
      <w:bookmarkStart w:id="940" w:name="_Toc297048348"/>
      <w:bookmarkStart w:id="941" w:name="_Toc292559366"/>
      <w:bookmarkStart w:id="942" w:name="_Toc296890990"/>
      <w:bookmarkStart w:id="943" w:name="_Toc297120462"/>
      <w:bookmarkStart w:id="944" w:name="_Toc296891202"/>
      <w:bookmarkStart w:id="945" w:name="_Toc296346663"/>
      <w:r>
        <w:rPr>
          <w:rFonts w:hint="eastAsia" w:ascii="宋体" w:hAnsi="宋体" w:eastAsia="宋体" w:cs="宋体"/>
          <w:b w:val="0"/>
          <w:color w:val="auto"/>
          <w:sz w:val="24"/>
          <w:szCs w:val="24"/>
          <w:highlight w:val="none"/>
        </w:rPr>
        <w:t>. 监</w:t>
      </w:r>
      <w:bookmarkEnd w:id="935"/>
      <w:bookmarkEnd w:id="936"/>
      <w:bookmarkEnd w:id="937"/>
      <w:bookmarkEnd w:id="938"/>
      <w:bookmarkEnd w:id="939"/>
      <w:bookmarkEnd w:id="940"/>
      <w:bookmarkEnd w:id="941"/>
      <w:bookmarkEnd w:id="942"/>
      <w:bookmarkEnd w:id="943"/>
      <w:bookmarkEnd w:id="944"/>
      <w:bookmarkEnd w:id="945"/>
      <w:r>
        <w:rPr>
          <w:rFonts w:hint="eastAsia" w:ascii="宋体" w:hAnsi="宋体" w:eastAsia="宋体" w:cs="宋体"/>
          <w:b w:val="0"/>
          <w:color w:val="auto"/>
          <w:sz w:val="24"/>
          <w:szCs w:val="24"/>
          <w:highlight w:val="none"/>
        </w:rPr>
        <w:t>理人</w:t>
      </w:r>
      <w:bookmarkEnd w:id="934"/>
    </w:p>
    <w:p w14:paraId="4F17BF9F">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07ABFB9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按监理合同约定实行</w:t>
      </w:r>
      <w:r>
        <w:rPr>
          <w:rFonts w:hint="eastAsia" w:ascii="宋体" w:hAnsi="宋体" w:eastAsia="宋体" w:cs="宋体"/>
          <w:color w:val="auto"/>
          <w:sz w:val="24"/>
          <w:szCs w:val="24"/>
          <w:highlight w:val="none"/>
        </w:rPr>
        <w:t>。</w:t>
      </w:r>
    </w:p>
    <w:p w14:paraId="1AD9487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按监理合同约定实行</w:t>
      </w:r>
      <w:r>
        <w:rPr>
          <w:rFonts w:hint="eastAsia" w:ascii="宋体" w:hAnsi="宋体" w:eastAsia="宋体" w:cs="宋体"/>
          <w:color w:val="auto"/>
          <w:sz w:val="24"/>
          <w:szCs w:val="24"/>
          <w:highlight w:val="none"/>
        </w:rPr>
        <w:t xml:space="preserve">。 </w:t>
      </w:r>
    </w:p>
    <w:p w14:paraId="3E689FC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监理人在施工现场的办公场所、生活场所由承包人免费提供，如有其它费用由监理人自行承担</w:t>
      </w:r>
      <w:r>
        <w:rPr>
          <w:rFonts w:hint="eastAsia" w:ascii="宋体" w:hAnsi="宋体" w:eastAsia="宋体" w:cs="宋体"/>
          <w:color w:val="auto"/>
          <w:sz w:val="24"/>
          <w:szCs w:val="24"/>
          <w:highlight w:val="none"/>
        </w:rPr>
        <w:t>。</w:t>
      </w:r>
    </w:p>
    <w:p w14:paraId="3FD05ACD">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1400F55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总监理工程师（以下必须填写）：</w:t>
      </w:r>
    </w:p>
    <w:p w14:paraId="3DB30D7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F9716B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B5A2B8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D1240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E08616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B91C4BA">
      <w:pPr>
        <w:spacing w:line="600" w:lineRule="auto"/>
        <w:ind w:left="3571" w:leftChars="215" w:hanging="3120" w:hangingChars="1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27D467E">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商定或确定</w:t>
      </w:r>
    </w:p>
    <w:p w14:paraId="22D59E9B">
      <w:pPr>
        <w:spacing w:line="500" w:lineRule="exact"/>
        <w:ind w:firstLine="480" w:firstLineChars="200"/>
        <w:rPr>
          <w:rFonts w:hint="eastAsia" w:ascii="宋体" w:hAnsi="宋体" w:eastAsia="宋体" w:cs="宋体"/>
          <w:color w:val="auto"/>
          <w:sz w:val="24"/>
          <w:szCs w:val="24"/>
          <w:highlight w:val="none"/>
        </w:rPr>
      </w:pPr>
      <w:bookmarkStart w:id="946"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44BDBD76">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05671A9">
      <w:pPr>
        <w:pStyle w:val="6"/>
        <w:spacing w:before="120" w:after="120" w:line="360" w:lineRule="auto"/>
        <w:rPr>
          <w:rFonts w:hint="eastAsia" w:ascii="宋体" w:hAnsi="宋体" w:eastAsia="宋体" w:cs="宋体"/>
          <w:b w:val="0"/>
          <w:color w:val="auto"/>
          <w:sz w:val="24"/>
          <w:szCs w:val="24"/>
          <w:highlight w:val="none"/>
        </w:rPr>
      </w:pPr>
      <w:bookmarkStart w:id="947" w:name="_Toc351203637"/>
      <w:r>
        <w:rPr>
          <w:rFonts w:hint="eastAsia" w:ascii="宋体" w:hAnsi="宋体" w:eastAsia="宋体" w:cs="宋体"/>
          <w:b w:val="0"/>
          <w:color w:val="auto"/>
          <w:sz w:val="24"/>
          <w:szCs w:val="24"/>
          <w:highlight w:val="none"/>
        </w:rPr>
        <w:t>5</w:t>
      </w:r>
      <w:bookmarkEnd w:id="946"/>
      <w:bookmarkStart w:id="948" w:name="_Toc296891203"/>
      <w:bookmarkStart w:id="949" w:name="_Toc292559872"/>
      <w:bookmarkStart w:id="950" w:name="_Toc296944502"/>
      <w:bookmarkStart w:id="951" w:name="_Toc292559367"/>
      <w:bookmarkStart w:id="952" w:name="_Toc297048349"/>
      <w:bookmarkStart w:id="953" w:name="_Toc296347162"/>
      <w:bookmarkStart w:id="954" w:name="_Toc296503163"/>
      <w:bookmarkStart w:id="955" w:name="_Toc297120463"/>
      <w:bookmarkStart w:id="956" w:name="_Toc296890991"/>
      <w:bookmarkStart w:id="957" w:name="_Toc296346664"/>
      <w:r>
        <w:rPr>
          <w:rFonts w:hint="eastAsia" w:ascii="宋体" w:hAnsi="宋体" w:eastAsia="宋体" w:cs="宋体"/>
          <w:b w:val="0"/>
          <w:color w:val="auto"/>
          <w:sz w:val="24"/>
          <w:szCs w:val="24"/>
          <w:highlight w:val="none"/>
        </w:rPr>
        <w:t>. 工程质量</w:t>
      </w:r>
      <w:bookmarkEnd w:id="947"/>
    </w:p>
    <w:p w14:paraId="2778CFA1">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0F196433">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bookmarkStart w:id="958" w:name="_Toc303539106"/>
      <w:bookmarkStart w:id="959" w:name="_Toc318581164"/>
      <w:bookmarkStart w:id="960" w:name="_Toc297216155"/>
      <w:bookmarkStart w:id="961" w:name="_Toc312677997"/>
      <w:bookmarkStart w:id="962" w:name="_Toc304295527"/>
      <w:bookmarkStart w:id="963" w:name="_Toc297123496"/>
      <w:bookmarkStart w:id="964" w:name="_Toc300934949"/>
      <w:r>
        <w:rPr>
          <w:rFonts w:hint="eastAsia" w:ascii="宋体" w:hAnsi="宋体" w:eastAsia="宋体" w:cs="宋体"/>
          <w:color w:val="auto"/>
          <w:sz w:val="24"/>
          <w:szCs w:val="24"/>
          <w:highlight w:val="none"/>
        </w:rPr>
        <w:t>.1.1 特殊质量标准和要求：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32FC712">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89A4116">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隐蔽工程检查</w:t>
      </w:r>
    </w:p>
    <w:p w14:paraId="1A3FC33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承包人提前通知监理人隐蔽工程检查的期限的约定：</w:t>
      </w:r>
      <w:r>
        <w:rPr>
          <w:rFonts w:hint="eastAsia" w:ascii="宋体" w:hAnsi="宋体" w:eastAsia="宋体" w:cs="宋体"/>
          <w:color w:val="auto"/>
          <w:sz w:val="24"/>
          <w:szCs w:val="24"/>
          <w:highlight w:val="none"/>
          <w:u w:val="single"/>
        </w:rPr>
        <w:t>承包人应在共同检查前48小时书面通知监理人检查，通知中应载明隐蔽检查的内容、时间和地点，并应附有自检记录和必要的检查资料。隐蔽工程必须做好影像资料收集、整理</w:t>
      </w:r>
      <w:r>
        <w:rPr>
          <w:rFonts w:hint="eastAsia" w:ascii="宋体" w:hAnsi="宋体" w:eastAsia="宋体" w:cs="宋体"/>
          <w:color w:val="auto"/>
          <w:sz w:val="24"/>
          <w:szCs w:val="24"/>
          <w:highlight w:val="none"/>
        </w:rPr>
        <w:t>。</w:t>
      </w:r>
    </w:p>
    <w:p w14:paraId="7122C11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24  </w:t>
      </w:r>
      <w:r>
        <w:rPr>
          <w:rFonts w:hint="eastAsia" w:ascii="宋体" w:hAnsi="宋体" w:eastAsia="宋体" w:cs="宋体"/>
          <w:color w:val="auto"/>
          <w:sz w:val="24"/>
          <w:szCs w:val="24"/>
          <w:highlight w:val="none"/>
        </w:rPr>
        <w:t>小时提交书面延期要求。</w:t>
      </w:r>
    </w:p>
    <w:p w14:paraId="52C7B06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48    </w:t>
      </w:r>
      <w:r>
        <w:rPr>
          <w:rFonts w:hint="eastAsia" w:ascii="宋体" w:hAnsi="宋体" w:eastAsia="宋体" w:cs="宋体"/>
          <w:color w:val="auto"/>
          <w:sz w:val="24"/>
          <w:szCs w:val="24"/>
          <w:highlight w:val="none"/>
        </w:rPr>
        <w:t>小时。</w:t>
      </w:r>
    </w:p>
    <w:p w14:paraId="168AC1D0">
      <w:pPr>
        <w:pStyle w:val="6"/>
        <w:spacing w:before="120" w:after="120" w:line="360" w:lineRule="auto"/>
        <w:rPr>
          <w:rFonts w:hint="eastAsia" w:ascii="宋体" w:hAnsi="宋体" w:eastAsia="宋体" w:cs="宋体"/>
          <w:b w:val="0"/>
          <w:color w:val="auto"/>
          <w:sz w:val="24"/>
          <w:szCs w:val="24"/>
          <w:highlight w:val="none"/>
        </w:rPr>
      </w:pPr>
      <w:bookmarkStart w:id="965" w:name="_Toc351203638"/>
      <w:r>
        <w:rPr>
          <w:rFonts w:hint="eastAsia" w:ascii="宋体" w:hAnsi="宋体" w:eastAsia="宋体" w:cs="宋体"/>
          <w:b w:val="0"/>
          <w:color w:val="auto"/>
          <w:sz w:val="24"/>
          <w:szCs w:val="24"/>
          <w:highlight w:val="none"/>
        </w:rPr>
        <w:t>6. 安全文明施工与环境保护</w:t>
      </w:r>
      <w:bookmarkEnd w:id="965"/>
    </w:p>
    <w:p w14:paraId="529D7CE8">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6C50778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b/>
          <w:color w:val="auto"/>
          <w:sz w:val="24"/>
          <w:szCs w:val="24"/>
          <w:highlight w:val="none"/>
          <w:u w:val="single"/>
        </w:rPr>
        <w:t>施工现场按照《建筑施工安全检查标准》（JGJ59-2011）评定达到“合格”标准。《建设工程质量安全文明施工责任书》、《工程廉政责任书》作为施工合同附件，由施工合同的发包人、承包人双方共同签署。</w:t>
      </w:r>
      <w:r>
        <w:rPr>
          <w:rFonts w:hint="eastAsia" w:ascii="宋体" w:hAnsi="宋体" w:eastAsia="宋体" w:cs="宋体"/>
          <w:color w:val="auto"/>
          <w:sz w:val="24"/>
          <w:szCs w:val="24"/>
          <w:highlight w:val="none"/>
        </w:rPr>
        <w:t>。</w:t>
      </w:r>
    </w:p>
    <w:p w14:paraId="57B0936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关于治安保卫的特别约定：</w:t>
      </w:r>
      <w:r>
        <w:rPr>
          <w:rFonts w:hint="eastAsia" w:ascii="宋体" w:hAnsi="宋体" w:eastAsia="宋体" w:cs="宋体"/>
          <w:color w:val="auto"/>
          <w:sz w:val="24"/>
          <w:szCs w:val="24"/>
          <w:highlight w:val="none"/>
          <w:u w:val="single"/>
        </w:rPr>
        <w:t xml:space="preserve">按通用条款执行   </w:t>
      </w:r>
      <w:r>
        <w:rPr>
          <w:rFonts w:hint="eastAsia" w:ascii="宋体" w:hAnsi="宋体" w:eastAsia="宋体" w:cs="宋体"/>
          <w:color w:val="auto"/>
          <w:sz w:val="24"/>
          <w:szCs w:val="24"/>
          <w:highlight w:val="none"/>
        </w:rPr>
        <w:t>。</w:t>
      </w:r>
    </w:p>
    <w:p w14:paraId="40C3B22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 xml:space="preserve">按通用条款执行   </w:t>
      </w:r>
      <w:r>
        <w:rPr>
          <w:rFonts w:hint="eastAsia" w:ascii="宋体" w:hAnsi="宋体" w:eastAsia="宋体" w:cs="宋体"/>
          <w:color w:val="auto"/>
          <w:sz w:val="24"/>
          <w:szCs w:val="24"/>
          <w:highlight w:val="none"/>
        </w:rPr>
        <w:t>。</w:t>
      </w:r>
    </w:p>
    <w:p w14:paraId="5D10A92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文明施工</w:t>
      </w:r>
    </w:p>
    <w:p w14:paraId="30269C8B">
      <w:pPr>
        <w:spacing w:line="50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p>
    <w:p w14:paraId="6511F3DF">
      <w:pPr>
        <w:spacing w:line="500" w:lineRule="exact"/>
        <w:ind w:firstLine="475" w:firstLineChars="198"/>
        <w:rPr>
          <w:rFonts w:hint="eastAsia" w:ascii="宋体" w:hAnsi="宋体" w:eastAsia="宋体" w:cs="宋体"/>
          <w:b/>
          <w:color w:val="auto"/>
          <w:sz w:val="24"/>
          <w:szCs w:val="24"/>
          <w:highlight w:val="none"/>
          <w:u w:val="single"/>
          <w:lang w:val="zh-CN"/>
        </w:rPr>
      </w:pPr>
      <w:r>
        <w:rPr>
          <w:rFonts w:hint="eastAsia" w:ascii="宋体" w:hAnsi="宋体" w:eastAsia="宋体" w:cs="宋体"/>
          <w:b/>
          <w:color w:val="auto"/>
          <w:sz w:val="24"/>
          <w:szCs w:val="24"/>
          <w:highlight w:val="none"/>
          <w:u w:val="single"/>
        </w:rPr>
        <w:t>（1）</w:t>
      </w:r>
      <w:r>
        <w:rPr>
          <w:rFonts w:hint="eastAsia" w:ascii="宋体" w:hAnsi="宋体" w:eastAsia="宋体" w:cs="宋体"/>
          <w:b/>
          <w:color w:val="auto"/>
          <w:sz w:val="24"/>
          <w:szCs w:val="24"/>
          <w:highlight w:val="none"/>
          <w:u w:val="single"/>
          <w:lang w:val="zh-CN"/>
        </w:rPr>
        <w:t>遵守地方政府和有关部门对施工场地交通、环卫、安全和施工噪音等管理规定，并办理相关审批手续</w:t>
      </w:r>
      <w:r>
        <w:rPr>
          <w:rFonts w:hint="eastAsia" w:ascii="宋体" w:hAnsi="宋体" w:eastAsia="宋体" w:cs="宋体"/>
          <w:b/>
          <w:color w:val="auto"/>
          <w:sz w:val="24"/>
          <w:szCs w:val="24"/>
          <w:highlight w:val="none"/>
          <w:lang w:val="zh-CN"/>
        </w:rPr>
        <w:t>。</w:t>
      </w:r>
    </w:p>
    <w:p w14:paraId="25E73781">
      <w:pPr>
        <w:spacing w:line="500" w:lineRule="exact"/>
        <w:ind w:firstLine="475" w:firstLineChars="198"/>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u w:val="single"/>
          <w:lang w:val="zh-CN"/>
        </w:rPr>
        <w:t>（2）承包人应采取有效措施尽量减小尘土和噪音污染，需要进行夜间作业时应经有关部门批准</w:t>
      </w:r>
      <w:r>
        <w:rPr>
          <w:rFonts w:hint="eastAsia" w:ascii="宋体" w:hAnsi="宋体" w:eastAsia="宋体" w:cs="宋体"/>
          <w:b/>
          <w:color w:val="auto"/>
          <w:sz w:val="24"/>
          <w:szCs w:val="24"/>
          <w:highlight w:val="none"/>
          <w:lang w:val="zh-CN"/>
        </w:rPr>
        <w:t>。</w:t>
      </w:r>
    </w:p>
    <w:p w14:paraId="504392BF">
      <w:pPr>
        <w:spacing w:line="500" w:lineRule="exact"/>
        <w:ind w:firstLine="475" w:firstLineChars="198"/>
        <w:rPr>
          <w:rFonts w:hint="eastAsia" w:ascii="宋体" w:hAnsi="宋体" w:eastAsia="宋体" w:cs="宋体"/>
          <w:b/>
          <w:color w:val="auto"/>
          <w:sz w:val="24"/>
          <w:szCs w:val="24"/>
          <w:highlight w:val="none"/>
          <w:u w:val="single"/>
          <w:lang w:val="zh-CN"/>
        </w:rPr>
      </w:pPr>
      <w:r>
        <w:rPr>
          <w:rFonts w:hint="eastAsia" w:ascii="宋体" w:hAnsi="宋体" w:eastAsia="宋体" w:cs="宋体"/>
          <w:b/>
          <w:color w:val="auto"/>
          <w:sz w:val="24"/>
          <w:szCs w:val="24"/>
          <w:highlight w:val="none"/>
          <w:u w:val="single"/>
          <w:lang w:val="zh-CN"/>
        </w:rPr>
        <w:t>（3）其他：承包人应严格按浙江省和杭州市双标化工地的要求组织施工，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w:t>
      </w:r>
      <w:r>
        <w:rPr>
          <w:rFonts w:hint="eastAsia" w:ascii="宋体" w:hAnsi="宋体" w:eastAsia="宋体" w:cs="宋体"/>
          <w:b/>
          <w:color w:val="auto"/>
          <w:sz w:val="24"/>
          <w:szCs w:val="24"/>
          <w:highlight w:val="none"/>
          <w:lang w:val="zh-CN"/>
        </w:rPr>
        <w:t xml:space="preserve">。 </w:t>
      </w:r>
    </w:p>
    <w:p w14:paraId="34FE63DB">
      <w:pPr>
        <w:spacing w:line="500" w:lineRule="exact"/>
        <w:ind w:firstLine="475" w:firstLineChars="198"/>
        <w:outlineLvl w:val="0"/>
        <w:rPr>
          <w:rFonts w:hint="eastAsia" w:ascii="宋体" w:hAnsi="宋体" w:eastAsia="宋体" w:cs="宋体"/>
          <w:b/>
          <w:color w:val="auto"/>
          <w:sz w:val="24"/>
          <w:szCs w:val="24"/>
          <w:highlight w:val="none"/>
          <w:u w:val="single"/>
          <w:lang w:val="zh-CN"/>
        </w:rPr>
      </w:pPr>
      <w:bookmarkStart w:id="966" w:name="_Toc23269"/>
      <w:bookmarkStart w:id="967" w:name="_Toc8494"/>
      <w:r>
        <w:rPr>
          <w:rFonts w:hint="eastAsia" w:ascii="宋体" w:hAnsi="宋体" w:eastAsia="宋体" w:cs="宋体"/>
          <w:b/>
          <w:color w:val="auto"/>
          <w:sz w:val="24"/>
          <w:szCs w:val="24"/>
          <w:highlight w:val="none"/>
          <w:u w:val="single"/>
          <w:lang w:val="zh-CN"/>
        </w:rPr>
        <w:t>（4）上述手续办理费用约定如下： 由承包人支付。</w:t>
      </w:r>
      <w:bookmarkEnd w:id="966"/>
      <w:bookmarkEnd w:id="967"/>
    </w:p>
    <w:p w14:paraId="535EA046">
      <w:pPr>
        <w:spacing w:line="5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 xml:space="preserve">（5）其他：                                        </w:t>
      </w:r>
      <w:r>
        <w:rPr>
          <w:rFonts w:hint="eastAsia" w:ascii="宋体" w:hAnsi="宋体" w:eastAsia="宋体" w:cs="宋体"/>
          <w:b/>
          <w:color w:val="auto"/>
          <w:sz w:val="24"/>
          <w:szCs w:val="24"/>
          <w:highlight w:val="none"/>
        </w:rPr>
        <w:t>。</w:t>
      </w:r>
    </w:p>
    <w:p w14:paraId="03825E2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关于安全文明施工费支付比例和支付期限的约定：</w:t>
      </w:r>
      <w:r>
        <w:rPr>
          <w:rFonts w:hint="eastAsia" w:ascii="宋体" w:hAnsi="宋体" w:eastAsia="宋体" w:cs="宋体"/>
          <w:color w:val="auto"/>
          <w:sz w:val="24"/>
          <w:szCs w:val="24"/>
          <w:highlight w:val="none"/>
          <w:u w:val="single"/>
        </w:rPr>
        <w:t>不单独拆分支付安全文明施工费</w:t>
      </w:r>
      <w:r>
        <w:rPr>
          <w:rFonts w:hint="eastAsia" w:ascii="宋体" w:hAnsi="宋体" w:eastAsia="宋体" w:cs="宋体"/>
          <w:color w:val="auto"/>
          <w:sz w:val="24"/>
          <w:szCs w:val="24"/>
          <w:highlight w:val="none"/>
        </w:rPr>
        <w:t>。</w:t>
      </w:r>
    </w:p>
    <w:bookmarkEnd w:id="958"/>
    <w:bookmarkEnd w:id="959"/>
    <w:bookmarkEnd w:id="960"/>
    <w:bookmarkEnd w:id="961"/>
    <w:bookmarkEnd w:id="962"/>
    <w:bookmarkEnd w:id="963"/>
    <w:bookmarkEnd w:id="964"/>
    <w:p w14:paraId="1238FF40">
      <w:pPr>
        <w:pStyle w:val="6"/>
        <w:spacing w:before="120" w:after="120" w:line="360" w:lineRule="auto"/>
        <w:rPr>
          <w:rFonts w:hint="eastAsia" w:ascii="宋体" w:hAnsi="宋体" w:eastAsia="宋体" w:cs="宋体"/>
          <w:b w:val="0"/>
          <w:color w:val="auto"/>
          <w:sz w:val="24"/>
          <w:szCs w:val="24"/>
          <w:highlight w:val="none"/>
        </w:rPr>
      </w:pPr>
      <w:bookmarkStart w:id="968" w:name="_Toc351203639"/>
      <w:r>
        <w:rPr>
          <w:rFonts w:hint="eastAsia" w:ascii="宋体" w:hAnsi="宋体" w:eastAsia="宋体" w:cs="宋体"/>
          <w:b w:val="0"/>
          <w:color w:val="auto"/>
          <w:sz w:val="24"/>
          <w:szCs w:val="24"/>
          <w:highlight w:val="none"/>
        </w:rPr>
        <w:t>7. 工期和进度</w:t>
      </w:r>
      <w:bookmarkEnd w:id="968"/>
    </w:p>
    <w:p w14:paraId="179D727D">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18116B86">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合同当事人约定的施工组织设计应包括的其他内容：</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60835CE1">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14:paraId="6D620D52">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承包人提交详细施工组织设计的期限的约定：</w:t>
      </w:r>
      <w:r>
        <w:rPr>
          <w:rFonts w:hint="eastAsia" w:ascii="宋体" w:hAnsi="宋体" w:eastAsia="宋体" w:cs="宋体"/>
          <w:b/>
          <w:color w:val="auto"/>
          <w:sz w:val="24"/>
          <w:szCs w:val="24"/>
          <w:highlight w:val="none"/>
          <w:u w:val="single"/>
        </w:rPr>
        <w:t xml:space="preserve">合同签订后 7 天内提供详细施工组织设计（施工方案）和进度计划   </w:t>
      </w:r>
      <w:r>
        <w:rPr>
          <w:rFonts w:hint="eastAsia" w:ascii="宋体" w:hAnsi="宋体" w:eastAsia="宋体" w:cs="宋体"/>
          <w:color w:val="auto"/>
          <w:sz w:val="24"/>
          <w:szCs w:val="24"/>
          <w:highlight w:val="none"/>
        </w:rPr>
        <w:t>。</w:t>
      </w:r>
    </w:p>
    <w:p w14:paraId="0D3601D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b/>
          <w:color w:val="auto"/>
          <w:sz w:val="24"/>
          <w:szCs w:val="24"/>
          <w:highlight w:val="none"/>
          <w:u w:val="single"/>
        </w:rPr>
        <w:t>收到施工组织设计后 7天内</w:t>
      </w:r>
      <w:r>
        <w:rPr>
          <w:rFonts w:hint="eastAsia" w:ascii="宋体" w:hAnsi="宋体" w:eastAsia="宋体" w:cs="宋体"/>
          <w:color w:val="auto"/>
          <w:sz w:val="24"/>
          <w:szCs w:val="24"/>
          <w:highlight w:val="none"/>
        </w:rPr>
        <w:t>。</w:t>
      </w:r>
    </w:p>
    <w:p w14:paraId="45F4AE31">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969" w:name="_Toc300934966"/>
      <w:bookmarkStart w:id="970" w:name="_Toc312677479"/>
      <w:bookmarkStart w:id="971" w:name="_Toc312678005"/>
      <w:bookmarkStart w:id="972" w:name="_Toc297216173"/>
      <w:bookmarkStart w:id="973" w:name="_Toc297123514"/>
      <w:bookmarkStart w:id="974" w:name="_Toc303539123"/>
      <w:bookmarkStart w:id="975" w:name="_Toc304295541"/>
      <w:r>
        <w:rPr>
          <w:rFonts w:hint="eastAsia" w:ascii="宋体" w:hAnsi="宋体" w:eastAsia="宋体" w:cs="宋体"/>
          <w:color w:val="auto"/>
          <w:sz w:val="24"/>
          <w:szCs w:val="24"/>
          <w:highlight w:val="none"/>
        </w:rPr>
        <w:t>.2 施工进度计划</w:t>
      </w:r>
    </w:p>
    <w:p w14:paraId="46B046D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施工进度计划的修订</w:t>
      </w:r>
    </w:p>
    <w:p w14:paraId="7A2B52B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收到修订的施工进度计划后7 天内</w:t>
      </w:r>
      <w:r>
        <w:rPr>
          <w:rFonts w:hint="eastAsia" w:ascii="宋体" w:hAnsi="宋体" w:eastAsia="宋体" w:cs="宋体"/>
          <w:color w:val="auto"/>
          <w:sz w:val="24"/>
          <w:szCs w:val="24"/>
          <w:highlight w:val="none"/>
        </w:rPr>
        <w:t>。</w:t>
      </w:r>
    </w:p>
    <w:p w14:paraId="57DA65F0">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4108ED4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37FAE5E6">
      <w:pPr>
        <w:spacing w:line="500" w:lineRule="exact"/>
        <w:ind w:firstLine="64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color w:val="auto"/>
          <w:sz w:val="24"/>
          <w:szCs w:val="24"/>
          <w:highlight w:val="none"/>
          <w:u w:val="single"/>
        </w:rPr>
        <w:t>开工前 3天</w:t>
      </w:r>
      <w:r>
        <w:rPr>
          <w:rFonts w:hint="eastAsia" w:ascii="宋体" w:hAnsi="宋体" w:eastAsia="宋体" w:cs="宋体"/>
          <w:color w:val="auto"/>
          <w:sz w:val="24"/>
          <w:szCs w:val="24"/>
          <w:highlight w:val="none"/>
        </w:rPr>
        <w:t>。</w:t>
      </w:r>
    </w:p>
    <w:p w14:paraId="12E99E6C">
      <w:pPr>
        <w:spacing w:line="500" w:lineRule="exact"/>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开工前 3天</w:t>
      </w:r>
      <w:r>
        <w:rPr>
          <w:rFonts w:hint="eastAsia" w:ascii="宋体" w:hAnsi="宋体" w:eastAsia="宋体" w:cs="宋体"/>
          <w:color w:val="auto"/>
          <w:sz w:val="24"/>
          <w:szCs w:val="24"/>
          <w:highlight w:val="none"/>
        </w:rPr>
        <w:t>。</w:t>
      </w:r>
    </w:p>
    <w:p w14:paraId="1D8F5E4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开工前 3天</w:t>
      </w:r>
      <w:r>
        <w:rPr>
          <w:rFonts w:hint="eastAsia" w:ascii="宋体" w:hAnsi="宋体" w:eastAsia="宋体" w:cs="宋体"/>
          <w:color w:val="auto"/>
          <w:sz w:val="24"/>
          <w:szCs w:val="24"/>
          <w:highlight w:val="none"/>
        </w:rPr>
        <w:t>。</w:t>
      </w:r>
    </w:p>
    <w:p w14:paraId="22DE95A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71A8340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天内发出开工通知的，承包人有权提出价格调整要求，或者解除合同。</w:t>
      </w:r>
    </w:p>
    <w:bookmarkEnd w:id="969"/>
    <w:bookmarkEnd w:id="970"/>
    <w:bookmarkEnd w:id="971"/>
    <w:bookmarkEnd w:id="972"/>
    <w:bookmarkEnd w:id="973"/>
    <w:bookmarkEnd w:id="974"/>
    <w:bookmarkEnd w:id="975"/>
    <w:p w14:paraId="7C76567F">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726DD509">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开工前 7 天</w:t>
      </w:r>
      <w:r>
        <w:rPr>
          <w:rFonts w:hint="eastAsia" w:ascii="宋体" w:hAnsi="宋体" w:eastAsia="宋体" w:cs="宋体"/>
          <w:color w:val="auto"/>
          <w:sz w:val="24"/>
          <w:szCs w:val="24"/>
          <w:highlight w:val="none"/>
        </w:rPr>
        <w:t>。</w:t>
      </w:r>
    </w:p>
    <w:p w14:paraId="47C1E12F">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976" w:name="_Toc312677484"/>
      <w:bookmarkStart w:id="977" w:name="_Toc297123516"/>
      <w:bookmarkStart w:id="978" w:name="_Toc304295546"/>
      <w:bookmarkStart w:id="979" w:name="_Toc312678010"/>
      <w:bookmarkStart w:id="980" w:name="_Toc303539125"/>
      <w:bookmarkStart w:id="981" w:name="_Toc297216175"/>
      <w:bookmarkStart w:id="982" w:name="_Toc300934968"/>
      <w:r>
        <w:rPr>
          <w:rFonts w:hint="eastAsia" w:ascii="宋体" w:hAnsi="宋体" w:eastAsia="宋体" w:cs="宋体"/>
          <w:color w:val="auto"/>
          <w:sz w:val="24"/>
          <w:szCs w:val="24"/>
          <w:highlight w:val="none"/>
        </w:rPr>
        <w:t>.5 工期延误</w:t>
      </w:r>
    </w:p>
    <w:bookmarkEnd w:id="976"/>
    <w:bookmarkEnd w:id="977"/>
    <w:bookmarkEnd w:id="978"/>
    <w:bookmarkEnd w:id="979"/>
    <w:bookmarkEnd w:id="980"/>
    <w:bookmarkEnd w:id="981"/>
    <w:bookmarkEnd w:id="982"/>
    <w:p w14:paraId="0AEA488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14:paraId="410AC61B">
      <w:pPr>
        <w:spacing w:line="50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p>
    <w:p w14:paraId="7D830B62">
      <w:pPr>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①重大设计变更引起的工期延误                        </w:t>
      </w:r>
      <w:r>
        <w:rPr>
          <w:rFonts w:hint="eastAsia" w:ascii="宋体" w:hAnsi="宋体" w:eastAsia="宋体" w:cs="宋体"/>
          <w:b/>
          <w:color w:val="auto"/>
          <w:sz w:val="24"/>
          <w:szCs w:val="24"/>
          <w:highlight w:val="none"/>
        </w:rPr>
        <w:t>；</w:t>
      </w:r>
    </w:p>
    <w:p w14:paraId="15FD26E4">
      <w:pPr>
        <w:spacing w:line="500" w:lineRule="exact"/>
        <w:ind w:firstLine="501" w:firstLineChars="209"/>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②其他： /                                        </w:t>
      </w:r>
      <w:r>
        <w:rPr>
          <w:rFonts w:hint="eastAsia" w:ascii="宋体" w:hAnsi="宋体" w:eastAsia="宋体" w:cs="宋体"/>
          <w:b/>
          <w:color w:val="auto"/>
          <w:sz w:val="24"/>
          <w:szCs w:val="24"/>
          <w:highlight w:val="none"/>
        </w:rPr>
        <w:t>。</w:t>
      </w:r>
    </w:p>
    <w:p w14:paraId="4956001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983" w:name="_Toc312677486"/>
      <w:bookmarkStart w:id="984" w:name="_Toc312678012"/>
      <w:bookmarkStart w:id="985" w:name="_Toc318581169"/>
      <w:bookmarkStart w:id="986" w:name="_Toc297216177"/>
      <w:bookmarkStart w:id="987" w:name="_Toc300934970"/>
      <w:bookmarkStart w:id="988" w:name="_Toc297123518"/>
      <w:bookmarkStart w:id="989" w:name="_Toc303539127"/>
      <w:bookmarkStart w:id="990" w:name="_Toc304295548"/>
      <w:r>
        <w:rPr>
          <w:rFonts w:hint="eastAsia" w:ascii="宋体" w:hAnsi="宋体" w:eastAsia="宋体" w:cs="宋体"/>
          <w:color w:val="auto"/>
          <w:sz w:val="24"/>
          <w:szCs w:val="24"/>
          <w:highlight w:val="none"/>
        </w:rPr>
        <w:t>.5.2 因承包人原因导致工期延误</w:t>
      </w:r>
    </w:p>
    <w:bookmarkEnd w:id="983"/>
    <w:bookmarkEnd w:id="984"/>
    <w:bookmarkEnd w:id="985"/>
    <w:p w14:paraId="11BC430B">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因</w:t>
      </w:r>
      <w:bookmarkStart w:id="991" w:name="_Toc312678013"/>
      <w:bookmarkStart w:id="992" w:name="_Toc318581170"/>
      <w:bookmarkStart w:id="993" w:name="_Toc312677487"/>
      <w:r>
        <w:rPr>
          <w:rFonts w:hint="eastAsia" w:ascii="宋体" w:hAnsi="宋体" w:eastAsia="宋体" w:cs="宋体"/>
          <w:color w:val="auto"/>
          <w:sz w:val="24"/>
          <w:szCs w:val="24"/>
          <w:highlight w:val="none"/>
        </w:rPr>
        <w:t>承包人原因造成工期延误，逾期竣工违约金的计算方法为：</w:t>
      </w:r>
    </w:p>
    <w:p w14:paraId="7F8C9A3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工期延误10天以内每延误一天，按0.5万/天向发包人支付违约金，延误10天以外20天以内每延误一天，按1万/天向发包人支付违约金，以此类推，按倍数支付违约金。工期延误超过60天的，发包人同时有权解除合同</w:t>
      </w:r>
      <w:r>
        <w:rPr>
          <w:rFonts w:hint="eastAsia" w:ascii="宋体" w:hAnsi="宋体" w:eastAsia="宋体" w:cs="宋体"/>
          <w:color w:val="auto"/>
          <w:sz w:val="24"/>
          <w:szCs w:val="24"/>
          <w:highlight w:val="none"/>
        </w:rPr>
        <w:t>。</w:t>
      </w:r>
      <w:bookmarkEnd w:id="986"/>
      <w:bookmarkEnd w:id="987"/>
      <w:bookmarkEnd w:id="988"/>
      <w:bookmarkEnd w:id="989"/>
      <w:bookmarkEnd w:id="990"/>
      <w:bookmarkEnd w:id="991"/>
      <w:bookmarkEnd w:id="992"/>
      <w:bookmarkEnd w:id="993"/>
    </w:p>
    <w:p w14:paraId="63E8465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994" w:name="_Toc297123519"/>
      <w:bookmarkStart w:id="995" w:name="_Toc297216178"/>
      <w:bookmarkStart w:id="996" w:name="_Toc303539128"/>
      <w:bookmarkStart w:id="997" w:name="_Toc300934971"/>
      <w:bookmarkStart w:id="998" w:name="_Toc304295549"/>
      <w:bookmarkStart w:id="999" w:name="_Toc312678015"/>
      <w:r>
        <w:rPr>
          <w:rFonts w:hint="eastAsia" w:ascii="宋体" w:hAnsi="宋体" w:eastAsia="宋体" w:cs="宋体"/>
          <w:color w:val="auto"/>
          <w:sz w:val="24"/>
          <w:szCs w:val="24"/>
          <w:highlight w:val="none"/>
        </w:rPr>
        <w:t>.6 不</w:t>
      </w:r>
      <w:bookmarkEnd w:id="994"/>
      <w:bookmarkEnd w:id="995"/>
      <w:bookmarkEnd w:id="996"/>
      <w:bookmarkEnd w:id="997"/>
      <w:bookmarkEnd w:id="998"/>
      <w:bookmarkEnd w:id="999"/>
      <w:r>
        <w:rPr>
          <w:rFonts w:hint="eastAsia" w:ascii="宋体" w:hAnsi="宋体" w:eastAsia="宋体" w:cs="宋体"/>
          <w:color w:val="auto"/>
          <w:sz w:val="24"/>
          <w:szCs w:val="24"/>
          <w:highlight w:val="none"/>
        </w:rPr>
        <w:t>利物质条件</w:t>
      </w:r>
    </w:p>
    <w:p w14:paraId="1C482D6B">
      <w:pPr>
        <w:spacing w:line="500" w:lineRule="exact"/>
        <w:ind w:firstLine="475" w:firstLineChars="198"/>
        <w:rPr>
          <w:rFonts w:hint="eastAsia" w:ascii="宋体" w:hAnsi="宋体" w:eastAsia="宋体" w:cs="宋体"/>
          <w:color w:val="auto"/>
          <w:sz w:val="24"/>
          <w:szCs w:val="24"/>
          <w:highlight w:val="none"/>
        </w:rPr>
      </w:pPr>
      <w:bookmarkStart w:id="1000" w:name="_Toc300934972"/>
      <w:bookmarkStart w:id="1001" w:name="_Toc312678016"/>
      <w:bookmarkStart w:id="1002" w:name="_Toc297216179"/>
      <w:bookmarkStart w:id="1003" w:name="_Toc297123520"/>
      <w:bookmarkStart w:id="1004" w:name="_Toc318581172"/>
      <w:bookmarkStart w:id="1005" w:name="_Toc303539129"/>
      <w:bookmarkStart w:id="1006" w:name="_Toc304295550"/>
      <w:r>
        <w:rPr>
          <w:rFonts w:hint="eastAsia" w:ascii="宋体" w:hAnsi="宋体" w:eastAsia="宋体" w:cs="宋体"/>
          <w:color w:val="auto"/>
          <w:sz w:val="24"/>
          <w:szCs w:val="24"/>
          <w:highlight w:val="none"/>
        </w:rPr>
        <w:t>不利物质条件的其他情形和有关约定：</w:t>
      </w:r>
      <w:bookmarkEnd w:id="1000"/>
      <w:bookmarkEnd w:id="1001"/>
      <w:bookmarkEnd w:id="1002"/>
      <w:bookmarkEnd w:id="1003"/>
      <w:bookmarkEnd w:id="1004"/>
      <w:bookmarkEnd w:id="1005"/>
      <w:bookmarkEnd w:id="1006"/>
    </w:p>
    <w:p w14:paraId="35239C90">
      <w:pPr>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（1）施工场地周围地下管线                            </w:t>
      </w:r>
      <w:r>
        <w:rPr>
          <w:rFonts w:hint="eastAsia" w:ascii="宋体" w:hAnsi="宋体" w:eastAsia="宋体" w:cs="宋体"/>
          <w:b/>
          <w:color w:val="auto"/>
          <w:sz w:val="24"/>
          <w:szCs w:val="24"/>
          <w:highlight w:val="none"/>
        </w:rPr>
        <w:t>；</w:t>
      </w:r>
    </w:p>
    <w:p w14:paraId="1E433281">
      <w:pPr>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（2）地下障碍物和污染物                              </w:t>
      </w:r>
      <w:r>
        <w:rPr>
          <w:rFonts w:hint="eastAsia" w:ascii="宋体" w:hAnsi="宋体" w:eastAsia="宋体" w:cs="宋体"/>
          <w:b/>
          <w:color w:val="auto"/>
          <w:sz w:val="24"/>
          <w:szCs w:val="24"/>
          <w:highlight w:val="none"/>
        </w:rPr>
        <w:t>；</w:t>
      </w:r>
    </w:p>
    <w:p w14:paraId="1B47E222">
      <w:pPr>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（3）邻近建筑物、构筑物的保护要求                    </w:t>
      </w:r>
      <w:r>
        <w:rPr>
          <w:rFonts w:hint="eastAsia" w:ascii="宋体" w:hAnsi="宋体" w:eastAsia="宋体" w:cs="宋体"/>
          <w:b/>
          <w:color w:val="auto"/>
          <w:sz w:val="24"/>
          <w:szCs w:val="24"/>
          <w:highlight w:val="none"/>
        </w:rPr>
        <w:t>；</w:t>
      </w:r>
    </w:p>
    <w:p w14:paraId="7F2BC8B7">
      <w:pPr>
        <w:spacing w:line="500" w:lineRule="exact"/>
        <w:ind w:firstLine="475" w:firstLineChars="19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（4）其他：/                                        </w:t>
      </w:r>
      <w:r>
        <w:rPr>
          <w:rFonts w:hint="eastAsia" w:ascii="宋体" w:hAnsi="宋体" w:eastAsia="宋体" w:cs="宋体"/>
          <w:b/>
          <w:color w:val="auto"/>
          <w:sz w:val="24"/>
          <w:szCs w:val="24"/>
          <w:highlight w:val="none"/>
        </w:rPr>
        <w:t>。</w:t>
      </w:r>
    </w:p>
    <w:p w14:paraId="1ADDE8B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007" w:name="_Toc312678017"/>
      <w:bookmarkStart w:id="1008" w:name="_Toc297123521"/>
      <w:bookmarkStart w:id="1009" w:name="_Toc300934973"/>
      <w:bookmarkStart w:id="1010" w:name="_Toc304295551"/>
      <w:bookmarkStart w:id="1011" w:name="_Toc303539130"/>
      <w:bookmarkStart w:id="1012" w:name="_Toc297216180"/>
      <w:r>
        <w:rPr>
          <w:rFonts w:hint="eastAsia" w:ascii="宋体" w:hAnsi="宋体" w:eastAsia="宋体" w:cs="宋体"/>
          <w:color w:val="auto"/>
          <w:sz w:val="24"/>
          <w:szCs w:val="24"/>
          <w:highlight w:val="none"/>
        </w:rPr>
        <w:t>.7异常恶劣的气候条件</w:t>
      </w:r>
    </w:p>
    <w:bookmarkEnd w:id="1007"/>
    <w:bookmarkEnd w:id="1008"/>
    <w:bookmarkEnd w:id="1009"/>
    <w:bookmarkEnd w:id="1010"/>
    <w:bookmarkEnd w:id="1011"/>
    <w:bookmarkEnd w:id="1012"/>
    <w:p w14:paraId="1D43FD1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2393415F">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日最高气温达到40度及以上的天气；启动台风橙色及以上的预警的天气；启动防汛预案一级响应的天气；启动防冻预案一级响应的天气 。</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提前竣工的奖励</w:t>
      </w:r>
    </w:p>
    <w:p w14:paraId="12128D9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提前竣工的奖励：</w:t>
      </w:r>
      <w:r>
        <w:rPr>
          <w:rFonts w:hint="eastAsia" w:ascii="宋体" w:hAnsi="宋体" w:eastAsia="宋体" w:cs="宋体"/>
          <w:color w:val="auto"/>
          <w:sz w:val="24"/>
          <w:szCs w:val="24"/>
          <w:highlight w:val="none"/>
          <w:u w:val="single"/>
        </w:rPr>
        <w:t>建设单位在参建各方确认是否可行后，有权对项目实施提出合理的节点工期。如节点工期未完成的，可参照项目总工期相关处罚条款进行处置。</w:t>
      </w:r>
      <w:r>
        <w:rPr>
          <w:rFonts w:hint="eastAsia" w:ascii="宋体" w:hAnsi="宋体" w:eastAsia="宋体" w:cs="宋体"/>
          <w:color w:val="auto"/>
          <w:sz w:val="24"/>
          <w:szCs w:val="24"/>
          <w:highlight w:val="none"/>
        </w:rPr>
        <w:t>。</w:t>
      </w:r>
    </w:p>
    <w:p w14:paraId="1ED193C3">
      <w:pPr>
        <w:pStyle w:val="6"/>
        <w:spacing w:before="120" w:after="120" w:line="360" w:lineRule="auto"/>
        <w:rPr>
          <w:rFonts w:hint="eastAsia" w:ascii="宋体" w:hAnsi="宋体" w:eastAsia="宋体" w:cs="宋体"/>
          <w:b w:val="0"/>
          <w:color w:val="auto"/>
          <w:sz w:val="24"/>
          <w:szCs w:val="24"/>
          <w:highlight w:val="none"/>
        </w:rPr>
      </w:pPr>
      <w:bookmarkStart w:id="1013" w:name="_Toc351203640"/>
      <w:r>
        <w:rPr>
          <w:rFonts w:hint="eastAsia" w:ascii="宋体" w:hAnsi="宋体" w:eastAsia="宋体" w:cs="宋体"/>
          <w:b w:val="0"/>
          <w:color w:val="auto"/>
          <w:sz w:val="24"/>
          <w:szCs w:val="24"/>
          <w:highlight w:val="none"/>
        </w:rPr>
        <w:t>8. 材料与设备</w:t>
      </w:r>
      <w:bookmarkEnd w:id="1013"/>
    </w:p>
    <w:bookmarkEnd w:id="948"/>
    <w:bookmarkEnd w:id="949"/>
    <w:bookmarkEnd w:id="950"/>
    <w:bookmarkEnd w:id="951"/>
    <w:bookmarkEnd w:id="952"/>
    <w:bookmarkEnd w:id="953"/>
    <w:bookmarkEnd w:id="954"/>
    <w:bookmarkEnd w:id="955"/>
    <w:bookmarkEnd w:id="956"/>
    <w:bookmarkEnd w:id="957"/>
    <w:p w14:paraId="3B485CA0">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1014" w:name="_Toc297216186"/>
      <w:bookmarkStart w:id="1015" w:name="_Toc296891207"/>
      <w:bookmarkStart w:id="1016" w:name="_Toc297123527"/>
      <w:bookmarkStart w:id="1017" w:name="_Toc292559877"/>
      <w:bookmarkStart w:id="1018" w:name="_Toc296944506"/>
      <w:bookmarkStart w:id="1019" w:name="_Toc312678019"/>
      <w:bookmarkStart w:id="1020" w:name="_Toc296890995"/>
      <w:bookmarkStart w:id="1021" w:name="_Toc292559372"/>
      <w:bookmarkStart w:id="1022" w:name="_Toc303539136"/>
      <w:bookmarkStart w:id="1023" w:name="_Toc300934979"/>
      <w:bookmarkStart w:id="1024" w:name="_Toc304295556"/>
      <w:bookmarkStart w:id="1025" w:name="_Toc280868654"/>
      <w:bookmarkStart w:id="1026" w:name="_Toc296346668"/>
      <w:bookmarkStart w:id="1027" w:name="_Toc297048353"/>
      <w:bookmarkStart w:id="1028" w:name="_Toc296347166"/>
      <w:bookmarkStart w:id="1029" w:name="_Toc296503167"/>
      <w:bookmarkStart w:id="1030" w:name="_Toc312677493"/>
      <w:bookmarkStart w:id="1031" w:name="_Toc297120467"/>
      <w:bookmarkStart w:id="1032" w:name="_Toc280868656"/>
      <w:bookmarkStart w:id="1033" w:name="_Toc280868655"/>
      <w:bookmarkStart w:id="1034" w:name="_Toc26725142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材料与工程设备的保管与使用</w:t>
      </w:r>
    </w:p>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14:paraId="058AC2E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1035" w:name="_Toc292559373"/>
      <w:bookmarkStart w:id="1036" w:name="_Toc292559878"/>
      <w:bookmarkStart w:id="1037" w:name="_Toc296503168"/>
      <w:bookmarkStart w:id="1038" w:name="_Toc300934980"/>
      <w:bookmarkStart w:id="1039" w:name="_Toc297123528"/>
      <w:bookmarkStart w:id="1040" w:name="_Toc297216187"/>
      <w:bookmarkStart w:id="1041" w:name="_Toc312678020"/>
      <w:bookmarkStart w:id="1042" w:name="_Toc312677494"/>
      <w:bookmarkStart w:id="1043" w:name="_Toc303539137"/>
      <w:bookmarkStart w:id="1044" w:name="_Toc296890996"/>
      <w:bookmarkStart w:id="1045" w:name="_Toc318581173"/>
      <w:bookmarkStart w:id="1046" w:name="_Toc296944507"/>
      <w:bookmarkStart w:id="1047" w:name="_Toc297120468"/>
      <w:bookmarkStart w:id="1048" w:name="_Toc296347167"/>
      <w:bookmarkStart w:id="1049" w:name="_Toc304295557"/>
      <w:bookmarkStart w:id="1050" w:name="_Toc297048354"/>
      <w:bookmarkStart w:id="1051" w:name="_Toc296346669"/>
      <w:bookmarkStart w:id="1052" w:name="_Toc29689120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.1发包人供应的材料设备的保管费用的承担：</w:t>
      </w:r>
      <w:r>
        <w:rPr>
          <w:rFonts w:hint="eastAsia" w:ascii="宋体" w:hAnsi="宋体" w:eastAsia="宋体" w:cs="宋体"/>
          <w:color w:val="auto"/>
          <w:sz w:val="24"/>
          <w:szCs w:val="24"/>
          <w:highlight w:val="none"/>
          <w:u w:val="single"/>
        </w:rPr>
        <w:t>（1）招标时已明确由发包人供应的材料设备保管费用、安装过程中的二次搬运和设备就位费、检验试验费由承包人投标时报价包干；（2）在本工程实施过程中新增的由发包人供应，并由承包人施工的材料设备，计取材料设备价的1%的费用（该费用已包含材料设备的保管费用、安装过程中的二次搬运和设备就位费、检验试验费等费用）；（3）因承包人原因发生材料丢失损坏，由承包人负责赔偿</w:t>
      </w:r>
      <w:r>
        <w:rPr>
          <w:rFonts w:hint="eastAsia" w:ascii="宋体" w:hAnsi="宋体" w:eastAsia="宋体" w:cs="宋体"/>
          <w:color w:val="auto"/>
          <w:sz w:val="24"/>
          <w:szCs w:val="24"/>
          <w:highlight w:val="none"/>
        </w:rPr>
        <w:t>。</w:t>
      </w:r>
      <w:bookmarkEnd w:id="1035"/>
      <w:bookmarkEnd w:id="1036"/>
    </w:p>
    <w:p w14:paraId="2BA49251">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样品</w:t>
      </w:r>
    </w:p>
    <w:p w14:paraId="3FF43237">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样品的报送与封存</w:t>
      </w:r>
    </w:p>
    <w:p w14:paraId="55425A40">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按有关规定和监理人要求执行</w:t>
      </w:r>
      <w:r>
        <w:rPr>
          <w:rFonts w:hint="eastAsia" w:ascii="宋体" w:hAnsi="宋体" w:eastAsia="宋体" w:cs="宋体"/>
          <w:color w:val="auto"/>
          <w:sz w:val="24"/>
          <w:szCs w:val="24"/>
          <w:highlight w:val="none"/>
        </w:rPr>
        <w:t>。</w:t>
      </w:r>
    </w:p>
    <w:p w14:paraId="7903BC54">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施工设备和临时设施</w:t>
      </w:r>
    </w:p>
    <w:p w14:paraId="6A52FBC3">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承包人提供的施工设备和临时设施</w:t>
      </w:r>
    </w:p>
    <w:p w14:paraId="7E4A2A43">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按通用合同条款约定</w:t>
      </w:r>
      <w:r>
        <w:rPr>
          <w:rFonts w:hint="eastAsia" w:ascii="宋体" w:hAnsi="宋体" w:eastAsia="宋体" w:cs="宋体"/>
          <w:color w:val="auto"/>
          <w:sz w:val="24"/>
          <w:szCs w:val="24"/>
          <w:highlight w:val="none"/>
        </w:rPr>
        <w:t>。</w:t>
      </w:r>
    </w:p>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14:paraId="37FCDF84">
      <w:pPr>
        <w:pStyle w:val="6"/>
        <w:spacing w:before="120" w:after="120" w:line="360" w:lineRule="auto"/>
        <w:rPr>
          <w:rFonts w:hint="eastAsia" w:ascii="宋体" w:hAnsi="宋体" w:eastAsia="宋体" w:cs="宋体"/>
          <w:b w:val="0"/>
          <w:color w:val="auto"/>
          <w:sz w:val="24"/>
          <w:szCs w:val="24"/>
          <w:highlight w:val="none"/>
        </w:rPr>
      </w:pPr>
      <w:bookmarkStart w:id="1053" w:name="_Toc351203641"/>
      <w:r>
        <w:rPr>
          <w:rFonts w:hint="eastAsia" w:ascii="宋体" w:hAnsi="宋体" w:eastAsia="宋体" w:cs="宋体"/>
          <w:b w:val="0"/>
          <w:color w:val="auto"/>
          <w:sz w:val="24"/>
          <w:szCs w:val="24"/>
          <w:highlight w:val="none"/>
        </w:rPr>
        <w:t>9</w:t>
      </w:r>
      <w:bookmarkEnd w:id="1032"/>
      <w:bookmarkEnd w:id="1033"/>
      <w:bookmarkEnd w:id="1034"/>
      <w:bookmarkStart w:id="1054" w:name="_Toc297123533"/>
      <w:bookmarkStart w:id="1055" w:name="_Toc312678021"/>
      <w:bookmarkStart w:id="1056" w:name="_Toc312677495"/>
      <w:bookmarkStart w:id="1057" w:name="_Toc303539139"/>
      <w:bookmarkStart w:id="1058" w:name="_Toc304295559"/>
      <w:bookmarkStart w:id="1059" w:name="_Toc297216192"/>
      <w:bookmarkStart w:id="1060" w:name="_Toc300934982"/>
      <w:bookmarkStart w:id="1061" w:name="_Toc297048359"/>
      <w:bookmarkStart w:id="1062" w:name="_Toc296347172"/>
      <w:bookmarkStart w:id="1063" w:name="_Toc296891001"/>
      <w:bookmarkStart w:id="1064" w:name="_Toc267251428"/>
      <w:bookmarkStart w:id="1065" w:name="_Toc297120473"/>
      <w:bookmarkStart w:id="1066" w:name="_Toc292559378"/>
      <w:bookmarkStart w:id="1067" w:name="_Toc292559883"/>
      <w:bookmarkStart w:id="1068" w:name="_Toc296944512"/>
      <w:bookmarkStart w:id="1069" w:name="_Toc296891213"/>
      <w:bookmarkStart w:id="1070" w:name="_Toc296346674"/>
      <w:bookmarkStart w:id="1071" w:name="_Toc267251427"/>
      <w:bookmarkStart w:id="1072" w:name="_Toc296503173"/>
      <w:r>
        <w:rPr>
          <w:rFonts w:hint="eastAsia" w:ascii="宋体" w:hAnsi="宋体" w:eastAsia="宋体" w:cs="宋体"/>
          <w:b w:val="0"/>
          <w:color w:val="auto"/>
          <w:sz w:val="24"/>
          <w:szCs w:val="24"/>
          <w:highlight w:val="none"/>
        </w:rPr>
        <w:t>. 试验与检验</w:t>
      </w:r>
      <w:bookmarkEnd w:id="1053"/>
    </w:p>
    <w:bookmarkEnd w:id="1054"/>
    <w:bookmarkEnd w:id="1055"/>
    <w:bookmarkEnd w:id="1056"/>
    <w:bookmarkEnd w:id="1057"/>
    <w:bookmarkEnd w:id="1058"/>
    <w:bookmarkEnd w:id="1059"/>
    <w:bookmarkEnd w:id="1060"/>
    <w:p w14:paraId="7B22D5A8">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1073" w:name="_Toc304295560"/>
      <w:bookmarkStart w:id="1074" w:name="_Toc300934983"/>
      <w:bookmarkStart w:id="1075" w:name="_Toc297216193"/>
      <w:bookmarkStart w:id="1076" w:name="_Toc312678022"/>
      <w:bookmarkStart w:id="1077" w:name="_Toc303539140"/>
      <w:bookmarkStart w:id="1078" w:name="_Toc297123534"/>
      <w:bookmarkStart w:id="1079" w:name="_Toc312677496"/>
      <w:r>
        <w:rPr>
          <w:rFonts w:hint="eastAsia" w:ascii="宋体" w:hAnsi="宋体" w:eastAsia="宋体" w:cs="宋体"/>
          <w:color w:val="auto"/>
          <w:sz w:val="24"/>
          <w:szCs w:val="24"/>
          <w:highlight w:val="none"/>
        </w:rPr>
        <w:t>.1试验设备与试验人员</w:t>
      </w:r>
    </w:p>
    <w:bookmarkEnd w:id="1073"/>
    <w:bookmarkEnd w:id="1074"/>
    <w:bookmarkEnd w:id="1075"/>
    <w:bookmarkEnd w:id="1076"/>
    <w:bookmarkEnd w:id="1077"/>
    <w:bookmarkEnd w:id="1078"/>
    <w:bookmarkEnd w:id="1079"/>
    <w:p w14:paraId="0F29392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1080" w:name="_Toc312678023"/>
      <w:bookmarkStart w:id="1081" w:name="_Toc297123535"/>
      <w:bookmarkStart w:id="1082" w:name="_Toc300934984"/>
      <w:bookmarkStart w:id="1083" w:name="_Toc304295561"/>
      <w:bookmarkStart w:id="1084" w:name="_Toc303539141"/>
      <w:bookmarkStart w:id="1085" w:name="_Toc312677497"/>
      <w:bookmarkStart w:id="1086" w:name="_Toc297216194"/>
      <w:bookmarkStart w:id="1087" w:name="_Toc31858117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试验设备</w:t>
      </w:r>
    </w:p>
    <w:p w14:paraId="28F07DF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1080"/>
      <w:bookmarkEnd w:id="1081"/>
      <w:bookmarkEnd w:id="1082"/>
      <w:bookmarkEnd w:id="1083"/>
      <w:bookmarkEnd w:id="1084"/>
      <w:bookmarkEnd w:id="1085"/>
      <w:bookmarkEnd w:id="1086"/>
      <w:bookmarkStart w:id="1088" w:name="_Toc303539142"/>
      <w:bookmarkStart w:id="1089" w:name="_Toc297123536"/>
      <w:bookmarkStart w:id="1090" w:name="_Toc304295562"/>
      <w:bookmarkStart w:id="1091" w:name="_Toc312678024"/>
      <w:bookmarkStart w:id="1092" w:name="_Toc297216195"/>
      <w:bookmarkStart w:id="1093" w:name="_Toc300934985"/>
      <w:bookmarkStart w:id="1094" w:name="_Toc312677498"/>
      <w:r>
        <w:rPr>
          <w:rFonts w:hint="eastAsia" w:ascii="宋体" w:hAnsi="宋体" w:eastAsia="宋体" w:cs="宋体"/>
          <w:color w:val="auto"/>
          <w:sz w:val="24"/>
          <w:szCs w:val="24"/>
          <w:highlight w:val="none"/>
          <w:u w:val="single"/>
        </w:rPr>
        <w:t>按有关规定和监理人要求执行</w:t>
      </w:r>
      <w:r>
        <w:rPr>
          <w:rFonts w:hint="eastAsia" w:ascii="宋体" w:hAnsi="宋体" w:eastAsia="宋体" w:cs="宋体"/>
          <w:color w:val="auto"/>
          <w:sz w:val="24"/>
          <w:szCs w:val="24"/>
          <w:highlight w:val="none"/>
        </w:rPr>
        <w:t>。</w:t>
      </w:r>
    </w:p>
    <w:p w14:paraId="385B825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按有关规定和监理人要求执行</w:t>
      </w:r>
      <w:r>
        <w:rPr>
          <w:rFonts w:hint="eastAsia" w:ascii="宋体" w:hAnsi="宋体" w:eastAsia="宋体" w:cs="宋体"/>
          <w:color w:val="auto"/>
          <w:sz w:val="24"/>
          <w:szCs w:val="24"/>
          <w:highlight w:val="none"/>
        </w:rPr>
        <w:t>。</w:t>
      </w:r>
    </w:p>
    <w:p w14:paraId="3B48093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按有关规定和监理人要求执行</w:t>
      </w:r>
      <w:r>
        <w:rPr>
          <w:rFonts w:hint="eastAsia" w:ascii="宋体" w:hAnsi="宋体" w:eastAsia="宋体" w:cs="宋体"/>
          <w:color w:val="auto"/>
          <w:sz w:val="24"/>
          <w:szCs w:val="24"/>
          <w:highlight w:val="none"/>
        </w:rPr>
        <w:t>。</w:t>
      </w:r>
    </w:p>
    <w:p w14:paraId="529F41C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材料、工程设备和工程的试验和检验</w:t>
      </w:r>
    </w:p>
    <w:p w14:paraId="719EA7BE">
      <w:pPr>
        <w:spacing w:line="500" w:lineRule="exact"/>
        <w:ind w:firstLine="453" w:firstLineChars="189"/>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试验、检测单位资质条件约定：</w:t>
      </w:r>
      <w:r>
        <w:rPr>
          <w:rFonts w:hint="eastAsia" w:ascii="宋体" w:hAnsi="宋体" w:eastAsia="宋体" w:cs="宋体"/>
          <w:b/>
          <w:color w:val="auto"/>
          <w:sz w:val="24"/>
          <w:szCs w:val="24"/>
          <w:highlight w:val="none"/>
          <w:u w:val="single"/>
        </w:rPr>
        <w:t>按有关规定和监理人要求执行</w:t>
      </w:r>
      <w:r>
        <w:rPr>
          <w:rFonts w:hint="eastAsia" w:ascii="宋体" w:hAnsi="宋体" w:eastAsia="宋体" w:cs="宋体"/>
          <w:b/>
          <w:color w:val="auto"/>
          <w:sz w:val="24"/>
          <w:szCs w:val="24"/>
          <w:highlight w:val="none"/>
        </w:rPr>
        <w:t>；</w:t>
      </w:r>
    </w:p>
    <w:p w14:paraId="644CAE92">
      <w:pPr>
        <w:spacing w:line="500" w:lineRule="exact"/>
        <w:ind w:firstLine="453" w:firstLineChars="189"/>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试验、检测单位选择约定：</w:t>
      </w:r>
      <w:r>
        <w:rPr>
          <w:rFonts w:hint="eastAsia" w:ascii="宋体" w:hAnsi="宋体" w:eastAsia="宋体" w:cs="宋体"/>
          <w:b/>
          <w:color w:val="auto"/>
          <w:sz w:val="24"/>
          <w:szCs w:val="24"/>
          <w:highlight w:val="none"/>
          <w:u w:val="single"/>
        </w:rPr>
        <w:t>承包人选择单位后报监理人、发包人审核，审核通过后方可确定试验、检测单位</w:t>
      </w:r>
      <w:r>
        <w:rPr>
          <w:rFonts w:hint="eastAsia" w:ascii="宋体" w:hAnsi="宋体" w:eastAsia="宋体" w:cs="宋体"/>
          <w:b/>
          <w:color w:val="auto"/>
          <w:sz w:val="24"/>
          <w:szCs w:val="24"/>
          <w:highlight w:val="none"/>
        </w:rPr>
        <w:t>；</w:t>
      </w:r>
    </w:p>
    <w:p w14:paraId="6754178C">
      <w:pPr>
        <w:spacing w:line="500" w:lineRule="exact"/>
        <w:ind w:firstLine="453" w:firstLineChars="18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试验、检测费用约定：</w:t>
      </w:r>
      <w:r>
        <w:rPr>
          <w:rFonts w:hint="eastAsia" w:ascii="宋体" w:hAnsi="宋体" w:eastAsia="宋体" w:cs="宋体"/>
          <w:b/>
          <w:color w:val="auto"/>
          <w:sz w:val="24"/>
          <w:szCs w:val="24"/>
          <w:highlight w:val="none"/>
          <w:u w:val="single"/>
        </w:rPr>
        <w:t>工程有关试验、检测费用由承包人承担（政府有关部门明确规定需要发包人支付的除外），并已包含在合同价款中，不再另行计算</w:t>
      </w:r>
      <w:r>
        <w:rPr>
          <w:rFonts w:hint="eastAsia" w:ascii="宋体" w:hAnsi="宋体" w:eastAsia="宋体" w:cs="宋体"/>
          <w:b/>
          <w:color w:val="auto"/>
          <w:sz w:val="24"/>
          <w:szCs w:val="24"/>
          <w:highlight w:val="none"/>
        </w:rPr>
        <w:t>。</w:t>
      </w:r>
    </w:p>
    <w:p w14:paraId="70EFFE3C">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现场工艺试验</w:t>
      </w:r>
    </w:p>
    <w:p w14:paraId="035D086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按有关规定和监理人要求执行</w:t>
      </w:r>
      <w:r>
        <w:rPr>
          <w:rFonts w:hint="eastAsia" w:ascii="宋体" w:hAnsi="宋体" w:eastAsia="宋体" w:cs="宋体"/>
          <w:color w:val="auto"/>
          <w:sz w:val="24"/>
          <w:szCs w:val="24"/>
          <w:highlight w:val="none"/>
        </w:rPr>
        <w:t>。</w:t>
      </w:r>
    </w:p>
    <w:bookmarkEnd w:id="1087"/>
    <w:bookmarkEnd w:id="1088"/>
    <w:bookmarkEnd w:id="1089"/>
    <w:bookmarkEnd w:id="1090"/>
    <w:bookmarkEnd w:id="1091"/>
    <w:bookmarkEnd w:id="1092"/>
    <w:bookmarkEnd w:id="1093"/>
    <w:bookmarkEnd w:id="1094"/>
    <w:p w14:paraId="44B6B9EA">
      <w:pPr>
        <w:pStyle w:val="6"/>
        <w:spacing w:before="120" w:after="120" w:line="360" w:lineRule="auto"/>
        <w:rPr>
          <w:rFonts w:hint="eastAsia" w:ascii="宋体" w:hAnsi="宋体" w:eastAsia="宋体" w:cs="宋体"/>
          <w:b w:val="0"/>
          <w:color w:val="auto"/>
          <w:sz w:val="24"/>
          <w:szCs w:val="24"/>
          <w:highlight w:val="none"/>
        </w:rPr>
      </w:pPr>
      <w:bookmarkStart w:id="1095" w:name="_Toc351203642"/>
      <w:r>
        <w:rPr>
          <w:rFonts w:hint="eastAsia" w:ascii="宋体" w:hAnsi="宋体" w:eastAsia="宋体" w:cs="宋体"/>
          <w:b w:val="0"/>
          <w:color w:val="auto"/>
          <w:sz w:val="24"/>
          <w:szCs w:val="24"/>
          <w:highlight w:val="none"/>
        </w:rPr>
        <w:t>1</w:t>
      </w:r>
      <w:bookmarkEnd w:id="1061"/>
      <w:bookmarkEnd w:id="1062"/>
      <w:bookmarkEnd w:id="1063"/>
      <w:bookmarkEnd w:id="1064"/>
      <w:bookmarkEnd w:id="1065"/>
      <w:bookmarkEnd w:id="1066"/>
      <w:bookmarkEnd w:id="1067"/>
      <w:bookmarkEnd w:id="1068"/>
      <w:bookmarkEnd w:id="1069"/>
      <w:bookmarkEnd w:id="1070"/>
      <w:bookmarkEnd w:id="1071"/>
      <w:bookmarkEnd w:id="1072"/>
      <w:bookmarkStart w:id="1096" w:name="_Toc292559398"/>
      <w:bookmarkStart w:id="1097" w:name="_Toc304295566"/>
      <w:bookmarkStart w:id="1098" w:name="_Toc297123540"/>
      <w:bookmarkStart w:id="1099" w:name="_Toc297120493"/>
      <w:bookmarkStart w:id="1100" w:name="_Toc303539146"/>
      <w:bookmarkStart w:id="1101" w:name="_Toc296944532"/>
      <w:bookmarkStart w:id="1102" w:name="_Toc296891233"/>
      <w:bookmarkStart w:id="1103" w:name="_Toc296346694"/>
      <w:bookmarkStart w:id="1104" w:name="_Toc300934989"/>
      <w:bookmarkStart w:id="1105" w:name="_Toc296347192"/>
      <w:bookmarkStart w:id="1106" w:name="_Toc297048379"/>
      <w:bookmarkStart w:id="1107" w:name="_Toc297216199"/>
      <w:bookmarkStart w:id="1108" w:name="_Toc296891021"/>
      <w:bookmarkStart w:id="1109" w:name="_Toc296503193"/>
      <w:bookmarkStart w:id="1110" w:name="_Toc292559903"/>
      <w:bookmarkStart w:id="1111" w:name="_Toc312678025"/>
      <w:bookmarkStart w:id="1112" w:name="_Toc312677499"/>
      <w:bookmarkStart w:id="1113" w:name="_Toc267251435"/>
      <w:bookmarkStart w:id="1114" w:name="_Toc267251433"/>
      <w:bookmarkStart w:id="1115" w:name="_Toc267251441"/>
      <w:bookmarkStart w:id="1116" w:name="_Toc267251440"/>
      <w:bookmarkStart w:id="1117" w:name="_Toc267251439"/>
      <w:bookmarkStart w:id="1118" w:name="_Toc267251437"/>
      <w:bookmarkStart w:id="1119" w:name="_Toc267251442"/>
      <w:r>
        <w:rPr>
          <w:rFonts w:hint="eastAsia" w:ascii="宋体" w:hAnsi="宋体" w:eastAsia="宋体" w:cs="宋体"/>
          <w:b w:val="0"/>
          <w:color w:val="auto"/>
          <w:sz w:val="24"/>
          <w:szCs w:val="24"/>
          <w:highlight w:val="none"/>
        </w:rPr>
        <w:t>0. 变更</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bookmarkEnd w:id="1111"/>
    <w:bookmarkEnd w:id="1112"/>
    <w:p w14:paraId="51332BC2">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120" w:name="_Toc297048380"/>
      <w:bookmarkStart w:id="1121" w:name="_Toc296503194"/>
      <w:bookmarkStart w:id="1122" w:name="_Toc296944533"/>
      <w:bookmarkStart w:id="1123" w:name="_Toc312678026"/>
      <w:bookmarkStart w:id="1124" w:name="_Toc296891022"/>
      <w:bookmarkStart w:id="1125" w:name="_Toc297120494"/>
      <w:bookmarkStart w:id="1126" w:name="_Toc300934990"/>
      <w:bookmarkStart w:id="1127" w:name="_Toc296891234"/>
      <w:bookmarkStart w:id="1128" w:name="_Toc296346695"/>
      <w:bookmarkStart w:id="1129" w:name="_Toc312677500"/>
      <w:bookmarkStart w:id="1130" w:name="_Toc292559399"/>
      <w:bookmarkStart w:id="1131" w:name="_Toc292559904"/>
      <w:bookmarkStart w:id="1132" w:name="_Toc297123541"/>
      <w:bookmarkStart w:id="1133" w:name="_Toc304295567"/>
      <w:bookmarkStart w:id="1134" w:name="_Toc303539147"/>
      <w:bookmarkStart w:id="1135" w:name="_Toc297216200"/>
      <w:bookmarkStart w:id="1136" w:name="_Toc296347193"/>
      <w:r>
        <w:rPr>
          <w:rFonts w:hint="eastAsia" w:ascii="宋体" w:hAnsi="宋体" w:eastAsia="宋体" w:cs="宋体"/>
          <w:color w:val="auto"/>
          <w:sz w:val="24"/>
          <w:szCs w:val="24"/>
          <w:highlight w:val="none"/>
        </w:rPr>
        <w:t>0.1变更的范围</w:t>
      </w:r>
    </w:p>
    <w:p w14:paraId="32DA3BBD">
      <w:pPr>
        <w:spacing w:line="50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b/>
          <w:color w:val="auto"/>
          <w:sz w:val="24"/>
          <w:szCs w:val="24"/>
          <w:highlight w:val="none"/>
          <w:u w:val="single"/>
        </w:rPr>
        <w:t>按通用合同条款约定</w:t>
      </w:r>
      <w:r>
        <w:rPr>
          <w:rFonts w:hint="eastAsia" w:ascii="宋体" w:hAnsi="宋体" w:eastAsia="宋体" w:cs="宋体"/>
          <w:color w:val="auto"/>
          <w:sz w:val="24"/>
          <w:szCs w:val="24"/>
          <w:highlight w:val="none"/>
        </w:rPr>
        <w:t>。</w:t>
      </w:r>
    </w:p>
    <w:p w14:paraId="7DB56EB8">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变更估价</w:t>
      </w:r>
    </w:p>
    <w:p w14:paraId="0962B23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变更估价原则</w:t>
      </w:r>
    </w:p>
    <w:p w14:paraId="37CAB0E2">
      <w:pPr>
        <w:autoSpaceDE w:val="0"/>
        <w:autoSpaceDN w:val="0"/>
        <w:spacing w:line="500" w:lineRule="exact"/>
        <w:ind w:firstLine="355" w:firstLineChars="1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关于变更估价的约定:</w:t>
      </w:r>
    </w:p>
    <w:p w14:paraId="7953D8AE">
      <w:pPr>
        <w:autoSpaceDE w:val="0"/>
        <w:autoSpaceDN w:val="0"/>
        <w:spacing w:line="500" w:lineRule="exact"/>
        <w:ind w:firstLine="355" w:firstLineChars="14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（1）已标价工程量清单或预算书有相同项目的，按照相同项目单价确定</w:t>
      </w:r>
      <w:r>
        <w:rPr>
          <w:rFonts w:hint="eastAsia" w:ascii="宋体" w:hAnsi="宋体" w:eastAsia="宋体" w:cs="宋体"/>
          <w:b/>
          <w:color w:val="auto"/>
          <w:sz w:val="24"/>
          <w:szCs w:val="24"/>
          <w:highlight w:val="none"/>
        </w:rPr>
        <w:t>。</w:t>
      </w:r>
    </w:p>
    <w:p w14:paraId="679CF57F">
      <w:pPr>
        <w:autoSpaceDE w:val="0"/>
        <w:autoSpaceDN w:val="0"/>
        <w:spacing w:line="500" w:lineRule="exact"/>
        <w:ind w:firstLine="355" w:firstLineChars="14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（2）已标价工程量清单或预算书中无相同项目，但有类似项目的，参照类似项目的单价确定</w:t>
      </w:r>
      <w:r>
        <w:rPr>
          <w:rFonts w:hint="eastAsia" w:ascii="宋体" w:hAnsi="宋体" w:eastAsia="宋体" w:cs="宋体"/>
          <w:b/>
          <w:color w:val="auto"/>
          <w:sz w:val="24"/>
          <w:szCs w:val="24"/>
          <w:highlight w:val="none"/>
        </w:rPr>
        <w:t>。</w:t>
      </w:r>
    </w:p>
    <w:p w14:paraId="1F4D4DE6">
      <w:pPr>
        <w:autoSpaceDE w:val="0"/>
        <w:autoSpaceDN w:val="0"/>
        <w:spacing w:line="500" w:lineRule="exact"/>
        <w:ind w:firstLine="355" w:firstLineChars="148"/>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3）已标价工程量清单或预算书中无相同项目及类似项目单价的，其单价的确定，按以下约定：套用浙江省2018版预算定额和费用定额（优先）或现行相应专业定额，综合费用按相应类别工程费率的下限计取，措施费不另计算，规费、税金、农民工工伤保险按投标口径执行；人工、材料价格有投标价的执行投标价，土建无投标价的执行合同工期前80%的信息价（正刊）平均值，安装无投标价的执行合同工期后80%的信息价（正刊）平均值；对当地信息价正刊没有公布的材料，发包人应在充分市场询价的基础上，参照同期同类材料市场价格水平、投标报价水平等因素，按照规定审批程序签证；当零星工程发生签证台班数量，机械单价有投标价的执行投标价，无投标价的执行预算定额单价；按照上述方法计算后乘以优惠率得出结算价格，优惠率=中标价/招标控制价。最终以结算审计为准。</w:t>
      </w:r>
    </w:p>
    <w:p w14:paraId="6E61B29D">
      <w:pPr>
        <w:spacing w:line="500" w:lineRule="exact"/>
        <w:ind w:firstLine="355" w:firstLineChars="148"/>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（4）工程量清单错误和（或）设计变更导致实际完成的工程量与已标价工程量清单或预算书中列明的该项目工程量的变化幅度超过以下情况的，其单价允许调整：凡合价金额占</w:t>
      </w:r>
      <w:r>
        <w:rPr>
          <w:rFonts w:hint="eastAsia" w:ascii="宋体" w:hAnsi="宋体" w:eastAsia="宋体" w:cs="宋体"/>
          <w:b/>
          <w:color w:val="auto"/>
          <w:sz w:val="24"/>
          <w:szCs w:val="24"/>
          <w:highlight w:val="none"/>
          <w:u w:val="single"/>
          <w:lang w:val="en-US" w:eastAsia="zh-Hans"/>
        </w:rPr>
        <w:t>签约合同价</w:t>
      </w:r>
      <w:r>
        <w:rPr>
          <w:rFonts w:hint="eastAsia" w:ascii="宋体" w:hAnsi="宋体" w:eastAsia="宋体" w:cs="宋体"/>
          <w:b/>
          <w:color w:val="auto"/>
          <w:sz w:val="24"/>
          <w:szCs w:val="24"/>
          <w:highlight w:val="none"/>
          <w:u w:val="single"/>
        </w:rPr>
        <w:t>2%及以上的分部分项清单项目，其工程量增加或减少超过本项目工程数量15%及以上时，或者合价金额占</w:t>
      </w:r>
      <w:r>
        <w:rPr>
          <w:rFonts w:hint="eastAsia" w:ascii="宋体" w:hAnsi="宋体" w:eastAsia="宋体" w:cs="宋体"/>
          <w:b/>
          <w:color w:val="auto"/>
          <w:sz w:val="24"/>
          <w:szCs w:val="24"/>
          <w:highlight w:val="none"/>
          <w:u w:val="single"/>
          <w:lang w:val="en-US" w:eastAsia="zh-Hans"/>
        </w:rPr>
        <w:t>签约合同价</w:t>
      </w:r>
      <w:r>
        <w:rPr>
          <w:rFonts w:hint="eastAsia" w:ascii="宋体" w:hAnsi="宋体" w:eastAsia="宋体" w:cs="宋体"/>
          <w:b/>
          <w:color w:val="auto"/>
          <w:sz w:val="24"/>
          <w:szCs w:val="24"/>
          <w:highlight w:val="none"/>
          <w:u w:val="single"/>
        </w:rPr>
        <w:t>不到2%的分部分项清单项目，但其工程量增加或减少超过本项目工程数量25%以上时。工程量偏差超过上述变化幅度之外变动部分的相应单价调整方法按以下方式约定：</w:t>
      </w:r>
      <w:r>
        <w:rPr>
          <w:rFonts w:hint="eastAsia" w:ascii="宋体" w:hAnsi="宋体" w:eastAsia="宋体" w:cs="宋体"/>
          <w:color w:val="auto"/>
          <w:sz w:val="24"/>
          <w:szCs w:val="24"/>
          <w:highlight w:val="none"/>
          <w:u w:val="single"/>
        </w:rPr>
        <w:t>直接费按浙江省市政预算定额2018版计（若上述定额中缺项的，其他省份有相同或相似子目，定额含量可参照执行），主材按施工当期杭州市（杭州市无的，按浙江省）信息价，综合费用按浙江省建设工程施工取费定额2018版按相应类别工程费率取下值计算，由承包人提出经发包人审核确认后进入结算</w:t>
      </w:r>
      <w:r>
        <w:rPr>
          <w:rFonts w:hint="eastAsia" w:ascii="宋体" w:hAnsi="宋体" w:eastAsia="宋体" w:cs="宋体"/>
          <w:b/>
          <w:color w:val="auto"/>
          <w:sz w:val="24"/>
          <w:szCs w:val="24"/>
          <w:highlight w:val="none"/>
        </w:rPr>
        <w:t>。</w:t>
      </w:r>
    </w:p>
    <w:p w14:paraId="5B38A7A2">
      <w:pPr>
        <w:autoSpaceDE w:val="0"/>
        <w:autoSpaceDN w:val="0"/>
        <w:spacing w:line="500" w:lineRule="exact"/>
        <w:ind w:firstLine="355" w:firstLineChars="148"/>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u w:val="single"/>
        </w:rPr>
        <w:t>（5）其他</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 1 \* GB3 \* MERGEFORMAT </w:instrText>
      </w:r>
      <w:r>
        <w:rPr>
          <w:rFonts w:hint="eastAsia" w:ascii="宋体" w:hAnsi="宋体" w:eastAsia="宋体" w:cs="宋体"/>
          <w:color w:val="auto"/>
          <w:sz w:val="24"/>
          <w:szCs w:val="24"/>
          <w:highlight w:val="none"/>
          <w:u w:val="single"/>
        </w:rPr>
        <w:fldChar w:fldCharType="separate"/>
      </w:r>
      <w:r>
        <w:rPr>
          <w:rFonts w:hint="eastAsia" w:ascii="宋体" w:hAnsi="宋体" w:eastAsia="宋体" w:cs="宋体"/>
          <w:color w:val="auto"/>
          <w:sz w:val="24"/>
          <w:szCs w:val="24"/>
          <w:highlight w:val="none"/>
          <w:u w:val="single"/>
        </w:rPr>
        <w:t>①</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rPr>
        <w:t>施工组织措施费在招标范围未发生变化情况下，按投标报价包干。在招标范围发生变化或设计变更引起施工组织措施项目费增加或减少时，根据相关变更依据进行相应调整，原措施费项目清单中已有的措施项目，按原有措施费的组价方法或单价调整；原措施费项目清单中没有的措施项目，组价方法按以上调价精神执行。如有甩项工程，招标人将对相应施工组织措施费按上述方法予以扣除</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直至扣除所有施工组织措施费用。</w:t>
      </w:r>
    </w:p>
    <w:p w14:paraId="0E9FB1D4">
      <w:pPr>
        <w:autoSpaceDE w:val="0"/>
        <w:autoSpaceDN w:val="0"/>
        <w:spacing w:line="500" w:lineRule="exact"/>
        <w:ind w:firstLine="355" w:firstLineChars="148"/>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w:t>
      </w:r>
      <w:r>
        <w:rPr>
          <w:rFonts w:hint="eastAsia" w:ascii="宋体" w:hAnsi="宋体" w:eastAsia="宋体" w:cs="宋体"/>
          <w:b/>
          <w:color w:val="auto"/>
          <w:sz w:val="24"/>
          <w:szCs w:val="24"/>
          <w:highlight w:val="none"/>
          <w:u w:val="single"/>
        </w:rPr>
        <w:t>技术措施费项目清单中已有的以项为单位的技术措施费包干（需提供监理签证现场发生的实际情况并附相关证明材料为准，偏差10%以上按实计入）；</w:t>
      </w:r>
      <w:r>
        <w:rPr>
          <w:rFonts w:hint="eastAsia" w:ascii="宋体" w:hAnsi="宋体" w:eastAsia="宋体" w:cs="宋体"/>
          <w:color w:val="auto"/>
          <w:sz w:val="24"/>
          <w:szCs w:val="24"/>
          <w:highlight w:val="none"/>
          <w:u w:val="single"/>
        </w:rPr>
        <w:t>技术措施费项目清单中已有的按工程量计算的技术措施项目，按实调整工程量，单价按照以标价的工程项目清单执行；原措施费项目清单中没有的措施项目，由承包人根据措施项目变更内容，按照变更估价原则提出适当的措施费变更价格，经审价部门审定后执行。</w:t>
      </w:r>
    </w:p>
    <w:p w14:paraId="041CD207">
      <w:pPr>
        <w:autoSpaceDE w:val="0"/>
        <w:autoSpaceDN w:val="0"/>
        <w:spacing w:line="500" w:lineRule="exact"/>
        <w:ind w:firstLine="360" w:firstLineChars="1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③工程量清单项目特征描述的分项工程内容均应计入综合单价报价，若承包人提供的分部分项工程量综合单价计算表及综合单价工料机分析表没有详尽分析的，发包人将对实际未实施的分项工程予以扣除。</w:t>
      </w:r>
    </w:p>
    <w:p w14:paraId="3300B387">
      <w:pPr>
        <w:autoSpaceDE w:val="0"/>
        <w:autoSpaceDN w:val="0"/>
        <w:spacing w:line="500" w:lineRule="exact"/>
        <w:ind w:firstLine="355" w:firstLineChars="148"/>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④当承包人的投标报价明显高于同期市场价格水平，发包人将保留重新估价的权力，其相应单价的计算方法具体按10.4.1款约定（3）执行。</w:t>
      </w:r>
    </w:p>
    <w:p w14:paraId="348D2C93">
      <w:pPr>
        <w:autoSpaceDE w:val="0"/>
        <w:autoSpaceDN w:val="0"/>
        <w:spacing w:line="500" w:lineRule="exact"/>
        <w:ind w:firstLine="355" w:firstLineChars="148"/>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⑤施工中如承包人遇材料因实际情况需要变更，不得降低品质，并且须经发包方、监理方、使用人同意，材料变更应在招标文件选定的品牌、规格范围内，单价不应突破原材料投标报价。</w:t>
      </w:r>
    </w:p>
    <w:p w14:paraId="1D913D6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Start w:id="1137" w:name="_Toc296346698"/>
      <w:bookmarkStart w:id="1138" w:name="_Toc297120497"/>
      <w:bookmarkStart w:id="1139" w:name="_Toc292559402"/>
      <w:bookmarkStart w:id="1140" w:name="_Toc296347196"/>
      <w:bookmarkStart w:id="1141" w:name="_Toc292559907"/>
      <w:bookmarkStart w:id="1142" w:name="_Toc296944536"/>
      <w:bookmarkStart w:id="1143" w:name="_Toc303539150"/>
      <w:bookmarkStart w:id="1144" w:name="_Toc296891025"/>
      <w:bookmarkStart w:id="1145" w:name="_Toc296891237"/>
      <w:bookmarkStart w:id="1146" w:name="_Toc297216203"/>
      <w:bookmarkStart w:id="1147" w:name="_Toc300934993"/>
      <w:bookmarkStart w:id="1148" w:name="_Toc296503197"/>
      <w:bookmarkStart w:id="1149" w:name="_Toc297123544"/>
      <w:bookmarkStart w:id="1150" w:name="_Toc297048383"/>
      <w:bookmarkStart w:id="1151" w:name="_Toc312678029"/>
      <w:bookmarkStart w:id="1152" w:name="_Toc312677503"/>
      <w:bookmarkStart w:id="1153" w:name="_Toc304295570"/>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承</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Start w:id="1154" w:name="_Toc296503203"/>
      <w:bookmarkStart w:id="1155" w:name="_Toc300934994"/>
      <w:bookmarkStart w:id="1156" w:name="_Toc297123545"/>
      <w:bookmarkStart w:id="1157" w:name="_Toc296891031"/>
      <w:bookmarkStart w:id="1158" w:name="_Toc296347202"/>
      <w:bookmarkStart w:id="1159" w:name="_Toc292559913"/>
      <w:bookmarkStart w:id="1160" w:name="_Toc296346704"/>
      <w:bookmarkStart w:id="1161" w:name="_Toc296944542"/>
      <w:bookmarkStart w:id="1162" w:name="_Toc292559408"/>
      <w:bookmarkStart w:id="1163" w:name="_Toc297048389"/>
      <w:bookmarkStart w:id="1164" w:name="_Toc297120503"/>
      <w:bookmarkStart w:id="1165" w:name="_Toc296891243"/>
      <w:bookmarkStart w:id="1166" w:name="_Toc297216204"/>
      <w:bookmarkStart w:id="1167" w:name="_Toc303539151"/>
      <w:r>
        <w:rPr>
          <w:rFonts w:hint="eastAsia" w:ascii="宋体" w:hAnsi="宋体" w:eastAsia="宋体" w:cs="宋体"/>
          <w:color w:val="auto"/>
          <w:sz w:val="24"/>
          <w:szCs w:val="24"/>
          <w:highlight w:val="none"/>
        </w:rPr>
        <w:t>包人的合理化建议</w:t>
      </w:r>
    </w:p>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14:paraId="1BBC782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 xml:space="preserve">按通用条款执行   </w:t>
      </w:r>
      <w:r>
        <w:rPr>
          <w:rFonts w:hint="eastAsia" w:ascii="宋体" w:hAnsi="宋体" w:eastAsia="宋体" w:cs="宋体"/>
          <w:color w:val="auto"/>
          <w:sz w:val="24"/>
          <w:szCs w:val="24"/>
          <w:highlight w:val="none"/>
        </w:rPr>
        <w:t>。</w:t>
      </w:r>
    </w:p>
    <w:p w14:paraId="1F2FAE2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 xml:space="preserve">按通用条款执行 </w:t>
      </w:r>
      <w:r>
        <w:rPr>
          <w:rFonts w:hint="eastAsia" w:ascii="宋体" w:hAnsi="宋体" w:eastAsia="宋体" w:cs="宋体"/>
          <w:color w:val="auto"/>
          <w:sz w:val="24"/>
          <w:szCs w:val="24"/>
          <w:highlight w:val="none"/>
        </w:rPr>
        <w:t>。</w:t>
      </w:r>
    </w:p>
    <w:p w14:paraId="308BA27D">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1168" w:name="_Toc300934995"/>
      <w:bookmarkStart w:id="1169" w:name="_Toc296944543"/>
      <w:bookmarkStart w:id="1170" w:name="_Toc312678030"/>
      <w:bookmarkStart w:id="1171" w:name="_Toc297123546"/>
      <w:bookmarkStart w:id="1172" w:name="_Toc312677504"/>
      <w:bookmarkStart w:id="1173" w:name="_Toc296347203"/>
      <w:bookmarkStart w:id="1174" w:name="_Toc292559914"/>
      <w:bookmarkStart w:id="1175" w:name="_Toc296346705"/>
      <w:bookmarkStart w:id="1176" w:name="_Toc297048390"/>
      <w:bookmarkStart w:id="1177" w:name="_Toc297216205"/>
      <w:bookmarkStart w:id="1178" w:name="_Toc303539152"/>
      <w:bookmarkStart w:id="1179" w:name="_Toc297120504"/>
      <w:bookmarkStart w:id="1180" w:name="_Toc296891244"/>
      <w:bookmarkStart w:id="1181" w:name="_Toc292559409"/>
      <w:bookmarkStart w:id="1182" w:name="_Toc296891032"/>
      <w:bookmarkStart w:id="1183" w:name="_Toc296503204"/>
      <w:bookmarkStart w:id="1184" w:name="_Toc318581175"/>
      <w:bookmarkStart w:id="1185" w:name="_Toc304295571"/>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14:paraId="10AB760C">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186" w:name="_Toc304295574"/>
      <w:bookmarkStart w:id="1187" w:name="_Toc296891027"/>
      <w:bookmarkStart w:id="1188" w:name="_Toc297123548"/>
      <w:bookmarkStart w:id="1189" w:name="_Toc303539154"/>
      <w:bookmarkStart w:id="1190" w:name="_Toc297120499"/>
      <w:bookmarkStart w:id="1191" w:name="_Toc312677507"/>
      <w:bookmarkStart w:id="1192" w:name="_Toc297048385"/>
      <w:bookmarkStart w:id="1193" w:name="_Toc292559404"/>
      <w:bookmarkStart w:id="1194" w:name="_Toc296503199"/>
      <w:bookmarkStart w:id="1195" w:name="_Toc297216207"/>
      <w:bookmarkStart w:id="1196" w:name="_Toc296944538"/>
      <w:bookmarkStart w:id="1197" w:name="_Toc296891239"/>
      <w:bookmarkStart w:id="1198" w:name="_Toc312678033"/>
      <w:bookmarkStart w:id="1199" w:name="_Toc296346700"/>
      <w:bookmarkStart w:id="1200" w:name="_Toc300934997"/>
      <w:bookmarkStart w:id="1201" w:name="_Toc292559909"/>
      <w:bookmarkStart w:id="1202" w:name="_Toc296347198"/>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暂估价</w:t>
      </w:r>
    </w:p>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14:paraId="0C6F5A7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本工程无相关暂估价材料和工程设备。</w:t>
      </w:r>
    </w:p>
    <w:p w14:paraId="5859710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203" w:name="_Toc318581177"/>
      <w:bookmarkStart w:id="1204" w:name="_Toc312677509"/>
      <w:bookmarkStart w:id="1205" w:name="_Toc312678035"/>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依法必须招标的暂估价项目</w:t>
      </w:r>
    </w:p>
    <w:bookmarkEnd w:id="1203"/>
    <w:bookmarkEnd w:id="1204"/>
    <w:bookmarkEnd w:id="1205"/>
    <w:p w14:paraId="063AB26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种方式确定。</w:t>
      </w:r>
    </w:p>
    <w:p w14:paraId="7FA9DE5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不属于依法必须招标的暂估价项目</w:t>
      </w:r>
    </w:p>
    <w:p w14:paraId="621814B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种方式确定。</w:t>
      </w:r>
    </w:p>
    <w:p w14:paraId="7EC7E71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第3种方式：承包人直接实施的暂估价项目</w:t>
      </w:r>
    </w:p>
    <w:p w14:paraId="117449A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6D06031B">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暂列金额</w:t>
      </w:r>
    </w:p>
    <w:p w14:paraId="6166BFBA">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合同当事人关于暂列金额使用的约定：</w:t>
      </w:r>
      <w:r>
        <w:rPr>
          <w:rFonts w:hint="eastAsia" w:ascii="宋体" w:hAnsi="宋体" w:eastAsia="宋体" w:cs="宋体"/>
          <w:color w:val="auto"/>
          <w:sz w:val="24"/>
          <w:szCs w:val="24"/>
          <w:highlight w:val="none"/>
          <w:u w:val="single"/>
        </w:rPr>
        <w:t>按照发包人的要求使用</w:t>
      </w:r>
      <w:r>
        <w:rPr>
          <w:rFonts w:hint="eastAsia" w:ascii="宋体" w:hAnsi="宋体" w:eastAsia="宋体" w:cs="宋体"/>
          <w:color w:val="auto"/>
          <w:sz w:val="24"/>
          <w:szCs w:val="24"/>
          <w:highlight w:val="none"/>
        </w:rPr>
        <w:t>。</w:t>
      </w:r>
    </w:p>
    <w:p w14:paraId="421C815A">
      <w:pPr>
        <w:pStyle w:val="6"/>
        <w:spacing w:before="120" w:after="120" w:line="360" w:lineRule="auto"/>
        <w:rPr>
          <w:rFonts w:hint="eastAsia" w:ascii="宋体" w:hAnsi="宋体" w:eastAsia="宋体" w:cs="宋体"/>
          <w:b w:val="0"/>
          <w:color w:val="auto"/>
          <w:sz w:val="24"/>
          <w:szCs w:val="24"/>
          <w:highlight w:val="none"/>
        </w:rPr>
      </w:pPr>
      <w:bookmarkStart w:id="1206" w:name="_Toc351203643"/>
      <w:r>
        <w:rPr>
          <w:rFonts w:hint="eastAsia" w:ascii="宋体" w:hAnsi="宋体" w:eastAsia="宋体" w:cs="宋体"/>
          <w:b w:val="0"/>
          <w:color w:val="auto"/>
          <w:sz w:val="24"/>
          <w:szCs w:val="24"/>
          <w:highlight w:val="none"/>
        </w:rPr>
        <w:t>11. 价格调整</w:t>
      </w:r>
      <w:bookmarkEnd w:id="1206"/>
    </w:p>
    <w:p w14:paraId="17C7108E">
      <w:pPr>
        <w:spacing w:after="120" w:line="500" w:lineRule="exact"/>
        <w:ind w:firstLine="480" w:firstLineChars="200"/>
        <w:rPr>
          <w:rFonts w:hint="eastAsia" w:ascii="宋体" w:hAnsi="宋体" w:eastAsia="宋体" w:cs="宋体"/>
          <w:color w:val="auto"/>
          <w:sz w:val="24"/>
          <w:szCs w:val="24"/>
          <w:highlight w:val="none"/>
        </w:rPr>
      </w:pPr>
      <w:bookmarkStart w:id="1207" w:name="_Toc296346702"/>
      <w:bookmarkStart w:id="1208" w:name="_Toc296347200"/>
      <w:bookmarkStart w:id="1209" w:name="_Toc304295577"/>
      <w:bookmarkStart w:id="1210" w:name="_Toc303539157"/>
      <w:bookmarkStart w:id="1211" w:name="_Toc297048387"/>
      <w:bookmarkStart w:id="1212" w:name="_Toc297120501"/>
      <w:bookmarkStart w:id="1213" w:name="_Toc296891241"/>
      <w:bookmarkStart w:id="1214" w:name="_Toc296891029"/>
      <w:bookmarkStart w:id="1215" w:name="_Toc312678039"/>
      <w:bookmarkStart w:id="1216" w:name="_Toc297123550"/>
      <w:bookmarkStart w:id="1217" w:name="_Toc292559911"/>
      <w:bookmarkStart w:id="1218" w:name="_Toc296944540"/>
      <w:bookmarkStart w:id="1219" w:name="_Toc297216209"/>
      <w:bookmarkStart w:id="1220" w:name="_Toc300935000"/>
      <w:bookmarkStart w:id="1221" w:name="_Toc296503201"/>
      <w:bookmarkStart w:id="1222" w:name="_Toc292559406"/>
      <w:r>
        <w:rPr>
          <w:rFonts w:hint="eastAsia" w:ascii="宋体" w:hAnsi="宋体" w:eastAsia="宋体" w:cs="宋体"/>
          <w:color w:val="auto"/>
          <w:sz w:val="24"/>
          <w:szCs w:val="24"/>
          <w:highlight w:val="none"/>
        </w:rPr>
        <w:t>11.1 市场价格波动引起的调整</w:t>
      </w:r>
    </w:p>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14:paraId="10F8C8C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w:t>
      </w:r>
      <w:r>
        <w:rPr>
          <w:rFonts w:hint="eastAsia" w:ascii="宋体" w:hAnsi="宋体" w:eastAsia="宋体" w:cs="宋体"/>
          <w:color w:val="auto"/>
          <w:sz w:val="24"/>
          <w:szCs w:val="24"/>
          <w:highlight w:val="none"/>
          <w:u w:val="single"/>
        </w:rPr>
        <w:t>是</w:t>
      </w:r>
      <w:r>
        <w:rPr>
          <w:rFonts w:hint="eastAsia" w:ascii="宋体" w:hAnsi="宋体" w:eastAsia="宋体" w:cs="宋体"/>
          <w:color w:val="auto"/>
          <w:sz w:val="24"/>
          <w:szCs w:val="24"/>
          <w:highlight w:val="none"/>
        </w:rPr>
        <w:t>。</w:t>
      </w:r>
    </w:p>
    <w:p w14:paraId="7DC2903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种方式对合同价格进行调整：</w:t>
      </w:r>
    </w:p>
    <w:p w14:paraId="1D94949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57FC5807">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04E3B17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5B59E76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0F3B60C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%时，或材料单价跌幅以已标价工程量清单或预算书中载明材料单价为基础超过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1CF42D5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6AB1E0B9">
      <w:pPr>
        <w:spacing w:line="500" w:lineRule="exact"/>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28DF4EA1">
      <w:pPr>
        <w:spacing w:line="500" w:lineRule="exact"/>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w:t>
      </w:r>
    </w:p>
    <w:p w14:paraId="638FA082">
      <w:pPr>
        <w:spacing w:line="500" w:lineRule="exact"/>
        <w:ind w:firstLine="64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其他价格调整方式：采用政策性文件进行价格调整。</w:t>
      </w:r>
    </w:p>
    <w:p w14:paraId="09F76313">
      <w:pPr>
        <w:spacing w:line="500" w:lineRule="exact"/>
        <w:ind w:firstLine="64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政府投资工程因市场价格波动引起的调整按以下</w:t>
      </w:r>
      <w:r>
        <w:rPr>
          <w:rFonts w:hint="eastAsia" w:ascii="宋体" w:hAnsi="宋体" w:eastAsia="宋体" w:cs="宋体"/>
          <w:b/>
          <w:color w:val="auto"/>
          <w:sz w:val="24"/>
          <w:szCs w:val="24"/>
          <w:highlight w:val="none"/>
          <w:u w:val="single"/>
        </w:rPr>
        <w:t>第（一）种方式</w:t>
      </w:r>
      <w:r>
        <w:rPr>
          <w:rFonts w:hint="eastAsia" w:ascii="宋体" w:hAnsi="宋体" w:eastAsia="宋体" w:cs="宋体"/>
          <w:b/>
          <w:color w:val="auto"/>
          <w:sz w:val="24"/>
          <w:szCs w:val="24"/>
          <w:highlight w:val="none"/>
        </w:rPr>
        <w:t>约定执行：</w:t>
      </w:r>
    </w:p>
    <w:p w14:paraId="0A65164D">
      <w:pPr>
        <w:spacing w:line="500" w:lineRule="exact"/>
        <w:ind w:firstLine="645"/>
        <w:outlineLvl w:val="0"/>
        <w:rPr>
          <w:rFonts w:hint="eastAsia" w:ascii="宋体" w:hAnsi="宋体" w:eastAsia="宋体" w:cs="宋体"/>
          <w:b/>
          <w:color w:val="auto"/>
          <w:sz w:val="24"/>
          <w:szCs w:val="24"/>
          <w:highlight w:val="none"/>
          <w:u w:val="single"/>
        </w:rPr>
      </w:pPr>
      <w:bookmarkStart w:id="1223" w:name="_Toc1382"/>
      <w:bookmarkStart w:id="1224" w:name="_Toc21806"/>
      <w:r>
        <w:rPr>
          <w:rFonts w:hint="eastAsia" w:ascii="宋体" w:hAnsi="宋体" w:eastAsia="宋体" w:cs="宋体"/>
          <w:b/>
          <w:color w:val="auto"/>
          <w:sz w:val="24"/>
          <w:szCs w:val="24"/>
          <w:highlight w:val="none"/>
          <w:u w:val="single"/>
        </w:rPr>
        <w:t>（一）</w:t>
      </w:r>
      <w:r>
        <w:rPr>
          <w:rFonts w:hint="eastAsia" w:ascii="宋体" w:hAnsi="宋体" w:eastAsia="宋体" w:cs="宋体"/>
          <w:b/>
          <w:bCs/>
          <w:color w:val="auto"/>
          <w:sz w:val="24"/>
          <w:szCs w:val="24"/>
          <w:highlight w:val="none"/>
          <w:u w:val="single"/>
        </w:rPr>
        <w:t xml:space="preserve">按《关于进一步加强杭州市建设工程市场要素价格动态管理的指导意见》（杭建市发[2018]579号）执行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w:t>
      </w:r>
      <w:bookmarkEnd w:id="1223"/>
      <w:bookmarkEnd w:id="1224"/>
    </w:p>
    <w:p w14:paraId="36CF6E0B">
      <w:pPr>
        <w:spacing w:line="500" w:lineRule="exact"/>
        <w:ind w:firstLine="645"/>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（二）其他：   /      </w:t>
      </w:r>
      <w:r>
        <w:rPr>
          <w:rFonts w:hint="eastAsia" w:ascii="宋体" w:hAnsi="宋体" w:eastAsia="宋体" w:cs="宋体"/>
          <w:b/>
          <w:color w:val="auto"/>
          <w:sz w:val="24"/>
          <w:szCs w:val="24"/>
          <w:highlight w:val="none"/>
        </w:rPr>
        <w:t>。</w:t>
      </w:r>
    </w:p>
    <w:p w14:paraId="4F0E56C3">
      <w:pPr>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其中：</w:t>
      </w:r>
    </w:p>
    <w:p w14:paraId="03D11DFA">
      <w:pPr>
        <w:spacing w:line="500" w:lineRule="exact"/>
        <w:ind w:firstLine="64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1、风险范围及幅度的约定：</w:t>
      </w:r>
    </w:p>
    <w:p w14:paraId="5F3B36B4">
      <w:pPr>
        <w:spacing w:line="500" w:lineRule="exact"/>
        <w:ind w:firstLine="645"/>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（1）人工费的风险幅度（5%）</w:t>
      </w:r>
    </w:p>
    <w:p w14:paraId="12C0EE14">
      <w:pPr>
        <w:spacing w:line="500" w:lineRule="exact"/>
        <w:ind w:firstLine="645"/>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（2）材料价格的风险幅度（5%）</w:t>
      </w:r>
    </w:p>
    <w:p w14:paraId="744E973F">
      <w:pPr>
        <w:spacing w:line="500" w:lineRule="exact"/>
        <w:ind w:firstLine="64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2、材料价款动态调整结算方式采用以下</w:t>
      </w:r>
      <w:r>
        <w:rPr>
          <w:rFonts w:hint="eastAsia" w:ascii="宋体" w:hAnsi="宋体" w:eastAsia="宋体" w:cs="宋体"/>
          <w:b/>
          <w:color w:val="auto"/>
          <w:sz w:val="24"/>
          <w:szCs w:val="24"/>
          <w:highlight w:val="none"/>
          <w:u w:val="single"/>
        </w:rPr>
        <w:t>第（3）种方式</w:t>
      </w:r>
      <w:r>
        <w:rPr>
          <w:rFonts w:hint="eastAsia" w:ascii="宋体" w:hAnsi="宋体" w:eastAsia="宋体" w:cs="宋体"/>
          <w:b/>
          <w:color w:val="auto"/>
          <w:sz w:val="24"/>
          <w:szCs w:val="24"/>
          <w:highlight w:val="none"/>
        </w:rPr>
        <w:t>约定：</w:t>
      </w:r>
    </w:p>
    <w:p w14:paraId="7E5CBB3B">
      <w:pPr>
        <w:spacing w:line="500" w:lineRule="exact"/>
        <w:ind w:firstLine="645"/>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（1）按时间进度分段结算：  /                        </w:t>
      </w:r>
      <w:r>
        <w:rPr>
          <w:rFonts w:hint="eastAsia" w:ascii="宋体" w:hAnsi="宋体" w:eastAsia="宋体" w:cs="宋体"/>
          <w:b/>
          <w:color w:val="auto"/>
          <w:sz w:val="24"/>
          <w:szCs w:val="24"/>
          <w:highlight w:val="none"/>
        </w:rPr>
        <w:t>。</w:t>
      </w:r>
    </w:p>
    <w:p w14:paraId="5BD191A6">
      <w:pPr>
        <w:spacing w:line="500" w:lineRule="exact"/>
        <w:ind w:firstLine="645"/>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（2）按工程形象部位(目标)分段结算：/               </w:t>
      </w:r>
      <w:r>
        <w:rPr>
          <w:rFonts w:hint="eastAsia" w:ascii="宋体" w:hAnsi="宋体" w:eastAsia="宋体" w:cs="宋体"/>
          <w:b/>
          <w:color w:val="auto"/>
          <w:sz w:val="24"/>
          <w:szCs w:val="24"/>
          <w:highlight w:val="none"/>
        </w:rPr>
        <w:t xml:space="preserve"> 。</w:t>
      </w:r>
    </w:p>
    <w:p w14:paraId="1D77902D">
      <w:pPr>
        <w:spacing w:line="500" w:lineRule="exact"/>
        <w:ind w:firstLine="645"/>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 xml:space="preserve">（3）竣工后一次性结算                              </w:t>
      </w:r>
      <w:r>
        <w:rPr>
          <w:rFonts w:hint="eastAsia" w:ascii="宋体" w:hAnsi="宋体" w:eastAsia="宋体" w:cs="宋体"/>
          <w:b/>
          <w:color w:val="auto"/>
          <w:sz w:val="24"/>
          <w:szCs w:val="24"/>
          <w:highlight w:val="none"/>
        </w:rPr>
        <w:t xml:space="preserve"> 。</w:t>
      </w:r>
    </w:p>
    <w:bookmarkEnd w:id="1113"/>
    <w:bookmarkEnd w:id="1114"/>
    <w:bookmarkEnd w:id="1115"/>
    <w:bookmarkEnd w:id="1116"/>
    <w:bookmarkEnd w:id="1117"/>
    <w:bookmarkEnd w:id="1118"/>
    <w:p w14:paraId="13A87D4F">
      <w:pPr>
        <w:pStyle w:val="6"/>
        <w:spacing w:before="120" w:after="120" w:line="360" w:lineRule="auto"/>
        <w:rPr>
          <w:rFonts w:hint="eastAsia" w:ascii="宋体" w:hAnsi="宋体" w:eastAsia="宋体" w:cs="宋体"/>
          <w:b w:val="0"/>
          <w:color w:val="auto"/>
          <w:sz w:val="24"/>
          <w:szCs w:val="24"/>
          <w:highlight w:val="none"/>
        </w:rPr>
      </w:pPr>
      <w:bookmarkStart w:id="1225" w:name="_Toc296891245"/>
      <w:bookmarkStart w:id="1226" w:name="_Toc297120505"/>
      <w:bookmarkStart w:id="1227" w:name="_Toc296503205"/>
      <w:bookmarkStart w:id="1228" w:name="_Toc296944544"/>
      <w:bookmarkStart w:id="1229" w:name="_Toc296891033"/>
      <w:bookmarkStart w:id="1230" w:name="_Toc292559915"/>
      <w:bookmarkStart w:id="1231" w:name="_Toc292559410"/>
      <w:bookmarkStart w:id="1232" w:name="_Toc297048391"/>
      <w:bookmarkStart w:id="1233" w:name="_Toc296347204"/>
      <w:bookmarkStart w:id="1234" w:name="_Toc296346706"/>
      <w:bookmarkStart w:id="1235" w:name="_Toc351203644"/>
      <w:bookmarkStart w:id="1236" w:name="_Toc297123552"/>
      <w:bookmarkStart w:id="1237" w:name="_Toc303539159"/>
      <w:bookmarkStart w:id="1238" w:name="_Toc297216211"/>
      <w:bookmarkStart w:id="1239" w:name="_Toc300935002"/>
      <w:bookmarkStart w:id="1240" w:name="_Toc304295579"/>
      <w:bookmarkStart w:id="1241" w:name="_Toc312678040"/>
      <w:r>
        <w:rPr>
          <w:rFonts w:hint="eastAsia" w:ascii="宋体" w:hAnsi="宋体" w:eastAsia="宋体" w:cs="宋体"/>
          <w:b w:val="0"/>
          <w:color w:val="auto"/>
          <w:sz w:val="24"/>
          <w:szCs w:val="24"/>
          <w:highlight w:val="none"/>
        </w:rPr>
        <w:t xml:space="preserve">12. </w:t>
      </w:r>
      <w:bookmarkEnd w:id="1225"/>
      <w:bookmarkEnd w:id="1226"/>
      <w:bookmarkEnd w:id="1227"/>
      <w:bookmarkEnd w:id="1228"/>
      <w:bookmarkEnd w:id="1229"/>
      <w:bookmarkEnd w:id="1230"/>
      <w:bookmarkEnd w:id="1231"/>
      <w:bookmarkEnd w:id="1232"/>
      <w:bookmarkEnd w:id="1233"/>
      <w:bookmarkEnd w:id="1234"/>
      <w:r>
        <w:rPr>
          <w:rFonts w:hint="eastAsia" w:ascii="宋体" w:hAnsi="宋体" w:eastAsia="宋体" w:cs="宋体"/>
          <w:b w:val="0"/>
          <w:color w:val="auto"/>
          <w:sz w:val="24"/>
          <w:szCs w:val="24"/>
          <w:highlight w:val="none"/>
        </w:rPr>
        <w:t>合同价格、计量与支付</w:t>
      </w:r>
      <w:bookmarkEnd w:id="1235"/>
    </w:p>
    <w:bookmarkEnd w:id="1236"/>
    <w:bookmarkEnd w:id="1237"/>
    <w:bookmarkEnd w:id="1238"/>
    <w:bookmarkEnd w:id="1239"/>
    <w:bookmarkEnd w:id="1240"/>
    <w:bookmarkEnd w:id="1241"/>
    <w:p w14:paraId="51302DA7">
      <w:pPr>
        <w:spacing w:after="120" w:line="500" w:lineRule="exact"/>
        <w:ind w:firstLine="480" w:firstLineChars="200"/>
        <w:rPr>
          <w:rFonts w:hint="eastAsia" w:ascii="宋体" w:hAnsi="宋体" w:eastAsia="宋体" w:cs="宋体"/>
          <w:color w:val="auto"/>
          <w:sz w:val="24"/>
          <w:szCs w:val="24"/>
          <w:highlight w:val="none"/>
        </w:rPr>
      </w:pPr>
      <w:bookmarkStart w:id="1242" w:name="_Toc292559411"/>
      <w:bookmarkStart w:id="1243" w:name="_Toc267251461"/>
      <w:bookmarkStart w:id="1244" w:name="_Toc292559916"/>
      <w:bookmarkStart w:id="1245" w:name="_Toc297120506"/>
      <w:bookmarkStart w:id="1246" w:name="_Toc296891246"/>
      <w:bookmarkStart w:id="1247" w:name="_Toc296891034"/>
      <w:bookmarkStart w:id="1248" w:name="_Toc296347205"/>
      <w:bookmarkStart w:id="1249" w:name="_Toc297048392"/>
      <w:bookmarkStart w:id="1250" w:name="_Toc296503206"/>
      <w:bookmarkStart w:id="1251" w:name="_Toc296346707"/>
      <w:bookmarkStart w:id="1252" w:name="_Toc296944545"/>
      <w:bookmarkStart w:id="1253" w:name="_Toc303539160"/>
      <w:bookmarkStart w:id="1254" w:name="_Toc300935003"/>
      <w:bookmarkStart w:id="1255" w:name="_Toc297123553"/>
      <w:bookmarkStart w:id="1256" w:name="_Toc312678041"/>
      <w:bookmarkStart w:id="1257" w:name="_Toc297216212"/>
      <w:bookmarkStart w:id="1258" w:name="_Toc304295580"/>
      <w:r>
        <w:rPr>
          <w:rFonts w:hint="eastAsia" w:ascii="宋体" w:hAnsi="宋体" w:eastAsia="宋体" w:cs="宋体"/>
          <w:color w:val="auto"/>
          <w:sz w:val="24"/>
          <w:szCs w:val="24"/>
          <w:highlight w:val="none"/>
        </w:rPr>
        <w:t>12.1 合</w:t>
      </w:r>
      <w:bookmarkEnd w:id="1242"/>
      <w:bookmarkEnd w:id="1243"/>
      <w:bookmarkEnd w:id="1244"/>
      <w:r>
        <w:rPr>
          <w:rFonts w:hint="eastAsia" w:ascii="宋体" w:hAnsi="宋体" w:eastAsia="宋体" w:cs="宋体"/>
          <w:color w:val="auto"/>
          <w:sz w:val="24"/>
          <w:szCs w:val="24"/>
          <w:highlight w:val="none"/>
        </w:rPr>
        <w:t>同价</w:t>
      </w:r>
      <w:bookmarkEnd w:id="1245"/>
      <w:bookmarkEnd w:id="1246"/>
      <w:bookmarkEnd w:id="1247"/>
      <w:bookmarkEnd w:id="1248"/>
      <w:bookmarkEnd w:id="1249"/>
      <w:bookmarkEnd w:id="1250"/>
      <w:bookmarkEnd w:id="1251"/>
      <w:bookmarkEnd w:id="1252"/>
      <w:r>
        <w:rPr>
          <w:rFonts w:hint="eastAsia" w:ascii="宋体" w:hAnsi="宋体" w:eastAsia="宋体" w:cs="宋体"/>
          <w:color w:val="auto"/>
          <w:sz w:val="24"/>
          <w:szCs w:val="24"/>
          <w:highlight w:val="none"/>
        </w:rPr>
        <w:t>格形式</w:t>
      </w:r>
    </w:p>
    <w:bookmarkEnd w:id="1253"/>
    <w:bookmarkEnd w:id="1254"/>
    <w:bookmarkEnd w:id="1255"/>
    <w:bookmarkEnd w:id="1256"/>
    <w:bookmarkEnd w:id="1257"/>
    <w:bookmarkEnd w:id="1258"/>
    <w:p w14:paraId="6AA2623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2D963D5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p>
    <w:p w14:paraId="6394BB03">
      <w:pPr>
        <w:spacing w:line="500" w:lineRule="exact"/>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u w:val="single"/>
        </w:rPr>
        <w:t xml:space="preserve">应由承包人承担的工、料、机在投标编制期或预算书编制期与合同实施期间所发生的市场价格波动。 </w:t>
      </w:r>
    </w:p>
    <w:p w14:paraId="2AE7A9A9">
      <w:pPr>
        <w:spacing w:line="500" w:lineRule="exact"/>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u w:val="single"/>
        </w:rPr>
        <w:t>其他：</w:t>
      </w:r>
    </w:p>
    <w:p w14:paraId="4B76A248">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A、工程所需、技术规范要求的所有施工组织措施费和承包人报价时补充的施工技术措施费都已包括在签约合同价中；</w:t>
      </w:r>
    </w:p>
    <w:p w14:paraId="057E92A6">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B、所有招标文件或工程量清单明示要求报价的内容而承包商未予报价的，将被认为包含在签约合同价中，结算时合同价款将不再追加； </w:t>
      </w:r>
    </w:p>
    <w:p w14:paraId="434FDFCA">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C、承包人对工程现场环境以及发包人提供的招标文件、图纸等资料作出错误的推论、理解而导致报价失误，属于承包商风险，结算时合同价款将不予调整；</w:t>
      </w:r>
    </w:p>
    <w:p w14:paraId="5CF81F08">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D、国家政策变化以及一个有经验的承包人可以或应该能预见的风险；</w:t>
      </w:r>
    </w:p>
    <w:p w14:paraId="40A744F6">
      <w:pPr>
        <w:spacing w:line="500" w:lineRule="exact"/>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u w:val="single"/>
        </w:rPr>
        <w:t>E、其他招标文件及合同中明示的合同价款中包含的风险。除专用条款中约定可调整合同价款的因素为风险范围以外的因素外，其余因素均属于合同价款所包含的风险范围，均不影响本合同的固定价格</w:t>
      </w:r>
      <w:r>
        <w:rPr>
          <w:rFonts w:hint="eastAsia" w:ascii="宋体" w:hAnsi="宋体" w:eastAsia="宋体" w:cs="宋体"/>
          <w:b/>
          <w:color w:val="auto"/>
          <w:sz w:val="24"/>
          <w:szCs w:val="24"/>
          <w:highlight w:val="none"/>
        </w:rPr>
        <w:t>。</w:t>
      </w:r>
    </w:p>
    <w:p w14:paraId="162C0576">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以上风险范围之内费用已由承包人自行预测并计入投标总价中</w:t>
      </w:r>
      <w:r>
        <w:rPr>
          <w:rFonts w:hint="eastAsia" w:ascii="宋体" w:hAnsi="宋体" w:eastAsia="宋体" w:cs="宋体"/>
          <w:color w:val="auto"/>
          <w:sz w:val="24"/>
          <w:szCs w:val="24"/>
          <w:highlight w:val="none"/>
        </w:rPr>
        <w:t>。</w:t>
      </w:r>
    </w:p>
    <w:p w14:paraId="77C9A2E5">
      <w:pPr>
        <w:spacing w:line="500" w:lineRule="exact"/>
        <w:ind w:firstLine="501" w:firstLineChars="2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p>
    <w:p w14:paraId="7C303DBD">
      <w:pPr>
        <w:spacing w:line="500" w:lineRule="exact"/>
        <w:ind w:firstLine="501" w:firstLineChars="209"/>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（1）实物工程量数量按实调整；</w:t>
      </w:r>
    </w:p>
    <w:p w14:paraId="64D2B05E">
      <w:pPr>
        <w:spacing w:line="500" w:lineRule="exact"/>
        <w:ind w:firstLine="501" w:firstLineChars="209"/>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（2）市场价格波动引起的调整按本合同11.1第3种方式的约定计算。</w:t>
      </w:r>
    </w:p>
    <w:p w14:paraId="00F3DD45">
      <w:pPr>
        <w:spacing w:line="500" w:lineRule="exact"/>
        <w:ind w:firstLine="501" w:firstLineChars="209"/>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（3）重大设计变更引起的技术措施变更，如发包人批准其相应费用调整，竣工结算原则上可参照本合同10.4.1条款精神执行；</w:t>
      </w:r>
    </w:p>
    <w:p w14:paraId="3C8EAC5C">
      <w:pPr>
        <w:spacing w:line="500" w:lineRule="exact"/>
        <w:ind w:firstLine="501" w:firstLineChars="209"/>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（4）其他：变更估价按本合同10.4.1的约定计算。</w:t>
      </w:r>
    </w:p>
    <w:p w14:paraId="5C7469AA">
      <w:pPr>
        <w:spacing w:line="500" w:lineRule="exact"/>
        <w:ind w:firstLine="501" w:firstLineChars="209"/>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5）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可参照本合同10.4.1条款精神执行。</w:t>
      </w:r>
    </w:p>
    <w:p w14:paraId="3FE55DFD">
      <w:pPr>
        <w:spacing w:line="500" w:lineRule="exact"/>
        <w:ind w:firstLine="501" w:firstLineChars="209"/>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（6）本工程结算造价以第三方审计单位审核为准。</w:t>
      </w:r>
    </w:p>
    <w:p w14:paraId="2506351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447BB0A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7DCADBB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1F0717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C4FD36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1BDDD91">
      <w:pPr>
        <w:spacing w:after="120" w:line="500" w:lineRule="exact"/>
        <w:ind w:firstLine="480" w:firstLineChars="200"/>
        <w:rPr>
          <w:rFonts w:hint="eastAsia" w:ascii="宋体" w:hAnsi="宋体" w:eastAsia="宋体" w:cs="宋体"/>
          <w:color w:val="auto"/>
          <w:sz w:val="24"/>
          <w:szCs w:val="24"/>
          <w:highlight w:val="none"/>
        </w:rPr>
      </w:pPr>
      <w:bookmarkStart w:id="1259" w:name="_Toc300935004"/>
      <w:bookmarkStart w:id="1260" w:name="_Toc304295581"/>
      <w:bookmarkStart w:id="1261" w:name="_Toc297123554"/>
      <w:bookmarkStart w:id="1262" w:name="_Toc312678042"/>
      <w:bookmarkStart w:id="1263" w:name="_Toc303539161"/>
      <w:bookmarkStart w:id="1264" w:name="_Toc297216213"/>
      <w:bookmarkStart w:id="1265" w:name="_Toc296503207"/>
      <w:bookmarkStart w:id="1266" w:name="_Toc296944546"/>
      <w:bookmarkStart w:id="1267" w:name="_Toc296891035"/>
      <w:bookmarkStart w:id="1268" w:name="_Toc296891247"/>
      <w:bookmarkStart w:id="1269" w:name="_Toc296346708"/>
      <w:bookmarkStart w:id="1270" w:name="_Toc292559917"/>
      <w:bookmarkStart w:id="1271" w:name="_Toc297120507"/>
      <w:bookmarkStart w:id="1272" w:name="_Toc296347206"/>
      <w:bookmarkStart w:id="1273" w:name="_Toc297048393"/>
      <w:bookmarkStart w:id="1274" w:name="_Toc292559412"/>
      <w:r>
        <w:rPr>
          <w:rFonts w:hint="eastAsia" w:ascii="宋体" w:hAnsi="宋体" w:eastAsia="宋体" w:cs="宋体"/>
          <w:color w:val="auto"/>
          <w:sz w:val="24"/>
          <w:szCs w:val="24"/>
          <w:highlight w:val="none"/>
        </w:rPr>
        <w:t>12.2 预付款</w:t>
      </w:r>
    </w:p>
    <w:bookmarkEnd w:id="1259"/>
    <w:bookmarkEnd w:id="1260"/>
    <w:bookmarkEnd w:id="1261"/>
    <w:bookmarkEnd w:id="1262"/>
    <w:bookmarkEnd w:id="1263"/>
    <w:bookmarkEnd w:id="1264"/>
    <w:p w14:paraId="474C665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12.2.1 </w:t>
      </w:r>
      <w:r>
        <w:rPr>
          <w:rFonts w:hint="eastAsia" w:ascii="宋体" w:hAnsi="宋体" w:cs="宋体"/>
          <w:color w:val="auto"/>
          <w:sz w:val="24"/>
          <w:szCs w:val="24"/>
          <w:highlight w:val="none"/>
          <w:lang w:eastAsia="zh-CN"/>
        </w:rPr>
        <w:t>详见</w:t>
      </w:r>
      <w:r>
        <w:rPr>
          <w:rFonts w:hint="eastAsia" w:hAnsi="宋体" w:cs="宋体"/>
          <w:color w:val="auto"/>
          <w:sz w:val="24"/>
          <w:szCs w:val="24"/>
          <w:highlight w:val="none"/>
          <w:lang w:eastAsia="zh-CN"/>
        </w:rPr>
        <w:t>进度付款</w:t>
      </w:r>
      <w:r>
        <w:rPr>
          <w:rFonts w:hint="eastAsia" w:ascii="宋体" w:hAnsi="宋体" w:eastAsia="宋体" w:cs="宋体"/>
          <w:color w:val="auto"/>
          <w:sz w:val="24"/>
          <w:szCs w:val="24"/>
          <w:highlight w:val="none"/>
        </w:rPr>
        <w:t>。</w:t>
      </w:r>
    </w:p>
    <w:bookmarkEnd w:id="1265"/>
    <w:bookmarkEnd w:id="1266"/>
    <w:bookmarkEnd w:id="1267"/>
    <w:bookmarkEnd w:id="1268"/>
    <w:bookmarkEnd w:id="1269"/>
    <w:bookmarkEnd w:id="1270"/>
    <w:bookmarkEnd w:id="1271"/>
    <w:bookmarkEnd w:id="1272"/>
    <w:bookmarkEnd w:id="1273"/>
    <w:bookmarkEnd w:id="1274"/>
    <w:p w14:paraId="575C8E6E">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011F8F7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47092B8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p>
    <w:p w14:paraId="78A9049F">
      <w:pPr>
        <w:spacing w:line="500" w:lineRule="exact"/>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u w:val="single"/>
        </w:rPr>
        <w:t xml:space="preserve"> 实行工程量清单计价的工程项目，其工程量的计算规则应按国家标准工程量计算规范及省级行业主管部门颁布的补充规定执行。</w:t>
      </w:r>
    </w:p>
    <w:p w14:paraId="10DC5919">
      <w:pPr>
        <w:spacing w:line="500" w:lineRule="exact"/>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u w:val="single"/>
        </w:rPr>
        <w:t>不实行工程量清单计价的工程项目，工程量的计算规则应按省、市行业主管部门颁布的各专业工程定额的工程量计算规则执行。</w:t>
      </w:r>
    </w:p>
    <w:p w14:paraId="066F6AA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4C1C9E2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68966F0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5967F28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1AAAC4C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1D59ABC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7CC6339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12.3.5总价合同采用支付分解表计量支付的，是否适用第12.3.4 项〔总价合同的计量〕约定进行计量：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26CBED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188E492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7C13BBE">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2BFC5A05">
      <w:pPr>
        <w:spacing w:line="500" w:lineRule="exact"/>
        <w:ind w:firstLine="480" w:firstLineChars="200"/>
        <w:rPr>
          <w:rFonts w:hint="eastAsia" w:ascii="宋体" w:hAnsi="宋体" w:eastAsia="宋体" w:cs="宋体"/>
          <w:color w:val="auto"/>
          <w:sz w:val="24"/>
          <w:szCs w:val="24"/>
          <w:highlight w:val="none"/>
        </w:rPr>
      </w:pPr>
      <w:bookmarkStart w:id="1275" w:name="_Toc297216215"/>
      <w:bookmarkStart w:id="1276" w:name="_Toc296503211"/>
      <w:bookmarkStart w:id="1277" w:name="_Toc292559921"/>
      <w:bookmarkStart w:id="1278" w:name="_Toc297048397"/>
      <w:bookmarkStart w:id="1279" w:name="_Toc300935006"/>
      <w:bookmarkStart w:id="1280" w:name="_Toc303539163"/>
      <w:bookmarkStart w:id="1281" w:name="_Toc296347210"/>
      <w:bookmarkStart w:id="1282" w:name="_Toc297120511"/>
      <w:bookmarkStart w:id="1283" w:name="_Toc296346712"/>
      <w:bookmarkStart w:id="1284" w:name="_Toc297123556"/>
      <w:bookmarkStart w:id="1285" w:name="_Toc292559416"/>
      <w:bookmarkStart w:id="1286" w:name="_Toc296944550"/>
      <w:bookmarkStart w:id="1287" w:name="_Toc296891039"/>
      <w:bookmarkStart w:id="1288" w:name="_Toc296891251"/>
      <w:r>
        <w:rPr>
          <w:rFonts w:hint="eastAsia" w:ascii="宋体" w:hAnsi="宋体" w:eastAsia="宋体" w:cs="宋体"/>
          <w:color w:val="auto"/>
          <w:sz w:val="24"/>
          <w:szCs w:val="24"/>
          <w:highlight w:val="none"/>
        </w:rPr>
        <w:t>12.4.1 付款周期</w:t>
      </w:r>
    </w:p>
    <w:p w14:paraId="63D22691">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rPr>
        <w:t>按工程量完成情况，经监理签证提交请支付人申请。发包人有权从应支付给承包人的任意一笔款项中扣除承包人应承担的违约金、损害赔偿等费用。</w:t>
      </w:r>
    </w:p>
    <w:p w14:paraId="5FAE1A4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20A8AA7D">
      <w:pPr>
        <w:autoSpaceDE/>
        <w:autoSpaceDN/>
        <w:adjustRightInd/>
        <w:snapToGrid w:val="0"/>
        <w:spacing w:line="336" w:lineRule="auto"/>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双方约定的工程款(进度款)支付的方式和时间：</w:t>
      </w:r>
      <w:r>
        <w:rPr>
          <w:rFonts w:hint="eastAsia" w:ascii="宋体" w:hAnsi="宋体" w:eastAsia="宋体" w:cs="宋体"/>
          <w:b/>
          <w:bCs/>
          <w:color w:val="auto"/>
          <w:sz w:val="24"/>
          <w:szCs w:val="24"/>
          <w:highlight w:val="none"/>
          <w:u w:val="single"/>
        </w:rPr>
        <w:t>开工后7个工作日内，甲方支付合同价的40%作为预付款（在签订合同时，乙方也可明确表示无需预付款或者主动要求降低预付款比例）给乙方；待工程竣工验收合格后，支付至合同价的80%；工程审计完成且资料归档后，凭审计告知函或审计报告付至审计价的98.5%，剩余1.5%作为质保金于竣工验收合格一年后和质量回访合格后凭质量回访单、工程交接单无息付清。乙方承诺放弃因甲方内部请款流程等原因造成的支付合同价款时间与合同约定的支付时间不匹配而追究相关违约责任的权利。</w:t>
      </w:r>
    </w:p>
    <w:p w14:paraId="4E2CB9C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r>
        <w:rPr>
          <w:rFonts w:hint="eastAsia" w:ascii="宋体" w:hAnsi="宋体" w:eastAsia="宋体" w:cs="宋体"/>
          <w:color w:val="auto"/>
          <w:sz w:val="24"/>
          <w:szCs w:val="24"/>
          <w:highlight w:val="none"/>
        </w:rPr>
        <w:t>2.4.3 进度付款申请单的提交</w:t>
      </w:r>
    </w:p>
    <w:p w14:paraId="640F320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按</w:t>
      </w:r>
      <w:r>
        <w:rPr>
          <w:rFonts w:hint="eastAsia" w:ascii="宋体" w:hAnsi="宋体" w:eastAsia="宋体" w:cs="宋体"/>
          <w:color w:val="auto"/>
          <w:sz w:val="24"/>
          <w:szCs w:val="24"/>
          <w:highlight w:val="none"/>
          <w:u w:val="single"/>
          <w:lang w:val="en-US" w:eastAsia="zh-Hans"/>
        </w:rPr>
        <w:t>实际</w:t>
      </w:r>
      <w:r>
        <w:rPr>
          <w:rFonts w:hint="eastAsia" w:ascii="宋体" w:hAnsi="宋体" w:eastAsia="宋体" w:cs="宋体"/>
          <w:color w:val="auto"/>
          <w:sz w:val="24"/>
          <w:szCs w:val="24"/>
          <w:highlight w:val="none"/>
          <w:u w:val="single"/>
        </w:rPr>
        <w:t>完成</w:t>
      </w:r>
      <w:r>
        <w:rPr>
          <w:rFonts w:hint="eastAsia" w:ascii="宋体" w:hAnsi="宋体" w:eastAsia="宋体" w:cs="宋体"/>
          <w:color w:val="auto"/>
          <w:sz w:val="24"/>
          <w:szCs w:val="24"/>
          <w:highlight w:val="none"/>
          <w:u w:val="single"/>
          <w:lang w:val="en-US" w:eastAsia="zh-Hans"/>
        </w:rPr>
        <w:t>工程量</w:t>
      </w:r>
      <w:r>
        <w:rPr>
          <w:rFonts w:hint="eastAsia" w:ascii="宋体" w:hAnsi="宋体" w:eastAsia="宋体" w:cs="宋体"/>
          <w:color w:val="auto"/>
          <w:sz w:val="24"/>
          <w:szCs w:val="24"/>
          <w:highlight w:val="none"/>
        </w:rPr>
        <w:t>。</w:t>
      </w:r>
    </w:p>
    <w:p w14:paraId="2868A43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61FF926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3AC551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3BEF47EE">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68C8AB4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15CB028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b/>
          <w:color w:val="auto"/>
          <w:sz w:val="24"/>
          <w:szCs w:val="24"/>
          <w:highlight w:val="none"/>
          <w:u w:val="single"/>
        </w:rPr>
        <w:t>在进度款支付证书或临时进度款支付证书上报至拨款部门并完成下拨后14天内完成支付</w:t>
      </w:r>
      <w:r>
        <w:rPr>
          <w:rFonts w:hint="eastAsia" w:ascii="宋体" w:hAnsi="宋体" w:eastAsia="宋体" w:cs="宋体"/>
          <w:color w:val="auto"/>
          <w:sz w:val="24"/>
          <w:szCs w:val="24"/>
          <w:highlight w:val="none"/>
        </w:rPr>
        <w:t>。</w:t>
      </w:r>
    </w:p>
    <w:p w14:paraId="3D010BA4">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6CCAAE5F">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支付分解表的编制</w:t>
      </w:r>
    </w:p>
    <w:p w14:paraId="07B9425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F64380F">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按通用条款执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说明:安全生产、文明施工和环境保护措施费随工程进度款支付,承包人不得挪作他用,该部分费用必须经发包人签证同意后方可支付,发包人有权根据现场实际情况进行扣罚,直至扣除所有费用。本工程为政府投资项目,发包人根据国家造价管理的有关约定以及审计部门的审计的工程结算与承包商办理最终的价款结算手续。</w:t>
      </w:r>
    </w:p>
    <w:p w14:paraId="121161A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本项目中“其它措施费”一项、项目暂列金额及以“项”为单位的清单子目，均按施工现场实际联系单签证并附相关证明材料为准，</w:t>
      </w:r>
      <w:r>
        <w:rPr>
          <w:rFonts w:hint="eastAsia" w:ascii="宋体" w:hAnsi="宋体" w:eastAsia="宋体" w:cs="宋体"/>
          <w:color w:val="auto"/>
          <w:sz w:val="24"/>
          <w:szCs w:val="24"/>
          <w:highlight w:val="none"/>
          <w:u w:val="single"/>
        </w:rPr>
        <w:t>发包人有权根据现场实际情况进行扣罚,直至扣除所有费用。</w:t>
      </w:r>
    </w:p>
    <w:bookmarkEnd w:id="1119"/>
    <w:p w14:paraId="3FD544E7">
      <w:pPr>
        <w:pStyle w:val="6"/>
        <w:spacing w:before="120" w:after="120" w:line="360" w:lineRule="auto"/>
        <w:rPr>
          <w:rFonts w:hint="eastAsia" w:ascii="宋体" w:hAnsi="宋体" w:eastAsia="宋体" w:cs="宋体"/>
          <w:b w:val="0"/>
          <w:color w:val="auto"/>
          <w:sz w:val="24"/>
          <w:szCs w:val="24"/>
          <w:highlight w:val="none"/>
        </w:rPr>
      </w:pPr>
      <w:bookmarkStart w:id="1289" w:name="_Toc351203645"/>
      <w:bookmarkStart w:id="1290" w:name="_Toc292559424"/>
      <w:bookmarkStart w:id="1291" w:name="_Toc296503219"/>
      <w:bookmarkStart w:id="1292" w:name="_Toc312678053"/>
      <w:bookmarkStart w:id="1293" w:name="_Toc296347218"/>
      <w:bookmarkStart w:id="1294" w:name="_Toc297123564"/>
      <w:bookmarkStart w:id="1295" w:name="_Toc303539172"/>
      <w:bookmarkStart w:id="1296" w:name="_Toc292559929"/>
      <w:bookmarkStart w:id="1297" w:name="_Toc297216223"/>
      <w:bookmarkStart w:id="1298" w:name="_Toc296346720"/>
      <w:bookmarkStart w:id="1299" w:name="_Toc304295593"/>
      <w:bookmarkStart w:id="1300" w:name="_Toc297120519"/>
      <w:bookmarkStart w:id="1301" w:name="_Toc296891259"/>
      <w:bookmarkStart w:id="1302" w:name="_Toc296944558"/>
      <w:bookmarkStart w:id="1303" w:name="_Toc296891047"/>
      <w:bookmarkStart w:id="1304" w:name="_Toc300935015"/>
      <w:bookmarkStart w:id="1305" w:name="_Toc297048405"/>
      <w:r>
        <w:rPr>
          <w:rFonts w:hint="eastAsia" w:ascii="宋体" w:hAnsi="宋体" w:eastAsia="宋体" w:cs="宋体"/>
          <w:b w:val="0"/>
          <w:color w:val="auto"/>
          <w:sz w:val="24"/>
          <w:szCs w:val="24"/>
          <w:highlight w:val="none"/>
        </w:rPr>
        <w:t>13.验收和工程试车</w:t>
      </w:r>
      <w:bookmarkEnd w:id="1289"/>
    </w:p>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14:paraId="769C7AA2">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28AAEB0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02EF012E">
      <w:pPr>
        <w:spacing w:line="5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161ED10A">
      <w:pPr>
        <w:spacing w:after="120" w:line="500" w:lineRule="exact"/>
        <w:ind w:firstLine="480" w:firstLineChars="200"/>
        <w:rPr>
          <w:rFonts w:hint="eastAsia" w:ascii="宋体" w:hAnsi="宋体" w:eastAsia="宋体" w:cs="宋体"/>
          <w:color w:val="auto"/>
          <w:sz w:val="24"/>
          <w:szCs w:val="24"/>
          <w:highlight w:val="none"/>
        </w:rPr>
      </w:pPr>
      <w:bookmarkStart w:id="1306" w:name="_Toc304295596"/>
      <w:bookmarkStart w:id="1307" w:name="_Toc296503223"/>
      <w:bookmarkStart w:id="1308" w:name="_Toc297120523"/>
      <w:bookmarkStart w:id="1309" w:name="_Toc297216224"/>
      <w:bookmarkStart w:id="1310" w:name="_Toc297123565"/>
      <w:bookmarkStart w:id="1311" w:name="_Toc296891263"/>
      <w:bookmarkStart w:id="1312" w:name="_Toc297048409"/>
      <w:bookmarkStart w:id="1313" w:name="_Toc296891051"/>
      <w:bookmarkStart w:id="1314" w:name="_Toc312678056"/>
      <w:bookmarkStart w:id="1315" w:name="_Toc300935016"/>
      <w:bookmarkStart w:id="1316" w:name="_Toc292559933"/>
      <w:bookmarkStart w:id="1317" w:name="_Toc296944562"/>
      <w:bookmarkStart w:id="1318" w:name="_Toc296347222"/>
      <w:bookmarkStart w:id="1319" w:name="_Toc292559428"/>
      <w:bookmarkStart w:id="1320" w:name="_Toc303539173"/>
      <w:bookmarkStart w:id="1321" w:name="_Toc296346724"/>
      <w:bookmarkStart w:id="1322" w:name="_Toc267251471"/>
      <w:bookmarkStart w:id="1323" w:name="_Toc267251476"/>
      <w:bookmarkStart w:id="1324" w:name="_Toc267251474"/>
      <w:bookmarkStart w:id="1325" w:name="_Toc267251470"/>
      <w:bookmarkStart w:id="1326" w:name="_Toc267251475"/>
      <w:bookmarkStart w:id="1327" w:name="_Toc267251472"/>
      <w:bookmarkStart w:id="1328" w:name="_Toc267251473"/>
      <w:r>
        <w:rPr>
          <w:rFonts w:hint="eastAsia" w:ascii="宋体" w:hAnsi="宋体" w:eastAsia="宋体" w:cs="宋体"/>
          <w:color w:val="auto"/>
          <w:sz w:val="24"/>
          <w:szCs w:val="24"/>
          <w:highlight w:val="none"/>
        </w:rPr>
        <w:t>13.2 竣工验收</w:t>
      </w:r>
    </w:p>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14:paraId="01902BF1">
      <w:pPr>
        <w:spacing w:line="500" w:lineRule="exact"/>
        <w:ind w:firstLine="480" w:firstLineChars="200"/>
        <w:rPr>
          <w:rFonts w:hint="eastAsia" w:ascii="宋体" w:hAnsi="宋体" w:eastAsia="宋体" w:cs="宋体"/>
          <w:color w:val="auto"/>
          <w:sz w:val="24"/>
          <w:szCs w:val="24"/>
          <w:highlight w:val="none"/>
        </w:rPr>
      </w:pPr>
      <w:bookmarkStart w:id="1329" w:name="_Toc280868704"/>
      <w:bookmarkStart w:id="1330" w:name="_Toc280868705"/>
      <w:bookmarkStart w:id="1331" w:name="_Toc280868706"/>
      <w:bookmarkStart w:id="1332" w:name="_Toc280868707"/>
      <w:bookmarkStart w:id="1333" w:name="_Toc280868708"/>
      <w:bookmarkStart w:id="1334" w:name="_Toc280868709"/>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竣工验收程序</w:t>
      </w:r>
    </w:p>
    <w:bookmarkEnd w:id="1329"/>
    <w:p w14:paraId="24B1077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关于竣工验收程序的约定：</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649089A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按通用条款执行                     </w:t>
      </w:r>
      <w:r>
        <w:rPr>
          <w:rFonts w:hint="eastAsia" w:ascii="宋体" w:hAnsi="宋体" w:eastAsia="宋体" w:cs="宋体"/>
          <w:color w:val="auto"/>
          <w:sz w:val="24"/>
          <w:szCs w:val="24"/>
          <w:highlight w:val="none"/>
        </w:rPr>
        <w:t>。</w:t>
      </w:r>
    </w:p>
    <w:bookmarkEnd w:id="1330"/>
    <w:p w14:paraId="2DDBA68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移交、接收全部与部分工程</w:t>
      </w:r>
    </w:p>
    <w:bookmarkEnd w:id="1331"/>
    <w:p w14:paraId="6507EB8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承包人向发包人移交工程的期限：</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0ED019C2">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bookmarkEnd w:id="1332"/>
    <w:p w14:paraId="293458FF">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工程竣工验收通过后 3日内，承包人须向发包人移交全部工程，逾期移交的，每逾期一日，按人民币5000元/天向发包人支付违约金，因逾期交付工程给发包人造成经济损失的，赔偿损失。同时，承包人移交所有工程之前，发包人有权拒绝结算、支付剩余工程款</w:t>
      </w:r>
      <w:r>
        <w:rPr>
          <w:rFonts w:hint="eastAsia" w:ascii="宋体" w:hAnsi="宋体" w:eastAsia="宋体" w:cs="宋体"/>
          <w:color w:val="auto"/>
          <w:sz w:val="24"/>
          <w:szCs w:val="24"/>
          <w:highlight w:val="none"/>
        </w:rPr>
        <w:t>。</w:t>
      </w:r>
    </w:p>
    <w:p w14:paraId="7F87938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1333"/>
    <w:p w14:paraId="3B7C863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 试车程序</w:t>
      </w:r>
    </w:p>
    <w:p w14:paraId="5C1C55A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工程试车内容：</w:t>
      </w:r>
      <w:r>
        <w:rPr>
          <w:rFonts w:hint="eastAsia" w:ascii="宋体" w:hAnsi="宋体" w:eastAsia="宋体" w:cs="宋体"/>
          <w:color w:val="auto"/>
          <w:sz w:val="24"/>
          <w:szCs w:val="24"/>
          <w:highlight w:val="none"/>
          <w:u w:val="single"/>
        </w:rPr>
        <w:t>试车内容应与承包人承包范围相一致，试车费用由承包人承担</w:t>
      </w:r>
      <w:r>
        <w:rPr>
          <w:rFonts w:hint="eastAsia" w:ascii="宋体" w:hAnsi="宋体" w:eastAsia="宋体" w:cs="宋体"/>
          <w:color w:val="auto"/>
          <w:sz w:val="24"/>
          <w:szCs w:val="24"/>
          <w:highlight w:val="none"/>
        </w:rPr>
        <w:t>。</w:t>
      </w:r>
    </w:p>
    <w:p w14:paraId="2FD2022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（1）单机无负荷试车费用由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p w14:paraId="5509173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（2）无负荷联动试车费用由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p w14:paraId="666DA06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投料试车</w:t>
      </w:r>
    </w:p>
    <w:p w14:paraId="4117272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关于投料试车相关事项的约定：</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00A81FF4">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竣工退场</w:t>
      </w:r>
    </w:p>
    <w:p w14:paraId="05C7F8B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竣工退场</w:t>
      </w:r>
    </w:p>
    <w:p w14:paraId="5A3E085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color w:val="auto"/>
          <w:sz w:val="24"/>
          <w:szCs w:val="24"/>
          <w:highlight w:val="none"/>
          <w:u w:val="single"/>
        </w:rPr>
        <w:t xml:space="preserve">颁发工程接收证书后7天 </w:t>
      </w:r>
      <w:r>
        <w:rPr>
          <w:rFonts w:hint="eastAsia" w:ascii="宋体" w:hAnsi="宋体" w:eastAsia="宋体" w:cs="宋体"/>
          <w:color w:val="auto"/>
          <w:sz w:val="24"/>
          <w:szCs w:val="24"/>
          <w:highlight w:val="none"/>
        </w:rPr>
        <w:t>。承包人逾期未完成退场的，视为承包人放弃其在施工现场的设备等，发包人有权自行处理，承包人不得向发包人主张任何权利。</w:t>
      </w:r>
    </w:p>
    <w:p w14:paraId="4BD51096">
      <w:pPr>
        <w:pStyle w:val="6"/>
        <w:spacing w:before="120" w:after="120" w:line="360" w:lineRule="auto"/>
        <w:rPr>
          <w:rFonts w:hint="eastAsia" w:ascii="宋体" w:hAnsi="宋体" w:eastAsia="宋体" w:cs="宋体"/>
          <w:b w:val="0"/>
          <w:color w:val="auto"/>
          <w:sz w:val="24"/>
          <w:szCs w:val="24"/>
          <w:highlight w:val="none"/>
        </w:rPr>
      </w:pPr>
      <w:bookmarkStart w:id="1335" w:name="_Toc351203646"/>
      <w:r>
        <w:rPr>
          <w:rFonts w:hint="eastAsia" w:ascii="宋体" w:hAnsi="宋体" w:eastAsia="宋体" w:cs="宋体"/>
          <w:b w:val="0"/>
          <w:color w:val="auto"/>
          <w:sz w:val="24"/>
          <w:szCs w:val="24"/>
          <w:highlight w:val="none"/>
        </w:rPr>
        <w:t>14. 竣工结算</w:t>
      </w:r>
      <w:bookmarkEnd w:id="1335"/>
    </w:p>
    <w:p w14:paraId="0FC0664D">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竣工结算申请</w:t>
      </w:r>
    </w:p>
    <w:p w14:paraId="367E300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承包人提交竣工结算申请单的期限：</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00BC0FE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竣工结算申请单应包括的内容：</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1BE5D0AF">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7A94C56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5B90740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349ED17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7FBDFB5B">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最终结清</w:t>
      </w:r>
    </w:p>
    <w:p w14:paraId="30BE038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最终结清申请单</w:t>
      </w:r>
    </w:p>
    <w:p w14:paraId="1653361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肆份</w:t>
      </w:r>
      <w:r>
        <w:rPr>
          <w:rFonts w:hint="eastAsia" w:ascii="宋体" w:hAnsi="宋体" w:eastAsia="宋体" w:cs="宋体"/>
          <w:color w:val="auto"/>
          <w:sz w:val="24"/>
          <w:szCs w:val="24"/>
          <w:highlight w:val="none"/>
        </w:rPr>
        <w:t>。</w:t>
      </w:r>
    </w:p>
    <w:p w14:paraId="4BBAED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承包人提交最终结算申请单的期限：</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2176E01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最终结清证书和支付</w:t>
      </w:r>
    </w:p>
    <w:p w14:paraId="3E2FB70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7B7E836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3668C0E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增加以下内容：</w:t>
      </w:r>
    </w:p>
    <w:p w14:paraId="797072B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发包人对承包人的竣工结算报告及完整、有效的结算资料进行内部初步审计（由发包人委托专业的中介机构实施内审），承包人应根据内审意见，修改结算资料。因承包人不配合中介机构，导致中介机构无法及时出具内审意见或承包人无正当理由拒绝按内审意见修改工程结算书的，责任由承包人承担，承包人不得以此要求发包人承担逾期付款违约责任，且承包人赔偿因此给发包人造成的损失。</w:t>
      </w:r>
    </w:p>
    <w:p w14:paraId="05EA264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承包人应遵循实事求是，严禁高估冒算的原则，编制工程结算书。工程造价审核基本费（计算公式：（送审结算价×5%）×10%）由发包人承担；工程决算审核追加费用（以超过5％以外的核减额为基数，按10％计算，[计算公式为：（审计净核减额-送审结算价×5%）×10%]），费用由承包人支付，承包人支付部分由承包人另行支付给发包人。</w:t>
      </w:r>
    </w:p>
    <w:p w14:paraId="2E33A7F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此给发包人造成的损失。</w:t>
      </w:r>
    </w:p>
    <w:p w14:paraId="23040D3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D.发包人向承包人提交审核报告（审计报告）后30日内，承包人未提出意见的，视为承包人认可该审核报告（审计报告），发包人按审核报告支付结算款。</w:t>
      </w:r>
    </w:p>
    <w:p w14:paraId="2A3EF71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E．最终价款结算以审计部门出具的审计报告为准。　</w:t>
      </w:r>
    </w:p>
    <w:bookmarkEnd w:id="1322"/>
    <w:bookmarkEnd w:id="1323"/>
    <w:bookmarkEnd w:id="1324"/>
    <w:bookmarkEnd w:id="1325"/>
    <w:bookmarkEnd w:id="1326"/>
    <w:bookmarkEnd w:id="1327"/>
    <w:bookmarkEnd w:id="1328"/>
    <w:bookmarkEnd w:id="1334"/>
    <w:p w14:paraId="1C5027E2">
      <w:pPr>
        <w:pStyle w:val="6"/>
        <w:spacing w:before="120" w:after="120" w:line="360" w:lineRule="auto"/>
        <w:rPr>
          <w:rFonts w:hint="eastAsia" w:ascii="宋体" w:hAnsi="宋体" w:eastAsia="宋体" w:cs="宋体"/>
          <w:b w:val="0"/>
          <w:color w:val="auto"/>
          <w:sz w:val="24"/>
          <w:szCs w:val="24"/>
          <w:highlight w:val="none"/>
        </w:rPr>
      </w:pPr>
      <w:bookmarkStart w:id="1336" w:name="_Toc351203647"/>
      <w:bookmarkStart w:id="1337" w:name="_Toc267251483"/>
      <w:bookmarkStart w:id="1338" w:name="_Toc267251484"/>
      <w:bookmarkStart w:id="1339" w:name="_Toc267251482"/>
      <w:bookmarkStart w:id="1340" w:name="_Toc267251485"/>
      <w:bookmarkStart w:id="1341" w:name="_Toc267251486"/>
      <w:bookmarkStart w:id="1342" w:name="_Toc267251489"/>
      <w:bookmarkStart w:id="1343" w:name="_Toc267251490"/>
      <w:bookmarkStart w:id="1344" w:name="_Toc267251488"/>
      <w:bookmarkStart w:id="1345" w:name="_Toc267251493"/>
      <w:bookmarkStart w:id="1346" w:name="_Toc267251492"/>
      <w:bookmarkStart w:id="1347" w:name="_Toc267251503"/>
      <w:bookmarkStart w:id="1348" w:name="_Toc267251496"/>
      <w:bookmarkStart w:id="1349" w:name="_Toc267251499"/>
      <w:bookmarkStart w:id="1350" w:name="_Toc267251498"/>
      <w:bookmarkStart w:id="1351" w:name="_Toc267251494"/>
      <w:bookmarkStart w:id="1352" w:name="_Toc267251495"/>
      <w:bookmarkStart w:id="1353" w:name="_Toc267251501"/>
      <w:bookmarkStart w:id="1354" w:name="_Toc267251497"/>
      <w:bookmarkStart w:id="1355" w:name="_Toc267251502"/>
      <w:bookmarkStart w:id="1356" w:name="_Toc267251491"/>
      <w:bookmarkStart w:id="1357" w:name="_Toc267251504"/>
      <w:bookmarkStart w:id="1358" w:name="_Toc267251506"/>
      <w:bookmarkStart w:id="1359" w:name="_Toc267251507"/>
      <w:bookmarkStart w:id="1360" w:name="_Toc267251508"/>
      <w:bookmarkStart w:id="1361" w:name="_Toc267251514"/>
      <w:bookmarkStart w:id="1362" w:name="_Toc267251510"/>
      <w:bookmarkStart w:id="1363" w:name="_Toc267251511"/>
      <w:bookmarkStart w:id="1364" w:name="_Toc267251509"/>
      <w:bookmarkStart w:id="1365" w:name="_Toc267251515"/>
      <w:bookmarkStart w:id="1366" w:name="_Toc267251513"/>
      <w:r>
        <w:rPr>
          <w:rFonts w:hint="eastAsia" w:ascii="宋体" w:hAnsi="宋体" w:eastAsia="宋体" w:cs="宋体"/>
          <w:b w:val="0"/>
          <w:color w:val="auto"/>
          <w:sz w:val="24"/>
          <w:szCs w:val="24"/>
          <w:highlight w:val="none"/>
        </w:rPr>
        <w:t>15. 缺陷责任期与保修</w:t>
      </w:r>
      <w:bookmarkEnd w:id="1336"/>
    </w:p>
    <w:p w14:paraId="177F7283">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缺陷责任期</w:t>
      </w:r>
      <w:bookmarkEnd w:id="1337"/>
    </w:p>
    <w:p w14:paraId="50F16C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rPr>
        <w:t xml:space="preserve">12个月  </w:t>
      </w:r>
      <w:r>
        <w:rPr>
          <w:rFonts w:hint="eastAsia" w:ascii="宋体" w:hAnsi="宋体" w:eastAsia="宋体" w:cs="宋体"/>
          <w:color w:val="auto"/>
          <w:sz w:val="24"/>
          <w:szCs w:val="24"/>
          <w:highlight w:val="none"/>
        </w:rPr>
        <w:t>。</w:t>
      </w:r>
    </w:p>
    <w:p w14:paraId="20A6C327">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质量保证金</w:t>
      </w:r>
    </w:p>
    <w:p w14:paraId="5619EA8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是</w:t>
      </w:r>
      <w:r>
        <w:rPr>
          <w:rFonts w:hint="eastAsia" w:ascii="宋体" w:hAnsi="宋体" w:eastAsia="宋体" w:cs="宋体"/>
          <w:color w:val="auto"/>
          <w:sz w:val="24"/>
          <w:szCs w:val="24"/>
          <w:highlight w:val="none"/>
        </w:rPr>
        <w:t>。在工程项目竣工前，承包人按专用合同条款第3.7条提供履约担保的，发包人不得同时预留工程质量保证金。</w:t>
      </w:r>
    </w:p>
    <w:p w14:paraId="4C711E46">
      <w:pPr>
        <w:spacing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承包人提供质量保证金的方式</w:t>
      </w:r>
    </w:p>
    <w:p w14:paraId="108EDA8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种方式：</w:t>
      </w:r>
    </w:p>
    <w:p w14:paraId="19C6EADA">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FD670AF">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1.5    </w:t>
      </w:r>
      <w:r>
        <w:rPr>
          <w:rFonts w:hint="eastAsia" w:ascii="宋体" w:hAnsi="宋体" w:eastAsia="宋体" w:cs="宋体"/>
          <w:color w:val="auto"/>
          <w:sz w:val="24"/>
          <w:szCs w:val="24"/>
          <w:highlight w:val="none"/>
        </w:rPr>
        <w:t>%的工程款；</w:t>
      </w:r>
    </w:p>
    <w:p w14:paraId="0800BE4B">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80F27C">
      <w:pPr>
        <w:spacing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.2 质量保证金的扣留 </w:t>
      </w:r>
    </w:p>
    <w:p w14:paraId="7B08F24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种方式：</w:t>
      </w:r>
    </w:p>
    <w:p w14:paraId="37E5972B">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（1）在支付工程进度款时逐次扣留，在此情形下，质量保证金的计算基数不包括预付款的支付、扣回以及价格调整的金额；</w:t>
      </w:r>
    </w:p>
    <w:p w14:paraId="229AB6C8">
      <w:pPr>
        <w:autoSpaceDE w:val="0"/>
        <w:autoSpaceDN w:val="0"/>
        <w:spacing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（2）工程竣工结算时一次性扣留质量保证金；</w:t>
      </w:r>
    </w:p>
    <w:p w14:paraId="467870FD">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（3）其他扣留方式: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5CA9908">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关于质量保证金的补充约定：</w:t>
      </w:r>
    </w:p>
    <w:p w14:paraId="0731BE25">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（1）如在工程保修期内未发生按约定的须从质量保证金中代扣维修费及维修管理费情况的，则工程质量保证金按以下方式支付给承包人，不计利息：缺陷责任期满且无质量问题后，退还剩余质量保证金的100%</w:t>
      </w:r>
    </w:p>
    <w:p w14:paraId="71C74028">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工程移交后，如发包人或者本工程有关的接收人发现存在质量问题的，有权要求承包人及时维修，并赔偿给发包人带来的各种直接、间接经济损失。承包人不及时维修的，发包人有权代为扣除该质量保证金用于维修以及支付发包人的维修管理费用（按维修费用的15%计算），并在事后要求承包人补足缺额。</w:t>
      </w:r>
    </w:p>
    <w:p w14:paraId="1A253122">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（3）工程移交后，如发包人或者本工程有关的接收人发现存在重大质量问题的，有权扣除承包人的全部质量保证金，要求承包人及时维修，并赔偿给发包人带来的各种直接、间接经济损失。</w:t>
      </w:r>
    </w:p>
    <w:p w14:paraId="4EC8546E">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本合同工程的保修期，自发包人全部交付接收人或使用人之日起算，如果发包人交付接收人或使用人时间超过竣工验收后十二个月，则自竣工验收后十二个月起计算。保修期内的工程质量维修问题详见双方签署的质量保修书。</w:t>
      </w:r>
    </w:p>
    <w:p w14:paraId="3D4ABBD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（5）在国家规定的保修期外，如本工程出现质量问题系由承包人偷工减料或使用不合格原材料、成品、半成品（不包括甲供材料）引起的，发包人有权无限期追索，承包人应承担由此造成的一切损失</w:t>
      </w:r>
      <w:r>
        <w:rPr>
          <w:rFonts w:hint="eastAsia" w:ascii="宋体" w:hAnsi="宋体" w:eastAsia="宋体" w:cs="宋体"/>
          <w:color w:val="auto"/>
          <w:sz w:val="24"/>
          <w:szCs w:val="24"/>
          <w:highlight w:val="none"/>
        </w:rPr>
        <w:t>。</w:t>
      </w:r>
    </w:p>
    <w:p w14:paraId="32013BC0">
      <w:pPr>
        <w:spacing w:line="500" w:lineRule="exact"/>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（6）工程移交前，施工单位应及时缴纳水、电、网络等费用。工程移交后仍有未缴清的费用，在质量保证金中扣除，其余部分按规定退回</w:t>
      </w:r>
      <w:r>
        <w:rPr>
          <w:rFonts w:hint="eastAsia" w:ascii="宋体" w:hAnsi="宋体" w:eastAsia="宋体" w:cs="宋体"/>
          <w:b/>
          <w:color w:val="auto"/>
          <w:sz w:val="24"/>
          <w:szCs w:val="24"/>
          <w:highlight w:val="none"/>
        </w:rPr>
        <w:t>。</w:t>
      </w:r>
    </w:p>
    <w:bookmarkEnd w:id="1338"/>
    <w:bookmarkEnd w:id="1339"/>
    <w:p w14:paraId="7FC8049D">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保修</w:t>
      </w:r>
    </w:p>
    <w:bookmarkEnd w:id="1340"/>
    <w:p w14:paraId="1CF23C20">
      <w:pPr>
        <w:spacing w:line="500" w:lineRule="exact"/>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保修责任</w:t>
      </w:r>
    </w:p>
    <w:p w14:paraId="2EEE6192">
      <w:pPr>
        <w:spacing w:line="500" w:lineRule="exact"/>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sz w:val="24"/>
          <w:szCs w:val="24"/>
          <w:highlight w:val="none"/>
          <w:u w:val="single"/>
        </w:rPr>
        <w:t xml:space="preserve">按工程质量保修书规定执行 </w:t>
      </w:r>
      <w:r>
        <w:rPr>
          <w:rFonts w:hint="eastAsia" w:ascii="宋体" w:hAnsi="宋体" w:eastAsia="宋体" w:cs="宋体"/>
          <w:color w:val="auto"/>
          <w:sz w:val="24"/>
          <w:szCs w:val="24"/>
          <w:highlight w:val="none"/>
        </w:rPr>
        <w:t>。</w:t>
      </w:r>
    </w:p>
    <w:p w14:paraId="3D789ED2">
      <w:pPr>
        <w:spacing w:line="500" w:lineRule="exact"/>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修复通知</w:t>
      </w:r>
    </w:p>
    <w:p w14:paraId="13FD6594">
      <w:pPr>
        <w:spacing w:line="500" w:lineRule="exact"/>
        <w:ind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24小时</w:t>
      </w:r>
      <w:r>
        <w:rPr>
          <w:rFonts w:hint="eastAsia" w:ascii="宋体" w:hAnsi="宋体" w:eastAsia="宋体" w:cs="宋体"/>
          <w:color w:val="auto"/>
          <w:sz w:val="24"/>
          <w:szCs w:val="24"/>
          <w:highlight w:val="none"/>
        </w:rPr>
        <w:t>。</w:t>
      </w:r>
    </w:p>
    <w:bookmarkEnd w:id="1341"/>
    <w:bookmarkEnd w:id="1342"/>
    <w:bookmarkEnd w:id="1343"/>
    <w:bookmarkEnd w:id="1344"/>
    <w:p w14:paraId="6334A79D">
      <w:pPr>
        <w:pStyle w:val="6"/>
        <w:spacing w:before="120" w:after="120" w:line="360" w:lineRule="auto"/>
        <w:rPr>
          <w:rFonts w:hint="eastAsia" w:ascii="宋体" w:hAnsi="宋体" w:eastAsia="宋体" w:cs="宋体"/>
          <w:b w:val="0"/>
          <w:color w:val="auto"/>
          <w:sz w:val="24"/>
          <w:szCs w:val="24"/>
          <w:highlight w:val="none"/>
        </w:rPr>
      </w:pPr>
      <w:bookmarkStart w:id="1367" w:name="_Toc351203648"/>
      <w:bookmarkStart w:id="1368" w:name="_Toc280868717"/>
      <w:bookmarkStart w:id="1369" w:name="_Toc280868718"/>
      <w:r>
        <w:rPr>
          <w:rFonts w:hint="eastAsia" w:ascii="宋体" w:hAnsi="宋体" w:eastAsia="宋体" w:cs="宋体"/>
          <w:b w:val="0"/>
          <w:color w:val="auto"/>
          <w:sz w:val="24"/>
          <w:szCs w:val="24"/>
          <w:highlight w:val="none"/>
        </w:rPr>
        <w:t>16. 违约</w:t>
      </w:r>
      <w:bookmarkEnd w:id="1367"/>
    </w:p>
    <w:p w14:paraId="1FABE67D">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4333772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3A21667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发包人违约的其他情形：</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1DE42B16">
      <w:pPr>
        <w:spacing w:line="500" w:lineRule="exact"/>
        <w:ind w:left="14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16.1.2 发包人违约的责任</w:t>
      </w:r>
    </w:p>
    <w:p w14:paraId="47F8BE1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发包人违约责任的承担方式和计算方法：</w:t>
      </w:r>
    </w:p>
    <w:p w14:paraId="7137BF2B">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（1）因发包人原因未能在计划开工日期前7天内下达开工通知的违约责任：</w:t>
      </w:r>
      <w:r>
        <w:rPr>
          <w:rFonts w:hint="eastAsia" w:ascii="宋体" w:hAnsi="宋体" w:eastAsia="宋体" w:cs="宋体"/>
          <w:color w:val="auto"/>
          <w:sz w:val="24"/>
          <w:szCs w:val="24"/>
          <w:highlight w:val="none"/>
          <w:u w:val="single"/>
        </w:rPr>
        <w:t>工期顺延</w:t>
      </w:r>
      <w:r>
        <w:rPr>
          <w:rFonts w:hint="eastAsia" w:ascii="宋体" w:hAnsi="宋体" w:eastAsia="宋体" w:cs="宋体"/>
          <w:color w:val="auto"/>
          <w:sz w:val="24"/>
          <w:szCs w:val="24"/>
          <w:highlight w:val="none"/>
        </w:rPr>
        <w:t>。即发包人下达开工通知后，承包人需在7天内开工，开工日期以实际开工日期为准，总工期日历天数不变，工程结束时间顺延。</w:t>
      </w:r>
    </w:p>
    <w:p w14:paraId="134490E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（2）发包人提供的材料、工程设备的规格、数量或质量不符合合同约定，或因发包人原因导致交货日期延误或交货地点变更等情况的违约责任 ：</w:t>
      </w:r>
      <w:r>
        <w:rPr>
          <w:rFonts w:hint="eastAsia" w:ascii="宋体" w:hAnsi="宋体" w:eastAsia="宋体" w:cs="宋体"/>
          <w:color w:val="auto"/>
          <w:sz w:val="24"/>
          <w:szCs w:val="24"/>
          <w:highlight w:val="none"/>
          <w:u w:val="single"/>
        </w:rPr>
        <w:t xml:space="preserve">按通用条款执行 </w:t>
      </w:r>
      <w:r>
        <w:rPr>
          <w:rFonts w:hint="eastAsia" w:ascii="宋体" w:hAnsi="宋体" w:eastAsia="宋体" w:cs="宋体"/>
          <w:color w:val="auto"/>
          <w:sz w:val="24"/>
          <w:szCs w:val="24"/>
          <w:highlight w:val="none"/>
        </w:rPr>
        <w:t>。</w:t>
      </w:r>
    </w:p>
    <w:p w14:paraId="55B6BF5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（3）因发包人违反合同约定造成暂停施工的违约责任：</w:t>
      </w:r>
      <w:r>
        <w:rPr>
          <w:rFonts w:hint="eastAsia" w:ascii="宋体" w:hAnsi="宋体" w:eastAsia="宋体" w:cs="宋体"/>
          <w:color w:val="auto"/>
          <w:sz w:val="24"/>
          <w:szCs w:val="24"/>
          <w:highlight w:val="none"/>
          <w:u w:val="single"/>
        </w:rPr>
        <w:t>按照通用条款执行</w:t>
      </w:r>
      <w:r>
        <w:rPr>
          <w:rFonts w:hint="eastAsia" w:ascii="宋体" w:hAnsi="宋体" w:eastAsia="宋体" w:cs="宋体"/>
          <w:color w:val="auto"/>
          <w:sz w:val="24"/>
          <w:szCs w:val="24"/>
          <w:highlight w:val="none"/>
        </w:rPr>
        <w:t>。</w:t>
      </w:r>
    </w:p>
    <w:p w14:paraId="053E07F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（4）发包人无正当理由没有在约定期限内发出复工指示，导致承包人无法复工的违约责任：</w:t>
      </w:r>
      <w:r>
        <w:rPr>
          <w:rFonts w:hint="eastAsia" w:ascii="宋体" w:hAnsi="宋体" w:eastAsia="宋体" w:cs="宋体"/>
          <w:color w:val="auto"/>
          <w:sz w:val="24"/>
          <w:szCs w:val="24"/>
          <w:highlight w:val="none"/>
          <w:u w:val="single"/>
        </w:rPr>
        <w:t>按照通用条款执行</w:t>
      </w:r>
      <w:r>
        <w:rPr>
          <w:rFonts w:hint="eastAsia" w:ascii="宋体" w:hAnsi="宋体" w:eastAsia="宋体" w:cs="宋体"/>
          <w:color w:val="auto"/>
          <w:sz w:val="24"/>
          <w:szCs w:val="24"/>
          <w:highlight w:val="none"/>
        </w:rPr>
        <w:t>。</w:t>
      </w:r>
    </w:p>
    <w:p w14:paraId="0FC0315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E1DFB7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694FA9BE">
      <w:pPr>
        <w:autoSpaceDE w:val="0"/>
        <w:autoSpaceDN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承包人按16.1.1项〔发包人违约的情形〕约定暂停施工满</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天后发包人仍不纠正其违约行为并致使合同目的不能实现的，承包人有权解除合同。</w:t>
      </w:r>
    </w:p>
    <w:p w14:paraId="6C903CC4">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09F9DF1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w:t>
      </w:r>
    </w:p>
    <w:p w14:paraId="4A2C393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承包人违约的其他情形：</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4A6D74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16.2.2承包人违约的责任</w:t>
      </w:r>
    </w:p>
    <w:p w14:paraId="14175D99">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承包人违约责任的承担方式和计算方法：</w:t>
      </w:r>
    </w:p>
    <w:p w14:paraId="2E9FC2A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（1）承包人违反合同约定进行转包或违法分包的违约责任：发包人有权解除合同，没收履约保证金，如给发包人造成的损失超过保证金数额的还应当对超过部</w:t>
      </w:r>
      <w:r>
        <w:rPr>
          <w:rFonts w:hint="eastAsia" w:ascii="宋体" w:hAnsi="宋体" w:eastAsia="宋体" w:cs="宋体"/>
          <w:color w:val="auto"/>
          <w:sz w:val="24"/>
          <w:szCs w:val="24"/>
          <w:highlight w:val="none"/>
          <w:u w:val="single"/>
          <w:lang w:val="en-US" w:eastAsia="zh-Hans"/>
        </w:rPr>
        <w:t>分</w:t>
      </w:r>
      <w:r>
        <w:rPr>
          <w:rFonts w:hint="eastAsia" w:ascii="宋体" w:hAnsi="宋体" w:eastAsia="宋体" w:cs="宋体"/>
          <w:color w:val="auto"/>
          <w:sz w:val="24"/>
          <w:szCs w:val="24"/>
          <w:highlight w:val="none"/>
          <w:u w:val="single"/>
        </w:rPr>
        <w:t>予以赔偿，并依法承担相应的法律责任</w:t>
      </w:r>
      <w:r>
        <w:rPr>
          <w:rFonts w:hint="eastAsia" w:ascii="宋体" w:hAnsi="宋体" w:eastAsia="宋体" w:cs="宋体"/>
          <w:color w:val="auto"/>
          <w:sz w:val="24"/>
          <w:szCs w:val="24"/>
          <w:highlight w:val="none"/>
        </w:rPr>
        <w:t xml:space="preserve">。  </w:t>
      </w:r>
    </w:p>
    <w:p w14:paraId="3FA28D9E">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违反合同约定采购和使用不合格的材料和工程设备的违约责任：发包人有权要求承包人重新采购合格的材料和工程设备，承包人必须及时改正并承担相应损失，若承包人拒不改正，发包人有权没收履约保证金并将其清退出场并解除合同；</w:t>
      </w:r>
    </w:p>
    <w:p w14:paraId="6C9A1E62">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3%的违约金。承包人应承担由此造成发包人的经济损失；如因此造成工期延误的，还应承担工期延误的违约责任。</w:t>
      </w:r>
    </w:p>
    <w:p w14:paraId="795BC5ED">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经监理单位检查或发包人抽检，发现承包人不按设计要求或者工程质量验收规范标准施工，有偷工减料现象，每发现一次，发包人有权对承包人罚款人民币2000元/次，并要求承包人及时整改，承包人应承担全部整改费用，直到质量合格为止。如果上述行为出现3次以上，发包人有权没收履约保证金并将其清退出场并解除合同。</w:t>
      </w:r>
    </w:p>
    <w:p w14:paraId="09039BC4">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（4）承包人违反第8.9款〔材料与设备专用要求〕的约定，未经批准，私自将已按照合同约定进入施工现场的材料或设备撤离施工现场的违约责任：承包人应及时停止撤离，并承担相应损失；</w:t>
      </w:r>
    </w:p>
    <w:p w14:paraId="7E9C1A24">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承包人未能按施工进度计划及时完成合同约定的工作，造成工期延误的违约责任：本合同约定的竣工日前完成，每延误一天，按0.5万/天向发包人支付违约金，延误10天以外20天以内每延误一天，按1万/天向发包人支付违约金，以此类推，按倍数支付违约金；工期延误超过60天的，发包人同时有权解除合同。</w:t>
      </w:r>
    </w:p>
    <w:p w14:paraId="2167AECF">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承包人在缺陷责任期及保修期内，未能在合理期限对工程缺陷进行修复，或拒绝按发包人要求进行修复的违约责任：工程移交后，如发包人或者本工程有关的接收人发现存在质量问题的，有权要求承包人及时维修，并赔偿给发包人带来的各种直接、间接经济损失。承包人不及时维修的，发包人有权代为扣除该质量保证金用于维修以及支付发包人的维修管理费用（按维修费用的15%计算），并在事后要求承包人补足缺额。</w:t>
      </w:r>
    </w:p>
    <w:p w14:paraId="6A2689D7">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工程移交后，如发包人或者本工程有关的接收人发现存在重大质量问题的，有权扣除承包人的全部质量保证金，要求承包人及时维修，并赔偿给发包人带来的各种直接、间接经济损失。</w:t>
      </w:r>
    </w:p>
    <w:p w14:paraId="1ACD354C">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14:paraId="24EC7045">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（7）承包人明确表示或者以其行为表明不履行合同主要义务的违约责任：发包人有权终止合同，承包人承担发包人的一切损失；</w:t>
      </w:r>
    </w:p>
    <w:p w14:paraId="791ADE59">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（8）承包人未能按照合同约定履行其他义务的违约责任：</w:t>
      </w:r>
    </w:p>
    <w:p w14:paraId="4589CACA">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 由发包人或监理召集的例会和其它重要会议，承包人必须按发包人指定人选准时参加，无故缺席或迟到的，发包人有权视情节严重程度处以1000元的罚款，因此导致对会议内容不了解的，其后果由承包人自负，该笔罚款由发包人在结算中直接扣除；因此导致对会议内容不了解的，其后果由承包人自负。</w:t>
      </w:r>
    </w:p>
    <w:p w14:paraId="476E0EDB">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 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5000-10000元/次的处罚，该笔罚款由发包人在结算中直接扣除；</w:t>
      </w:r>
    </w:p>
    <w:p w14:paraId="439F54DB">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 承包人在施工过程中不论遇到何种困难（发包人原因及不可抗力除外），均不得以任何理由（例如发包人未签证费用）擅自停工或变相停工，否则由此造成的一切后果和经济损失均由承包人承担，同时发包人有权处以10000元/天的处罚，该笔罚款由发包人在结算中直接扣除；</w:t>
      </w:r>
    </w:p>
    <w:p w14:paraId="189BF5BB">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④ 合同及本协议履行期间，承包人保证不拖欠民工工资，因拖欠民工工资造成的一切后果均由承包人承担。若发包人因此为承包人垫款支付的，承包人应按发包人垫付款项金额的5%向发包人偿付违约金，该笔违约金由发包人在结算中直接扣除；</w:t>
      </w:r>
    </w:p>
    <w:p w14:paraId="4A2BB028">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⑤ 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 </w:t>
      </w:r>
    </w:p>
    <w:p w14:paraId="19E10C46">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⑥ 承包人进场后应对现场管线进行彻底调查，并结合发包人提供的已有管线图纸，对现场管线进行保护，并对施工现场周围建筑物和地下管线提出可行的施工方案，报发包人和有关部门审核后方可施工，确保其安全正常进行。现状管线保护费用以现场工程师签证工程量以及本合同条款精神结算。但因承包人不文明施工引起的保护、抢修费用及造成第三方人员或房屋、设备等财产损失，一切责任由承包人承担；</w:t>
      </w:r>
    </w:p>
    <w:p w14:paraId="166B1EA6">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⑦ 施工期间，承包人应严格实行隐蔽工程验收制度，如有未经监理方验收自行隐蔽，监理和发包人有权要求复验，所有费用由承包人承担，发包人有权视情节轻重对承包人处以人民币壹万元/次的违约金，该笔违约金由发包人在结算中直接扣除；</w:t>
      </w:r>
    </w:p>
    <w:p w14:paraId="6BBD8D67">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⑧ 修改为：承包人应确保工程安全进行，如工程实施过程中因承包人原因出现一般安全责任事故，承包人须向发包人支付人民币5万元/起的违约金；因承包人原因出现较大及以上安全责任事故，承包人须向发包人支付人民币10万元/起的违约金；所有因承包人原因安全事故的全部责任均由承包人承担；</w:t>
      </w:r>
    </w:p>
    <w:p w14:paraId="0D630B98">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⑨ 本合同履行过程中，承包人被处以罚款的，以实际行为发生之日为罚款缴纳的时间；</w:t>
      </w:r>
    </w:p>
    <w:p w14:paraId="45806B86">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⑩ 本合同中的罚款特指惩罚性违约金，本合同约定的违约金、罚款及损失赔偿款，发包人有权从履约保证金或工程款中直接扣减。</w:t>
      </w:r>
    </w:p>
    <w:p w14:paraId="12999F57">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⑪ 合同生效后，承包人无正当理由，单方终止合同的，除履约保证金不予退还外，应向发包人承担违约责任（违约金按照</w:t>
      </w:r>
      <w:r>
        <w:rPr>
          <w:rFonts w:hint="eastAsia" w:ascii="宋体" w:hAnsi="宋体" w:eastAsia="宋体" w:cs="宋体"/>
          <w:color w:val="auto"/>
          <w:sz w:val="24"/>
          <w:szCs w:val="24"/>
          <w:highlight w:val="none"/>
          <w:u w:val="single"/>
          <w:lang w:val="en-US" w:eastAsia="zh-Hans"/>
        </w:rPr>
        <w:t>签约合同价</w:t>
      </w:r>
      <w:r>
        <w:rPr>
          <w:rFonts w:hint="eastAsia" w:ascii="宋体" w:hAnsi="宋体" w:eastAsia="宋体" w:cs="宋体"/>
          <w:color w:val="auto"/>
          <w:sz w:val="24"/>
          <w:szCs w:val="24"/>
          <w:highlight w:val="none"/>
          <w:u w:val="single"/>
        </w:rPr>
        <w:t>的20%计取），并赔偿发包人因此造成的损失（包括但不限于工期延误的损失）</w:t>
      </w:r>
      <w:r>
        <w:rPr>
          <w:rFonts w:hint="eastAsia" w:ascii="宋体" w:hAnsi="宋体" w:eastAsia="宋体" w:cs="宋体"/>
          <w:color w:val="auto"/>
          <w:sz w:val="24"/>
          <w:szCs w:val="24"/>
          <w:highlight w:val="none"/>
        </w:rPr>
        <w:t xml:space="preserve">。    </w:t>
      </w:r>
    </w:p>
    <w:p w14:paraId="3CCF530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5ACA00D7">
      <w:pPr>
        <w:spacing w:before="120" w:after="120"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关于承包人违约解除合同的特别约定：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06C08EF">
      <w:pPr>
        <w:spacing w:before="120"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highlight w:val="none"/>
          <w:u w:val="single"/>
        </w:rPr>
        <w:t>费用另行约定，由发包人承担</w:t>
      </w:r>
      <w:r>
        <w:rPr>
          <w:rFonts w:hint="eastAsia" w:ascii="宋体" w:hAnsi="宋体" w:eastAsia="宋体" w:cs="宋体"/>
          <w:color w:val="auto"/>
          <w:sz w:val="24"/>
          <w:szCs w:val="24"/>
          <w:highlight w:val="none"/>
        </w:rPr>
        <w:t>。</w:t>
      </w:r>
    </w:p>
    <w:p w14:paraId="52977390">
      <w:pPr>
        <w:pStyle w:val="6"/>
        <w:spacing w:before="120" w:after="120" w:line="360" w:lineRule="auto"/>
        <w:rPr>
          <w:rFonts w:hint="eastAsia" w:ascii="宋体" w:hAnsi="宋体" w:eastAsia="宋体" w:cs="宋体"/>
          <w:b w:val="0"/>
          <w:color w:val="auto"/>
          <w:sz w:val="24"/>
          <w:szCs w:val="24"/>
          <w:highlight w:val="none"/>
        </w:rPr>
      </w:pPr>
      <w:bookmarkStart w:id="1370" w:name="_Toc351203649"/>
      <w:r>
        <w:rPr>
          <w:rFonts w:hint="eastAsia" w:ascii="宋体" w:hAnsi="宋体" w:eastAsia="宋体" w:cs="宋体"/>
          <w:b w:val="0"/>
          <w:color w:val="auto"/>
          <w:sz w:val="24"/>
          <w:szCs w:val="24"/>
          <w:highlight w:val="none"/>
        </w:rPr>
        <w:t>17. 不可抗力</w:t>
      </w:r>
      <w:bookmarkEnd w:id="1368"/>
      <w:bookmarkEnd w:id="1370"/>
    </w:p>
    <w:p w14:paraId="221791F0">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1BA96DF5">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除通用合同条款约定的不可抗力事件之外，视为不可抗力的其他情形： </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1FB0905C">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因不可抗力解除合同</w:t>
      </w:r>
    </w:p>
    <w:p w14:paraId="264E2DE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28   </w:t>
      </w:r>
      <w:r>
        <w:rPr>
          <w:rFonts w:hint="eastAsia" w:ascii="宋体" w:hAnsi="宋体" w:eastAsia="宋体" w:cs="宋体"/>
          <w:color w:val="auto"/>
          <w:sz w:val="24"/>
          <w:szCs w:val="24"/>
          <w:highlight w:val="none"/>
        </w:rPr>
        <w:t>天内完成款项的支付。</w:t>
      </w:r>
    </w:p>
    <w:p w14:paraId="5C0269D7">
      <w:pPr>
        <w:pStyle w:val="6"/>
        <w:spacing w:before="120" w:after="120" w:line="360" w:lineRule="auto"/>
        <w:rPr>
          <w:rFonts w:hint="eastAsia" w:ascii="宋体" w:hAnsi="宋体" w:eastAsia="宋体" w:cs="宋体"/>
          <w:b w:val="0"/>
          <w:color w:val="auto"/>
          <w:sz w:val="24"/>
          <w:szCs w:val="24"/>
          <w:highlight w:val="none"/>
        </w:rPr>
      </w:pPr>
      <w:bookmarkStart w:id="1371" w:name="_Toc351203650"/>
      <w:r>
        <w:rPr>
          <w:rFonts w:hint="eastAsia" w:ascii="宋体" w:hAnsi="宋体" w:eastAsia="宋体" w:cs="宋体"/>
          <w:b w:val="0"/>
          <w:color w:val="auto"/>
          <w:sz w:val="24"/>
          <w:szCs w:val="24"/>
          <w:highlight w:val="none"/>
        </w:rPr>
        <w:t>18. 保险</w:t>
      </w:r>
      <w:bookmarkEnd w:id="1371"/>
    </w:p>
    <w:bookmarkEnd w:id="1369"/>
    <w:p w14:paraId="2ACA67D5">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65DCF64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2FF558B">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其他保险</w:t>
      </w:r>
    </w:p>
    <w:p w14:paraId="5A03751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承包人为建设工程和施工场地内的自有人员设备及第三方生命财产办理保险并支付保险费用，费用已包含在总价内。施工期间所发生的一切与本工程有关的承包人及第三方的人员、财产等意外伤害、损失，由承包人承担全部责任和费用</w:t>
      </w:r>
      <w:r>
        <w:rPr>
          <w:rFonts w:hint="eastAsia" w:ascii="宋体" w:hAnsi="宋体" w:eastAsia="宋体" w:cs="宋体"/>
          <w:color w:val="auto"/>
          <w:sz w:val="24"/>
          <w:szCs w:val="24"/>
          <w:highlight w:val="none"/>
        </w:rPr>
        <w:t>。</w:t>
      </w:r>
    </w:p>
    <w:p w14:paraId="61D4679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是</w:t>
      </w:r>
      <w:r>
        <w:rPr>
          <w:rFonts w:hint="eastAsia" w:ascii="宋体" w:hAnsi="宋体" w:eastAsia="宋体" w:cs="宋体"/>
          <w:color w:val="auto"/>
          <w:sz w:val="24"/>
          <w:szCs w:val="24"/>
          <w:highlight w:val="none"/>
        </w:rPr>
        <w:t>。</w:t>
      </w:r>
    </w:p>
    <w:p w14:paraId="531035B4">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通知义务</w:t>
      </w:r>
    </w:p>
    <w:p w14:paraId="237EF69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关于变更保险合同时的通知义务的约定：</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bookmarkEnd w:id="1345"/>
    <w:bookmarkEnd w:id="1346"/>
    <w:bookmarkEnd w:id="1347"/>
    <w:bookmarkEnd w:id="1348"/>
    <w:bookmarkEnd w:id="1349"/>
    <w:bookmarkEnd w:id="1350"/>
    <w:bookmarkEnd w:id="1351"/>
    <w:bookmarkEnd w:id="1352"/>
    <w:bookmarkEnd w:id="1353"/>
    <w:bookmarkEnd w:id="1354"/>
    <w:bookmarkEnd w:id="1355"/>
    <w:bookmarkEnd w:id="1356"/>
    <w:p w14:paraId="45FF466A">
      <w:pPr>
        <w:pStyle w:val="6"/>
        <w:spacing w:before="120" w:after="120" w:line="360" w:lineRule="auto"/>
        <w:rPr>
          <w:rFonts w:hint="eastAsia" w:ascii="宋体" w:hAnsi="宋体" w:eastAsia="宋体" w:cs="宋体"/>
          <w:b w:val="0"/>
          <w:color w:val="auto"/>
          <w:sz w:val="24"/>
          <w:szCs w:val="24"/>
          <w:highlight w:val="none"/>
        </w:rPr>
      </w:pPr>
      <w:bookmarkStart w:id="1372" w:name="_Toc351203651"/>
      <w:r>
        <w:rPr>
          <w:rFonts w:hint="eastAsia" w:ascii="宋体" w:hAnsi="宋体" w:eastAsia="宋体" w:cs="宋体"/>
          <w:b w:val="0"/>
          <w:color w:val="auto"/>
          <w:sz w:val="24"/>
          <w:szCs w:val="24"/>
          <w:highlight w:val="none"/>
        </w:rPr>
        <w:t>19. 争议解决</w:t>
      </w:r>
      <w:bookmarkEnd w:id="1372"/>
    </w:p>
    <w:bookmarkEnd w:id="1357"/>
    <w:bookmarkEnd w:id="1358"/>
    <w:p w14:paraId="28E8ECB4">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争</w:t>
      </w:r>
      <w:bookmarkEnd w:id="1359"/>
      <w:r>
        <w:rPr>
          <w:rFonts w:hint="eastAsia" w:ascii="宋体" w:hAnsi="宋体" w:eastAsia="宋体" w:cs="宋体"/>
          <w:color w:val="auto"/>
          <w:sz w:val="24"/>
          <w:szCs w:val="24"/>
          <w:highlight w:val="none"/>
        </w:rPr>
        <w:t>议评审</w:t>
      </w:r>
    </w:p>
    <w:p w14:paraId="27B2EAC9">
      <w:pPr>
        <w:spacing w:line="500" w:lineRule="exact"/>
        <w:ind w:left="149" w:leftChars="71"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否</w:t>
      </w:r>
      <w:r>
        <w:rPr>
          <w:rFonts w:hint="eastAsia" w:ascii="宋体" w:hAnsi="宋体" w:eastAsia="宋体" w:cs="宋体"/>
          <w:color w:val="auto"/>
          <w:sz w:val="24"/>
          <w:szCs w:val="24"/>
          <w:highlight w:val="none"/>
        </w:rPr>
        <w:t xml:space="preserve">。  </w:t>
      </w:r>
    </w:p>
    <w:p w14:paraId="45734160">
      <w:pPr>
        <w:spacing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争议评审小组的确定</w:t>
      </w:r>
    </w:p>
    <w:p w14:paraId="5B85F535">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18B45BB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18D9A81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76E4891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0C2ECBB">
      <w:pPr>
        <w:autoSpaceDE w:val="0"/>
        <w:autoSpaceDN w:val="0"/>
        <w:spacing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争议评审小组的决定</w:t>
      </w:r>
    </w:p>
    <w:p w14:paraId="2A8F1B1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19003E19">
      <w:pPr>
        <w:spacing w:after="120"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仲裁或诉讼</w:t>
      </w:r>
      <w:bookmarkEnd w:id="1360"/>
    </w:p>
    <w:p w14:paraId="6597B612">
      <w:pPr>
        <w:spacing w:after="12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种方式解决：</w:t>
      </w:r>
    </w:p>
    <w:p w14:paraId="53658D4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w:t>
      </w:r>
      <w:r>
        <w:rPr>
          <w:rFonts w:hint="eastAsia" w:ascii="宋体" w:hAnsi="宋体" w:eastAsia="宋体" w:cs="宋体"/>
          <w:color w:val="auto"/>
          <w:sz w:val="24"/>
          <w:szCs w:val="24"/>
          <w:highlight w:val="none"/>
          <w:u w:val="single"/>
        </w:rPr>
        <w:t>杭州</w:t>
      </w:r>
      <w:r>
        <w:rPr>
          <w:rFonts w:hint="eastAsia" w:ascii="宋体" w:hAnsi="宋体" w:eastAsia="宋体" w:cs="宋体"/>
          <w:color w:val="auto"/>
          <w:sz w:val="24"/>
          <w:szCs w:val="24"/>
          <w:highlight w:val="none"/>
        </w:rPr>
        <w:t>仲裁委员会申请仲裁；</w:t>
      </w:r>
    </w:p>
    <w:p w14:paraId="0C88411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人民法院起诉。</w:t>
      </w:r>
      <w:bookmarkEnd w:id="1361"/>
      <w:bookmarkEnd w:id="1362"/>
      <w:bookmarkEnd w:id="1363"/>
      <w:bookmarkEnd w:id="1364"/>
      <w:bookmarkEnd w:id="1365"/>
      <w:bookmarkEnd w:id="1366"/>
    </w:p>
    <w:p w14:paraId="55D3F33B">
      <w:pPr>
        <w:pStyle w:val="6"/>
        <w:spacing w:before="120" w:after="120" w:line="5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20．其他补充事项的约定</w:t>
      </w:r>
    </w:p>
    <w:p w14:paraId="1E545292">
      <w:pPr>
        <w:spacing w:line="500" w:lineRule="exact"/>
        <w:ind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79ECDEC7">
      <w:pPr>
        <w:spacing w:line="500" w:lineRule="exact"/>
        <w:ind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2、承包人未按合同约定履行义务，造成工程质量低下、进度迟缓、管理混乱，发包人有权终止合同，没收全部履约保证金，承包人赔偿发包人因此造成的损失且依法承担相应的法律责任；对工程实施出现的质量问题，承包人未按投标报价项目名称描述施工，承包人按照发包人的要求限期无条件地进行整改，达到质量要求；因整改造成工期延误，由承包人承担一切责任。每发生一起并罚扣履约保证金总额的10%，以此类推，直至扣完。承包人收到开工报告后，立即进行开工，无正当理由不得延误开工日期，在招标人提出警告后7天仍不开工，视作违约，没收履约保证金。 </w:t>
      </w:r>
    </w:p>
    <w:p w14:paraId="2FA7169C">
      <w:pPr>
        <w:spacing w:line="500" w:lineRule="exact"/>
        <w:ind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3、项目经理及技术负责人每月在施工现场的时间按3.2.1条款约定。每月不少于24天，否则扣除违约金1000元。</w:t>
      </w:r>
    </w:p>
    <w:p w14:paraId="5E1BA53E">
      <w:pPr>
        <w:spacing w:line="500" w:lineRule="exact"/>
        <w:ind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4、安全施工、文明施工、环境保护、临时设施费四项措施费不得挪作他用，工程实施过程中根据投标文件的承诺，经监理工程师、发包人审查认可后方可计列费用。承包人应确保工程安全进行，如工程实施过程中出现四级以上（含四级）的安全事故，发包人将对承包人罚款人民币10万元；出现三级以上（含三级）的安全事故，发包人将对承包人罚款人民币20万元；所有安全事故的全部责任均由承包人承担。           </w:t>
      </w:r>
    </w:p>
    <w:p w14:paraId="7310DA93">
      <w:pPr>
        <w:spacing w:line="500" w:lineRule="exact"/>
        <w:ind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根据《中华人民共和国建筑法》、《中华人民共和国审计法》、《建设工程价款结算暂行办法》（财建〔2004〕369号）、《建设工程工程量清单计价规范》（GB50500-2013）、《浙江省政府投资项目管理办法》（省政府令第185号）、《杭州市国家建设项目审计办法》（市政府令第193号）等文件精神，结合我区实际情况，制定西政办〔2018〕63号《西湖区政府投资项目审计办法》：工程项目承包方无正当理由拒绝确认跟踪审计以及竣工结算的审计意见或初步成果超过10日的，工程项目发包人应及时向区建设局报告，由区建设局向市建设主管部门建议暂停在我市行政辖区内的工程投标资格，直至办理完毕工程竣工结算审计工作。</w:t>
      </w:r>
    </w:p>
    <w:p w14:paraId="608B7E7C">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工程设计变更、施工联系单签证和管理，按《西湖区政府投资项目工程变更管理办法（西政办【2016】99号）》、《杭州市建设工程工程量清单计价实施细则》文件相关规定执行；所有经发包人确认的工程变更所涉及工程费用调整，在竣工决算审计后按规定支付或扣除。针对本次招标范围内的内容，承包方所列措施费用不得进行调整。承包人如对工程量清单有异议，在接到中标通知书后一个月内，以书面形式向招标人提出书面核对。工程量清单的核对纪要，经招标代理机构确认并经发包人审核认可后，并入工程结算。工程量清单如有多算部分也在工程结算中按实调整。工程结算审计单位由甲方根据规定委托，工程价款结算审计相关费用参照《浙江省物价局关于进一步完善工程造价咨询服务收费的通知》（浙价服〔2009〕84号）的规定，采用基本收费和追加费用两部分组成。基本收费由甲方承担，追加费用由乙方承担。如系清单编制人的差错，则由清单编制人自行承担增加的咨询费用。人工费价差调整，按照《关于进一步加强杭州市建设工程市场要素价格动态管理的指导意见》（杭建市【2018】579号）文件有关条款执行。</w:t>
      </w:r>
    </w:p>
    <w:p w14:paraId="6260BE32">
      <w:pPr>
        <w:shd w:val="clear" w:color="auto" w:fill="FFFFFF"/>
        <w:spacing w:line="500" w:lineRule="exact"/>
        <w:ind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工程施工中所采取的必要技术措施费用，如：保证居民正常通行的临时道路和施工用施工便道；按当地社区要求及时清运土方和建筑垃圾；施工排水；生活污水临时排放设施及维护；自行发电设备等技术措施费用已计入在投标保价中，不另行增加。</w:t>
      </w:r>
    </w:p>
    <w:p w14:paraId="1C313664">
      <w:pPr>
        <w:shd w:val="clear" w:color="auto" w:fill="FFFFFF"/>
        <w:spacing w:line="50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8、文明施工及安全保证：</w:t>
      </w:r>
    </w:p>
    <w:p w14:paraId="5518D3F2">
      <w:pPr>
        <w:shd w:val="clear" w:color="auto" w:fill="FFFFFF"/>
        <w:spacing w:line="500" w:lineRule="exact"/>
        <w:ind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承包人必须严格遵守和执行中华人民共和国《安全生产法》、《建设工程安全生产条例》、《浙江省安全生产条例》等规定，应严格按杭州市建筑工程安全文明施工标准化现场管理规定的要求进行文明施工，该费用将计入</w:t>
      </w:r>
      <w:r>
        <w:rPr>
          <w:rFonts w:hint="eastAsia" w:ascii="宋体" w:hAnsi="宋体" w:eastAsia="宋体" w:cs="宋体"/>
          <w:color w:val="auto"/>
          <w:sz w:val="24"/>
          <w:szCs w:val="24"/>
          <w:highlight w:val="none"/>
          <w:u w:val="single"/>
          <w:lang w:val="en-US" w:eastAsia="zh-Hans"/>
        </w:rPr>
        <w:t>签约合同价</w:t>
      </w:r>
      <w:r>
        <w:rPr>
          <w:rFonts w:hint="eastAsia" w:ascii="宋体" w:hAnsi="宋体" w:eastAsia="宋体" w:cs="宋体"/>
          <w:color w:val="auto"/>
          <w:sz w:val="24"/>
          <w:szCs w:val="24"/>
          <w:highlight w:val="none"/>
          <w:u w:val="single"/>
        </w:rPr>
        <w:t xml:space="preserve">。在双方签订合同前，必须同时签订“安全生产协议书”。 </w:t>
      </w:r>
    </w:p>
    <w:p w14:paraId="7874AA8A">
      <w:pPr>
        <w:shd w:val="clear" w:color="auto" w:fill="FFFFFF"/>
        <w:spacing w:line="500" w:lineRule="exact"/>
        <w:ind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（2）因安全文明施工不到位，每投诉一次，扣除承包人安全文明施工保证金总额的10%，以此类推，直至扣完。</w:t>
      </w:r>
    </w:p>
    <w:p w14:paraId="6A08FFBA">
      <w:pPr>
        <w:shd w:val="clear" w:color="auto" w:fill="FFFFFF"/>
        <w:spacing w:line="500" w:lineRule="exact"/>
        <w:ind w:firstLine="48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9、竣工验收合格10日内，承包人必须清除活动用房及工棚，在清除之前不得转让他人。</w:t>
      </w:r>
    </w:p>
    <w:p w14:paraId="2464FB09">
      <w:pPr>
        <w:shd w:val="clear" w:color="auto" w:fill="FFFFFF"/>
        <w:spacing w:line="50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10、承包人应按有关法律、法规规定及时支付民工工资，不得无故拖延。</w:t>
      </w:r>
    </w:p>
    <w:p w14:paraId="5B71237D">
      <w:pPr>
        <w:spacing w:line="50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11、承包人需在工程验收前与发包人签署工程质量保修书方可申请工程验收，工程质量保修书作为施工合同附件。</w:t>
      </w:r>
    </w:p>
    <w:p w14:paraId="3572F9B1">
      <w:pPr>
        <w:spacing w:line="50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12、施工过程中的沟槽开挖修复，如产生二次修复，其费用包含在投标报价中，不另行计费。</w:t>
      </w:r>
    </w:p>
    <w:p w14:paraId="7B1C01CB">
      <w:pPr>
        <w:spacing w:line="50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13、因工程质量不符合规范要求，发包人或监理每整改通知书一次，扣除承包人质量保证金总额的10%，以此类推。工程质量整改通知书累计超过3次，发包人有权清退承包人并暂停支付进度款。</w:t>
      </w:r>
    </w:p>
    <w:p w14:paraId="68027BF4">
      <w:pPr>
        <w:spacing w:line="50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u w:val="single"/>
        </w:rPr>
        <w:t>14、</w:t>
      </w:r>
      <w:r>
        <w:rPr>
          <w:rFonts w:hint="eastAsia" w:ascii="宋体" w:hAnsi="宋体" w:eastAsia="宋体" w:cs="宋体"/>
          <w:bCs/>
          <w:color w:val="auto"/>
          <w:sz w:val="24"/>
          <w:szCs w:val="24"/>
          <w:highlight w:val="none"/>
          <w:u w:val="single"/>
        </w:rPr>
        <w:t>工资性工程款与其他工程款分账管理有关条款</w:t>
      </w:r>
    </w:p>
    <w:p w14:paraId="6A7AB923">
      <w:pPr>
        <w:spacing w:line="50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①、建设单位应在招标文件中要求投标单位按照《国务院办公厅关于全面治理拖欠农民工工资问题的意见》（国办发〔2016〕1号）要求开设民工工资专户。在工程开工前，建设单位和施工企业应签订《建设项目工程款和工资款分账管理协议》（参考附件：建设项目工程款和工资款分账管理协议），对工资专户设立和管理予以明确，并对工资性工程款占</w:t>
      </w:r>
      <w:r>
        <w:rPr>
          <w:rFonts w:hint="eastAsia" w:ascii="宋体" w:hAnsi="宋体" w:eastAsia="宋体" w:cs="宋体"/>
          <w:bCs/>
          <w:color w:val="auto"/>
          <w:sz w:val="24"/>
          <w:szCs w:val="24"/>
          <w:highlight w:val="none"/>
          <w:u w:val="single"/>
          <w:lang w:val="en-US" w:eastAsia="zh-Hans"/>
        </w:rPr>
        <w:t>签约合同价</w:t>
      </w:r>
      <w:r>
        <w:rPr>
          <w:rFonts w:hint="eastAsia" w:ascii="宋体" w:hAnsi="宋体" w:eastAsia="宋体" w:cs="宋体"/>
          <w:bCs/>
          <w:color w:val="auto"/>
          <w:sz w:val="24"/>
          <w:szCs w:val="24"/>
          <w:highlight w:val="none"/>
          <w:u w:val="single"/>
        </w:rPr>
        <w:t>的比例、支付时间、支付方式予以明确。</w:t>
      </w:r>
    </w:p>
    <w:p w14:paraId="2E1FC5CB">
      <w:pPr>
        <w:spacing w:line="50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②、施工企业应在工程项目所在地银行开设农民工工资（劳务费）专用账户，专项用于支付农民工工资。</w:t>
      </w:r>
    </w:p>
    <w:p w14:paraId="6E82E60F">
      <w:pPr>
        <w:spacing w:line="50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③、施工企业应携带工资专户开户证明及《建设项目工程款和工资款分账管理协议》报属地人力社保部门和行业行政主管部门备案（备案表格式参考附件：建设项目工程款和工资款分账管理协议备案表）。</w:t>
      </w:r>
    </w:p>
    <w:p w14:paraId="433B7493">
      <w:pPr>
        <w:spacing w:line="50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④、建设工程工资性工程款实行专款专用。工资专户资金作为专项用于建设工程农民工工资发放的保障，不得用于农民工工资以外的款项支付，资金的使用由建设单位和施工单位和开户银行共同监管。</w:t>
      </w:r>
    </w:p>
    <w:p w14:paraId="5B8ACF1C">
      <w:pPr>
        <w:spacing w:line="500" w:lineRule="exac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⑤、施工总承包企业对所承包工程的农民工工资支付负总责。</w:t>
      </w:r>
    </w:p>
    <w:p w14:paraId="262ED20E">
      <w:pPr>
        <w:spacing w:line="50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u w:val="single"/>
        </w:rPr>
        <w:t>15、</w:t>
      </w:r>
      <w:r>
        <w:rPr>
          <w:rFonts w:hint="eastAsia" w:ascii="宋体" w:hAnsi="宋体" w:eastAsia="宋体" w:cs="宋体"/>
          <w:bCs/>
          <w:color w:val="auto"/>
          <w:sz w:val="24"/>
          <w:szCs w:val="24"/>
          <w:highlight w:val="none"/>
          <w:u w:val="single"/>
        </w:rPr>
        <w:t>通知及送达</w:t>
      </w:r>
    </w:p>
    <w:p w14:paraId="5726EE1D">
      <w:pPr>
        <w:spacing w:line="50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①、双方的收件地址为</w:t>
      </w:r>
      <w:r>
        <w:rPr>
          <w:rFonts w:hint="eastAsia" w:ascii="宋体" w:hAnsi="宋体" w:eastAsia="宋体" w:cs="宋体"/>
          <w:bCs/>
          <w:color w:val="auto"/>
          <w:sz w:val="24"/>
          <w:szCs w:val="24"/>
          <w:highlight w:val="none"/>
          <w:u w:val="single"/>
          <w:lang w:val="en-US" w:eastAsia="zh-Hans"/>
        </w:rPr>
        <w:t>合同第一部分合同协议书</w:t>
      </w:r>
      <w:r>
        <w:rPr>
          <w:rFonts w:hint="eastAsia" w:ascii="宋体" w:hAnsi="宋体" w:eastAsia="宋体" w:cs="宋体"/>
          <w:bCs/>
          <w:color w:val="auto"/>
          <w:sz w:val="24"/>
          <w:szCs w:val="24"/>
          <w:highlight w:val="none"/>
          <w:u w:val="single"/>
        </w:rPr>
        <w:t>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71FDF101">
      <w:pPr>
        <w:spacing w:line="500" w:lineRule="exact"/>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②、如因任何一方约定收件地址变更后未及时通知另一方，导致另一方发出的通知无法按时送达，或者在收件地址未变更的情况下，书面通知被以任何原因退回的，视为已送达，相应责任由未及时通知约定联系方式变更的责任方承担。</w:t>
      </w:r>
    </w:p>
    <w:p w14:paraId="7631E263">
      <w:pPr>
        <w:spacing w:line="500" w:lineRule="exact"/>
        <w:rPr>
          <w:rFonts w:hint="eastAsia" w:ascii="宋体" w:hAnsi="宋体" w:eastAsia="宋体" w:cs="宋体"/>
          <w:color w:val="auto"/>
          <w:sz w:val="24"/>
          <w:szCs w:val="24"/>
          <w:highlight w:val="none"/>
        </w:rPr>
      </w:pPr>
    </w:p>
    <w:p w14:paraId="603B526E">
      <w:pPr>
        <w:spacing w:line="5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bookmarkStart w:id="1373" w:name="_Toc351203652"/>
      <w:r>
        <w:rPr>
          <w:rFonts w:hint="eastAsia" w:ascii="宋体" w:hAnsi="宋体" w:eastAsia="宋体" w:cs="宋体"/>
          <w:b/>
          <w:color w:val="auto"/>
          <w:sz w:val="24"/>
          <w:szCs w:val="24"/>
          <w:highlight w:val="none"/>
        </w:rPr>
        <w:t>附件</w:t>
      </w:r>
      <w:bookmarkEnd w:id="1373"/>
    </w:p>
    <w:p w14:paraId="09661AA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协议书附件：</w:t>
      </w:r>
    </w:p>
    <w:p w14:paraId="538E8776">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附件1：工程质量保修书</w:t>
      </w:r>
    </w:p>
    <w:p w14:paraId="056A5C0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附件2：承包人用于本工程施工的机械设备表</w:t>
      </w:r>
    </w:p>
    <w:p w14:paraId="1FF3F65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附件3：承包人主要施工管理人员表</w:t>
      </w:r>
    </w:p>
    <w:p w14:paraId="6A118A58">
      <w:pPr>
        <w:spacing w:line="500" w:lineRule="exact"/>
        <w:rPr>
          <w:rFonts w:hint="eastAsia" w:ascii="宋体" w:hAnsi="宋体" w:eastAsia="宋体" w:cs="宋体"/>
          <w:color w:val="auto"/>
          <w:sz w:val="24"/>
          <w:szCs w:val="24"/>
          <w:highlight w:val="none"/>
        </w:rPr>
        <w:sectPr>
          <w:footerReference r:id="rId8" w:type="first"/>
          <w:footerReference r:id="rId7" w:type="default"/>
          <w:pgSz w:w="11906" w:h="16838"/>
          <w:pgMar w:top="1418" w:right="1554" w:bottom="1418" w:left="1531" w:header="851" w:footer="992" w:gutter="0"/>
          <w:pgNumType w:fmt="decimal"/>
          <w:cols w:space="720" w:num="1"/>
          <w:titlePg/>
          <w:docGrid w:type="linesAndChars" w:linePitch="312" w:charSpace="0"/>
        </w:sectPr>
      </w:pPr>
    </w:p>
    <w:p w14:paraId="0C8B754B">
      <w:pPr>
        <w:spacing w:line="50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bookmarkStart w:id="1374" w:name="_Toc296891054"/>
      <w:bookmarkEnd w:id="1374"/>
      <w:bookmarkStart w:id="1375" w:name="_Toc296891266"/>
      <w:bookmarkEnd w:id="1375"/>
      <w:bookmarkStart w:id="1376" w:name="_Toc296347225"/>
      <w:bookmarkEnd w:id="1376"/>
      <w:bookmarkStart w:id="1377" w:name="_Toc296503226"/>
      <w:bookmarkEnd w:id="1377"/>
      <w:bookmarkStart w:id="1378" w:name="_Toc296346727"/>
      <w:bookmarkEnd w:id="1378"/>
      <w:bookmarkStart w:id="1379" w:name="_Toc267261693"/>
      <w:bookmarkEnd w:id="1379"/>
      <w:bookmarkStart w:id="1380" w:name="_Toc296944565"/>
      <w:r>
        <w:rPr>
          <w:rFonts w:hint="eastAsia" w:ascii="宋体" w:hAnsi="宋体" w:eastAsia="宋体" w:cs="宋体"/>
          <w:color w:val="auto"/>
          <w:sz w:val="24"/>
          <w:szCs w:val="24"/>
          <w:highlight w:val="none"/>
        </w:rPr>
        <w:t>件1：</w:t>
      </w:r>
      <w:bookmarkEnd w:id="1380"/>
      <w:r>
        <w:rPr>
          <w:rFonts w:hint="eastAsia" w:ascii="宋体" w:hAnsi="宋体" w:eastAsia="宋体" w:cs="宋体"/>
          <w:color w:val="auto"/>
          <w:sz w:val="24"/>
          <w:szCs w:val="24"/>
          <w:highlight w:val="none"/>
        </w:rPr>
        <w:t xml:space="preserve">    </w:t>
      </w:r>
    </w:p>
    <w:p w14:paraId="012634F4">
      <w:pPr>
        <w:spacing w:before="156" w:beforeLines="50" w:after="156" w:afterLines="50" w:line="500" w:lineRule="exact"/>
        <w:ind w:firstLine="6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工程质量保修书</w:t>
      </w:r>
    </w:p>
    <w:p w14:paraId="3A16419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杭州市西湖区</w:t>
      </w:r>
      <w:r>
        <w:rPr>
          <w:rFonts w:hint="eastAsia" w:ascii="宋体" w:hAnsi="宋体" w:eastAsia="宋体" w:cs="宋体"/>
          <w:color w:val="auto"/>
          <w:sz w:val="24"/>
          <w:szCs w:val="24"/>
          <w:highlight w:val="none"/>
          <w:u w:val="single"/>
          <w:lang w:val="en-US" w:eastAsia="zh-CN"/>
        </w:rPr>
        <w:t>综合行政执法局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D6DF26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承包人（全称）：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F0E13CF">
      <w:pPr>
        <w:spacing w:line="50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C1C4EE3">
      <w:pPr>
        <w:spacing w:line="50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工程</w:t>
      </w:r>
      <w:r>
        <w:rPr>
          <w:rFonts w:hint="eastAsia" w:ascii="宋体" w:hAnsi="宋体" w:eastAsia="宋体" w:cs="宋体"/>
          <w:color w:val="auto"/>
          <w:sz w:val="24"/>
          <w:szCs w:val="24"/>
          <w:highlight w:val="none"/>
        </w:rPr>
        <w:t>（工程全称）签订工程质量保修书。</w:t>
      </w:r>
    </w:p>
    <w:p w14:paraId="7FD39FF0">
      <w:pPr>
        <w:spacing w:line="50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一、工程质量保修范围和内容</w:t>
      </w:r>
    </w:p>
    <w:p w14:paraId="78A21960">
      <w:pPr>
        <w:spacing w:line="50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承包人在质量保修期内，按照有关法律规定和合同约定，承担工程质量保修责任。</w:t>
      </w:r>
    </w:p>
    <w:p w14:paraId="5D8C1D90">
      <w:pPr>
        <w:spacing w:line="50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FA9ABC1">
      <w:pPr>
        <w:spacing w:line="50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本工程承包范围内的全部工程内容 </w:t>
      </w:r>
      <w:r>
        <w:rPr>
          <w:rFonts w:hint="eastAsia" w:ascii="宋体" w:hAnsi="宋体" w:eastAsia="宋体" w:cs="宋体"/>
          <w:color w:val="auto"/>
          <w:sz w:val="24"/>
          <w:szCs w:val="24"/>
          <w:highlight w:val="none"/>
        </w:rPr>
        <w:t>。</w:t>
      </w:r>
    </w:p>
    <w:p w14:paraId="5EDF39B1">
      <w:pPr>
        <w:spacing w:line="500" w:lineRule="exact"/>
        <w:ind w:firstLine="6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二、质量保修期</w:t>
      </w:r>
    </w:p>
    <w:p w14:paraId="7CA99AF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14:paraId="5CB21B0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14:paraId="637BD1C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2．屋面防水工程、有防水要求的卫生间、房间和外墙面的防渗为</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年；</w:t>
      </w:r>
    </w:p>
    <w:p w14:paraId="30BCE43D">
      <w:pPr>
        <w:spacing w:line="500" w:lineRule="exact"/>
        <w:ind w:left="420" w:leftChars="20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年；</w:t>
      </w:r>
    </w:p>
    <w:p w14:paraId="47C72D51">
      <w:pPr>
        <w:spacing w:line="500" w:lineRule="exact"/>
        <w:ind w:left="420" w:leftChars="20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年；</w:t>
      </w:r>
    </w:p>
    <w:p w14:paraId="6286CB2B">
      <w:pPr>
        <w:spacing w:line="500" w:lineRule="exact"/>
        <w:ind w:left="420" w:leftChars="20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个采暖期、供冷期；</w:t>
      </w:r>
    </w:p>
    <w:p w14:paraId="251A96F8">
      <w:pPr>
        <w:spacing w:line="500" w:lineRule="exact"/>
        <w:ind w:left="420" w:leftChars="20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6．住宅小区内的给排水设施、道路等配套工程为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w:t>
      </w:r>
    </w:p>
    <w:p w14:paraId="4C249D55">
      <w:pPr>
        <w:spacing w:line="500" w:lineRule="exact"/>
        <w:ind w:left="420" w:leftChars="20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7．其他项目保修期限约定如下：</w:t>
      </w:r>
      <w:r>
        <w:rPr>
          <w:rFonts w:hint="eastAsia" w:ascii="宋体" w:hAnsi="宋体" w:eastAsia="宋体" w:cs="宋体"/>
          <w:color w:val="auto"/>
          <w:sz w:val="24"/>
          <w:szCs w:val="24"/>
          <w:highlight w:val="none"/>
          <w:u w:val="single"/>
        </w:rPr>
        <w:t xml:space="preserve"> 其他工程内容保修期为二年     </w:t>
      </w:r>
      <w:r>
        <w:rPr>
          <w:rFonts w:hint="eastAsia" w:ascii="宋体" w:hAnsi="宋体" w:eastAsia="宋体" w:cs="宋体"/>
          <w:color w:val="auto"/>
          <w:sz w:val="24"/>
          <w:szCs w:val="24"/>
          <w:highlight w:val="none"/>
        </w:rPr>
        <w:t>。</w:t>
      </w:r>
    </w:p>
    <w:p w14:paraId="0AC67C62">
      <w:pPr>
        <w:spacing w:line="50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质量保修期自工程竣工验收合格之日起计算。</w:t>
      </w:r>
    </w:p>
    <w:p w14:paraId="5429049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2CE1BCF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rPr>
        <w:t>个月，缺陷责任期自工程竣工验收合格之日起计算。单位工程先于全部工程进行验收，单位工程缺陷责任期自单位工程验收合格之日期起算。</w:t>
      </w:r>
    </w:p>
    <w:p w14:paraId="3AC806D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14:paraId="6CA567E2">
      <w:pPr>
        <w:spacing w:line="50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四、质量保修责任</w:t>
      </w:r>
    </w:p>
    <w:p w14:paraId="153A04EE">
      <w:pPr>
        <w:spacing w:line="500" w:lineRule="exact"/>
        <w:ind w:firstLine="576" w:firstLineChars="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14:paraId="1D2823E8">
      <w:pPr>
        <w:spacing w:line="500" w:lineRule="exact"/>
        <w:ind w:left="105" w:leftChars="5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14:paraId="6C910F4B">
      <w:pPr>
        <w:spacing w:line="500" w:lineRule="exact"/>
        <w:ind w:left="105" w:leftChars="5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A560FB2">
      <w:pPr>
        <w:spacing w:line="500" w:lineRule="exact"/>
        <w:ind w:left="420" w:leftChars="20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14:paraId="5010C316">
      <w:pPr>
        <w:spacing w:line="50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五、保修费用</w:t>
      </w:r>
    </w:p>
    <w:p w14:paraId="736DAF0F">
      <w:pPr>
        <w:spacing w:line="50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保修费用由造成质量缺陷的责任方承担。</w:t>
      </w:r>
    </w:p>
    <w:p w14:paraId="222C91B3">
      <w:pPr>
        <w:spacing w:line="500" w:lineRule="exact"/>
        <w:ind w:firstLine="602"/>
        <w:jc w:val="left"/>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六</w:t>
      </w:r>
      <w:r>
        <w:rPr>
          <w:rFonts w:hint="eastAsia" w:ascii="宋体" w:hAnsi="宋体" w:eastAsia="宋体" w:cs="宋体"/>
          <w:color w:val="auto"/>
          <w:sz w:val="24"/>
          <w:szCs w:val="24"/>
          <w:highlight w:val="none"/>
        </w:rPr>
        <w:t>、双方约定的其他工程质量保修事项：</w:t>
      </w:r>
      <w:r>
        <w:rPr>
          <w:rFonts w:hint="eastAsia" w:ascii="宋体" w:hAnsi="宋体" w:eastAsia="宋体" w:cs="宋体"/>
          <w:color w:val="auto"/>
          <w:sz w:val="24"/>
          <w:szCs w:val="24"/>
          <w:highlight w:val="none"/>
          <w:u w:val="single"/>
        </w:rPr>
        <w:t xml:space="preserve">    本工程约定的工程质量保证金为工程结算审定总造价的</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.5%，缺陷责任期满后将质量保证金返还承包人（不计利息）。承包人对相应设备的安装单位及时进行配合，提供相应的技术服务          </w:t>
      </w:r>
      <w:r>
        <w:rPr>
          <w:rFonts w:hint="eastAsia" w:ascii="宋体" w:hAnsi="宋体" w:eastAsia="宋体" w:cs="宋体"/>
          <w:color w:val="auto"/>
          <w:sz w:val="24"/>
          <w:szCs w:val="24"/>
          <w:highlight w:val="none"/>
        </w:rPr>
        <w:t>。</w:t>
      </w:r>
    </w:p>
    <w:p w14:paraId="72367FD0">
      <w:pPr>
        <w:spacing w:line="500" w:lineRule="exact"/>
        <w:ind w:firstLine="456" w:firstLineChars="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14:paraId="0AE46FDA">
      <w:pPr>
        <w:spacing w:line="50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4DF4270">
      <w:pPr>
        <w:spacing w:line="500" w:lineRule="exact"/>
        <w:ind w:firstLine="600"/>
        <w:rPr>
          <w:rFonts w:hint="eastAsia" w:ascii="宋体" w:hAnsi="宋体" w:eastAsia="宋体" w:cs="宋体"/>
          <w:color w:val="auto"/>
          <w:sz w:val="24"/>
          <w:szCs w:val="24"/>
          <w:highlight w:val="none"/>
        </w:rPr>
      </w:pPr>
    </w:p>
    <w:p w14:paraId="22BAF92D">
      <w:pPr>
        <w:keepNext w:val="0"/>
        <w:keepLines w:val="0"/>
        <w:widowControl w:val="0"/>
        <w:suppressLineNumbers w:val="0"/>
        <w:autoSpaceDE w:val="0"/>
        <w:autoSpaceDN w:val="0"/>
        <w:adjustRightInd w:val="0"/>
        <w:spacing w:before="0" w:beforeAutospacing="0" w:after="0" w:afterAutospacing="0" w:line="360" w:lineRule="auto"/>
        <w:ind w:left="0" w:right="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发包人(公章)：                 承包人(公章)： </w:t>
      </w:r>
    </w:p>
    <w:p w14:paraId="2DE52A64">
      <w:pPr>
        <w:keepNext w:val="0"/>
        <w:keepLines w:val="0"/>
        <w:widowControl w:val="0"/>
        <w:suppressLineNumbers w:val="0"/>
        <w:autoSpaceDE w:val="0"/>
        <w:autoSpaceDN w:val="0"/>
        <w:adjustRightInd w:val="0"/>
        <w:spacing w:before="0" w:beforeAutospacing="0" w:after="0" w:afterAutospacing="0" w:line="360" w:lineRule="auto"/>
        <w:ind w:left="0" w:right="0" w:firstLine="240" w:firstLineChars="1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lang w:val="en-US" w:eastAsia="zh-CN" w:bidi="ar"/>
        </w:rPr>
        <w:t>法定代表人(签字)：</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法定代表人(签字)：</w:t>
      </w:r>
      <w:r>
        <w:rPr>
          <w:rFonts w:hint="eastAsia" w:ascii="宋体" w:hAnsi="宋体" w:eastAsia="宋体" w:cs="宋体"/>
          <w:color w:val="auto"/>
          <w:kern w:val="0"/>
          <w:sz w:val="24"/>
          <w:szCs w:val="24"/>
          <w:highlight w:val="none"/>
          <w:u w:val="single"/>
          <w:lang w:val="en-US" w:eastAsia="zh-CN" w:bidi="ar"/>
        </w:rPr>
        <w:t xml:space="preserve">             </w:t>
      </w:r>
    </w:p>
    <w:p w14:paraId="4529163E">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地  址：</w:t>
      </w:r>
      <w:r>
        <w:rPr>
          <w:rFonts w:hint="eastAsia" w:ascii="宋体" w:hAnsi="宋体" w:eastAsia="宋体" w:cs="宋体"/>
          <w:color w:val="auto"/>
          <w:kern w:val="0"/>
          <w:sz w:val="24"/>
          <w:szCs w:val="24"/>
          <w:highlight w:val="none"/>
          <w:u w:val="single"/>
          <w:lang w:val="en-US" w:eastAsia="zh-CN" w:bidi="ar"/>
        </w:rPr>
        <w:t>杭州市文三西路9号</w:t>
      </w:r>
      <w:r>
        <w:rPr>
          <w:rFonts w:hint="eastAsia" w:ascii="宋体" w:hAnsi="宋体" w:eastAsia="宋体" w:cs="宋体"/>
          <w:color w:val="auto"/>
          <w:kern w:val="0"/>
          <w:sz w:val="24"/>
          <w:szCs w:val="24"/>
          <w:highlight w:val="none"/>
          <w:lang w:val="en-US" w:eastAsia="zh-CN" w:bidi="ar"/>
        </w:rPr>
        <w:t xml:space="preserve">    地  址：</w:t>
      </w:r>
      <w:r>
        <w:rPr>
          <w:rFonts w:hint="eastAsia" w:ascii="宋体" w:hAnsi="宋体" w:eastAsia="宋体" w:cs="宋体"/>
          <w:color w:val="auto"/>
          <w:kern w:val="0"/>
          <w:sz w:val="24"/>
          <w:szCs w:val="24"/>
          <w:highlight w:val="none"/>
          <w:u w:val="single"/>
          <w:lang w:val="en-US" w:eastAsia="zh-CN" w:bidi="ar"/>
        </w:rPr>
        <w:t xml:space="preserve">                 </w:t>
      </w:r>
    </w:p>
    <w:p w14:paraId="117D6989">
      <w:pPr>
        <w:keepNext w:val="0"/>
        <w:keepLines w:val="0"/>
        <w:widowControl w:val="0"/>
        <w:suppressLineNumbers w:val="0"/>
        <w:autoSpaceDE w:val="0"/>
        <w:autoSpaceDN w:val="0"/>
        <w:adjustRightInd w:val="0"/>
        <w:spacing w:before="0" w:beforeAutospacing="0" w:after="0" w:afterAutospacing="0" w:line="360" w:lineRule="auto"/>
        <w:ind w:left="0" w:right="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电  话：</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电  话：</w:t>
      </w:r>
      <w:r>
        <w:rPr>
          <w:rFonts w:hint="eastAsia" w:ascii="宋体" w:hAnsi="宋体" w:eastAsia="宋体" w:cs="宋体"/>
          <w:color w:val="auto"/>
          <w:kern w:val="0"/>
          <w:sz w:val="24"/>
          <w:szCs w:val="24"/>
          <w:highlight w:val="none"/>
          <w:u w:val="single"/>
          <w:lang w:val="en-US" w:eastAsia="zh-CN" w:bidi="ar"/>
        </w:rPr>
        <w:t xml:space="preserve">               </w:t>
      </w:r>
    </w:p>
    <w:p w14:paraId="38EE17FA">
      <w:pPr>
        <w:keepNext w:val="0"/>
        <w:keepLines w:val="0"/>
        <w:widowControl w:val="0"/>
        <w:suppressLineNumbers w:val="0"/>
        <w:autoSpaceDE w:val="0"/>
        <w:autoSpaceDN w:val="0"/>
        <w:adjustRightInd w:val="0"/>
        <w:spacing w:before="0" w:beforeAutospacing="0" w:after="0" w:afterAutospacing="0" w:line="360" w:lineRule="auto"/>
        <w:ind w:left="0" w:right="0"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传 真：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传  真  </w:t>
      </w:r>
      <w:r>
        <w:rPr>
          <w:rFonts w:hint="eastAsia" w:ascii="宋体" w:hAnsi="宋体" w:eastAsia="宋体" w:cs="宋体"/>
          <w:color w:val="auto"/>
          <w:kern w:val="0"/>
          <w:sz w:val="24"/>
          <w:szCs w:val="24"/>
          <w:highlight w:val="none"/>
          <w:u w:val="single"/>
          <w:lang w:val="en-US" w:eastAsia="zh-CN" w:bidi="ar"/>
        </w:rPr>
        <w:t xml:space="preserve">                      </w:t>
      </w:r>
    </w:p>
    <w:p w14:paraId="0B35DD23">
      <w:pPr>
        <w:keepNext w:val="0"/>
        <w:keepLines w:val="0"/>
        <w:widowControl w:val="0"/>
        <w:suppressLineNumbers w:val="0"/>
        <w:autoSpaceDE w:val="0"/>
        <w:autoSpaceDN w:val="0"/>
        <w:adjustRightInd w:val="0"/>
        <w:spacing w:before="0" w:beforeAutospacing="0" w:after="0" w:afterAutospacing="0" w:line="360" w:lineRule="auto"/>
        <w:ind w:left="0" w:right="0" w:firstLine="240" w:firstLineChars="1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lang w:val="en-US" w:eastAsia="zh-CN" w:bidi="ar"/>
        </w:rPr>
        <w:t xml:space="preserve">开户银行： </w:t>
      </w:r>
      <w:r>
        <w:rPr>
          <w:rFonts w:hint="eastAsia" w:ascii="宋体" w:hAnsi="宋体" w:eastAsia="宋体" w:cs="宋体"/>
          <w:color w:val="auto"/>
          <w:kern w:val="0"/>
          <w:sz w:val="24"/>
          <w:szCs w:val="24"/>
          <w:highlight w:val="none"/>
          <w:u w:val="single"/>
          <w:lang w:val="en-US" w:eastAsia="zh-CN" w:bidi="ar"/>
        </w:rPr>
        <w:t>杭州银行西湖区支行</w:t>
      </w:r>
      <w:r>
        <w:rPr>
          <w:rFonts w:hint="eastAsia" w:ascii="宋体" w:hAnsi="宋体" w:eastAsia="宋体" w:cs="宋体"/>
          <w:color w:val="auto"/>
          <w:kern w:val="0"/>
          <w:sz w:val="24"/>
          <w:szCs w:val="24"/>
          <w:highlight w:val="none"/>
          <w:lang w:val="en-US" w:eastAsia="zh-CN" w:bidi="ar"/>
        </w:rPr>
        <w:t xml:space="preserve">  开户银行;</w:t>
      </w:r>
      <w:r>
        <w:rPr>
          <w:rFonts w:hint="eastAsia" w:ascii="宋体" w:hAnsi="宋体" w:eastAsia="宋体" w:cs="宋体"/>
          <w:color w:val="auto"/>
          <w:kern w:val="0"/>
          <w:sz w:val="24"/>
          <w:szCs w:val="24"/>
          <w:highlight w:val="none"/>
          <w:u w:val="single"/>
          <w:lang w:val="en-US" w:eastAsia="zh-CN" w:bidi="ar"/>
        </w:rPr>
        <w:t xml:space="preserve">            </w:t>
      </w:r>
    </w:p>
    <w:p w14:paraId="68548F69">
      <w:pPr>
        <w:keepNext w:val="0"/>
        <w:keepLines w:val="0"/>
        <w:widowControl w:val="0"/>
        <w:suppressLineNumbers w:val="0"/>
        <w:autoSpaceDE w:val="0"/>
        <w:autoSpaceDN w:val="0"/>
        <w:adjustRightInd w:val="0"/>
        <w:spacing w:before="0" w:beforeAutospacing="0" w:after="0" w:afterAutospacing="0" w:line="360" w:lineRule="auto"/>
        <w:ind w:left="0" w:right="0" w:firstLine="240" w:firstLineChars="1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账  号：</w:t>
      </w:r>
      <w:r>
        <w:rPr>
          <w:rFonts w:hint="eastAsia" w:ascii="宋体" w:hAnsi="宋体" w:eastAsia="宋体" w:cs="宋体"/>
          <w:color w:val="auto"/>
          <w:kern w:val="0"/>
          <w:sz w:val="24"/>
          <w:szCs w:val="24"/>
          <w:highlight w:val="none"/>
          <w:u w:val="single"/>
          <w:lang w:val="en-US" w:eastAsia="zh-CN" w:bidi="ar"/>
        </w:rPr>
        <w:t xml:space="preserve"> 77088100000715-0026</w:t>
      </w:r>
      <w:r>
        <w:rPr>
          <w:rFonts w:hint="eastAsia" w:ascii="宋体" w:hAnsi="宋体" w:eastAsia="宋体" w:cs="宋体"/>
          <w:color w:val="auto"/>
          <w:kern w:val="0"/>
          <w:sz w:val="24"/>
          <w:szCs w:val="24"/>
          <w:highlight w:val="none"/>
          <w:lang w:val="en-US" w:eastAsia="zh-CN" w:bidi="ar"/>
        </w:rPr>
        <w:t xml:space="preserve">   账  号：</w:t>
      </w:r>
      <w:r>
        <w:rPr>
          <w:rFonts w:hint="eastAsia" w:ascii="宋体" w:hAnsi="宋体" w:eastAsia="宋体" w:cs="宋体"/>
          <w:color w:val="auto"/>
          <w:kern w:val="0"/>
          <w:sz w:val="24"/>
          <w:szCs w:val="24"/>
          <w:highlight w:val="none"/>
          <w:u w:val="single"/>
          <w:lang w:val="en-US" w:eastAsia="zh-CN" w:bidi="ar"/>
        </w:rPr>
        <w:t xml:space="preserve">             </w:t>
      </w:r>
    </w:p>
    <w:p w14:paraId="46B29057">
      <w:pPr>
        <w:keepNext w:val="0"/>
        <w:keepLines w:val="0"/>
        <w:widowControl w:val="0"/>
        <w:suppressLineNumbers w:val="0"/>
        <w:autoSpaceDE w:val="0"/>
        <w:autoSpaceDN w:val="0"/>
        <w:adjustRightInd w:val="0"/>
        <w:spacing w:before="0" w:beforeAutospacing="0" w:after="0" w:afterAutospacing="0" w:line="360" w:lineRule="auto"/>
        <w:ind w:left="0" w:right="0" w:firstLine="240" w:firstLineChars="10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lang w:val="en-US" w:eastAsia="zh-CN" w:bidi="ar"/>
        </w:rPr>
        <w:t>邮政编码：</w:t>
      </w:r>
      <w:r>
        <w:rPr>
          <w:rFonts w:hint="eastAsia" w:ascii="宋体" w:hAnsi="宋体" w:eastAsia="宋体" w:cs="宋体"/>
          <w:color w:val="auto"/>
          <w:kern w:val="0"/>
          <w:sz w:val="24"/>
          <w:szCs w:val="24"/>
          <w:highlight w:val="none"/>
          <w:u w:val="single"/>
          <w:lang w:val="en-US" w:eastAsia="zh-CN" w:bidi="ar"/>
        </w:rPr>
        <w:t xml:space="preserve">310000         </w:t>
      </w:r>
      <w:r>
        <w:rPr>
          <w:rFonts w:hint="eastAsia" w:ascii="宋体" w:hAnsi="宋体" w:eastAsia="宋体" w:cs="宋体"/>
          <w:color w:val="auto"/>
          <w:kern w:val="0"/>
          <w:sz w:val="24"/>
          <w:szCs w:val="24"/>
          <w:highlight w:val="none"/>
          <w:lang w:val="en-US" w:eastAsia="zh-CN" w:bidi="ar"/>
        </w:rPr>
        <w:t xml:space="preserve">    邮政编码：</w:t>
      </w:r>
      <w:r>
        <w:rPr>
          <w:rFonts w:hint="eastAsia" w:ascii="宋体" w:hAnsi="宋体" w:eastAsia="宋体" w:cs="宋体"/>
          <w:color w:val="auto"/>
          <w:kern w:val="0"/>
          <w:sz w:val="24"/>
          <w:szCs w:val="24"/>
          <w:highlight w:val="none"/>
          <w:u w:val="single"/>
          <w:lang w:val="en-US" w:eastAsia="zh-CN" w:bidi="ar"/>
        </w:rPr>
        <w:t xml:space="preserve">         </w:t>
      </w:r>
    </w:p>
    <w:p w14:paraId="3AA18F1D">
      <w:pPr>
        <w:spacing w:line="500" w:lineRule="exact"/>
        <w:ind w:firstLine="600"/>
        <w:rPr>
          <w:rFonts w:hint="eastAsia" w:ascii="宋体" w:hAnsi="宋体" w:eastAsia="宋体" w:cs="宋体"/>
          <w:color w:val="auto"/>
          <w:sz w:val="24"/>
          <w:szCs w:val="24"/>
          <w:highlight w:val="none"/>
        </w:rPr>
      </w:pPr>
    </w:p>
    <w:p w14:paraId="6106EEEA">
      <w:pPr>
        <w:spacing w:line="500" w:lineRule="exact"/>
        <w:ind w:firstLine="600"/>
        <w:rPr>
          <w:rFonts w:hint="eastAsia" w:ascii="宋体" w:hAnsi="宋体" w:eastAsia="宋体" w:cs="宋体"/>
          <w:color w:val="auto"/>
          <w:sz w:val="24"/>
          <w:szCs w:val="24"/>
          <w:highlight w:val="none"/>
        </w:rPr>
      </w:pPr>
    </w:p>
    <w:p w14:paraId="14439A82">
      <w:pPr>
        <w:spacing w:line="500" w:lineRule="exact"/>
        <w:ind w:firstLine="600"/>
        <w:rPr>
          <w:rFonts w:hint="eastAsia" w:ascii="宋体" w:hAnsi="宋体" w:eastAsia="宋体" w:cs="宋体"/>
          <w:color w:val="auto"/>
          <w:sz w:val="24"/>
          <w:szCs w:val="24"/>
          <w:highlight w:val="none"/>
        </w:rPr>
      </w:pPr>
    </w:p>
    <w:p w14:paraId="1ECB73E1">
      <w:pPr>
        <w:spacing w:line="50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bookmarkStart w:id="1381" w:name="_Toc296503227"/>
      <w:bookmarkEnd w:id="1381"/>
      <w:bookmarkStart w:id="1382" w:name="_Toc296944566"/>
      <w:bookmarkEnd w:id="1382"/>
      <w:bookmarkStart w:id="1383" w:name="_Toc267261698"/>
      <w:bookmarkEnd w:id="1383"/>
      <w:bookmarkStart w:id="1384" w:name="_Toc296346728"/>
      <w:bookmarkEnd w:id="1384"/>
      <w:bookmarkStart w:id="1385" w:name="_Toc296891055"/>
      <w:bookmarkEnd w:id="1385"/>
      <w:bookmarkStart w:id="1386" w:name="_Toc296347226"/>
      <w:bookmarkEnd w:id="1386"/>
      <w:bookmarkStart w:id="1387" w:name="_Toc296891267"/>
      <w:r>
        <w:rPr>
          <w:rFonts w:hint="eastAsia" w:ascii="宋体" w:hAnsi="宋体" w:eastAsia="宋体" w:cs="宋体"/>
          <w:color w:val="auto"/>
          <w:sz w:val="24"/>
          <w:szCs w:val="24"/>
          <w:highlight w:val="none"/>
        </w:rPr>
        <w:t>件2：</w:t>
      </w:r>
      <w:bookmarkEnd w:id="1387"/>
    </w:p>
    <w:p w14:paraId="2D16EDCC">
      <w:pPr>
        <w:spacing w:before="156" w:beforeLines="50" w:after="156" w:afterLines="50" w:line="500" w:lineRule="exact"/>
        <w:ind w:firstLine="6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承包人用于本工程施工的机械设备表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563"/>
        <w:gridCol w:w="992"/>
        <w:gridCol w:w="771"/>
        <w:gridCol w:w="880"/>
        <w:gridCol w:w="1020"/>
        <w:gridCol w:w="1480"/>
        <w:gridCol w:w="1020"/>
        <w:gridCol w:w="921"/>
      </w:tblGrid>
      <w:tr w14:paraId="1C2CB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50148846">
            <w:pPr>
              <w:pStyle w:val="24"/>
              <w:keepNext/>
              <w:spacing w:after="0"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563" w:type="dxa"/>
            <w:tcBorders>
              <w:top w:val="single" w:color="auto" w:sz="12" w:space="0"/>
              <w:left w:val="single" w:color="auto" w:sz="6" w:space="0"/>
              <w:bottom w:val="double" w:color="auto" w:sz="2" w:space="0"/>
              <w:right w:val="single" w:color="auto" w:sz="6" w:space="0"/>
            </w:tcBorders>
            <w:noWrap w:val="0"/>
            <w:vAlign w:val="center"/>
          </w:tcPr>
          <w:p w14:paraId="23A0BFE9">
            <w:pPr>
              <w:pStyle w:val="24"/>
              <w:keepNext/>
              <w:spacing w:after="0"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机械或设备名称</w:t>
            </w:r>
          </w:p>
        </w:tc>
        <w:tc>
          <w:tcPr>
            <w:tcW w:w="992" w:type="dxa"/>
            <w:tcBorders>
              <w:top w:val="single" w:color="auto" w:sz="12" w:space="0"/>
              <w:left w:val="single" w:color="auto" w:sz="6" w:space="0"/>
              <w:bottom w:val="double" w:color="auto" w:sz="2" w:space="0"/>
              <w:right w:val="single" w:color="auto" w:sz="6" w:space="0"/>
            </w:tcBorders>
            <w:noWrap w:val="0"/>
            <w:vAlign w:val="center"/>
          </w:tcPr>
          <w:p w14:paraId="0527DDA6">
            <w:pPr>
              <w:pStyle w:val="24"/>
              <w:keepNext/>
              <w:spacing w:after="0"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规格型号</w:t>
            </w:r>
          </w:p>
        </w:tc>
        <w:tc>
          <w:tcPr>
            <w:tcW w:w="771" w:type="dxa"/>
            <w:tcBorders>
              <w:top w:val="single" w:color="auto" w:sz="12" w:space="0"/>
              <w:left w:val="single" w:color="auto" w:sz="6" w:space="0"/>
              <w:bottom w:val="double" w:color="auto" w:sz="2" w:space="0"/>
              <w:right w:val="single" w:color="auto" w:sz="6" w:space="0"/>
            </w:tcBorders>
            <w:noWrap w:val="0"/>
            <w:vAlign w:val="center"/>
          </w:tcPr>
          <w:p w14:paraId="344A1003">
            <w:pPr>
              <w:pStyle w:val="24"/>
              <w:keepNext/>
              <w:spacing w:after="0"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0A199D0B">
            <w:pPr>
              <w:pStyle w:val="24"/>
              <w:keepNext/>
              <w:spacing w:after="0"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63F748CA">
            <w:pPr>
              <w:pStyle w:val="24"/>
              <w:keepNext/>
              <w:spacing w:after="0"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制造年份</w:t>
            </w:r>
          </w:p>
        </w:tc>
        <w:tc>
          <w:tcPr>
            <w:tcW w:w="1480" w:type="dxa"/>
            <w:tcBorders>
              <w:top w:val="single" w:color="auto" w:sz="12" w:space="0"/>
              <w:left w:val="single" w:color="auto" w:sz="6" w:space="0"/>
              <w:bottom w:val="double" w:color="auto" w:sz="2" w:space="0"/>
              <w:right w:val="single" w:color="auto" w:sz="6" w:space="0"/>
            </w:tcBorders>
            <w:noWrap w:val="0"/>
            <w:vAlign w:val="center"/>
          </w:tcPr>
          <w:p w14:paraId="2F5F98FA">
            <w:pPr>
              <w:pStyle w:val="24"/>
              <w:keepNext/>
              <w:spacing w:after="0"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额定功率(kW)</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01DB719F">
            <w:pPr>
              <w:pStyle w:val="24"/>
              <w:keepNext/>
              <w:spacing w:after="0"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生产能力</w:t>
            </w:r>
          </w:p>
        </w:tc>
        <w:tc>
          <w:tcPr>
            <w:tcW w:w="921" w:type="dxa"/>
            <w:tcBorders>
              <w:top w:val="single" w:color="auto" w:sz="12" w:space="0"/>
              <w:left w:val="single" w:color="auto" w:sz="6" w:space="0"/>
              <w:bottom w:val="double" w:color="auto" w:sz="2" w:space="0"/>
              <w:right w:val="single" w:color="auto" w:sz="12" w:space="0"/>
            </w:tcBorders>
            <w:noWrap w:val="0"/>
            <w:vAlign w:val="center"/>
          </w:tcPr>
          <w:p w14:paraId="04D4D66E">
            <w:pPr>
              <w:pStyle w:val="24"/>
              <w:keepNext/>
              <w:spacing w:after="0"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1D71E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0AAFE496">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63" w:type="dxa"/>
            <w:tcBorders>
              <w:top w:val="double" w:color="auto" w:sz="2" w:space="0"/>
              <w:left w:val="single" w:color="auto" w:sz="6" w:space="0"/>
              <w:bottom w:val="single" w:color="auto" w:sz="6" w:space="0"/>
              <w:right w:val="single" w:color="auto" w:sz="6" w:space="0"/>
            </w:tcBorders>
            <w:noWrap w:val="0"/>
            <w:vAlign w:val="center"/>
          </w:tcPr>
          <w:p w14:paraId="49024F0F">
            <w:pPr>
              <w:autoSpaceDE w:val="0"/>
              <w:autoSpaceDN w:val="0"/>
              <w:jc w:val="both"/>
              <w:rPr>
                <w:rFonts w:hint="eastAsia" w:ascii="宋体" w:hAnsi="宋体" w:eastAsia="宋体" w:cs="宋体"/>
                <w:b/>
                <w:bCs/>
                <w:color w:val="auto"/>
                <w:sz w:val="24"/>
                <w:szCs w:val="24"/>
                <w:highlight w:val="none"/>
              </w:rPr>
            </w:pPr>
          </w:p>
        </w:tc>
        <w:tc>
          <w:tcPr>
            <w:tcW w:w="992" w:type="dxa"/>
            <w:tcBorders>
              <w:top w:val="double" w:color="auto" w:sz="2" w:space="0"/>
              <w:left w:val="single" w:color="auto" w:sz="6" w:space="0"/>
              <w:bottom w:val="single" w:color="auto" w:sz="6" w:space="0"/>
              <w:right w:val="single" w:color="auto" w:sz="6" w:space="0"/>
            </w:tcBorders>
            <w:noWrap w:val="0"/>
            <w:vAlign w:val="center"/>
          </w:tcPr>
          <w:p w14:paraId="790CAE0D">
            <w:pPr>
              <w:autoSpaceDE w:val="0"/>
              <w:autoSpaceDN w:val="0"/>
              <w:jc w:val="center"/>
              <w:rPr>
                <w:rFonts w:hint="eastAsia" w:ascii="宋体" w:hAnsi="宋体" w:eastAsia="宋体" w:cs="宋体"/>
                <w:b/>
                <w:bCs/>
                <w:color w:val="auto"/>
                <w:sz w:val="24"/>
                <w:szCs w:val="24"/>
                <w:highlight w:val="none"/>
                <w:lang w:val="en-US" w:eastAsia="zh-CN"/>
              </w:rPr>
            </w:pPr>
          </w:p>
        </w:tc>
        <w:tc>
          <w:tcPr>
            <w:tcW w:w="771" w:type="dxa"/>
            <w:tcBorders>
              <w:top w:val="double" w:color="auto" w:sz="2" w:space="0"/>
              <w:left w:val="single" w:color="auto" w:sz="6" w:space="0"/>
              <w:bottom w:val="single" w:color="auto" w:sz="6" w:space="0"/>
              <w:right w:val="single" w:color="auto" w:sz="6" w:space="0"/>
            </w:tcBorders>
            <w:noWrap w:val="0"/>
            <w:vAlign w:val="center"/>
          </w:tcPr>
          <w:p w14:paraId="69802830">
            <w:pPr>
              <w:autoSpaceDE w:val="0"/>
              <w:autoSpaceDN w:val="0"/>
              <w:jc w:val="center"/>
              <w:rPr>
                <w:rFonts w:hint="eastAsia" w:ascii="宋体" w:hAnsi="宋体" w:eastAsia="宋体" w:cs="宋体"/>
                <w:b/>
                <w:bCs/>
                <w:color w:val="auto"/>
                <w:sz w:val="24"/>
                <w:szCs w:val="24"/>
                <w:highlight w:val="none"/>
                <w:lang w:val="en-US" w:eastAsia="zh-CN"/>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43760A82">
            <w:pPr>
              <w:autoSpaceDE w:val="0"/>
              <w:autoSpaceDN w:val="0"/>
              <w:jc w:val="center"/>
              <w:rPr>
                <w:rFonts w:hint="eastAsia" w:ascii="宋体" w:hAnsi="宋体" w:eastAsia="宋体" w:cs="宋体"/>
                <w:b/>
                <w:bCs/>
                <w:color w:val="auto"/>
                <w:sz w:val="24"/>
                <w:szCs w:val="24"/>
                <w:highlight w:val="none"/>
                <w:lang w:val="en-US" w:eastAsia="zh-CN"/>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51C58471">
            <w:pPr>
              <w:autoSpaceDE w:val="0"/>
              <w:autoSpaceDN w:val="0"/>
              <w:jc w:val="center"/>
              <w:rPr>
                <w:rFonts w:hint="eastAsia" w:ascii="宋体" w:hAnsi="宋体" w:eastAsia="宋体" w:cs="宋体"/>
                <w:b/>
                <w:bCs/>
                <w:color w:val="auto"/>
                <w:sz w:val="24"/>
                <w:szCs w:val="24"/>
                <w:highlight w:val="none"/>
              </w:rPr>
            </w:pPr>
          </w:p>
        </w:tc>
        <w:tc>
          <w:tcPr>
            <w:tcW w:w="1480" w:type="dxa"/>
            <w:tcBorders>
              <w:top w:val="double" w:color="auto" w:sz="2" w:space="0"/>
              <w:left w:val="single" w:color="auto" w:sz="6" w:space="0"/>
              <w:bottom w:val="single" w:color="auto" w:sz="6" w:space="0"/>
              <w:right w:val="single" w:color="auto" w:sz="6" w:space="0"/>
            </w:tcBorders>
            <w:noWrap w:val="0"/>
            <w:vAlign w:val="center"/>
          </w:tcPr>
          <w:p w14:paraId="2D904BA9">
            <w:pPr>
              <w:autoSpaceDE w:val="0"/>
              <w:autoSpaceDN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c>
          <w:tcPr>
            <w:tcW w:w="1020" w:type="dxa"/>
            <w:tcBorders>
              <w:top w:val="double" w:color="auto" w:sz="2" w:space="0"/>
              <w:left w:val="single" w:color="auto" w:sz="6" w:space="0"/>
              <w:bottom w:val="single" w:color="auto" w:sz="6" w:space="0"/>
              <w:right w:val="single" w:color="auto" w:sz="6" w:space="0"/>
            </w:tcBorders>
            <w:noWrap w:val="0"/>
            <w:vAlign w:val="center"/>
          </w:tcPr>
          <w:p w14:paraId="68A6D4B1">
            <w:pPr>
              <w:autoSpaceDE w:val="0"/>
              <w:autoSpaceDN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21" w:type="dxa"/>
            <w:tcBorders>
              <w:top w:val="double" w:color="auto" w:sz="2" w:space="0"/>
              <w:left w:val="single" w:color="auto" w:sz="6" w:space="0"/>
              <w:bottom w:val="single" w:color="auto" w:sz="6" w:space="0"/>
              <w:right w:val="single" w:color="auto" w:sz="12" w:space="0"/>
            </w:tcBorders>
            <w:noWrap w:val="0"/>
            <w:vAlign w:val="center"/>
          </w:tcPr>
          <w:p w14:paraId="3D0062F3">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45ED2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2DEA11D3">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63" w:type="dxa"/>
            <w:tcBorders>
              <w:top w:val="nil"/>
              <w:left w:val="single" w:color="auto" w:sz="6" w:space="0"/>
              <w:bottom w:val="single" w:color="auto" w:sz="6" w:space="0"/>
              <w:right w:val="single" w:color="auto" w:sz="6" w:space="0"/>
            </w:tcBorders>
            <w:noWrap w:val="0"/>
            <w:vAlign w:val="center"/>
          </w:tcPr>
          <w:p w14:paraId="3DAAA215">
            <w:pPr>
              <w:autoSpaceDE w:val="0"/>
              <w:autoSpaceDN w:val="0"/>
              <w:jc w:val="center"/>
              <w:rPr>
                <w:rFonts w:hint="eastAsia" w:ascii="宋体" w:hAnsi="宋体" w:eastAsia="宋体" w:cs="宋体"/>
                <w:b/>
                <w:bCs/>
                <w:color w:val="auto"/>
                <w:sz w:val="24"/>
                <w:szCs w:val="24"/>
                <w:highlight w:val="none"/>
                <w:lang w:val="en-US" w:eastAsia="zh-CN"/>
              </w:rPr>
            </w:pPr>
          </w:p>
        </w:tc>
        <w:tc>
          <w:tcPr>
            <w:tcW w:w="992" w:type="dxa"/>
            <w:tcBorders>
              <w:top w:val="nil"/>
              <w:left w:val="single" w:color="auto" w:sz="6" w:space="0"/>
              <w:bottom w:val="single" w:color="auto" w:sz="6" w:space="0"/>
              <w:right w:val="single" w:color="auto" w:sz="6" w:space="0"/>
            </w:tcBorders>
            <w:noWrap w:val="0"/>
            <w:vAlign w:val="center"/>
          </w:tcPr>
          <w:p w14:paraId="559AF389">
            <w:pPr>
              <w:autoSpaceDE w:val="0"/>
              <w:autoSpaceDN w:val="0"/>
              <w:jc w:val="center"/>
              <w:rPr>
                <w:rFonts w:hint="eastAsia" w:ascii="宋体" w:hAnsi="宋体" w:eastAsia="宋体" w:cs="宋体"/>
                <w:b/>
                <w:bCs/>
                <w:color w:val="auto"/>
                <w:sz w:val="24"/>
                <w:szCs w:val="24"/>
                <w:highlight w:val="none"/>
              </w:rPr>
            </w:pPr>
          </w:p>
        </w:tc>
        <w:tc>
          <w:tcPr>
            <w:tcW w:w="771" w:type="dxa"/>
            <w:tcBorders>
              <w:top w:val="nil"/>
              <w:left w:val="single" w:color="auto" w:sz="6" w:space="0"/>
              <w:bottom w:val="single" w:color="auto" w:sz="6" w:space="0"/>
              <w:right w:val="single" w:color="auto" w:sz="6" w:space="0"/>
            </w:tcBorders>
            <w:noWrap w:val="0"/>
            <w:vAlign w:val="center"/>
          </w:tcPr>
          <w:p w14:paraId="2CE1BEF2">
            <w:pPr>
              <w:autoSpaceDE w:val="0"/>
              <w:autoSpaceDN w:val="0"/>
              <w:jc w:val="center"/>
              <w:rPr>
                <w:rFonts w:hint="eastAsia" w:ascii="宋体" w:hAnsi="宋体" w:eastAsia="宋体" w:cs="宋体"/>
                <w:b/>
                <w:bCs/>
                <w:color w:val="auto"/>
                <w:sz w:val="24"/>
                <w:szCs w:val="24"/>
                <w:highlight w:val="none"/>
                <w:lang w:val="en-US" w:eastAsia="zh-CN"/>
              </w:rPr>
            </w:pPr>
          </w:p>
        </w:tc>
        <w:tc>
          <w:tcPr>
            <w:tcW w:w="880" w:type="dxa"/>
            <w:tcBorders>
              <w:top w:val="nil"/>
              <w:left w:val="single" w:color="auto" w:sz="6" w:space="0"/>
              <w:bottom w:val="single" w:color="auto" w:sz="6" w:space="0"/>
              <w:right w:val="single" w:color="auto" w:sz="6" w:space="0"/>
            </w:tcBorders>
            <w:noWrap w:val="0"/>
            <w:vAlign w:val="center"/>
          </w:tcPr>
          <w:p w14:paraId="223B55AF">
            <w:pPr>
              <w:autoSpaceDE w:val="0"/>
              <w:autoSpaceDN w:val="0"/>
              <w:jc w:val="center"/>
              <w:rPr>
                <w:rFonts w:hint="eastAsia" w:ascii="宋体" w:hAnsi="宋体" w:eastAsia="宋体" w:cs="宋体"/>
                <w:b/>
                <w:bCs/>
                <w:color w:val="auto"/>
                <w:sz w:val="24"/>
                <w:szCs w:val="24"/>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5BBCF68F">
            <w:pPr>
              <w:autoSpaceDE w:val="0"/>
              <w:autoSpaceDN w:val="0"/>
              <w:jc w:val="center"/>
              <w:rPr>
                <w:rFonts w:hint="eastAsia" w:ascii="宋体" w:hAnsi="宋体" w:eastAsia="宋体" w:cs="宋体"/>
                <w:b/>
                <w:bCs/>
                <w:color w:val="auto"/>
                <w:sz w:val="24"/>
                <w:szCs w:val="24"/>
                <w:highlight w:val="none"/>
                <w:lang w:val="en-US" w:eastAsia="zh-CN"/>
              </w:rPr>
            </w:pPr>
          </w:p>
        </w:tc>
        <w:tc>
          <w:tcPr>
            <w:tcW w:w="1480" w:type="dxa"/>
            <w:tcBorders>
              <w:top w:val="nil"/>
              <w:left w:val="single" w:color="auto" w:sz="6" w:space="0"/>
              <w:bottom w:val="single" w:color="auto" w:sz="6" w:space="0"/>
              <w:right w:val="single" w:color="auto" w:sz="6" w:space="0"/>
            </w:tcBorders>
            <w:noWrap w:val="0"/>
            <w:vAlign w:val="center"/>
          </w:tcPr>
          <w:p w14:paraId="2E8F158B">
            <w:pPr>
              <w:autoSpaceDE w:val="0"/>
              <w:autoSpaceDN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c>
          <w:tcPr>
            <w:tcW w:w="1020" w:type="dxa"/>
            <w:tcBorders>
              <w:top w:val="nil"/>
              <w:left w:val="single" w:color="auto" w:sz="6" w:space="0"/>
              <w:bottom w:val="single" w:color="auto" w:sz="6" w:space="0"/>
              <w:right w:val="single" w:color="auto" w:sz="6" w:space="0"/>
            </w:tcBorders>
            <w:noWrap w:val="0"/>
            <w:vAlign w:val="center"/>
          </w:tcPr>
          <w:p w14:paraId="51E2FAAA">
            <w:pPr>
              <w:autoSpaceDE w:val="0"/>
              <w:autoSpaceDN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21" w:type="dxa"/>
            <w:tcBorders>
              <w:top w:val="nil"/>
              <w:left w:val="single" w:color="auto" w:sz="6" w:space="0"/>
              <w:bottom w:val="single" w:color="auto" w:sz="6" w:space="0"/>
              <w:right w:val="single" w:color="auto" w:sz="12" w:space="0"/>
            </w:tcBorders>
            <w:noWrap w:val="0"/>
            <w:vAlign w:val="center"/>
          </w:tcPr>
          <w:p w14:paraId="23A029BE">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789D8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102A7C5A">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12888E2A">
            <w:pPr>
              <w:autoSpaceDE w:val="0"/>
              <w:autoSpaceDN w:val="0"/>
              <w:jc w:val="center"/>
              <w:rPr>
                <w:rFonts w:hint="eastAsia" w:ascii="宋体" w:hAnsi="宋体" w:eastAsia="宋体" w:cs="宋体"/>
                <w:b/>
                <w:bCs/>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7AB2C0B">
            <w:pPr>
              <w:autoSpaceDE w:val="0"/>
              <w:autoSpaceDN w:val="0"/>
              <w:jc w:val="center"/>
              <w:rPr>
                <w:rFonts w:hint="eastAsia" w:ascii="宋体" w:hAnsi="宋体" w:eastAsia="宋体" w:cs="宋体"/>
                <w:b/>
                <w:bCs/>
                <w:color w:val="auto"/>
                <w:sz w:val="24"/>
                <w:szCs w:val="24"/>
                <w:highlight w:val="none"/>
              </w:rPr>
            </w:pPr>
          </w:p>
        </w:tc>
        <w:tc>
          <w:tcPr>
            <w:tcW w:w="771" w:type="dxa"/>
            <w:tcBorders>
              <w:top w:val="single" w:color="auto" w:sz="6" w:space="0"/>
              <w:left w:val="single" w:color="auto" w:sz="6" w:space="0"/>
              <w:bottom w:val="single" w:color="auto" w:sz="6" w:space="0"/>
              <w:right w:val="single" w:color="auto" w:sz="6" w:space="0"/>
            </w:tcBorders>
            <w:noWrap w:val="0"/>
            <w:vAlign w:val="center"/>
          </w:tcPr>
          <w:p w14:paraId="667BDC8E">
            <w:pPr>
              <w:autoSpaceDE w:val="0"/>
              <w:autoSpaceDN w:val="0"/>
              <w:jc w:val="center"/>
              <w:rPr>
                <w:rFonts w:hint="eastAsia" w:ascii="宋体" w:hAnsi="宋体" w:eastAsia="宋体" w:cs="宋体"/>
                <w:b/>
                <w:bCs/>
                <w:color w:val="auto"/>
                <w:sz w:val="24"/>
                <w:szCs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FB5C69C">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CBD473A">
            <w:pPr>
              <w:autoSpaceDE w:val="0"/>
              <w:autoSpaceDN w:val="0"/>
              <w:jc w:val="center"/>
              <w:rPr>
                <w:rFonts w:hint="eastAsia" w:ascii="宋体" w:hAnsi="宋体" w:eastAsia="宋体" w:cs="宋体"/>
                <w:b/>
                <w:bCs/>
                <w:color w:val="auto"/>
                <w:sz w:val="24"/>
                <w:szCs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DE41746">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5D07A8F">
            <w:pPr>
              <w:autoSpaceDE w:val="0"/>
              <w:autoSpaceDN w:val="0"/>
              <w:jc w:val="center"/>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4E904FE2">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11807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6BAFC92">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3C80A632">
            <w:pPr>
              <w:autoSpaceDE w:val="0"/>
              <w:autoSpaceDN w:val="0"/>
              <w:jc w:val="center"/>
              <w:rPr>
                <w:rFonts w:hint="eastAsia" w:ascii="宋体" w:hAnsi="宋体" w:eastAsia="宋体" w:cs="宋体"/>
                <w:b/>
                <w:bCs/>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A308488">
            <w:pPr>
              <w:autoSpaceDE w:val="0"/>
              <w:autoSpaceDN w:val="0"/>
              <w:jc w:val="center"/>
              <w:rPr>
                <w:rFonts w:hint="eastAsia" w:ascii="宋体" w:hAnsi="宋体" w:eastAsia="宋体" w:cs="宋体"/>
                <w:b/>
                <w:bCs/>
                <w:color w:val="auto"/>
                <w:sz w:val="24"/>
                <w:szCs w:val="24"/>
                <w:highlight w:val="none"/>
              </w:rPr>
            </w:pPr>
          </w:p>
        </w:tc>
        <w:tc>
          <w:tcPr>
            <w:tcW w:w="771" w:type="dxa"/>
            <w:tcBorders>
              <w:top w:val="single" w:color="auto" w:sz="6" w:space="0"/>
              <w:left w:val="single" w:color="auto" w:sz="6" w:space="0"/>
              <w:bottom w:val="single" w:color="auto" w:sz="6" w:space="0"/>
              <w:right w:val="single" w:color="auto" w:sz="6" w:space="0"/>
            </w:tcBorders>
            <w:noWrap w:val="0"/>
            <w:vAlign w:val="center"/>
          </w:tcPr>
          <w:p w14:paraId="6F26759F">
            <w:pPr>
              <w:autoSpaceDE w:val="0"/>
              <w:autoSpaceDN w:val="0"/>
              <w:jc w:val="center"/>
              <w:rPr>
                <w:rFonts w:hint="eastAsia" w:ascii="宋体" w:hAnsi="宋体" w:eastAsia="宋体" w:cs="宋体"/>
                <w:b/>
                <w:bCs/>
                <w:color w:val="auto"/>
                <w:sz w:val="24"/>
                <w:szCs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68BB953">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21D2348">
            <w:pPr>
              <w:autoSpaceDE w:val="0"/>
              <w:autoSpaceDN w:val="0"/>
              <w:jc w:val="center"/>
              <w:rPr>
                <w:rFonts w:hint="eastAsia" w:ascii="宋体" w:hAnsi="宋体" w:eastAsia="宋体" w:cs="宋体"/>
                <w:b/>
                <w:bCs/>
                <w:color w:val="auto"/>
                <w:sz w:val="24"/>
                <w:szCs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08C820B">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15CEE53">
            <w:pPr>
              <w:autoSpaceDE w:val="0"/>
              <w:autoSpaceDN w:val="0"/>
              <w:jc w:val="center"/>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45844A3D">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39909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68CF2E3">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4E4B5E73">
            <w:pPr>
              <w:autoSpaceDE w:val="0"/>
              <w:autoSpaceDN w:val="0"/>
              <w:jc w:val="center"/>
              <w:rPr>
                <w:rFonts w:hint="eastAsia" w:ascii="宋体" w:hAnsi="宋体" w:eastAsia="宋体" w:cs="宋体"/>
                <w:b/>
                <w:bCs/>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B0030F0">
            <w:pPr>
              <w:autoSpaceDE w:val="0"/>
              <w:autoSpaceDN w:val="0"/>
              <w:jc w:val="center"/>
              <w:rPr>
                <w:rFonts w:hint="eastAsia" w:ascii="宋体" w:hAnsi="宋体" w:eastAsia="宋体" w:cs="宋体"/>
                <w:b/>
                <w:bCs/>
                <w:color w:val="auto"/>
                <w:sz w:val="24"/>
                <w:szCs w:val="24"/>
                <w:highlight w:val="none"/>
              </w:rPr>
            </w:pPr>
          </w:p>
        </w:tc>
        <w:tc>
          <w:tcPr>
            <w:tcW w:w="771" w:type="dxa"/>
            <w:tcBorders>
              <w:top w:val="single" w:color="auto" w:sz="6" w:space="0"/>
              <w:left w:val="single" w:color="auto" w:sz="6" w:space="0"/>
              <w:bottom w:val="single" w:color="auto" w:sz="6" w:space="0"/>
              <w:right w:val="single" w:color="auto" w:sz="6" w:space="0"/>
            </w:tcBorders>
            <w:noWrap w:val="0"/>
            <w:vAlign w:val="center"/>
          </w:tcPr>
          <w:p w14:paraId="15538C55">
            <w:pPr>
              <w:autoSpaceDE w:val="0"/>
              <w:autoSpaceDN w:val="0"/>
              <w:jc w:val="center"/>
              <w:rPr>
                <w:rFonts w:hint="eastAsia" w:ascii="宋体" w:hAnsi="宋体" w:eastAsia="宋体" w:cs="宋体"/>
                <w:b/>
                <w:bCs/>
                <w:color w:val="auto"/>
                <w:sz w:val="24"/>
                <w:szCs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FE9763">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0053929">
            <w:pPr>
              <w:autoSpaceDE w:val="0"/>
              <w:autoSpaceDN w:val="0"/>
              <w:jc w:val="center"/>
              <w:rPr>
                <w:rFonts w:hint="eastAsia" w:ascii="宋体" w:hAnsi="宋体" w:eastAsia="宋体" w:cs="宋体"/>
                <w:b/>
                <w:bCs/>
                <w:color w:val="auto"/>
                <w:sz w:val="24"/>
                <w:szCs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2CCEF32">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DA5D86C">
            <w:pPr>
              <w:autoSpaceDE w:val="0"/>
              <w:autoSpaceDN w:val="0"/>
              <w:jc w:val="center"/>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4A0162C6">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2167A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19B22B9">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60B8CEB2">
            <w:pPr>
              <w:autoSpaceDE w:val="0"/>
              <w:autoSpaceDN w:val="0"/>
              <w:jc w:val="center"/>
              <w:rPr>
                <w:rFonts w:hint="eastAsia" w:ascii="宋体" w:hAnsi="宋体" w:eastAsia="宋体" w:cs="宋体"/>
                <w:b/>
                <w:bCs/>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049DA72">
            <w:pPr>
              <w:autoSpaceDE w:val="0"/>
              <w:autoSpaceDN w:val="0"/>
              <w:jc w:val="center"/>
              <w:rPr>
                <w:rFonts w:hint="eastAsia" w:ascii="宋体" w:hAnsi="宋体" w:eastAsia="宋体" w:cs="宋体"/>
                <w:b/>
                <w:bCs/>
                <w:color w:val="auto"/>
                <w:sz w:val="24"/>
                <w:szCs w:val="24"/>
                <w:highlight w:val="none"/>
              </w:rPr>
            </w:pPr>
          </w:p>
        </w:tc>
        <w:tc>
          <w:tcPr>
            <w:tcW w:w="771" w:type="dxa"/>
            <w:tcBorders>
              <w:top w:val="single" w:color="auto" w:sz="6" w:space="0"/>
              <w:left w:val="single" w:color="auto" w:sz="6" w:space="0"/>
              <w:bottom w:val="single" w:color="auto" w:sz="6" w:space="0"/>
              <w:right w:val="single" w:color="auto" w:sz="6" w:space="0"/>
            </w:tcBorders>
            <w:noWrap w:val="0"/>
            <w:vAlign w:val="center"/>
          </w:tcPr>
          <w:p w14:paraId="3458E90B">
            <w:pPr>
              <w:autoSpaceDE w:val="0"/>
              <w:autoSpaceDN w:val="0"/>
              <w:jc w:val="center"/>
              <w:rPr>
                <w:rFonts w:hint="eastAsia" w:ascii="宋体" w:hAnsi="宋体" w:eastAsia="宋体" w:cs="宋体"/>
                <w:b/>
                <w:bCs/>
                <w:color w:val="auto"/>
                <w:sz w:val="24"/>
                <w:szCs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376DF90">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E3D30FA">
            <w:pPr>
              <w:autoSpaceDE w:val="0"/>
              <w:autoSpaceDN w:val="0"/>
              <w:jc w:val="center"/>
              <w:rPr>
                <w:rFonts w:hint="eastAsia" w:ascii="宋体" w:hAnsi="宋体" w:eastAsia="宋体" w:cs="宋体"/>
                <w:b/>
                <w:bCs/>
                <w:color w:val="auto"/>
                <w:sz w:val="24"/>
                <w:szCs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D07F1FF">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C380BC0">
            <w:pPr>
              <w:autoSpaceDE w:val="0"/>
              <w:autoSpaceDN w:val="0"/>
              <w:jc w:val="center"/>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D9B4985">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7DC66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1C168995">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0AF8FC6E">
            <w:pPr>
              <w:autoSpaceDE w:val="0"/>
              <w:autoSpaceDN w:val="0"/>
              <w:jc w:val="center"/>
              <w:rPr>
                <w:rFonts w:hint="eastAsia" w:ascii="宋体" w:hAnsi="宋体" w:eastAsia="宋体" w:cs="宋体"/>
                <w:b/>
                <w:bCs/>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5587B02">
            <w:pPr>
              <w:autoSpaceDE w:val="0"/>
              <w:autoSpaceDN w:val="0"/>
              <w:jc w:val="center"/>
              <w:rPr>
                <w:rFonts w:hint="eastAsia" w:ascii="宋体" w:hAnsi="宋体" w:eastAsia="宋体" w:cs="宋体"/>
                <w:b/>
                <w:bCs/>
                <w:color w:val="auto"/>
                <w:sz w:val="24"/>
                <w:szCs w:val="24"/>
                <w:highlight w:val="none"/>
              </w:rPr>
            </w:pPr>
          </w:p>
        </w:tc>
        <w:tc>
          <w:tcPr>
            <w:tcW w:w="771" w:type="dxa"/>
            <w:tcBorders>
              <w:top w:val="single" w:color="auto" w:sz="6" w:space="0"/>
              <w:left w:val="single" w:color="auto" w:sz="6" w:space="0"/>
              <w:bottom w:val="single" w:color="auto" w:sz="6" w:space="0"/>
              <w:right w:val="single" w:color="auto" w:sz="6" w:space="0"/>
            </w:tcBorders>
            <w:noWrap w:val="0"/>
            <w:vAlign w:val="center"/>
          </w:tcPr>
          <w:p w14:paraId="217EF6A2">
            <w:pPr>
              <w:autoSpaceDE w:val="0"/>
              <w:autoSpaceDN w:val="0"/>
              <w:jc w:val="center"/>
              <w:rPr>
                <w:rFonts w:hint="eastAsia" w:ascii="宋体" w:hAnsi="宋体" w:eastAsia="宋体" w:cs="宋体"/>
                <w:b/>
                <w:bCs/>
                <w:color w:val="auto"/>
                <w:sz w:val="24"/>
                <w:szCs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C32869C">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2EEA3B1">
            <w:pPr>
              <w:autoSpaceDE w:val="0"/>
              <w:autoSpaceDN w:val="0"/>
              <w:jc w:val="center"/>
              <w:rPr>
                <w:rFonts w:hint="eastAsia" w:ascii="宋体" w:hAnsi="宋体" w:eastAsia="宋体" w:cs="宋体"/>
                <w:b/>
                <w:bCs/>
                <w:color w:val="auto"/>
                <w:sz w:val="24"/>
                <w:szCs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FFDEDBF">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3FC8B57">
            <w:pPr>
              <w:autoSpaceDE w:val="0"/>
              <w:autoSpaceDN w:val="0"/>
              <w:jc w:val="center"/>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C406944">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53EE6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1037613">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0555BC09">
            <w:pPr>
              <w:autoSpaceDE w:val="0"/>
              <w:autoSpaceDN w:val="0"/>
              <w:jc w:val="center"/>
              <w:rPr>
                <w:rFonts w:hint="eastAsia" w:ascii="宋体" w:hAnsi="宋体" w:eastAsia="宋体" w:cs="宋体"/>
                <w:b/>
                <w:bCs/>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3AF6205">
            <w:pPr>
              <w:autoSpaceDE w:val="0"/>
              <w:autoSpaceDN w:val="0"/>
              <w:jc w:val="center"/>
              <w:rPr>
                <w:rFonts w:hint="eastAsia" w:ascii="宋体" w:hAnsi="宋体" w:eastAsia="宋体" w:cs="宋体"/>
                <w:b/>
                <w:bCs/>
                <w:color w:val="auto"/>
                <w:sz w:val="24"/>
                <w:szCs w:val="24"/>
                <w:highlight w:val="none"/>
              </w:rPr>
            </w:pPr>
          </w:p>
        </w:tc>
        <w:tc>
          <w:tcPr>
            <w:tcW w:w="771" w:type="dxa"/>
            <w:tcBorders>
              <w:top w:val="single" w:color="auto" w:sz="6" w:space="0"/>
              <w:left w:val="single" w:color="auto" w:sz="6" w:space="0"/>
              <w:bottom w:val="single" w:color="auto" w:sz="6" w:space="0"/>
              <w:right w:val="single" w:color="auto" w:sz="6" w:space="0"/>
            </w:tcBorders>
            <w:noWrap w:val="0"/>
            <w:vAlign w:val="center"/>
          </w:tcPr>
          <w:p w14:paraId="7E9870B5">
            <w:pPr>
              <w:autoSpaceDE w:val="0"/>
              <w:autoSpaceDN w:val="0"/>
              <w:jc w:val="center"/>
              <w:rPr>
                <w:rFonts w:hint="eastAsia" w:ascii="宋体" w:hAnsi="宋体" w:eastAsia="宋体" w:cs="宋体"/>
                <w:b/>
                <w:bCs/>
                <w:color w:val="auto"/>
                <w:sz w:val="24"/>
                <w:szCs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031652B">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862284D">
            <w:pPr>
              <w:autoSpaceDE w:val="0"/>
              <w:autoSpaceDN w:val="0"/>
              <w:jc w:val="center"/>
              <w:rPr>
                <w:rFonts w:hint="eastAsia" w:ascii="宋体" w:hAnsi="宋体" w:eastAsia="宋体" w:cs="宋体"/>
                <w:b/>
                <w:bCs/>
                <w:color w:val="auto"/>
                <w:sz w:val="24"/>
                <w:szCs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65C8773">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CDA16F7">
            <w:pPr>
              <w:autoSpaceDE w:val="0"/>
              <w:autoSpaceDN w:val="0"/>
              <w:jc w:val="center"/>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6127371">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489BC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0C59FF4">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35592F3C">
            <w:pPr>
              <w:autoSpaceDE w:val="0"/>
              <w:autoSpaceDN w:val="0"/>
              <w:jc w:val="center"/>
              <w:rPr>
                <w:rFonts w:hint="eastAsia" w:ascii="宋体" w:hAnsi="宋体" w:eastAsia="宋体" w:cs="宋体"/>
                <w:b/>
                <w:bCs/>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F0500CA">
            <w:pPr>
              <w:autoSpaceDE w:val="0"/>
              <w:autoSpaceDN w:val="0"/>
              <w:jc w:val="center"/>
              <w:rPr>
                <w:rFonts w:hint="eastAsia" w:ascii="宋体" w:hAnsi="宋体" w:eastAsia="宋体" w:cs="宋体"/>
                <w:color w:val="auto"/>
                <w:sz w:val="24"/>
                <w:szCs w:val="24"/>
                <w:highlight w:val="none"/>
              </w:rPr>
            </w:pPr>
          </w:p>
        </w:tc>
        <w:tc>
          <w:tcPr>
            <w:tcW w:w="771" w:type="dxa"/>
            <w:tcBorders>
              <w:top w:val="single" w:color="auto" w:sz="6" w:space="0"/>
              <w:left w:val="single" w:color="auto" w:sz="6" w:space="0"/>
              <w:bottom w:val="single" w:color="auto" w:sz="6" w:space="0"/>
              <w:right w:val="single" w:color="auto" w:sz="6" w:space="0"/>
            </w:tcBorders>
            <w:noWrap w:val="0"/>
            <w:vAlign w:val="center"/>
          </w:tcPr>
          <w:p w14:paraId="5741A9A2">
            <w:pPr>
              <w:autoSpaceDE w:val="0"/>
              <w:autoSpaceDN w:val="0"/>
              <w:jc w:val="center"/>
              <w:rPr>
                <w:rFonts w:hint="eastAsia" w:ascii="宋体" w:hAnsi="宋体" w:eastAsia="宋体" w:cs="宋体"/>
                <w:color w:val="auto"/>
                <w:sz w:val="24"/>
                <w:szCs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FAC8A46">
            <w:pPr>
              <w:autoSpaceDE w:val="0"/>
              <w:autoSpaceDN w:val="0"/>
              <w:jc w:val="center"/>
              <w:rPr>
                <w:rFonts w:hint="eastAsia" w:ascii="宋体" w:hAnsi="宋体" w:eastAsia="宋体" w:cs="宋体"/>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497A730">
            <w:pPr>
              <w:autoSpaceDE w:val="0"/>
              <w:autoSpaceDN w:val="0"/>
              <w:jc w:val="center"/>
              <w:rPr>
                <w:rFonts w:hint="eastAsia" w:ascii="宋体" w:hAnsi="宋体" w:eastAsia="宋体" w:cs="宋体"/>
                <w:b/>
                <w:bCs/>
                <w:color w:val="auto"/>
                <w:sz w:val="24"/>
                <w:szCs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BA2D4F0">
            <w:pPr>
              <w:autoSpaceDE w:val="0"/>
              <w:autoSpaceDN w:val="0"/>
              <w:jc w:val="center"/>
              <w:rPr>
                <w:rFonts w:hint="eastAsia" w:ascii="宋体" w:hAnsi="宋体" w:eastAsia="宋体" w:cs="宋体"/>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C1D1CAD">
            <w:pPr>
              <w:autoSpaceDE w:val="0"/>
              <w:autoSpaceDN w:val="0"/>
              <w:jc w:val="center"/>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EF288BE">
            <w:pPr>
              <w:ind w:firstLine="600"/>
              <w:rPr>
                <w:rFonts w:hint="eastAsia" w:ascii="宋体" w:hAnsi="宋体" w:eastAsia="宋体" w:cs="宋体"/>
                <w:color w:val="auto"/>
                <w:sz w:val="24"/>
                <w:szCs w:val="24"/>
                <w:highlight w:val="none"/>
              </w:rPr>
            </w:pPr>
          </w:p>
        </w:tc>
      </w:tr>
      <w:tr w14:paraId="36113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C139242">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2DEAA679">
            <w:pPr>
              <w:autoSpaceDE w:val="0"/>
              <w:autoSpaceDN w:val="0"/>
              <w:jc w:val="center"/>
              <w:rPr>
                <w:rFonts w:hint="eastAsia" w:ascii="宋体" w:hAnsi="宋体" w:eastAsia="宋体" w:cs="宋体"/>
                <w:b/>
                <w:bCs/>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D873850">
            <w:pPr>
              <w:autoSpaceDE w:val="0"/>
              <w:autoSpaceDN w:val="0"/>
              <w:jc w:val="center"/>
              <w:rPr>
                <w:rFonts w:hint="eastAsia" w:ascii="宋体" w:hAnsi="宋体" w:eastAsia="宋体" w:cs="宋体"/>
                <w:b/>
                <w:bCs/>
                <w:color w:val="auto"/>
                <w:sz w:val="24"/>
                <w:szCs w:val="24"/>
                <w:highlight w:val="none"/>
              </w:rPr>
            </w:pPr>
          </w:p>
        </w:tc>
        <w:tc>
          <w:tcPr>
            <w:tcW w:w="771" w:type="dxa"/>
            <w:tcBorders>
              <w:top w:val="single" w:color="auto" w:sz="6" w:space="0"/>
              <w:left w:val="single" w:color="auto" w:sz="6" w:space="0"/>
              <w:bottom w:val="single" w:color="auto" w:sz="6" w:space="0"/>
              <w:right w:val="single" w:color="auto" w:sz="6" w:space="0"/>
            </w:tcBorders>
            <w:noWrap w:val="0"/>
            <w:vAlign w:val="center"/>
          </w:tcPr>
          <w:p w14:paraId="31A8C196">
            <w:pPr>
              <w:autoSpaceDE w:val="0"/>
              <w:autoSpaceDN w:val="0"/>
              <w:jc w:val="center"/>
              <w:rPr>
                <w:rFonts w:hint="eastAsia" w:ascii="宋体" w:hAnsi="宋体" w:eastAsia="宋体" w:cs="宋体"/>
                <w:b/>
                <w:bCs/>
                <w:color w:val="auto"/>
                <w:sz w:val="24"/>
                <w:szCs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D4DA854">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88F85B5">
            <w:pPr>
              <w:autoSpaceDE w:val="0"/>
              <w:autoSpaceDN w:val="0"/>
              <w:jc w:val="center"/>
              <w:rPr>
                <w:rFonts w:hint="eastAsia" w:ascii="宋体" w:hAnsi="宋体" w:eastAsia="宋体" w:cs="宋体"/>
                <w:b/>
                <w:bCs/>
                <w:color w:val="auto"/>
                <w:sz w:val="24"/>
                <w:szCs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C14B990">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6B5CE79">
            <w:pPr>
              <w:autoSpaceDE w:val="0"/>
              <w:autoSpaceDN w:val="0"/>
              <w:jc w:val="center"/>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4EB7C3E">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00B0A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7A0E34C">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2871FAC4">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C3ECC9A">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p>
        </w:tc>
        <w:tc>
          <w:tcPr>
            <w:tcW w:w="771" w:type="dxa"/>
            <w:tcBorders>
              <w:top w:val="single" w:color="auto" w:sz="6" w:space="0"/>
              <w:left w:val="single" w:color="auto" w:sz="6" w:space="0"/>
              <w:bottom w:val="single" w:color="auto" w:sz="6" w:space="0"/>
              <w:right w:val="single" w:color="auto" w:sz="6" w:space="0"/>
            </w:tcBorders>
            <w:noWrap w:val="0"/>
            <w:vAlign w:val="center"/>
          </w:tcPr>
          <w:p w14:paraId="03A8E5E1">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73705EF">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C8CE1E6">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EA52239">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63CA333">
            <w:pPr>
              <w:autoSpaceDE w:val="0"/>
              <w:autoSpaceDN w:val="0"/>
              <w:jc w:val="center"/>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2FF540E">
            <w:pPr>
              <w:ind w:firstLine="600"/>
              <w:rPr>
                <w:rFonts w:hint="eastAsia" w:ascii="宋体" w:hAnsi="宋体" w:eastAsia="宋体" w:cs="宋体"/>
                <w:color w:val="auto"/>
                <w:sz w:val="24"/>
                <w:szCs w:val="24"/>
                <w:highlight w:val="none"/>
              </w:rPr>
            </w:pPr>
          </w:p>
        </w:tc>
      </w:tr>
      <w:tr w14:paraId="6339B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0DE96A53">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67BAACBF">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D0A9C5E">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771" w:type="dxa"/>
            <w:tcBorders>
              <w:top w:val="single" w:color="auto" w:sz="6" w:space="0"/>
              <w:left w:val="single" w:color="auto" w:sz="6" w:space="0"/>
              <w:bottom w:val="single" w:color="auto" w:sz="6" w:space="0"/>
              <w:right w:val="single" w:color="auto" w:sz="6" w:space="0"/>
            </w:tcBorders>
            <w:noWrap w:val="0"/>
            <w:vAlign w:val="center"/>
          </w:tcPr>
          <w:p w14:paraId="25B9FDB9">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FE49519">
            <w:pPr>
              <w:autoSpaceDE w:val="0"/>
              <w:autoSpaceDN w:val="0"/>
              <w:jc w:val="center"/>
              <w:rPr>
                <w:rFonts w:hint="eastAsia" w:ascii="宋体" w:hAnsi="宋体" w:eastAsia="宋体" w:cs="宋体"/>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37D1125">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0E625E4">
            <w:pPr>
              <w:autoSpaceDE w:val="0"/>
              <w:autoSpaceDN w:val="0"/>
              <w:jc w:val="center"/>
              <w:rPr>
                <w:rFonts w:hint="eastAsia" w:ascii="宋体" w:hAnsi="宋体" w:eastAsia="宋体" w:cs="宋体"/>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3B9BF9C">
            <w:pPr>
              <w:autoSpaceDE w:val="0"/>
              <w:autoSpaceDN w:val="0"/>
              <w:jc w:val="center"/>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433F5F5">
            <w:pPr>
              <w:ind w:firstLine="600"/>
              <w:rPr>
                <w:rFonts w:hint="eastAsia" w:ascii="宋体" w:hAnsi="宋体" w:eastAsia="宋体" w:cs="宋体"/>
                <w:color w:val="auto"/>
                <w:sz w:val="24"/>
                <w:szCs w:val="24"/>
                <w:highlight w:val="none"/>
              </w:rPr>
            </w:pPr>
          </w:p>
        </w:tc>
      </w:tr>
      <w:tr w14:paraId="41B49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82F3927">
            <w:pPr>
              <w:autoSpaceDE w:val="0"/>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62FC2C07">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D2122F3">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771" w:type="dxa"/>
            <w:tcBorders>
              <w:top w:val="single" w:color="auto" w:sz="6" w:space="0"/>
              <w:left w:val="single" w:color="auto" w:sz="6" w:space="0"/>
              <w:bottom w:val="single" w:color="auto" w:sz="6" w:space="0"/>
              <w:right w:val="single" w:color="auto" w:sz="6" w:space="0"/>
            </w:tcBorders>
            <w:noWrap w:val="0"/>
            <w:vAlign w:val="center"/>
          </w:tcPr>
          <w:p w14:paraId="1A7D754B">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63229E4">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C3DEC68">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EDC335E">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D9B3CFF">
            <w:pPr>
              <w:autoSpaceDE w:val="0"/>
              <w:autoSpaceDN w:val="0"/>
              <w:jc w:val="center"/>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5A05157">
            <w:pPr>
              <w:ind w:firstLine="600"/>
              <w:rPr>
                <w:rFonts w:hint="eastAsia" w:ascii="宋体" w:hAnsi="宋体" w:eastAsia="宋体" w:cs="宋体"/>
                <w:color w:val="auto"/>
                <w:sz w:val="24"/>
                <w:szCs w:val="24"/>
                <w:highlight w:val="none"/>
              </w:rPr>
            </w:pPr>
          </w:p>
        </w:tc>
      </w:tr>
      <w:tr w14:paraId="4A967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16B28D02">
            <w:pPr>
              <w:autoSpaceDE w:val="0"/>
              <w:autoSpaceDN w:val="0"/>
              <w:jc w:val="center"/>
              <w:rPr>
                <w:rFonts w:hint="eastAsia" w:ascii="宋体" w:hAnsi="宋体" w:eastAsia="宋体" w:cs="宋体"/>
                <w:color w:val="auto"/>
                <w:sz w:val="24"/>
                <w:szCs w:val="24"/>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188BA25F">
            <w:pPr>
              <w:autoSpaceDE w:val="0"/>
              <w:autoSpaceDN w:val="0"/>
              <w:jc w:val="center"/>
              <w:rPr>
                <w:rFonts w:hint="eastAsia" w:ascii="宋体" w:hAnsi="宋体" w:eastAsia="宋体" w:cs="宋体"/>
                <w:b/>
                <w:bCs/>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8797A2F">
            <w:pPr>
              <w:autoSpaceDE w:val="0"/>
              <w:autoSpaceDN w:val="0"/>
              <w:jc w:val="center"/>
              <w:rPr>
                <w:rFonts w:hint="eastAsia" w:ascii="宋体" w:hAnsi="宋体" w:eastAsia="宋体" w:cs="宋体"/>
                <w:b/>
                <w:bCs/>
                <w:color w:val="auto"/>
                <w:sz w:val="24"/>
                <w:szCs w:val="24"/>
                <w:highlight w:val="none"/>
              </w:rPr>
            </w:pPr>
          </w:p>
        </w:tc>
        <w:tc>
          <w:tcPr>
            <w:tcW w:w="771" w:type="dxa"/>
            <w:tcBorders>
              <w:top w:val="single" w:color="auto" w:sz="6" w:space="0"/>
              <w:left w:val="single" w:color="auto" w:sz="6" w:space="0"/>
              <w:bottom w:val="single" w:color="auto" w:sz="6" w:space="0"/>
              <w:right w:val="single" w:color="auto" w:sz="6" w:space="0"/>
            </w:tcBorders>
            <w:noWrap w:val="0"/>
            <w:vAlign w:val="center"/>
          </w:tcPr>
          <w:p w14:paraId="1291F94D">
            <w:pPr>
              <w:autoSpaceDE w:val="0"/>
              <w:autoSpaceDN w:val="0"/>
              <w:jc w:val="center"/>
              <w:rPr>
                <w:rFonts w:hint="eastAsia" w:ascii="宋体" w:hAnsi="宋体" w:eastAsia="宋体" w:cs="宋体"/>
                <w:b/>
                <w:bCs/>
                <w:color w:val="auto"/>
                <w:sz w:val="24"/>
                <w:szCs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0A2A694">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6A9F3F4">
            <w:pPr>
              <w:autoSpaceDE w:val="0"/>
              <w:autoSpaceDN w:val="0"/>
              <w:jc w:val="center"/>
              <w:rPr>
                <w:rFonts w:hint="eastAsia" w:ascii="宋体" w:hAnsi="宋体" w:eastAsia="宋体" w:cs="宋体"/>
                <w:b/>
                <w:bCs/>
                <w:color w:val="auto"/>
                <w:sz w:val="24"/>
                <w:szCs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EB967FA">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B2C921C">
            <w:pPr>
              <w:autoSpaceDE w:val="0"/>
              <w:autoSpaceDN w:val="0"/>
              <w:jc w:val="center"/>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7B3E168">
            <w:pPr>
              <w:ind w:firstLine="600"/>
              <w:rPr>
                <w:rFonts w:hint="eastAsia" w:ascii="宋体" w:hAnsi="宋体" w:eastAsia="宋体" w:cs="宋体"/>
                <w:color w:val="auto"/>
                <w:sz w:val="24"/>
                <w:szCs w:val="24"/>
                <w:highlight w:val="none"/>
              </w:rPr>
            </w:pPr>
          </w:p>
        </w:tc>
      </w:tr>
      <w:tr w14:paraId="09AE8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BF039B7">
            <w:pPr>
              <w:autoSpaceDE w:val="0"/>
              <w:autoSpaceDN w:val="0"/>
              <w:jc w:val="center"/>
              <w:rPr>
                <w:rFonts w:hint="eastAsia" w:ascii="宋体" w:hAnsi="宋体" w:eastAsia="宋体" w:cs="宋体"/>
                <w:color w:val="auto"/>
                <w:sz w:val="24"/>
                <w:szCs w:val="24"/>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23F3BAED">
            <w:pPr>
              <w:autoSpaceDE w:val="0"/>
              <w:autoSpaceDN w:val="0"/>
              <w:jc w:val="center"/>
              <w:rPr>
                <w:rFonts w:hint="eastAsia" w:ascii="宋体" w:hAnsi="宋体" w:eastAsia="宋体" w:cs="宋体"/>
                <w:b/>
                <w:bCs/>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D746578">
            <w:pPr>
              <w:autoSpaceDE w:val="0"/>
              <w:autoSpaceDN w:val="0"/>
              <w:jc w:val="center"/>
              <w:rPr>
                <w:rFonts w:hint="eastAsia" w:ascii="宋体" w:hAnsi="宋体" w:eastAsia="宋体" w:cs="宋体"/>
                <w:b/>
                <w:bCs/>
                <w:color w:val="auto"/>
                <w:sz w:val="24"/>
                <w:szCs w:val="24"/>
                <w:highlight w:val="none"/>
              </w:rPr>
            </w:pPr>
          </w:p>
        </w:tc>
        <w:tc>
          <w:tcPr>
            <w:tcW w:w="771" w:type="dxa"/>
            <w:tcBorders>
              <w:top w:val="single" w:color="auto" w:sz="6" w:space="0"/>
              <w:left w:val="single" w:color="auto" w:sz="6" w:space="0"/>
              <w:bottom w:val="single" w:color="auto" w:sz="6" w:space="0"/>
              <w:right w:val="single" w:color="auto" w:sz="6" w:space="0"/>
            </w:tcBorders>
            <w:noWrap w:val="0"/>
            <w:vAlign w:val="center"/>
          </w:tcPr>
          <w:p w14:paraId="6A686A29">
            <w:pPr>
              <w:autoSpaceDE w:val="0"/>
              <w:autoSpaceDN w:val="0"/>
              <w:jc w:val="center"/>
              <w:rPr>
                <w:rFonts w:hint="eastAsia" w:ascii="宋体" w:hAnsi="宋体" w:eastAsia="宋体" w:cs="宋体"/>
                <w:b/>
                <w:bCs/>
                <w:color w:val="auto"/>
                <w:sz w:val="24"/>
                <w:szCs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2011AFE">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367AA4D">
            <w:pPr>
              <w:autoSpaceDE w:val="0"/>
              <w:autoSpaceDN w:val="0"/>
              <w:jc w:val="center"/>
              <w:rPr>
                <w:rFonts w:hint="eastAsia" w:ascii="宋体" w:hAnsi="宋体" w:eastAsia="宋体" w:cs="宋体"/>
                <w:b/>
                <w:bCs/>
                <w:color w:val="auto"/>
                <w:sz w:val="24"/>
                <w:szCs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2BE427A">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07C46D1">
            <w:pPr>
              <w:autoSpaceDE w:val="0"/>
              <w:autoSpaceDN w:val="0"/>
              <w:jc w:val="center"/>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7C847DC">
            <w:pPr>
              <w:ind w:firstLine="600"/>
              <w:rPr>
                <w:rFonts w:hint="eastAsia" w:ascii="宋体" w:hAnsi="宋体" w:eastAsia="宋体" w:cs="宋体"/>
                <w:color w:val="auto"/>
                <w:sz w:val="24"/>
                <w:szCs w:val="24"/>
                <w:highlight w:val="none"/>
              </w:rPr>
            </w:pPr>
          </w:p>
        </w:tc>
      </w:tr>
      <w:tr w14:paraId="3E9CB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0A56DB7B">
            <w:pPr>
              <w:autoSpaceDE w:val="0"/>
              <w:autoSpaceDN w:val="0"/>
              <w:jc w:val="center"/>
              <w:rPr>
                <w:rFonts w:hint="eastAsia" w:ascii="宋体" w:hAnsi="宋体" w:eastAsia="宋体" w:cs="宋体"/>
                <w:color w:val="auto"/>
                <w:sz w:val="24"/>
                <w:szCs w:val="24"/>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2EDE1672">
            <w:pPr>
              <w:autoSpaceDE w:val="0"/>
              <w:autoSpaceDN w:val="0"/>
              <w:jc w:val="center"/>
              <w:rPr>
                <w:rFonts w:hint="eastAsia" w:ascii="宋体" w:hAnsi="宋体" w:eastAsia="宋体" w:cs="宋体"/>
                <w:b/>
                <w:bCs/>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F4632B9">
            <w:pPr>
              <w:autoSpaceDE w:val="0"/>
              <w:autoSpaceDN w:val="0"/>
              <w:jc w:val="center"/>
              <w:rPr>
                <w:rFonts w:hint="eastAsia" w:ascii="宋体" w:hAnsi="宋体" w:eastAsia="宋体" w:cs="宋体"/>
                <w:b/>
                <w:bCs/>
                <w:color w:val="auto"/>
                <w:sz w:val="24"/>
                <w:szCs w:val="24"/>
                <w:highlight w:val="none"/>
              </w:rPr>
            </w:pPr>
          </w:p>
        </w:tc>
        <w:tc>
          <w:tcPr>
            <w:tcW w:w="771" w:type="dxa"/>
            <w:tcBorders>
              <w:top w:val="single" w:color="auto" w:sz="6" w:space="0"/>
              <w:left w:val="single" w:color="auto" w:sz="6" w:space="0"/>
              <w:bottom w:val="single" w:color="auto" w:sz="6" w:space="0"/>
              <w:right w:val="single" w:color="auto" w:sz="6" w:space="0"/>
            </w:tcBorders>
            <w:noWrap w:val="0"/>
            <w:vAlign w:val="center"/>
          </w:tcPr>
          <w:p w14:paraId="3AD56A69">
            <w:pPr>
              <w:autoSpaceDE w:val="0"/>
              <w:autoSpaceDN w:val="0"/>
              <w:jc w:val="center"/>
              <w:rPr>
                <w:rFonts w:hint="eastAsia" w:ascii="宋体" w:hAnsi="宋体" w:eastAsia="宋体" w:cs="宋体"/>
                <w:b/>
                <w:bCs/>
                <w:color w:val="auto"/>
                <w:sz w:val="24"/>
                <w:szCs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E66F352">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E81912E">
            <w:pPr>
              <w:autoSpaceDE w:val="0"/>
              <w:autoSpaceDN w:val="0"/>
              <w:jc w:val="center"/>
              <w:rPr>
                <w:rFonts w:hint="eastAsia" w:ascii="宋体" w:hAnsi="宋体" w:eastAsia="宋体" w:cs="宋体"/>
                <w:b/>
                <w:bCs/>
                <w:color w:val="auto"/>
                <w:sz w:val="24"/>
                <w:szCs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A862F2B">
            <w:pPr>
              <w:autoSpaceDE w:val="0"/>
              <w:autoSpaceDN w:val="0"/>
              <w:jc w:val="center"/>
              <w:rPr>
                <w:rFonts w:hint="eastAsia" w:ascii="宋体" w:hAnsi="宋体" w:eastAsia="宋体" w:cs="宋体"/>
                <w:b/>
                <w:bCs/>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B2EA20">
            <w:pPr>
              <w:autoSpaceDE w:val="0"/>
              <w:autoSpaceDN w:val="0"/>
              <w:jc w:val="center"/>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2C09E5C">
            <w:pPr>
              <w:ind w:firstLine="600"/>
              <w:rPr>
                <w:rFonts w:hint="eastAsia" w:ascii="宋体" w:hAnsi="宋体" w:eastAsia="宋体" w:cs="宋体"/>
                <w:color w:val="auto"/>
                <w:sz w:val="24"/>
                <w:szCs w:val="24"/>
                <w:highlight w:val="none"/>
              </w:rPr>
            </w:pPr>
          </w:p>
        </w:tc>
      </w:tr>
      <w:tr w14:paraId="67987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600E9B2">
            <w:pPr>
              <w:ind w:firstLine="600"/>
              <w:rPr>
                <w:rFonts w:hint="eastAsia" w:ascii="宋体" w:hAnsi="宋体" w:eastAsia="宋体" w:cs="宋体"/>
                <w:color w:val="auto"/>
                <w:sz w:val="24"/>
                <w:szCs w:val="24"/>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top"/>
          </w:tcPr>
          <w:p w14:paraId="722D1647">
            <w:pPr>
              <w:ind w:firstLine="600"/>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651B3A80">
            <w:pPr>
              <w:ind w:firstLine="600"/>
              <w:rPr>
                <w:rFonts w:hint="eastAsia" w:ascii="宋体" w:hAnsi="宋体" w:eastAsia="宋体" w:cs="宋体"/>
                <w:color w:val="auto"/>
                <w:sz w:val="24"/>
                <w:szCs w:val="24"/>
                <w:highlight w:val="none"/>
              </w:rPr>
            </w:pPr>
          </w:p>
        </w:tc>
        <w:tc>
          <w:tcPr>
            <w:tcW w:w="771" w:type="dxa"/>
            <w:tcBorders>
              <w:top w:val="single" w:color="auto" w:sz="6" w:space="0"/>
              <w:left w:val="single" w:color="auto" w:sz="6" w:space="0"/>
              <w:bottom w:val="single" w:color="auto" w:sz="6" w:space="0"/>
              <w:right w:val="single" w:color="auto" w:sz="6" w:space="0"/>
            </w:tcBorders>
            <w:noWrap w:val="0"/>
            <w:vAlign w:val="top"/>
          </w:tcPr>
          <w:p w14:paraId="7AC35D8A">
            <w:pPr>
              <w:ind w:firstLine="600"/>
              <w:rPr>
                <w:rFonts w:hint="eastAsia" w:ascii="宋体" w:hAnsi="宋体" w:eastAsia="宋体" w:cs="宋体"/>
                <w:color w:val="auto"/>
                <w:sz w:val="24"/>
                <w:szCs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3857968">
            <w:pPr>
              <w:ind w:firstLine="600"/>
              <w:rPr>
                <w:rFonts w:hint="eastAsia" w:ascii="宋体" w:hAnsi="宋体" w:eastAsia="宋体" w:cs="宋体"/>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F787536">
            <w:pPr>
              <w:ind w:firstLine="600"/>
              <w:rPr>
                <w:rFonts w:hint="eastAsia" w:ascii="宋体" w:hAnsi="宋体" w:eastAsia="宋体" w:cs="宋体"/>
                <w:color w:val="auto"/>
                <w:sz w:val="24"/>
                <w:szCs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41F8D0A9">
            <w:pPr>
              <w:ind w:firstLine="600"/>
              <w:rPr>
                <w:rFonts w:hint="eastAsia" w:ascii="宋体" w:hAnsi="宋体" w:eastAsia="宋体" w:cs="宋体"/>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644377">
            <w:pPr>
              <w:ind w:firstLine="600"/>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CAFD01E">
            <w:pPr>
              <w:ind w:firstLine="600"/>
              <w:rPr>
                <w:rFonts w:hint="eastAsia" w:ascii="宋体" w:hAnsi="宋体" w:eastAsia="宋体" w:cs="宋体"/>
                <w:color w:val="auto"/>
                <w:sz w:val="24"/>
                <w:szCs w:val="24"/>
                <w:highlight w:val="none"/>
              </w:rPr>
            </w:pPr>
          </w:p>
        </w:tc>
      </w:tr>
      <w:tr w14:paraId="20F05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A576B30">
            <w:pPr>
              <w:ind w:firstLine="600"/>
              <w:rPr>
                <w:rFonts w:hint="eastAsia" w:ascii="宋体" w:hAnsi="宋体" w:eastAsia="宋体" w:cs="宋体"/>
                <w:color w:val="auto"/>
                <w:sz w:val="24"/>
                <w:szCs w:val="24"/>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top"/>
          </w:tcPr>
          <w:p w14:paraId="6E3E2998">
            <w:pPr>
              <w:ind w:firstLine="600"/>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top"/>
          </w:tcPr>
          <w:p w14:paraId="40A3F72B">
            <w:pPr>
              <w:ind w:firstLine="600"/>
              <w:rPr>
                <w:rFonts w:hint="eastAsia" w:ascii="宋体" w:hAnsi="宋体" w:eastAsia="宋体" w:cs="宋体"/>
                <w:color w:val="auto"/>
                <w:sz w:val="24"/>
                <w:szCs w:val="24"/>
                <w:highlight w:val="none"/>
              </w:rPr>
            </w:pPr>
          </w:p>
        </w:tc>
        <w:tc>
          <w:tcPr>
            <w:tcW w:w="771" w:type="dxa"/>
            <w:tcBorders>
              <w:top w:val="single" w:color="auto" w:sz="6" w:space="0"/>
              <w:left w:val="single" w:color="auto" w:sz="6" w:space="0"/>
              <w:bottom w:val="single" w:color="auto" w:sz="6" w:space="0"/>
              <w:right w:val="single" w:color="auto" w:sz="6" w:space="0"/>
            </w:tcBorders>
            <w:noWrap w:val="0"/>
            <w:vAlign w:val="top"/>
          </w:tcPr>
          <w:p w14:paraId="34E30D96">
            <w:pPr>
              <w:ind w:firstLine="600"/>
              <w:rPr>
                <w:rFonts w:hint="eastAsia" w:ascii="宋体" w:hAnsi="宋体" w:eastAsia="宋体" w:cs="宋体"/>
                <w:color w:val="auto"/>
                <w:sz w:val="24"/>
                <w:szCs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EA368AA">
            <w:pPr>
              <w:ind w:firstLine="600"/>
              <w:rPr>
                <w:rFonts w:hint="eastAsia" w:ascii="宋体" w:hAnsi="宋体" w:eastAsia="宋体" w:cs="宋体"/>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48B10B9">
            <w:pPr>
              <w:ind w:firstLine="600"/>
              <w:rPr>
                <w:rFonts w:hint="eastAsia" w:ascii="宋体" w:hAnsi="宋体" w:eastAsia="宋体" w:cs="宋体"/>
                <w:color w:val="auto"/>
                <w:sz w:val="24"/>
                <w:szCs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BE549DA">
            <w:pPr>
              <w:ind w:firstLine="600"/>
              <w:rPr>
                <w:rFonts w:hint="eastAsia" w:ascii="宋体" w:hAnsi="宋体" w:eastAsia="宋体" w:cs="宋体"/>
                <w:color w:val="auto"/>
                <w:sz w:val="24"/>
                <w:szCs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F72956">
            <w:pPr>
              <w:ind w:firstLine="600"/>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C461981">
            <w:pPr>
              <w:ind w:firstLine="600"/>
              <w:rPr>
                <w:rFonts w:hint="eastAsia" w:ascii="宋体" w:hAnsi="宋体" w:eastAsia="宋体" w:cs="宋体"/>
                <w:color w:val="auto"/>
                <w:sz w:val="24"/>
                <w:szCs w:val="24"/>
                <w:highlight w:val="none"/>
              </w:rPr>
            </w:pPr>
          </w:p>
        </w:tc>
      </w:tr>
      <w:tr w14:paraId="2D5F2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71423F5C">
            <w:pPr>
              <w:ind w:firstLine="600"/>
              <w:rPr>
                <w:rFonts w:hint="eastAsia" w:ascii="宋体" w:hAnsi="宋体" w:eastAsia="宋体" w:cs="宋体"/>
                <w:color w:val="auto"/>
                <w:sz w:val="24"/>
                <w:szCs w:val="24"/>
                <w:highlight w:val="none"/>
              </w:rPr>
            </w:pPr>
          </w:p>
        </w:tc>
        <w:tc>
          <w:tcPr>
            <w:tcW w:w="1563" w:type="dxa"/>
            <w:tcBorders>
              <w:top w:val="single" w:color="auto" w:sz="6" w:space="0"/>
              <w:left w:val="single" w:color="auto" w:sz="6" w:space="0"/>
              <w:bottom w:val="single" w:color="auto" w:sz="12" w:space="0"/>
              <w:right w:val="single" w:color="auto" w:sz="6" w:space="0"/>
            </w:tcBorders>
            <w:noWrap w:val="0"/>
            <w:vAlign w:val="top"/>
          </w:tcPr>
          <w:p w14:paraId="60B02AC9">
            <w:pPr>
              <w:ind w:firstLine="600"/>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top"/>
          </w:tcPr>
          <w:p w14:paraId="6901DF5A">
            <w:pPr>
              <w:ind w:firstLine="600"/>
              <w:rPr>
                <w:rFonts w:hint="eastAsia" w:ascii="宋体" w:hAnsi="宋体" w:eastAsia="宋体" w:cs="宋体"/>
                <w:color w:val="auto"/>
                <w:sz w:val="24"/>
                <w:szCs w:val="24"/>
                <w:highlight w:val="none"/>
              </w:rPr>
            </w:pPr>
          </w:p>
        </w:tc>
        <w:tc>
          <w:tcPr>
            <w:tcW w:w="771" w:type="dxa"/>
            <w:tcBorders>
              <w:top w:val="single" w:color="auto" w:sz="6" w:space="0"/>
              <w:left w:val="single" w:color="auto" w:sz="6" w:space="0"/>
              <w:bottom w:val="single" w:color="auto" w:sz="12" w:space="0"/>
              <w:right w:val="single" w:color="auto" w:sz="6" w:space="0"/>
            </w:tcBorders>
            <w:noWrap w:val="0"/>
            <w:vAlign w:val="top"/>
          </w:tcPr>
          <w:p w14:paraId="2B567BB2">
            <w:pPr>
              <w:ind w:firstLine="600"/>
              <w:rPr>
                <w:rFonts w:hint="eastAsia" w:ascii="宋体" w:hAnsi="宋体" w:eastAsia="宋体" w:cs="宋体"/>
                <w:color w:val="auto"/>
                <w:sz w:val="24"/>
                <w:szCs w:val="24"/>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79E7A310">
            <w:pPr>
              <w:ind w:firstLine="600"/>
              <w:rPr>
                <w:rFonts w:hint="eastAsia" w:ascii="宋体" w:hAnsi="宋体" w:eastAsia="宋体" w:cs="宋体"/>
                <w:color w:val="auto"/>
                <w:sz w:val="24"/>
                <w:szCs w:val="24"/>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74B4E4D">
            <w:pPr>
              <w:ind w:firstLine="600"/>
              <w:rPr>
                <w:rFonts w:hint="eastAsia" w:ascii="宋体" w:hAnsi="宋体" w:eastAsia="宋体" w:cs="宋体"/>
                <w:color w:val="auto"/>
                <w:sz w:val="24"/>
                <w:szCs w:val="24"/>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2F69094">
            <w:pPr>
              <w:ind w:firstLine="600"/>
              <w:rPr>
                <w:rFonts w:hint="eastAsia" w:ascii="宋体" w:hAnsi="宋体" w:eastAsia="宋体" w:cs="宋体"/>
                <w:color w:val="auto"/>
                <w:sz w:val="24"/>
                <w:szCs w:val="24"/>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5A95F12E">
            <w:pPr>
              <w:ind w:firstLine="600"/>
              <w:rPr>
                <w:rFonts w:hint="eastAsia" w:ascii="宋体" w:hAnsi="宋体" w:eastAsia="宋体" w:cs="宋体"/>
                <w:color w:val="auto"/>
                <w:sz w:val="24"/>
                <w:szCs w:val="24"/>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7AAE7607">
            <w:pPr>
              <w:ind w:firstLine="600"/>
              <w:rPr>
                <w:rFonts w:hint="eastAsia" w:ascii="宋体" w:hAnsi="宋体" w:eastAsia="宋体" w:cs="宋体"/>
                <w:color w:val="auto"/>
                <w:sz w:val="24"/>
                <w:szCs w:val="24"/>
                <w:highlight w:val="none"/>
              </w:rPr>
            </w:pPr>
          </w:p>
        </w:tc>
      </w:tr>
    </w:tbl>
    <w:p w14:paraId="343F55CF">
      <w:pPr>
        <w:spacing w:line="50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1388" w:name="_Toc267261699"/>
      <w:bookmarkEnd w:id="1388"/>
      <w:bookmarkStart w:id="1389" w:name="_Toc296891056"/>
      <w:bookmarkEnd w:id="1389"/>
      <w:bookmarkStart w:id="1390" w:name="_Toc296346729"/>
      <w:bookmarkEnd w:id="1390"/>
      <w:bookmarkStart w:id="1391" w:name="_Toc296891268"/>
      <w:bookmarkEnd w:id="1391"/>
      <w:bookmarkStart w:id="1392" w:name="_Toc296347227"/>
      <w:bookmarkEnd w:id="1392"/>
      <w:bookmarkStart w:id="1393" w:name="_Toc296503228"/>
      <w:bookmarkEnd w:id="1393"/>
      <w:bookmarkStart w:id="1394" w:name="_Toc296944567"/>
      <w:r>
        <w:rPr>
          <w:rFonts w:hint="eastAsia" w:ascii="宋体" w:hAnsi="宋体" w:eastAsia="宋体" w:cs="宋体"/>
          <w:color w:val="auto"/>
          <w:sz w:val="24"/>
          <w:szCs w:val="24"/>
          <w:highlight w:val="none"/>
        </w:rPr>
        <w:t>件</w:t>
      </w:r>
      <w:bookmarkEnd w:id="1394"/>
      <w:r>
        <w:rPr>
          <w:rFonts w:hint="eastAsia" w:ascii="宋体" w:hAnsi="宋体" w:eastAsia="宋体" w:cs="宋体"/>
          <w:color w:val="auto"/>
          <w:sz w:val="24"/>
          <w:szCs w:val="24"/>
          <w:highlight w:val="none"/>
        </w:rPr>
        <w:t>3：</w:t>
      </w:r>
    </w:p>
    <w:p w14:paraId="62ABF45C">
      <w:pPr>
        <w:spacing w:before="156" w:beforeLines="50" w:after="156" w:afterLines="50" w:line="500" w:lineRule="exact"/>
        <w:ind w:firstLine="6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承包人主要施工管理人员表</w:t>
      </w:r>
    </w:p>
    <w:tbl>
      <w:tblPr>
        <w:tblStyle w:val="6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83"/>
        <w:gridCol w:w="1369"/>
        <w:gridCol w:w="1255"/>
        <w:gridCol w:w="4131"/>
      </w:tblGrid>
      <w:tr w14:paraId="433D6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688FB98D">
            <w:pPr>
              <w:pStyle w:val="24"/>
              <w:keepNext/>
              <w:spacing w:after="0"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p>
        </w:tc>
        <w:tc>
          <w:tcPr>
            <w:tcW w:w="1183" w:type="dxa"/>
            <w:tcBorders>
              <w:top w:val="single" w:color="auto" w:sz="12" w:space="0"/>
              <w:left w:val="single" w:color="auto" w:sz="6" w:space="0"/>
              <w:bottom w:val="double" w:color="auto" w:sz="2" w:space="0"/>
              <w:right w:val="single" w:color="auto" w:sz="6" w:space="0"/>
            </w:tcBorders>
            <w:noWrap w:val="0"/>
            <w:vAlign w:val="center"/>
          </w:tcPr>
          <w:p w14:paraId="0D1327A2">
            <w:pPr>
              <w:pStyle w:val="24"/>
              <w:keepNext/>
              <w:spacing w:after="0"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1369" w:type="dxa"/>
            <w:tcBorders>
              <w:top w:val="single" w:color="auto" w:sz="12" w:space="0"/>
              <w:left w:val="single" w:color="auto" w:sz="6" w:space="0"/>
              <w:bottom w:val="double" w:color="auto" w:sz="2" w:space="0"/>
              <w:right w:val="single" w:color="auto" w:sz="6" w:space="0"/>
            </w:tcBorders>
            <w:noWrap w:val="0"/>
            <w:vAlign w:val="center"/>
          </w:tcPr>
          <w:p w14:paraId="3CEB92F4">
            <w:pPr>
              <w:pStyle w:val="24"/>
              <w:keepNext/>
              <w:spacing w:after="0"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职务</w:t>
            </w:r>
          </w:p>
        </w:tc>
        <w:tc>
          <w:tcPr>
            <w:tcW w:w="1255" w:type="dxa"/>
            <w:tcBorders>
              <w:top w:val="single" w:color="auto" w:sz="12" w:space="0"/>
              <w:left w:val="single" w:color="auto" w:sz="6" w:space="0"/>
              <w:bottom w:val="double" w:color="auto" w:sz="2" w:space="0"/>
              <w:right w:val="single" w:color="auto" w:sz="6" w:space="0"/>
            </w:tcBorders>
            <w:noWrap w:val="0"/>
            <w:vAlign w:val="center"/>
          </w:tcPr>
          <w:p w14:paraId="055725B4">
            <w:pPr>
              <w:pStyle w:val="24"/>
              <w:keepNext/>
              <w:spacing w:after="0"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职称</w:t>
            </w:r>
          </w:p>
        </w:tc>
        <w:tc>
          <w:tcPr>
            <w:tcW w:w="4131" w:type="dxa"/>
            <w:tcBorders>
              <w:top w:val="single" w:color="auto" w:sz="12" w:space="0"/>
              <w:left w:val="single" w:color="auto" w:sz="6" w:space="0"/>
              <w:bottom w:val="double" w:color="auto" w:sz="2" w:space="0"/>
              <w:right w:val="single" w:color="auto" w:sz="12" w:space="0"/>
            </w:tcBorders>
            <w:noWrap w:val="0"/>
            <w:vAlign w:val="center"/>
          </w:tcPr>
          <w:p w14:paraId="2BFE6FF0">
            <w:pPr>
              <w:pStyle w:val="24"/>
              <w:keepNext/>
              <w:spacing w:after="0"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主要资历、经验及承担过的项目</w:t>
            </w:r>
          </w:p>
        </w:tc>
      </w:tr>
      <w:tr w14:paraId="6BE27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2B98AB38">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一、总部人员</w:t>
            </w:r>
          </w:p>
        </w:tc>
      </w:tr>
      <w:tr w14:paraId="3B4B8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8C978D7">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项目主管</w:t>
            </w:r>
          </w:p>
        </w:tc>
        <w:tc>
          <w:tcPr>
            <w:tcW w:w="1183" w:type="dxa"/>
            <w:tcBorders>
              <w:top w:val="nil"/>
              <w:left w:val="single" w:color="auto" w:sz="6" w:space="0"/>
              <w:bottom w:val="single" w:color="auto" w:sz="6" w:space="0"/>
              <w:right w:val="single" w:color="auto" w:sz="6" w:space="0"/>
            </w:tcBorders>
            <w:noWrap w:val="0"/>
            <w:vAlign w:val="center"/>
          </w:tcPr>
          <w:p w14:paraId="7DC79FCF">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p>
        </w:tc>
        <w:tc>
          <w:tcPr>
            <w:tcW w:w="1369" w:type="dxa"/>
            <w:tcBorders>
              <w:top w:val="nil"/>
              <w:left w:val="single" w:color="auto" w:sz="6" w:space="0"/>
              <w:bottom w:val="single" w:color="auto" w:sz="6" w:space="0"/>
              <w:right w:val="single" w:color="auto" w:sz="6" w:space="0"/>
            </w:tcBorders>
            <w:noWrap w:val="0"/>
            <w:vAlign w:val="center"/>
          </w:tcPr>
          <w:p w14:paraId="1F9F3713">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p>
        </w:tc>
        <w:tc>
          <w:tcPr>
            <w:tcW w:w="1255" w:type="dxa"/>
            <w:tcBorders>
              <w:top w:val="nil"/>
              <w:left w:val="single" w:color="auto" w:sz="6" w:space="0"/>
              <w:bottom w:val="single" w:color="auto" w:sz="6" w:space="0"/>
              <w:right w:val="single" w:color="auto" w:sz="6" w:space="0"/>
            </w:tcBorders>
            <w:noWrap w:val="0"/>
            <w:vAlign w:val="center"/>
          </w:tcPr>
          <w:p w14:paraId="51D273A9">
            <w:pPr>
              <w:pStyle w:val="24"/>
              <w:keepNext/>
              <w:spacing w:after="0" w:line="440" w:lineRule="exact"/>
              <w:ind w:right="72"/>
              <w:rPr>
                <w:rFonts w:hint="eastAsia" w:ascii="宋体" w:hAnsi="宋体" w:eastAsia="宋体" w:cs="宋体"/>
                <w:color w:val="auto"/>
                <w:sz w:val="24"/>
                <w:szCs w:val="24"/>
                <w:highlight w:val="none"/>
                <w:lang w:val="en-US" w:eastAsia="zh-CN"/>
              </w:rPr>
            </w:pPr>
          </w:p>
        </w:tc>
        <w:tc>
          <w:tcPr>
            <w:tcW w:w="4131" w:type="dxa"/>
            <w:tcBorders>
              <w:top w:val="nil"/>
              <w:left w:val="single" w:color="auto" w:sz="6" w:space="0"/>
              <w:bottom w:val="single" w:color="auto" w:sz="6" w:space="0"/>
              <w:right w:val="single" w:color="auto" w:sz="12" w:space="0"/>
            </w:tcBorders>
            <w:noWrap w:val="0"/>
            <w:vAlign w:val="center"/>
          </w:tcPr>
          <w:p w14:paraId="440CCD48">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3DBFD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502A95D3">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p>
        </w:tc>
        <w:tc>
          <w:tcPr>
            <w:tcW w:w="1183" w:type="dxa"/>
            <w:tcBorders>
              <w:top w:val="single" w:color="auto" w:sz="6" w:space="0"/>
              <w:left w:val="single" w:color="auto" w:sz="6" w:space="0"/>
              <w:bottom w:val="single" w:color="auto" w:sz="6" w:space="0"/>
              <w:right w:val="single" w:color="auto" w:sz="6" w:space="0"/>
            </w:tcBorders>
            <w:noWrap w:val="0"/>
            <w:vAlign w:val="center"/>
          </w:tcPr>
          <w:p w14:paraId="6A9FC8A1">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002BAB3A">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14708F82">
            <w:pPr>
              <w:pStyle w:val="24"/>
              <w:keepNext/>
              <w:spacing w:after="0" w:line="440" w:lineRule="exact"/>
              <w:ind w:right="72"/>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4CB74BF4">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3E7A5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7880E89C">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其他人员</w:t>
            </w:r>
          </w:p>
        </w:tc>
        <w:tc>
          <w:tcPr>
            <w:tcW w:w="1183" w:type="dxa"/>
            <w:tcBorders>
              <w:top w:val="single" w:color="auto" w:sz="6" w:space="0"/>
              <w:left w:val="single" w:color="auto" w:sz="6" w:space="0"/>
              <w:bottom w:val="single" w:color="auto" w:sz="6" w:space="0"/>
              <w:right w:val="single" w:color="auto" w:sz="6" w:space="0"/>
            </w:tcBorders>
            <w:noWrap w:val="0"/>
            <w:vAlign w:val="center"/>
          </w:tcPr>
          <w:p w14:paraId="5F914B13">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33A83CB8">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069B85CE">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1D125840">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7FDF1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1DBDFCEC">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p>
        </w:tc>
        <w:tc>
          <w:tcPr>
            <w:tcW w:w="1183" w:type="dxa"/>
            <w:tcBorders>
              <w:top w:val="single" w:color="auto" w:sz="6" w:space="0"/>
              <w:left w:val="single" w:color="auto" w:sz="6" w:space="0"/>
              <w:bottom w:val="single" w:color="auto" w:sz="6" w:space="0"/>
              <w:right w:val="single" w:color="auto" w:sz="6" w:space="0"/>
            </w:tcBorders>
            <w:noWrap w:val="0"/>
            <w:vAlign w:val="center"/>
          </w:tcPr>
          <w:p w14:paraId="328FDEDE">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41206FB7">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43CA431A">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70240A4D">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61C69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0A76D89F">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二、现场人员</w:t>
            </w:r>
          </w:p>
        </w:tc>
      </w:tr>
      <w:tr w14:paraId="054A0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E3F9350">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项目经理</w:t>
            </w:r>
          </w:p>
        </w:tc>
        <w:tc>
          <w:tcPr>
            <w:tcW w:w="1183" w:type="dxa"/>
            <w:tcBorders>
              <w:top w:val="single" w:color="auto" w:sz="6" w:space="0"/>
              <w:left w:val="single" w:color="auto" w:sz="6" w:space="0"/>
              <w:bottom w:val="single" w:color="auto" w:sz="6" w:space="0"/>
              <w:right w:val="single" w:color="auto" w:sz="6" w:space="0"/>
            </w:tcBorders>
            <w:noWrap w:val="0"/>
            <w:vAlign w:val="center"/>
          </w:tcPr>
          <w:p w14:paraId="2F3F0A77">
            <w:pPr>
              <w:pStyle w:val="24"/>
              <w:keepNext/>
              <w:spacing w:after="0" w:line="440" w:lineRule="exact"/>
              <w:ind w:right="72" w:rightChars="0"/>
              <w:jc w:val="both"/>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798DDCCB">
            <w:pPr>
              <w:pStyle w:val="24"/>
              <w:keepNext/>
              <w:spacing w:after="0" w:line="440" w:lineRule="exact"/>
              <w:ind w:right="72" w:rightChars="0"/>
              <w:jc w:val="center"/>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2B43DD6E">
            <w:pPr>
              <w:pStyle w:val="24"/>
              <w:keepNext/>
              <w:spacing w:after="0" w:line="440" w:lineRule="exact"/>
              <w:ind w:right="72"/>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3DA66D59">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30377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B9B302">
            <w:pPr>
              <w:pStyle w:val="24"/>
              <w:keepNext/>
              <w:spacing w:after="0" w:line="440" w:lineRule="exact"/>
              <w:ind w:left="72" w:right="72" w:firstLine="480"/>
              <w:rPr>
                <w:rFonts w:hint="eastAsia" w:ascii="宋体" w:hAnsi="宋体" w:eastAsia="宋体" w:cs="宋体"/>
                <w:strike/>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技术负责人</w:t>
            </w:r>
          </w:p>
        </w:tc>
        <w:tc>
          <w:tcPr>
            <w:tcW w:w="1183" w:type="dxa"/>
            <w:tcBorders>
              <w:top w:val="single" w:color="auto" w:sz="6" w:space="0"/>
              <w:left w:val="single" w:color="auto" w:sz="6" w:space="0"/>
              <w:bottom w:val="single" w:color="auto" w:sz="6" w:space="0"/>
              <w:right w:val="single" w:color="auto" w:sz="6" w:space="0"/>
            </w:tcBorders>
            <w:noWrap w:val="0"/>
            <w:vAlign w:val="center"/>
          </w:tcPr>
          <w:p w14:paraId="4E4978F3">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1A4002C9">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528A46D9">
            <w:pPr>
              <w:pStyle w:val="24"/>
              <w:keepNext/>
              <w:spacing w:after="0" w:line="440" w:lineRule="exact"/>
              <w:ind w:right="72"/>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30282047">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51730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A1A00BA">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造价管理</w:t>
            </w:r>
          </w:p>
        </w:tc>
        <w:tc>
          <w:tcPr>
            <w:tcW w:w="1183" w:type="dxa"/>
            <w:tcBorders>
              <w:top w:val="single" w:color="auto" w:sz="6" w:space="0"/>
              <w:left w:val="single" w:color="auto" w:sz="6" w:space="0"/>
              <w:bottom w:val="single" w:color="auto" w:sz="6" w:space="0"/>
              <w:right w:val="single" w:color="auto" w:sz="6" w:space="0"/>
            </w:tcBorders>
            <w:noWrap w:val="0"/>
            <w:vAlign w:val="center"/>
          </w:tcPr>
          <w:p w14:paraId="50AE1CC5">
            <w:pPr>
              <w:pStyle w:val="24"/>
              <w:keepNext/>
              <w:spacing w:after="0" w:line="440" w:lineRule="exact"/>
              <w:ind w:left="72" w:right="72" w:firstLine="480"/>
              <w:jc w:val="center"/>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42BB983E">
            <w:pPr>
              <w:pStyle w:val="24"/>
              <w:keepNext/>
              <w:spacing w:after="0" w:line="440" w:lineRule="exact"/>
              <w:ind w:left="72" w:right="72" w:firstLine="600"/>
              <w:jc w:val="center"/>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3D790490">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5BA98804">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0F47C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7CA84A2">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质量员</w:t>
            </w:r>
          </w:p>
        </w:tc>
        <w:tc>
          <w:tcPr>
            <w:tcW w:w="1183" w:type="dxa"/>
            <w:tcBorders>
              <w:top w:val="single" w:color="auto" w:sz="6" w:space="0"/>
              <w:left w:val="single" w:color="auto" w:sz="6" w:space="0"/>
              <w:bottom w:val="single" w:color="auto" w:sz="6" w:space="0"/>
              <w:right w:val="single" w:color="auto" w:sz="6" w:space="0"/>
            </w:tcBorders>
            <w:noWrap w:val="0"/>
            <w:vAlign w:val="center"/>
          </w:tcPr>
          <w:p w14:paraId="2C2F2D9B">
            <w:pPr>
              <w:pStyle w:val="24"/>
              <w:keepNext/>
              <w:spacing w:after="0" w:line="440" w:lineRule="exact"/>
              <w:ind w:left="72" w:right="72" w:firstLine="480"/>
              <w:jc w:val="center"/>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16A62A09">
            <w:pPr>
              <w:pStyle w:val="24"/>
              <w:keepNext/>
              <w:spacing w:after="0" w:line="440" w:lineRule="exact"/>
              <w:ind w:left="72" w:right="72" w:firstLine="600"/>
              <w:jc w:val="center"/>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01309655">
            <w:pPr>
              <w:pStyle w:val="24"/>
              <w:keepNext/>
              <w:spacing w:after="0" w:line="440" w:lineRule="exact"/>
              <w:ind w:right="72"/>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7F06B5EA">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6B7A1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ED17ECB">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施工员</w:t>
            </w:r>
          </w:p>
        </w:tc>
        <w:tc>
          <w:tcPr>
            <w:tcW w:w="1183" w:type="dxa"/>
            <w:tcBorders>
              <w:top w:val="single" w:color="auto" w:sz="6" w:space="0"/>
              <w:left w:val="single" w:color="auto" w:sz="6" w:space="0"/>
              <w:bottom w:val="single" w:color="auto" w:sz="6" w:space="0"/>
              <w:right w:val="single" w:color="auto" w:sz="6" w:space="0"/>
            </w:tcBorders>
            <w:noWrap w:val="0"/>
            <w:vAlign w:val="center"/>
          </w:tcPr>
          <w:p w14:paraId="2D127A6A">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2B0034A7">
            <w:pPr>
              <w:pStyle w:val="24"/>
              <w:keepNext/>
              <w:spacing w:after="0" w:line="440" w:lineRule="exact"/>
              <w:ind w:right="72"/>
              <w:jc w:val="both"/>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324FD4DE">
            <w:pPr>
              <w:pStyle w:val="24"/>
              <w:keepNext/>
              <w:spacing w:after="0" w:line="440" w:lineRule="exact"/>
              <w:ind w:right="72"/>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45D0AA7C">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293FF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9B38E9F">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资料员</w:t>
            </w:r>
          </w:p>
        </w:tc>
        <w:tc>
          <w:tcPr>
            <w:tcW w:w="1183" w:type="dxa"/>
            <w:tcBorders>
              <w:top w:val="single" w:color="auto" w:sz="6" w:space="0"/>
              <w:left w:val="single" w:color="auto" w:sz="6" w:space="0"/>
              <w:bottom w:val="single" w:color="auto" w:sz="6" w:space="0"/>
              <w:right w:val="single" w:color="auto" w:sz="6" w:space="0"/>
            </w:tcBorders>
            <w:noWrap w:val="0"/>
            <w:vAlign w:val="center"/>
          </w:tcPr>
          <w:p w14:paraId="11BAB894">
            <w:pPr>
              <w:pStyle w:val="24"/>
              <w:keepNext/>
              <w:spacing w:after="0" w:line="440" w:lineRule="exact"/>
              <w:ind w:left="72" w:right="72" w:firstLine="480"/>
              <w:jc w:val="center"/>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161971E5">
            <w:pPr>
              <w:pStyle w:val="24"/>
              <w:keepNext/>
              <w:spacing w:after="0" w:line="440" w:lineRule="exact"/>
              <w:ind w:left="72" w:right="72" w:firstLine="600"/>
              <w:jc w:val="center"/>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2FA9FE31">
            <w:pPr>
              <w:pStyle w:val="24"/>
              <w:keepNext/>
              <w:spacing w:after="0" w:line="440" w:lineRule="exact"/>
              <w:ind w:right="72"/>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4E2701FF">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27DAC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294DB6E">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材料员</w:t>
            </w:r>
          </w:p>
        </w:tc>
        <w:tc>
          <w:tcPr>
            <w:tcW w:w="1183" w:type="dxa"/>
            <w:tcBorders>
              <w:top w:val="single" w:color="auto" w:sz="6" w:space="0"/>
              <w:left w:val="single" w:color="auto" w:sz="6" w:space="0"/>
              <w:bottom w:val="single" w:color="auto" w:sz="6" w:space="0"/>
              <w:right w:val="single" w:color="auto" w:sz="6" w:space="0"/>
            </w:tcBorders>
            <w:noWrap w:val="0"/>
            <w:vAlign w:val="center"/>
          </w:tcPr>
          <w:p w14:paraId="290AB01C">
            <w:pPr>
              <w:pStyle w:val="24"/>
              <w:keepNext/>
              <w:spacing w:after="0" w:line="440" w:lineRule="exact"/>
              <w:ind w:left="72" w:right="72" w:firstLine="480"/>
              <w:jc w:val="center"/>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6AC832B5">
            <w:pPr>
              <w:pStyle w:val="24"/>
              <w:keepNext/>
              <w:spacing w:after="0" w:line="440" w:lineRule="exact"/>
              <w:ind w:left="72" w:right="72" w:firstLine="600"/>
              <w:jc w:val="center"/>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20BEF0F7">
            <w:pPr>
              <w:pStyle w:val="24"/>
              <w:keepNext/>
              <w:spacing w:after="0" w:line="440" w:lineRule="exact"/>
              <w:ind w:right="72"/>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2F6BD14F">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4D45A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left w:val="single" w:color="auto" w:sz="12" w:space="0"/>
              <w:bottom w:val="single" w:color="auto" w:sz="6" w:space="0"/>
              <w:right w:val="single" w:color="auto" w:sz="6" w:space="0"/>
            </w:tcBorders>
            <w:noWrap w:val="0"/>
            <w:vAlign w:val="center"/>
          </w:tcPr>
          <w:p w14:paraId="3503B4C3">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专职安全生产管理人员</w:t>
            </w:r>
          </w:p>
        </w:tc>
        <w:tc>
          <w:tcPr>
            <w:tcW w:w="1183" w:type="dxa"/>
            <w:tcBorders>
              <w:top w:val="single" w:color="auto" w:sz="6" w:space="0"/>
              <w:left w:val="single" w:color="auto" w:sz="6" w:space="0"/>
              <w:bottom w:val="single" w:color="auto" w:sz="6" w:space="0"/>
              <w:right w:val="single" w:color="auto" w:sz="6" w:space="0"/>
            </w:tcBorders>
            <w:noWrap w:val="0"/>
            <w:vAlign w:val="center"/>
          </w:tcPr>
          <w:p w14:paraId="0E223F1E">
            <w:pPr>
              <w:pStyle w:val="24"/>
              <w:keepNext/>
              <w:spacing w:after="0" w:line="440" w:lineRule="exact"/>
              <w:ind w:right="72"/>
              <w:jc w:val="both"/>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54449743">
            <w:pPr>
              <w:pStyle w:val="24"/>
              <w:keepNext/>
              <w:spacing w:after="0" w:line="440" w:lineRule="exact"/>
              <w:ind w:right="72"/>
              <w:jc w:val="center"/>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228FA903">
            <w:pPr>
              <w:pStyle w:val="24"/>
              <w:keepNext/>
              <w:spacing w:after="0" w:line="440" w:lineRule="exact"/>
              <w:ind w:right="72"/>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21CAFCB7">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4B8D8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070B063D">
            <w:pPr>
              <w:widowControl/>
              <w:jc w:val="left"/>
              <w:rPr>
                <w:rFonts w:hint="eastAsia" w:ascii="宋体" w:hAnsi="宋体" w:eastAsia="宋体" w:cs="宋体"/>
                <w:color w:val="auto"/>
                <w:kern w:val="0"/>
                <w:sz w:val="24"/>
                <w:szCs w:val="24"/>
                <w:highlight w:val="none"/>
              </w:rPr>
            </w:pPr>
          </w:p>
        </w:tc>
        <w:tc>
          <w:tcPr>
            <w:tcW w:w="1183" w:type="dxa"/>
            <w:tcBorders>
              <w:top w:val="single" w:color="auto" w:sz="6" w:space="0"/>
              <w:left w:val="single" w:color="auto" w:sz="6" w:space="0"/>
              <w:bottom w:val="single" w:color="auto" w:sz="6" w:space="0"/>
              <w:right w:val="single" w:color="auto" w:sz="6" w:space="0"/>
            </w:tcBorders>
            <w:noWrap w:val="0"/>
            <w:vAlign w:val="center"/>
          </w:tcPr>
          <w:p w14:paraId="54E8F9A1">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12EE7966">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06BA116B">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69E15954">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7F356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1C384D3F">
            <w:pPr>
              <w:widowControl/>
              <w:jc w:val="left"/>
              <w:rPr>
                <w:rFonts w:hint="eastAsia" w:ascii="宋体" w:hAnsi="宋体" w:eastAsia="宋体" w:cs="宋体"/>
                <w:color w:val="auto"/>
                <w:kern w:val="0"/>
                <w:sz w:val="24"/>
                <w:szCs w:val="24"/>
                <w:highlight w:val="none"/>
              </w:rPr>
            </w:pPr>
          </w:p>
        </w:tc>
        <w:tc>
          <w:tcPr>
            <w:tcW w:w="1183" w:type="dxa"/>
            <w:tcBorders>
              <w:top w:val="single" w:color="auto" w:sz="6" w:space="0"/>
              <w:left w:val="single" w:color="auto" w:sz="6" w:space="0"/>
              <w:bottom w:val="single" w:color="auto" w:sz="6" w:space="0"/>
              <w:right w:val="single" w:color="auto" w:sz="6" w:space="0"/>
            </w:tcBorders>
            <w:noWrap w:val="0"/>
            <w:vAlign w:val="center"/>
          </w:tcPr>
          <w:p w14:paraId="67C26EE8">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0F14D05B">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550672D0">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22B5F1C9">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27E35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198C44D2">
            <w:pPr>
              <w:widowControl/>
              <w:jc w:val="left"/>
              <w:rPr>
                <w:rFonts w:hint="eastAsia" w:ascii="宋体" w:hAnsi="宋体" w:eastAsia="宋体" w:cs="宋体"/>
                <w:color w:val="auto"/>
                <w:kern w:val="0"/>
                <w:sz w:val="24"/>
                <w:szCs w:val="24"/>
                <w:highlight w:val="none"/>
              </w:rPr>
            </w:pPr>
          </w:p>
        </w:tc>
        <w:tc>
          <w:tcPr>
            <w:tcW w:w="1183" w:type="dxa"/>
            <w:tcBorders>
              <w:top w:val="single" w:color="auto" w:sz="6" w:space="0"/>
              <w:left w:val="single" w:color="auto" w:sz="6" w:space="0"/>
              <w:bottom w:val="single" w:color="auto" w:sz="6" w:space="0"/>
              <w:right w:val="single" w:color="auto" w:sz="6" w:space="0"/>
            </w:tcBorders>
            <w:noWrap w:val="0"/>
            <w:vAlign w:val="center"/>
          </w:tcPr>
          <w:p w14:paraId="7A25E1F7">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660C51BD">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14D270B9">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094F20CD">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3D287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27CD3797">
            <w:pPr>
              <w:widowControl/>
              <w:jc w:val="left"/>
              <w:rPr>
                <w:rFonts w:hint="eastAsia" w:ascii="宋体" w:hAnsi="宋体" w:eastAsia="宋体" w:cs="宋体"/>
                <w:color w:val="auto"/>
                <w:kern w:val="0"/>
                <w:sz w:val="24"/>
                <w:szCs w:val="24"/>
                <w:highlight w:val="none"/>
              </w:rPr>
            </w:pPr>
          </w:p>
        </w:tc>
        <w:tc>
          <w:tcPr>
            <w:tcW w:w="1183" w:type="dxa"/>
            <w:tcBorders>
              <w:top w:val="single" w:color="auto" w:sz="6" w:space="0"/>
              <w:left w:val="single" w:color="auto" w:sz="6" w:space="0"/>
              <w:bottom w:val="single" w:color="auto" w:sz="6" w:space="0"/>
              <w:right w:val="single" w:color="auto" w:sz="6" w:space="0"/>
            </w:tcBorders>
            <w:noWrap w:val="0"/>
            <w:vAlign w:val="center"/>
          </w:tcPr>
          <w:p w14:paraId="376C161B">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0A717139">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74A893B4">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70C60666">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3A4EF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left w:val="single" w:color="auto" w:sz="12" w:space="0"/>
              <w:bottom w:val="single" w:color="auto" w:sz="6" w:space="0"/>
              <w:right w:val="single" w:color="auto" w:sz="6" w:space="0"/>
            </w:tcBorders>
            <w:noWrap w:val="0"/>
            <w:vAlign w:val="center"/>
          </w:tcPr>
          <w:p w14:paraId="3CD4246A">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其他人员</w:t>
            </w:r>
          </w:p>
        </w:tc>
        <w:tc>
          <w:tcPr>
            <w:tcW w:w="1183" w:type="dxa"/>
            <w:tcBorders>
              <w:top w:val="single" w:color="auto" w:sz="6" w:space="0"/>
              <w:left w:val="single" w:color="auto" w:sz="6" w:space="0"/>
              <w:bottom w:val="single" w:color="auto" w:sz="6" w:space="0"/>
              <w:right w:val="single" w:color="auto" w:sz="6" w:space="0"/>
            </w:tcBorders>
            <w:noWrap w:val="0"/>
            <w:vAlign w:val="center"/>
          </w:tcPr>
          <w:p w14:paraId="3D1D03A3">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33ED6645">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5F25B298">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2F2BAA0A">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5715E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6" w:space="0"/>
              <w:right w:val="single" w:color="auto" w:sz="6" w:space="0"/>
            </w:tcBorders>
            <w:noWrap w:val="0"/>
            <w:vAlign w:val="center"/>
          </w:tcPr>
          <w:p w14:paraId="694153C2">
            <w:pPr>
              <w:widowControl/>
              <w:jc w:val="left"/>
              <w:rPr>
                <w:rFonts w:hint="eastAsia" w:ascii="宋体" w:hAnsi="宋体" w:eastAsia="宋体" w:cs="宋体"/>
                <w:color w:val="auto"/>
                <w:kern w:val="0"/>
                <w:sz w:val="24"/>
                <w:szCs w:val="24"/>
                <w:highlight w:val="none"/>
              </w:rPr>
            </w:pPr>
          </w:p>
        </w:tc>
        <w:tc>
          <w:tcPr>
            <w:tcW w:w="1183" w:type="dxa"/>
            <w:tcBorders>
              <w:top w:val="single" w:color="auto" w:sz="6" w:space="0"/>
              <w:left w:val="single" w:color="auto" w:sz="6" w:space="0"/>
              <w:bottom w:val="single" w:color="auto" w:sz="6" w:space="0"/>
              <w:right w:val="single" w:color="auto" w:sz="6" w:space="0"/>
            </w:tcBorders>
            <w:noWrap w:val="0"/>
            <w:vAlign w:val="center"/>
          </w:tcPr>
          <w:p w14:paraId="7E6D5493">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14:paraId="3E51E1CC">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6" w:space="0"/>
              <w:right w:val="single" w:color="auto" w:sz="6" w:space="0"/>
            </w:tcBorders>
            <w:noWrap w:val="0"/>
            <w:vAlign w:val="center"/>
          </w:tcPr>
          <w:p w14:paraId="7D0E96F6">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6" w:space="0"/>
              <w:right w:val="single" w:color="auto" w:sz="12" w:space="0"/>
            </w:tcBorders>
            <w:noWrap w:val="0"/>
            <w:vAlign w:val="center"/>
          </w:tcPr>
          <w:p w14:paraId="677649C9">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r w14:paraId="1658D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op w:val="single" w:color="auto" w:sz="6" w:space="0"/>
              <w:left w:val="single" w:color="auto" w:sz="12" w:space="0"/>
              <w:bottom w:val="single" w:color="auto" w:sz="12" w:space="0"/>
              <w:right w:val="single" w:color="auto" w:sz="6" w:space="0"/>
            </w:tcBorders>
            <w:noWrap w:val="0"/>
            <w:vAlign w:val="center"/>
          </w:tcPr>
          <w:p w14:paraId="4E0D3D48">
            <w:pPr>
              <w:widowControl/>
              <w:jc w:val="left"/>
              <w:rPr>
                <w:rFonts w:hint="eastAsia" w:ascii="宋体" w:hAnsi="宋体" w:eastAsia="宋体" w:cs="宋体"/>
                <w:color w:val="auto"/>
                <w:kern w:val="0"/>
                <w:sz w:val="24"/>
                <w:szCs w:val="24"/>
                <w:highlight w:val="none"/>
              </w:rPr>
            </w:pPr>
          </w:p>
        </w:tc>
        <w:tc>
          <w:tcPr>
            <w:tcW w:w="1183" w:type="dxa"/>
            <w:tcBorders>
              <w:top w:val="single" w:color="auto" w:sz="6" w:space="0"/>
              <w:left w:val="single" w:color="auto" w:sz="6" w:space="0"/>
              <w:bottom w:val="single" w:color="auto" w:sz="12" w:space="0"/>
              <w:right w:val="single" w:color="auto" w:sz="6" w:space="0"/>
            </w:tcBorders>
            <w:noWrap w:val="0"/>
            <w:vAlign w:val="center"/>
          </w:tcPr>
          <w:p w14:paraId="126D8948">
            <w:pPr>
              <w:pStyle w:val="24"/>
              <w:keepNext/>
              <w:spacing w:after="0" w:line="440" w:lineRule="exact"/>
              <w:ind w:left="72" w:right="72" w:firstLine="480"/>
              <w:rPr>
                <w:rFonts w:hint="eastAsia" w:ascii="宋体" w:hAnsi="宋体" w:eastAsia="宋体" w:cs="宋体"/>
                <w:color w:val="auto"/>
                <w:sz w:val="24"/>
                <w:szCs w:val="24"/>
                <w:highlight w:val="none"/>
                <w:lang w:val="en-US" w:eastAsia="zh-CN"/>
              </w:rPr>
            </w:pPr>
          </w:p>
        </w:tc>
        <w:tc>
          <w:tcPr>
            <w:tcW w:w="1369" w:type="dxa"/>
            <w:tcBorders>
              <w:top w:val="single" w:color="auto" w:sz="6" w:space="0"/>
              <w:left w:val="single" w:color="auto" w:sz="6" w:space="0"/>
              <w:bottom w:val="single" w:color="auto" w:sz="12" w:space="0"/>
              <w:right w:val="single" w:color="auto" w:sz="6" w:space="0"/>
            </w:tcBorders>
            <w:noWrap w:val="0"/>
            <w:vAlign w:val="center"/>
          </w:tcPr>
          <w:p w14:paraId="77B42A91">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1255" w:type="dxa"/>
            <w:tcBorders>
              <w:top w:val="single" w:color="auto" w:sz="6" w:space="0"/>
              <w:left w:val="single" w:color="auto" w:sz="6" w:space="0"/>
              <w:bottom w:val="single" w:color="auto" w:sz="12" w:space="0"/>
              <w:right w:val="single" w:color="auto" w:sz="6" w:space="0"/>
            </w:tcBorders>
            <w:noWrap w:val="0"/>
            <w:vAlign w:val="center"/>
          </w:tcPr>
          <w:p w14:paraId="21CC1901">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c>
          <w:tcPr>
            <w:tcW w:w="4131" w:type="dxa"/>
            <w:tcBorders>
              <w:top w:val="single" w:color="auto" w:sz="6" w:space="0"/>
              <w:left w:val="single" w:color="auto" w:sz="6" w:space="0"/>
              <w:bottom w:val="single" w:color="auto" w:sz="12" w:space="0"/>
              <w:right w:val="single" w:color="auto" w:sz="12" w:space="0"/>
            </w:tcBorders>
            <w:noWrap w:val="0"/>
            <w:vAlign w:val="center"/>
          </w:tcPr>
          <w:p w14:paraId="69104254">
            <w:pPr>
              <w:pStyle w:val="24"/>
              <w:keepNext/>
              <w:spacing w:after="0" w:line="440" w:lineRule="exact"/>
              <w:ind w:left="72" w:right="72" w:firstLine="600"/>
              <w:rPr>
                <w:rFonts w:hint="eastAsia" w:ascii="宋体" w:hAnsi="宋体" w:eastAsia="宋体" w:cs="宋体"/>
                <w:color w:val="auto"/>
                <w:sz w:val="24"/>
                <w:szCs w:val="24"/>
                <w:highlight w:val="none"/>
                <w:lang w:val="en-US" w:eastAsia="zh-CN"/>
              </w:rPr>
            </w:pPr>
          </w:p>
        </w:tc>
      </w:tr>
    </w:tbl>
    <w:p w14:paraId="431AB9CE">
      <w:pPr>
        <w:spacing w:line="500" w:lineRule="exact"/>
        <w:rPr>
          <w:rFonts w:hint="eastAsia" w:ascii="宋体" w:hAnsi="宋体" w:eastAsia="宋体" w:cs="宋体"/>
          <w:color w:val="auto"/>
          <w:sz w:val="24"/>
          <w:szCs w:val="24"/>
          <w:highlight w:val="none"/>
          <w:u w:val="single"/>
        </w:rPr>
      </w:pPr>
      <w:bookmarkStart w:id="1395" w:name="_Toc267261701"/>
      <w:bookmarkEnd w:id="1395"/>
      <w:r>
        <w:rPr>
          <w:rFonts w:hint="eastAsia" w:ascii="宋体" w:hAnsi="宋体" w:eastAsia="宋体" w:cs="宋体"/>
          <w:color w:val="auto"/>
          <w:sz w:val="24"/>
          <w:szCs w:val="24"/>
          <w:highlight w:val="none"/>
          <w:u w:val="single"/>
        </w:rPr>
        <w:t xml:space="preserve"> </w:t>
      </w:r>
    </w:p>
    <w:p w14:paraId="11384A1C">
      <w:pPr>
        <w:pStyle w:val="33"/>
        <w:spacing w:line="360" w:lineRule="auto"/>
        <w:jc w:val="left"/>
        <w:outlineLvl w:val="0"/>
        <w:rPr>
          <w:rFonts w:hint="eastAsia" w:ascii="宋体" w:hAnsi="宋体" w:eastAsia="宋体" w:cs="宋体"/>
          <w:color w:val="auto"/>
          <w:sz w:val="24"/>
          <w:szCs w:val="24"/>
          <w:highlight w:val="none"/>
        </w:rPr>
      </w:pPr>
    </w:p>
    <w:p w14:paraId="2E11E1FD">
      <w:pPr>
        <w:spacing w:line="480" w:lineRule="auto"/>
        <w:jc w:val="center"/>
        <w:rPr>
          <w:rFonts w:ascii="宋体" w:hAnsi="宋体" w:cs="宋体"/>
          <w:b/>
          <w:color w:val="auto"/>
          <w:sz w:val="24"/>
          <w:highlight w:val="none"/>
        </w:rPr>
      </w:pPr>
    </w:p>
    <w:p w14:paraId="75EB293E">
      <w:pPr>
        <w:spacing w:line="360" w:lineRule="auto"/>
        <w:ind w:left="-420" w:leftChars="-200" w:right="-420" w:rightChars="-200" w:firstLine="480" w:firstLineChars="200"/>
        <w:jc w:val="center"/>
        <w:rPr>
          <w:rFonts w:ascii="宋体" w:hAnsi="宋体" w:cs="宋体"/>
          <w:color w:val="auto"/>
          <w:sz w:val="24"/>
          <w:highlight w:val="none"/>
        </w:rPr>
      </w:pPr>
    </w:p>
    <w:p w14:paraId="1C71D886">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9" w:type="first"/>
          <w:footerReference r:id="rId11" w:type="first"/>
          <w:footerReference r:id="rId10" w:type="default"/>
          <w:pgSz w:w="11906" w:h="16838"/>
          <w:pgMar w:top="1440" w:right="1080" w:bottom="1440" w:left="1080" w:header="851" w:footer="992" w:gutter="0"/>
          <w:pgNumType w:fmt="decimal"/>
          <w:cols w:space="720" w:num="1"/>
          <w:titlePg/>
          <w:docGrid w:linePitch="312" w:charSpace="0"/>
        </w:sectPr>
      </w:pPr>
    </w:p>
    <w:p w14:paraId="42DAED0C">
      <w:pPr>
        <w:snapToGrid w:val="0"/>
        <w:spacing w:line="360" w:lineRule="auto"/>
        <w:jc w:val="center"/>
        <w:outlineLvl w:val="0"/>
        <w:rPr>
          <w:rFonts w:hint="eastAsia" w:ascii="宋体" w:hAnsi="宋体" w:cs="宋体"/>
          <w:b/>
          <w:color w:val="auto"/>
          <w:sz w:val="36"/>
          <w:szCs w:val="20"/>
          <w:highlight w:val="none"/>
        </w:rPr>
      </w:pPr>
    </w:p>
    <w:p w14:paraId="1C56505D">
      <w:pPr>
        <w:snapToGrid w:val="0"/>
        <w:spacing w:line="360" w:lineRule="auto"/>
        <w:jc w:val="center"/>
        <w:outlineLvl w:val="0"/>
        <w:rPr>
          <w:rFonts w:hint="eastAsia" w:ascii="宋体" w:hAnsi="宋体" w:cs="宋体"/>
          <w:b/>
          <w:color w:val="auto"/>
          <w:sz w:val="36"/>
          <w:szCs w:val="20"/>
          <w:highlight w:val="none"/>
        </w:rPr>
      </w:pPr>
    </w:p>
    <w:p w14:paraId="622D6772">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bookmarkEnd w:id="397"/>
      <w:r>
        <w:rPr>
          <w:rFonts w:hint="eastAsia" w:ascii="宋体" w:hAnsi="宋体" w:cs="宋体"/>
          <w:b/>
          <w:color w:val="auto"/>
          <w:sz w:val="36"/>
          <w:szCs w:val="20"/>
          <w:highlight w:val="none"/>
          <w:lang w:val="en-US" w:eastAsia="zh-CN"/>
        </w:rPr>
        <w:t xml:space="preserve">  </w:t>
      </w:r>
      <w:r>
        <w:rPr>
          <w:rFonts w:hint="eastAsia" w:ascii="宋体" w:hAnsi="宋体" w:cs="宋体"/>
          <w:b/>
          <w:color w:val="auto"/>
          <w:sz w:val="36"/>
          <w:szCs w:val="20"/>
          <w:highlight w:val="none"/>
        </w:rPr>
        <w:t>应提交的有关格式范例</w:t>
      </w:r>
    </w:p>
    <w:p w14:paraId="03297461">
      <w:pPr>
        <w:spacing w:line="360" w:lineRule="auto"/>
        <w:jc w:val="center"/>
        <w:rPr>
          <w:rFonts w:ascii="宋体" w:hAnsi="宋体" w:cs="宋体"/>
          <w:b/>
          <w:color w:val="auto"/>
          <w:kern w:val="0"/>
          <w:sz w:val="36"/>
          <w:szCs w:val="36"/>
          <w:highlight w:val="none"/>
        </w:rPr>
      </w:pPr>
    </w:p>
    <w:p w14:paraId="36AA9262">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D3D01DA">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B48CEA8">
      <w:pPr>
        <w:spacing w:line="360" w:lineRule="auto"/>
        <w:jc w:val="center"/>
        <w:rPr>
          <w:rFonts w:ascii="宋体" w:hAnsi="宋体" w:cs="宋体"/>
          <w:b/>
          <w:color w:val="auto"/>
          <w:kern w:val="0"/>
          <w:sz w:val="36"/>
          <w:szCs w:val="36"/>
          <w:highlight w:val="none"/>
        </w:rPr>
      </w:pPr>
    </w:p>
    <w:p w14:paraId="0B8F1D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943285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69310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976CB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CA3AEC2">
      <w:pPr>
        <w:snapToGrid w:val="0"/>
        <w:spacing w:line="360" w:lineRule="auto"/>
        <w:ind w:firstLine="480" w:firstLineChars="200"/>
        <w:rPr>
          <w:rFonts w:ascii="宋体" w:hAnsi="宋体" w:cs="宋体"/>
          <w:color w:val="auto"/>
          <w:sz w:val="24"/>
          <w:highlight w:val="none"/>
        </w:rPr>
      </w:pPr>
    </w:p>
    <w:p w14:paraId="63143A57">
      <w:pPr>
        <w:spacing w:line="360" w:lineRule="auto"/>
        <w:ind w:firstLine="480" w:firstLineChars="200"/>
        <w:rPr>
          <w:rFonts w:ascii="宋体" w:hAnsi="宋体" w:cs="宋体"/>
          <w:color w:val="auto"/>
          <w:sz w:val="24"/>
          <w:highlight w:val="none"/>
        </w:rPr>
      </w:pPr>
    </w:p>
    <w:p w14:paraId="4043549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6C44C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8D445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我方参与（项目名称）【项目编号：】政府采购活动，郑重承诺：</w:t>
      </w:r>
    </w:p>
    <w:p w14:paraId="69C7F58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A1914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0DC5A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48EB9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1106E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35DD5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22CAD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70AD8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32A2A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38413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997F6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25A695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0B2095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48EE249B">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356C312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3791CA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39CA8719">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0BE4C01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A619B9E">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6155140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50EAA7C">
      <w:pPr>
        <w:widowControl/>
        <w:spacing w:line="360" w:lineRule="auto"/>
        <w:ind w:firstLine="480"/>
        <w:jc w:val="left"/>
        <w:rPr>
          <w:rFonts w:ascii="宋体" w:hAnsi="宋体" w:cs="宋体"/>
          <w:color w:val="auto"/>
          <w:sz w:val="24"/>
          <w:highlight w:val="none"/>
        </w:rPr>
      </w:pPr>
    </w:p>
    <w:p w14:paraId="15E1D3B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A66A8E1">
      <w:pPr>
        <w:snapToGrid w:val="0"/>
        <w:spacing w:before="50" w:after="50" w:line="360" w:lineRule="auto"/>
        <w:jc w:val="center"/>
        <w:rPr>
          <w:rFonts w:ascii="宋体" w:hAnsi="宋体" w:cs="宋体"/>
          <w:color w:val="auto"/>
          <w:sz w:val="24"/>
          <w:highlight w:val="none"/>
        </w:rPr>
      </w:pPr>
    </w:p>
    <w:p w14:paraId="58750C1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B4A1A8E">
      <w:pPr>
        <w:widowControl/>
        <w:spacing w:line="360" w:lineRule="auto"/>
        <w:ind w:left="150"/>
        <w:jc w:val="center"/>
        <w:rPr>
          <w:rFonts w:ascii="宋体" w:hAnsi="宋体" w:cs="宋体"/>
          <w:b/>
          <w:color w:val="auto"/>
          <w:kern w:val="0"/>
          <w:sz w:val="32"/>
          <w:szCs w:val="32"/>
          <w:highlight w:val="none"/>
        </w:rPr>
      </w:pPr>
    </w:p>
    <w:p w14:paraId="5406D3E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5BACF4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184B83F5">
      <w:pPr>
        <w:rPr>
          <w:rFonts w:ascii="宋体" w:hAnsi="宋体" w:cs="宋体"/>
          <w:color w:val="auto"/>
          <w:highlight w:val="none"/>
        </w:rPr>
      </w:pPr>
    </w:p>
    <w:p w14:paraId="2C5744B7">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7B854D60">
      <w:pPr>
        <w:keepNext/>
        <w:keepLines/>
        <w:tabs>
          <w:tab w:val="left" w:pos="432"/>
        </w:tabs>
        <w:adjustRightInd/>
        <w:ind w:left="431" w:hanging="431"/>
        <w:rPr>
          <w:rFonts w:ascii="宋体" w:hAnsi="宋体" w:cs="宋体"/>
          <w:color w:val="auto"/>
          <w:kern w:val="0"/>
          <w:sz w:val="36"/>
          <w:szCs w:val="36"/>
          <w:highlight w:val="none"/>
        </w:rPr>
      </w:pPr>
    </w:p>
    <w:p w14:paraId="25E158A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95DA5DB">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CE7235C">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79BEEFEC">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07C24391">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1CF618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0F49878F">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49CFB2D2">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60A42CCD">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1602BE55">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2E4FDD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CA289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我方参加你方组织的（项目名称）【项目编号：】采购的有关活动，并对此项目提交响应文件及报价。为此：</w:t>
      </w:r>
    </w:p>
    <w:p w14:paraId="746FC1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70D4DB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3AA428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9131C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D7F37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3EAB32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落实政府采购政策需满足的资格要求；中小企业声明函。</w:t>
      </w:r>
    </w:p>
    <w:p w14:paraId="509B23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9E54DF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7B341A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p>
    <w:p w14:paraId="646087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798CB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095A6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E5E9F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0C7DBE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127739C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424A68B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F3FB70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78962A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7F5C08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w:t>
      </w:r>
    </w:p>
    <w:p w14:paraId="0824EF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16D0FFF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68D1ADD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C76FF7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61CF3C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E81149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14:paraId="5AF9D71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C9B37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ACF2FC2">
      <w:pPr>
        <w:snapToGrid w:val="0"/>
        <w:spacing w:line="360" w:lineRule="auto"/>
        <w:ind w:left="420" w:leftChars="200" w:firstLine="4200" w:firstLineChars="1750"/>
        <w:rPr>
          <w:rFonts w:ascii="宋体" w:hAnsi="宋体" w:cs="宋体"/>
          <w:color w:val="auto"/>
          <w:kern w:val="0"/>
          <w:sz w:val="24"/>
          <w:highlight w:val="none"/>
          <w:u w:val="single"/>
        </w:rPr>
      </w:pPr>
    </w:p>
    <w:p w14:paraId="213B5ED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96894A">
      <w:pPr>
        <w:snapToGrid w:val="0"/>
        <w:spacing w:line="360" w:lineRule="auto"/>
        <w:jc w:val="center"/>
        <w:rPr>
          <w:rFonts w:ascii="宋体" w:hAnsi="宋体" w:cs="宋体"/>
          <w:b/>
          <w:color w:val="auto"/>
          <w:kern w:val="0"/>
          <w:sz w:val="32"/>
          <w:szCs w:val="32"/>
          <w:highlight w:val="none"/>
        </w:rPr>
      </w:pPr>
    </w:p>
    <w:p w14:paraId="76499350">
      <w:pPr>
        <w:snapToGrid w:val="0"/>
        <w:spacing w:line="360" w:lineRule="auto"/>
        <w:rPr>
          <w:rFonts w:ascii="宋体" w:hAnsi="宋体" w:cs="宋体"/>
          <w:color w:val="auto"/>
          <w:sz w:val="24"/>
          <w:highlight w:val="none"/>
        </w:rPr>
      </w:pPr>
    </w:p>
    <w:p w14:paraId="7152ED25">
      <w:pPr>
        <w:jc w:val="center"/>
        <w:rPr>
          <w:rFonts w:ascii="宋体" w:hAnsi="宋体" w:cs="宋体"/>
          <w:b/>
          <w:color w:val="auto"/>
          <w:kern w:val="0"/>
          <w:sz w:val="32"/>
          <w:szCs w:val="32"/>
          <w:highlight w:val="none"/>
        </w:rPr>
      </w:pPr>
    </w:p>
    <w:p w14:paraId="5B7C7E53">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0E041E01">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1A91954">
      <w:pPr>
        <w:snapToGrid w:val="0"/>
        <w:spacing w:line="360" w:lineRule="auto"/>
        <w:rPr>
          <w:rFonts w:ascii="宋体" w:hAnsi="宋体" w:cs="宋体"/>
          <w:color w:val="auto"/>
          <w:sz w:val="24"/>
          <w:highlight w:val="none"/>
        </w:rPr>
      </w:pPr>
    </w:p>
    <w:p w14:paraId="448BAC6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43B31E9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B4EB1B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（项目名称）【项目编号：】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70A29B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013E734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40CAB7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7B9908F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AADA975">
      <w:pPr>
        <w:snapToGrid w:val="0"/>
        <w:spacing w:line="360" w:lineRule="auto"/>
        <w:rPr>
          <w:rFonts w:ascii="宋体" w:hAnsi="宋体" w:cs="宋体"/>
          <w:color w:val="auto"/>
          <w:sz w:val="24"/>
          <w:highlight w:val="none"/>
        </w:rPr>
      </w:pPr>
    </w:p>
    <w:p w14:paraId="3876BA5F">
      <w:pPr>
        <w:snapToGrid w:val="0"/>
        <w:spacing w:line="360" w:lineRule="auto"/>
        <w:rPr>
          <w:rFonts w:ascii="宋体" w:hAnsi="宋体" w:cs="宋体"/>
          <w:color w:val="auto"/>
          <w:sz w:val="24"/>
          <w:highlight w:val="none"/>
        </w:rPr>
      </w:pPr>
    </w:p>
    <w:p w14:paraId="47E7F566">
      <w:pPr>
        <w:snapToGrid w:val="0"/>
        <w:spacing w:line="360" w:lineRule="auto"/>
        <w:rPr>
          <w:rFonts w:ascii="宋体" w:hAnsi="宋体" w:cs="宋体"/>
          <w:color w:val="auto"/>
          <w:sz w:val="24"/>
          <w:highlight w:val="none"/>
        </w:rPr>
      </w:pPr>
    </w:p>
    <w:p w14:paraId="6F510288">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6D17536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C25FCA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（项目名称）【项目编号：】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1EA8EE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5FCA6CA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606D2AC2">
      <w:pPr>
        <w:jc w:val="center"/>
        <w:rPr>
          <w:rFonts w:ascii="宋体" w:hAnsi="宋体" w:cs="宋体"/>
          <w:b/>
          <w:color w:val="auto"/>
          <w:kern w:val="0"/>
          <w:sz w:val="32"/>
          <w:szCs w:val="32"/>
          <w:highlight w:val="none"/>
        </w:rPr>
      </w:pPr>
    </w:p>
    <w:p w14:paraId="79B7A78C">
      <w:pPr>
        <w:jc w:val="center"/>
        <w:rPr>
          <w:rFonts w:ascii="宋体" w:hAnsi="宋体" w:cs="宋体"/>
          <w:b/>
          <w:color w:val="auto"/>
          <w:kern w:val="0"/>
          <w:sz w:val="32"/>
          <w:szCs w:val="32"/>
          <w:highlight w:val="none"/>
        </w:rPr>
      </w:pPr>
    </w:p>
    <w:p w14:paraId="0288D624">
      <w:pPr>
        <w:jc w:val="center"/>
        <w:rPr>
          <w:rFonts w:ascii="宋体" w:hAnsi="宋体" w:cs="宋体"/>
          <w:b/>
          <w:color w:val="auto"/>
          <w:kern w:val="0"/>
          <w:sz w:val="32"/>
          <w:szCs w:val="32"/>
          <w:highlight w:val="none"/>
        </w:rPr>
      </w:pPr>
    </w:p>
    <w:p w14:paraId="7679E7DC">
      <w:pPr>
        <w:rPr>
          <w:rFonts w:ascii="宋体" w:hAnsi="宋体" w:cs="宋体"/>
          <w:color w:val="auto"/>
          <w:highlight w:val="none"/>
        </w:rPr>
      </w:pPr>
    </w:p>
    <w:p w14:paraId="0D8A71D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313D1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EBDC6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72C124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6D2525D">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7833A22C">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16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7543BB2">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9BFBF51">
            <w:pPr>
              <w:pStyle w:val="147"/>
              <w:adjustRightInd w:val="0"/>
              <w:spacing w:line="360" w:lineRule="auto"/>
              <w:rPr>
                <w:rFonts w:hAnsi="宋体" w:cs="宋体"/>
                <w:bCs/>
                <w:color w:val="auto"/>
                <w:sz w:val="24"/>
                <w:highlight w:val="none"/>
              </w:rPr>
            </w:pPr>
          </w:p>
        </w:tc>
      </w:tr>
    </w:tbl>
    <w:p w14:paraId="496AB057">
      <w:pPr>
        <w:snapToGrid w:val="0"/>
        <w:spacing w:line="360" w:lineRule="auto"/>
        <w:ind w:firstLine="576"/>
        <w:jc w:val="center"/>
        <w:rPr>
          <w:rFonts w:ascii="宋体" w:hAnsi="宋体" w:cs="宋体"/>
          <w:color w:val="auto"/>
          <w:kern w:val="0"/>
          <w:sz w:val="24"/>
          <w:highlight w:val="none"/>
          <w:lang w:val="zh-CN"/>
        </w:rPr>
      </w:pPr>
    </w:p>
    <w:p w14:paraId="3A08B5B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5B78AB5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516D30E">
      <w:pPr>
        <w:jc w:val="center"/>
        <w:rPr>
          <w:rFonts w:ascii="宋体" w:hAnsi="宋体" w:cs="宋体"/>
          <w:b/>
          <w:color w:val="auto"/>
          <w:kern w:val="0"/>
          <w:sz w:val="32"/>
          <w:szCs w:val="32"/>
          <w:highlight w:val="none"/>
        </w:rPr>
      </w:pPr>
    </w:p>
    <w:p w14:paraId="3509A775">
      <w:pPr>
        <w:jc w:val="center"/>
        <w:rPr>
          <w:rFonts w:ascii="宋体" w:hAnsi="宋体" w:cs="宋体"/>
          <w:b/>
          <w:color w:val="auto"/>
          <w:kern w:val="0"/>
          <w:sz w:val="32"/>
          <w:szCs w:val="32"/>
          <w:highlight w:val="none"/>
        </w:rPr>
      </w:pPr>
    </w:p>
    <w:p w14:paraId="0269958A">
      <w:pPr>
        <w:jc w:val="center"/>
        <w:rPr>
          <w:rFonts w:ascii="宋体" w:hAnsi="宋体" w:cs="宋体"/>
          <w:b/>
          <w:color w:val="auto"/>
          <w:kern w:val="0"/>
          <w:sz w:val="32"/>
          <w:szCs w:val="32"/>
          <w:highlight w:val="none"/>
        </w:rPr>
      </w:pPr>
    </w:p>
    <w:p w14:paraId="4EC62AB7">
      <w:pPr>
        <w:jc w:val="center"/>
        <w:rPr>
          <w:rFonts w:ascii="宋体" w:hAnsi="宋体" w:cs="宋体"/>
          <w:b/>
          <w:color w:val="auto"/>
          <w:kern w:val="0"/>
          <w:sz w:val="32"/>
          <w:szCs w:val="32"/>
          <w:highlight w:val="none"/>
        </w:rPr>
      </w:pPr>
    </w:p>
    <w:p w14:paraId="02B80D5A">
      <w:pPr>
        <w:jc w:val="center"/>
        <w:rPr>
          <w:rFonts w:ascii="宋体" w:hAnsi="宋体" w:cs="宋体"/>
          <w:b/>
          <w:color w:val="auto"/>
          <w:kern w:val="0"/>
          <w:sz w:val="32"/>
          <w:szCs w:val="32"/>
          <w:highlight w:val="none"/>
        </w:rPr>
      </w:pPr>
    </w:p>
    <w:p w14:paraId="659A10B0">
      <w:pPr>
        <w:jc w:val="center"/>
        <w:rPr>
          <w:rFonts w:ascii="宋体" w:hAnsi="宋体" w:cs="宋体"/>
          <w:b/>
          <w:color w:val="auto"/>
          <w:kern w:val="0"/>
          <w:sz w:val="32"/>
          <w:szCs w:val="32"/>
          <w:highlight w:val="none"/>
        </w:rPr>
      </w:pPr>
    </w:p>
    <w:p w14:paraId="58319E3A">
      <w:pPr>
        <w:jc w:val="center"/>
        <w:rPr>
          <w:rFonts w:ascii="宋体" w:hAnsi="宋体" w:cs="宋体"/>
          <w:b/>
          <w:color w:val="auto"/>
          <w:kern w:val="0"/>
          <w:sz w:val="32"/>
          <w:szCs w:val="32"/>
          <w:highlight w:val="none"/>
        </w:rPr>
      </w:pPr>
    </w:p>
    <w:p w14:paraId="5C22C4A1">
      <w:pPr>
        <w:jc w:val="center"/>
        <w:rPr>
          <w:rFonts w:ascii="宋体" w:hAnsi="宋体" w:cs="宋体"/>
          <w:b/>
          <w:color w:val="auto"/>
          <w:kern w:val="0"/>
          <w:sz w:val="32"/>
          <w:szCs w:val="32"/>
          <w:highlight w:val="none"/>
        </w:rPr>
      </w:pPr>
    </w:p>
    <w:p w14:paraId="0992107E">
      <w:pPr>
        <w:jc w:val="center"/>
        <w:rPr>
          <w:rFonts w:ascii="宋体" w:hAnsi="宋体" w:cs="宋体"/>
          <w:b/>
          <w:color w:val="auto"/>
          <w:kern w:val="0"/>
          <w:sz w:val="32"/>
          <w:szCs w:val="32"/>
          <w:highlight w:val="none"/>
        </w:rPr>
      </w:pPr>
    </w:p>
    <w:p w14:paraId="7D4C7D32">
      <w:pPr>
        <w:jc w:val="center"/>
        <w:rPr>
          <w:rFonts w:ascii="宋体" w:hAnsi="宋体" w:cs="宋体"/>
          <w:b/>
          <w:color w:val="auto"/>
          <w:kern w:val="0"/>
          <w:sz w:val="32"/>
          <w:szCs w:val="32"/>
          <w:highlight w:val="none"/>
        </w:rPr>
      </w:pPr>
    </w:p>
    <w:p w14:paraId="6BF3FA03">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0314EFD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4228AB37">
      <w:pPr>
        <w:widowControl/>
        <w:spacing w:line="360" w:lineRule="auto"/>
        <w:ind w:firstLine="120" w:firstLineChars="50"/>
        <w:jc w:val="left"/>
        <w:rPr>
          <w:rFonts w:ascii="宋体" w:hAnsi="宋体" w:cs="宋体"/>
          <w:color w:val="auto"/>
          <w:sz w:val="24"/>
          <w:highlight w:val="none"/>
        </w:rPr>
      </w:pPr>
      <w:bookmarkStart w:id="1396"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396"/>
    <w:p w14:paraId="194DB571">
      <w:pPr>
        <w:snapToGrid w:val="0"/>
        <w:spacing w:line="360" w:lineRule="auto"/>
        <w:rPr>
          <w:rFonts w:ascii="宋体" w:hAnsi="宋体" w:cs="宋体"/>
          <w:color w:val="auto"/>
          <w:kern w:val="0"/>
          <w:sz w:val="24"/>
          <w:highlight w:val="none"/>
        </w:rPr>
      </w:pPr>
    </w:p>
    <w:p w14:paraId="28FBB57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0BF5F9B8">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0EF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0E45B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5C79B1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604AE8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F304D5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18FE32D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FA6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5FA635">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3110EF06">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32ACCAE8">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4E417018">
            <w:pPr>
              <w:rPr>
                <w:rFonts w:ascii="宋体" w:hAnsi="宋体" w:cs="宋体"/>
                <w:color w:val="auto"/>
                <w:sz w:val="24"/>
                <w:highlight w:val="none"/>
              </w:rPr>
            </w:pPr>
            <w:r>
              <w:rPr>
                <w:rFonts w:hint="eastAsia" w:ascii="宋体" w:hAnsi="宋体" w:cs="宋体"/>
                <w:color w:val="auto"/>
                <w:sz w:val="24"/>
                <w:highlight w:val="none"/>
              </w:rPr>
              <w:t>见响应文件</w:t>
            </w:r>
          </w:p>
          <w:p w14:paraId="6B76451B">
            <w:pPr>
              <w:rPr>
                <w:rFonts w:ascii="宋体" w:hAnsi="宋体" w:cs="宋体"/>
                <w:color w:val="auto"/>
                <w:highlight w:val="none"/>
              </w:rPr>
            </w:pPr>
            <w:r>
              <w:rPr>
                <w:rFonts w:hint="eastAsia" w:ascii="宋体" w:hAnsi="宋体" w:cs="宋体"/>
                <w:color w:val="auto"/>
                <w:sz w:val="24"/>
                <w:highlight w:val="none"/>
              </w:rPr>
              <w:t>第页</w:t>
            </w:r>
          </w:p>
        </w:tc>
      </w:tr>
      <w:tr w14:paraId="3D5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2F3C32">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8D392EC">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FE50DDB">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3F5702DD">
            <w:pPr>
              <w:rPr>
                <w:rFonts w:ascii="宋体" w:hAnsi="宋体" w:cs="宋体"/>
                <w:color w:val="auto"/>
                <w:sz w:val="24"/>
                <w:highlight w:val="none"/>
              </w:rPr>
            </w:pPr>
            <w:r>
              <w:rPr>
                <w:rFonts w:hint="eastAsia" w:ascii="宋体" w:hAnsi="宋体" w:cs="宋体"/>
                <w:color w:val="auto"/>
                <w:sz w:val="24"/>
                <w:highlight w:val="none"/>
              </w:rPr>
              <w:t>见响应文件</w:t>
            </w:r>
          </w:p>
          <w:p w14:paraId="42D47D1A">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第页</w:t>
            </w:r>
          </w:p>
        </w:tc>
      </w:tr>
      <w:tr w14:paraId="1584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EACCE7">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0786EA2D">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67ED88C">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708C6BF0">
            <w:pPr>
              <w:rPr>
                <w:rFonts w:ascii="宋体" w:hAnsi="宋体" w:cs="宋体"/>
                <w:color w:val="auto"/>
                <w:highlight w:val="none"/>
              </w:rPr>
            </w:pPr>
            <w:r>
              <w:rPr>
                <w:rFonts w:hint="eastAsia" w:ascii="宋体" w:hAnsi="宋体" w:cs="宋体"/>
                <w:color w:val="auto"/>
                <w:sz w:val="24"/>
                <w:highlight w:val="none"/>
              </w:rPr>
              <w:t>见响应文件第页</w:t>
            </w:r>
          </w:p>
        </w:tc>
      </w:tr>
      <w:tr w14:paraId="2E63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441F5E">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528D9CA8">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25BE909A">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1094442A">
            <w:pPr>
              <w:rPr>
                <w:rFonts w:ascii="宋体" w:hAnsi="宋体" w:cs="宋体"/>
                <w:color w:val="auto"/>
                <w:highlight w:val="none"/>
              </w:rPr>
            </w:pPr>
            <w:r>
              <w:rPr>
                <w:rFonts w:hint="eastAsia" w:ascii="宋体" w:hAnsi="宋体" w:cs="宋体"/>
                <w:color w:val="auto"/>
                <w:sz w:val="24"/>
                <w:highlight w:val="none"/>
              </w:rPr>
              <w:t>见响应文件第页</w:t>
            </w:r>
          </w:p>
        </w:tc>
      </w:tr>
    </w:tbl>
    <w:p w14:paraId="42E0D5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A211F4F">
      <w:pPr>
        <w:jc w:val="center"/>
        <w:rPr>
          <w:rFonts w:ascii="宋体" w:hAnsi="宋体" w:cs="宋体"/>
          <w:b/>
          <w:color w:val="auto"/>
          <w:kern w:val="0"/>
          <w:sz w:val="32"/>
          <w:szCs w:val="32"/>
          <w:highlight w:val="none"/>
        </w:rPr>
      </w:pPr>
    </w:p>
    <w:p w14:paraId="7A7E309F">
      <w:pPr>
        <w:jc w:val="center"/>
        <w:rPr>
          <w:rFonts w:ascii="宋体" w:hAnsi="宋体" w:cs="宋体"/>
          <w:b/>
          <w:color w:val="auto"/>
          <w:kern w:val="0"/>
          <w:sz w:val="32"/>
          <w:szCs w:val="32"/>
          <w:highlight w:val="none"/>
        </w:rPr>
      </w:pPr>
    </w:p>
    <w:p w14:paraId="5FB640D6">
      <w:pPr>
        <w:jc w:val="center"/>
        <w:rPr>
          <w:rFonts w:ascii="宋体" w:hAnsi="宋体" w:cs="宋体"/>
          <w:b/>
          <w:color w:val="auto"/>
          <w:kern w:val="0"/>
          <w:sz w:val="32"/>
          <w:szCs w:val="32"/>
          <w:highlight w:val="none"/>
        </w:rPr>
      </w:pPr>
    </w:p>
    <w:p w14:paraId="35E26539">
      <w:pPr>
        <w:jc w:val="center"/>
        <w:rPr>
          <w:rFonts w:ascii="宋体" w:hAnsi="宋体" w:cs="宋体"/>
          <w:b/>
          <w:color w:val="auto"/>
          <w:kern w:val="0"/>
          <w:sz w:val="32"/>
          <w:szCs w:val="32"/>
          <w:highlight w:val="none"/>
        </w:rPr>
      </w:pPr>
    </w:p>
    <w:p w14:paraId="1FA87B58">
      <w:pPr>
        <w:jc w:val="center"/>
        <w:rPr>
          <w:rFonts w:ascii="宋体" w:hAnsi="宋体" w:cs="宋体"/>
          <w:b/>
          <w:color w:val="auto"/>
          <w:kern w:val="0"/>
          <w:sz w:val="32"/>
          <w:szCs w:val="32"/>
          <w:highlight w:val="none"/>
        </w:rPr>
      </w:pPr>
    </w:p>
    <w:p w14:paraId="28806BE6">
      <w:pPr>
        <w:jc w:val="center"/>
        <w:rPr>
          <w:rFonts w:ascii="宋体" w:hAnsi="宋体" w:cs="宋体"/>
          <w:b/>
          <w:color w:val="auto"/>
          <w:kern w:val="0"/>
          <w:sz w:val="32"/>
          <w:szCs w:val="32"/>
          <w:highlight w:val="none"/>
        </w:rPr>
      </w:pPr>
    </w:p>
    <w:p w14:paraId="4971DAF4">
      <w:pPr>
        <w:jc w:val="center"/>
        <w:rPr>
          <w:rFonts w:ascii="宋体" w:hAnsi="宋体" w:cs="宋体"/>
          <w:b/>
          <w:color w:val="auto"/>
          <w:kern w:val="0"/>
          <w:sz w:val="32"/>
          <w:szCs w:val="32"/>
          <w:highlight w:val="none"/>
        </w:rPr>
      </w:pPr>
    </w:p>
    <w:p w14:paraId="59E0B9A3">
      <w:pPr>
        <w:jc w:val="center"/>
        <w:rPr>
          <w:rFonts w:ascii="宋体" w:hAnsi="宋体" w:cs="宋体"/>
          <w:b/>
          <w:color w:val="auto"/>
          <w:kern w:val="0"/>
          <w:sz w:val="32"/>
          <w:szCs w:val="32"/>
          <w:highlight w:val="none"/>
        </w:rPr>
      </w:pPr>
    </w:p>
    <w:p w14:paraId="668327A8">
      <w:pPr>
        <w:jc w:val="center"/>
        <w:rPr>
          <w:rFonts w:ascii="宋体" w:hAnsi="宋体" w:cs="宋体"/>
          <w:b/>
          <w:color w:val="auto"/>
          <w:kern w:val="0"/>
          <w:sz w:val="32"/>
          <w:szCs w:val="32"/>
          <w:highlight w:val="none"/>
        </w:rPr>
      </w:pPr>
    </w:p>
    <w:p w14:paraId="33CA1BCD">
      <w:pPr>
        <w:jc w:val="center"/>
        <w:rPr>
          <w:rFonts w:ascii="宋体" w:hAnsi="宋体" w:cs="宋体"/>
          <w:b/>
          <w:color w:val="auto"/>
          <w:kern w:val="0"/>
          <w:sz w:val="32"/>
          <w:szCs w:val="32"/>
          <w:highlight w:val="none"/>
        </w:rPr>
      </w:pPr>
    </w:p>
    <w:p w14:paraId="1DB0989C">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5F79DC3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56E80630">
      <w:pPr>
        <w:jc w:val="center"/>
        <w:rPr>
          <w:rFonts w:ascii="宋体" w:hAnsi="宋体" w:cs="宋体"/>
          <w:b/>
          <w:color w:val="auto"/>
          <w:kern w:val="0"/>
          <w:sz w:val="32"/>
          <w:szCs w:val="32"/>
          <w:highlight w:val="none"/>
        </w:rPr>
      </w:pPr>
    </w:p>
    <w:p w14:paraId="05D324A0">
      <w:pPr>
        <w:jc w:val="center"/>
        <w:rPr>
          <w:rFonts w:ascii="宋体" w:hAnsi="宋体" w:cs="宋体"/>
          <w:b/>
          <w:color w:val="auto"/>
          <w:kern w:val="0"/>
          <w:sz w:val="32"/>
          <w:szCs w:val="32"/>
          <w:highlight w:val="none"/>
        </w:rPr>
      </w:pPr>
    </w:p>
    <w:p w14:paraId="2A4DEDBC">
      <w:pPr>
        <w:jc w:val="center"/>
        <w:rPr>
          <w:rFonts w:ascii="宋体" w:hAnsi="宋体" w:cs="宋体"/>
          <w:b/>
          <w:color w:val="auto"/>
          <w:kern w:val="0"/>
          <w:sz w:val="32"/>
          <w:szCs w:val="32"/>
          <w:highlight w:val="none"/>
        </w:rPr>
      </w:pPr>
    </w:p>
    <w:p w14:paraId="6103F740">
      <w:pPr>
        <w:jc w:val="center"/>
        <w:rPr>
          <w:rFonts w:ascii="宋体" w:hAnsi="宋体" w:cs="宋体"/>
          <w:b/>
          <w:color w:val="auto"/>
          <w:kern w:val="0"/>
          <w:sz w:val="32"/>
          <w:szCs w:val="32"/>
          <w:highlight w:val="none"/>
        </w:rPr>
      </w:pPr>
    </w:p>
    <w:p w14:paraId="0290E94B">
      <w:pPr>
        <w:jc w:val="center"/>
        <w:rPr>
          <w:rFonts w:ascii="宋体" w:hAnsi="宋体" w:cs="宋体"/>
          <w:b/>
          <w:color w:val="auto"/>
          <w:kern w:val="0"/>
          <w:sz w:val="32"/>
          <w:szCs w:val="32"/>
          <w:highlight w:val="none"/>
        </w:rPr>
      </w:pPr>
    </w:p>
    <w:p w14:paraId="3A1C60D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1CC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BEA9E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84F7EA6">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6908F75D">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51F54F8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375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2EBA7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3173D06">
            <w:pPr>
              <w:jc w:val="center"/>
              <w:rPr>
                <w:rFonts w:ascii="宋体" w:hAnsi="宋体" w:cs="宋体"/>
                <w:b/>
                <w:color w:val="auto"/>
                <w:kern w:val="0"/>
                <w:sz w:val="32"/>
                <w:szCs w:val="32"/>
                <w:highlight w:val="none"/>
              </w:rPr>
            </w:pPr>
          </w:p>
        </w:tc>
        <w:tc>
          <w:tcPr>
            <w:tcW w:w="3546" w:type="dxa"/>
          </w:tcPr>
          <w:p w14:paraId="68E73E92">
            <w:pPr>
              <w:jc w:val="center"/>
              <w:rPr>
                <w:rFonts w:ascii="宋体" w:hAnsi="宋体" w:cs="宋体"/>
                <w:b/>
                <w:color w:val="auto"/>
                <w:kern w:val="0"/>
                <w:sz w:val="32"/>
                <w:szCs w:val="32"/>
                <w:highlight w:val="none"/>
              </w:rPr>
            </w:pPr>
          </w:p>
        </w:tc>
        <w:tc>
          <w:tcPr>
            <w:tcW w:w="1276" w:type="dxa"/>
          </w:tcPr>
          <w:p w14:paraId="6C4DB560">
            <w:pPr>
              <w:jc w:val="center"/>
              <w:rPr>
                <w:rFonts w:ascii="宋体" w:hAnsi="宋体" w:cs="宋体"/>
                <w:b/>
                <w:color w:val="auto"/>
                <w:kern w:val="0"/>
                <w:sz w:val="32"/>
                <w:szCs w:val="32"/>
                <w:highlight w:val="none"/>
              </w:rPr>
            </w:pPr>
          </w:p>
        </w:tc>
      </w:tr>
      <w:tr w14:paraId="375E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46CC5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F3ABE50">
            <w:pPr>
              <w:jc w:val="center"/>
              <w:rPr>
                <w:rFonts w:ascii="宋体" w:hAnsi="宋体" w:cs="宋体"/>
                <w:b/>
                <w:color w:val="auto"/>
                <w:kern w:val="0"/>
                <w:sz w:val="32"/>
                <w:szCs w:val="32"/>
                <w:highlight w:val="none"/>
              </w:rPr>
            </w:pPr>
          </w:p>
        </w:tc>
        <w:tc>
          <w:tcPr>
            <w:tcW w:w="3546" w:type="dxa"/>
          </w:tcPr>
          <w:p w14:paraId="1A753807">
            <w:pPr>
              <w:jc w:val="center"/>
              <w:rPr>
                <w:rFonts w:ascii="宋体" w:hAnsi="宋体" w:cs="宋体"/>
                <w:b/>
                <w:color w:val="auto"/>
                <w:kern w:val="0"/>
                <w:sz w:val="32"/>
                <w:szCs w:val="32"/>
                <w:highlight w:val="none"/>
              </w:rPr>
            </w:pPr>
          </w:p>
        </w:tc>
        <w:tc>
          <w:tcPr>
            <w:tcW w:w="1276" w:type="dxa"/>
          </w:tcPr>
          <w:p w14:paraId="42E7D525">
            <w:pPr>
              <w:jc w:val="center"/>
              <w:rPr>
                <w:rFonts w:ascii="宋体" w:hAnsi="宋体" w:cs="宋体"/>
                <w:b/>
                <w:color w:val="auto"/>
                <w:kern w:val="0"/>
                <w:sz w:val="32"/>
                <w:szCs w:val="32"/>
                <w:highlight w:val="none"/>
              </w:rPr>
            </w:pPr>
          </w:p>
        </w:tc>
      </w:tr>
      <w:tr w14:paraId="3DD9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444D8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0A55F36">
            <w:pPr>
              <w:jc w:val="center"/>
              <w:rPr>
                <w:rFonts w:ascii="宋体" w:hAnsi="宋体" w:cs="宋体"/>
                <w:b/>
                <w:color w:val="auto"/>
                <w:kern w:val="0"/>
                <w:sz w:val="32"/>
                <w:szCs w:val="32"/>
                <w:highlight w:val="none"/>
              </w:rPr>
            </w:pPr>
          </w:p>
        </w:tc>
        <w:tc>
          <w:tcPr>
            <w:tcW w:w="3546" w:type="dxa"/>
          </w:tcPr>
          <w:p w14:paraId="49474817">
            <w:pPr>
              <w:jc w:val="center"/>
              <w:rPr>
                <w:rFonts w:ascii="宋体" w:hAnsi="宋体" w:cs="宋体"/>
                <w:b/>
                <w:color w:val="auto"/>
                <w:kern w:val="0"/>
                <w:sz w:val="32"/>
                <w:szCs w:val="32"/>
                <w:highlight w:val="none"/>
              </w:rPr>
            </w:pPr>
          </w:p>
        </w:tc>
        <w:tc>
          <w:tcPr>
            <w:tcW w:w="1276" w:type="dxa"/>
          </w:tcPr>
          <w:p w14:paraId="79C41170">
            <w:pPr>
              <w:jc w:val="center"/>
              <w:rPr>
                <w:rFonts w:ascii="宋体" w:hAnsi="宋体" w:cs="宋体"/>
                <w:b/>
                <w:color w:val="auto"/>
                <w:kern w:val="0"/>
                <w:sz w:val="32"/>
                <w:szCs w:val="32"/>
                <w:highlight w:val="none"/>
              </w:rPr>
            </w:pPr>
          </w:p>
        </w:tc>
      </w:tr>
    </w:tbl>
    <w:p w14:paraId="41E9436A">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4D88AF7">
      <w:pPr>
        <w:jc w:val="center"/>
        <w:rPr>
          <w:rFonts w:ascii="宋体" w:hAnsi="宋体" w:cs="宋体"/>
          <w:b/>
          <w:color w:val="auto"/>
          <w:kern w:val="0"/>
          <w:sz w:val="32"/>
          <w:szCs w:val="32"/>
          <w:highlight w:val="none"/>
        </w:rPr>
      </w:pPr>
    </w:p>
    <w:p w14:paraId="5DCB884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78241F2">
      <w:pPr>
        <w:ind w:firstLine="1911" w:firstLineChars="595"/>
        <w:rPr>
          <w:rFonts w:ascii="宋体" w:hAnsi="宋体" w:cs="宋体"/>
          <w:b/>
          <w:bCs/>
          <w:color w:val="auto"/>
          <w:sz w:val="32"/>
          <w:szCs w:val="32"/>
          <w:highlight w:val="none"/>
        </w:rPr>
        <w:sectPr>
          <w:footerReference r:id="rId13" w:type="first"/>
          <w:footerReference r:id="rId12" w:type="default"/>
          <w:pgSz w:w="11906" w:h="16838"/>
          <w:pgMar w:top="1440" w:right="1080" w:bottom="1440" w:left="1080" w:header="851" w:footer="992" w:gutter="0"/>
          <w:pgNumType w:fmt="decimal"/>
          <w:cols w:space="720" w:num="1"/>
          <w:titlePg/>
          <w:docGrid w:linePitch="312" w:charSpace="0"/>
        </w:sectPr>
      </w:pPr>
    </w:p>
    <w:p w14:paraId="140A22C8">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6B2086F">
      <w:pPr>
        <w:snapToGrid w:val="0"/>
        <w:spacing w:line="360" w:lineRule="auto"/>
        <w:rPr>
          <w:rFonts w:ascii="宋体" w:hAnsi="宋体" w:cs="宋体"/>
          <w:color w:val="auto"/>
          <w:sz w:val="24"/>
          <w:highlight w:val="none"/>
        </w:rPr>
      </w:pPr>
    </w:p>
    <w:p w14:paraId="2C8B942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1CF23F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24BD0F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5890E4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E7FD46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D2BD29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CF6227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248504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ABA0C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4ACA1E8">
      <w:pPr>
        <w:autoSpaceDE w:val="0"/>
        <w:autoSpaceDN w:val="0"/>
        <w:spacing w:line="360" w:lineRule="auto"/>
        <w:ind w:left="2"/>
        <w:jc w:val="left"/>
        <w:rPr>
          <w:rFonts w:ascii="宋体" w:hAnsi="宋体" w:cs="宋体"/>
          <w:color w:val="auto"/>
          <w:kern w:val="0"/>
          <w:sz w:val="24"/>
          <w:highlight w:val="none"/>
          <w:lang w:val="zh-CN"/>
        </w:rPr>
      </w:pPr>
    </w:p>
    <w:p w14:paraId="56058575">
      <w:pPr>
        <w:autoSpaceDE w:val="0"/>
        <w:autoSpaceDN w:val="0"/>
        <w:spacing w:line="360" w:lineRule="auto"/>
        <w:ind w:left="2"/>
        <w:jc w:val="left"/>
        <w:rPr>
          <w:rFonts w:ascii="宋体" w:hAnsi="宋体" w:cs="宋体"/>
          <w:color w:val="auto"/>
          <w:kern w:val="0"/>
          <w:sz w:val="24"/>
          <w:highlight w:val="none"/>
          <w:lang w:val="zh-CN"/>
        </w:rPr>
      </w:pPr>
    </w:p>
    <w:p w14:paraId="7CDACDC6">
      <w:pPr>
        <w:autoSpaceDE w:val="0"/>
        <w:autoSpaceDN w:val="0"/>
        <w:spacing w:line="360" w:lineRule="auto"/>
        <w:ind w:left="2"/>
        <w:jc w:val="left"/>
        <w:rPr>
          <w:rFonts w:ascii="宋体" w:hAnsi="宋体" w:cs="宋体"/>
          <w:color w:val="auto"/>
          <w:kern w:val="0"/>
          <w:sz w:val="24"/>
          <w:highlight w:val="none"/>
          <w:lang w:val="zh-CN"/>
        </w:rPr>
      </w:pPr>
    </w:p>
    <w:p w14:paraId="11A7B81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4FFDF6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E100527">
      <w:pPr>
        <w:spacing w:line="360" w:lineRule="auto"/>
        <w:jc w:val="center"/>
        <w:rPr>
          <w:rFonts w:ascii="宋体" w:hAnsi="宋体" w:cs="宋体"/>
          <w:b/>
          <w:bCs/>
          <w:color w:val="auto"/>
          <w:sz w:val="24"/>
          <w:highlight w:val="none"/>
        </w:rPr>
      </w:pPr>
    </w:p>
    <w:p w14:paraId="3AB3E3B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DB5B9C">
      <w:pPr>
        <w:spacing w:line="360" w:lineRule="auto"/>
        <w:jc w:val="center"/>
        <w:rPr>
          <w:rFonts w:ascii="宋体" w:hAnsi="宋体" w:cs="宋体"/>
          <w:b/>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4C5456AA">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983C0E6">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A742E05">
      <w:pPr>
        <w:spacing w:line="360" w:lineRule="auto"/>
        <w:jc w:val="center"/>
        <w:rPr>
          <w:rFonts w:ascii="宋体" w:hAnsi="宋体" w:cs="宋体"/>
          <w:b/>
          <w:color w:val="auto"/>
          <w:kern w:val="0"/>
          <w:sz w:val="36"/>
          <w:szCs w:val="36"/>
          <w:highlight w:val="none"/>
        </w:rPr>
      </w:pPr>
    </w:p>
    <w:p w14:paraId="7E8515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30D504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（2）已标价工程量清单……………………………………………………………（页码）</w:t>
      </w:r>
    </w:p>
    <w:p w14:paraId="49AED350">
      <w:pPr>
        <w:snapToGrid w:val="0"/>
        <w:spacing w:line="360" w:lineRule="auto"/>
        <w:ind w:right="480"/>
        <w:jc w:val="center"/>
        <w:rPr>
          <w:rFonts w:ascii="宋体" w:hAnsi="宋体" w:cs="宋体"/>
          <w:b/>
          <w:color w:val="auto"/>
          <w:kern w:val="0"/>
          <w:sz w:val="32"/>
          <w:szCs w:val="32"/>
          <w:highlight w:val="none"/>
        </w:rPr>
      </w:pPr>
    </w:p>
    <w:p w14:paraId="231B1E5A">
      <w:pPr>
        <w:snapToGrid w:val="0"/>
        <w:spacing w:line="360" w:lineRule="auto"/>
        <w:ind w:right="480"/>
        <w:jc w:val="center"/>
        <w:rPr>
          <w:rFonts w:ascii="宋体" w:hAnsi="宋体" w:cs="宋体"/>
          <w:b/>
          <w:color w:val="auto"/>
          <w:kern w:val="0"/>
          <w:sz w:val="32"/>
          <w:szCs w:val="32"/>
          <w:highlight w:val="none"/>
        </w:rPr>
      </w:pPr>
    </w:p>
    <w:p w14:paraId="7765501B">
      <w:pPr>
        <w:snapToGrid w:val="0"/>
        <w:spacing w:line="360" w:lineRule="auto"/>
        <w:ind w:right="480"/>
        <w:jc w:val="center"/>
        <w:rPr>
          <w:rFonts w:ascii="宋体" w:hAnsi="宋体" w:cs="宋体"/>
          <w:b/>
          <w:color w:val="auto"/>
          <w:kern w:val="0"/>
          <w:sz w:val="32"/>
          <w:szCs w:val="32"/>
          <w:highlight w:val="none"/>
        </w:rPr>
      </w:pPr>
    </w:p>
    <w:p w14:paraId="42C97173">
      <w:pPr>
        <w:snapToGrid w:val="0"/>
        <w:spacing w:line="360" w:lineRule="auto"/>
        <w:ind w:right="480"/>
        <w:jc w:val="center"/>
        <w:rPr>
          <w:rFonts w:ascii="宋体" w:hAnsi="宋体" w:cs="宋体"/>
          <w:b/>
          <w:color w:val="auto"/>
          <w:kern w:val="0"/>
          <w:sz w:val="32"/>
          <w:szCs w:val="32"/>
          <w:highlight w:val="none"/>
        </w:rPr>
      </w:pPr>
    </w:p>
    <w:p w14:paraId="451CCA19">
      <w:pPr>
        <w:snapToGrid w:val="0"/>
        <w:spacing w:line="360" w:lineRule="auto"/>
        <w:ind w:right="480"/>
        <w:jc w:val="center"/>
        <w:rPr>
          <w:rFonts w:ascii="宋体" w:hAnsi="宋体" w:cs="宋体"/>
          <w:b/>
          <w:color w:val="auto"/>
          <w:kern w:val="0"/>
          <w:sz w:val="32"/>
          <w:szCs w:val="32"/>
          <w:highlight w:val="none"/>
        </w:rPr>
      </w:pPr>
    </w:p>
    <w:p w14:paraId="084C5A3E">
      <w:pPr>
        <w:snapToGrid w:val="0"/>
        <w:spacing w:line="360" w:lineRule="auto"/>
        <w:ind w:right="480"/>
        <w:jc w:val="center"/>
        <w:rPr>
          <w:rFonts w:ascii="宋体" w:hAnsi="宋体" w:cs="宋体"/>
          <w:b/>
          <w:color w:val="auto"/>
          <w:kern w:val="0"/>
          <w:sz w:val="32"/>
          <w:szCs w:val="32"/>
          <w:highlight w:val="none"/>
        </w:rPr>
      </w:pPr>
    </w:p>
    <w:p w14:paraId="4B3E0C46">
      <w:pPr>
        <w:snapToGrid w:val="0"/>
        <w:spacing w:line="360" w:lineRule="auto"/>
        <w:ind w:right="480"/>
        <w:jc w:val="center"/>
        <w:rPr>
          <w:rFonts w:ascii="宋体" w:hAnsi="宋体" w:cs="宋体"/>
          <w:b/>
          <w:color w:val="auto"/>
          <w:kern w:val="0"/>
          <w:sz w:val="32"/>
          <w:szCs w:val="32"/>
          <w:highlight w:val="none"/>
        </w:rPr>
      </w:pPr>
    </w:p>
    <w:p w14:paraId="1F8170B7">
      <w:pPr>
        <w:snapToGrid w:val="0"/>
        <w:spacing w:line="360" w:lineRule="auto"/>
        <w:ind w:right="480"/>
        <w:jc w:val="center"/>
        <w:rPr>
          <w:rFonts w:ascii="宋体" w:hAnsi="宋体" w:cs="宋体"/>
          <w:b/>
          <w:color w:val="auto"/>
          <w:kern w:val="0"/>
          <w:sz w:val="32"/>
          <w:szCs w:val="32"/>
          <w:highlight w:val="none"/>
        </w:rPr>
      </w:pPr>
    </w:p>
    <w:p w14:paraId="747CDC85">
      <w:pPr>
        <w:snapToGrid w:val="0"/>
        <w:spacing w:line="360" w:lineRule="auto"/>
        <w:ind w:right="480"/>
        <w:jc w:val="center"/>
        <w:rPr>
          <w:rFonts w:ascii="宋体" w:hAnsi="宋体" w:cs="宋体"/>
          <w:b/>
          <w:color w:val="auto"/>
          <w:kern w:val="0"/>
          <w:sz w:val="32"/>
          <w:szCs w:val="32"/>
          <w:highlight w:val="none"/>
        </w:rPr>
      </w:pPr>
    </w:p>
    <w:p w14:paraId="1C2A36F9">
      <w:pPr>
        <w:snapToGrid w:val="0"/>
        <w:spacing w:line="360" w:lineRule="auto"/>
        <w:ind w:right="480"/>
        <w:jc w:val="center"/>
        <w:rPr>
          <w:rFonts w:ascii="宋体" w:hAnsi="宋体" w:cs="宋体"/>
          <w:b/>
          <w:color w:val="auto"/>
          <w:kern w:val="0"/>
          <w:sz w:val="32"/>
          <w:szCs w:val="32"/>
          <w:highlight w:val="none"/>
        </w:rPr>
      </w:pPr>
    </w:p>
    <w:p w14:paraId="189A11A8">
      <w:pPr>
        <w:snapToGrid w:val="0"/>
        <w:spacing w:line="360" w:lineRule="auto"/>
        <w:ind w:right="480"/>
        <w:jc w:val="center"/>
        <w:rPr>
          <w:rFonts w:ascii="宋体" w:hAnsi="宋体" w:cs="宋体"/>
          <w:b/>
          <w:color w:val="auto"/>
          <w:kern w:val="0"/>
          <w:sz w:val="32"/>
          <w:szCs w:val="32"/>
          <w:highlight w:val="none"/>
        </w:rPr>
      </w:pPr>
    </w:p>
    <w:p w14:paraId="51CF0098">
      <w:pPr>
        <w:snapToGrid w:val="0"/>
        <w:spacing w:line="360" w:lineRule="auto"/>
        <w:ind w:right="480"/>
        <w:jc w:val="center"/>
        <w:rPr>
          <w:rFonts w:ascii="宋体" w:hAnsi="宋体" w:cs="宋体"/>
          <w:b/>
          <w:color w:val="auto"/>
          <w:kern w:val="0"/>
          <w:sz w:val="32"/>
          <w:szCs w:val="32"/>
          <w:highlight w:val="none"/>
        </w:rPr>
      </w:pPr>
    </w:p>
    <w:p w14:paraId="66F34022">
      <w:pPr>
        <w:snapToGrid w:val="0"/>
        <w:spacing w:line="360" w:lineRule="auto"/>
        <w:ind w:right="480"/>
        <w:jc w:val="center"/>
        <w:rPr>
          <w:rFonts w:ascii="宋体" w:hAnsi="宋体" w:cs="宋体"/>
          <w:b/>
          <w:color w:val="auto"/>
          <w:kern w:val="0"/>
          <w:sz w:val="32"/>
          <w:szCs w:val="32"/>
          <w:highlight w:val="none"/>
        </w:rPr>
      </w:pPr>
    </w:p>
    <w:p w14:paraId="2CBB3A17">
      <w:pPr>
        <w:snapToGrid w:val="0"/>
        <w:spacing w:line="360" w:lineRule="auto"/>
        <w:ind w:right="480"/>
        <w:jc w:val="center"/>
        <w:rPr>
          <w:rFonts w:ascii="宋体" w:hAnsi="宋体" w:cs="宋体"/>
          <w:b/>
          <w:color w:val="auto"/>
          <w:kern w:val="0"/>
          <w:sz w:val="32"/>
          <w:szCs w:val="32"/>
          <w:highlight w:val="none"/>
        </w:rPr>
      </w:pPr>
    </w:p>
    <w:p w14:paraId="76813229">
      <w:pPr>
        <w:snapToGrid w:val="0"/>
        <w:spacing w:line="360" w:lineRule="auto"/>
        <w:ind w:right="480"/>
        <w:jc w:val="center"/>
        <w:rPr>
          <w:rFonts w:ascii="宋体" w:hAnsi="宋体" w:cs="宋体"/>
          <w:b/>
          <w:color w:val="auto"/>
          <w:kern w:val="0"/>
          <w:sz w:val="32"/>
          <w:szCs w:val="32"/>
          <w:highlight w:val="none"/>
        </w:rPr>
      </w:pPr>
    </w:p>
    <w:p w14:paraId="3F1B4D30">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pgNumType w:fmt="decimal"/>
          <w:cols w:space="720" w:num="1"/>
          <w:titlePg/>
          <w:docGrid w:linePitch="312" w:charSpace="0"/>
        </w:sectPr>
      </w:pPr>
    </w:p>
    <w:p w14:paraId="44FBA611">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0E437F9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0ED25D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5AD8F2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2790"/>
        <w:gridCol w:w="2970"/>
        <w:gridCol w:w="3360"/>
        <w:gridCol w:w="2792"/>
      </w:tblGrid>
      <w:tr w14:paraId="7972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55" w:type="dxa"/>
            <w:vAlign w:val="center"/>
          </w:tcPr>
          <w:p w14:paraId="6C66A8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2790" w:type="dxa"/>
          </w:tcPr>
          <w:p w14:paraId="03103D52">
            <w:pPr>
              <w:spacing w:line="360" w:lineRule="auto"/>
              <w:jc w:val="center"/>
              <w:rPr>
                <w:rFonts w:ascii="宋体" w:hAnsi="宋体" w:cs="宋体"/>
                <w:b/>
                <w:color w:val="auto"/>
                <w:sz w:val="24"/>
                <w:highlight w:val="none"/>
              </w:rPr>
            </w:pPr>
          </w:p>
          <w:p w14:paraId="4C45F9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2970" w:type="dxa"/>
            <w:vAlign w:val="center"/>
          </w:tcPr>
          <w:p w14:paraId="5FE9FD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实施周期</w:t>
            </w:r>
          </w:p>
        </w:tc>
        <w:tc>
          <w:tcPr>
            <w:tcW w:w="3360" w:type="dxa"/>
            <w:vAlign w:val="center"/>
          </w:tcPr>
          <w:p w14:paraId="010AA7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质量标准</w:t>
            </w:r>
          </w:p>
        </w:tc>
        <w:tc>
          <w:tcPr>
            <w:tcW w:w="2792" w:type="dxa"/>
            <w:vAlign w:val="center"/>
          </w:tcPr>
          <w:p w14:paraId="55990550">
            <w:pPr>
              <w:spacing w:line="360" w:lineRule="auto"/>
              <w:jc w:val="center"/>
              <w:rPr>
                <w:rFonts w:ascii="宋体" w:hAnsi="宋体" w:cs="宋体"/>
                <w:b/>
                <w:color w:val="auto"/>
                <w:sz w:val="24"/>
                <w:highlight w:val="none"/>
              </w:rPr>
            </w:pPr>
          </w:p>
          <w:p w14:paraId="0ADE056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3B14176">
            <w:pPr>
              <w:spacing w:line="360" w:lineRule="auto"/>
              <w:jc w:val="center"/>
              <w:rPr>
                <w:rFonts w:ascii="宋体" w:hAnsi="宋体" w:cs="宋体"/>
                <w:b/>
                <w:color w:val="auto"/>
                <w:sz w:val="24"/>
                <w:highlight w:val="none"/>
              </w:rPr>
            </w:pPr>
          </w:p>
        </w:tc>
      </w:tr>
      <w:tr w14:paraId="264E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5" w:type="dxa"/>
            <w:vAlign w:val="center"/>
          </w:tcPr>
          <w:p w14:paraId="0C724E24">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2024年西湖区道路端头交通安全治理绿化工程</w:t>
            </w:r>
          </w:p>
        </w:tc>
        <w:tc>
          <w:tcPr>
            <w:tcW w:w="2790" w:type="dxa"/>
            <w:vAlign w:val="center"/>
          </w:tcPr>
          <w:p w14:paraId="75A8AA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按招标文件</w:t>
            </w:r>
          </w:p>
          <w:p w14:paraId="42FCDA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要求</w:t>
            </w:r>
          </w:p>
        </w:tc>
        <w:tc>
          <w:tcPr>
            <w:tcW w:w="2970" w:type="dxa"/>
            <w:vAlign w:val="center"/>
          </w:tcPr>
          <w:p w14:paraId="5D9092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按招标文件</w:t>
            </w:r>
          </w:p>
          <w:p w14:paraId="3ACC91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要求</w:t>
            </w:r>
          </w:p>
        </w:tc>
        <w:tc>
          <w:tcPr>
            <w:tcW w:w="3360" w:type="dxa"/>
            <w:vAlign w:val="center"/>
          </w:tcPr>
          <w:p w14:paraId="3D1C64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按招标文件</w:t>
            </w:r>
          </w:p>
          <w:p w14:paraId="6F9B49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要求</w:t>
            </w:r>
          </w:p>
        </w:tc>
        <w:tc>
          <w:tcPr>
            <w:tcW w:w="2792" w:type="dxa"/>
            <w:vAlign w:val="center"/>
          </w:tcPr>
          <w:p w14:paraId="550A87FE">
            <w:pPr>
              <w:spacing w:line="360" w:lineRule="auto"/>
              <w:jc w:val="center"/>
              <w:rPr>
                <w:rFonts w:ascii="宋体" w:hAnsi="宋体" w:cs="宋体"/>
                <w:color w:val="auto"/>
                <w:sz w:val="24"/>
                <w:highlight w:val="none"/>
              </w:rPr>
            </w:pPr>
          </w:p>
        </w:tc>
      </w:tr>
      <w:tr w14:paraId="7450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415" w:type="dxa"/>
            <w:gridSpan w:val="3"/>
            <w:vAlign w:val="center"/>
          </w:tcPr>
          <w:p w14:paraId="580ACC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6152" w:type="dxa"/>
            <w:gridSpan w:val="2"/>
            <w:vAlign w:val="center"/>
          </w:tcPr>
          <w:p w14:paraId="102F6AC7">
            <w:pPr>
              <w:spacing w:line="360" w:lineRule="auto"/>
              <w:jc w:val="center"/>
              <w:rPr>
                <w:rFonts w:ascii="宋体" w:hAnsi="宋体" w:cs="宋体"/>
                <w:color w:val="auto"/>
                <w:sz w:val="24"/>
                <w:highlight w:val="none"/>
              </w:rPr>
            </w:pPr>
          </w:p>
        </w:tc>
      </w:tr>
      <w:tr w14:paraId="6E2E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15" w:type="dxa"/>
            <w:gridSpan w:val="3"/>
            <w:vAlign w:val="center"/>
          </w:tcPr>
          <w:p w14:paraId="1BA481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6152" w:type="dxa"/>
            <w:gridSpan w:val="2"/>
            <w:vAlign w:val="center"/>
          </w:tcPr>
          <w:p w14:paraId="3D2432AF">
            <w:pPr>
              <w:spacing w:line="360" w:lineRule="auto"/>
              <w:jc w:val="center"/>
              <w:rPr>
                <w:rFonts w:ascii="宋体" w:hAnsi="宋体" w:cs="宋体"/>
                <w:color w:val="auto"/>
                <w:sz w:val="24"/>
                <w:highlight w:val="none"/>
              </w:rPr>
            </w:pPr>
          </w:p>
        </w:tc>
      </w:tr>
    </w:tbl>
    <w:p w14:paraId="5B5C382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7774A3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5CAAD8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C6BB1A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355211C">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2B08E40">
      <w:pPr>
        <w:spacing w:line="360" w:lineRule="auto"/>
        <w:ind w:firstLine="482" w:firstLineChars="200"/>
        <w:rPr>
          <w:rFonts w:ascii="宋体" w:hAnsi="宋体" w:cs="宋体"/>
          <w:b/>
          <w:color w:val="auto"/>
          <w:kern w:val="0"/>
          <w:sz w:val="24"/>
          <w:highlight w:val="none"/>
        </w:rPr>
      </w:pPr>
    </w:p>
    <w:p w14:paraId="31D21F0A">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58CAC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pgNumType w:fmt="decimal"/>
          <w:cols w:space="720" w:num="1"/>
          <w:titlePg/>
          <w:docGrid w:linePitch="312" w:charSpace="0"/>
        </w:sectPr>
      </w:pPr>
    </w:p>
    <w:p w14:paraId="78AC0DA1">
      <w:pPr>
        <w:pStyle w:val="691"/>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6AC5104E">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2843F31B">
      <w:pPr>
        <w:pStyle w:val="62"/>
        <w:ind w:firstLine="480"/>
        <w:rPr>
          <w:rFonts w:cs="宋体"/>
          <w:color w:val="auto"/>
          <w:sz w:val="24"/>
          <w:highlight w:val="none"/>
        </w:rPr>
      </w:pPr>
    </w:p>
    <w:p w14:paraId="30F9341A">
      <w:pPr>
        <w:pStyle w:val="62"/>
        <w:ind w:firstLine="480"/>
        <w:rPr>
          <w:rFonts w:cs="宋体"/>
          <w:color w:val="auto"/>
          <w:sz w:val="24"/>
          <w:highlight w:val="none"/>
        </w:rPr>
        <w:sectPr>
          <w:footerReference r:id="rId20" w:type="first"/>
          <w:headerReference r:id="rId17" w:type="default"/>
          <w:footerReference r:id="rId18" w:type="default"/>
          <w:footerReference r:id="rId19" w:type="even"/>
          <w:pgSz w:w="11906" w:h="16838"/>
          <w:pgMar w:top="1440" w:right="1080" w:bottom="1440" w:left="1080" w:header="851" w:footer="992" w:gutter="0"/>
          <w:pgNumType w:fmt="decimal"/>
          <w:cols w:space="720" w:num="1"/>
          <w:titlePg/>
          <w:docGrid w:linePitch="312" w:charSpace="0"/>
        </w:sectPr>
      </w:pPr>
    </w:p>
    <w:p w14:paraId="4D5B64B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59FC038">
      <w:pPr>
        <w:spacing w:line="360" w:lineRule="auto"/>
        <w:jc w:val="center"/>
        <w:rPr>
          <w:rFonts w:ascii="宋体" w:hAnsi="宋体" w:cs="宋体"/>
          <w:b/>
          <w:color w:val="auto"/>
          <w:spacing w:val="6"/>
          <w:sz w:val="32"/>
          <w:szCs w:val="32"/>
          <w:highlight w:val="none"/>
        </w:rPr>
      </w:pPr>
      <w:bookmarkStart w:id="1397" w:name="OLE_LINK13"/>
      <w:bookmarkStart w:id="1398" w:name="OLE_LINK14"/>
      <w:r>
        <w:rPr>
          <w:rFonts w:hint="eastAsia" w:ascii="宋体" w:hAnsi="宋体" w:cs="宋体"/>
          <w:b/>
          <w:color w:val="auto"/>
          <w:spacing w:val="6"/>
          <w:sz w:val="32"/>
          <w:szCs w:val="32"/>
          <w:highlight w:val="none"/>
        </w:rPr>
        <w:t>残疾人福利性单位声明函</w:t>
      </w:r>
    </w:p>
    <w:bookmarkEnd w:id="1397"/>
    <w:bookmarkEnd w:id="1398"/>
    <w:p w14:paraId="50BA9859">
      <w:pPr>
        <w:spacing w:line="360" w:lineRule="auto"/>
        <w:rPr>
          <w:rFonts w:ascii="宋体" w:hAnsi="宋体" w:cs="宋体"/>
          <w:b/>
          <w:color w:val="auto"/>
          <w:spacing w:val="6"/>
          <w:sz w:val="30"/>
          <w:szCs w:val="30"/>
          <w:highlight w:val="none"/>
        </w:rPr>
      </w:pPr>
    </w:p>
    <w:p w14:paraId="428B42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0583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00B6872">
      <w:pPr>
        <w:spacing w:line="360" w:lineRule="auto"/>
        <w:ind w:firstLine="480" w:firstLineChars="200"/>
        <w:rPr>
          <w:rFonts w:ascii="宋体" w:hAnsi="宋体" w:cs="宋体"/>
          <w:color w:val="auto"/>
          <w:sz w:val="24"/>
          <w:highlight w:val="none"/>
        </w:rPr>
      </w:pPr>
    </w:p>
    <w:p w14:paraId="2AA5A26E">
      <w:pPr>
        <w:spacing w:line="360" w:lineRule="auto"/>
        <w:ind w:firstLine="480" w:firstLineChars="200"/>
        <w:rPr>
          <w:rFonts w:ascii="宋体" w:hAnsi="宋体" w:cs="宋体"/>
          <w:color w:val="auto"/>
          <w:sz w:val="24"/>
          <w:highlight w:val="none"/>
        </w:rPr>
      </w:pPr>
    </w:p>
    <w:p w14:paraId="006B589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778FA44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2D10772">
      <w:pPr>
        <w:spacing w:line="360" w:lineRule="auto"/>
        <w:ind w:firstLine="480" w:firstLineChars="200"/>
        <w:rPr>
          <w:rFonts w:ascii="宋体" w:hAnsi="宋体" w:cs="宋体"/>
          <w:color w:val="auto"/>
          <w:sz w:val="24"/>
          <w:highlight w:val="none"/>
        </w:rPr>
      </w:pPr>
    </w:p>
    <w:p w14:paraId="214B502A">
      <w:pPr>
        <w:spacing w:line="360" w:lineRule="auto"/>
        <w:ind w:firstLine="420" w:firstLineChars="200"/>
        <w:rPr>
          <w:rFonts w:ascii="宋体" w:hAnsi="宋体" w:cs="宋体"/>
          <w:color w:val="auto"/>
          <w:highlight w:val="none"/>
        </w:rPr>
      </w:pPr>
    </w:p>
    <w:p w14:paraId="52C212B7">
      <w:pPr>
        <w:spacing w:line="360" w:lineRule="auto"/>
        <w:ind w:firstLine="420" w:firstLineChars="200"/>
        <w:rPr>
          <w:rFonts w:ascii="宋体" w:hAnsi="宋体" w:cs="宋体"/>
          <w:color w:val="auto"/>
          <w:highlight w:val="none"/>
        </w:rPr>
      </w:pPr>
    </w:p>
    <w:p w14:paraId="64ACAC58">
      <w:pPr>
        <w:spacing w:line="360" w:lineRule="auto"/>
        <w:ind w:firstLine="420" w:firstLineChars="200"/>
        <w:rPr>
          <w:rFonts w:ascii="宋体" w:hAnsi="宋体" w:cs="宋体"/>
          <w:color w:val="auto"/>
          <w:highlight w:val="none"/>
        </w:rPr>
      </w:pPr>
    </w:p>
    <w:p w14:paraId="4E6B5E18">
      <w:pPr>
        <w:spacing w:line="360" w:lineRule="auto"/>
        <w:ind w:firstLine="420" w:firstLineChars="200"/>
        <w:rPr>
          <w:rFonts w:ascii="宋体" w:hAnsi="宋体" w:cs="宋体"/>
          <w:color w:val="auto"/>
          <w:highlight w:val="none"/>
        </w:rPr>
      </w:pPr>
    </w:p>
    <w:p w14:paraId="20DF55E6">
      <w:pPr>
        <w:spacing w:line="360" w:lineRule="auto"/>
        <w:rPr>
          <w:rFonts w:ascii="宋体" w:hAnsi="宋体" w:cs="宋体"/>
          <w:b/>
          <w:color w:val="auto"/>
          <w:sz w:val="24"/>
          <w:highlight w:val="none"/>
        </w:rPr>
      </w:pPr>
    </w:p>
    <w:p w14:paraId="286FC13B">
      <w:pPr>
        <w:spacing w:line="360" w:lineRule="auto"/>
        <w:rPr>
          <w:rFonts w:ascii="宋体" w:hAnsi="宋体" w:cs="宋体"/>
          <w:b/>
          <w:color w:val="auto"/>
          <w:sz w:val="24"/>
          <w:highlight w:val="none"/>
        </w:rPr>
      </w:pPr>
    </w:p>
    <w:p w14:paraId="6C22C297">
      <w:pPr>
        <w:spacing w:line="360" w:lineRule="auto"/>
        <w:rPr>
          <w:rFonts w:ascii="宋体" w:hAnsi="宋体" w:cs="宋体"/>
          <w:b/>
          <w:color w:val="auto"/>
          <w:sz w:val="24"/>
          <w:highlight w:val="none"/>
        </w:rPr>
      </w:pPr>
    </w:p>
    <w:p w14:paraId="2DB0ABC3">
      <w:pPr>
        <w:spacing w:line="360" w:lineRule="auto"/>
        <w:rPr>
          <w:rFonts w:ascii="宋体" w:hAnsi="宋体" w:cs="宋体"/>
          <w:b/>
          <w:color w:val="auto"/>
          <w:sz w:val="24"/>
          <w:highlight w:val="none"/>
        </w:rPr>
      </w:pPr>
    </w:p>
    <w:p w14:paraId="6A7D9296">
      <w:pPr>
        <w:spacing w:line="360" w:lineRule="auto"/>
        <w:rPr>
          <w:rFonts w:ascii="宋体" w:hAnsi="宋体" w:cs="宋体"/>
          <w:b/>
          <w:color w:val="auto"/>
          <w:sz w:val="24"/>
          <w:highlight w:val="none"/>
        </w:rPr>
      </w:pPr>
    </w:p>
    <w:p w14:paraId="154F52FF">
      <w:pPr>
        <w:spacing w:line="360" w:lineRule="auto"/>
        <w:rPr>
          <w:rFonts w:ascii="宋体" w:hAnsi="宋体" w:cs="宋体"/>
          <w:b/>
          <w:color w:val="auto"/>
          <w:sz w:val="24"/>
          <w:highlight w:val="none"/>
        </w:rPr>
      </w:pPr>
    </w:p>
    <w:p w14:paraId="4FE6A871">
      <w:pPr>
        <w:spacing w:line="360" w:lineRule="auto"/>
        <w:rPr>
          <w:rFonts w:ascii="宋体" w:hAnsi="宋体" w:cs="宋体"/>
          <w:b/>
          <w:color w:val="auto"/>
          <w:sz w:val="24"/>
          <w:highlight w:val="none"/>
        </w:rPr>
      </w:pPr>
    </w:p>
    <w:p w14:paraId="2AF9EFCB">
      <w:pPr>
        <w:spacing w:line="360" w:lineRule="auto"/>
        <w:rPr>
          <w:rFonts w:ascii="宋体" w:hAnsi="宋体" w:cs="宋体"/>
          <w:b/>
          <w:color w:val="auto"/>
          <w:sz w:val="24"/>
          <w:highlight w:val="none"/>
        </w:rPr>
      </w:pPr>
    </w:p>
    <w:p w14:paraId="2C29ACE6">
      <w:pPr>
        <w:spacing w:line="360" w:lineRule="auto"/>
        <w:jc w:val="left"/>
        <w:rPr>
          <w:rFonts w:ascii="宋体" w:hAnsi="宋体" w:cs="宋体"/>
          <w:b/>
          <w:color w:val="auto"/>
          <w:spacing w:val="6"/>
          <w:sz w:val="32"/>
          <w:szCs w:val="32"/>
          <w:highlight w:val="none"/>
        </w:rPr>
      </w:pPr>
    </w:p>
    <w:p w14:paraId="772F7821">
      <w:pPr>
        <w:spacing w:line="360" w:lineRule="auto"/>
        <w:jc w:val="left"/>
        <w:rPr>
          <w:rFonts w:ascii="宋体" w:hAnsi="宋体" w:cs="宋体"/>
          <w:b/>
          <w:color w:val="auto"/>
          <w:spacing w:val="6"/>
          <w:sz w:val="32"/>
          <w:szCs w:val="32"/>
          <w:highlight w:val="none"/>
        </w:rPr>
      </w:pPr>
    </w:p>
    <w:p w14:paraId="1C359D0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8905DA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60D30BF">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B039B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66B6D3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3476E6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14CD97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27B616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58EA26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3309DA7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33337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529323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54AE996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142BAD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77F6906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3D3C24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46BCC25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0E2E599C">
      <w:pPr>
        <w:snapToGrid w:val="0"/>
        <w:spacing w:line="360" w:lineRule="auto"/>
        <w:rPr>
          <w:rFonts w:ascii="宋体" w:hAnsi="宋体" w:cs="宋体"/>
          <w:color w:val="auto"/>
          <w:sz w:val="24"/>
          <w:highlight w:val="none"/>
        </w:rPr>
      </w:pPr>
    </w:p>
    <w:p w14:paraId="0BF6D0A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1C6520BC">
      <w:pPr>
        <w:snapToGrid w:val="0"/>
        <w:spacing w:line="360" w:lineRule="auto"/>
        <w:rPr>
          <w:rFonts w:ascii="宋体" w:hAnsi="宋体" w:cs="宋体"/>
          <w:color w:val="auto"/>
          <w:sz w:val="24"/>
          <w:highlight w:val="none"/>
          <w:u w:val="dotted"/>
        </w:rPr>
      </w:pPr>
    </w:p>
    <w:p w14:paraId="2C3F60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9CAF2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0AACB0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5127E1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00BCC8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F740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0D7AC28">
      <w:pPr>
        <w:spacing w:line="360" w:lineRule="auto"/>
        <w:jc w:val="center"/>
        <w:rPr>
          <w:rFonts w:ascii="宋体" w:hAnsi="宋体" w:cs="宋体"/>
          <w:b/>
          <w:bCs/>
          <w:color w:val="auto"/>
          <w:sz w:val="24"/>
          <w:highlight w:val="none"/>
        </w:rPr>
      </w:pPr>
    </w:p>
    <w:p w14:paraId="548EF0DF">
      <w:pPr>
        <w:spacing w:line="360" w:lineRule="auto"/>
        <w:rPr>
          <w:rFonts w:ascii="宋体" w:hAnsi="宋体" w:cs="宋体"/>
          <w:b/>
          <w:color w:val="auto"/>
          <w:sz w:val="24"/>
          <w:highlight w:val="none"/>
        </w:rPr>
      </w:pPr>
    </w:p>
    <w:p w14:paraId="282D3AB9">
      <w:pPr>
        <w:spacing w:line="360" w:lineRule="auto"/>
        <w:rPr>
          <w:rFonts w:ascii="宋体" w:hAnsi="宋体" w:cs="宋体"/>
          <w:b/>
          <w:color w:val="auto"/>
          <w:sz w:val="24"/>
          <w:highlight w:val="none"/>
        </w:rPr>
      </w:pPr>
    </w:p>
    <w:p w14:paraId="0F316FC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C6B83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1B0C3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CF95A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082F1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0C4619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3EB3A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E644180">
      <w:pPr>
        <w:widowControl/>
        <w:spacing w:line="360" w:lineRule="auto"/>
        <w:ind w:firstLine="600" w:firstLineChars="200"/>
        <w:jc w:val="left"/>
        <w:rPr>
          <w:rFonts w:ascii="宋体" w:hAnsi="宋体" w:cs="宋体"/>
          <w:color w:val="auto"/>
          <w:sz w:val="30"/>
          <w:szCs w:val="30"/>
          <w:highlight w:val="none"/>
        </w:rPr>
      </w:pPr>
    </w:p>
    <w:p w14:paraId="0A621692">
      <w:pPr>
        <w:spacing w:line="360" w:lineRule="auto"/>
        <w:jc w:val="center"/>
        <w:rPr>
          <w:rFonts w:ascii="宋体" w:hAnsi="宋体" w:cs="宋体"/>
          <w:b/>
          <w:color w:val="auto"/>
          <w:spacing w:val="6"/>
          <w:sz w:val="32"/>
          <w:szCs w:val="32"/>
          <w:highlight w:val="none"/>
        </w:rPr>
      </w:pPr>
    </w:p>
    <w:p w14:paraId="5A6D0696">
      <w:pPr>
        <w:spacing w:line="360" w:lineRule="auto"/>
        <w:jc w:val="center"/>
        <w:rPr>
          <w:rFonts w:ascii="宋体" w:hAnsi="宋体" w:cs="宋体"/>
          <w:b/>
          <w:color w:val="auto"/>
          <w:spacing w:val="6"/>
          <w:sz w:val="32"/>
          <w:szCs w:val="32"/>
          <w:highlight w:val="none"/>
        </w:rPr>
      </w:pPr>
    </w:p>
    <w:p w14:paraId="52E0C90B">
      <w:pPr>
        <w:spacing w:line="360" w:lineRule="auto"/>
        <w:jc w:val="center"/>
        <w:rPr>
          <w:rFonts w:ascii="宋体" w:hAnsi="宋体" w:cs="宋体"/>
          <w:b/>
          <w:color w:val="auto"/>
          <w:spacing w:val="6"/>
          <w:sz w:val="32"/>
          <w:szCs w:val="32"/>
          <w:highlight w:val="none"/>
        </w:rPr>
      </w:pPr>
    </w:p>
    <w:p w14:paraId="7D7EB208">
      <w:pPr>
        <w:spacing w:line="360" w:lineRule="auto"/>
        <w:jc w:val="center"/>
        <w:rPr>
          <w:rFonts w:ascii="宋体" w:hAnsi="宋体" w:cs="宋体"/>
          <w:b/>
          <w:color w:val="auto"/>
          <w:spacing w:val="6"/>
          <w:sz w:val="32"/>
          <w:szCs w:val="32"/>
          <w:highlight w:val="none"/>
        </w:rPr>
      </w:pPr>
    </w:p>
    <w:p w14:paraId="44A285D5">
      <w:pPr>
        <w:spacing w:line="360" w:lineRule="auto"/>
        <w:jc w:val="center"/>
        <w:rPr>
          <w:rFonts w:ascii="宋体" w:hAnsi="宋体" w:cs="宋体"/>
          <w:b/>
          <w:color w:val="auto"/>
          <w:spacing w:val="6"/>
          <w:sz w:val="32"/>
          <w:szCs w:val="32"/>
          <w:highlight w:val="none"/>
        </w:rPr>
      </w:pPr>
    </w:p>
    <w:p w14:paraId="15954D44">
      <w:pPr>
        <w:spacing w:line="360" w:lineRule="auto"/>
        <w:jc w:val="center"/>
        <w:rPr>
          <w:rFonts w:ascii="宋体" w:hAnsi="宋体" w:cs="宋体"/>
          <w:b/>
          <w:color w:val="auto"/>
          <w:spacing w:val="6"/>
          <w:sz w:val="32"/>
          <w:szCs w:val="32"/>
          <w:highlight w:val="none"/>
        </w:rPr>
      </w:pPr>
    </w:p>
    <w:p w14:paraId="46F2BA76">
      <w:pPr>
        <w:spacing w:line="360" w:lineRule="auto"/>
        <w:jc w:val="center"/>
        <w:rPr>
          <w:rFonts w:ascii="宋体" w:hAnsi="宋体" w:cs="宋体"/>
          <w:b/>
          <w:color w:val="auto"/>
          <w:spacing w:val="6"/>
          <w:sz w:val="32"/>
          <w:szCs w:val="32"/>
          <w:highlight w:val="none"/>
        </w:rPr>
      </w:pPr>
    </w:p>
    <w:p w14:paraId="61861B14">
      <w:pPr>
        <w:spacing w:line="360" w:lineRule="auto"/>
        <w:jc w:val="center"/>
        <w:rPr>
          <w:rFonts w:ascii="宋体" w:hAnsi="宋体" w:cs="宋体"/>
          <w:b/>
          <w:color w:val="auto"/>
          <w:spacing w:val="6"/>
          <w:sz w:val="32"/>
          <w:szCs w:val="32"/>
          <w:highlight w:val="none"/>
        </w:rPr>
      </w:pPr>
    </w:p>
    <w:p w14:paraId="7D790A19">
      <w:pPr>
        <w:spacing w:line="360" w:lineRule="auto"/>
        <w:jc w:val="center"/>
        <w:rPr>
          <w:rFonts w:ascii="宋体" w:hAnsi="宋体" w:cs="宋体"/>
          <w:b/>
          <w:color w:val="auto"/>
          <w:spacing w:val="6"/>
          <w:sz w:val="32"/>
          <w:szCs w:val="32"/>
          <w:highlight w:val="none"/>
        </w:rPr>
      </w:pPr>
    </w:p>
    <w:p w14:paraId="7811CDA5">
      <w:pPr>
        <w:spacing w:line="360" w:lineRule="auto"/>
        <w:jc w:val="center"/>
        <w:rPr>
          <w:rFonts w:ascii="宋体" w:hAnsi="宋体" w:cs="宋体"/>
          <w:b/>
          <w:color w:val="auto"/>
          <w:spacing w:val="6"/>
          <w:sz w:val="32"/>
          <w:szCs w:val="32"/>
          <w:highlight w:val="none"/>
        </w:rPr>
      </w:pPr>
    </w:p>
    <w:p w14:paraId="07339270">
      <w:pPr>
        <w:spacing w:line="360" w:lineRule="auto"/>
        <w:jc w:val="center"/>
        <w:rPr>
          <w:rFonts w:ascii="宋体" w:hAnsi="宋体" w:cs="宋体"/>
          <w:b/>
          <w:color w:val="auto"/>
          <w:spacing w:val="6"/>
          <w:sz w:val="32"/>
          <w:szCs w:val="32"/>
          <w:highlight w:val="none"/>
        </w:rPr>
      </w:pPr>
    </w:p>
    <w:p w14:paraId="3C375311">
      <w:pPr>
        <w:spacing w:line="360" w:lineRule="auto"/>
        <w:jc w:val="center"/>
        <w:rPr>
          <w:rFonts w:ascii="宋体" w:hAnsi="宋体" w:cs="宋体"/>
          <w:b/>
          <w:color w:val="auto"/>
          <w:spacing w:val="6"/>
          <w:sz w:val="32"/>
          <w:szCs w:val="32"/>
          <w:highlight w:val="none"/>
        </w:rPr>
      </w:pPr>
    </w:p>
    <w:p w14:paraId="37224E3F">
      <w:pPr>
        <w:spacing w:line="360" w:lineRule="auto"/>
        <w:jc w:val="left"/>
        <w:rPr>
          <w:rFonts w:ascii="宋体" w:hAnsi="宋体" w:cs="宋体"/>
          <w:b/>
          <w:color w:val="auto"/>
          <w:spacing w:val="6"/>
          <w:sz w:val="32"/>
          <w:szCs w:val="32"/>
          <w:highlight w:val="none"/>
        </w:rPr>
      </w:pPr>
    </w:p>
    <w:p w14:paraId="5ABD400E">
      <w:pPr>
        <w:spacing w:line="360" w:lineRule="auto"/>
        <w:jc w:val="left"/>
        <w:rPr>
          <w:rFonts w:ascii="宋体" w:hAnsi="宋体" w:cs="宋体"/>
          <w:b/>
          <w:color w:val="auto"/>
          <w:spacing w:val="6"/>
          <w:sz w:val="32"/>
          <w:szCs w:val="32"/>
          <w:highlight w:val="none"/>
        </w:rPr>
      </w:pPr>
    </w:p>
    <w:p w14:paraId="2B86A4D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8CC6E20">
      <w:pPr>
        <w:spacing w:line="360" w:lineRule="auto"/>
        <w:jc w:val="center"/>
        <w:rPr>
          <w:rFonts w:ascii="宋体" w:hAnsi="宋体" w:cs="宋体"/>
          <w:b/>
          <w:color w:val="auto"/>
          <w:sz w:val="24"/>
          <w:highlight w:val="none"/>
        </w:rPr>
      </w:pPr>
    </w:p>
    <w:p w14:paraId="149AD88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93D704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85B4E2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3872BB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1D4998A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0104FD7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738B6F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609670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4A7943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1509E0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561F48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13755E1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76DFB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4AF53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136E29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2E2F3E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65E44B4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0770AB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54FA32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5F769502">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0259F2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23584C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4E86F9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15471BC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7221F1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37F1A4FC">
      <w:pPr>
        <w:spacing w:line="360" w:lineRule="auto"/>
        <w:rPr>
          <w:rFonts w:ascii="宋体" w:hAnsi="宋体" w:cs="宋体"/>
          <w:color w:val="auto"/>
          <w:sz w:val="24"/>
          <w:highlight w:val="none"/>
          <w:u w:val="dotted"/>
        </w:rPr>
      </w:pPr>
    </w:p>
    <w:p w14:paraId="3FEC35D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731D833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8F24F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2276CA3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32E4EB2F">
      <w:pPr>
        <w:spacing w:line="360" w:lineRule="auto"/>
        <w:rPr>
          <w:rFonts w:ascii="宋体" w:hAnsi="宋体" w:cs="宋体"/>
          <w:color w:val="auto"/>
          <w:sz w:val="24"/>
          <w:highlight w:val="none"/>
          <w:u w:val="dotted"/>
        </w:rPr>
      </w:pPr>
    </w:p>
    <w:p w14:paraId="5E0349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6463994C">
      <w:pPr>
        <w:spacing w:line="360" w:lineRule="auto"/>
        <w:rPr>
          <w:rFonts w:ascii="宋体" w:hAnsi="宋体" w:cs="宋体"/>
          <w:color w:val="auto"/>
          <w:sz w:val="24"/>
          <w:highlight w:val="none"/>
          <w:u w:val="dotted"/>
        </w:rPr>
      </w:pPr>
    </w:p>
    <w:p w14:paraId="5D2F4D9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B9EB69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0D49C6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6746B6B">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3D17F550">
      <w:pPr>
        <w:spacing w:line="360" w:lineRule="auto"/>
        <w:rPr>
          <w:rFonts w:ascii="宋体" w:hAnsi="宋体" w:cs="宋体"/>
          <w:color w:val="auto"/>
          <w:sz w:val="24"/>
          <w:highlight w:val="none"/>
          <w:u w:val="single"/>
        </w:rPr>
      </w:pPr>
    </w:p>
    <w:p w14:paraId="28FE2E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E8BE8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5E35356">
      <w:pPr>
        <w:spacing w:line="360" w:lineRule="auto"/>
        <w:rPr>
          <w:rFonts w:ascii="宋体" w:hAnsi="宋体" w:cs="宋体"/>
          <w:b/>
          <w:color w:val="auto"/>
          <w:sz w:val="24"/>
          <w:highlight w:val="none"/>
        </w:rPr>
      </w:pPr>
    </w:p>
    <w:p w14:paraId="60E0E4F0">
      <w:pPr>
        <w:spacing w:line="360" w:lineRule="auto"/>
        <w:rPr>
          <w:rFonts w:ascii="宋体" w:hAnsi="宋体" w:cs="宋体"/>
          <w:b/>
          <w:color w:val="auto"/>
          <w:sz w:val="24"/>
          <w:highlight w:val="none"/>
        </w:rPr>
      </w:pPr>
    </w:p>
    <w:p w14:paraId="6565D48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48C00A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283ED3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7D2D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9B49C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3245AA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34001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F38083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42A11D8">
      <w:pPr>
        <w:spacing w:line="360" w:lineRule="auto"/>
        <w:rPr>
          <w:rFonts w:ascii="宋体" w:hAnsi="宋体" w:cs="宋体"/>
          <w:b/>
          <w:color w:val="auto"/>
          <w:sz w:val="24"/>
          <w:highlight w:val="none"/>
        </w:rPr>
      </w:pPr>
    </w:p>
    <w:p w14:paraId="6475BC3A">
      <w:pPr>
        <w:autoSpaceDE w:val="0"/>
        <w:autoSpaceDN w:val="0"/>
        <w:jc w:val="center"/>
        <w:rPr>
          <w:rFonts w:ascii="宋体" w:hAnsi="宋体" w:cs="宋体"/>
          <w:b/>
          <w:color w:val="auto"/>
          <w:spacing w:val="6"/>
          <w:sz w:val="32"/>
          <w:szCs w:val="32"/>
          <w:highlight w:val="none"/>
        </w:rPr>
      </w:pPr>
    </w:p>
    <w:p w14:paraId="7606B9DD">
      <w:pPr>
        <w:autoSpaceDE w:val="0"/>
        <w:autoSpaceDN w:val="0"/>
        <w:jc w:val="center"/>
        <w:rPr>
          <w:rFonts w:ascii="宋体" w:hAnsi="宋体" w:cs="宋体"/>
          <w:b/>
          <w:color w:val="auto"/>
          <w:spacing w:val="6"/>
          <w:sz w:val="32"/>
          <w:szCs w:val="32"/>
          <w:highlight w:val="none"/>
        </w:rPr>
      </w:pPr>
    </w:p>
    <w:p w14:paraId="2B4DD12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D1117D0">
      <w:pPr>
        <w:spacing w:line="360" w:lineRule="auto"/>
        <w:rPr>
          <w:rFonts w:ascii="宋体" w:hAnsi="宋体" w:cs="宋体"/>
          <w:color w:val="auto"/>
          <w:sz w:val="24"/>
          <w:highlight w:val="none"/>
          <w:u w:val="single"/>
        </w:rPr>
      </w:pPr>
    </w:p>
    <w:p w14:paraId="467FF633">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854DA8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E720F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4ED5958">
      <w:pPr>
        <w:spacing w:line="360" w:lineRule="auto"/>
        <w:ind w:firstLine="494"/>
        <w:rPr>
          <w:rFonts w:ascii="宋体" w:hAnsi="宋体" w:cs="宋体"/>
          <w:color w:val="auto"/>
          <w:sz w:val="24"/>
          <w:highlight w:val="none"/>
        </w:rPr>
      </w:pPr>
    </w:p>
    <w:p w14:paraId="5E72D4AD">
      <w:pPr>
        <w:spacing w:line="360" w:lineRule="auto"/>
        <w:ind w:firstLine="494"/>
        <w:rPr>
          <w:rFonts w:ascii="宋体" w:hAnsi="宋体" w:cs="宋体"/>
          <w:color w:val="auto"/>
          <w:sz w:val="24"/>
          <w:highlight w:val="none"/>
        </w:rPr>
      </w:pPr>
    </w:p>
    <w:p w14:paraId="61ACD201">
      <w:pPr>
        <w:spacing w:line="360" w:lineRule="auto"/>
        <w:ind w:firstLine="494"/>
        <w:rPr>
          <w:rFonts w:ascii="宋体" w:hAnsi="宋体" w:cs="宋体"/>
          <w:color w:val="auto"/>
          <w:sz w:val="24"/>
          <w:highlight w:val="none"/>
        </w:rPr>
      </w:pPr>
    </w:p>
    <w:p w14:paraId="7D99F599">
      <w:pPr>
        <w:spacing w:line="360" w:lineRule="auto"/>
        <w:ind w:firstLine="494"/>
        <w:rPr>
          <w:rFonts w:ascii="宋体" w:hAnsi="宋体" w:cs="宋体"/>
          <w:color w:val="auto"/>
          <w:sz w:val="24"/>
          <w:highlight w:val="none"/>
        </w:rPr>
      </w:pPr>
    </w:p>
    <w:p w14:paraId="3D61755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2B8E7A5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6AA4C6B">
      <w:pPr>
        <w:rPr>
          <w:rFonts w:ascii="宋体" w:hAnsi="宋体" w:cs="宋体"/>
          <w:color w:val="auto"/>
          <w:sz w:val="24"/>
          <w:highlight w:val="none"/>
        </w:rPr>
      </w:pPr>
      <w:r>
        <w:rPr>
          <w:rFonts w:hint="eastAsia" w:ascii="宋体" w:hAnsi="宋体" w:cs="宋体"/>
          <w:b/>
          <w:bCs/>
          <w:color w:val="auto"/>
          <w:sz w:val="24"/>
          <w:highlight w:val="none"/>
        </w:rPr>
        <w:t>附：</w:t>
      </w:r>
    </w:p>
    <w:p w14:paraId="2296FF7B">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6C917ECF">
      <w:pPr>
        <w:autoSpaceDE w:val="0"/>
        <w:autoSpaceDN w:val="0"/>
        <w:jc w:val="center"/>
        <w:rPr>
          <w:rFonts w:ascii="宋体" w:hAnsi="宋体" w:cs="宋体"/>
          <w:b/>
          <w:color w:val="auto"/>
          <w:spacing w:val="6"/>
          <w:sz w:val="32"/>
          <w:szCs w:val="32"/>
          <w:highlight w:val="none"/>
        </w:rPr>
      </w:pPr>
    </w:p>
    <w:p w14:paraId="77704B30">
      <w:pPr>
        <w:autoSpaceDE w:val="0"/>
        <w:autoSpaceDN w:val="0"/>
        <w:jc w:val="center"/>
        <w:rPr>
          <w:rFonts w:ascii="宋体" w:hAnsi="宋体" w:cs="宋体"/>
          <w:b/>
          <w:color w:val="auto"/>
          <w:spacing w:val="6"/>
          <w:sz w:val="32"/>
          <w:szCs w:val="32"/>
          <w:highlight w:val="none"/>
        </w:rPr>
      </w:pPr>
    </w:p>
    <w:p w14:paraId="57D5DA3C">
      <w:pPr>
        <w:autoSpaceDE w:val="0"/>
        <w:autoSpaceDN w:val="0"/>
        <w:jc w:val="center"/>
        <w:rPr>
          <w:rFonts w:ascii="宋体" w:hAnsi="宋体" w:cs="宋体"/>
          <w:b/>
          <w:color w:val="auto"/>
          <w:spacing w:val="6"/>
          <w:sz w:val="32"/>
          <w:szCs w:val="32"/>
          <w:highlight w:val="none"/>
        </w:rPr>
      </w:pPr>
    </w:p>
    <w:p w14:paraId="26ED87B5">
      <w:pPr>
        <w:autoSpaceDE w:val="0"/>
        <w:autoSpaceDN w:val="0"/>
        <w:jc w:val="center"/>
        <w:rPr>
          <w:rFonts w:ascii="宋体" w:hAnsi="宋体" w:cs="宋体"/>
          <w:b/>
          <w:color w:val="auto"/>
          <w:spacing w:val="6"/>
          <w:sz w:val="32"/>
          <w:szCs w:val="32"/>
          <w:highlight w:val="none"/>
        </w:rPr>
      </w:pPr>
    </w:p>
    <w:p w14:paraId="3D5FC3B3">
      <w:pPr>
        <w:autoSpaceDE w:val="0"/>
        <w:autoSpaceDN w:val="0"/>
        <w:jc w:val="center"/>
        <w:rPr>
          <w:rFonts w:ascii="宋体" w:hAnsi="宋体" w:cs="宋体"/>
          <w:b/>
          <w:color w:val="auto"/>
          <w:spacing w:val="6"/>
          <w:sz w:val="32"/>
          <w:szCs w:val="32"/>
          <w:highlight w:val="none"/>
        </w:rPr>
      </w:pPr>
    </w:p>
    <w:p w14:paraId="58A34FC2">
      <w:pPr>
        <w:autoSpaceDE w:val="0"/>
        <w:autoSpaceDN w:val="0"/>
        <w:jc w:val="center"/>
        <w:rPr>
          <w:rFonts w:ascii="宋体" w:hAnsi="宋体" w:cs="宋体"/>
          <w:b/>
          <w:color w:val="auto"/>
          <w:spacing w:val="6"/>
          <w:sz w:val="32"/>
          <w:szCs w:val="32"/>
          <w:highlight w:val="none"/>
        </w:rPr>
      </w:pPr>
    </w:p>
    <w:p w14:paraId="517F3F6D">
      <w:pPr>
        <w:autoSpaceDE w:val="0"/>
        <w:autoSpaceDN w:val="0"/>
        <w:jc w:val="center"/>
        <w:rPr>
          <w:rFonts w:ascii="宋体" w:hAnsi="宋体" w:cs="宋体"/>
          <w:b/>
          <w:color w:val="auto"/>
          <w:spacing w:val="6"/>
          <w:sz w:val="32"/>
          <w:szCs w:val="32"/>
          <w:highlight w:val="none"/>
        </w:rPr>
      </w:pPr>
    </w:p>
    <w:p w14:paraId="7608CE75">
      <w:pPr>
        <w:autoSpaceDE w:val="0"/>
        <w:autoSpaceDN w:val="0"/>
        <w:jc w:val="center"/>
        <w:rPr>
          <w:rFonts w:ascii="宋体" w:hAnsi="宋体" w:cs="宋体"/>
          <w:b/>
          <w:color w:val="auto"/>
          <w:spacing w:val="6"/>
          <w:sz w:val="32"/>
          <w:szCs w:val="32"/>
          <w:highlight w:val="none"/>
        </w:rPr>
      </w:pPr>
    </w:p>
    <w:p w14:paraId="00423F62">
      <w:pPr>
        <w:autoSpaceDE w:val="0"/>
        <w:autoSpaceDN w:val="0"/>
        <w:jc w:val="center"/>
        <w:rPr>
          <w:rFonts w:ascii="宋体" w:hAnsi="宋体" w:cs="宋体"/>
          <w:b/>
          <w:color w:val="auto"/>
          <w:spacing w:val="6"/>
          <w:sz w:val="32"/>
          <w:szCs w:val="32"/>
          <w:highlight w:val="none"/>
        </w:rPr>
      </w:pPr>
    </w:p>
    <w:p w14:paraId="7F121D6C">
      <w:pPr>
        <w:autoSpaceDE w:val="0"/>
        <w:autoSpaceDN w:val="0"/>
        <w:jc w:val="center"/>
        <w:rPr>
          <w:rFonts w:ascii="宋体" w:hAnsi="宋体" w:cs="宋体"/>
          <w:b/>
          <w:color w:val="auto"/>
          <w:spacing w:val="6"/>
          <w:sz w:val="32"/>
          <w:szCs w:val="32"/>
          <w:highlight w:val="none"/>
        </w:rPr>
      </w:pPr>
    </w:p>
    <w:p w14:paraId="044B715C">
      <w:pPr>
        <w:autoSpaceDE w:val="0"/>
        <w:autoSpaceDN w:val="0"/>
        <w:jc w:val="center"/>
        <w:rPr>
          <w:rFonts w:ascii="宋体" w:hAnsi="宋体" w:cs="宋体"/>
          <w:b/>
          <w:color w:val="auto"/>
          <w:spacing w:val="6"/>
          <w:sz w:val="32"/>
          <w:szCs w:val="32"/>
          <w:highlight w:val="none"/>
        </w:rPr>
      </w:pPr>
    </w:p>
    <w:p w14:paraId="2889E5D8">
      <w:pPr>
        <w:autoSpaceDE w:val="0"/>
        <w:autoSpaceDN w:val="0"/>
        <w:jc w:val="center"/>
        <w:rPr>
          <w:rFonts w:ascii="宋体" w:hAnsi="宋体" w:cs="宋体"/>
          <w:b/>
          <w:color w:val="auto"/>
          <w:spacing w:val="6"/>
          <w:sz w:val="32"/>
          <w:szCs w:val="32"/>
          <w:highlight w:val="none"/>
        </w:rPr>
      </w:pPr>
    </w:p>
    <w:p w14:paraId="08F1072A">
      <w:pPr>
        <w:autoSpaceDE w:val="0"/>
        <w:autoSpaceDN w:val="0"/>
        <w:jc w:val="center"/>
        <w:rPr>
          <w:rFonts w:ascii="宋体" w:hAnsi="宋体" w:cs="宋体"/>
          <w:b/>
          <w:color w:val="auto"/>
          <w:spacing w:val="6"/>
          <w:sz w:val="32"/>
          <w:szCs w:val="32"/>
          <w:highlight w:val="none"/>
        </w:rPr>
      </w:pPr>
    </w:p>
    <w:p w14:paraId="489BEB00">
      <w:pPr>
        <w:autoSpaceDE w:val="0"/>
        <w:autoSpaceDN w:val="0"/>
        <w:jc w:val="center"/>
        <w:rPr>
          <w:rFonts w:ascii="宋体" w:hAnsi="宋体" w:cs="宋体"/>
          <w:b/>
          <w:color w:val="auto"/>
          <w:spacing w:val="6"/>
          <w:sz w:val="32"/>
          <w:szCs w:val="32"/>
          <w:highlight w:val="none"/>
        </w:rPr>
      </w:pPr>
    </w:p>
    <w:p w14:paraId="1C68E6EF">
      <w:pPr>
        <w:autoSpaceDE w:val="0"/>
        <w:autoSpaceDN w:val="0"/>
        <w:jc w:val="center"/>
        <w:rPr>
          <w:rFonts w:ascii="宋体" w:hAnsi="宋体" w:cs="宋体"/>
          <w:b/>
          <w:color w:val="auto"/>
          <w:spacing w:val="6"/>
          <w:sz w:val="32"/>
          <w:szCs w:val="32"/>
          <w:highlight w:val="none"/>
        </w:rPr>
      </w:pPr>
    </w:p>
    <w:p w14:paraId="2982BB5A">
      <w:pPr>
        <w:autoSpaceDE w:val="0"/>
        <w:autoSpaceDN w:val="0"/>
        <w:jc w:val="center"/>
        <w:rPr>
          <w:rFonts w:ascii="宋体" w:hAnsi="宋体" w:cs="宋体"/>
          <w:b/>
          <w:color w:val="auto"/>
          <w:spacing w:val="6"/>
          <w:sz w:val="32"/>
          <w:szCs w:val="32"/>
          <w:highlight w:val="none"/>
        </w:rPr>
      </w:pPr>
    </w:p>
    <w:p w14:paraId="4C3673B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FDD9EF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1DCC01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496C5D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EDB3C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2AE811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7DF49E20">
      <w:pPr>
        <w:snapToGrid w:val="0"/>
        <w:spacing w:line="360" w:lineRule="auto"/>
        <w:ind w:firstLine="576"/>
        <w:rPr>
          <w:rFonts w:ascii="宋体" w:hAnsi="宋体" w:cs="宋体"/>
          <w:color w:val="auto"/>
          <w:kern w:val="0"/>
          <w:sz w:val="24"/>
          <w:highlight w:val="none"/>
          <w:lang w:val="zh-CN"/>
        </w:rPr>
      </w:pPr>
      <w:bookmarkStart w:id="139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320096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14:paraId="57F3A2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399"/>
    <w:p w14:paraId="661D22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FD0349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FC81E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0CEF1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11A975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5485D9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8503A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59C20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832CBE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7EB98E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C8885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857B67">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26A70C0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A4A3A0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2C67C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5D8DB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B8090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868E32F">
      <w:pPr>
        <w:keepNext/>
        <w:keepLines/>
        <w:tabs>
          <w:tab w:val="left" w:pos="432"/>
        </w:tabs>
        <w:adjustRightInd/>
        <w:ind w:left="664" w:leftChars="316" w:firstLine="228" w:firstLineChars="95"/>
        <w:rPr>
          <w:rFonts w:ascii="宋体" w:hAnsi="宋体" w:cs="宋体"/>
          <w:color w:val="auto"/>
          <w:kern w:val="0"/>
          <w:sz w:val="24"/>
          <w:highlight w:val="none"/>
        </w:rPr>
      </w:pPr>
      <w:r>
        <w:rPr>
          <w:rFonts w:hint="eastAsia" w:ascii="宋体" w:hAnsi="宋体" w:cs="宋体"/>
          <w:color w:val="auto"/>
          <w:kern w:val="0"/>
          <w:sz w:val="24"/>
          <w:highlight w:val="none"/>
        </w:rPr>
        <w:t>……</w:t>
      </w:r>
    </w:p>
    <w:p w14:paraId="7E59C8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3A0AFA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5E7C27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400"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400"/>
    </w:p>
    <w:p w14:paraId="1E427D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13BEFF9">
      <w:pPr>
        <w:snapToGrid w:val="0"/>
        <w:spacing w:line="360" w:lineRule="auto"/>
        <w:ind w:firstLine="576"/>
        <w:rPr>
          <w:rFonts w:ascii="宋体" w:hAnsi="宋体" w:cs="宋体"/>
          <w:color w:val="auto"/>
          <w:highlight w:val="none"/>
          <w:u w:val="single"/>
        </w:rPr>
      </w:pPr>
    </w:p>
    <w:p w14:paraId="438E8B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9E21C49">
      <w:pPr>
        <w:snapToGrid w:val="0"/>
        <w:spacing w:line="360" w:lineRule="auto"/>
        <w:ind w:firstLine="576"/>
        <w:rPr>
          <w:rFonts w:ascii="宋体" w:hAnsi="宋体" w:cs="宋体"/>
          <w:color w:val="auto"/>
          <w:kern w:val="0"/>
          <w:sz w:val="24"/>
          <w:highlight w:val="none"/>
          <w:lang w:val="zh-CN"/>
        </w:rPr>
      </w:pPr>
    </w:p>
    <w:p w14:paraId="1C76BF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F333864">
      <w:pPr>
        <w:snapToGrid w:val="0"/>
        <w:spacing w:line="360" w:lineRule="auto"/>
        <w:ind w:left="573" w:leftChars="273"/>
        <w:rPr>
          <w:rFonts w:ascii="宋体" w:hAnsi="宋体" w:cs="宋体"/>
          <w:color w:val="auto"/>
          <w:kern w:val="0"/>
          <w:sz w:val="24"/>
          <w:highlight w:val="none"/>
          <w:lang w:val="zh-CN"/>
        </w:rPr>
      </w:pPr>
    </w:p>
    <w:p w14:paraId="59803CA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E96F48F">
      <w:pPr>
        <w:snapToGrid w:val="0"/>
        <w:spacing w:line="360" w:lineRule="auto"/>
        <w:ind w:firstLine="576"/>
        <w:rPr>
          <w:rFonts w:ascii="宋体" w:hAnsi="宋体" w:cs="宋体"/>
          <w:color w:val="auto"/>
          <w:kern w:val="0"/>
          <w:sz w:val="24"/>
          <w:highlight w:val="none"/>
          <w:lang w:val="zh-CN"/>
        </w:rPr>
      </w:pPr>
    </w:p>
    <w:p w14:paraId="6631F1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ABE881E">
      <w:pPr>
        <w:snapToGrid w:val="0"/>
        <w:spacing w:line="360" w:lineRule="auto"/>
        <w:ind w:firstLine="576"/>
        <w:rPr>
          <w:rFonts w:ascii="宋体" w:hAnsi="宋体" w:cs="宋体"/>
          <w:color w:val="auto"/>
          <w:kern w:val="0"/>
          <w:sz w:val="24"/>
          <w:highlight w:val="none"/>
          <w:lang w:val="zh-CN"/>
        </w:rPr>
      </w:pPr>
    </w:p>
    <w:p w14:paraId="6238984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24188EA2">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1626C4C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AD47BC4">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14:paraId="5541EAD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755741FC">
      <w:pPr>
        <w:spacing w:line="360" w:lineRule="auto"/>
        <w:jc w:val="center"/>
        <w:rPr>
          <w:rFonts w:ascii="宋体" w:hAnsi="宋体" w:cs="宋体"/>
          <w:color w:val="auto"/>
          <w:sz w:val="24"/>
          <w:highlight w:val="none"/>
          <w:u w:val="single"/>
        </w:rPr>
      </w:pPr>
    </w:p>
    <w:p w14:paraId="7A6A5B0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610533D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23F219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lang w:eastAsia="zh-CN"/>
        </w:rPr>
        <w:t>2024年西湖区道路端头交通安全治理绿化工程</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FC10EC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BA18E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331EFA5">
      <w:pPr>
        <w:spacing w:line="360" w:lineRule="auto"/>
        <w:ind w:firstLine="480" w:firstLineChars="200"/>
        <w:rPr>
          <w:rFonts w:ascii="宋体" w:hAnsi="宋体" w:cs="宋体"/>
          <w:color w:val="auto"/>
          <w:sz w:val="24"/>
          <w:highlight w:val="none"/>
        </w:rPr>
      </w:pPr>
    </w:p>
    <w:p w14:paraId="71096D6A">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B28C86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3C8D0303">
      <w:pPr>
        <w:pStyle w:val="61"/>
        <w:rPr>
          <w:rFonts w:hAnsi="宋体" w:cs="宋体"/>
          <w:color w:val="auto"/>
          <w:kern w:val="0"/>
          <w:highlight w:val="none"/>
        </w:rPr>
      </w:pPr>
    </w:p>
    <w:p w14:paraId="10D37412">
      <w:pPr>
        <w:pStyle w:val="51"/>
        <w:rPr>
          <w:rFonts w:ascii="宋体" w:hAnsi="宋体" w:cs="宋体"/>
          <w:color w:val="auto"/>
          <w:kern w:val="0"/>
          <w:sz w:val="24"/>
          <w:highlight w:val="none"/>
          <w:lang w:val="zh-CN"/>
        </w:rPr>
      </w:pPr>
    </w:p>
    <w:p w14:paraId="4351C3C5">
      <w:pPr>
        <w:rPr>
          <w:rFonts w:ascii="宋体" w:hAnsi="宋体" w:cs="宋体"/>
          <w:color w:val="auto"/>
          <w:kern w:val="0"/>
          <w:sz w:val="24"/>
          <w:highlight w:val="none"/>
          <w:lang w:val="zh-CN"/>
        </w:rPr>
      </w:pPr>
    </w:p>
    <w:p w14:paraId="610315C3">
      <w:pPr>
        <w:pStyle w:val="61"/>
        <w:rPr>
          <w:rFonts w:hAnsi="宋体" w:cs="宋体"/>
          <w:color w:val="auto"/>
          <w:kern w:val="0"/>
          <w:highlight w:val="none"/>
        </w:rPr>
      </w:pPr>
    </w:p>
    <w:p w14:paraId="578B3A6B">
      <w:pPr>
        <w:pStyle w:val="51"/>
        <w:rPr>
          <w:rFonts w:ascii="宋体" w:hAnsi="宋体" w:cs="宋体"/>
          <w:color w:val="auto"/>
          <w:kern w:val="0"/>
          <w:sz w:val="24"/>
          <w:highlight w:val="none"/>
          <w:lang w:val="zh-CN"/>
        </w:rPr>
      </w:pPr>
    </w:p>
    <w:p w14:paraId="0B91304D">
      <w:pPr>
        <w:rPr>
          <w:rFonts w:ascii="宋体" w:hAnsi="宋体" w:cs="宋体"/>
          <w:color w:val="auto"/>
          <w:kern w:val="0"/>
          <w:sz w:val="24"/>
          <w:highlight w:val="none"/>
          <w:lang w:val="zh-CN"/>
        </w:rPr>
      </w:pPr>
    </w:p>
    <w:p w14:paraId="29D05C93">
      <w:pPr>
        <w:pStyle w:val="61"/>
        <w:rPr>
          <w:rFonts w:ascii="宋体" w:hAnsi="宋体" w:cs="宋体"/>
          <w:color w:val="auto"/>
          <w:sz w:val="24"/>
          <w:highlight w:val="none"/>
        </w:rPr>
      </w:pPr>
      <w:r>
        <w:rPr>
          <w:rFonts w:hAnsi="宋体" w:cs="宋体"/>
          <w:color w:val="auto"/>
          <w:kern w:val="0"/>
          <w:highlight w:val="none"/>
        </w:rPr>
        <w:br w:type="column"/>
      </w:r>
      <w:r>
        <w:rPr>
          <w:rFonts w:hint="eastAsia" w:ascii="宋体" w:hAnsi="宋体" w:cs="宋体"/>
          <w:color w:val="auto"/>
          <w:sz w:val="24"/>
          <w:highlight w:val="none"/>
        </w:rPr>
        <w:t>从业人员、营业收入、资产总额填报上一年度数据，无上一年度数据的新成立企业可不填报。</w:t>
      </w:r>
    </w:p>
    <w:p w14:paraId="71B33BF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53900ED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B8EE99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FAFCC21">
      <w:pPr>
        <w:spacing w:line="360" w:lineRule="auto"/>
        <w:jc w:val="center"/>
        <w:rPr>
          <w:rFonts w:ascii="宋体" w:hAnsi="宋体" w:cs="宋体"/>
          <w:b/>
          <w:color w:val="auto"/>
          <w:sz w:val="32"/>
          <w:szCs w:val="32"/>
          <w:highlight w:val="none"/>
        </w:rPr>
      </w:pPr>
    </w:p>
    <w:p w14:paraId="3B75976B">
      <w:pPr>
        <w:spacing w:line="360" w:lineRule="auto"/>
        <w:jc w:val="center"/>
        <w:rPr>
          <w:rFonts w:ascii="宋体" w:hAnsi="宋体" w:cs="宋体"/>
          <w:b/>
          <w:color w:val="auto"/>
          <w:sz w:val="32"/>
          <w:szCs w:val="32"/>
          <w:highlight w:val="none"/>
        </w:rPr>
      </w:pPr>
    </w:p>
    <w:p w14:paraId="0036DD71">
      <w:pPr>
        <w:spacing w:line="360" w:lineRule="auto"/>
        <w:jc w:val="center"/>
        <w:rPr>
          <w:rFonts w:ascii="宋体" w:hAnsi="宋体" w:cs="宋体"/>
          <w:b/>
          <w:color w:val="auto"/>
          <w:sz w:val="32"/>
          <w:szCs w:val="32"/>
          <w:highlight w:val="none"/>
        </w:rPr>
      </w:pPr>
    </w:p>
    <w:p w14:paraId="54E10586">
      <w:pPr>
        <w:spacing w:line="360" w:lineRule="auto"/>
        <w:jc w:val="center"/>
        <w:rPr>
          <w:rFonts w:ascii="宋体" w:hAnsi="宋体" w:cs="宋体"/>
          <w:b/>
          <w:color w:val="auto"/>
          <w:sz w:val="32"/>
          <w:szCs w:val="32"/>
          <w:highlight w:val="none"/>
        </w:rPr>
      </w:pPr>
    </w:p>
    <w:p w14:paraId="4F0AB4B7">
      <w:pPr>
        <w:spacing w:line="360" w:lineRule="auto"/>
        <w:jc w:val="center"/>
        <w:rPr>
          <w:rFonts w:ascii="宋体" w:hAnsi="宋体" w:cs="宋体"/>
          <w:b/>
          <w:color w:val="auto"/>
          <w:sz w:val="32"/>
          <w:szCs w:val="32"/>
          <w:highlight w:val="none"/>
        </w:rPr>
      </w:pPr>
    </w:p>
    <w:p w14:paraId="37B52924">
      <w:pPr>
        <w:spacing w:line="360" w:lineRule="auto"/>
        <w:jc w:val="center"/>
        <w:rPr>
          <w:rFonts w:ascii="宋体" w:hAnsi="宋体" w:cs="宋体"/>
          <w:b/>
          <w:color w:val="auto"/>
          <w:sz w:val="32"/>
          <w:szCs w:val="32"/>
          <w:highlight w:val="none"/>
        </w:rPr>
      </w:pPr>
    </w:p>
    <w:p w14:paraId="574334E6">
      <w:pPr>
        <w:spacing w:line="360" w:lineRule="auto"/>
        <w:jc w:val="center"/>
        <w:rPr>
          <w:rFonts w:ascii="宋体" w:hAnsi="宋体" w:cs="宋体"/>
          <w:b/>
          <w:color w:val="auto"/>
          <w:sz w:val="32"/>
          <w:szCs w:val="32"/>
          <w:highlight w:val="none"/>
        </w:rPr>
      </w:pPr>
    </w:p>
    <w:p w14:paraId="5963644B">
      <w:pPr>
        <w:spacing w:line="360" w:lineRule="auto"/>
        <w:jc w:val="center"/>
        <w:rPr>
          <w:rFonts w:ascii="宋体" w:hAnsi="宋体" w:cs="宋体"/>
          <w:b/>
          <w:color w:val="auto"/>
          <w:sz w:val="32"/>
          <w:szCs w:val="32"/>
          <w:highlight w:val="none"/>
        </w:rPr>
      </w:pPr>
    </w:p>
    <w:p w14:paraId="03F24151">
      <w:pPr>
        <w:spacing w:line="360" w:lineRule="auto"/>
        <w:jc w:val="center"/>
        <w:rPr>
          <w:rFonts w:ascii="宋体" w:hAnsi="宋体" w:cs="宋体"/>
          <w:b/>
          <w:color w:val="auto"/>
          <w:sz w:val="32"/>
          <w:szCs w:val="32"/>
          <w:highlight w:val="none"/>
        </w:rPr>
      </w:pPr>
    </w:p>
    <w:p w14:paraId="4A2DC66B">
      <w:pPr>
        <w:spacing w:line="360" w:lineRule="auto"/>
        <w:jc w:val="center"/>
        <w:rPr>
          <w:rFonts w:ascii="宋体" w:hAnsi="宋体" w:cs="宋体"/>
          <w:b/>
          <w:color w:val="auto"/>
          <w:sz w:val="32"/>
          <w:szCs w:val="32"/>
          <w:highlight w:val="none"/>
        </w:rPr>
      </w:pPr>
    </w:p>
    <w:p w14:paraId="674DF5FD">
      <w:pPr>
        <w:pStyle w:val="317"/>
        <w:snapToGrid w:val="0"/>
        <w:spacing w:line="360" w:lineRule="auto"/>
        <w:ind w:firstLine="562"/>
        <w:jc w:val="center"/>
        <w:rPr>
          <w:rFonts w:hAnsi="宋体" w:eastAsia="宋体" w:cs="宋体"/>
          <w:color w:val="auto"/>
          <w:sz w:val="28"/>
          <w:szCs w:val="28"/>
          <w:highlight w:val="none"/>
        </w:rPr>
      </w:pPr>
      <w:r>
        <w:rPr>
          <w:rFonts w:hint="eastAsia" w:hAnsi="宋体" w:eastAsia="宋体" w:cs="宋体"/>
          <w:b/>
          <w:bCs/>
          <w:color w:val="auto"/>
          <w:sz w:val="28"/>
          <w:szCs w:val="28"/>
          <w:highlight w:val="none"/>
        </w:rPr>
        <w:t>政府采购活动现场确认声明书-（投标文件解密时提供）</w:t>
      </w:r>
    </w:p>
    <w:p w14:paraId="5A97834A">
      <w:pPr>
        <w:pStyle w:val="317"/>
        <w:snapToGrid w:val="0"/>
        <w:spacing w:line="360" w:lineRule="auto"/>
        <w:ind w:firstLine="0" w:firstLineChars="0"/>
        <w:rPr>
          <w:rFonts w:hAnsi="宋体" w:eastAsia="宋体" w:cs="宋体"/>
          <w:b/>
          <w:color w:val="auto"/>
          <w:sz w:val="24"/>
          <w:szCs w:val="24"/>
          <w:highlight w:val="none"/>
        </w:rPr>
      </w:pPr>
      <w:r>
        <w:rPr>
          <w:rFonts w:hint="eastAsia" w:hAnsi="宋体" w:eastAsia="宋体" w:cs="宋体"/>
          <w:color w:val="auto"/>
          <w:sz w:val="24"/>
          <w:szCs w:val="24"/>
          <w:highlight w:val="none"/>
          <w:u w:val="single"/>
        </w:rPr>
        <w:t>东方经纬项目管理有限公司</w:t>
      </w:r>
      <w:r>
        <w:rPr>
          <w:rFonts w:hint="eastAsia" w:hAnsi="宋体" w:eastAsia="宋体" w:cs="宋体"/>
          <w:color w:val="auto"/>
          <w:sz w:val="24"/>
          <w:szCs w:val="24"/>
          <w:highlight w:val="none"/>
        </w:rPr>
        <w:t>：</w:t>
      </w:r>
    </w:p>
    <w:p w14:paraId="62FB4CC3">
      <w:pPr>
        <w:pStyle w:val="318"/>
        <w:widowControl/>
        <w:snapToGrid w:val="0"/>
        <w:spacing w:line="360" w:lineRule="auto"/>
        <w:ind w:firstLine="504"/>
        <w:rPr>
          <w:rFonts w:ascii="宋体" w:hAnsi="宋体" w:eastAsia="宋体" w:cs="宋体"/>
          <w:color w:val="auto"/>
          <w:spacing w:val="6"/>
          <w:highlight w:val="none"/>
        </w:rPr>
      </w:pPr>
      <w:r>
        <w:rPr>
          <w:rFonts w:hint="eastAsia" w:ascii="宋体" w:hAnsi="宋体" w:eastAsia="宋体" w:cs="宋体"/>
          <w:color w:val="auto"/>
          <w:spacing w:val="6"/>
          <w:highlight w:val="none"/>
        </w:rPr>
        <w:t xml:space="preserve">    一、本人</w:t>
      </w:r>
      <w:r>
        <w:rPr>
          <w:rFonts w:hint="eastAsia" w:ascii="宋体" w:hAnsi="宋体" w:eastAsia="宋体" w:cs="宋体"/>
          <w:color w:val="auto"/>
          <w:kern w:val="0"/>
          <w:highlight w:val="none"/>
        </w:rPr>
        <w:t>经由</w:t>
      </w:r>
      <w:r>
        <w:rPr>
          <w:rFonts w:hint="eastAsia" w:ascii="宋体" w:hAnsi="宋体" w:eastAsia="宋体" w:cs="宋体"/>
          <w:color w:val="auto"/>
          <w:spacing w:val="6"/>
          <w:highlight w:val="none"/>
          <w:u w:val="single"/>
        </w:rPr>
        <w:t xml:space="preserve">                      （单位）</w:t>
      </w:r>
      <w:r>
        <w:rPr>
          <w:rFonts w:hint="eastAsia" w:ascii="宋体" w:hAnsi="宋体" w:eastAsia="宋体" w:cs="宋体"/>
          <w:color w:val="auto"/>
          <w:spacing w:val="6"/>
          <w:highlight w:val="none"/>
        </w:rPr>
        <w:t>负责人</w:t>
      </w:r>
      <w:r>
        <w:rPr>
          <w:rFonts w:hint="eastAsia" w:ascii="宋体" w:hAnsi="宋体" w:eastAsia="宋体" w:cs="宋体"/>
          <w:color w:val="auto"/>
          <w:spacing w:val="6"/>
          <w:highlight w:val="none"/>
          <w:u w:val="single"/>
        </w:rPr>
        <w:t xml:space="preserve">        （姓名）</w:t>
      </w:r>
      <w:r>
        <w:rPr>
          <w:rFonts w:hint="eastAsia" w:ascii="宋体" w:hAnsi="宋体" w:eastAsia="宋体" w:cs="宋体"/>
          <w:color w:val="auto"/>
          <w:spacing w:val="6"/>
          <w:highlight w:val="none"/>
        </w:rPr>
        <w:t>合法授权</w:t>
      </w:r>
      <w:r>
        <w:rPr>
          <w:rFonts w:hint="eastAsia" w:ascii="宋体" w:hAnsi="宋体" w:eastAsia="宋体" w:cs="宋体"/>
          <w:color w:val="auto"/>
          <w:spacing w:val="6"/>
          <w:highlight w:val="none"/>
          <w:u w:val="single"/>
        </w:rPr>
        <w:t xml:space="preserve">      （姓名）</w:t>
      </w:r>
      <w:r>
        <w:rPr>
          <w:rFonts w:hint="eastAsia" w:ascii="宋体" w:hAnsi="宋体" w:eastAsia="宋体" w:cs="宋体"/>
          <w:color w:val="auto"/>
          <w:spacing w:val="6"/>
          <w:highlight w:val="none"/>
        </w:rPr>
        <w:t>参加</w:t>
      </w:r>
      <w:r>
        <w:rPr>
          <w:rFonts w:hint="eastAsia" w:ascii="宋体" w:hAnsi="宋体" w:eastAsia="宋体" w:cs="宋体"/>
          <w:color w:val="auto"/>
          <w:spacing w:val="6"/>
          <w:highlight w:val="none"/>
          <w:u w:val="single"/>
        </w:rPr>
        <w:t xml:space="preserve">         项目（项目编号：       ）</w:t>
      </w:r>
      <w:r>
        <w:rPr>
          <w:rFonts w:hint="eastAsia" w:ascii="宋体" w:hAnsi="宋体" w:eastAsia="宋体" w:cs="宋体"/>
          <w:color w:val="auto"/>
          <w:spacing w:val="6"/>
          <w:highlight w:val="none"/>
        </w:rPr>
        <w:t xml:space="preserve">政府采购活动，经与本单位法人代表（负责人）联系确认，现就有关公平竞争事项郑重声明如下： </w:t>
      </w:r>
    </w:p>
    <w:p w14:paraId="258ED3AD">
      <w:pPr>
        <w:pStyle w:val="318"/>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 xml:space="preserve">    二、本单位与采购人之间 □不存在利害关系 □存在下列利害关系： A.投资关系    B.行政隶属关系    C.业务指导关系</w:t>
      </w:r>
    </w:p>
    <w:p w14:paraId="24ADD0E0">
      <w:pPr>
        <w:pStyle w:val="318"/>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 xml:space="preserve">  D.其他可能</w:t>
      </w:r>
      <w:r>
        <w:rPr>
          <w:rFonts w:hint="eastAsia" w:ascii="宋体" w:hAnsi="宋体" w:eastAsia="宋体" w:cs="宋体"/>
          <w:color w:val="auto"/>
          <w:highlight w:val="none"/>
        </w:rPr>
        <w:t>影响采购公正的</w:t>
      </w:r>
      <w:r>
        <w:rPr>
          <w:rFonts w:hint="eastAsia" w:ascii="宋体" w:hAnsi="宋体" w:eastAsia="宋体" w:cs="宋体"/>
          <w:color w:val="auto"/>
          <w:kern w:val="0"/>
          <w:highlight w:val="none"/>
        </w:rPr>
        <w:t>利害关系</w:t>
      </w:r>
      <w:r>
        <w:rPr>
          <w:rFonts w:hint="eastAsia" w:ascii="宋体" w:hAnsi="宋体" w:eastAsia="宋体" w:cs="宋体"/>
          <w:color w:val="auto"/>
          <w:kern w:val="0"/>
          <w:highlight w:val="none"/>
          <w:u w:val="single"/>
        </w:rPr>
        <w:t xml:space="preserve">（如有，请如实说明）                 </w:t>
      </w:r>
      <w:r>
        <w:rPr>
          <w:rFonts w:hint="eastAsia" w:ascii="宋体" w:hAnsi="宋体" w:eastAsia="宋体" w:cs="宋体"/>
          <w:color w:val="auto"/>
          <w:kern w:val="0"/>
          <w:highlight w:val="none"/>
        </w:rPr>
        <w:t>。</w:t>
      </w:r>
    </w:p>
    <w:p w14:paraId="0351958C">
      <w:pPr>
        <w:pStyle w:val="318"/>
        <w:widowControl/>
        <w:snapToGrid w:val="0"/>
        <w:spacing w:line="360" w:lineRule="auto"/>
        <w:ind w:firstLine="504"/>
        <w:rPr>
          <w:rFonts w:ascii="宋体" w:hAnsi="宋体" w:eastAsia="宋体" w:cs="宋体"/>
          <w:color w:val="auto"/>
          <w:kern w:val="0"/>
          <w:highlight w:val="none"/>
        </w:rPr>
      </w:pPr>
      <w:r>
        <w:rPr>
          <w:rFonts w:hint="eastAsia" w:ascii="宋体" w:hAnsi="宋体" w:eastAsia="宋体" w:cs="宋体"/>
          <w:color w:val="auto"/>
          <w:spacing w:val="6"/>
          <w:highlight w:val="none"/>
        </w:rPr>
        <w:t xml:space="preserve">    三、</w:t>
      </w:r>
      <w:r>
        <w:rPr>
          <w:rFonts w:hint="eastAsia" w:ascii="宋体" w:hAnsi="宋体" w:eastAsia="宋体" w:cs="宋体"/>
          <w:color w:val="auto"/>
          <w:kern w:val="0"/>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highlight w:val="none"/>
          <w:u w:val="single"/>
        </w:rPr>
        <w:t xml:space="preserve">           （供应商名称）</w:t>
      </w:r>
      <w:r>
        <w:rPr>
          <w:rFonts w:hint="eastAsia" w:ascii="宋体" w:hAnsi="宋体" w:eastAsia="宋体" w:cs="宋体"/>
          <w:color w:val="auto"/>
          <w:kern w:val="0"/>
          <w:highlight w:val="none"/>
        </w:rPr>
        <w:t>之间存在下列利害关系：</w:t>
      </w:r>
    </w:p>
    <w:p w14:paraId="13258D37">
      <w:pPr>
        <w:pStyle w:val="317"/>
        <w:snapToGrid w:val="0"/>
        <w:spacing w:line="36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A.法定代表人或负责人或实际控制人是同一人</w:t>
      </w:r>
    </w:p>
    <w:p w14:paraId="7B9331A4">
      <w:pPr>
        <w:pStyle w:val="317"/>
        <w:snapToGrid w:val="0"/>
        <w:spacing w:line="360" w:lineRule="auto"/>
        <w:rPr>
          <w:rFonts w:hAnsi="宋体" w:eastAsia="宋体" w:cs="宋体"/>
          <w:color w:val="auto"/>
          <w:spacing w:val="6"/>
          <w:sz w:val="24"/>
          <w:szCs w:val="24"/>
          <w:highlight w:val="none"/>
        </w:rPr>
      </w:pPr>
      <w:r>
        <w:rPr>
          <w:rFonts w:hint="eastAsia" w:hAnsi="宋体" w:eastAsia="宋体" w:cs="宋体"/>
          <w:color w:val="auto"/>
          <w:sz w:val="24"/>
          <w:szCs w:val="24"/>
          <w:highlight w:val="none"/>
        </w:rPr>
        <w:t xml:space="preserve">  B.法定代表人或负责人或实际控制人是夫妻关系</w:t>
      </w:r>
    </w:p>
    <w:p w14:paraId="2C4F2196">
      <w:pPr>
        <w:pStyle w:val="317"/>
        <w:snapToGrid w:val="0"/>
        <w:spacing w:line="360" w:lineRule="auto"/>
        <w:rPr>
          <w:rFonts w:hAnsi="宋体" w:eastAsia="宋体" w:cs="宋体"/>
          <w:color w:val="auto"/>
          <w:spacing w:val="6"/>
          <w:sz w:val="24"/>
          <w:szCs w:val="24"/>
          <w:highlight w:val="none"/>
        </w:rPr>
      </w:pPr>
      <w:r>
        <w:rPr>
          <w:rFonts w:hint="eastAsia" w:hAnsi="宋体" w:eastAsia="宋体" w:cs="宋体"/>
          <w:color w:val="auto"/>
          <w:sz w:val="24"/>
          <w:szCs w:val="24"/>
          <w:highlight w:val="none"/>
        </w:rPr>
        <w:t xml:space="preserve">  C.法定代表人或负责人或实际控制人是直系血亲关系</w:t>
      </w:r>
    </w:p>
    <w:p w14:paraId="20255A8F">
      <w:pPr>
        <w:pStyle w:val="317"/>
        <w:snapToGrid w:val="0"/>
        <w:spacing w:line="360" w:lineRule="auto"/>
        <w:rPr>
          <w:rFonts w:hAnsi="宋体" w:eastAsia="宋体" w:cs="宋体"/>
          <w:color w:val="auto"/>
          <w:spacing w:val="6"/>
          <w:sz w:val="24"/>
          <w:szCs w:val="24"/>
          <w:highlight w:val="none"/>
        </w:rPr>
      </w:pPr>
      <w:r>
        <w:rPr>
          <w:rFonts w:hint="eastAsia" w:hAnsi="宋体" w:eastAsia="宋体" w:cs="宋体"/>
          <w:color w:val="auto"/>
          <w:sz w:val="24"/>
          <w:szCs w:val="24"/>
          <w:highlight w:val="none"/>
        </w:rPr>
        <w:t xml:space="preserve">  D.法定代表人或负责人或实际控制人存在三代以内旁系血亲关系</w:t>
      </w:r>
    </w:p>
    <w:p w14:paraId="41DB759E">
      <w:pPr>
        <w:pStyle w:val="317"/>
        <w:snapToGrid w:val="0"/>
        <w:spacing w:line="36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E.法定代表人或负责人或实际控制人存在近姻亲关系</w:t>
      </w:r>
    </w:p>
    <w:p w14:paraId="6B45DCA0">
      <w:pPr>
        <w:pStyle w:val="317"/>
        <w:snapToGrid w:val="0"/>
        <w:spacing w:line="36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F.法定代表人或负责人或实际控制人存在股份控制或实际控制关系</w:t>
      </w:r>
    </w:p>
    <w:p w14:paraId="54E3D019">
      <w:pPr>
        <w:pStyle w:val="317"/>
        <w:snapToGrid w:val="0"/>
        <w:spacing w:line="36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G.存在共同直接或间接投资设立子公司、联营企业和合营企业情况</w:t>
      </w:r>
    </w:p>
    <w:p w14:paraId="55A5F82F">
      <w:pPr>
        <w:pStyle w:val="317"/>
        <w:snapToGrid w:val="0"/>
        <w:spacing w:line="36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5C1C41C2">
      <w:pPr>
        <w:pStyle w:val="317"/>
        <w:snapToGrid w:val="0"/>
        <w:spacing w:line="360" w:lineRule="auto"/>
        <w:rPr>
          <w:rFonts w:hAnsi="宋体" w:eastAsia="宋体" w:cs="宋体"/>
          <w:color w:val="auto"/>
          <w:spacing w:val="6"/>
          <w:sz w:val="24"/>
          <w:szCs w:val="24"/>
          <w:highlight w:val="none"/>
        </w:rPr>
      </w:pPr>
      <w:r>
        <w:rPr>
          <w:rFonts w:hint="eastAsia" w:hAnsi="宋体" w:eastAsia="宋体" w:cs="宋体"/>
          <w:color w:val="auto"/>
          <w:sz w:val="24"/>
          <w:szCs w:val="24"/>
          <w:highlight w:val="none"/>
        </w:rPr>
        <w:t xml:space="preserve">  I.其他利害关系情况。</w:t>
      </w:r>
    </w:p>
    <w:p w14:paraId="1A4AE81E">
      <w:pPr>
        <w:pStyle w:val="318"/>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highlight w:val="none"/>
        </w:rPr>
        <w:t xml:space="preserve">    四、现已清楚知道并</w:t>
      </w:r>
      <w:r>
        <w:rPr>
          <w:rFonts w:hint="eastAsia" w:ascii="宋体" w:hAnsi="宋体" w:eastAsia="宋体" w:cs="宋体"/>
          <w:color w:val="auto"/>
          <w:kern w:val="0"/>
          <w:highlight w:val="none"/>
        </w:rPr>
        <w:t>严格遵守政府采购法律法规和现场纪律。</w:t>
      </w:r>
    </w:p>
    <w:p w14:paraId="01943DB0">
      <w:pPr>
        <w:pStyle w:val="318"/>
        <w:widowControl/>
        <w:snapToGrid w:val="0"/>
        <w:spacing w:line="360" w:lineRule="auto"/>
        <w:rPr>
          <w:rFonts w:ascii="宋体" w:hAnsi="宋体" w:eastAsia="宋体" w:cs="宋体"/>
          <w:color w:val="auto"/>
          <w:highlight w:val="none"/>
        </w:rPr>
      </w:pPr>
      <w:r>
        <w:rPr>
          <w:rFonts w:hint="eastAsia" w:ascii="宋体" w:hAnsi="宋体" w:eastAsia="宋体" w:cs="宋体"/>
          <w:color w:val="auto"/>
          <w:kern w:val="0"/>
          <w:highlight w:val="none"/>
        </w:rPr>
        <w:t xml:space="preserve">    五、我发现供应商之间存在或可能存在上述第二条第项利害关系。</w:t>
      </w:r>
    </w:p>
    <w:p w14:paraId="1AB5DB54">
      <w:pPr>
        <w:pStyle w:val="317"/>
        <w:snapToGrid w:val="0"/>
        <w:spacing w:line="36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（供应商代表签名）</w:t>
      </w:r>
    </w:p>
    <w:p w14:paraId="5920FF2F">
      <w:pPr>
        <w:pStyle w:val="317"/>
        <w:snapToGrid w:val="0"/>
        <w:spacing w:line="360" w:lineRule="auto"/>
        <w:jc w:val="right"/>
        <w:rPr>
          <w:rFonts w:hAnsi="宋体" w:eastAsia="宋体" w:cs="宋体"/>
          <w:color w:val="auto"/>
          <w:sz w:val="24"/>
          <w:szCs w:val="24"/>
          <w:highlight w:val="none"/>
        </w:rPr>
      </w:pPr>
      <w:r>
        <w:rPr>
          <w:rFonts w:hint="eastAsia" w:hAnsi="宋体" w:eastAsia="宋体" w:cs="宋体"/>
          <w:color w:val="auto"/>
          <w:sz w:val="24"/>
          <w:szCs w:val="24"/>
          <w:highlight w:val="none"/>
        </w:rPr>
        <w:t xml:space="preserve">                                 年   月   日</w:t>
      </w:r>
    </w:p>
    <w:p w14:paraId="51A39E5F">
      <w:pPr>
        <w:spacing w:line="360" w:lineRule="auto"/>
        <w:rPr>
          <w:rFonts w:ascii="宋体" w:hAnsi="宋体" w:cs="宋体"/>
          <w:color w:val="auto"/>
          <w:sz w:val="24"/>
          <w:highlight w:val="none"/>
        </w:rPr>
      </w:pPr>
    </w:p>
    <w:p w14:paraId="197A3F14">
      <w:pPr>
        <w:pStyle w:val="317"/>
        <w:snapToGrid w:val="0"/>
        <w:spacing w:line="360" w:lineRule="auto"/>
        <w:rPr>
          <w:rFonts w:hAnsi="宋体" w:eastAsia="宋体" w:cs="宋体"/>
          <w:color w:val="auto"/>
          <w:sz w:val="24"/>
          <w:szCs w:val="24"/>
          <w:highlight w:val="none"/>
        </w:rPr>
      </w:pPr>
    </w:p>
    <w:p w14:paraId="4ABE00B4">
      <w:pPr>
        <w:rPr>
          <w:rFonts w:ascii="宋体" w:hAnsi="宋体" w:cs="宋体"/>
          <w:color w:val="auto"/>
          <w:sz w:val="24"/>
          <w:highlight w:val="none"/>
        </w:rPr>
      </w:pPr>
    </w:p>
    <w:p w14:paraId="322FB134">
      <w:pPr>
        <w:rPr>
          <w:rFonts w:ascii="宋体" w:hAnsi="宋体" w:cs="宋体"/>
          <w:color w:val="auto"/>
          <w:sz w:val="24"/>
          <w:highlight w:val="none"/>
        </w:rPr>
      </w:pPr>
      <w:r>
        <w:rPr>
          <w:rFonts w:ascii="宋体" w:hAnsi="宋体" w:cs="宋体"/>
          <w:color w:val="auto"/>
          <w:sz w:val="24"/>
          <w:highlight w:val="none"/>
        </w:rPr>
        <w:br w:type="column"/>
      </w:r>
    </w:p>
    <w:p w14:paraId="76A2D854">
      <w:pPr>
        <w:pStyle w:val="317"/>
        <w:snapToGrid w:val="0"/>
        <w:spacing w:line="360" w:lineRule="auto"/>
        <w:ind w:firstLine="482"/>
        <w:rPr>
          <w:rFonts w:hAnsi="宋体" w:eastAsia="宋体" w:cs="宋体"/>
          <w:color w:val="auto"/>
          <w:sz w:val="24"/>
          <w:szCs w:val="24"/>
          <w:highlight w:val="none"/>
        </w:rPr>
      </w:pPr>
      <w:r>
        <w:rPr>
          <w:rFonts w:hint="eastAsia" w:hAnsi="宋体" w:eastAsia="宋体" w:cs="宋体"/>
          <w:b/>
          <w:bCs/>
          <w:color w:val="auto"/>
          <w:sz w:val="24"/>
          <w:szCs w:val="24"/>
          <w:highlight w:val="none"/>
        </w:rPr>
        <w:t>备注：</w:t>
      </w:r>
      <w:r>
        <w:rPr>
          <w:rFonts w:hint="eastAsia" w:hAnsi="宋体" w:eastAsia="宋体" w:cs="宋体"/>
          <w:color w:val="auto"/>
          <w:sz w:val="24"/>
          <w:szCs w:val="24"/>
          <w:highlight w:val="none"/>
        </w:rPr>
        <w:t>（1）投标人解密投标文件及获知其他投标人信息进行如实声明并盖章，30分钟内以扫描件形式提交给采购代理机构，邮箱：1428496711@qq.com。如未在规定时间内提供此函，则视为默认不存在情况，后续不得以此进行质疑投诉。</w:t>
      </w:r>
    </w:p>
    <w:p w14:paraId="73177E65">
      <w:pPr>
        <w:pStyle w:val="318"/>
        <w:widowControl/>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（2）此声明函不用编入投标文件，单独发送至采购代理机构邮箱。</w:t>
      </w:r>
    </w:p>
    <w:p w14:paraId="69ECB77E">
      <w:pPr>
        <w:pStyle w:val="51"/>
        <w:rPr>
          <w:color w:val="auto"/>
          <w:highlight w:val="none"/>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B7F0C">
    <w:pPr>
      <w:pStyle w:val="40"/>
      <w:framePr w:wrap="around" w:vAnchor="text" w:hAnchor="margin" w:xAlign="right" w:y="1"/>
      <w:rPr>
        <w:rStyle w:val="73"/>
      </w:rPr>
    </w:pPr>
    <w:r>
      <w:fldChar w:fldCharType="begin"/>
    </w:r>
    <w:r>
      <w:rPr>
        <w:rStyle w:val="73"/>
      </w:rPr>
      <w:instrText xml:space="preserve">PAGE  </w:instrText>
    </w:r>
    <w:r>
      <w:fldChar w:fldCharType="end"/>
    </w:r>
  </w:p>
  <w:p w14:paraId="124EFCA8">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8B88">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403F0">
                          <w:pPr>
                            <w:pStyle w:val="40"/>
                          </w:pPr>
                          <w:r>
                            <w:fldChar w:fldCharType="begin"/>
                          </w:r>
                          <w:r>
                            <w:instrText xml:space="preserve"> PAGE  \* MERGEFORMAT </w:instrText>
                          </w:r>
                          <w:r>
                            <w:fldChar w:fldCharType="separate"/>
                          </w:r>
                          <w:r>
                            <w:t>163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D6403F0">
                    <w:pPr>
                      <w:pStyle w:val="40"/>
                    </w:pPr>
                    <w:r>
                      <w:fldChar w:fldCharType="begin"/>
                    </w:r>
                    <w:r>
                      <w:instrText xml:space="preserve"> PAGE  \* MERGEFORMAT </w:instrText>
                    </w:r>
                    <w:r>
                      <w:fldChar w:fldCharType="separate"/>
                    </w:r>
                    <w:r>
                      <w:t>163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CF3B8">
    <w:pPr>
      <w:rPr>
        <w:rFonts w:ascii="仿宋_GB2312" w:eastAsia="仿宋_GB231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08BEA">
                          <w:pPr>
                            <w:pStyle w:val="40"/>
                          </w:pPr>
                          <w:r>
                            <w:fldChar w:fldCharType="begin"/>
                          </w:r>
                          <w:r>
                            <w:instrText xml:space="preserve"> PAGE  \* MERGEFORMAT </w:instrText>
                          </w:r>
                          <w:r>
                            <w:fldChar w:fldCharType="separate"/>
                          </w:r>
                          <w:r>
                            <w:t>161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6308BEA">
                    <w:pPr>
                      <w:pStyle w:val="40"/>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4AE07">
    <w:pPr>
      <w:pStyle w:val="40"/>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0F332">
                          <w:pPr>
                            <w:pStyle w:val="40"/>
                          </w:pPr>
                          <w:r>
                            <w:fldChar w:fldCharType="begin"/>
                          </w:r>
                          <w:r>
                            <w:instrText xml:space="preserve"> PAGE  \* MERGEFORMAT </w:instrText>
                          </w:r>
                          <w:r>
                            <w:fldChar w:fldCharType="separate"/>
                          </w:r>
                          <w:r>
                            <w:t>166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280F332">
                    <w:pPr>
                      <w:pStyle w:val="40"/>
                    </w:pPr>
                    <w:r>
                      <w:fldChar w:fldCharType="begin"/>
                    </w:r>
                    <w:r>
                      <w:instrText xml:space="preserve"> PAGE  \* MERGEFORMAT </w:instrText>
                    </w:r>
                    <w:r>
                      <w:fldChar w:fldCharType="separate"/>
                    </w:r>
                    <w:r>
                      <w:t>166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9E1B">
    <w:pPr>
      <w:pStyle w:val="40"/>
      <w:framePr w:wrap="around" w:vAnchor="text" w:hAnchor="margin" w:xAlign="right" w:y="1"/>
      <w:rPr>
        <w:rStyle w:val="73"/>
      </w:rPr>
    </w:pPr>
    <w:r>
      <w:fldChar w:fldCharType="begin"/>
    </w:r>
    <w:r>
      <w:rPr>
        <w:rStyle w:val="73"/>
      </w:rPr>
      <w:instrText xml:space="preserve">PAGE  </w:instrText>
    </w:r>
    <w:r>
      <w:fldChar w:fldCharType="end"/>
    </w:r>
  </w:p>
  <w:p w14:paraId="3BF4B119">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DFA86">
    <w:pPr>
      <w:pStyle w:val="40"/>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88A8B">
                          <w:pPr>
                            <w:pStyle w:val="40"/>
                          </w:pPr>
                          <w:r>
                            <w:fldChar w:fldCharType="begin"/>
                          </w:r>
                          <w:r>
                            <w:instrText xml:space="preserve"> PAGE  \* MERGEFORMAT </w:instrText>
                          </w:r>
                          <w:r>
                            <w:fldChar w:fldCharType="separate"/>
                          </w:r>
                          <w:r>
                            <w:t>164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3088A8B">
                    <w:pPr>
                      <w:pStyle w:val="40"/>
                    </w:pPr>
                    <w:r>
                      <w:fldChar w:fldCharType="begin"/>
                    </w:r>
                    <w:r>
                      <w:instrText xml:space="preserve"> PAGE  \* MERGEFORMAT </w:instrText>
                    </w:r>
                    <w:r>
                      <w:fldChar w:fldCharType="separate"/>
                    </w:r>
                    <w:r>
                      <w:t>164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517E3">
    <w:pPr>
      <w:pStyle w:val="40"/>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447B8">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39447B8">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2320F">
    <w:pPr>
      <w:pStyle w:val="40"/>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381AD">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A6381AD">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BD9E1">
    <w:pPr>
      <w:pStyle w:val="40"/>
      <w:jc w:val="center"/>
      <w:rPr>
        <w:rFonts w:ascii="Times New Roman" w:eastAsia="仿宋_GB2312"/>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4C587">
                          <w:pPr>
                            <w:pStyle w:val="4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9F4C587">
                    <w:pPr>
                      <w:pStyle w:val="40"/>
                    </w:pPr>
                    <w:r>
                      <w:fldChar w:fldCharType="begin"/>
                    </w:r>
                    <w:r>
                      <w:instrText xml:space="preserve"> PAGE  \* MERGEFORMAT </w:instrText>
                    </w:r>
                    <w:r>
                      <w:fldChar w:fldCharType="separate"/>
                    </w:r>
                    <w:r>
                      <w:t>36</w:t>
                    </w:r>
                    <w:r>
                      <w:fldChar w:fldCharType="end"/>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6F64C8"/>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5lskBAACa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e4Ca8pcdzixC/fv11+/Lr8/Epe&#10;5v70AWpMuwuYmIa3fsDc2Q/ozLIHFW3+oiCCcezu+dpdOSQi8qP1ar2uMCQwNl8Qnz08DxHSO+kt&#10;yUZDI46vdJWfPkAaU+eUXM35W21MGaFxfzkQM3tY5j5yzFYa9sMkaO/bM+rpcfINdbjolJj3Dhub&#10;l2Q24mzsZ+MYoj50SG1ZeEF4c0xIonDLFUbYqTCOrKib1ivvxJ/3kvXw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JL/mWyQEAAJoDAAAOAAAAAAAAAAEAIAAAAB4BAABkcnMvZTJvRG9j&#10;LnhtbFBLBQYAAAAABgAGAFkBAABZBQAAAAA=&#10;">
              <v:fill on="f" focussize="0,0"/>
              <v:stroke on="f"/>
              <v:imagedata o:title=""/>
              <o:lock v:ext="edit" aspectratio="f"/>
              <v:textbox inset="0mm,0mm,0mm,0mm" style="mso-fit-shape-to-text:t;">
                <w:txbxContent>
                  <w:p w14:paraId="086F64C8"/>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8D439">
    <w:pPr>
      <w:pStyle w:val="4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CA4A9">
                          <w:pPr>
                            <w:pStyle w:val="4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14CA4A9">
                    <w:pPr>
                      <w:pStyle w:val="40"/>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A54866">
                          <w:pPr>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14:paraId="3EA54866">
                    <w:pPr>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B2C38">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18A6A">
                          <w:pPr>
                            <w:pStyle w:val="40"/>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C218A6A">
                    <w:pPr>
                      <w:pStyle w:val="40"/>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9EB43">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54AB8">
                          <w:pPr>
                            <w:pStyle w:val="40"/>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2854AB8">
                    <w:pPr>
                      <w:pStyle w:val="40"/>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52895">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39066">
                          <w:pPr>
                            <w:pStyle w:val="40"/>
                          </w:pPr>
                          <w:r>
                            <w:fldChar w:fldCharType="begin"/>
                          </w:r>
                          <w:r>
                            <w:instrText xml:space="preserve"> PAGE  \* MERGEFORMAT </w:instrText>
                          </w:r>
                          <w:r>
                            <w:fldChar w:fldCharType="separate"/>
                          </w:r>
                          <w:r>
                            <w:t>159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0139066">
                    <w:pPr>
                      <w:pStyle w:val="40"/>
                    </w:pPr>
                    <w:r>
                      <w:fldChar w:fldCharType="begin"/>
                    </w:r>
                    <w:r>
                      <w:instrText xml:space="preserve"> PAGE  \* MERGEFORMAT </w:instrText>
                    </w:r>
                    <w:r>
                      <w:fldChar w:fldCharType="separate"/>
                    </w:r>
                    <w:r>
                      <w:t>159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67398">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CFC8C">
                          <w:pPr>
                            <w:pStyle w:val="40"/>
                          </w:pPr>
                          <w:r>
                            <w:fldChar w:fldCharType="begin"/>
                          </w:r>
                          <w:r>
                            <w:instrText xml:space="preserve"> PAGE  \* MERGEFORMAT </w:instrText>
                          </w:r>
                          <w:r>
                            <w:fldChar w:fldCharType="separate"/>
                          </w:r>
                          <w:r>
                            <w:t>158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DECFC8C">
                    <w:pPr>
                      <w:pStyle w:val="40"/>
                    </w:pPr>
                    <w:r>
                      <w:fldChar w:fldCharType="begin"/>
                    </w:r>
                    <w:r>
                      <w:instrText xml:space="preserve"> PAGE  \* MERGEFORMAT </w:instrText>
                    </w:r>
                    <w:r>
                      <w:fldChar w:fldCharType="separate"/>
                    </w:r>
                    <w:r>
                      <w:t>158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42934">
    <w:pPr>
      <w:pStyle w:val="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C28A4">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0E3D4">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CF4E4">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MTBkMTE4N2MxYmY4MTAzNTRlOTJlNTNmYmE0Z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EBC"/>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9FB"/>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C7F05"/>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0E24"/>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75D"/>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09B"/>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379"/>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34F"/>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A4A"/>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50"/>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0C9"/>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39"/>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B15"/>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3CB"/>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772"/>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E5E41"/>
    <w:rsid w:val="011F6449"/>
    <w:rsid w:val="01236AFB"/>
    <w:rsid w:val="013712F7"/>
    <w:rsid w:val="01611F49"/>
    <w:rsid w:val="018E4619"/>
    <w:rsid w:val="01917F34"/>
    <w:rsid w:val="019F7441"/>
    <w:rsid w:val="01B14C06"/>
    <w:rsid w:val="01B37585"/>
    <w:rsid w:val="01C65DA5"/>
    <w:rsid w:val="01D55165"/>
    <w:rsid w:val="01DE1773"/>
    <w:rsid w:val="01DF6BF8"/>
    <w:rsid w:val="01EC2C57"/>
    <w:rsid w:val="01FB40D3"/>
    <w:rsid w:val="0200793B"/>
    <w:rsid w:val="024261A6"/>
    <w:rsid w:val="025F0711"/>
    <w:rsid w:val="026B2E25"/>
    <w:rsid w:val="02741CFB"/>
    <w:rsid w:val="02807EB9"/>
    <w:rsid w:val="02820350"/>
    <w:rsid w:val="02824D4D"/>
    <w:rsid w:val="028C11CF"/>
    <w:rsid w:val="028E401B"/>
    <w:rsid w:val="02922C89"/>
    <w:rsid w:val="029E71FF"/>
    <w:rsid w:val="02A5469F"/>
    <w:rsid w:val="02BF15A4"/>
    <w:rsid w:val="02D84338"/>
    <w:rsid w:val="02DC4B10"/>
    <w:rsid w:val="02DD76CE"/>
    <w:rsid w:val="02F36323"/>
    <w:rsid w:val="02F5619C"/>
    <w:rsid w:val="030B132A"/>
    <w:rsid w:val="0326446A"/>
    <w:rsid w:val="032D4760"/>
    <w:rsid w:val="032D5555"/>
    <w:rsid w:val="03336550"/>
    <w:rsid w:val="033518D8"/>
    <w:rsid w:val="036634D2"/>
    <w:rsid w:val="036B7036"/>
    <w:rsid w:val="039D18E6"/>
    <w:rsid w:val="03A2456D"/>
    <w:rsid w:val="03A74512"/>
    <w:rsid w:val="03A964DC"/>
    <w:rsid w:val="03C03826"/>
    <w:rsid w:val="03D8291E"/>
    <w:rsid w:val="03DD35E4"/>
    <w:rsid w:val="03F040A4"/>
    <w:rsid w:val="04076900"/>
    <w:rsid w:val="041A5A3B"/>
    <w:rsid w:val="04214B6E"/>
    <w:rsid w:val="042311BA"/>
    <w:rsid w:val="042B157A"/>
    <w:rsid w:val="04402271"/>
    <w:rsid w:val="04826D2E"/>
    <w:rsid w:val="048F763B"/>
    <w:rsid w:val="049F330E"/>
    <w:rsid w:val="04AA775C"/>
    <w:rsid w:val="04AF1889"/>
    <w:rsid w:val="04C133B2"/>
    <w:rsid w:val="04C64E6C"/>
    <w:rsid w:val="04C94C5F"/>
    <w:rsid w:val="04E470A0"/>
    <w:rsid w:val="04F66F48"/>
    <w:rsid w:val="05251E14"/>
    <w:rsid w:val="053B4BB1"/>
    <w:rsid w:val="05453FE3"/>
    <w:rsid w:val="0563090D"/>
    <w:rsid w:val="05707094"/>
    <w:rsid w:val="05A16594"/>
    <w:rsid w:val="05A7762D"/>
    <w:rsid w:val="060E5941"/>
    <w:rsid w:val="06110FAF"/>
    <w:rsid w:val="061E21DC"/>
    <w:rsid w:val="062067FE"/>
    <w:rsid w:val="06493CA7"/>
    <w:rsid w:val="064E6EC7"/>
    <w:rsid w:val="065A6178"/>
    <w:rsid w:val="066F1CF3"/>
    <w:rsid w:val="06930BB8"/>
    <w:rsid w:val="06C673A5"/>
    <w:rsid w:val="07013F3A"/>
    <w:rsid w:val="070E2AFA"/>
    <w:rsid w:val="071E3870"/>
    <w:rsid w:val="071E4803"/>
    <w:rsid w:val="07245D42"/>
    <w:rsid w:val="07264C62"/>
    <w:rsid w:val="073E518E"/>
    <w:rsid w:val="07456304"/>
    <w:rsid w:val="07666493"/>
    <w:rsid w:val="0779354C"/>
    <w:rsid w:val="078D1C71"/>
    <w:rsid w:val="07A46B95"/>
    <w:rsid w:val="07C35693"/>
    <w:rsid w:val="08061376"/>
    <w:rsid w:val="0837398B"/>
    <w:rsid w:val="08452D77"/>
    <w:rsid w:val="086401F8"/>
    <w:rsid w:val="08661343"/>
    <w:rsid w:val="08751CAA"/>
    <w:rsid w:val="087E4C40"/>
    <w:rsid w:val="088F6772"/>
    <w:rsid w:val="08923AEE"/>
    <w:rsid w:val="08A871D0"/>
    <w:rsid w:val="08D66AD6"/>
    <w:rsid w:val="08DA33A3"/>
    <w:rsid w:val="08E80F13"/>
    <w:rsid w:val="08F20A31"/>
    <w:rsid w:val="09335624"/>
    <w:rsid w:val="0944690F"/>
    <w:rsid w:val="095073FA"/>
    <w:rsid w:val="09535675"/>
    <w:rsid w:val="095F057D"/>
    <w:rsid w:val="09642282"/>
    <w:rsid w:val="09661480"/>
    <w:rsid w:val="09733572"/>
    <w:rsid w:val="09756E61"/>
    <w:rsid w:val="09772C16"/>
    <w:rsid w:val="098353B5"/>
    <w:rsid w:val="09A92330"/>
    <w:rsid w:val="09B06B87"/>
    <w:rsid w:val="09C13146"/>
    <w:rsid w:val="09E04166"/>
    <w:rsid w:val="0A0C3321"/>
    <w:rsid w:val="0A1C0718"/>
    <w:rsid w:val="0A2825E1"/>
    <w:rsid w:val="0A2B6998"/>
    <w:rsid w:val="0A3E7710"/>
    <w:rsid w:val="0A540824"/>
    <w:rsid w:val="0A5B7E63"/>
    <w:rsid w:val="0A703465"/>
    <w:rsid w:val="0AA374A5"/>
    <w:rsid w:val="0AAB7649"/>
    <w:rsid w:val="0ABC5606"/>
    <w:rsid w:val="0ACB31DC"/>
    <w:rsid w:val="0AE72C5A"/>
    <w:rsid w:val="0AF72DB8"/>
    <w:rsid w:val="0B30404E"/>
    <w:rsid w:val="0B3A3EBE"/>
    <w:rsid w:val="0B4C6C14"/>
    <w:rsid w:val="0B547599"/>
    <w:rsid w:val="0B631A88"/>
    <w:rsid w:val="0B683D45"/>
    <w:rsid w:val="0B7F3F11"/>
    <w:rsid w:val="0B884417"/>
    <w:rsid w:val="0B971310"/>
    <w:rsid w:val="0BB43C70"/>
    <w:rsid w:val="0BB84DE3"/>
    <w:rsid w:val="0BF6188C"/>
    <w:rsid w:val="0BF73C91"/>
    <w:rsid w:val="0C170175"/>
    <w:rsid w:val="0C4F1BEB"/>
    <w:rsid w:val="0C571A41"/>
    <w:rsid w:val="0C5C1171"/>
    <w:rsid w:val="0C5E1CBC"/>
    <w:rsid w:val="0C615B50"/>
    <w:rsid w:val="0C8445DA"/>
    <w:rsid w:val="0C87121B"/>
    <w:rsid w:val="0C9B273A"/>
    <w:rsid w:val="0CC007F7"/>
    <w:rsid w:val="0CC617AC"/>
    <w:rsid w:val="0CE618DF"/>
    <w:rsid w:val="0CFE707A"/>
    <w:rsid w:val="0D046532"/>
    <w:rsid w:val="0D063BDA"/>
    <w:rsid w:val="0D08375F"/>
    <w:rsid w:val="0D184CFB"/>
    <w:rsid w:val="0D4A7419"/>
    <w:rsid w:val="0D5374B9"/>
    <w:rsid w:val="0D827401"/>
    <w:rsid w:val="0D84094E"/>
    <w:rsid w:val="0D8A00E9"/>
    <w:rsid w:val="0D8D589E"/>
    <w:rsid w:val="0DA01C73"/>
    <w:rsid w:val="0DAB2E51"/>
    <w:rsid w:val="0DB02216"/>
    <w:rsid w:val="0DC61A39"/>
    <w:rsid w:val="0DD63300"/>
    <w:rsid w:val="0DDB366B"/>
    <w:rsid w:val="0DE6032D"/>
    <w:rsid w:val="0DF50604"/>
    <w:rsid w:val="0DF702FE"/>
    <w:rsid w:val="0E0407B3"/>
    <w:rsid w:val="0E060E51"/>
    <w:rsid w:val="0E0F33E0"/>
    <w:rsid w:val="0E3E3CC5"/>
    <w:rsid w:val="0E5604B2"/>
    <w:rsid w:val="0E5928AD"/>
    <w:rsid w:val="0E677ECA"/>
    <w:rsid w:val="0E6D5D79"/>
    <w:rsid w:val="0E6F0323"/>
    <w:rsid w:val="0E807E3A"/>
    <w:rsid w:val="0E9D0089"/>
    <w:rsid w:val="0EB803EE"/>
    <w:rsid w:val="0ECB710A"/>
    <w:rsid w:val="0EE06B2A"/>
    <w:rsid w:val="0EF32D02"/>
    <w:rsid w:val="0EF94D4B"/>
    <w:rsid w:val="0F341418"/>
    <w:rsid w:val="0F4958DC"/>
    <w:rsid w:val="0F515DF7"/>
    <w:rsid w:val="0F596BA8"/>
    <w:rsid w:val="0F5A5835"/>
    <w:rsid w:val="0F6248D2"/>
    <w:rsid w:val="0F693536"/>
    <w:rsid w:val="0F7A2ADB"/>
    <w:rsid w:val="0F7B0511"/>
    <w:rsid w:val="0F7B76D9"/>
    <w:rsid w:val="0F816ACD"/>
    <w:rsid w:val="0F900CF3"/>
    <w:rsid w:val="0F9832DB"/>
    <w:rsid w:val="0FBF3FD2"/>
    <w:rsid w:val="0FBF7FF3"/>
    <w:rsid w:val="0FC93AD1"/>
    <w:rsid w:val="0FDD306A"/>
    <w:rsid w:val="0FEF171B"/>
    <w:rsid w:val="0FFB3AA7"/>
    <w:rsid w:val="100223E4"/>
    <w:rsid w:val="104D01F0"/>
    <w:rsid w:val="10646583"/>
    <w:rsid w:val="107D4B15"/>
    <w:rsid w:val="108A3C80"/>
    <w:rsid w:val="10A51DDA"/>
    <w:rsid w:val="10B703D1"/>
    <w:rsid w:val="10C26171"/>
    <w:rsid w:val="10F33360"/>
    <w:rsid w:val="10FC16EA"/>
    <w:rsid w:val="110F1D40"/>
    <w:rsid w:val="11266F33"/>
    <w:rsid w:val="114809B7"/>
    <w:rsid w:val="116B3023"/>
    <w:rsid w:val="117427F6"/>
    <w:rsid w:val="11823EC9"/>
    <w:rsid w:val="118963A1"/>
    <w:rsid w:val="11916802"/>
    <w:rsid w:val="11AC7198"/>
    <w:rsid w:val="11C6522A"/>
    <w:rsid w:val="11D24E50"/>
    <w:rsid w:val="11E104CC"/>
    <w:rsid w:val="11E20309"/>
    <w:rsid w:val="11EC3A38"/>
    <w:rsid w:val="11FF661E"/>
    <w:rsid w:val="12255233"/>
    <w:rsid w:val="12530213"/>
    <w:rsid w:val="12641821"/>
    <w:rsid w:val="1272363A"/>
    <w:rsid w:val="127723A9"/>
    <w:rsid w:val="12862074"/>
    <w:rsid w:val="12883966"/>
    <w:rsid w:val="1299596E"/>
    <w:rsid w:val="129E45B4"/>
    <w:rsid w:val="12AA36D7"/>
    <w:rsid w:val="12B02CB8"/>
    <w:rsid w:val="12C549B5"/>
    <w:rsid w:val="12D81596"/>
    <w:rsid w:val="12DE5A77"/>
    <w:rsid w:val="12EE28A0"/>
    <w:rsid w:val="13072A44"/>
    <w:rsid w:val="135C1975"/>
    <w:rsid w:val="135F4BE2"/>
    <w:rsid w:val="13631AD8"/>
    <w:rsid w:val="136E2957"/>
    <w:rsid w:val="138C7281"/>
    <w:rsid w:val="13961EAE"/>
    <w:rsid w:val="139B1A0A"/>
    <w:rsid w:val="139D25C7"/>
    <w:rsid w:val="13BF3CE4"/>
    <w:rsid w:val="13CA3528"/>
    <w:rsid w:val="13D33102"/>
    <w:rsid w:val="13FF2E46"/>
    <w:rsid w:val="141008D8"/>
    <w:rsid w:val="14125FE6"/>
    <w:rsid w:val="141A663B"/>
    <w:rsid w:val="141D612B"/>
    <w:rsid w:val="1424395D"/>
    <w:rsid w:val="142D2812"/>
    <w:rsid w:val="14302302"/>
    <w:rsid w:val="144162BD"/>
    <w:rsid w:val="14440113"/>
    <w:rsid w:val="146D271E"/>
    <w:rsid w:val="14982588"/>
    <w:rsid w:val="149A5AD9"/>
    <w:rsid w:val="14A7619D"/>
    <w:rsid w:val="14B940A6"/>
    <w:rsid w:val="14D56A06"/>
    <w:rsid w:val="14EA0703"/>
    <w:rsid w:val="14FC3F92"/>
    <w:rsid w:val="150536C3"/>
    <w:rsid w:val="150C1963"/>
    <w:rsid w:val="151447A0"/>
    <w:rsid w:val="152B4878"/>
    <w:rsid w:val="1537321C"/>
    <w:rsid w:val="154A6454"/>
    <w:rsid w:val="156A35F2"/>
    <w:rsid w:val="15762120"/>
    <w:rsid w:val="15805EFE"/>
    <w:rsid w:val="159D5775"/>
    <w:rsid w:val="15DA0777"/>
    <w:rsid w:val="15E50ECA"/>
    <w:rsid w:val="163065E9"/>
    <w:rsid w:val="164B6F7F"/>
    <w:rsid w:val="16526560"/>
    <w:rsid w:val="16915190"/>
    <w:rsid w:val="16A1413C"/>
    <w:rsid w:val="16A8729C"/>
    <w:rsid w:val="16AA639C"/>
    <w:rsid w:val="16AB3EC2"/>
    <w:rsid w:val="16B33777"/>
    <w:rsid w:val="16BC70A7"/>
    <w:rsid w:val="16C6339E"/>
    <w:rsid w:val="172C36A3"/>
    <w:rsid w:val="172F2D79"/>
    <w:rsid w:val="17505642"/>
    <w:rsid w:val="17557BEF"/>
    <w:rsid w:val="1776002C"/>
    <w:rsid w:val="17D349C1"/>
    <w:rsid w:val="1816180F"/>
    <w:rsid w:val="182A0E16"/>
    <w:rsid w:val="1830729E"/>
    <w:rsid w:val="1870062C"/>
    <w:rsid w:val="18796DE5"/>
    <w:rsid w:val="18817102"/>
    <w:rsid w:val="18830A15"/>
    <w:rsid w:val="18852B28"/>
    <w:rsid w:val="188B5321"/>
    <w:rsid w:val="18952734"/>
    <w:rsid w:val="18BC23B6"/>
    <w:rsid w:val="18DA6CE0"/>
    <w:rsid w:val="18ED431E"/>
    <w:rsid w:val="18F25DD8"/>
    <w:rsid w:val="18F605B1"/>
    <w:rsid w:val="19433E49"/>
    <w:rsid w:val="194A290D"/>
    <w:rsid w:val="19516FA3"/>
    <w:rsid w:val="197A5DE8"/>
    <w:rsid w:val="19932372"/>
    <w:rsid w:val="19A20DD5"/>
    <w:rsid w:val="19AE03F1"/>
    <w:rsid w:val="19DD0836"/>
    <w:rsid w:val="1A071A03"/>
    <w:rsid w:val="1A1A7A28"/>
    <w:rsid w:val="1A1F16AE"/>
    <w:rsid w:val="1A200723"/>
    <w:rsid w:val="1A3B5C77"/>
    <w:rsid w:val="1A402B73"/>
    <w:rsid w:val="1A984BAD"/>
    <w:rsid w:val="1A9D63A9"/>
    <w:rsid w:val="1A9E24D9"/>
    <w:rsid w:val="1AB1581F"/>
    <w:rsid w:val="1AB8220E"/>
    <w:rsid w:val="1ABF1246"/>
    <w:rsid w:val="1AE4166C"/>
    <w:rsid w:val="1AE86432"/>
    <w:rsid w:val="1AF06CFB"/>
    <w:rsid w:val="1AF11B8D"/>
    <w:rsid w:val="1B11359C"/>
    <w:rsid w:val="1B2129A5"/>
    <w:rsid w:val="1B2A271F"/>
    <w:rsid w:val="1B446693"/>
    <w:rsid w:val="1B530544"/>
    <w:rsid w:val="1B713184"/>
    <w:rsid w:val="1B9273FE"/>
    <w:rsid w:val="1B93057D"/>
    <w:rsid w:val="1B9C5B8F"/>
    <w:rsid w:val="1BA209CF"/>
    <w:rsid w:val="1BAA635E"/>
    <w:rsid w:val="1BB4777D"/>
    <w:rsid w:val="1BC021BE"/>
    <w:rsid w:val="1BD75AB8"/>
    <w:rsid w:val="1C0459C2"/>
    <w:rsid w:val="1C1B3B4A"/>
    <w:rsid w:val="1C273FEB"/>
    <w:rsid w:val="1C281B11"/>
    <w:rsid w:val="1C3E30E2"/>
    <w:rsid w:val="1C7725CD"/>
    <w:rsid w:val="1C88086E"/>
    <w:rsid w:val="1CBD66FD"/>
    <w:rsid w:val="1D04257E"/>
    <w:rsid w:val="1D266050"/>
    <w:rsid w:val="1D266CE1"/>
    <w:rsid w:val="1D3963AF"/>
    <w:rsid w:val="1D3D0FE5"/>
    <w:rsid w:val="1D4604A0"/>
    <w:rsid w:val="1D614705"/>
    <w:rsid w:val="1D6A673C"/>
    <w:rsid w:val="1D9247AE"/>
    <w:rsid w:val="1DA578BD"/>
    <w:rsid w:val="1DB567EC"/>
    <w:rsid w:val="1DB775F0"/>
    <w:rsid w:val="1DF51A98"/>
    <w:rsid w:val="1E0A3BC4"/>
    <w:rsid w:val="1E157349"/>
    <w:rsid w:val="1E29229C"/>
    <w:rsid w:val="1E37428D"/>
    <w:rsid w:val="1E3D060F"/>
    <w:rsid w:val="1E3F7D2E"/>
    <w:rsid w:val="1E4134E4"/>
    <w:rsid w:val="1E4470D6"/>
    <w:rsid w:val="1E5062B3"/>
    <w:rsid w:val="1E523514"/>
    <w:rsid w:val="1E714A66"/>
    <w:rsid w:val="1E802593"/>
    <w:rsid w:val="1E845724"/>
    <w:rsid w:val="1E8B6156"/>
    <w:rsid w:val="1EA703CC"/>
    <w:rsid w:val="1EA91422"/>
    <w:rsid w:val="1EB7330C"/>
    <w:rsid w:val="1F016D75"/>
    <w:rsid w:val="1F0A0FF3"/>
    <w:rsid w:val="1F120F82"/>
    <w:rsid w:val="1F1E2205"/>
    <w:rsid w:val="1F2678AE"/>
    <w:rsid w:val="1F533349"/>
    <w:rsid w:val="1F5771FF"/>
    <w:rsid w:val="1F6667E6"/>
    <w:rsid w:val="1F8452B0"/>
    <w:rsid w:val="1F904124"/>
    <w:rsid w:val="1FB738D7"/>
    <w:rsid w:val="1FCB1131"/>
    <w:rsid w:val="1FD46237"/>
    <w:rsid w:val="1FE868A9"/>
    <w:rsid w:val="20034907"/>
    <w:rsid w:val="20173E4B"/>
    <w:rsid w:val="20427645"/>
    <w:rsid w:val="2043516B"/>
    <w:rsid w:val="204E48BC"/>
    <w:rsid w:val="205E3D53"/>
    <w:rsid w:val="206549D6"/>
    <w:rsid w:val="208921B3"/>
    <w:rsid w:val="20973DEB"/>
    <w:rsid w:val="20B26522"/>
    <w:rsid w:val="20B44310"/>
    <w:rsid w:val="20C94425"/>
    <w:rsid w:val="211116EB"/>
    <w:rsid w:val="2117319F"/>
    <w:rsid w:val="212B632B"/>
    <w:rsid w:val="21373A50"/>
    <w:rsid w:val="21442F49"/>
    <w:rsid w:val="21486EDD"/>
    <w:rsid w:val="216133FC"/>
    <w:rsid w:val="21843C8D"/>
    <w:rsid w:val="21B13D37"/>
    <w:rsid w:val="21D56769"/>
    <w:rsid w:val="21D70261"/>
    <w:rsid w:val="21E52EF3"/>
    <w:rsid w:val="21FB5D7B"/>
    <w:rsid w:val="21FF7800"/>
    <w:rsid w:val="22015E94"/>
    <w:rsid w:val="220B1C3D"/>
    <w:rsid w:val="221768AF"/>
    <w:rsid w:val="221D1D20"/>
    <w:rsid w:val="22274D44"/>
    <w:rsid w:val="22334A87"/>
    <w:rsid w:val="225E44DE"/>
    <w:rsid w:val="22636628"/>
    <w:rsid w:val="226E2973"/>
    <w:rsid w:val="228C104B"/>
    <w:rsid w:val="22BE6801"/>
    <w:rsid w:val="22C31167"/>
    <w:rsid w:val="22EF5136"/>
    <w:rsid w:val="23307C29"/>
    <w:rsid w:val="233500BF"/>
    <w:rsid w:val="23377FF7"/>
    <w:rsid w:val="23490CEA"/>
    <w:rsid w:val="23563407"/>
    <w:rsid w:val="23623B5A"/>
    <w:rsid w:val="236B425F"/>
    <w:rsid w:val="237B69CA"/>
    <w:rsid w:val="23836192"/>
    <w:rsid w:val="238B4E5F"/>
    <w:rsid w:val="23901F29"/>
    <w:rsid w:val="239C0061"/>
    <w:rsid w:val="23B908A4"/>
    <w:rsid w:val="23C50EB3"/>
    <w:rsid w:val="23E95BEF"/>
    <w:rsid w:val="23FD0064"/>
    <w:rsid w:val="240A66CC"/>
    <w:rsid w:val="240E783E"/>
    <w:rsid w:val="24480FA2"/>
    <w:rsid w:val="24507394"/>
    <w:rsid w:val="245375B0"/>
    <w:rsid w:val="24642C0A"/>
    <w:rsid w:val="246D6C5B"/>
    <w:rsid w:val="24767D4C"/>
    <w:rsid w:val="24B22173"/>
    <w:rsid w:val="24B95AD9"/>
    <w:rsid w:val="24BE24DA"/>
    <w:rsid w:val="24CF3471"/>
    <w:rsid w:val="24CF5825"/>
    <w:rsid w:val="24D663E6"/>
    <w:rsid w:val="24D77F2B"/>
    <w:rsid w:val="24FB4266"/>
    <w:rsid w:val="254E25E8"/>
    <w:rsid w:val="25693628"/>
    <w:rsid w:val="25756AF1"/>
    <w:rsid w:val="258A2AF7"/>
    <w:rsid w:val="258B00E2"/>
    <w:rsid w:val="25A917A6"/>
    <w:rsid w:val="25BE27CC"/>
    <w:rsid w:val="25F74A5C"/>
    <w:rsid w:val="2628662C"/>
    <w:rsid w:val="262D1D64"/>
    <w:rsid w:val="262D45DE"/>
    <w:rsid w:val="264B5FA1"/>
    <w:rsid w:val="26804A23"/>
    <w:rsid w:val="26871DC8"/>
    <w:rsid w:val="269F0C21"/>
    <w:rsid w:val="269F455C"/>
    <w:rsid w:val="26A53EF9"/>
    <w:rsid w:val="26A94201"/>
    <w:rsid w:val="26AC274F"/>
    <w:rsid w:val="26CA0394"/>
    <w:rsid w:val="26D94133"/>
    <w:rsid w:val="27044A29"/>
    <w:rsid w:val="271D34C8"/>
    <w:rsid w:val="27541A0C"/>
    <w:rsid w:val="276142BF"/>
    <w:rsid w:val="277169C5"/>
    <w:rsid w:val="27783712"/>
    <w:rsid w:val="27907362"/>
    <w:rsid w:val="279E3830"/>
    <w:rsid w:val="27BF3329"/>
    <w:rsid w:val="28186EDD"/>
    <w:rsid w:val="281C4CEC"/>
    <w:rsid w:val="28333E1D"/>
    <w:rsid w:val="283F090E"/>
    <w:rsid w:val="28454BD6"/>
    <w:rsid w:val="28455253"/>
    <w:rsid w:val="284B2E0F"/>
    <w:rsid w:val="284E0B51"/>
    <w:rsid w:val="28551971"/>
    <w:rsid w:val="28577A06"/>
    <w:rsid w:val="285B1C53"/>
    <w:rsid w:val="289F7086"/>
    <w:rsid w:val="28C32028"/>
    <w:rsid w:val="28CA01D8"/>
    <w:rsid w:val="28CC490F"/>
    <w:rsid w:val="28D371F6"/>
    <w:rsid w:val="28DC7F0B"/>
    <w:rsid w:val="28DE40AA"/>
    <w:rsid w:val="29015BC3"/>
    <w:rsid w:val="29345E77"/>
    <w:rsid w:val="294C65AD"/>
    <w:rsid w:val="296E14AB"/>
    <w:rsid w:val="29806583"/>
    <w:rsid w:val="298B3C4C"/>
    <w:rsid w:val="2998609C"/>
    <w:rsid w:val="299E3412"/>
    <w:rsid w:val="29C63095"/>
    <w:rsid w:val="29C72969"/>
    <w:rsid w:val="29D37560"/>
    <w:rsid w:val="29E654E5"/>
    <w:rsid w:val="29EA6657"/>
    <w:rsid w:val="29F26D24"/>
    <w:rsid w:val="2A005E7B"/>
    <w:rsid w:val="2A0076AD"/>
    <w:rsid w:val="2A067536"/>
    <w:rsid w:val="2A15033F"/>
    <w:rsid w:val="2A1662C1"/>
    <w:rsid w:val="2A1C7367"/>
    <w:rsid w:val="2A263B34"/>
    <w:rsid w:val="2A2815FA"/>
    <w:rsid w:val="2A376119"/>
    <w:rsid w:val="2A3937C6"/>
    <w:rsid w:val="2A546E6F"/>
    <w:rsid w:val="2A5561C7"/>
    <w:rsid w:val="2A6D6092"/>
    <w:rsid w:val="2A7D76B4"/>
    <w:rsid w:val="2A846AAC"/>
    <w:rsid w:val="2A97233B"/>
    <w:rsid w:val="2A9D66A1"/>
    <w:rsid w:val="2AC11AAE"/>
    <w:rsid w:val="2AC44CC3"/>
    <w:rsid w:val="2AD43590"/>
    <w:rsid w:val="2ADA66CC"/>
    <w:rsid w:val="2B0A6FB1"/>
    <w:rsid w:val="2B361B54"/>
    <w:rsid w:val="2B3A6011"/>
    <w:rsid w:val="2B437463"/>
    <w:rsid w:val="2B471FB3"/>
    <w:rsid w:val="2B501BD3"/>
    <w:rsid w:val="2B5B5A5F"/>
    <w:rsid w:val="2B620B9B"/>
    <w:rsid w:val="2B6A5CA2"/>
    <w:rsid w:val="2B7807EE"/>
    <w:rsid w:val="2B9E594C"/>
    <w:rsid w:val="2B9E76FA"/>
    <w:rsid w:val="2BA50BF7"/>
    <w:rsid w:val="2BBF00EC"/>
    <w:rsid w:val="2BC37CFD"/>
    <w:rsid w:val="2BD5237F"/>
    <w:rsid w:val="2BDD6474"/>
    <w:rsid w:val="2BE5357A"/>
    <w:rsid w:val="2BE536CE"/>
    <w:rsid w:val="2BE758D9"/>
    <w:rsid w:val="2C016606"/>
    <w:rsid w:val="2C063C1D"/>
    <w:rsid w:val="2C09049E"/>
    <w:rsid w:val="2C0A653C"/>
    <w:rsid w:val="2C191F85"/>
    <w:rsid w:val="2C3D5164"/>
    <w:rsid w:val="2C3F712F"/>
    <w:rsid w:val="2CA3146B"/>
    <w:rsid w:val="2CE35D0C"/>
    <w:rsid w:val="2CE82D6F"/>
    <w:rsid w:val="2D024D54"/>
    <w:rsid w:val="2D142369"/>
    <w:rsid w:val="2D1A7254"/>
    <w:rsid w:val="2D343236"/>
    <w:rsid w:val="2D352BD9"/>
    <w:rsid w:val="2D3C71CA"/>
    <w:rsid w:val="2D5409B8"/>
    <w:rsid w:val="2D621327"/>
    <w:rsid w:val="2D656721"/>
    <w:rsid w:val="2D92328E"/>
    <w:rsid w:val="2DCC67A0"/>
    <w:rsid w:val="2DD15014"/>
    <w:rsid w:val="2DDF49BF"/>
    <w:rsid w:val="2DF72DE4"/>
    <w:rsid w:val="2DFC6AE8"/>
    <w:rsid w:val="2E0220AF"/>
    <w:rsid w:val="2E3E5EA6"/>
    <w:rsid w:val="2E3F318F"/>
    <w:rsid w:val="2E4B082A"/>
    <w:rsid w:val="2E5D4E86"/>
    <w:rsid w:val="2E5D790B"/>
    <w:rsid w:val="2E731311"/>
    <w:rsid w:val="2E8157DC"/>
    <w:rsid w:val="2E861045"/>
    <w:rsid w:val="2E862DF3"/>
    <w:rsid w:val="2E8F7944"/>
    <w:rsid w:val="2E9A3C18"/>
    <w:rsid w:val="2E9F2106"/>
    <w:rsid w:val="2EAA4C71"/>
    <w:rsid w:val="2EB55486"/>
    <w:rsid w:val="2EB84023"/>
    <w:rsid w:val="2EBB0FEE"/>
    <w:rsid w:val="2EC63002"/>
    <w:rsid w:val="2EDE4745"/>
    <w:rsid w:val="2F0A6B38"/>
    <w:rsid w:val="2F0F5215"/>
    <w:rsid w:val="2F434F55"/>
    <w:rsid w:val="2F544C9F"/>
    <w:rsid w:val="2F61560E"/>
    <w:rsid w:val="2F8A246F"/>
    <w:rsid w:val="2F8F217B"/>
    <w:rsid w:val="2F946CCB"/>
    <w:rsid w:val="2FA23C5C"/>
    <w:rsid w:val="2FA85975"/>
    <w:rsid w:val="2FBC2844"/>
    <w:rsid w:val="2FD25781"/>
    <w:rsid w:val="2FD61B58"/>
    <w:rsid w:val="2FDC745C"/>
    <w:rsid w:val="2FDD2EE6"/>
    <w:rsid w:val="2FE144C6"/>
    <w:rsid w:val="2FFD7934"/>
    <w:rsid w:val="3011493E"/>
    <w:rsid w:val="301937F3"/>
    <w:rsid w:val="301B3A0F"/>
    <w:rsid w:val="30733ACD"/>
    <w:rsid w:val="308C3862"/>
    <w:rsid w:val="309379D8"/>
    <w:rsid w:val="30A270F7"/>
    <w:rsid w:val="30A6152A"/>
    <w:rsid w:val="30DF1478"/>
    <w:rsid w:val="30EC586F"/>
    <w:rsid w:val="30FD4EC2"/>
    <w:rsid w:val="31126BC0"/>
    <w:rsid w:val="312406A1"/>
    <w:rsid w:val="31376626"/>
    <w:rsid w:val="314169AC"/>
    <w:rsid w:val="314D7BF8"/>
    <w:rsid w:val="316867E0"/>
    <w:rsid w:val="318B24CE"/>
    <w:rsid w:val="319C6071"/>
    <w:rsid w:val="31A11ECE"/>
    <w:rsid w:val="31A57A34"/>
    <w:rsid w:val="31AB491E"/>
    <w:rsid w:val="31AC537E"/>
    <w:rsid w:val="31C0661C"/>
    <w:rsid w:val="31E3679B"/>
    <w:rsid w:val="31E732FD"/>
    <w:rsid w:val="31F92D57"/>
    <w:rsid w:val="320F1351"/>
    <w:rsid w:val="3240775C"/>
    <w:rsid w:val="32470AEB"/>
    <w:rsid w:val="32517576"/>
    <w:rsid w:val="32584AA6"/>
    <w:rsid w:val="3264344B"/>
    <w:rsid w:val="32BE5C2C"/>
    <w:rsid w:val="32C262DA"/>
    <w:rsid w:val="32CB5278"/>
    <w:rsid w:val="32D63C1D"/>
    <w:rsid w:val="32FB6478"/>
    <w:rsid w:val="33092244"/>
    <w:rsid w:val="330F6C37"/>
    <w:rsid w:val="33150BE9"/>
    <w:rsid w:val="331704BD"/>
    <w:rsid w:val="332410BB"/>
    <w:rsid w:val="33263B3F"/>
    <w:rsid w:val="3330332D"/>
    <w:rsid w:val="33332E1D"/>
    <w:rsid w:val="334119DE"/>
    <w:rsid w:val="33613E2E"/>
    <w:rsid w:val="336963EB"/>
    <w:rsid w:val="33816EEB"/>
    <w:rsid w:val="33B73A4E"/>
    <w:rsid w:val="33B95A18"/>
    <w:rsid w:val="33C63C91"/>
    <w:rsid w:val="33EB55CD"/>
    <w:rsid w:val="33EC4C02"/>
    <w:rsid w:val="33F425AD"/>
    <w:rsid w:val="340A0022"/>
    <w:rsid w:val="340C5B48"/>
    <w:rsid w:val="340D2360"/>
    <w:rsid w:val="3410665D"/>
    <w:rsid w:val="34211214"/>
    <w:rsid w:val="342E63AB"/>
    <w:rsid w:val="34950E68"/>
    <w:rsid w:val="34986E94"/>
    <w:rsid w:val="34AF62C9"/>
    <w:rsid w:val="34CA5831"/>
    <w:rsid w:val="34CA77B1"/>
    <w:rsid w:val="34CB4388"/>
    <w:rsid w:val="34FA6E12"/>
    <w:rsid w:val="35066A3B"/>
    <w:rsid w:val="351A24E7"/>
    <w:rsid w:val="35373099"/>
    <w:rsid w:val="354D7158"/>
    <w:rsid w:val="35571045"/>
    <w:rsid w:val="357A4D33"/>
    <w:rsid w:val="358D5588"/>
    <w:rsid w:val="35E0728C"/>
    <w:rsid w:val="362464E4"/>
    <w:rsid w:val="363A3B40"/>
    <w:rsid w:val="365302AE"/>
    <w:rsid w:val="36607A0A"/>
    <w:rsid w:val="366E227C"/>
    <w:rsid w:val="366F2E0D"/>
    <w:rsid w:val="367B6A5C"/>
    <w:rsid w:val="36A74ADA"/>
    <w:rsid w:val="36AD60D5"/>
    <w:rsid w:val="36B224F9"/>
    <w:rsid w:val="36C27A79"/>
    <w:rsid w:val="36CC15BF"/>
    <w:rsid w:val="36EC0CC9"/>
    <w:rsid w:val="37010510"/>
    <w:rsid w:val="370A20E7"/>
    <w:rsid w:val="370A61C8"/>
    <w:rsid w:val="370B77BD"/>
    <w:rsid w:val="373F410B"/>
    <w:rsid w:val="376932B2"/>
    <w:rsid w:val="376F77CB"/>
    <w:rsid w:val="37735EDE"/>
    <w:rsid w:val="37AF33BA"/>
    <w:rsid w:val="37D82204"/>
    <w:rsid w:val="37EE7094"/>
    <w:rsid w:val="38296C89"/>
    <w:rsid w:val="382C0A7A"/>
    <w:rsid w:val="383002EB"/>
    <w:rsid w:val="38392C84"/>
    <w:rsid w:val="38481119"/>
    <w:rsid w:val="38586797"/>
    <w:rsid w:val="38B247E4"/>
    <w:rsid w:val="38BC0149"/>
    <w:rsid w:val="38CA4224"/>
    <w:rsid w:val="38D73DD6"/>
    <w:rsid w:val="38D87D1C"/>
    <w:rsid w:val="38F65019"/>
    <w:rsid w:val="38F8669B"/>
    <w:rsid w:val="39055360"/>
    <w:rsid w:val="39065214"/>
    <w:rsid w:val="39365415"/>
    <w:rsid w:val="395F496C"/>
    <w:rsid w:val="39636459"/>
    <w:rsid w:val="396B7F6C"/>
    <w:rsid w:val="396E0D5B"/>
    <w:rsid w:val="39B417A9"/>
    <w:rsid w:val="39BD78E5"/>
    <w:rsid w:val="39DD3AE3"/>
    <w:rsid w:val="39E3734B"/>
    <w:rsid w:val="39FC5695"/>
    <w:rsid w:val="3A006D8E"/>
    <w:rsid w:val="3A127C30"/>
    <w:rsid w:val="3A204F94"/>
    <w:rsid w:val="3A30455A"/>
    <w:rsid w:val="3A331955"/>
    <w:rsid w:val="3A3651E5"/>
    <w:rsid w:val="3A6F6E31"/>
    <w:rsid w:val="3A744481"/>
    <w:rsid w:val="3A8B1791"/>
    <w:rsid w:val="3A8C7BEF"/>
    <w:rsid w:val="3A906246"/>
    <w:rsid w:val="3A9B19D4"/>
    <w:rsid w:val="3AA0348E"/>
    <w:rsid w:val="3AC802EF"/>
    <w:rsid w:val="3ACA4067"/>
    <w:rsid w:val="3AD76784"/>
    <w:rsid w:val="3AF85078"/>
    <w:rsid w:val="3B20012B"/>
    <w:rsid w:val="3B2349B7"/>
    <w:rsid w:val="3B4402BD"/>
    <w:rsid w:val="3B616CFF"/>
    <w:rsid w:val="3B6259F6"/>
    <w:rsid w:val="3B9052B1"/>
    <w:rsid w:val="3B976654"/>
    <w:rsid w:val="3BA743A8"/>
    <w:rsid w:val="3BC01EFC"/>
    <w:rsid w:val="3BC82C9D"/>
    <w:rsid w:val="3BCA786A"/>
    <w:rsid w:val="3BCD5B59"/>
    <w:rsid w:val="3BD31E2F"/>
    <w:rsid w:val="3BE72A94"/>
    <w:rsid w:val="3BF15831"/>
    <w:rsid w:val="3C105946"/>
    <w:rsid w:val="3C21415B"/>
    <w:rsid w:val="3C471448"/>
    <w:rsid w:val="3C51314C"/>
    <w:rsid w:val="3C5F759A"/>
    <w:rsid w:val="3C6C525A"/>
    <w:rsid w:val="3C90254A"/>
    <w:rsid w:val="3CB90837"/>
    <w:rsid w:val="3CBE7BFC"/>
    <w:rsid w:val="3CC35212"/>
    <w:rsid w:val="3CCE23CB"/>
    <w:rsid w:val="3CD17D17"/>
    <w:rsid w:val="3CD42FB9"/>
    <w:rsid w:val="3CF4186F"/>
    <w:rsid w:val="3D197528"/>
    <w:rsid w:val="3D3C7F39"/>
    <w:rsid w:val="3D440F09"/>
    <w:rsid w:val="3D4504A0"/>
    <w:rsid w:val="3D4E0F7F"/>
    <w:rsid w:val="3D8734BB"/>
    <w:rsid w:val="3D9A11D4"/>
    <w:rsid w:val="3DA16D89"/>
    <w:rsid w:val="3DA364BE"/>
    <w:rsid w:val="3DA43295"/>
    <w:rsid w:val="3DE041CB"/>
    <w:rsid w:val="3E0B50C2"/>
    <w:rsid w:val="3E0D48F6"/>
    <w:rsid w:val="3E1868B4"/>
    <w:rsid w:val="3E377251"/>
    <w:rsid w:val="3E3A7756"/>
    <w:rsid w:val="3E42664B"/>
    <w:rsid w:val="3E595E2E"/>
    <w:rsid w:val="3E5A7334"/>
    <w:rsid w:val="3E7B5D6B"/>
    <w:rsid w:val="3E843E66"/>
    <w:rsid w:val="3E8D1F7B"/>
    <w:rsid w:val="3E8F51FE"/>
    <w:rsid w:val="3E926F87"/>
    <w:rsid w:val="3E9A59DE"/>
    <w:rsid w:val="3E9E5F37"/>
    <w:rsid w:val="3E9F347B"/>
    <w:rsid w:val="3EAF4836"/>
    <w:rsid w:val="3EC33DFA"/>
    <w:rsid w:val="3EC3599D"/>
    <w:rsid w:val="3ECA0ADA"/>
    <w:rsid w:val="3ECD2378"/>
    <w:rsid w:val="3EDE30BD"/>
    <w:rsid w:val="3F060E16"/>
    <w:rsid w:val="3F1D1096"/>
    <w:rsid w:val="3F2F0234"/>
    <w:rsid w:val="3F301AC1"/>
    <w:rsid w:val="3F441DE9"/>
    <w:rsid w:val="3F6363FE"/>
    <w:rsid w:val="3F756B8F"/>
    <w:rsid w:val="3F9335C1"/>
    <w:rsid w:val="3F95482B"/>
    <w:rsid w:val="3F95733A"/>
    <w:rsid w:val="3F9D7F9C"/>
    <w:rsid w:val="3FA74741"/>
    <w:rsid w:val="3FB5178A"/>
    <w:rsid w:val="3FD87226"/>
    <w:rsid w:val="3FFA144F"/>
    <w:rsid w:val="4019356B"/>
    <w:rsid w:val="401D43BA"/>
    <w:rsid w:val="40300E10"/>
    <w:rsid w:val="4047615A"/>
    <w:rsid w:val="405014B2"/>
    <w:rsid w:val="40592157"/>
    <w:rsid w:val="405C1C05"/>
    <w:rsid w:val="406E1CAE"/>
    <w:rsid w:val="40736F4F"/>
    <w:rsid w:val="40A0133A"/>
    <w:rsid w:val="40C31A53"/>
    <w:rsid w:val="40FF545D"/>
    <w:rsid w:val="410067C8"/>
    <w:rsid w:val="4105229D"/>
    <w:rsid w:val="4105404B"/>
    <w:rsid w:val="41087697"/>
    <w:rsid w:val="41195D48"/>
    <w:rsid w:val="412219DF"/>
    <w:rsid w:val="41566655"/>
    <w:rsid w:val="416176D3"/>
    <w:rsid w:val="41662ED0"/>
    <w:rsid w:val="41790595"/>
    <w:rsid w:val="417E7959"/>
    <w:rsid w:val="418F0D2A"/>
    <w:rsid w:val="41D01505"/>
    <w:rsid w:val="42157DC5"/>
    <w:rsid w:val="4242307D"/>
    <w:rsid w:val="42474939"/>
    <w:rsid w:val="424C3C57"/>
    <w:rsid w:val="42576B28"/>
    <w:rsid w:val="42613FF3"/>
    <w:rsid w:val="42660D96"/>
    <w:rsid w:val="428667D2"/>
    <w:rsid w:val="42A94EAA"/>
    <w:rsid w:val="42BE0955"/>
    <w:rsid w:val="42CD1CE0"/>
    <w:rsid w:val="42E1381E"/>
    <w:rsid w:val="42ED6459"/>
    <w:rsid w:val="42F04887"/>
    <w:rsid w:val="42FA74B4"/>
    <w:rsid w:val="42FD2EC8"/>
    <w:rsid w:val="42FE58DD"/>
    <w:rsid w:val="43174B3D"/>
    <w:rsid w:val="434B790E"/>
    <w:rsid w:val="435E7A42"/>
    <w:rsid w:val="4360274F"/>
    <w:rsid w:val="436F1C50"/>
    <w:rsid w:val="43897B0A"/>
    <w:rsid w:val="43977AB6"/>
    <w:rsid w:val="43A3342B"/>
    <w:rsid w:val="43AD5C6F"/>
    <w:rsid w:val="43B41225"/>
    <w:rsid w:val="43C77C27"/>
    <w:rsid w:val="43DE09EE"/>
    <w:rsid w:val="43E048FB"/>
    <w:rsid w:val="43E77A38"/>
    <w:rsid w:val="44002FAD"/>
    <w:rsid w:val="441C37AA"/>
    <w:rsid w:val="443133A9"/>
    <w:rsid w:val="447D214A"/>
    <w:rsid w:val="448636F5"/>
    <w:rsid w:val="449101DD"/>
    <w:rsid w:val="44B91AF4"/>
    <w:rsid w:val="44DE1391"/>
    <w:rsid w:val="44DF4BB3"/>
    <w:rsid w:val="44E346A3"/>
    <w:rsid w:val="44F3240C"/>
    <w:rsid w:val="450703F9"/>
    <w:rsid w:val="451B225C"/>
    <w:rsid w:val="45240818"/>
    <w:rsid w:val="452410C9"/>
    <w:rsid w:val="45317DFB"/>
    <w:rsid w:val="453A003B"/>
    <w:rsid w:val="454B049A"/>
    <w:rsid w:val="45667082"/>
    <w:rsid w:val="456D3CE4"/>
    <w:rsid w:val="4579042C"/>
    <w:rsid w:val="457F0571"/>
    <w:rsid w:val="45851176"/>
    <w:rsid w:val="45C523C0"/>
    <w:rsid w:val="45C55BC2"/>
    <w:rsid w:val="45C63B94"/>
    <w:rsid w:val="45F823D0"/>
    <w:rsid w:val="460E7DA5"/>
    <w:rsid w:val="46115240"/>
    <w:rsid w:val="462705C0"/>
    <w:rsid w:val="46422483"/>
    <w:rsid w:val="464D0671"/>
    <w:rsid w:val="4659254A"/>
    <w:rsid w:val="465B0637"/>
    <w:rsid w:val="465E3F0D"/>
    <w:rsid w:val="466A16E6"/>
    <w:rsid w:val="466C2476"/>
    <w:rsid w:val="46893F2B"/>
    <w:rsid w:val="469D2F78"/>
    <w:rsid w:val="46AD7694"/>
    <w:rsid w:val="46C444E6"/>
    <w:rsid w:val="46C4686E"/>
    <w:rsid w:val="46CE1383"/>
    <w:rsid w:val="46EB5A91"/>
    <w:rsid w:val="46EE3094"/>
    <w:rsid w:val="46F21A33"/>
    <w:rsid w:val="46F661E4"/>
    <w:rsid w:val="47174AD8"/>
    <w:rsid w:val="473311E6"/>
    <w:rsid w:val="47526696"/>
    <w:rsid w:val="476B6BD2"/>
    <w:rsid w:val="47705F96"/>
    <w:rsid w:val="47777325"/>
    <w:rsid w:val="477B778F"/>
    <w:rsid w:val="478163F5"/>
    <w:rsid w:val="478203EC"/>
    <w:rsid w:val="47B025FA"/>
    <w:rsid w:val="480212E4"/>
    <w:rsid w:val="4809698F"/>
    <w:rsid w:val="4811697D"/>
    <w:rsid w:val="48194880"/>
    <w:rsid w:val="481D611E"/>
    <w:rsid w:val="48345216"/>
    <w:rsid w:val="48645AFB"/>
    <w:rsid w:val="487A3E25"/>
    <w:rsid w:val="48802209"/>
    <w:rsid w:val="48855592"/>
    <w:rsid w:val="488B5503"/>
    <w:rsid w:val="48937E21"/>
    <w:rsid w:val="48981C49"/>
    <w:rsid w:val="489A0361"/>
    <w:rsid w:val="489E7658"/>
    <w:rsid w:val="48A8102D"/>
    <w:rsid w:val="48B60321"/>
    <w:rsid w:val="48B94FF3"/>
    <w:rsid w:val="48D22655"/>
    <w:rsid w:val="48E37AAB"/>
    <w:rsid w:val="48E409EA"/>
    <w:rsid w:val="48EA005F"/>
    <w:rsid w:val="48FD4B4C"/>
    <w:rsid w:val="49057251"/>
    <w:rsid w:val="490A68E0"/>
    <w:rsid w:val="491055FE"/>
    <w:rsid w:val="49177011"/>
    <w:rsid w:val="49340F30"/>
    <w:rsid w:val="49455E6F"/>
    <w:rsid w:val="494F491F"/>
    <w:rsid w:val="495F5B3E"/>
    <w:rsid w:val="496D09DF"/>
    <w:rsid w:val="496F77D7"/>
    <w:rsid w:val="497654FD"/>
    <w:rsid w:val="497D5973"/>
    <w:rsid w:val="498222D8"/>
    <w:rsid w:val="49B44972"/>
    <w:rsid w:val="49B64211"/>
    <w:rsid w:val="49D41AAC"/>
    <w:rsid w:val="49E32A4A"/>
    <w:rsid w:val="49EA0DD7"/>
    <w:rsid w:val="49F6167F"/>
    <w:rsid w:val="4A01737A"/>
    <w:rsid w:val="4A064FA0"/>
    <w:rsid w:val="4A1453F8"/>
    <w:rsid w:val="4A16615C"/>
    <w:rsid w:val="4A4424D7"/>
    <w:rsid w:val="4A600544"/>
    <w:rsid w:val="4A7A75D7"/>
    <w:rsid w:val="4AB82D0F"/>
    <w:rsid w:val="4AEB7664"/>
    <w:rsid w:val="4AEC4617"/>
    <w:rsid w:val="4AFD7C19"/>
    <w:rsid w:val="4B0567D1"/>
    <w:rsid w:val="4B236AAE"/>
    <w:rsid w:val="4B2F799D"/>
    <w:rsid w:val="4B3D0885"/>
    <w:rsid w:val="4B502367"/>
    <w:rsid w:val="4B5F25AA"/>
    <w:rsid w:val="4B6776B0"/>
    <w:rsid w:val="4B707271"/>
    <w:rsid w:val="4B9739F7"/>
    <w:rsid w:val="4BAE52DF"/>
    <w:rsid w:val="4BC13264"/>
    <w:rsid w:val="4BD5286C"/>
    <w:rsid w:val="4BDD5EBA"/>
    <w:rsid w:val="4BEE2503"/>
    <w:rsid w:val="4BF727EA"/>
    <w:rsid w:val="4C043151"/>
    <w:rsid w:val="4C1C0D2C"/>
    <w:rsid w:val="4C245A30"/>
    <w:rsid w:val="4C343A36"/>
    <w:rsid w:val="4C6065D9"/>
    <w:rsid w:val="4C96649F"/>
    <w:rsid w:val="4CAB12DC"/>
    <w:rsid w:val="4CB6685F"/>
    <w:rsid w:val="4CC367FE"/>
    <w:rsid w:val="4CD945DE"/>
    <w:rsid w:val="4CEE0089"/>
    <w:rsid w:val="4CF11927"/>
    <w:rsid w:val="4D0029B3"/>
    <w:rsid w:val="4D077F3C"/>
    <w:rsid w:val="4D123355"/>
    <w:rsid w:val="4D2A3B31"/>
    <w:rsid w:val="4D312C52"/>
    <w:rsid w:val="4D412B24"/>
    <w:rsid w:val="4D5062B7"/>
    <w:rsid w:val="4D905305"/>
    <w:rsid w:val="4D964A72"/>
    <w:rsid w:val="4D9C1254"/>
    <w:rsid w:val="4D9E5B15"/>
    <w:rsid w:val="4E110C4B"/>
    <w:rsid w:val="4E192EE4"/>
    <w:rsid w:val="4E3E0B9C"/>
    <w:rsid w:val="4E4E7235"/>
    <w:rsid w:val="4E793892"/>
    <w:rsid w:val="4E800872"/>
    <w:rsid w:val="4E812EA2"/>
    <w:rsid w:val="4E8642F1"/>
    <w:rsid w:val="4EC569ED"/>
    <w:rsid w:val="4ED03995"/>
    <w:rsid w:val="4ED50EA1"/>
    <w:rsid w:val="4EEC050C"/>
    <w:rsid w:val="4F104EC3"/>
    <w:rsid w:val="4F11005F"/>
    <w:rsid w:val="4F1B0EDE"/>
    <w:rsid w:val="4F275AD4"/>
    <w:rsid w:val="4F47354A"/>
    <w:rsid w:val="4F911C54"/>
    <w:rsid w:val="4F980780"/>
    <w:rsid w:val="4FB7175B"/>
    <w:rsid w:val="4FC8387D"/>
    <w:rsid w:val="4FD26923"/>
    <w:rsid w:val="4FE625E0"/>
    <w:rsid w:val="4FFC5670"/>
    <w:rsid w:val="50102776"/>
    <w:rsid w:val="5021480F"/>
    <w:rsid w:val="502D0EC8"/>
    <w:rsid w:val="503A5C56"/>
    <w:rsid w:val="505C301C"/>
    <w:rsid w:val="50681F00"/>
    <w:rsid w:val="50962ECB"/>
    <w:rsid w:val="50A42E38"/>
    <w:rsid w:val="50A4577F"/>
    <w:rsid w:val="50B73D1F"/>
    <w:rsid w:val="50B909AE"/>
    <w:rsid w:val="50BD5BC9"/>
    <w:rsid w:val="50BE4216"/>
    <w:rsid w:val="50C11EEE"/>
    <w:rsid w:val="50D51CA7"/>
    <w:rsid w:val="50DD469C"/>
    <w:rsid w:val="50E97CFC"/>
    <w:rsid w:val="50FA4028"/>
    <w:rsid w:val="510D65B7"/>
    <w:rsid w:val="511157AB"/>
    <w:rsid w:val="51380E48"/>
    <w:rsid w:val="5142540C"/>
    <w:rsid w:val="514B3CFC"/>
    <w:rsid w:val="51782617"/>
    <w:rsid w:val="517C5E3E"/>
    <w:rsid w:val="518832C8"/>
    <w:rsid w:val="519D3C50"/>
    <w:rsid w:val="51A0432A"/>
    <w:rsid w:val="51A86090"/>
    <w:rsid w:val="51B03B5F"/>
    <w:rsid w:val="51B7396D"/>
    <w:rsid w:val="51C94C21"/>
    <w:rsid w:val="52065E75"/>
    <w:rsid w:val="522105B9"/>
    <w:rsid w:val="522C1685"/>
    <w:rsid w:val="522E4CC3"/>
    <w:rsid w:val="5244713B"/>
    <w:rsid w:val="52615633"/>
    <w:rsid w:val="526E7576"/>
    <w:rsid w:val="526F4DE4"/>
    <w:rsid w:val="52794D53"/>
    <w:rsid w:val="52977FD4"/>
    <w:rsid w:val="529945F3"/>
    <w:rsid w:val="52A25790"/>
    <w:rsid w:val="52A96B6F"/>
    <w:rsid w:val="52B02D0D"/>
    <w:rsid w:val="52B45975"/>
    <w:rsid w:val="52BA1EAC"/>
    <w:rsid w:val="52D94AA4"/>
    <w:rsid w:val="52E276A6"/>
    <w:rsid w:val="52EA3A62"/>
    <w:rsid w:val="52F50BB8"/>
    <w:rsid w:val="53071EA5"/>
    <w:rsid w:val="53097272"/>
    <w:rsid w:val="530B5BF8"/>
    <w:rsid w:val="53332C9A"/>
    <w:rsid w:val="5343196D"/>
    <w:rsid w:val="534327B1"/>
    <w:rsid w:val="53493270"/>
    <w:rsid w:val="534C1537"/>
    <w:rsid w:val="53544462"/>
    <w:rsid w:val="536C61AC"/>
    <w:rsid w:val="5397158E"/>
    <w:rsid w:val="53C2401E"/>
    <w:rsid w:val="53D578AD"/>
    <w:rsid w:val="53DC50DF"/>
    <w:rsid w:val="53E325D5"/>
    <w:rsid w:val="53FB308C"/>
    <w:rsid w:val="54013861"/>
    <w:rsid w:val="5402441A"/>
    <w:rsid w:val="541C1980"/>
    <w:rsid w:val="5426635A"/>
    <w:rsid w:val="54487265"/>
    <w:rsid w:val="544D6070"/>
    <w:rsid w:val="54605E1E"/>
    <w:rsid w:val="546D7F13"/>
    <w:rsid w:val="547A2D7B"/>
    <w:rsid w:val="549A4653"/>
    <w:rsid w:val="54B020C8"/>
    <w:rsid w:val="54B3506A"/>
    <w:rsid w:val="54CA0D16"/>
    <w:rsid w:val="54D45DB6"/>
    <w:rsid w:val="54DD4057"/>
    <w:rsid w:val="54E7490F"/>
    <w:rsid w:val="550764A4"/>
    <w:rsid w:val="550B2BF6"/>
    <w:rsid w:val="550C2FBA"/>
    <w:rsid w:val="55214EB5"/>
    <w:rsid w:val="55364EFD"/>
    <w:rsid w:val="555D4828"/>
    <w:rsid w:val="55614A55"/>
    <w:rsid w:val="55780FE1"/>
    <w:rsid w:val="557A4C8B"/>
    <w:rsid w:val="558931E1"/>
    <w:rsid w:val="55923347"/>
    <w:rsid w:val="55925180"/>
    <w:rsid w:val="55983B1B"/>
    <w:rsid w:val="55A8376B"/>
    <w:rsid w:val="55AB1085"/>
    <w:rsid w:val="55AF412E"/>
    <w:rsid w:val="55DC29B6"/>
    <w:rsid w:val="55DD4241"/>
    <w:rsid w:val="55DE1FE5"/>
    <w:rsid w:val="55F01FA8"/>
    <w:rsid w:val="560E6223"/>
    <w:rsid w:val="562B5EAA"/>
    <w:rsid w:val="563704CE"/>
    <w:rsid w:val="563C1E65"/>
    <w:rsid w:val="56660C90"/>
    <w:rsid w:val="566B6D1E"/>
    <w:rsid w:val="56AD2D63"/>
    <w:rsid w:val="56BC2FA6"/>
    <w:rsid w:val="56E90D76"/>
    <w:rsid w:val="56ED7603"/>
    <w:rsid w:val="56FA587C"/>
    <w:rsid w:val="57032A2C"/>
    <w:rsid w:val="570F5219"/>
    <w:rsid w:val="57243D63"/>
    <w:rsid w:val="572E78E5"/>
    <w:rsid w:val="57325016"/>
    <w:rsid w:val="57454D4A"/>
    <w:rsid w:val="575D12B5"/>
    <w:rsid w:val="57610A87"/>
    <w:rsid w:val="577B1140"/>
    <w:rsid w:val="577B7F21"/>
    <w:rsid w:val="577F181B"/>
    <w:rsid w:val="57875362"/>
    <w:rsid w:val="57921984"/>
    <w:rsid w:val="579737F0"/>
    <w:rsid w:val="57AB7B30"/>
    <w:rsid w:val="57AF5251"/>
    <w:rsid w:val="57B26373"/>
    <w:rsid w:val="57B27F05"/>
    <w:rsid w:val="57B63F04"/>
    <w:rsid w:val="57CD20C2"/>
    <w:rsid w:val="57D675AB"/>
    <w:rsid w:val="57D95FDD"/>
    <w:rsid w:val="57F56770"/>
    <w:rsid w:val="58003366"/>
    <w:rsid w:val="581D7A74"/>
    <w:rsid w:val="58917D2F"/>
    <w:rsid w:val="5894085C"/>
    <w:rsid w:val="58A9755A"/>
    <w:rsid w:val="58AE4F0C"/>
    <w:rsid w:val="58B85899"/>
    <w:rsid w:val="58E32A6C"/>
    <w:rsid w:val="58E363A9"/>
    <w:rsid w:val="58F22CAF"/>
    <w:rsid w:val="59091DA7"/>
    <w:rsid w:val="591E264C"/>
    <w:rsid w:val="591F781C"/>
    <w:rsid w:val="5943350B"/>
    <w:rsid w:val="595E1678"/>
    <w:rsid w:val="596D5BD4"/>
    <w:rsid w:val="597E3DD8"/>
    <w:rsid w:val="59AF294E"/>
    <w:rsid w:val="59D6437F"/>
    <w:rsid w:val="59EB5444"/>
    <w:rsid w:val="59F80043"/>
    <w:rsid w:val="5A09252F"/>
    <w:rsid w:val="5A0B2778"/>
    <w:rsid w:val="5A2A7C7B"/>
    <w:rsid w:val="5A3E2560"/>
    <w:rsid w:val="5A5D3B6E"/>
    <w:rsid w:val="5A637A76"/>
    <w:rsid w:val="5A6D33BA"/>
    <w:rsid w:val="5A792B1F"/>
    <w:rsid w:val="5A867B53"/>
    <w:rsid w:val="5A874767"/>
    <w:rsid w:val="5A92474A"/>
    <w:rsid w:val="5A9B2ED2"/>
    <w:rsid w:val="5AA85BE2"/>
    <w:rsid w:val="5AAD6F28"/>
    <w:rsid w:val="5ABE2749"/>
    <w:rsid w:val="5AD63A24"/>
    <w:rsid w:val="5AD703AE"/>
    <w:rsid w:val="5AE51A4D"/>
    <w:rsid w:val="5B0017C8"/>
    <w:rsid w:val="5B1C04B7"/>
    <w:rsid w:val="5B2E1A1D"/>
    <w:rsid w:val="5B447ABE"/>
    <w:rsid w:val="5B501F0F"/>
    <w:rsid w:val="5B843A1C"/>
    <w:rsid w:val="5B873E3F"/>
    <w:rsid w:val="5BAF4E87"/>
    <w:rsid w:val="5BB10BFF"/>
    <w:rsid w:val="5BE54D4D"/>
    <w:rsid w:val="5BE82147"/>
    <w:rsid w:val="5BF263E3"/>
    <w:rsid w:val="5BFD3E45"/>
    <w:rsid w:val="5C02690E"/>
    <w:rsid w:val="5C196DA7"/>
    <w:rsid w:val="5C1D6295"/>
    <w:rsid w:val="5C211A37"/>
    <w:rsid w:val="5C2A048C"/>
    <w:rsid w:val="5C2F421A"/>
    <w:rsid w:val="5C4D2220"/>
    <w:rsid w:val="5C75188E"/>
    <w:rsid w:val="5C80234E"/>
    <w:rsid w:val="5C85148E"/>
    <w:rsid w:val="5C8A680C"/>
    <w:rsid w:val="5CBC5AAE"/>
    <w:rsid w:val="5CF52D6E"/>
    <w:rsid w:val="5D0C4701"/>
    <w:rsid w:val="5D0F0395"/>
    <w:rsid w:val="5D221076"/>
    <w:rsid w:val="5D397964"/>
    <w:rsid w:val="5D4E5B48"/>
    <w:rsid w:val="5D5A391C"/>
    <w:rsid w:val="5D5F10C0"/>
    <w:rsid w:val="5D790E2F"/>
    <w:rsid w:val="5D891B7B"/>
    <w:rsid w:val="5DAD38EE"/>
    <w:rsid w:val="5DB26B6E"/>
    <w:rsid w:val="5DBE5856"/>
    <w:rsid w:val="5DD9443E"/>
    <w:rsid w:val="5DF748C4"/>
    <w:rsid w:val="5E005E6E"/>
    <w:rsid w:val="5E006862"/>
    <w:rsid w:val="5E0207B9"/>
    <w:rsid w:val="5E1834A1"/>
    <w:rsid w:val="5E261785"/>
    <w:rsid w:val="5E4A7017"/>
    <w:rsid w:val="5E552BBA"/>
    <w:rsid w:val="5E611C10"/>
    <w:rsid w:val="5E7128C8"/>
    <w:rsid w:val="5E7A0F3F"/>
    <w:rsid w:val="5E802B0B"/>
    <w:rsid w:val="5ECC3FA2"/>
    <w:rsid w:val="5EF56553"/>
    <w:rsid w:val="5EFC7377"/>
    <w:rsid w:val="5F06174D"/>
    <w:rsid w:val="5F3A3602"/>
    <w:rsid w:val="5F3F29C6"/>
    <w:rsid w:val="5F45733B"/>
    <w:rsid w:val="5F506981"/>
    <w:rsid w:val="5F5C3DEE"/>
    <w:rsid w:val="5F6277C6"/>
    <w:rsid w:val="5F6D0B1D"/>
    <w:rsid w:val="5F8D0B82"/>
    <w:rsid w:val="5F8F6BEB"/>
    <w:rsid w:val="5F9C5723"/>
    <w:rsid w:val="5FB962D5"/>
    <w:rsid w:val="5FBF1411"/>
    <w:rsid w:val="5FCC5339"/>
    <w:rsid w:val="5FE33BC5"/>
    <w:rsid w:val="5FE34A5B"/>
    <w:rsid w:val="5FFE1E36"/>
    <w:rsid w:val="600734E4"/>
    <w:rsid w:val="60190504"/>
    <w:rsid w:val="60232584"/>
    <w:rsid w:val="60433DF0"/>
    <w:rsid w:val="604F6C39"/>
    <w:rsid w:val="607330CE"/>
    <w:rsid w:val="60733548"/>
    <w:rsid w:val="60825176"/>
    <w:rsid w:val="609D5BF6"/>
    <w:rsid w:val="609F2AC4"/>
    <w:rsid w:val="60A725D1"/>
    <w:rsid w:val="60AD570E"/>
    <w:rsid w:val="60BC3A6F"/>
    <w:rsid w:val="60CA4511"/>
    <w:rsid w:val="60D1495A"/>
    <w:rsid w:val="60D62EB6"/>
    <w:rsid w:val="60E6759D"/>
    <w:rsid w:val="60FA2EE8"/>
    <w:rsid w:val="61030EA5"/>
    <w:rsid w:val="61054A27"/>
    <w:rsid w:val="610A52BC"/>
    <w:rsid w:val="610D059B"/>
    <w:rsid w:val="611112E5"/>
    <w:rsid w:val="611D2366"/>
    <w:rsid w:val="61421856"/>
    <w:rsid w:val="614E7532"/>
    <w:rsid w:val="615227C4"/>
    <w:rsid w:val="616404C2"/>
    <w:rsid w:val="61654E3F"/>
    <w:rsid w:val="61677FB2"/>
    <w:rsid w:val="6182292A"/>
    <w:rsid w:val="61996EEE"/>
    <w:rsid w:val="619F7F92"/>
    <w:rsid w:val="61BD7BD2"/>
    <w:rsid w:val="61F555BE"/>
    <w:rsid w:val="61F94C26"/>
    <w:rsid w:val="62000E56"/>
    <w:rsid w:val="621974FF"/>
    <w:rsid w:val="624D53FA"/>
    <w:rsid w:val="624F3E49"/>
    <w:rsid w:val="62632286"/>
    <w:rsid w:val="62832BCA"/>
    <w:rsid w:val="62885958"/>
    <w:rsid w:val="62E30554"/>
    <w:rsid w:val="62F40B65"/>
    <w:rsid w:val="62FC2CFE"/>
    <w:rsid w:val="63024505"/>
    <w:rsid w:val="63415474"/>
    <w:rsid w:val="635600A5"/>
    <w:rsid w:val="635B1DB5"/>
    <w:rsid w:val="63711FED"/>
    <w:rsid w:val="63880DDC"/>
    <w:rsid w:val="638D750D"/>
    <w:rsid w:val="63957059"/>
    <w:rsid w:val="63984453"/>
    <w:rsid w:val="639A466F"/>
    <w:rsid w:val="63A4104A"/>
    <w:rsid w:val="63AC6CC0"/>
    <w:rsid w:val="63B374DF"/>
    <w:rsid w:val="63E44E96"/>
    <w:rsid w:val="63E7123E"/>
    <w:rsid w:val="63F23480"/>
    <w:rsid w:val="64055776"/>
    <w:rsid w:val="64087C05"/>
    <w:rsid w:val="640B2E77"/>
    <w:rsid w:val="641B57B0"/>
    <w:rsid w:val="641F55E5"/>
    <w:rsid w:val="641F5B67"/>
    <w:rsid w:val="64240056"/>
    <w:rsid w:val="643E143A"/>
    <w:rsid w:val="64491666"/>
    <w:rsid w:val="646627A3"/>
    <w:rsid w:val="646D58E0"/>
    <w:rsid w:val="648B6EEF"/>
    <w:rsid w:val="64C158BF"/>
    <w:rsid w:val="64C80D68"/>
    <w:rsid w:val="64CE2EAA"/>
    <w:rsid w:val="64D56307"/>
    <w:rsid w:val="64ED07CF"/>
    <w:rsid w:val="653C3090"/>
    <w:rsid w:val="65854376"/>
    <w:rsid w:val="658767BE"/>
    <w:rsid w:val="65892531"/>
    <w:rsid w:val="65A83F96"/>
    <w:rsid w:val="65EB11B2"/>
    <w:rsid w:val="66100C18"/>
    <w:rsid w:val="66101F46"/>
    <w:rsid w:val="66171FA7"/>
    <w:rsid w:val="66195831"/>
    <w:rsid w:val="662B15AE"/>
    <w:rsid w:val="662E75B1"/>
    <w:rsid w:val="66304E17"/>
    <w:rsid w:val="66342C2E"/>
    <w:rsid w:val="663D12E2"/>
    <w:rsid w:val="663E784C"/>
    <w:rsid w:val="666D1BC7"/>
    <w:rsid w:val="668B6A45"/>
    <w:rsid w:val="66DE0D17"/>
    <w:rsid w:val="67112C4A"/>
    <w:rsid w:val="672F3F24"/>
    <w:rsid w:val="673E055F"/>
    <w:rsid w:val="67472418"/>
    <w:rsid w:val="67551CE3"/>
    <w:rsid w:val="677F74D6"/>
    <w:rsid w:val="67825B46"/>
    <w:rsid w:val="67A22552"/>
    <w:rsid w:val="67B22DCC"/>
    <w:rsid w:val="67BE71AA"/>
    <w:rsid w:val="67CF7323"/>
    <w:rsid w:val="67D90273"/>
    <w:rsid w:val="67DE5875"/>
    <w:rsid w:val="67E55852"/>
    <w:rsid w:val="67EB1AB4"/>
    <w:rsid w:val="67EB3E03"/>
    <w:rsid w:val="67EB7247"/>
    <w:rsid w:val="67FA1285"/>
    <w:rsid w:val="67FD341E"/>
    <w:rsid w:val="68551F4F"/>
    <w:rsid w:val="687C10C9"/>
    <w:rsid w:val="68840C16"/>
    <w:rsid w:val="6885769C"/>
    <w:rsid w:val="68876EFB"/>
    <w:rsid w:val="68884654"/>
    <w:rsid w:val="689F444F"/>
    <w:rsid w:val="68A57C30"/>
    <w:rsid w:val="68B31621"/>
    <w:rsid w:val="68B96DBB"/>
    <w:rsid w:val="68CA2805"/>
    <w:rsid w:val="68D777CC"/>
    <w:rsid w:val="68E937A3"/>
    <w:rsid w:val="68F10A17"/>
    <w:rsid w:val="68FB149A"/>
    <w:rsid w:val="69076303"/>
    <w:rsid w:val="693966D8"/>
    <w:rsid w:val="693E15D3"/>
    <w:rsid w:val="69412772"/>
    <w:rsid w:val="694D4B6B"/>
    <w:rsid w:val="695F613F"/>
    <w:rsid w:val="69627681"/>
    <w:rsid w:val="6977531D"/>
    <w:rsid w:val="69897167"/>
    <w:rsid w:val="69A2602B"/>
    <w:rsid w:val="69B31FE7"/>
    <w:rsid w:val="69B67D29"/>
    <w:rsid w:val="69BD2E65"/>
    <w:rsid w:val="69CC2BFF"/>
    <w:rsid w:val="69F50851"/>
    <w:rsid w:val="69FD55B8"/>
    <w:rsid w:val="6A0B1C62"/>
    <w:rsid w:val="6A2406C8"/>
    <w:rsid w:val="6A2C1D99"/>
    <w:rsid w:val="6A3F1ACC"/>
    <w:rsid w:val="6A400097"/>
    <w:rsid w:val="6A4D243B"/>
    <w:rsid w:val="6A5A6906"/>
    <w:rsid w:val="6A712E39"/>
    <w:rsid w:val="6A9A1ADF"/>
    <w:rsid w:val="6AD20B92"/>
    <w:rsid w:val="6ADE0BD1"/>
    <w:rsid w:val="6AE81378"/>
    <w:rsid w:val="6AE96859"/>
    <w:rsid w:val="6B147746"/>
    <w:rsid w:val="6B24787C"/>
    <w:rsid w:val="6B3158B9"/>
    <w:rsid w:val="6B573233"/>
    <w:rsid w:val="6B5B2936"/>
    <w:rsid w:val="6B5B6274"/>
    <w:rsid w:val="6B621F16"/>
    <w:rsid w:val="6B935D53"/>
    <w:rsid w:val="6BD83F86"/>
    <w:rsid w:val="6BDD159D"/>
    <w:rsid w:val="6C1316F7"/>
    <w:rsid w:val="6C196F71"/>
    <w:rsid w:val="6C226FCB"/>
    <w:rsid w:val="6C2B2308"/>
    <w:rsid w:val="6C2E3BA6"/>
    <w:rsid w:val="6C31226F"/>
    <w:rsid w:val="6C517EC7"/>
    <w:rsid w:val="6C552F0B"/>
    <w:rsid w:val="6C68355C"/>
    <w:rsid w:val="6C8C67B7"/>
    <w:rsid w:val="6C995835"/>
    <w:rsid w:val="6C9A56E0"/>
    <w:rsid w:val="6C9D744C"/>
    <w:rsid w:val="6CF44DF0"/>
    <w:rsid w:val="6D167928"/>
    <w:rsid w:val="6D1F1741"/>
    <w:rsid w:val="6D26299B"/>
    <w:rsid w:val="6D3C0545"/>
    <w:rsid w:val="6D4772EC"/>
    <w:rsid w:val="6D761CA9"/>
    <w:rsid w:val="6D9078AF"/>
    <w:rsid w:val="6DAA3FEF"/>
    <w:rsid w:val="6DC0172B"/>
    <w:rsid w:val="6DCB690C"/>
    <w:rsid w:val="6DD41A5B"/>
    <w:rsid w:val="6DE44E65"/>
    <w:rsid w:val="6DE74955"/>
    <w:rsid w:val="6DEE5CE3"/>
    <w:rsid w:val="6DF43C2E"/>
    <w:rsid w:val="6DF51CA3"/>
    <w:rsid w:val="6E25722B"/>
    <w:rsid w:val="6E8335BD"/>
    <w:rsid w:val="6E8E12EF"/>
    <w:rsid w:val="6E971ED7"/>
    <w:rsid w:val="6E972936"/>
    <w:rsid w:val="6E9C573F"/>
    <w:rsid w:val="6E9D3265"/>
    <w:rsid w:val="6EAD6A9A"/>
    <w:rsid w:val="6ED446C5"/>
    <w:rsid w:val="6ED71DDF"/>
    <w:rsid w:val="6F0536FE"/>
    <w:rsid w:val="6F2A7D94"/>
    <w:rsid w:val="6F2D45E9"/>
    <w:rsid w:val="6F5E1AE9"/>
    <w:rsid w:val="6F7C2E7B"/>
    <w:rsid w:val="6F8331F1"/>
    <w:rsid w:val="6F854425"/>
    <w:rsid w:val="6F8A1A3C"/>
    <w:rsid w:val="6F9B77A5"/>
    <w:rsid w:val="6FA27CAF"/>
    <w:rsid w:val="6FAE1A09"/>
    <w:rsid w:val="6FB97C2B"/>
    <w:rsid w:val="6FCE1E16"/>
    <w:rsid w:val="6FD75A57"/>
    <w:rsid w:val="6FD75BF8"/>
    <w:rsid w:val="6FE729EA"/>
    <w:rsid w:val="6FF375E1"/>
    <w:rsid w:val="7055204A"/>
    <w:rsid w:val="707723D0"/>
    <w:rsid w:val="707F0E75"/>
    <w:rsid w:val="70981F36"/>
    <w:rsid w:val="70D50A94"/>
    <w:rsid w:val="70DA423A"/>
    <w:rsid w:val="70DC62C7"/>
    <w:rsid w:val="70F5661B"/>
    <w:rsid w:val="71360107"/>
    <w:rsid w:val="713B688E"/>
    <w:rsid w:val="7148279F"/>
    <w:rsid w:val="71565E25"/>
    <w:rsid w:val="71773FD0"/>
    <w:rsid w:val="717F6C52"/>
    <w:rsid w:val="71BB412E"/>
    <w:rsid w:val="71D43752"/>
    <w:rsid w:val="71ED1E0E"/>
    <w:rsid w:val="71F1796A"/>
    <w:rsid w:val="71FB63D5"/>
    <w:rsid w:val="720A6E64"/>
    <w:rsid w:val="72154626"/>
    <w:rsid w:val="72262B5D"/>
    <w:rsid w:val="722717C4"/>
    <w:rsid w:val="72283FF7"/>
    <w:rsid w:val="722E7212"/>
    <w:rsid w:val="723A0474"/>
    <w:rsid w:val="72587BCF"/>
    <w:rsid w:val="725923E4"/>
    <w:rsid w:val="72606A84"/>
    <w:rsid w:val="72693B8A"/>
    <w:rsid w:val="72864BF7"/>
    <w:rsid w:val="729023FC"/>
    <w:rsid w:val="72D134DE"/>
    <w:rsid w:val="72DA6836"/>
    <w:rsid w:val="72E41463"/>
    <w:rsid w:val="7318735E"/>
    <w:rsid w:val="734927BA"/>
    <w:rsid w:val="73634A7D"/>
    <w:rsid w:val="73A330CC"/>
    <w:rsid w:val="73C0646E"/>
    <w:rsid w:val="742222F5"/>
    <w:rsid w:val="742A7349"/>
    <w:rsid w:val="74476126"/>
    <w:rsid w:val="745E6FF3"/>
    <w:rsid w:val="74706664"/>
    <w:rsid w:val="747F3682"/>
    <w:rsid w:val="749C4185"/>
    <w:rsid w:val="74A62535"/>
    <w:rsid w:val="75067759"/>
    <w:rsid w:val="751F49D4"/>
    <w:rsid w:val="752E6DCD"/>
    <w:rsid w:val="75381A33"/>
    <w:rsid w:val="75422471"/>
    <w:rsid w:val="7551380D"/>
    <w:rsid w:val="755D394A"/>
    <w:rsid w:val="75600BE5"/>
    <w:rsid w:val="7564475C"/>
    <w:rsid w:val="75696028"/>
    <w:rsid w:val="7583797F"/>
    <w:rsid w:val="759C3F7C"/>
    <w:rsid w:val="75A07EDA"/>
    <w:rsid w:val="75AB270C"/>
    <w:rsid w:val="75D20F1D"/>
    <w:rsid w:val="75D21A46"/>
    <w:rsid w:val="75DA2C18"/>
    <w:rsid w:val="75E023B5"/>
    <w:rsid w:val="75F54412"/>
    <w:rsid w:val="760836BA"/>
    <w:rsid w:val="76164029"/>
    <w:rsid w:val="761D08E0"/>
    <w:rsid w:val="761F12DE"/>
    <w:rsid w:val="762027B2"/>
    <w:rsid w:val="7630676D"/>
    <w:rsid w:val="764D5571"/>
    <w:rsid w:val="765D347C"/>
    <w:rsid w:val="76740D50"/>
    <w:rsid w:val="767D6717"/>
    <w:rsid w:val="768005E0"/>
    <w:rsid w:val="7682521B"/>
    <w:rsid w:val="76826699"/>
    <w:rsid w:val="76BB697E"/>
    <w:rsid w:val="76C770D1"/>
    <w:rsid w:val="76C87133"/>
    <w:rsid w:val="76CD08D5"/>
    <w:rsid w:val="76DB4B92"/>
    <w:rsid w:val="76EB6E7B"/>
    <w:rsid w:val="77052AA4"/>
    <w:rsid w:val="77136511"/>
    <w:rsid w:val="77340A39"/>
    <w:rsid w:val="77351FD0"/>
    <w:rsid w:val="77472422"/>
    <w:rsid w:val="776E39F1"/>
    <w:rsid w:val="777F31F2"/>
    <w:rsid w:val="779E42D6"/>
    <w:rsid w:val="77B91110"/>
    <w:rsid w:val="77D1700D"/>
    <w:rsid w:val="77EC04CC"/>
    <w:rsid w:val="781A76D5"/>
    <w:rsid w:val="7831514A"/>
    <w:rsid w:val="784A1D68"/>
    <w:rsid w:val="785D5F3F"/>
    <w:rsid w:val="78775729"/>
    <w:rsid w:val="7883171E"/>
    <w:rsid w:val="789C4ED1"/>
    <w:rsid w:val="78A42DB0"/>
    <w:rsid w:val="78A656AB"/>
    <w:rsid w:val="78AB23A6"/>
    <w:rsid w:val="78AC5326"/>
    <w:rsid w:val="78B2245C"/>
    <w:rsid w:val="78E172CC"/>
    <w:rsid w:val="78EA1D1F"/>
    <w:rsid w:val="79036DC3"/>
    <w:rsid w:val="7904172F"/>
    <w:rsid w:val="79052133"/>
    <w:rsid w:val="790F7E27"/>
    <w:rsid w:val="792A231A"/>
    <w:rsid w:val="792A37FF"/>
    <w:rsid w:val="792A3948"/>
    <w:rsid w:val="79316829"/>
    <w:rsid w:val="793F5CD5"/>
    <w:rsid w:val="797E66A9"/>
    <w:rsid w:val="798518A4"/>
    <w:rsid w:val="79905EA0"/>
    <w:rsid w:val="79A97383"/>
    <w:rsid w:val="79C124FE"/>
    <w:rsid w:val="79CE69C9"/>
    <w:rsid w:val="79D55FA9"/>
    <w:rsid w:val="79E27E8B"/>
    <w:rsid w:val="79EE2BC7"/>
    <w:rsid w:val="79F850CE"/>
    <w:rsid w:val="79FA6271"/>
    <w:rsid w:val="79FD443C"/>
    <w:rsid w:val="7A081EDB"/>
    <w:rsid w:val="7A0B5527"/>
    <w:rsid w:val="7A1563A6"/>
    <w:rsid w:val="7A1D1975"/>
    <w:rsid w:val="7A3E5150"/>
    <w:rsid w:val="7A405F28"/>
    <w:rsid w:val="7A4670D6"/>
    <w:rsid w:val="7A534B63"/>
    <w:rsid w:val="7A615382"/>
    <w:rsid w:val="7A67303B"/>
    <w:rsid w:val="7AAB1D04"/>
    <w:rsid w:val="7ABA4368"/>
    <w:rsid w:val="7AD05746"/>
    <w:rsid w:val="7B022CC0"/>
    <w:rsid w:val="7B0E1773"/>
    <w:rsid w:val="7B257FFD"/>
    <w:rsid w:val="7B2A40D3"/>
    <w:rsid w:val="7B343476"/>
    <w:rsid w:val="7B5A2978"/>
    <w:rsid w:val="7B5A7E4C"/>
    <w:rsid w:val="7B667AF9"/>
    <w:rsid w:val="7B713AB0"/>
    <w:rsid w:val="7B7468F8"/>
    <w:rsid w:val="7B780B46"/>
    <w:rsid w:val="7B89704B"/>
    <w:rsid w:val="7B971768"/>
    <w:rsid w:val="7BA21BA8"/>
    <w:rsid w:val="7BA259CB"/>
    <w:rsid w:val="7BB22216"/>
    <w:rsid w:val="7BB8348D"/>
    <w:rsid w:val="7BE95D3C"/>
    <w:rsid w:val="7BEE0103"/>
    <w:rsid w:val="7BFA5853"/>
    <w:rsid w:val="7C0A0FE4"/>
    <w:rsid w:val="7C114F17"/>
    <w:rsid w:val="7C127041"/>
    <w:rsid w:val="7C254906"/>
    <w:rsid w:val="7C590818"/>
    <w:rsid w:val="7C5F1B5A"/>
    <w:rsid w:val="7C7C10F6"/>
    <w:rsid w:val="7C853BEA"/>
    <w:rsid w:val="7C881368"/>
    <w:rsid w:val="7C8A307B"/>
    <w:rsid w:val="7C9712F4"/>
    <w:rsid w:val="7CAD5CE6"/>
    <w:rsid w:val="7CB464C2"/>
    <w:rsid w:val="7CD564F7"/>
    <w:rsid w:val="7CD9190C"/>
    <w:rsid w:val="7CE27788"/>
    <w:rsid w:val="7CF64261"/>
    <w:rsid w:val="7CFB1883"/>
    <w:rsid w:val="7D0C32F1"/>
    <w:rsid w:val="7D0F408D"/>
    <w:rsid w:val="7D3B6123"/>
    <w:rsid w:val="7D491C6C"/>
    <w:rsid w:val="7D5429C0"/>
    <w:rsid w:val="7D6E6D43"/>
    <w:rsid w:val="7D8618D1"/>
    <w:rsid w:val="7D8775AD"/>
    <w:rsid w:val="7DB57A34"/>
    <w:rsid w:val="7DCB56F9"/>
    <w:rsid w:val="7DE60973"/>
    <w:rsid w:val="7DEF0916"/>
    <w:rsid w:val="7E002E93"/>
    <w:rsid w:val="7E1E5218"/>
    <w:rsid w:val="7E2D63B4"/>
    <w:rsid w:val="7E2E5C88"/>
    <w:rsid w:val="7E6C679B"/>
    <w:rsid w:val="7E723DC7"/>
    <w:rsid w:val="7E9A4E1F"/>
    <w:rsid w:val="7EA7723A"/>
    <w:rsid w:val="7EA87DD3"/>
    <w:rsid w:val="7EF56FBB"/>
    <w:rsid w:val="7EFB0260"/>
    <w:rsid w:val="7F0768EB"/>
    <w:rsid w:val="7F143BEC"/>
    <w:rsid w:val="7F3177DE"/>
    <w:rsid w:val="7F362021"/>
    <w:rsid w:val="7F5D2632"/>
    <w:rsid w:val="7F6536CF"/>
    <w:rsid w:val="7F65401A"/>
    <w:rsid w:val="7F6A0F42"/>
    <w:rsid w:val="7F6F0306"/>
    <w:rsid w:val="7F714848"/>
    <w:rsid w:val="7F715AF2"/>
    <w:rsid w:val="7F7B47F9"/>
    <w:rsid w:val="7F886E69"/>
    <w:rsid w:val="7FBB179D"/>
    <w:rsid w:val="7FC71EF0"/>
    <w:rsid w:val="7FCA19E0"/>
    <w:rsid w:val="7FDF36DE"/>
    <w:rsid w:val="BB7FA927"/>
    <w:rsid w:val="EFF72F48"/>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5"/>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6"/>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next w:val="51"/>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
    <w:autoRedefine/>
    <w:qFormat/>
    <w:uiPriority w:val="0"/>
    <w:rPr>
      <w:rFonts w:ascii="仿宋_GB2312"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5"/>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1"/>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7"/>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0"/>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318"/>
    <w:next w:val="1"/>
    <w:link w:val="316"/>
    <w:autoRedefine/>
    <w:qFormat/>
    <w:uiPriority w:val="0"/>
    <w:pPr>
      <w:tabs>
        <w:tab w:val="right" w:leader="dot" w:pos="8268"/>
      </w:tabs>
      <w:adjustRightInd/>
    </w:pPr>
    <w:rPr>
      <w:rFonts w:ascii="宋体"/>
      <w:kern w:val="0"/>
      <w:sz w:val="20"/>
      <w:szCs w:val="20"/>
    </w:rPr>
  </w:style>
  <w:style w:type="paragraph" w:customStyle="1" w:styleId="318">
    <w:name w:val="正文1"/>
    <w:basedOn w:val="32"/>
    <w:autoRedefine/>
    <w:qFormat/>
    <w:uiPriority w:val="0"/>
    <w:pPr>
      <w:ind w:left="0" w:leftChars="0" w:firstLine="480" w:firstLineChars="200"/>
    </w:pPr>
    <w:rPr>
      <w:rFonts w:ascii="仿宋_GB2312" w:hAnsi="Courier New" w:eastAsia="仿宋_GB2312"/>
      <w:kern w:val="28"/>
      <w:sz w:val="24"/>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
    <w:next w:val="2"/>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
    <w:next w:val="2"/>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2">
    <w:name w:val="p16"/>
    <w:basedOn w:val="1"/>
    <w:qFormat/>
    <w:uiPriority w:val="0"/>
    <w:pPr>
      <w:widowControl/>
      <w:spacing w:before="100" w:after="100"/>
      <w:jc w:val="left"/>
    </w:pPr>
    <w:rPr>
      <w:rFonts w:ascii="宋体" w:hAnsi="宋体" w:cs="宋体"/>
      <w:color w:val="000000"/>
      <w:kern w:val="0"/>
      <w:sz w:val="24"/>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_Style 113"/>
    <w:basedOn w:val="3"/>
    <w:next w:val="1"/>
    <w:qFormat/>
    <w:uiPriority w:val="0"/>
    <w:pPr>
      <w:ind w:firstLine="200" w:firstLineChars="200"/>
      <w:outlineLvl w:val="9"/>
    </w:pPr>
    <w:rPr>
      <w:rFonts w:ascii="Times New Roman" w:eastAsia="仿宋_GB231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6.wmf"/><Relationship Id="rId31" Type="http://schemas.openxmlformats.org/officeDocument/2006/relationships/oleObject" Target="embeddings/oleObject5.bin"/><Relationship Id="rId30" Type="http://schemas.openxmlformats.org/officeDocument/2006/relationships/image" Target="media/image5.wmf"/><Relationship Id="rId3" Type="http://schemas.openxmlformats.org/officeDocument/2006/relationships/header" Target="header1.xml"/><Relationship Id="rId29" Type="http://schemas.openxmlformats.org/officeDocument/2006/relationships/oleObject" Target="embeddings/oleObject4.bin"/><Relationship Id="rId28" Type="http://schemas.openxmlformats.org/officeDocument/2006/relationships/image" Target="media/image4.wmf"/><Relationship Id="rId27" Type="http://schemas.openxmlformats.org/officeDocument/2006/relationships/oleObject" Target="embeddings/oleObject3.bin"/><Relationship Id="rId26" Type="http://schemas.openxmlformats.org/officeDocument/2006/relationships/image" Target="media/image3.wmf"/><Relationship Id="rId25" Type="http://schemas.openxmlformats.org/officeDocument/2006/relationships/oleObject" Target="embeddings/oleObject2.bin"/><Relationship Id="rId24" Type="http://schemas.openxmlformats.org/officeDocument/2006/relationships/image" Target="media/image2.wmf"/><Relationship Id="rId23" Type="http://schemas.openxmlformats.org/officeDocument/2006/relationships/oleObject" Target="embeddings/oleObject1.bin"/><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177</Pages>
  <Words>12665</Words>
  <Characters>13672</Characters>
  <Lines>369</Lines>
  <Paragraphs>103</Paragraphs>
  <TotalTime>19</TotalTime>
  <ScaleCrop>false</ScaleCrop>
  <LinksUpToDate>false</LinksUpToDate>
  <CharactersWithSpaces>13894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Administrator</cp:lastModifiedBy>
  <cp:lastPrinted>2021-12-27T11:06:00Z</cp:lastPrinted>
  <dcterms:modified xsi:type="dcterms:W3CDTF">2024-11-14T01:46:34Z</dcterms:modified>
  <dc:title>杭州市市民卡扩大发卡工程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1A69EB8ED9FA40CDA1C794B688C48D6C_13</vt:lpwstr>
  </property>
  <property fmtid="{D5CDD505-2E9C-101B-9397-08002B2CF9AE}" pid="5" name="commondata">
    <vt:lpwstr>eyJoZGlkIjoiNGNlMmFkMDQ1NDY0ZmRiM2Q0NjY4NTFjN2IwMTllYjMifQ==</vt:lpwstr>
  </property>
</Properties>
</file>