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val="en-US" w:eastAsia="zh-CN"/>
        </w:rPr>
        <w:t>2025年“西湖之春”艺术展演</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val="en-US" w:eastAsia="zh-CN"/>
        </w:rPr>
        <w:t>竞争性磋商文件</w:t>
      </w:r>
      <w:r>
        <w:rPr>
          <w:rFonts w:hint="eastAsia" w:ascii="宋体" w:hAnsi="宋体" w:cs="宋体"/>
          <w:color w:val="auto"/>
          <w:sz w:val="48"/>
          <w:szCs w:val="48"/>
          <w:highlight w:val="none"/>
        </w:rPr>
        <w:t xml:space="preserve">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ZW-2025SWG0</w:t>
      </w:r>
      <w:r>
        <w:rPr>
          <w:rFonts w:hint="eastAsia" w:ascii="宋体" w:hAnsi="宋体" w:cs="宋体"/>
          <w:color w:val="auto"/>
          <w:sz w:val="30"/>
          <w:szCs w:val="30"/>
          <w:highlight w:val="none"/>
          <w:lang w:val="en-US" w:eastAsia="zh-CN"/>
        </w:rPr>
        <w:t>3</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杭州市文化广电旅游局</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中纬工程管理咨询有限公司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Style w:val="76"/>
          <w:rFonts w:hint="eastAsia" w:ascii="宋体" w:hAnsi="宋体" w:eastAsia="宋体" w:cs="宋体"/>
          <w:i w:val="0"/>
          <w:iCs w:val="0"/>
          <w:snapToGrid/>
          <w:color w:val="auto"/>
          <w:kern w:val="2"/>
          <w:sz w:val="24"/>
          <w:szCs w:val="24"/>
          <w:highlight w:val="none"/>
          <w:u w:val="single"/>
          <w:lang w:val="en-US" w:eastAsia="zh-CN"/>
        </w:rPr>
        <w:t>2025年“西湖之春”艺术展演</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04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27</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val="en-US" w:eastAsia="zh-CN"/>
        </w:rPr>
        <w:t>ZW-2025SWG03</w:t>
      </w:r>
    </w:p>
    <w:p w14:paraId="0312DF7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val="en-US" w:eastAsia="zh-CN"/>
        </w:rPr>
        <w:t>2025年“西湖之春”艺术展演</w:t>
      </w:r>
    </w:p>
    <w:p w14:paraId="048D449B">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bCs/>
          <w:color w:val="auto"/>
          <w:sz w:val="24"/>
          <w:highlight w:val="none"/>
          <w:lang w:val="en-US" w:eastAsia="zh-CN"/>
        </w:rPr>
        <w:t xml:space="preserve"> 采购方式：竞争性磋商</w:t>
      </w:r>
    </w:p>
    <w:p w14:paraId="1C6D4CAA">
      <w:pPr>
        <w:spacing w:line="360" w:lineRule="auto"/>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预算金额（元）：</w:t>
      </w: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1530000</w:t>
      </w:r>
    </w:p>
    <w:p w14:paraId="524783DF">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ascii="宋体" w:hAnsi="宋体" w:cs="宋体"/>
          <w:color w:val="auto"/>
          <w:sz w:val="24"/>
          <w:highlight w:val="none"/>
        </w:rPr>
        <w:t xml:space="preserve"> </w:t>
      </w:r>
      <w:r>
        <w:rPr>
          <w:rFonts w:hint="eastAsia" w:ascii="宋体" w:hAnsi="宋体" w:cs="宋体"/>
          <w:color w:val="auto"/>
          <w:sz w:val="24"/>
          <w:highlight w:val="none"/>
          <w:lang w:val="en-US" w:eastAsia="zh-CN"/>
        </w:rPr>
        <w:t>1499400</w:t>
      </w:r>
    </w:p>
    <w:p w14:paraId="6EC5DB8E">
      <w:pPr>
        <w:pStyle w:val="7"/>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宋体" w:hAnsi="宋体" w:cs="宋体"/>
          <w:color w:val="auto"/>
          <w:sz w:val="24"/>
          <w:highlight w:val="none"/>
          <w:lang w:val="en-US" w:eastAsia="zh-CN"/>
        </w:rPr>
        <w:t>2025年“西湖之春”艺术展演</w:t>
      </w:r>
      <w:r>
        <w:rPr>
          <w:rFonts w:hint="eastAsia" w:hAnsi="宋体" w:cs="宋体"/>
          <w:bCs/>
          <w:snapToGrid/>
          <w:color w:val="auto"/>
          <w:kern w:val="2"/>
          <w:sz w:val="24"/>
          <w:szCs w:val="24"/>
          <w:highlight w:val="none"/>
        </w:rPr>
        <w:t>主要内容：</w:t>
      </w:r>
      <w:r>
        <w:rPr>
          <w:rFonts w:hint="eastAsia" w:hAnsi="宋体" w:cs="宋体"/>
          <w:bCs/>
          <w:snapToGrid/>
          <w:color w:val="auto"/>
          <w:kern w:val="2"/>
          <w:sz w:val="24"/>
          <w:szCs w:val="24"/>
          <w:highlight w:val="none"/>
          <w:lang w:val="en-US" w:eastAsia="zh-CN"/>
        </w:rPr>
        <w:t>为全面推进新时代文化杭州建设，擦亮“人间天堂”文化金名片，2025年杭州市“西湖之春”艺术展演拟于4月下旬启动，将精心打造五大艺术板块：“梨园艺韵”戏曲板块；“乐动人心”音乐板块；“艺舍绽放”演艺新空间板块；“金石华章”书画板块；“街头创艺”街艺板块。活动旨在构建传统与现代交织、高雅与大众共鸣的城市艺术生态圈，让艺术走出殿堂、融入街巷，在西湖的潋滟波光与钱塘的澎湃潮声中，谱写一曲全民共享的文化共富交响乐章</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1"/>
        <w:ind w:firstLine="482"/>
        <w:outlineLvl w:val="2"/>
        <w:rPr>
          <w:rFonts w:hint="eastAsia" w:ascii="宋体" w:hAnsi="宋体" w:eastAsia="宋体" w:cs="宋体"/>
          <w:bCs/>
          <w:snapToGrid/>
          <w:color w:val="auto"/>
          <w:kern w:val="2"/>
          <w:sz w:val="24"/>
          <w:szCs w:val="24"/>
          <w:highlight w:val="none"/>
          <w:lang w:val="en-US" w:eastAsia="zh-CN" w:bidi="ar-SA"/>
        </w:rPr>
      </w:pPr>
      <w:r>
        <w:rPr>
          <w:rFonts w:hint="eastAsia" w:ascii="宋体" w:hAnsi="宋体" w:cs="宋体"/>
          <w:b/>
          <w:color w:val="auto"/>
          <w:highlight w:val="none"/>
        </w:rPr>
        <w:t>合同履约期限：</w:t>
      </w:r>
      <w:r>
        <w:rPr>
          <w:rFonts w:hint="eastAsia" w:ascii="宋体" w:hAnsi="宋体" w:eastAsia="宋体" w:cs="宋体"/>
          <w:bCs/>
          <w:snapToGrid/>
          <w:color w:val="auto"/>
          <w:kern w:val="2"/>
          <w:sz w:val="24"/>
          <w:szCs w:val="24"/>
          <w:highlight w:val="none"/>
          <w:lang w:val="en-US" w:eastAsia="zh-CN" w:bidi="ar-SA"/>
        </w:rPr>
        <w:t xml:space="preserve">自合同签订之日起至2025年10月31日 </w:t>
      </w:r>
    </w:p>
    <w:p w14:paraId="07281B02">
      <w:pPr>
        <w:pStyle w:val="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杭州市文化广电旅游局</w:t>
      </w:r>
      <w:r>
        <w:rPr>
          <w:rFonts w:hint="eastAsia" w:ascii="宋体" w:hAnsi="宋体" w:cs="宋体"/>
          <w:color w:val="auto"/>
          <w:sz w:val="24"/>
          <w:highlight w:val="none"/>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color w:val="auto"/>
          <w:sz w:val="24"/>
          <w:szCs w:val="24"/>
          <w:highlight w:val="none"/>
          <w:lang w:eastAsia="zh-CN"/>
        </w:rPr>
        <w:t>杭州市解放东路18号市民中心A座</w:t>
      </w:r>
      <w:r>
        <w:rPr>
          <w:rFonts w:hint="eastAsia" w:ascii="宋体" w:hAnsi="宋体" w:cs="宋体"/>
          <w:color w:val="auto"/>
          <w:sz w:val="24"/>
          <w:highlight w:val="none"/>
        </w:rPr>
        <w:t xml:space="preserve">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911895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陈女士</w:t>
      </w:r>
      <w:r>
        <w:rPr>
          <w:rFonts w:hint="eastAsia" w:ascii="宋体" w:hAnsi="宋体" w:cs="宋体"/>
          <w:color w:val="auto"/>
          <w:sz w:val="24"/>
          <w:highlight w:val="none"/>
        </w:rPr>
        <w:t xml:space="preserve">  </w:t>
      </w:r>
    </w:p>
    <w:p w14:paraId="31CC70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kern w:val="0"/>
          <w:sz w:val="24"/>
          <w:highlight w:val="none"/>
        </w:rPr>
        <w:t>0571</w:t>
      </w:r>
      <w:r>
        <w:rPr>
          <w:rFonts w:ascii="宋体" w:hAnsi="宋体" w:cs="宋体"/>
          <w:kern w:val="0"/>
          <w:sz w:val="24"/>
          <w:highlight w:val="none"/>
        </w:rPr>
        <w:t>-</w:t>
      </w:r>
      <w:r>
        <w:rPr>
          <w:rFonts w:hint="eastAsia" w:ascii="宋体" w:hAnsi="宋体" w:cs="宋体"/>
          <w:color w:val="auto"/>
          <w:sz w:val="24"/>
          <w:highlight w:val="none"/>
          <w:lang w:val="en-US" w:eastAsia="zh-CN"/>
        </w:rPr>
        <w:t>85257578</w:t>
      </w:r>
    </w:p>
    <w:p w14:paraId="160DB7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朱先生</w:t>
      </w:r>
      <w:r>
        <w:rPr>
          <w:rFonts w:hint="eastAsia" w:ascii="宋体" w:hAnsi="宋体" w:cs="宋体"/>
          <w:color w:val="auto"/>
          <w:sz w:val="24"/>
          <w:highlight w:val="none"/>
        </w:rPr>
        <w:t xml:space="preserve"> </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0571-85257881</w:t>
      </w:r>
      <w:r>
        <w:rPr>
          <w:rFonts w:hint="eastAsia" w:ascii="宋体" w:hAnsi="宋体" w:cs="宋体"/>
          <w:color w:val="auto"/>
          <w:sz w:val="24"/>
          <w:highlight w:val="none"/>
        </w:rPr>
        <w:t xml:space="preserve">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中纬工程管理咨询有限公司</w:t>
      </w:r>
    </w:p>
    <w:p w14:paraId="16C39B4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eastAsia="宋体" w:cs="宋体"/>
          <w:color w:val="auto"/>
          <w:sz w:val="24"/>
          <w:szCs w:val="24"/>
          <w:highlight w:val="none"/>
          <w:lang w:val="en-US" w:eastAsia="zh-CN"/>
        </w:rPr>
        <w:t>杭州市上城区龙舌路大名空间商务大厦21楼中纬工程管理咨询有限公司</w:t>
      </w:r>
    </w:p>
    <w:p w14:paraId="4E949C1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100F33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eastAsia="宋体" w:cs="宋体"/>
          <w:color w:val="auto"/>
          <w:sz w:val="24"/>
          <w:szCs w:val="24"/>
          <w:highlight w:val="none"/>
          <w:lang w:val="en-US" w:eastAsia="zh-CN"/>
        </w:rPr>
        <w:t>王丽、杨伍</w:t>
      </w:r>
    </w:p>
    <w:p w14:paraId="5C2D721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eastAsia="宋体" w:cs="宋体"/>
          <w:color w:val="auto"/>
          <w:sz w:val="24"/>
          <w:szCs w:val="24"/>
          <w:highlight w:val="none"/>
          <w:lang w:val="en-US" w:eastAsia="zh-CN"/>
        </w:rPr>
        <w:t>18069834990、</w:t>
      </w:r>
      <w:r>
        <w:rPr>
          <w:rFonts w:hint="default" w:ascii="宋体" w:hAnsi="宋体" w:eastAsia="宋体" w:cs="宋体"/>
          <w:color w:val="auto"/>
          <w:sz w:val="24"/>
          <w:szCs w:val="24"/>
          <w:highlight w:val="none"/>
          <w:lang w:val="en-US" w:eastAsia="zh-CN"/>
        </w:rPr>
        <w:t>15168412664</w:t>
      </w:r>
    </w:p>
    <w:p w14:paraId="44BADC8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钱工</w:t>
      </w:r>
      <w:r>
        <w:rPr>
          <w:rFonts w:hint="eastAsia" w:ascii="宋体" w:hAnsi="宋体" w:cs="宋体"/>
          <w:color w:val="auto"/>
          <w:sz w:val="24"/>
          <w:highlight w:val="none"/>
        </w:rPr>
        <w:t xml:space="preserve"> </w:t>
      </w:r>
    </w:p>
    <w:p w14:paraId="23E21F3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sz w:val="24"/>
          <w:highlight w:val="none"/>
        </w:rPr>
        <w:t>18368019561</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7FD90F8">
      <w:pPr>
        <w:adjustRightInd/>
        <w:spacing w:line="360" w:lineRule="auto"/>
        <w:jc w:val="center"/>
        <w:outlineLvl w:val="0"/>
        <w:rPr>
          <w:rFonts w:cs="仿宋_GB2312" w:asciiTheme="minorEastAsia" w:hAnsiTheme="minorEastAsia" w:eastAsiaTheme="minorEastAsia"/>
          <w:b/>
          <w:color w:val="auto"/>
          <w:sz w:val="32"/>
          <w:szCs w:val="20"/>
        </w:rPr>
      </w:pPr>
      <w:bookmarkStart w:id="415" w:name="_GoBack"/>
      <w:bookmarkEnd w:id="415"/>
      <w:r>
        <w:rPr>
          <w:rFonts w:hint="eastAsia" w:cs="仿宋_GB2312" w:asciiTheme="minorEastAsia" w:hAnsiTheme="minorEastAsia" w:eastAsiaTheme="minorEastAsia"/>
          <w:b/>
          <w:color w:val="auto"/>
          <w:sz w:val="36"/>
          <w:szCs w:val="20"/>
        </w:rPr>
        <w:t>竞争性磋商流程</w:t>
      </w:r>
    </w:p>
    <w:p w14:paraId="5872895C">
      <w:pPr>
        <w:pStyle w:val="131"/>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E2880BA">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1FAE82AF">
      <w:pPr>
        <w:pStyle w:val="131"/>
        <w:numPr>
          <w:ilvl w:val="0"/>
          <w:numId w:val="1"/>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56AAC821">
      <w:pPr>
        <w:pStyle w:val="131"/>
        <w:numPr>
          <w:ilvl w:val="0"/>
          <w:numId w:val="1"/>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03D0F8A3">
      <w:pPr>
        <w:pStyle w:val="131"/>
        <w:numPr>
          <w:ilvl w:val="0"/>
          <w:numId w:val="1"/>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3BA376B">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4311273D">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01655397">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7A47AB27">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26C27FA">
      <w:pPr>
        <w:pStyle w:val="131"/>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1102DA18">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5DD196DA">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76"/>
          <w:rFonts w:hint="eastAsia" w:asciiTheme="minorEastAsia" w:hAnsiTheme="minorEastAsia" w:eastAsiaTheme="minorEastAsia"/>
          <w:snapToGrid/>
          <w:color w:val="auto"/>
          <w:sz w:val="24"/>
          <w:szCs w:val="24"/>
        </w:rPr>
        <w:t>www.creditchina.gov.cn</w:t>
      </w:r>
      <w:r>
        <w:rPr>
          <w:rStyle w:val="76"/>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070E5AD5">
      <w:pPr>
        <w:pStyle w:val="131"/>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D92365A">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631FF8E6">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105CC86D">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11F25A4">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727DF99D">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2C980BFB">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184A6B0E">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6A26133">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2B50E92">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4F1DFD23">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43C568E">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7B436229">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15B0F667">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6C7EB3D">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2F46CFB">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7A5CD81A">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21428A">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714ADA15">
      <w:pPr>
        <w:pStyle w:val="131"/>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68D250A9">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6FBB3E04">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E5EE342">
      <w:pPr>
        <w:pStyle w:val="131"/>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6505A765">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0CCC1C30">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338247CF">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2743151C">
      <w:pPr>
        <w:pStyle w:val="131"/>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560165D">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p w14:paraId="3456981D">
      <w:pPr>
        <w:pStyle w:val="131"/>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3A766C97">
      <w:pPr>
        <w:pStyle w:val="131"/>
        <w:spacing w:before="0"/>
        <w:ind w:firstLine="0" w:firstLineChars="0"/>
        <w:rPr>
          <w:rFonts w:asciiTheme="minorEastAsia" w:hAnsiTheme="minorEastAsia" w:eastAsiaTheme="minorEastAsia"/>
          <w:b/>
          <w:color w:val="auto"/>
        </w:rPr>
      </w:pPr>
    </w:p>
    <w:p w14:paraId="2B585812">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7E31A50A">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4445" t="4445" r="6350" b="825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48895" t="0" r="57785" b="12065"/>
                <wp:wrapNone/>
                <wp:docPr id="1" name="直接箭头连接符 1"/>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WnMm/aAAAACwEAAA8AAAAA&#10;AAAAAQAgAAAAIgAAAGRycy9kb3ducmV2LnhtbFBLAQIUABQAAAAIAIdO4kDsfExjEgIAAP8DAAAO&#10;AAAAAAAAAAEAIAAAACk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4445" t="4445" r="6350" b="825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4445" t="4445" r="5080" b="762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4445" t="4445" r="13970" b="825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4445" t="4445" r="5080" b="762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4445" t="4445" r="19685" b="762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4445" t="4445" r="5080" b="825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4445" t="4445" r="19050" b="762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4445" t="4445" r="19685" b="762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48895" t="0" r="57785" b="1270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48895" t="0" r="57785" b="1270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4445" t="4445" r="19050" b="762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4445" t="4445" r="19685" b="762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4445" t="4445" r="19685" b="7620"/>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48895" t="0" r="57785" b="1206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48895" t="0" r="57785" b="1206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48895" t="0" r="57785" b="1206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48895" t="0" r="57785" b="1206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48895" t="0" r="57785" b="1206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48895" t="0" r="57785" b="1206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48895" t="0" r="57785" b="1206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48895" t="0" r="57785" b="1206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val="en-US" w:eastAsia="zh-CN"/>
              </w:rPr>
              <w:t>2025年“西湖之春”艺术展演</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zh-TW" w:eastAsia="zh-CN"/>
              </w:rPr>
              <w:t>其他未列明</w:t>
            </w:r>
            <w:r>
              <w:rPr>
                <w:rFonts w:hint="eastAsia" w:ascii="宋体" w:hAnsi="宋体" w:cs="宋体"/>
                <w:color w:val="auto"/>
                <w:kern w:val="0"/>
                <w:sz w:val="24"/>
                <w:highlight w:val="none"/>
              </w:rPr>
              <w:t>行业；</w:t>
            </w:r>
          </w:p>
          <w:p w14:paraId="2701930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根据《关于印发中小企业划型标准规定的通知》（工信部联企业〔2011〕300号）第四条规定：XX行业。从业人员</w:t>
            </w:r>
            <w:r>
              <w:rPr>
                <w:rFonts w:hint="eastAsia" w:ascii="宋体" w:hAnsi="宋体" w:cs="宋体"/>
                <w:b w:val="0"/>
                <w:bCs w:val="0"/>
                <w:color w:val="auto"/>
                <w:kern w:val="0"/>
                <w:sz w:val="24"/>
                <w:szCs w:val="24"/>
                <w:highlight w:val="none"/>
                <w:lang w:val="en-US" w:eastAsia="zh-CN" w:bidi="ar-SA"/>
              </w:rPr>
              <w:t>300</w:t>
            </w:r>
            <w:r>
              <w:rPr>
                <w:rFonts w:hint="eastAsia" w:ascii="宋体" w:hAnsi="宋体" w:eastAsia="宋体" w:cs="宋体"/>
                <w:b w:val="0"/>
                <w:bCs w:val="0"/>
                <w:color w:val="auto"/>
                <w:kern w:val="0"/>
                <w:sz w:val="24"/>
                <w:szCs w:val="24"/>
                <w:highlight w:val="none"/>
                <w:lang w:val="en-US" w:eastAsia="zh-CN" w:bidi="ar-SA"/>
              </w:rPr>
              <w:t>人以下的为中小微型企业。其中，从业人员</w:t>
            </w:r>
            <w:r>
              <w:rPr>
                <w:rFonts w:hint="eastAsia" w:ascii="宋体" w:hAnsi="宋体" w:cs="宋体"/>
                <w:b w:val="0"/>
                <w:bCs w:val="0"/>
                <w:color w:val="auto"/>
                <w:kern w:val="0"/>
                <w:sz w:val="24"/>
                <w:szCs w:val="24"/>
                <w:highlight w:val="none"/>
                <w:lang w:val="en-US" w:eastAsia="zh-CN" w:bidi="ar-SA"/>
              </w:rPr>
              <w:t>100</w:t>
            </w:r>
            <w:r>
              <w:rPr>
                <w:rFonts w:hint="eastAsia" w:ascii="宋体" w:hAnsi="宋体" w:eastAsia="宋体" w:cs="宋体"/>
                <w:b w:val="0"/>
                <w:bCs w:val="0"/>
                <w:color w:val="auto"/>
                <w:kern w:val="0"/>
                <w:sz w:val="24"/>
                <w:szCs w:val="24"/>
                <w:highlight w:val="none"/>
                <w:lang w:val="en-US" w:eastAsia="zh-CN" w:bidi="ar-SA"/>
              </w:rPr>
              <w:t>人及以上的为中型企业；从业人员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人及以上的为小型企业；从业人员</w:t>
            </w:r>
            <w:r>
              <w:rPr>
                <w:rFonts w:hint="eastAsia" w:ascii="宋体" w:hAnsi="宋体" w:cs="宋体"/>
                <w:b w:val="0"/>
                <w:bCs w:val="0"/>
                <w:color w:val="auto"/>
                <w:kern w:val="0"/>
                <w:sz w:val="24"/>
                <w:szCs w:val="24"/>
                <w:highlight w:val="none"/>
                <w:lang w:val="en-US" w:eastAsia="zh-CN" w:bidi="ar-SA"/>
              </w:rPr>
              <w:t>10</w:t>
            </w:r>
            <w:r>
              <w:rPr>
                <w:rFonts w:hint="eastAsia" w:ascii="宋体" w:hAnsi="宋体" w:eastAsia="宋体" w:cs="宋体"/>
                <w:b w:val="0"/>
                <w:bCs w:val="0"/>
                <w:color w:val="auto"/>
                <w:kern w:val="0"/>
                <w:sz w:val="24"/>
                <w:szCs w:val="24"/>
                <w:highlight w:val="none"/>
                <w:lang w:val="en-US" w:eastAsia="zh-CN" w:bidi="ar-SA"/>
              </w:rPr>
              <w:t>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C9D246B">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p>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83"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lang w:val="en-US" w:eastAsia="zh-CN"/>
              </w:rPr>
              <w:t>杭州市上城区龙舌路大名空间商务大厦21楼中纬工程管理咨询有限公司代理部</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lang w:val="en-US" w:eastAsia="zh-CN"/>
              </w:rPr>
              <w:t>王丽，18069834990</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3</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0D1371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cs="宋体"/>
                <w:sz w:val="24"/>
                <w:szCs w:val="24"/>
                <w:highlight w:val="none"/>
                <w:lang w:val="zh-TW" w:eastAsia="zh-CN"/>
              </w:rPr>
            </w:pPr>
            <w:r>
              <w:rPr>
                <w:rFonts w:hint="eastAsia" w:ascii="宋体" w:hAnsi="宋体" w:eastAsia="宋体" w:cs="宋体"/>
                <w:sz w:val="24"/>
                <w:szCs w:val="24"/>
                <w:highlight w:val="none"/>
                <w:lang w:val="zh-TW" w:eastAsia="zh-TW"/>
              </w:rPr>
              <w:t>本项目的代理费由成交供应商支付。计费标准</w:t>
            </w:r>
            <w:r>
              <w:rPr>
                <w:rFonts w:hint="eastAsia" w:ascii="宋体" w:hAnsi="宋体" w:cs="宋体"/>
                <w:sz w:val="24"/>
                <w:szCs w:val="24"/>
                <w:highlight w:val="none"/>
                <w:lang w:val="zh-TW" w:eastAsia="zh-CN"/>
              </w:rPr>
              <w:t>：</w:t>
            </w:r>
          </w:p>
          <w:p w14:paraId="181FB676">
            <w:pPr>
              <w:pStyle w:val="5"/>
              <w:numPr>
                <w:ilvl w:val="0"/>
                <w:numId w:val="0"/>
              </w:numPr>
              <w:tabs>
                <w:tab w:val="left" w:pos="1110"/>
                <w:tab w:val="clear" w:pos="432"/>
              </w:tabs>
              <w:ind w:leftChars="0"/>
              <w:rPr>
                <w:rFonts w:hint="eastAsia" w:ascii="宋体" w:hAnsi="宋体" w:eastAsia="宋体" w:cs="宋体"/>
                <w:b w:val="0"/>
                <w:bCs w:val="0"/>
                <w:kern w:val="2"/>
                <w:sz w:val="24"/>
                <w:szCs w:val="24"/>
                <w:highlight w:val="none"/>
                <w:lang w:val="zh-TW" w:eastAsia="zh-CN" w:bidi="ar-SA"/>
              </w:rPr>
            </w:pPr>
            <w:r>
              <w:rPr>
                <w:rFonts w:hint="eastAsia" w:ascii="宋体" w:hAnsi="宋体" w:eastAsia="宋体" w:cs="宋体"/>
                <w:b w:val="0"/>
                <w:bCs w:val="0"/>
                <w:kern w:val="2"/>
                <w:sz w:val="24"/>
                <w:szCs w:val="24"/>
                <w:highlight w:val="none"/>
                <w:lang w:val="zh-TW" w:eastAsia="zh-CN" w:bidi="ar-SA"/>
              </w:rPr>
              <w:t>（</w:t>
            </w:r>
            <w:r>
              <w:rPr>
                <w:rFonts w:hint="eastAsia" w:ascii="宋体" w:hAnsi="宋体" w:eastAsia="宋体" w:cs="宋体"/>
                <w:b w:val="0"/>
                <w:bCs w:val="0"/>
                <w:kern w:val="2"/>
                <w:sz w:val="24"/>
                <w:szCs w:val="24"/>
                <w:highlight w:val="none"/>
                <w:lang w:val="en-US" w:eastAsia="zh-CN" w:bidi="ar-SA"/>
              </w:rPr>
              <w:t>1</w:t>
            </w:r>
            <w:r>
              <w:rPr>
                <w:rFonts w:hint="eastAsia" w:ascii="宋体" w:hAnsi="宋体" w:eastAsia="宋体" w:cs="宋体"/>
                <w:b w:val="0"/>
                <w:bCs w:val="0"/>
                <w:kern w:val="2"/>
                <w:sz w:val="24"/>
                <w:szCs w:val="24"/>
                <w:highlight w:val="none"/>
                <w:lang w:val="zh-TW" w:eastAsia="zh-CN" w:bidi="ar-SA"/>
              </w:rPr>
              <w:t>）</w:t>
            </w:r>
            <w:r>
              <w:rPr>
                <w:rFonts w:hint="eastAsia" w:ascii="宋体" w:hAnsi="宋体" w:eastAsia="宋体" w:cs="宋体"/>
                <w:b w:val="0"/>
                <w:bCs w:val="0"/>
                <w:kern w:val="2"/>
                <w:sz w:val="24"/>
                <w:szCs w:val="24"/>
                <w:highlight w:val="none"/>
                <w:lang w:val="zh-TW" w:eastAsia="zh-TW" w:bidi="ar-SA"/>
              </w:rPr>
              <w:t>预算金额</w:t>
            </w:r>
            <w:r>
              <w:rPr>
                <w:rFonts w:hint="eastAsia" w:ascii="宋体" w:hAnsi="宋体" w:eastAsia="宋体" w:cs="宋体"/>
                <w:b w:val="0"/>
                <w:bCs w:val="0"/>
                <w:kern w:val="2"/>
                <w:sz w:val="24"/>
                <w:szCs w:val="24"/>
                <w:highlight w:val="none"/>
                <w:lang w:val="en-US" w:eastAsia="zh-CN" w:bidi="ar-SA"/>
              </w:rPr>
              <w:t>5</w:t>
            </w:r>
            <w:r>
              <w:rPr>
                <w:rFonts w:hint="eastAsia" w:ascii="宋体" w:hAnsi="宋体" w:eastAsia="宋体" w:cs="宋体"/>
                <w:b w:val="0"/>
                <w:bCs w:val="0"/>
                <w:kern w:val="2"/>
                <w:sz w:val="24"/>
                <w:szCs w:val="24"/>
                <w:highlight w:val="none"/>
                <w:lang w:val="zh-TW" w:eastAsia="zh-TW" w:bidi="ar-SA"/>
              </w:rPr>
              <w:t>00万</w:t>
            </w:r>
            <w:r>
              <w:rPr>
                <w:rFonts w:hint="eastAsia" w:ascii="宋体" w:hAnsi="宋体" w:eastAsia="宋体" w:cs="宋体"/>
                <w:b w:val="0"/>
                <w:bCs w:val="0"/>
                <w:kern w:val="2"/>
                <w:sz w:val="24"/>
                <w:szCs w:val="24"/>
                <w:highlight w:val="none"/>
                <w:lang w:val="zh-TW" w:eastAsia="zh-CN" w:bidi="ar-SA"/>
              </w:rPr>
              <w:t>元</w:t>
            </w:r>
            <w:r>
              <w:rPr>
                <w:rFonts w:hint="eastAsia" w:ascii="宋体" w:hAnsi="宋体" w:eastAsia="宋体" w:cs="宋体"/>
                <w:b w:val="0"/>
                <w:bCs w:val="0"/>
                <w:kern w:val="2"/>
                <w:sz w:val="24"/>
                <w:szCs w:val="24"/>
                <w:highlight w:val="none"/>
                <w:lang w:val="zh-TW" w:eastAsia="zh-TW" w:bidi="ar-SA"/>
              </w:rPr>
              <w:t>以下项目，招标代理费</w:t>
            </w:r>
            <w:r>
              <w:rPr>
                <w:rFonts w:hint="eastAsia" w:ascii="宋体" w:hAnsi="宋体" w:eastAsia="宋体" w:cs="宋体"/>
                <w:b w:val="0"/>
                <w:bCs w:val="0"/>
                <w:kern w:val="2"/>
                <w:sz w:val="24"/>
                <w:szCs w:val="24"/>
                <w:highlight w:val="none"/>
                <w:lang w:val="en-US" w:eastAsia="zh-CN" w:bidi="ar-SA"/>
              </w:rPr>
              <w:t>以中标金额为计费基数，</w:t>
            </w:r>
            <w:r>
              <w:rPr>
                <w:rFonts w:hint="eastAsia" w:ascii="宋体" w:hAnsi="宋体" w:eastAsia="宋体" w:cs="宋体"/>
                <w:b w:val="0"/>
                <w:bCs w:val="0"/>
                <w:kern w:val="2"/>
                <w:sz w:val="24"/>
                <w:szCs w:val="24"/>
                <w:highlight w:val="none"/>
                <w:lang w:val="zh-TW" w:eastAsia="zh-CN" w:bidi="ar-SA"/>
              </w:rPr>
              <w:t>参照</w:t>
            </w:r>
            <w:r>
              <w:rPr>
                <w:rFonts w:hint="eastAsia" w:ascii="宋体" w:hAnsi="宋体" w:eastAsia="宋体" w:cs="宋体"/>
                <w:b w:val="0"/>
                <w:bCs w:val="0"/>
                <w:kern w:val="2"/>
                <w:sz w:val="24"/>
                <w:szCs w:val="24"/>
                <w:highlight w:val="none"/>
                <w:lang w:val="zh-TW" w:eastAsia="zh-TW" w:bidi="ar-SA"/>
              </w:rPr>
              <w:t>国家《招标代理服务收费管理暂行办法》（即计价【2002】1980号</w:t>
            </w:r>
            <w:r>
              <w:rPr>
                <w:rFonts w:hint="eastAsia" w:ascii="宋体" w:hAnsi="宋体" w:eastAsia="宋体" w:cs="宋体"/>
                <w:b w:val="0"/>
                <w:bCs w:val="0"/>
                <w:kern w:val="2"/>
                <w:sz w:val="24"/>
                <w:szCs w:val="24"/>
                <w:highlight w:val="none"/>
                <w:lang w:val="zh-TW" w:eastAsia="zh-CN" w:bidi="ar-SA"/>
              </w:rPr>
              <w:t>）</w:t>
            </w:r>
            <w:r>
              <w:rPr>
                <w:rFonts w:hint="eastAsia" w:ascii="宋体" w:hAnsi="宋体" w:eastAsia="宋体" w:cs="宋体"/>
                <w:b w:val="0"/>
                <w:bCs w:val="0"/>
                <w:kern w:val="2"/>
                <w:sz w:val="24"/>
                <w:szCs w:val="24"/>
                <w:highlight w:val="none"/>
                <w:lang w:val="zh-TW" w:eastAsia="zh-TW" w:bidi="ar-SA"/>
              </w:rPr>
              <w:t>收费标准</w:t>
            </w:r>
            <w:r>
              <w:rPr>
                <w:rFonts w:hint="eastAsia" w:ascii="宋体" w:hAnsi="宋体" w:eastAsia="宋体" w:cs="宋体"/>
                <w:b w:val="0"/>
                <w:bCs w:val="0"/>
                <w:kern w:val="2"/>
                <w:sz w:val="24"/>
                <w:szCs w:val="24"/>
                <w:highlight w:val="none"/>
                <w:lang w:val="en-US" w:eastAsia="zh-CN" w:bidi="ar-SA"/>
              </w:rPr>
              <w:t>计算总费用的80%收取且保底1500元。</w:t>
            </w:r>
          </w:p>
          <w:p w14:paraId="08B7A52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highlight w:val="none"/>
                <w:lang w:val="zh-TW" w:eastAsia="zh-TW"/>
              </w:rPr>
            </w:pPr>
            <w:r>
              <w:rPr>
                <w:rFonts w:hint="eastAsia" w:ascii="宋体" w:hAnsi="宋体" w:cs="宋体"/>
                <w:sz w:val="24"/>
                <w:szCs w:val="24"/>
                <w:highlight w:val="none"/>
                <w:lang w:val="zh-TW" w:eastAsia="zh-CN"/>
              </w:rPr>
              <w:t>（</w:t>
            </w:r>
            <w:r>
              <w:rPr>
                <w:rFonts w:hint="eastAsia" w:ascii="宋体" w:hAnsi="宋体" w:cs="宋体"/>
                <w:sz w:val="24"/>
                <w:szCs w:val="24"/>
                <w:highlight w:val="none"/>
                <w:lang w:val="en-US" w:eastAsia="zh-CN"/>
              </w:rPr>
              <w:t>2</w:t>
            </w:r>
            <w:r>
              <w:rPr>
                <w:rFonts w:hint="eastAsia" w:ascii="宋体" w:hAnsi="宋体" w:cs="宋体"/>
                <w:sz w:val="24"/>
                <w:szCs w:val="24"/>
                <w:highlight w:val="none"/>
                <w:lang w:val="zh-TW" w:eastAsia="zh-CN"/>
              </w:rPr>
              <w:t>）</w:t>
            </w:r>
            <w:r>
              <w:rPr>
                <w:rFonts w:hint="eastAsia" w:ascii="宋体" w:hAnsi="宋体" w:eastAsia="宋体" w:cs="宋体"/>
                <w:sz w:val="24"/>
                <w:szCs w:val="24"/>
                <w:highlight w:val="none"/>
                <w:lang w:val="zh-TW" w:eastAsia="zh-TW"/>
              </w:rPr>
              <w:t>结算方式及时间为：在领取中标通知书时由中标人一次性向采购代理机构付清。</w:t>
            </w:r>
          </w:p>
          <w:p w14:paraId="745E0E7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highlight w:val="none"/>
                <w:lang w:val="zh-TW" w:eastAsia="zh-TW"/>
              </w:rPr>
            </w:pPr>
            <w:r>
              <w:rPr>
                <w:rFonts w:hint="eastAsia" w:ascii="宋体" w:hAnsi="宋体" w:eastAsia="宋体" w:cs="宋体"/>
                <w:sz w:val="24"/>
                <w:szCs w:val="24"/>
                <w:highlight w:val="none"/>
                <w:lang w:val="zh-TW" w:eastAsia="zh-TW"/>
              </w:rPr>
              <w:t>交付方式：现金或转账或电汇或汇票；</w:t>
            </w:r>
          </w:p>
          <w:p w14:paraId="01BAAB4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highlight w:val="none"/>
                <w:lang w:val="zh-TW" w:eastAsia="zh-TW"/>
              </w:rPr>
            </w:pPr>
            <w:r>
              <w:rPr>
                <w:rFonts w:hint="eastAsia" w:ascii="宋体" w:hAnsi="宋体" w:eastAsia="宋体" w:cs="宋体"/>
                <w:sz w:val="24"/>
                <w:szCs w:val="24"/>
                <w:highlight w:val="none"/>
                <w:lang w:val="zh-TW" w:eastAsia="zh-TW"/>
              </w:rPr>
              <w:t>收款单位（户名）：中纬工程管理咨询有限公司；</w:t>
            </w:r>
          </w:p>
          <w:p w14:paraId="7B6F658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highlight w:val="none"/>
                <w:lang w:val="zh-TW" w:eastAsia="zh-TW"/>
              </w:rPr>
            </w:pPr>
            <w:r>
              <w:rPr>
                <w:rFonts w:hint="eastAsia" w:ascii="宋体" w:hAnsi="宋体" w:eastAsia="宋体" w:cs="宋体"/>
                <w:sz w:val="24"/>
                <w:szCs w:val="24"/>
                <w:highlight w:val="none"/>
                <w:lang w:val="zh-TW" w:eastAsia="zh-TW"/>
              </w:rPr>
              <w:t>开户银行：工行杭州南星桥支行；</w:t>
            </w:r>
          </w:p>
          <w:p w14:paraId="0FC49E1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highlight w:val="none"/>
                <w:lang w:val="zh-TW" w:eastAsia="zh-TW"/>
              </w:rPr>
            </w:pPr>
            <w:r>
              <w:rPr>
                <w:rFonts w:hint="eastAsia" w:ascii="宋体" w:hAnsi="宋体" w:eastAsia="宋体" w:cs="宋体"/>
                <w:sz w:val="24"/>
                <w:szCs w:val="24"/>
                <w:highlight w:val="none"/>
                <w:lang w:val="zh-TW" w:eastAsia="zh-TW"/>
              </w:rPr>
              <w:t>银行账号：1202003619900001968；</w:t>
            </w:r>
          </w:p>
          <w:p w14:paraId="212EF633">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sz w:val="24"/>
                <w:szCs w:val="24"/>
                <w:highlight w:val="none"/>
                <w:lang w:val="zh-TW" w:eastAsia="zh-TW"/>
              </w:rPr>
              <w:t>注：汇款均需备注XXX项目的招标代理服务费</w:t>
            </w:r>
          </w:p>
        </w:tc>
      </w:tr>
    </w:tbl>
    <w:p w14:paraId="1969C939">
      <w:pPr>
        <w:snapToGrid w:val="0"/>
        <w:spacing w:line="360" w:lineRule="auto"/>
        <w:jc w:val="center"/>
        <w:rPr>
          <w:rFonts w:ascii="宋体" w:hAnsi="宋体" w:cs="宋体"/>
          <w:b/>
          <w:color w:val="auto"/>
          <w:sz w:val="32"/>
          <w:szCs w:val="20"/>
          <w:highlight w:val="none"/>
        </w:rPr>
      </w:pPr>
    </w:p>
    <w:bookmarkEnd w:id="10"/>
    <w:p w14:paraId="1AF906F6">
      <w:pPr>
        <w:rPr>
          <w:rFonts w:hint="eastAsia"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br w:type="page"/>
      </w:r>
    </w:p>
    <w:p w14:paraId="75264CA2">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5"/>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5"/>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5"/>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5"/>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567" w:footer="567" w:gutter="0"/>
          <w:cols w:space="720" w:num="1"/>
          <w:titlePg/>
          <w:docGrid w:linePitch="312" w:charSpace="0"/>
        </w:sectPr>
      </w:pPr>
      <w:bookmarkStart w:id="15" w:name="_Hlt75236101"/>
      <w:bookmarkEnd w:id="15"/>
      <w:bookmarkStart w:id="16" w:name="_Hlt74730295"/>
      <w:bookmarkEnd w:id="16"/>
      <w:bookmarkStart w:id="17" w:name="_Hlt74729768"/>
      <w:bookmarkEnd w:id="17"/>
      <w:bookmarkStart w:id="18" w:name="_Hlt68072990"/>
      <w:bookmarkEnd w:id="18"/>
      <w:bookmarkStart w:id="19" w:name="_Hlt68403820"/>
      <w:bookmarkEnd w:id="19"/>
      <w:bookmarkStart w:id="20" w:name="_Hlt75236011"/>
      <w:bookmarkEnd w:id="20"/>
      <w:bookmarkStart w:id="21" w:name="_Hlt68057669"/>
      <w:bookmarkEnd w:id="21"/>
      <w:bookmarkStart w:id="22" w:name="_Hlt75236290"/>
      <w:bookmarkEnd w:id="22"/>
      <w:bookmarkStart w:id="23" w:name="_Hlt68073093"/>
      <w:bookmarkEnd w:id="23"/>
      <w:bookmarkStart w:id="24" w:name="_Hlt74714665"/>
      <w:bookmarkEnd w:id="24"/>
      <w:bookmarkStart w:id="25" w:name="_Hlt68072998"/>
      <w:bookmarkEnd w:id="25"/>
      <w:bookmarkStart w:id="26" w:name="_Hlt74707468"/>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729F4D1C">
      <w:pPr>
        <w:keepNext w:val="0"/>
        <w:keepLines w:val="0"/>
        <w:pageBreakBefore w:val="0"/>
        <w:widowControl w:val="0"/>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一</w:t>
      </w:r>
      <w:r>
        <w:rPr>
          <w:rFonts w:hint="eastAsia" w:ascii="宋体" w:hAnsi="宋体" w:eastAsia="宋体" w:cs="宋体"/>
          <w:b/>
          <w:bCs/>
          <w:sz w:val="24"/>
          <w:szCs w:val="24"/>
          <w:lang w:eastAsia="zh-CN"/>
        </w:rPr>
        <w:t>、项目概况</w:t>
      </w:r>
    </w:p>
    <w:p w14:paraId="0DF323A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（一）项目名称：2025年“西湖之春”艺术展演</w:t>
      </w:r>
    </w:p>
    <w:p w14:paraId="3E9BDB3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项目概述：为全面推进新时代文化杭州建设，擦亮“人间天堂”文化金名片，2025年杭州市“西湖之春”艺术展演拟于4月下旬启动，将精心打造五大艺术板块：“梨园艺韵”戏曲板块；“乐动人心”音乐板块；“艺舍绽放”演艺新空间板块；“金石华章”书画板块；“街头创艺”街艺板块。活动旨在构建传统与现代交织、高雅与大众共鸣的城市艺术生态圈，让艺术走出殿堂、融入街巷，在西湖的潋滟波光与钱塘的澎湃潮声中，谱写一曲全民共享的文化共富交响乐章。</w:t>
      </w:r>
    </w:p>
    <w:p w14:paraId="62B504F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（三）预算金额：153万</w:t>
      </w:r>
    </w:p>
    <w:p w14:paraId="0775473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（四）最高限价：149.94万元     </w:t>
      </w:r>
    </w:p>
    <w:p w14:paraId="6DF10C2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bCs/>
          <w:sz w:val="24"/>
          <w:szCs w:val="24"/>
          <w:u w:val="none"/>
          <w:lang w:val="en-US" w:eastAsia="zh-CN"/>
        </w:rPr>
      </w:pPr>
      <w:r>
        <w:rPr>
          <w:rFonts w:hint="eastAsia" w:ascii="宋体" w:hAnsi="宋体" w:eastAsia="宋体" w:cs="宋体"/>
          <w:b/>
          <w:bCs/>
          <w:sz w:val="24"/>
          <w:szCs w:val="24"/>
          <w:u w:val="none"/>
          <w:lang w:val="en-US" w:eastAsia="zh-CN"/>
        </w:rPr>
        <w:t xml:space="preserve"> 二、采购需求</w:t>
      </w:r>
    </w:p>
    <w:p w14:paraId="5C75813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（一）项目技术要求</w:t>
      </w:r>
    </w:p>
    <w:p w14:paraId="1F5E4EF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1.做好艺术展演期间举办各项活动的组织、协调和保障工作，具体包括：</w:t>
      </w:r>
    </w:p>
    <w:p w14:paraId="7FE234D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组织2025年“西湖之春”杭州市青年戏曲演员大赛：面向杭州及各区、县（市）所属专业戏曲院团、广大业余戏曲社团与爱好者，年龄在16岁至40岁，涵盖越剧、杭剧、绍剧、婺剧等剧种。比赛采用线上视频评选选拔以及蜂巢剧院现场复赛、决赛；以折子戏的形式，内容健康、积极向上，具有较高的艺术水准和观赏性，鼓励原创戏曲作品参赛；单个节目不超过20分钟。邀请知名戏曲艺术家组成专家评审团，综合专家评审团打分，评选出金、银、铜奖等奖项若干。</w:t>
      </w:r>
    </w:p>
    <w:p w14:paraId="371E2A8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（2）艺术展演期间组织安排不少于5场本地文艺团体传统戏曲展演，其中：杭剧1场，绍剧1场，婺剧1场，越剧2场。做好场地租赁、观众组织、演出信息发布、物料制作，以及宣传推广等工作；</w:t>
      </w:r>
    </w:p>
    <w:p w14:paraId="5814290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举办四场书画活动：①致敬黄宾虹——杭州、歙县两地艺术实践活动（5月）；②历史印记名窟薪传—书画作品展（7月）；③“西湖杯”2025杭州市主题书法美术展暨杭黄合作交流展（9月）；④“西湖杯”2025中国硬笔书法大赛（展）（10月）</w:t>
      </w:r>
    </w:p>
    <w:p w14:paraId="42C1481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lang w:val="en-US" w:eastAsia="zh-CN"/>
        </w:rPr>
        <w:t>2</w:t>
      </w:r>
      <w:r>
        <w:rPr>
          <w:rFonts w:hint="eastAsia" w:ascii="宋体" w:hAnsi="宋体" w:eastAsia="宋体" w:cs="宋体"/>
          <w:sz w:val="24"/>
          <w:szCs w:val="24"/>
        </w:rPr>
        <w:t>.协调演出单位、演出场所，做好灯箱LED屏游</w:t>
      </w:r>
      <w:r>
        <w:rPr>
          <w:rFonts w:hint="eastAsia" w:ascii="宋体" w:hAnsi="宋体" w:eastAsia="宋体" w:cs="宋体"/>
          <w:sz w:val="24"/>
          <w:szCs w:val="24"/>
          <w:highlight w:val="none"/>
        </w:rPr>
        <w:t>动字幕显示、路引指示、宣传折页等氛围营造和演出信息发布等相关工作。</w:t>
      </w:r>
      <w:r>
        <w:rPr>
          <w:rFonts w:hint="eastAsia" w:ascii="宋体" w:hAnsi="宋体" w:eastAsia="宋体" w:cs="宋体"/>
          <w:sz w:val="24"/>
          <w:szCs w:val="24"/>
          <w:highlight w:val="none"/>
          <w:lang w:eastAsia="zh-CN"/>
        </w:rPr>
        <w:t>其中，</w:t>
      </w:r>
      <w:r>
        <w:rPr>
          <w:rFonts w:hint="eastAsia" w:ascii="宋体" w:hAnsi="宋体" w:eastAsia="宋体" w:cs="宋体"/>
          <w:sz w:val="24"/>
          <w:szCs w:val="24"/>
          <w:highlight w:val="none"/>
        </w:rPr>
        <w:t>路引指示在显著位置摆放，每场演出不少于3块；宣传折页制作应不少于2000份。</w:t>
      </w:r>
    </w:p>
    <w:p w14:paraId="189206C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.做好参演剧目、参赛选手获奖证书制作等相关工作。</w:t>
      </w:r>
    </w:p>
    <w:p w14:paraId="08B81D5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拟订</w:t>
      </w:r>
      <w:r>
        <w:rPr>
          <w:rFonts w:hint="eastAsia" w:ascii="宋体" w:hAnsi="宋体" w:eastAsia="宋体" w:cs="宋体"/>
          <w:sz w:val="24"/>
          <w:szCs w:val="24"/>
          <w:highlight w:val="none"/>
        </w:rPr>
        <w:t>本次西湖之春艺术展演</w:t>
      </w:r>
      <w:r>
        <w:rPr>
          <w:rFonts w:hint="eastAsia" w:ascii="宋体" w:hAnsi="宋体" w:eastAsia="宋体" w:cs="宋体"/>
          <w:sz w:val="24"/>
          <w:szCs w:val="24"/>
          <w:highlight w:val="none"/>
          <w:lang w:eastAsia="zh-CN"/>
        </w:rPr>
        <w:t>的</w:t>
      </w:r>
      <w:r>
        <w:rPr>
          <w:rFonts w:hint="eastAsia" w:ascii="宋体" w:hAnsi="宋体" w:eastAsia="宋体" w:cs="宋体"/>
          <w:sz w:val="24"/>
          <w:szCs w:val="24"/>
          <w:highlight w:val="none"/>
        </w:rPr>
        <w:t>宣传工作方案，做好媒体报道的组织、协调、接待等具体工作。</w:t>
      </w:r>
    </w:p>
    <w:p w14:paraId="4016589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.负责做好本次活动所有参演剧目、演出场次的摄影等相关工作。其中传统戏曲展演和青年戏曲演员大赛（决赛）需要视频直播。各类活动提供不少于</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张</w:t>
      </w:r>
      <w:r>
        <w:rPr>
          <w:rFonts w:hint="eastAsia" w:ascii="宋体" w:hAnsi="宋体" w:eastAsia="宋体" w:cs="宋体"/>
          <w:sz w:val="24"/>
          <w:szCs w:val="24"/>
          <w:highlight w:val="none"/>
          <w:lang w:eastAsia="zh-CN"/>
        </w:rPr>
        <w:t>高清</w:t>
      </w:r>
      <w:r>
        <w:rPr>
          <w:rFonts w:hint="eastAsia" w:ascii="宋体" w:hAnsi="宋体" w:eastAsia="宋体" w:cs="宋体"/>
          <w:sz w:val="24"/>
          <w:szCs w:val="24"/>
          <w:highlight w:val="none"/>
        </w:rPr>
        <w:t>照片，视频不少于</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个，并在不少于5家新媒体平台上发布。</w:t>
      </w:r>
    </w:p>
    <w:p w14:paraId="276BB79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.配合做好各场次演出的观演组织等相关工作。</w:t>
      </w:r>
    </w:p>
    <w:p w14:paraId="149D40D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.做好相关活动的安全、应急以及活动涉及方案</w:t>
      </w:r>
      <w:r>
        <w:rPr>
          <w:rFonts w:hint="eastAsia" w:ascii="宋体" w:hAnsi="宋体" w:eastAsia="宋体" w:cs="宋体"/>
          <w:sz w:val="24"/>
          <w:szCs w:val="24"/>
          <w:highlight w:val="none"/>
          <w:lang w:eastAsia="zh-CN"/>
        </w:rPr>
        <w:t>的</w:t>
      </w:r>
      <w:r>
        <w:rPr>
          <w:rFonts w:hint="eastAsia" w:ascii="宋体" w:hAnsi="宋体" w:eastAsia="宋体" w:cs="宋体"/>
          <w:sz w:val="24"/>
          <w:szCs w:val="24"/>
          <w:highlight w:val="none"/>
        </w:rPr>
        <w:t>审核报批等工作。</w:t>
      </w:r>
    </w:p>
    <w:p w14:paraId="377B812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.须建立突发公共安全事件应急机制，配备足够的专业人员对可能出现的危急情况做好预案，会同演出</w:t>
      </w:r>
      <w:r>
        <w:rPr>
          <w:rFonts w:hint="eastAsia" w:ascii="宋体" w:hAnsi="宋体" w:eastAsia="宋体" w:cs="宋体"/>
          <w:sz w:val="24"/>
          <w:szCs w:val="24"/>
          <w:highlight w:val="none"/>
          <w:lang w:eastAsia="zh-CN"/>
        </w:rPr>
        <w:t>及活动</w:t>
      </w:r>
      <w:r>
        <w:rPr>
          <w:rFonts w:hint="eastAsia" w:ascii="宋体" w:hAnsi="宋体" w:eastAsia="宋体" w:cs="宋体"/>
          <w:sz w:val="24"/>
          <w:szCs w:val="24"/>
          <w:highlight w:val="none"/>
        </w:rPr>
        <w:t>场所做好现场的秩序维护、会场管理、安全保卫、消防安全等工作，以高标准要求完成活动全程的安保任务。</w:t>
      </w:r>
    </w:p>
    <w:p w14:paraId="5FC1F5DB">
      <w:pPr>
        <w:keepNext w:val="0"/>
        <w:keepLines w:val="0"/>
        <w:pageBreakBefore w:val="0"/>
        <w:widowControl w:val="0"/>
        <w:kinsoku/>
        <w:wordWrap/>
        <w:overflowPunct/>
        <w:topLinePunct w:val="0"/>
        <w:autoSpaceDE/>
        <w:autoSpaceDN/>
        <w:bidi w:val="0"/>
        <w:adjustRightInd w:val="0"/>
        <w:snapToGrid/>
        <w:spacing w:line="360" w:lineRule="auto"/>
        <w:ind w:firstLine="120" w:firstLineChars="5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（二）项目商务要求</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执行团队需对舞台演出有成熟的操作经验，熟悉艺术文艺团体情况，具有较强的组织协调能力。具体包括：</w:t>
      </w:r>
      <w:r>
        <w:rPr>
          <w:rFonts w:hint="eastAsia" w:ascii="宋体" w:hAnsi="宋体" w:eastAsia="宋体" w:cs="宋体"/>
          <w:sz w:val="24"/>
          <w:szCs w:val="24"/>
          <w:highlight w:val="none"/>
          <w:lang w:eastAsia="zh-CN"/>
        </w:rPr>
        <w:t>具</w:t>
      </w:r>
      <w:r>
        <w:rPr>
          <w:rFonts w:hint="eastAsia" w:ascii="宋体" w:hAnsi="宋体" w:eastAsia="宋体" w:cs="宋体"/>
          <w:sz w:val="24"/>
          <w:szCs w:val="24"/>
          <w:highlight w:val="none"/>
        </w:rPr>
        <w:t>有承担并完成市级及以上政府部门主办的演艺、创作展演经验，承办团队骨干成员中拥有多名中级（含）以上艺术系列职称；熟悉文艺院团和艺术创作进入舞台二次创作的艺术协调。</w:t>
      </w:r>
    </w:p>
    <w:p w14:paraId="59DB6A36">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三、</w:t>
      </w:r>
      <w:r>
        <w:rPr>
          <w:rFonts w:hint="eastAsia" w:ascii="宋体" w:hAnsi="宋体" w:eastAsia="宋体" w:cs="宋体"/>
          <w:b/>
          <w:bCs/>
          <w:sz w:val="24"/>
          <w:szCs w:val="24"/>
          <w:highlight w:val="none"/>
          <w:lang w:val="en-US" w:eastAsia="zh-CN"/>
        </w:rPr>
        <w:t>合同文本的主要条款</w:t>
      </w:r>
    </w:p>
    <w:p w14:paraId="046B92C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1.合同服务内容：</w:t>
      </w:r>
      <w:r>
        <w:rPr>
          <w:rFonts w:hint="eastAsia" w:ascii="宋体" w:hAnsi="宋体" w:eastAsia="宋体" w:cs="宋体"/>
          <w:iCs/>
          <w:sz w:val="24"/>
          <w:szCs w:val="24"/>
        </w:rPr>
        <w:t>如上第</w:t>
      </w:r>
      <w:r>
        <w:rPr>
          <w:rFonts w:hint="eastAsia" w:ascii="宋体" w:hAnsi="宋体" w:eastAsia="宋体" w:cs="宋体"/>
          <w:iCs/>
          <w:sz w:val="24"/>
          <w:szCs w:val="24"/>
          <w:lang w:eastAsia="zh-CN"/>
        </w:rPr>
        <w:t>二</w:t>
      </w:r>
      <w:r>
        <w:rPr>
          <w:rFonts w:hint="eastAsia" w:ascii="宋体" w:hAnsi="宋体" w:eastAsia="宋体" w:cs="宋体"/>
          <w:iCs/>
          <w:sz w:val="24"/>
          <w:szCs w:val="24"/>
        </w:rPr>
        <w:t>项采购需求所有内容</w:t>
      </w:r>
      <w:r>
        <w:rPr>
          <w:rFonts w:hint="eastAsia" w:ascii="宋体" w:hAnsi="宋体" w:eastAsia="宋体" w:cs="宋体"/>
          <w:iCs/>
          <w:sz w:val="24"/>
          <w:szCs w:val="24"/>
          <w:lang w:eastAsia="zh-CN"/>
        </w:rPr>
        <w:t>。</w:t>
      </w:r>
      <w:r>
        <w:rPr>
          <w:rFonts w:hint="eastAsia" w:ascii="宋体" w:hAnsi="宋体" w:eastAsia="宋体" w:cs="宋体"/>
          <w:sz w:val="24"/>
          <w:szCs w:val="24"/>
          <w:lang w:val="en-US" w:eastAsia="zh-CN"/>
        </w:rPr>
        <w:t xml:space="preserve">                             </w:t>
      </w:r>
    </w:p>
    <w:p w14:paraId="6334EEA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2.履行时间（期限）：自合同签订之日起至2025年10月31日。</w:t>
      </w:r>
    </w:p>
    <w:p w14:paraId="108DF6C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3.履行地点：杭州</w:t>
      </w:r>
    </w:p>
    <w:p w14:paraId="7CD3623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rPr>
        <w:t>4.付款进度安排：</w:t>
      </w:r>
      <w:r>
        <w:rPr>
          <w:rFonts w:hint="eastAsia" w:ascii="宋体" w:hAnsi="宋体" w:eastAsia="宋体" w:cs="宋体"/>
          <w:sz w:val="24"/>
          <w:szCs w:val="24"/>
          <w:highlight w:val="none"/>
          <w:lang w:val="en-US" w:eastAsia="zh-CN"/>
        </w:rPr>
        <w:t>本项目分2期支付，支付比例分别为70%、30% 。</w:t>
      </w:r>
    </w:p>
    <w:p w14:paraId="7D27E3D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5.履约保证金：无</w:t>
      </w:r>
    </w:p>
    <w:p w14:paraId="440382C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6.资金支付方式：转账</w:t>
      </w:r>
    </w:p>
    <w:p w14:paraId="4125D54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7.违约责任与解决争议的方法：仲裁（或诉讼）。             </w:t>
      </w:r>
    </w:p>
    <w:p w14:paraId="16561CE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8.质量保修范围和保修期：无。                   </w:t>
      </w:r>
    </w:p>
    <w:p w14:paraId="497B4F4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9.知识产权归属、处理方式：项目中如有涉及与第三方知识产权争议的，如项目执行方承担和处理。</w:t>
      </w:r>
    </w:p>
    <w:p w14:paraId="56A9B78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10.成本补偿、风险分担约定：双方友好协商解决，如有不可抗力可推迟顺延。</w:t>
      </w:r>
    </w:p>
    <w:p w14:paraId="68FB0BA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cs="宋体"/>
          <w:b/>
          <w:iCs/>
          <w:sz w:val="24"/>
          <w:szCs w:val="24"/>
          <w:lang w:val="en-US" w:eastAsia="zh-CN"/>
        </w:rPr>
        <w:t>四</w:t>
      </w:r>
      <w:r>
        <w:rPr>
          <w:rFonts w:hint="eastAsia" w:ascii="宋体" w:hAnsi="宋体" w:eastAsia="宋体" w:cs="宋体"/>
          <w:b/>
          <w:iCs/>
          <w:sz w:val="24"/>
          <w:szCs w:val="24"/>
        </w:rPr>
        <w:t>、</w:t>
      </w:r>
      <w:r>
        <w:rPr>
          <w:rFonts w:hint="eastAsia" w:ascii="宋体" w:hAnsi="宋体" w:eastAsia="宋体" w:cs="宋体"/>
          <w:b/>
          <w:bCs/>
          <w:sz w:val="24"/>
          <w:szCs w:val="24"/>
        </w:rPr>
        <w:t>履约验收内容</w:t>
      </w:r>
    </w:p>
    <w:p w14:paraId="292AA07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技术履约内容：</w:t>
      </w:r>
    </w:p>
    <w:p w14:paraId="405060D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1.做好艺术展演期间举办各项活动的组织、协调和保障工作，具体包括：</w:t>
      </w:r>
    </w:p>
    <w:p w14:paraId="6FB86A3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组织2025年“西湖之春”杭州市青年戏曲演员大赛：面向杭州及各区、县（市）所属专业戏曲院团、广大业余戏曲社团与爱好者，年龄在16岁至40岁，涵盖越剧、杭剧、绍剧、婺剧等剧种。比赛采用线上视频评选选拔以及蜂巢剧院现场复赛、决赛；以折子戏的形式，内容健康、积极向上，具有较高的艺术水准和观赏性，鼓励原创戏曲作品参赛；单个节目不超过20分钟。邀请知名戏曲艺术家组成专家评审团，综合专家评审团打分，评选出金、银、铜奖等奖项若干。</w:t>
      </w:r>
    </w:p>
    <w:p w14:paraId="26EFCFD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（2）艺术展演期间组织安排不少于5场本地文艺团体传统戏曲展演，其中：杭剧1场，绍剧1场，婺剧1场，越剧2场。做好场地租赁、观众组织、演出信息发布、物料制作，以及宣传推广等工作；</w:t>
      </w:r>
    </w:p>
    <w:p w14:paraId="042CD2F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举办四场书画活动：①致敬黄宾虹——杭州、歙县两地艺术实践活动（5月）；②历史印记名窟薪传—书画作品展（7月）；③“西湖杯”2025杭州市主题书法美术展暨杭黄合作交流展（9月）；④“西湖杯”2025中国硬笔书法大赛（展）（10月）</w:t>
      </w:r>
    </w:p>
    <w:p w14:paraId="609B5E2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.协调演出单位、演出场所，做好灯箱LED屏游动字幕显示、路引指示、宣传折页等氛围营造和演出信息发布等相关工作。</w:t>
      </w:r>
      <w:r>
        <w:rPr>
          <w:rFonts w:hint="eastAsia" w:ascii="宋体" w:hAnsi="宋体" w:eastAsia="宋体" w:cs="宋体"/>
          <w:sz w:val="24"/>
          <w:szCs w:val="24"/>
          <w:lang w:eastAsia="zh-CN"/>
        </w:rPr>
        <w:t>其中，</w:t>
      </w:r>
      <w:r>
        <w:rPr>
          <w:rFonts w:hint="eastAsia" w:ascii="宋体" w:hAnsi="宋体" w:eastAsia="宋体" w:cs="宋体"/>
          <w:sz w:val="24"/>
          <w:szCs w:val="24"/>
        </w:rPr>
        <w:t>路引指示在显著位置摆放，每场演出不少于3块；宣传折页制作应不少于2000份。</w:t>
      </w:r>
    </w:p>
    <w:p w14:paraId="00C2009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.做好参演剧目、参赛选手获奖证书制作等相关工作。</w:t>
      </w:r>
    </w:p>
    <w:p w14:paraId="6261067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eastAsia="zh-CN"/>
        </w:rPr>
        <w:t>拟订</w:t>
      </w:r>
      <w:r>
        <w:rPr>
          <w:rFonts w:hint="eastAsia" w:ascii="宋体" w:hAnsi="宋体" w:eastAsia="宋体" w:cs="宋体"/>
          <w:sz w:val="24"/>
          <w:szCs w:val="24"/>
        </w:rPr>
        <w:t>本次西湖之春艺术展演</w:t>
      </w:r>
      <w:r>
        <w:rPr>
          <w:rFonts w:hint="eastAsia" w:ascii="宋体" w:hAnsi="宋体" w:eastAsia="宋体" w:cs="宋体"/>
          <w:sz w:val="24"/>
          <w:szCs w:val="24"/>
          <w:lang w:eastAsia="zh-CN"/>
        </w:rPr>
        <w:t>的</w:t>
      </w:r>
      <w:r>
        <w:rPr>
          <w:rFonts w:hint="eastAsia" w:ascii="宋体" w:hAnsi="宋体" w:eastAsia="宋体" w:cs="宋体"/>
          <w:sz w:val="24"/>
          <w:szCs w:val="24"/>
        </w:rPr>
        <w:t>宣传工作方案，做好媒体报道的组织、协调、接待等具体工作。</w:t>
      </w:r>
    </w:p>
    <w:p w14:paraId="73F12E5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.负责做好本次活动所有参演剧目、演出场次的摄影等相关工作。其中传统戏曲展演和青年戏曲演员大赛（决赛）需要视频直播。各类活动提供不少于</w:t>
      </w:r>
      <w:r>
        <w:rPr>
          <w:rFonts w:hint="eastAsia" w:ascii="宋体" w:hAnsi="宋体" w:eastAsia="宋体" w:cs="宋体"/>
          <w:sz w:val="24"/>
          <w:szCs w:val="24"/>
          <w:lang w:val="en-US" w:eastAsia="zh-CN"/>
        </w:rPr>
        <w:t>3</w:t>
      </w:r>
      <w:r>
        <w:rPr>
          <w:rFonts w:hint="eastAsia" w:ascii="宋体" w:hAnsi="宋体" w:eastAsia="宋体" w:cs="宋体"/>
          <w:sz w:val="24"/>
          <w:szCs w:val="24"/>
        </w:rPr>
        <w:t>张</w:t>
      </w:r>
      <w:r>
        <w:rPr>
          <w:rFonts w:hint="eastAsia" w:ascii="宋体" w:hAnsi="宋体" w:eastAsia="宋体" w:cs="宋体"/>
          <w:sz w:val="24"/>
          <w:szCs w:val="24"/>
          <w:lang w:eastAsia="zh-CN"/>
        </w:rPr>
        <w:t>高清</w:t>
      </w:r>
      <w:r>
        <w:rPr>
          <w:rFonts w:hint="eastAsia" w:ascii="宋体" w:hAnsi="宋体" w:eastAsia="宋体" w:cs="宋体"/>
          <w:sz w:val="24"/>
          <w:szCs w:val="24"/>
        </w:rPr>
        <w:t>照片，视频不少于</w:t>
      </w:r>
      <w:r>
        <w:rPr>
          <w:rFonts w:hint="eastAsia" w:ascii="宋体" w:hAnsi="宋体" w:eastAsia="宋体" w:cs="宋体"/>
          <w:sz w:val="24"/>
          <w:szCs w:val="24"/>
          <w:lang w:val="en-US" w:eastAsia="zh-CN"/>
        </w:rPr>
        <w:t>3</w:t>
      </w:r>
      <w:r>
        <w:rPr>
          <w:rFonts w:hint="eastAsia" w:ascii="宋体" w:hAnsi="宋体" w:eastAsia="宋体" w:cs="宋体"/>
          <w:sz w:val="24"/>
          <w:szCs w:val="24"/>
        </w:rPr>
        <w:t>个，并在不少于5家新媒体平台上发布。</w:t>
      </w:r>
    </w:p>
    <w:p w14:paraId="4225040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.配合做好各场次演出的观演组织等相关工作。</w:t>
      </w:r>
    </w:p>
    <w:p w14:paraId="24BB7A2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.做好相关活动的安全、应急以及活动涉及方案</w:t>
      </w:r>
      <w:r>
        <w:rPr>
          <w:rFonts w:hint="eastAsia" w:ascii="宋体" w:hAnsi="宋体" w:eastAsia="宋体" w:cs="宋体"/>
          <w:sz w:val="24"/>
          <w:szCs w:val="24"/>
          <w:lang w:eastAsia="zh-CN"/>
        </w:rPr>
        <w:t>的</w:t>
      </w:r>
      <w:r>
        <w:rPr>
          <w:rFonts w:hint="eastAsia" w:ascii="宋体" w:hAnsi="宋体" w:eastAsia="宋体" w:cs="宋体"/>
          <w:sz w:val="24"/>
          <w:szCs w:val="24"/>
        </w:rPr>
        <w:t>审核报批等工作。</w:t>
      </w:r>
    </w:p>
    <w:p w14:paraId="3F72D28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9.须建立突发公共安全事件应急机制，配备足够的专业人员对可能出现的危急情况做好预案，会同演出</w:t>
      </w:r>
      <w:r>
        <w:rPr>
          <w:rFonts w:hint="eastAsia" w:ascii="宋体" w:hAnsi="宋体" w:eastAsia="宋体" w:cs="宋体"/>
          <w:sz w:val="24"/>
          <w:szCs w:val="24"/>
          <w:lang w:eastAsia="zh-CN"/>
        </w:rPr>
        <w:t>及活动</w:t>
      </w:r>
      <w:r>
        <w:rPr>
          <w:rFonts w:hint="eastAsia" w:ascii="宋体" w:hAnsi="宋体" w:eastAsia="宋体" w:cs="宋体"/>
          <w:sz w:val="24"/>
          <w:szCs w:val="24"/>
        </w:rPr>
        <w:t>场所做好现场的秩序维护、会场管理、安全保卫、消防安全等工作，以高标准要求完成活动全程的安保任务。</w:t>
      </w:r>
    </w:p>
    <w:p w14:paraId="45D52915">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商务履约内容</w:t>
      </w:r>
    </w:p>
    <w:p w14:paraId="66B642A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sz w:val="24"/>
          <w:szCs w:val="24"/>
          <w:u w:val="single"/>
        </w:rPr>
      </w:pPr>
      <w:r>
        <w:rPr>
          <w:rFonts w:hint="eastAsia" w:ascii="宋体" w:hAnsi="宋体" w:eastAsia="宋体" w:cs="宋体"/>
          <w:sz w:val="24"/>
          <w:szCs w:val="24"/>
        </w:rPr>
        <w:t>执行团队需对舞台演出有成熟的操作经验，熟悉艺术文艺团体情况，具有较强的组织协调能力。具体包括：</w:t>
      </w:r>
      <w:r>
        <w:rPr>
          <w:rFonts w:hint="eastAsia" w:ascii="宋体" w:hAnsi="宋体" w:eastAsia="宋体" w:cs="宋体"/>
          <w:sz w:val="24"/>
          <w:szCs w:val="24"/>
          <w:lang w:eastAsia="zh-CN"/>
        </w:rPr>
        <w:t>具</w:t>
      </w:r>
      <w:r>
        <w:rPr>
          <w:rFonts w:hint="eastAsia" w:ascii="宋体" w:hAnsi="宋体" w:eastAsia="宋体" w:cs="宋体"/>
          <w:sz w:val="24"/>
          <w:szCs w:val="24"/>
        </w:rPr>
        <w:t>有承担并完成市级及以上政府部门主办的演艺、创作展演经验，承办团队骨干成员中拥有多名中级（含）以上艺术系列职称；熟悉文艺院团和艺术创作进入舞台二次创作的艺术协调。</w:t>
      </w:r>
    </w:p>
    <w:p w14:paraId="27A348E6">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rPr>
        <w:t>（六）履约验收标准</w:t>
      </w:r>
      <w:r>
        <w:rPr>
          <w:rFonts w:hint="eastAsia" w:ascii="宋体" w:hAnsi="宋体" w:eastAsia="宋体" w:cs="宋体"/>
          <w:b/>
          <w:bCs/>
          <w:sz w:val="24"/>
          <w:szCs w:val="24"/>
          <w:lang w:eastAsia="zh-CN"/>
        </w:rPr>
        <w:t>：</w:t>
      </w:r>
      <w:r>
        <w:rPr>
          <w:rFonts w:hint="eastAsia" w:ascii="宋体" w:hAnsi="宋体" w:eastAsia="宋体" w:cs="宋体"/>
          <w:sz w:val="24"/>
          <w:szCs w:val="24"/>
        </w:rPr>
        <w:t xml:space="preserve">符合国家标准、行业标准和采购需求，完成合同约定的相关工作任务要求。                                                                </w:t>
      </w:r>
    </w:p>
    <w:p w14:paraId="47D0D02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sz w:val="24"/>
          <w:szCs w:val="24"/>
        </w:rPr>
      </w:pPr>
      <w:r>
        <w:rPr>
          <w:rFonts w:hint="eastAsia" w:ascii="宋体" w:hAnsi="宋体" w:eastAsia="宋体" w:cs="宋体"/>
          <w:b/>
          <w:bCs/>
          <w:sz w:val="24"/>
          <w:szCs w:val="24"/>
        </w:rPr>
        <w:t>（七）履约验收其他事项：</w:t>
      </w:r>
      <w:r>
        <w:rPr>
          <w:rFonts w:hint="eastAsia" w:ascii="宋体" w:hAnsi="宋体" w:eastAsia="宋体" w:cs="宋体"/>
          <w:sz w:val="24"/>
          <w:szCs w:val="24"/>
        </w:rPr>
        <w:t>由市文广旅游局组成验收小组，供应商围绕合同条款约定事项阐述合同履约情况，并提供相应佐证材料。验收小组根据答辩、佐证材料以及实地督导情况做出履约情况评价。</w:t>
      </w:r>
    </w:p>
    <w:p w14:paraId="5421FDA5">
      <w:pPr>
        <w:spacing w:line="360" w:lineRule="auto"/>
        <w:ind w:firstLine="160" w:firstLineChars="50"/>
        <w:rPr>
          <w:rFonts w:hint="eastAsia" w:ascii="仿宋_GB2312" w:hAnsi="仿宋_GB2312" w:eastAsia="仿宋_GB2312" w:cs="仿宋_GB2312"/>
          <w:sz w:val="32"/>
          <w:szCs w:val="32"/>
          <w:highlight w:val="yellow"/>
        </w:rPr>
      </w:pPr>
    </w:p>
    <w:p w14:paraId="16A70E79">
      <w:pPr>
        <w:spacing w:line="360" w:lineRule="auto"/>
        <w:rPr>
          <w:rFonts w:ascii="宋体" w:hAnsi="宋体" w:cs="宋体"/>
          <w:color w:val="auto"/>
          <w:sz w:val="24"/>
          <w:highlight w:val="none"/>
        </w:rPr>
      </w:pPr>
    </w:p>
    <w:p w14:paraId="78FEAA71">
      <w:pPr>
        <w:widowControl/>
        <w:ind w:firstLine="720" w:firstLineChars="300"/>
        <w:jc w:val="left"/>
        <w:rPr>
          <w:rFonts w:ascii="宋体" w:hAnsi="宋体" w:cs="宋体"/>
          <w:bCs/>
          <w:color w:val="auto"/>
          <w:sz w:val="24"/>
          <w:highlight w:val="none"/>
        </w:rPr>
      </w:pPr>
    </w:p>
    <w:p w14:paraId="6D636660">
      <w:pPr>
        <w:rPr>
          <w:rFonts w:ascii="宋体" w:hAnsi="宋体" w:cs="宋体"/>
          <w:snapToGrid w:val="0"/>
          <w:color w:val="auto"/>
          <w:kern w:val="0"/>
          <w:sz w:val="24"/>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08049"/>
      <w:bookmarkEnd w:id="28"/>
      <w:bookmarkStart w:id="29" w:name="_Toc184310279"/>
      <w:bookmarkEnd w:id="29"/>
      <w:bookmarkStart w:id="30" w:name="_Toc184308108"/>
      <w:bookmarkEnd w:id="30"/>
      <w:bookmarkStart w:id="31" w:name="_Toc184312087"/>
      <w:bookmarkEnd w:id="31"/>
      <w:bookmarkStart w:id="32" w:name="_Toc184314428"/>
      <w:bookmarkEnd w:id="32"/>
      <w:bookmarkStart w:id="33" w:name="_Toc184308093"/>
      <w:bookmarkEnd w:id="33"/>
      <w:bookmarkStart w:id="34" w:name="_Toc184308100"/>
      <w:bookmarkEnd w:id="34"/>
      <w:bookmarkStart w:id="35" w:name="_Toc184310302"/>
      <w:bookmarkEnd w:id="35"/>
      <w:bookmarkStart w:id="36" w:name="_Toc184313283"/>
      <w:bookmarkEnd w:id="36"/>
      <w:bookmarkStart w:id="37" w:name="_Toc184314465"/>
      <w:bookmarkEnd w:id="37"/>
      <w:bookmarkStart w:id="38" w:name="_Toc184308105"/>
      <w:bookmarkEnd w:id="38"/>
      <w:bookmarkStart w:id="39" w:name="_Toc184314436"/>
      <w:bookmarkEnd w:id="39"/>
      <w:bookmarkStart w:id="40" w:name="_Toc184313310"/>
      <w:bookmarkEnd w:id="40"/>
      <w:bookmarkStart w:id="41" w:name="_Toc184313246"/>
      <w:bookmarkEnd w:id="41"/>
      <w:bookmarkStart w:id="42" w:name="_Toc184312134"/>
      <w:bookmarkEnd w:id="42"/>
      <w:bookmarkStart w:id="43" w:name="_Toc184308078"/>
      <w:bookmarkEnd w:id="43"/>
      <w:bookmarkStart w:id="44" w:name="_Toc184308048"/>
      <w:bookmarkEnd w:id="44"/>
      <w:bookmarkStart w:id="45" w:name="_Toc184313287"/>
      <w:bookmarkEnd w:id="45"/>
      <w:bookmarkStart w:id="46" w:name="_Toc184310344"/>
      <w:bookmarkEnd w:id="46"/>
      <w:bookmarkStart w:id="47" w:name="_Toc184308104"/>
      <w:bookmarkEnd w:id="47"/>
      <w:bookmarkStart w:id="48" w:name="_Toc184312122"/>
      <w:bookmarkEnd w:id="48"/>
      <w:bookmarkStart w:id="49" w:name="_Toc184314452"/>
      <w:bookmarkEnd w:id="49"/>
      <w:bookmarkStart w:id="50" w:name="_Toc184310311"/>
      <w:bookmarkEnd w:id="50"/>
      <w:bookmarkStart w:id="51" w:name="_Toc184314470"/>
      <w:bookmarkEnd w:id="51"/>
      <w:bookmarkStart w:id="52" w:name="_Toc184308099"/>
      <w:bookmarkEnd w:id="52"/>
      <w:bookmarkStart w:id="53" w:name="_Toc184312088"/>
      <w:bookmarkEnd w:id="53"/>
      <w:bookmarkStart w:id="54" w:name="_Toc184308064"/>
      <w:bookmarkEnd w:id="54"/>
      <w:bookmarkStart w:id="55" w:name="_Toc184313293"/>
      <w:bookmarkEnd w:id="55"/>
      <w:bookmarkStart w:id="56" w:name="_Toc184314426"/>
      <w:bookmarkEnd w:id="56"/>
      <w:bookmarkStart w:id="57" w:name="_Toc184312118"/>
      <w:bookmarkEnd w:id="57"/>
      <w:bookmarkStart w:id="58" w:name="_Toc184310341"/>
      <w:bookmarkEnd w:id="58"/>
      <w:bookmarkStart w:id="59" w:name="_Toc184308074"/>
      <w:bookmarkEnd w:id="59"/>
      <w:bookmarkStart w:id="60" w:name="_Toc184314412"/>
      <w:bookmarkEnd w:id="60"/>
      <w:bookmarkStart w:id="61" w:name="_Toc184314433"/>
      <w:bookmarkEnd w:id="61"/>
      <w:bookmarkStart w:id="62" w:name="_Toc184308101"/>
      <w:bookmarkEnd w:id="62"/>
      <w:bookmarkStart w:id="63" w:name="_Toc184312101"/>
      <w:bookmarkEnd w:id="63"/>
      <w:bookmarkStart w:id="64" w:name="_Toc184308042"/>
      <w:bookmarkEnd w:id="64"/>
      <w:bookmarkStart w:id="65" w:name="_Toc184314444"/>
      <w:bookmarkEnd w:id="65"/>
      <w:bookmarkStart w:id="66" w:name="_Toc184310290"/>
      <w:bookmarkEnd w:id="66"/>
      <w:bookmarkStart w:id="67" w:name="_Toc184314427"/>
      <w:bookmarkEnd w:id="67"/>
      <w:bookmarkStart w:id="68" w:name="_Toc184310335"/>
      <w:bookmarkEnd w:id="68"/>
      <w:bookmarkStart w:id="69" w:name="_Toc184310310"/>
      <w:bookmarkEnd w:id="69"/>
      <w:bookmarkStart w:id="70" w:name="_Toc184313307"/>
      <w:bookmarkEnd w:id="70"/>
      <w:bookmarkStart w:id="71" w:name="_Toc184308037"/>
      <w:bookmarkEnd w:id="71"/>
      <w:bookmarkStart w:id="72" w:name="_Toc184314441"/>
      <w:bookmarkEnd w:id="72"/>
      <w:bookmarkStart w:id="73" w:name="_Toc184312117"/>
      <w:bookmarkEnd w:id="73"/>
      <w:bookmarkStart w:id="74" w:name="_Toc184310283"/>
      <w:bookmarkEnd w:id="74"/>
      <w:bookmarkStart w:id="75" w:name="_Toc184313277"/>
      <w:bookmarkEnd w:id="75"/>
      <w:bookmarkStart w:id="76" w:name="_Toc184313278"/>
      <w:bookmarkEnd w:id="76"/>
      <w:bookmarkStart w:id="77" w:name="_Toc184312100"/>
      <w:bookmarkEnd w:id="77"/>
      <w:bookmarkStart w:id="78" w:name="_Toc184308055"/>
      <w:bookmarkEnd w:id="78"/>
      <w:bookmarkStart w:id="79" w:name="_Toc184314471"/>
      <w:bookmarkEnd w:id="79"/>
      <w:bookmarkStart w:id="80" w:name="_Toc184310304"/>
      <w:bookmarkEnd w:id="80"/>
      <w:bookmarkStart w:id="81" w:name="_Toc184308088"/>
      <w:bookmarkEnd w:id="81"/>
      <w:bookmarkStart w:id="82" w:name="_Toc184313271"/>
      <w:bookmarkEnd w:id="82"/>
      <w:bookmarkStart w:id="83" w:name="_Toc184308107"/>
      <w:bookmarkEnd w:id="83"/>
      <w:bookmarkStart w:id="84" w:name="_Toc184313252"/>
      <w:bookmarkEnd w:id="84"/>
      <w:bookmarkStart w:id="85" w:name="_Toc184313308"/>
      <w:bookmarkEnd w:id="85"/>
      <w:bookmarkStart w:id="86" w:name="_Toc184308070"/>
      <w:bookmarkEnd w:id="86"/>
      <w:bookmarkStart w:id="87" w:name="_Toc184312111"/>
      <w:bookmarkEnd w:id="87"/>
      <w:bookmarkStart w:id="88" w:name="_Toc184313247"/>
      <w:bookmarkEnd w:id="88"/>
      <w:bookmarkStart w:id="89" w:name="_Toc184308065"/>
      <w:bookmarkEnd w:id="89"/>
      <w:bookmarkStart w:id="90" w:name="_Toc184314475"/>
      <w:bookmarkEnd w:id="90"/>
      <w:bookmarkStart w:id="91" w:name="_Toc184310317"/>
      <w:bookmarkEnd w:id="91"/>
      <w:bookmarkStart w:id="92" w:name="_Toc184310327"/>
      <w:bookmarkEnd w:id="92"/>
      <w:bookmarkStart w:id="93" w:name="_Toc184314421"/>
      <w:bookmarkEnd w:id="93"/>
      <w:bookmarkStart w:id="94" w:name="_Toc184313253"/>
      <w:bookmarkEnd w:id="94"/>
      <w:bookmarkStart w:id="95" w:name="_Toc184312092"/>
      <w:bookmarkEnd w:id="95"/>
      <w:bookmarkStart w:id="96" w:name="_Toc184312139"/>
      <w:bookmarkEnd w:id="96"/>
      <w:bookmarkStart w:id="97" w:name="_Toc184308066"/>
      <w:bookmarkEnd w:id="97"/>
      <w:bookmarkStart w:id="98" w:name="_Toc184310342"/>
      <w:bookmarkEnd w:id="98"/>
      <w:bookmarkStart w:id="99" w:name="_Toc184310303"/>
      <w:bookmarkEnd w:id="99"/>
      <w:bookmarkStart w:id="100" w:name="_Toc184308058"/>
      <w:bookmarkEnd w:id="100"/>
      <w:bookmarkStart w:id="101" w:name="_Toc184310314"/>
      <w:bookmarkEnd w:id="101"/>
      <w:bookmarkStart w:id="102" w:name="_Toc184313282"/>
      <w:bookmarkEnd w:id="102"/>
      <w:bookmarkStart w:id="103" w:name="_Toc184314466"/>
      <w:bookmarkEnd w:id="103"/>
      <w:bookmarkStart w:id="104" w:name="_Toc184314449"/>
      <w:bookmarkEnd w:id="104"/>
      <w:bookmarkStart w:id="105" w:name="_Toc184314477"/>
      <w:bookmarkEnd w:id="105"/>
      <w:bookmarkStart w:id="106" w:name="_Toc184310291"/>
      <w:bookmarkEnd w:id="106"/>
      <w:bookmarkStart w:id="107" w:name="_Toc184313241"/>
      <w:bookmarkEnd w:id="107"/>
      <w:bookmarkStart w:id="108" w:name="_Toc184314460"/>
      <w:bookmarkEnd w:id="108"/>
      <w:bookmarkStart w:id="109" w:name="_Toc184314472"/>
      <w:bookmarkEnd w:id="109"/>
      <w:bookmarkStart w:id="110" w:name="_Toc184312113"/>
      <w:bookmarkEnd w:id="110"/>
      <w:bookmarkStart w:id="111" w:name="_Toc184312069"/>
      <w:bookmarkEnd w:id="111"/>
      <w:bookmarkStart w:id="112" w:name="_Toc184310280"/>
      <w:bookmarkEnd w:id="112"/>
      <w:bookmarkStart w:id="113" w:name="_Toc184308056"/>
      <w:bookmarkEnd w:id="113"/>
      <w:bookmarkStart w:id="114" w:name="_Toc184314446"/>
      <w:bookmarkEnd w:id="114"/>
      <w:bookmarkStart w:id="115" w:name="_Toc184308045"/>
      <w:bookmarkEnd w:id="115"/>
      <w:bookmarkStart w:id="116" w:name="_Toc184308052"/>
      <w:bookmarkEnd w:id="116"/>
      <w:bookmarkStart w:id="117" w:name="_Toc184312085"/>
      <w:bookmarkEnd w:id="117"/>
      <w:bookmarkStart w:id="118" w:name="_Toc184314474"/>
      <w:bookmarkEnd w:id="118"/>
      <w:bookmarkStart w:id="119" w:name="_Toc184313269"/>
      <w:bookmarkEnd w:id="119"/>
      <w:bookmarkStart w:id="120" w:name="_Toc184314424"/>
      <w:bookmarkEnd w:id="120"/>
      <w:bookmarkStart w:id="121" w:name="_Toc184314417"/>
      <w:bookmarkEnd w:id="121"/>
      <w:bookmarkStart w:id="122" w:name="_Toc184312076"/>
      <w:bookmarkEnd w:id="122"/>
      <w:bookmarkStart w:id="123" w:name="_Toc184308040"/>
      <w:bookmarkEnd w:id="123"/>
      <w:bookmarkStart w:id="124" w:name="_Toc184314410"/>
      <w:bookmarkEnd w:id="124"/>
      <w:bookmarkStart w:id="125" w:name="_Toc184310281"/>
      <w:bookmarkEnd w:id="125"/>
      <w:bookmarkStart w:id="126" w:name="_Toc184312127"/>
      <w:bookmarkEnd w:id="126"/>
      <w:bookmarkStart w:id="127" w:name="_Toc184310286"/>
      <w:bookmarkEnd w:id="127"/>
      <w:bookmarkStart w:id="128" w:name="_Toc184308103"/>
      <w:bookmarkEnd w:id="128"/>
      <w:bookmarkStart w:id="129" w:name="_Toc184308044"/>
      <w:bookmarkEnd w:id="129"/>
      <w:bookmarkStart w:id="130" w:name="_Toc184310275"/>
      <w:bookmarkEnd w:id="130"/>
      <w:bookmarkStart w:id="131" w:name="_Toc184308071"/>
      <w:bookmarkEnd w:id="131"/>
      <w:bookmarkStart w:id="132" w:name="_Toc184310324"/>
      <w:bookmarkEnd w:id="132"/>
      <w:bookmarkStart w:id="133" w:name="_Toc184313294"/>
      <w:bookmarkEnd w:id="133"/>
      <w:bookmarkStart w:id="134" w:name="_Toc184310316"/>
      <w:bookmarkEnd w:id="134"/>
      <w:bookmarkStart w:id="135" w:name="_Toc184314458"/>
      <w:bookmarkEnd w:id="135"/>
      <w:bookmarkStart w:id="136" w:name="_Toc184313256"/>
      <w:bookmarkEnd w:id="136"/>
      <w:bookmarkStart w:id="137" w:name="_Toc184312082"/>
      <w:bookmarkEnd w:id="137"/>
      <w:bookmarkStart w:id="138" w:name="_Toc184310343"/>
      <w:bookmarkEnd w:id="138"/>
      <w:bookmarkStart w:id="139" w:name="_Toc184312077"/>
      <w:bookmarkEnd w:id="139"/>
      <w:bookmarkStart w:id="140" w:name="_Toc184314434"/>
      <w:bookmarkEnd w:id="140"/>
      <w:bookmarkStart w:id="141" w:name="_Toc184314480"/>
      <w:bookmarkEnd w:id="141"/>
      <w:bookmarkStart w:id="142" w:name="_Toc184314442"/>
      <w:bookmarkEnd w:id="142"/>
      <w:bookmarkStart w:id="143" w:name="_Toc184314437"/>
      <w:bookmarkEnd w:id="143"/>
      <w:bookmarkStart w:id="144" w:name="_Toc184308039"/>
      <w:bookmarkEnd w:id="144"/>
      <w:bookmarkStart w:id="145" w:name="_Toc184314453"/>
      <w:bookmarkEnd w:id="145"/>
      <w:bookmarkStart w:id="146" w:name="_Toc184313273"/>
      <w:bookmarkEnd w:id="146"/>
      <w:bookmarkStart w:id="147" w:name="_Toc184310287"/>
      <w:bookmarkEnd w:id="147"/>
      <w:bookmarkStart w:id="148" w:name="_Toc184310326"/>
      <w:bookmarkEnd w:id="148"/>
      <w:bookmarkStart w:id="149" w:name="_Toc184310315"/>
      <w:bookmarkEnd w:id="149"/>
      <w:bookmarkStart w:id="150" w:name="_Toc184313265"/>
      <w:bookmarkEnd w:id="150"/>
      <w:bookmarkStart w:id="151" w:name="_Toc184314447"/>
      <w:bookmarkEnd w:id="151"/>
      <w:bookmarkStart w:id="152" w:name="_Toc184313250"/>
      <w:bookmarkEnd w:id="152"/>
      <w:bookmarkStart w:id="153" w:name="_Toc184313305"/>
      <w:bookmarkEnd w:id="153"/>
      <w:bookmarkStart w:id="154" w:name="_Toc184310337"/>
      <w:bookmarkEnd w:id="154"/>
      <w:bookmarkStart w:id="155" w:name="_Toc184314482"/>
      <w:bookmarkEnd w:id="155"/>
      <w:bookmarkStart w:id="156" w:name="_Toc184313303"/>
      <w:bookmarkEnd w:id="156"/>
      <w:bookmarkStart w:id="157" w:name="_Toc184310334"/>
      <w:bookmarkEnd w:id="157"/>
      <w:bookmarkStart w:id="158" w:name="_Toc184314440"/>
      <w:bookmarkEnd w:id="158"/>
      <w:bookmarkStart w:id="159" w:name="_Toc184314462"/>
      <w:bookmarkEnd w:id="159"/>
      <w:bookmarkStart w:id="160" w:name="_Toc184310272"/>
      <w:bookmarkEnd w:id="160"/>
      <w:bookmarkStart w:id="161" w:name="_Toc184313272"/>
      <w:bookmarkEnd w:id="161"/>
      <w:bookmarkStart w:id="162" w:name="_Toc184310278"/>
      <w:bookmarkEnd w:id="162"/>
      <w:bookmarkStart w:id="163" w:name="_Toc184313249"/>
      <w:bookmarkEnd w:id="163"/>
      <w:bookmarkStart w:id="164" w:name="_Toc184312081"/>
      <w:bookmarkEnd w:id="164"/>
      <w:bookmarkStart w:id="165" w:name="_Toc184312095"/>
      <w:bookmarkEnd w:id="165"/>
      <w:bookmarkStart w:id="166" w:name="_Toc184312078"/>
      <w:bookmarkEnd w:id="166"/>
      <w:bookmarkStart w:id="167" w:name="_Toc184314422"/>
      <w:bookmarkEnd w:id="167"/>
      <w:bookmarkStart w:id="168" w:name="_Toc184312115"/>
      <w:bookmarkEnd w:id="168"/>
      <w:bookmarkStart w:id="169" w:name="_Toc184312097"/>
      <w:bookmarkEnd w:id="169"/>
      <w:bookmarkStart w:id="170" w:name="_Toc184312075"/>
      <w:bookmarkEnd w:id="170"/>
      <w:bookmarkStart w:id="171" w:name="_Toc184310308"/>
      <w:bookmarkEnd w:id="171"/>
      <w:bookmarkStart w:id="172" w:name="_Toc184314415"/>
      <w:bookmarkEnd w:id="172"/>
      <w:bookmarkStart w:id="173" w:name="_Toc184308053"/>
      <w:bookmarkEnd w:id="173"/>
      <w:bookmarkStart w:id="174" w:name="_Toc184308067"/>
      <w:bookmarkEnd w:id="174"/>
      <w:bookmarkStart w:id="175" w:name="_Toc184312137"/>
      <w:bookmarkEnd w:id="175"/>
      <w:bookmarkStart w:id="176" w:name="_Toc184310296"/>
      <w:bookmarkEnd w:id="176"/>
      <w:bookmarkStart w:id="177" w:name="_Toc184310307"/>
      <w:bookmarkEnd w:id="177"/>
      <w:bookmarkStart w:id="178" w:name="_Toc184312091"/>
      <w:bookmarkEnd w:id="178"/>
      <w:bookmarkStart w:id="179" w:name="_Toc184314481"/>
      <w:bookmarkEnd w:id="179"/>
      <w:bookmarkStart w:id="180" w:name="_Toc184312126"/>
      <w:bookmarkEnd w:id="180"/>
      <w:bookmarkStart w:id="181" w:name="_Toc184308084"/>
      <w:bookmarkEnd w:id="181"/>
      <w:bookmarkStart w:id="182" w:name="_Toc184308080"/>
      <w:bookmarkEnd w:id="182"/>
      <w:bookmarkStart w:id="183" w:name="_Toc184310277"/>
      <w:bookmarkEnd w:id="183"/>
      <w:bookmarkStart w:id="184" w:name="_Toc184308087"/>
      <w:bookmarkEnd w:id="184"/>
      <w:bookmarkStart w:id="185" w:name="_Toc184308094"/>
      <w:bookmarkEnd w:id="185"/>
      <w:bookmarkStart w:id="186" w:name="_Toc184313299"/>
      <w:bookmarkEnd w:id="186"/>
      <w:bookmarkStart w:id="187" w:name="_Toc184314459"/>
      <w:bookmarkEnd w:id="187"/>
      <w:bookmarkStart w:id="188" w:name="_Toc184313262"/>
      <w:bookmarkEnd w:id="188"/>
      <w:bookmarkStart w:id="189" w:name="_Toc184308095"/>
      <w:bookmarkEnd w:id="189"/>
      <w:bookmarkStart w:id="190" w:name="_Toc184310321"/>
      <w:bookmarkEnd w:id="190"/>
      <w:bookmarkStart w:id="191" w:name="_Toc184310330"/>
      <w:bookmarkEnd w:id="191"/>
      <w:bookmarkStart w:id="192" w:name="_Toc184312074"/>
      <w:bookmarkEnd w:id="192"/>
      <w:bookmarkStart w:id="193" w:name="_Toc184313238"/>
      <w:bookmarkEnd w:id="193"/>
      <w:bookmarkStart w:id="194" w:name="_Toc184312109"/>
      <w:bookmarkEnd w:id="194"/>
      <w:bookmarkStart w:id="195" w:name="_Toc184308098"/>
      <w:bookmarkEnd w:id="195"/>
      <w:bookmarkStart w:id="196" w:name="_Toc184313270"/>
      <w:bookmarkEnd w:id="196"/>
      <w:bookmarkStart w:id="197" w:name="_Toc184313274"/>
      <w:bookmarkEnd w:id="197"/>
      <w:bookmarkStart w:id="198" w:name="_Toc184312093"/>
      <w:bookmarkEnd w:id="198"/>
      <w:bookmarkStart w:id="199" w:name="_Toc184312079"/>
      <w:bookmarkEnd w:id="199"/>
      <w:bookmarkStart w:id="200" w:name="_Toc184314457"/>
      <w:bookmarkEnd w:id="200"/>
      <w:bookmarkStart w:id="201" w:name="_Toc184308059"/>
      <w:bookmarkEnd w:id="201"/>
      <w:bookmarkStart w:id="202" w:name="_Toc184310282"/>
      <w:bookmarkEnd w:id="202"/>
      <w:bookmarkStart w:id="203" w:name="_Toc184312083"/>
      <w:bookmarkEnd w:id="203"/>
      <w:bookmarkStart w:id="204" w:name="_Toc184310320"/>
      <w:bookmarkEnd w:id="204"/>
      <w:bookmarkStart w:id="205" w:name="_Toc184312084"/>
      <w:bookmarkEnd w:id="205"/>
      <w:bookmarkStart w:id="206" w:name="_Toc184313276"/>
      <w:bookmarkEnd w:id="206"/>
      <w:bookmarkStart w:id="207" w:name="_Toc184313259"/>
      <w:bookmarkEnd w:id="207"/>
      <w:bookmarkStart w:id="208" w:name="_Toc184308072"/>
      <w:bookmarkEnd w:id="208"/>
      <w:bookmarkStart w:id="209" w:name="_Toc184313279"/>
      <w:bookmarkEnd w:id="209"/>
      <w:bookmarkStart w:id="210" w:name="_Toc184313309"/>
      <w:bookmarkEnd w:id="210"/>
      <w:bookmarkStart w:id="211" w:name="_Toc184314419"/>
      <w:bookmarkEnd w:id="211"/>
      <w:bookmarkStart w:id="212" w:name="_Toc184314445"/>
      <w:bookmarkEnd w:id="212"/>
      <w:bookmarkStart w:id="213" w:name="_Toc184312136"/>
      <w:bookmarkEnd w:id="213"/>
      <w:bookmarkStart w:id="214" w:name="_Toc184314478"/>
      <w:bookmarkEnd w:id="214"/>
      <w:bookmarkStart w:id="215" w:name="_Toc184310301"/>
      <w:bookmarkEnd w:id="215"/>
      <w:bookmarkStart w:id="216" w:name="_Toc184314455"/>
      <w:bookmarkEnd w:id="216"/>
      <w:bookmarkStart w:id="217" w:name="_Toc184314423"/>
      <w:bookmarkEnd w:id="217"/>
      <w:bookmarkStart w:id="218" w:name="_Toc184313291"/>
      <w:bookmarkEnd w:id="218"/>
      <w:bookmarkStart w:id="219" w:name="_Toc184308036"/>
      <w:bookmarkEnd w:id="219"/>
      <w:bookmarkStart w:id="220" w:name="_Toc184308061"/>
      <w:bookmarkEnd w:id="220"/>
      <w:bookmarkStart w:id="221" w:name="_Toc184310300"/>
      <w:bookmarkEnd w:id="221"/>
      <w:bookmarkStart w:id="222" w:name="_Toc184312108"/>
      <w:bookmarkEnd w:id="222"/>
      <w:bookmarkStart w:id="223" w:name="_Toc184312120"/>
      <w:bookmarkEnd w:id="223"/>
      <w:bookmarkStart w:id="224" w:name="_Toc184313263"/>
      <w:bookmarkEnd w:id="224"/>
      <w:bookmarkStart w:id="225" w:name="_Toc184308046"/>
      <w:bookmarkEnd w:id="225"/>
      <w:bookmarkStart w:id="226" w:name="_Toc184312119"/>
      <w:bookmarkEnd w:id="226"/>
      <w:bookmarkStart w:id="227" w:name="_Toc184313284"/>
      <w:bookmarkEnd w:id="227"/>
      <w:bookmarkStart w:id="228" w:name="_Toc184314468"/>
      <w:bookmarkEnd w:id="228"/>
      <w:bookmarkStart w:id="229" w:name="_Toc184314443"/>
      <w:bookmarkEnd w:id="229"/>
      <w:bookmarkStart w:id="230" w:name="_Toc184312131"/>
      <w:bookmarkEnd w:id="230"/>
      <w:bookmarkStart w:id="231" w:name="_Toc184310295"/>
      <w:bookmarkEnd w:id="231"/>
      <w:bookmarkStart w:id="232" w:name="_Toc184312090"/>
      <w:bookmarkEnd w:id="232"/>
      <w:bookmarkStart w:id="233" w:name="_Toc184312094"/>
      <w:bookmarkEnd w:id="233"/>
      <w:bookmarkStart w:id="234" w:name="_Toc184308097"/>
      <w:bookmarkEnd w:id="234"/>
      <w:bookmarkStart w:id="235" w:name="_Toc184312098"/>
      <w:bookmarkEnd w:id="235"/>
      <w:bookmarkStart w:id="236" w:name="_Toc184313275"/>
      <w:bookmarkEnd w:id="236"/>
      <w:bookmarkStart w:id="237" w:name="_Toc184313301"/>
      <w:bookmarkEnd w:id="237"/>
      <w:bookmarkStart w:id="238" w:name="_Toc184310285"/>
      <w:bookmarkEnd w:id="238"/>
      <w:bookmarkStart w:id="239" w:name="_Toc184314411"/>
      <w:bookmarkEnd w:id="239"/>
      <w:bookmarkStart w:id="240" w:name="_Toc184308096"/>
      <w:bookmarkEnd w:id="240"/>
      <w:bookmarkStart w:id="241" w:name="_Toc184314430"/>
      <w:bookmarkEnd w:id="241"/>
      <w:bookmarkStart w:id="242" w:name="_Toc184308082"/>
      <w:bookmarkEnd w:id="242"/>
      <w:bookmarkStart w:id="243" w:name="_Toc184310273"/>
      <w:bookmarkEnd w:id="243"/>
      <w:bookmarkStart w:id="244" w:name="_Toc184313257"/>
      <w:bookmarkEnd w:id="244"/>
      <w:bookmarkStart w:id="245" w:name="_Toc184310312"/>
      <w:bookmarkEnd w:id="245"/>
      <w:bookmarkStart w:id="246" w:name="_Toc184312138"/>
      <w:bookmarkEnd w:id="246"/>
      <w:bookmarkStart w:id="247" w:name="_Toc184313242"/>
      <w:bookmarkEnd w:id="247"/>
      <w:bookmarkStart w:id="248" w:name="_Toc184310309"/>
      <w:bookmarkEnd w:id="248"/>
      <w:bookmarkStart w:id="249" w:name="_Toc184313260"/>
      <w:bookmarkEnd w:id="249"/>
      <w:bookmarkStart w:id="250" w:name="_Toc184313295"/>
      <w:bookmarkEnd w:id="250"/>
      <w:bookmarkStart w:id="251" w:name="_Toc184314420"/>
      <w:bookmarkEnd w:id="251"/>
      <w:bookmarkStart w:id="252" w:name="_Toc184312099"/>
      <w:bookmarkEnd w:id="252"/>
      <w:bookmarkStart w:id="253" w:name="_Toc184313300"/>
      <w:bookmarkEnd w:id="253"/>
      <w:bookmarkStart w:id="254" w:name="_Toc184312123"/>
      <w:bookmarkEnd w:id="254"/>
      <w:bookmarkStart w:id="255" w:name="_Toc184312086"/>
      <w:bookmarkEnd w:id="255"/>
      <w:bookmarkStart w:id="256" w:name="_Toc184314439"/>
      <w:bookmarkEnd w:id="256"/>
      <w:bookmarkStart w:id="257" w:name="_Toc184308102"/>
      <w:bookmarkEnd w:id="257"/>
      <w:bookmarkStart w:id="258" w:name="_Toc184313261"/>
      <w:bookmarkEnd w:id="258"/>
      <w:bookmarkStart w:id="259" w:name="_Toc184312096"/>
      <w:bookmarkEnd w:id="259"/>
      <w:bookmarkStart w:id="260" w:name="_Toc184313288"/>
      <w:bookmarkEnd w:id="260"/>
      <w:bookmarkStart w:id="261" w:name="_Toc184312072"/>
      <w:bookmarkEnd w:id="261"/>
      <w:bookmarkStart w:id="262" w:name="_Toc184310332"/>
      <w:bookmarkEnd w:id="262"/>
      <w:bookmarkStart w:id="263" w:name="_Toc184312125"/>
      <w:bookmarkEnd w:id="263"/>
      <w:bookmarkStart w:id="264" w:name="_Toc184312104"/>
      <w:bookmarkEnd w:id="264"/>
      <w:bookmarkStart w:id="265" w:name="_Toc184314425"/>
      <w:bookmarkEnd w:id="265"/>
      <w:bookmarkStart w:id="266" w:name="_Toc184314454"/>
      <w:bookmarkEnd w:id="266"/>
      <w:bookmarkStart w:id="267" w:name="_Toc184310294"/>
      <w:bookmarkEnd w:id="267"/>
      <w:bookmarkStart w:id="268" w:name="_Toc184308085"/>
      <w:bookmarkEnd w:id="268"/>
      <w:bookmarkStart w:id="269" w:name="_Toc184308073"/>
      <w:bookmarkEnd w:id="269"/>
      <w:bookmarkStart w:id="270" w:name="_Toc184312070"/>
      <w:bookmarkEnd w:id="270"/>
      <w:bookmarkStart w:id="271" w:name="_Toc184308092"/>
      <w:bookmarkEnd w:id="271"/>
      <w:bookmarkStart w:id="272" w:name="_Toc184313290"/>
      <w:bookmarkEnd w:id="272"/>
      <w:bookmarkStart w:id="273" w:name="_Toc184313302"/>
      <w:bookmarkEnd w:id="273"/>
      <w:bookmarkStart w:id="274" w:name="_Toc184312130"/>
      <w:bookmarkEnd w:id="274"/>
      <w:bookmarkStart w:id="275" w:name="_Toc184310284"/>
      <w:bookmarkEnd w:id="275"/>
      <w:bookmarkStart w:id="276" w:name="_Toc184313306"/>
      <w:bookmarkEnd w:id="276"/>
      <w:bookmarkStart w:id="277" w:name="_Toc184314463"/>
      <w:bookmarkEnd w:id="277"/>
      <w:bookmarkStart w:id="278" w:name="_Toc184308077"/>
      <w:bookmarkEnd w:id="278"/>
      <w:bookmarkStart w:id="279" w:name="_Toc184313264"/>
      <w:bookmarkEnd w:id="279"/>
      <w:bookmarkStart w:id="280" w:name="_Toc184308081"/>
      <w:bookmarkEnd w:id="280"/>
      <w:bookmarkStart w:id="281" w:name="_Toc184310313"/>
      <w:bookmarkEnd w:id="281"/>
      <w:bookmarkStart w:id="282" w:name="_Toc184312107"/>
      <w:bookmarkEnd w:id="282"/>
      <w:bookmarkStart w:id="283" w:name="_Toc184310322"/>
      <w:bookmarkEnd w:id="283"/>
      <w:bookmarkStart w:id="284" w:name="_Toc184313266"/>
      <w:bookmarkEnd w:id="284"/>
      <w:bookmarkStart w:id="285" w:name="_Toc184314456"/>
      <w:bookmarkEnd w:id="285"/>
      <w:bookmarkStart w:id="286" w:name="_Toc184314476"/>
      <w:bookmarkEnd w:id="286"/>
      <w:bookmarkStart w:id="287" w:name="_Toc184314429"/>
      <w:bookmarkEnd w:id="287"/>
      <w:bookmarkStart w:id="288" w:name="_Toc184308086"/>
      <w:bookmarkEnd w:id="288"/>
      <w:bookmarkStart w:id="289" w:name="_Toc184313280"/>
      <w:bookmarkEnd w:id="289"/>
      <w:bookmarkStart w:id="290" w:name="_Toc184310274"/>
      <w:bookmarkEnd w:id="290"/>
      <w:bookmarkStart w:id="291" w:name="_Toc184313248"/>
      <w:bookmarkEnd w:id="291"/>
      <w:bookmarkStart w:id="292" w:name="_Toc184312112"/>
      <w:bookmarkEnd w:id="292"/>
      <w:bookmarkStart w:id="293" w:name="_Toc184308060"/>
      <w:bookmarkEnd w:id="293"/>
      <w:bookmarkStart w:id="294" w:name="_Toc184308069"/>
      <w:bookmarkEnd w:id="294"/>
      <w:bookmarkStart w:id="295" w:name="_Toc184312105"/>
      <w:bookmarkEnd w:id="295"/>
      <w:bookmarkStart w:id="296" w:name="_Toc184313244"/>
      <w:bookmarkEnd w:id="296"/>
      <w:bookmarkStart w:id="297" w:name="_Toc184313268"/>
      <w:bookmarkEnd w:id="297"/>
      <w:bookmarkStart w:id="298" w:name="_Toc184313297"/>
      <w:bookmarkEnd w:id="298"/>
      <w:bookmarkStart w:id="299" w:name="_Toc184314451"/>
      <w:bookmarkEnd w:id="299"/>
      <w:bookmarkStart w:id="300" w:name="_Toc184310276"/>
      <w:bookmarkEnd w:id="300"/>
      <w:bookmarkStart w:id="301" w:name="_Toc184312110"/>
      <w:bookmarkEnd w:id="301"/>
      <w:bookmarkStart w:id="302" w:name="_Toc184312129"/>
      <w:bookmarkEnd w:id="302"/>
      <w:bookmarkStart w:id="303" w:name="_Toc184310319"/>
      <w:bookmarkEnd w:id="303"/>
      <w:bookmarkStart w:id="304" w:name="_Toc184308068"/>
      <w:bookmarkEnd w:id="304"/>
      <w:bookmarkStart w:id="305" w:name="_Toc184308076"/>
      <w:bookmarkEnd w:id="305"/>
      <w:bookmarkStart w:id="306" w:name="_Toc184314467"/>
      <w:bookmarkEnd w:id="306"/>
      <w:bookmarkStart w:id="307" w:name="_Toc184313267"/>
      <w:bookmarkEnd w:id="307"/>
      <w:bookmarkStart w:id="308" w:name="_Toc184310288"/>
      <w:bookmarkEnd w:id="308"/>
      <w:bookmarkStart w:id="309" w:name="_Toc184313245"/>
      <w:bookmarkEnd w:id="309"/>
      <w:bookmarkStart w:id="310" w:name="_Toc184313292"/>
      <w:bookmarkEnd w:id="310"/>
      <w:bookmarkStart w:id="311" w:name="_Toc184310323"/>
      <w:bookmarkEnd w:id="311"/>
      <w:bookmarkStart w:id="312" w:name="_Toc184310292"/>
      <w:bookmarkEnd w:id="312"/>
      <w:bookmarkStart w:id="313" w:name="_Toc184313251"/>
      <w:bookmarkEnd w:id="313"/>
      <w:bookmarkStart w:id="314" w:name="_Toc184312121"/>
      <w:bookmarkEnd w:id="314"/>
      <w:bookmarkStart w:id="315" w:name="_Toc184308054"/>
      <w:bookmarkEnd w:id="315"/>
      <w:bookmarkStart w:id="316" w:name="_Toc184310306"/>
      <w:bookmarkEnd w:id="316"/>
      <w:bookmarkStart w:id="317" w:name="_Toc184310331"/>
      <w:bookmarkEnd w:id="317"/>
      <w:bookmarkStart w:id="318" w:name="_Toc184313285"/>
      <w:bookmarkEnd w:id="318"/>
      <w:bookmarkStart w:id="319" w:name="_Toc184312106"/>
      <w:bookmarkEnd w:id="319"/>
      <w:bookmarkStart w:id="320" w:name="_Toc184312067"/>
      <w:bookmarkEnd w:id="320"/>
      <w:bookmarkStart w:id="321" w:name="_Toc184308057"/>
      <w:bookmarkEnd w:id="321"/>
      <w:bookmarkStart w:id="322" w:name="_Toc184312114"/>
      <w:bookmarkEnd w:id="322"/>
      <w:bookmarkStart w:id="323" w:name="_Toc184308075"/>
      <w:bookmarkEnd w:id="323"/>
      <w:bookmarkStart w:id="324" w:name="_Toc184313239"/>
      <w:bookmarkEnd w:id="324"/>
      <w:bookmarkStart w:id="325" w:name="_Toc184313296"/>
      <w:bookmarkEnd w:id="325"/>
      <w:bookmarkStart w:id="326" w:name="_Toc184310289"/>
      <w:bookmarkEnd w:id="326"/>
      <w:bookmarkStart w:id="327" w:name="_Toc184312103"/>
      <w:bookmarkEnd w:id="327"/>
      <w:bookmarkStart w:id="328" w:name="_Toc184313281"/>
      <w:bookmarkEnd w:id="328"/>
      <w:bookmarkStart w:id="329" w:name="_Toc184308106"/>
      <w:bookmarkEnd w:id="329"/>
      <w:bookmarkStart w:id="330" w:name="_Toc184310329"/>
      <w:bookmarkEnd w:id="330"/>
      <w:bookmarkStart w:id="331" w:name="_Toc184313243"/>
      <w:bookmarkEnd w:id="331"/>
      <w:bookmarkStart w:id="332" w:name="_Toc184314416"/>
      <w:bookmarkEnd w:id="332"/>
      <w:bookmarkStart w:id="333" w:name="_Toc184314464"/>
      <w:bookmarkEnd w:id="333"/>
      <w:bookmarkStart w:id="334" w:name="_Toc184314431"/>
      <w:bookmarkEnd w:id="334"/>
      <w:bookmarkStart w:id="335" w:name="_Toc184314469"/>
      <w:bookmarkEnd w:id="335"/>
      <w:bookmarkStart w:id="336" w:name="_Toc184308083"/>
      <w:bookmarkEnd w:id="336"/>
      <w:bookmarkStart w:id="337" w:name="_Toc184314473"/>
      <w:bookmarkEnd w:id="337"/>
      <w:bookmarkStart w:id="338" w:name="_Toc184308041"/>
      <w:bookmarkEnd w:id="338"/>
      <w:bookmarkStart w:id="339" w:name="_Toc184310293"/>
      <w:bookmarkEnd w:id="339"/>
      <w:bookmarkStart w:id="340" w:name="_Toc184313255"/>
      <w:bookmarkEnd w:id="340"/>
      <w:bookmarkStart w:id="341" w:name="_Toc184308063"/>
      <w:bookmarkEnd w:id="341"/>
      <w:bookmarkStart w:id="342" w:name="_Toc184310325"/>
      <w:bookmarkEnd w:id="342"/>
      <w:bookmarkStart w:id="343" w:name="_Toc184313286"/>
      <w:bookmarkEnd w:id="343"/>
      <w:bookmarkStart w:id="344" w:name="_Toc184310305"/>
      <w:bookmarkEnd w:id="344"/>
      <w:bookmarkStart w:id="345" w:name="_Toc184312071"/>
      <w:bookmarkEnd w:id="345"/>
      <w:bookmarkStart w:id="346" w:name="_Toc184308089"/>
      <w:bookmarkEnd w:id="346"/>
      <w:bookmarkStart w:id="347" w:name="_Toc184312128"/>
      <w:bookmarkEnd w:id="347"/>
      <w:bookmarkStart w:id="348" w:name="_Toc184310338"/>
      <w:bookmarkEnd w:id="348"/>
      <w:bookmarkStart w:id="349" w:name="_Toc184312135"/>
      <w:bookmarkEnd w:id="349"/>
      <w:bookmarkStart w:id="350" w:name="_Toc184308090"/>
      <w:bookmarkEnd w:id="350"/>
      <w:bookmarkStart w:id="351" w:name="_Toc184312089"/>
      <w:bookmarkEnd w:id="351"/>
      <w:bookmarkStart w:id="352" w:name="_Toc184312102"/>
      <w:bookmarkEnd w:id="352"/>
      <w:bookmarkStart w:id="353" w:name="_Toc184310299"/>
      <w:bookmarkEnd w:id="353"/>
      <w:bookmarkStart w:id="354" w:name="_Toc184314432"/>
      <w:bookmarkEnd w:id="354"/>
      <w:bookmarkStart w:id="355" w:name="_Toc184314413"/>
      <w:bookmarkEnd w:id="355"/>
      <w:bookmarkStart w:id="356" w:name="_Toc184310333"/>
      <w:bookmarkEnd w:id="356"/>
      <w:bookmarkStart w:id="357" w:name="_Toc184314448"/>
      <w:bookmarkEnd w:id="357"/>
      <w:bookmarkStart w:id="358" w:name="_Toc184310336"/>
      <w:bookmarkEnd w:id="358"/>
      <w:bookmarkStart w:id="359" w:name="_Toc184308043"/>
      <w:bookmarkEnd w:id="359"/>
      <w:bookmarkStart w:id="360" w:name="_Toc184308062"/>
      <w:bookmarkEnd w:id="360"/>
      <w:bookmarkStart w:id="361" w:name="_Toc184313240"/>
      <w:bookmarkEnd w:id="361"/>
      <w:bookmarkStart w:id="362" w:name="_Toc184314450"/>
      <w:bookmarkEnd w:id="362"/>
      <w:bookmarkStart w:id="363" w:name="_Toc184314414"/>
      <w:bookmarkEnd w:id="363"/>
      <w:bookmarkStart w:id="364" w:name="_Toc184312068"/>
      <w:bookmarkEnd w:id="364"/>
      <w:bookmarkStart w:id="365" w:name="_Toc184310298"/>
      <w:bookmarkEnd w:id="365"/>
      <w:bookmarkStart w:id="366" w:name="_Toc184308091"/>
      <w:bookmarkEnd w:id="366"/>
      <w:bookmarkStart w:id="367" w:name="_Toc184312116"/>
      <w:bookmarkEnd w:id="367"/>
      <w:bookmarkStart w:id="368" w:name="_Toc184314461"/>
      <w:bookmarkEnd w:id="368"/>
      <w:bookmarkStart w:id="369" w:name="_Toc184310340"/>
      <w:bookmarkEnd w:id="369"/>
      <w:bookmarkStart w:id="370" w:name="_Toc184312132"/>
      <w:bookmarkEnd w:id="370"/>
      <w:bookmarkStart w:id="371" w:name="_Toc184308047"/>
      <w:bookmarkEnd w:id="371"/>
      <w:bookmarkStart w:id="372" w:name="_Toc184312080"/>
      <w:bookmarkEnd w:id="372"/>
      <w:bookmarkStart w:id="373" w:name="_Toc184314435"/>
      <w:bookmarkEnd w:id="373"/>
      <w:bookmarkStart w:id="374" w:name="_Toc184314438"/>
      <w:bookmarkEnd w:id="374"/>
      <w:bookmarkStart w:id="375" w:name="_Toc184308038"/>
      <w:bookmarkEnd w:id="375"/>
      <w:bookmarkStart w:id="376" w:name="_Toc184313289"/>
      <w:bookmarkEnd w:id="376"/>
      <w:bookmarkStart w:id="377" w:name="_Toc184313258"/>
      <w:bookmarkEnd w:id="377"/>
      <w:bookmarkStart w:id="378" w:name="_Toc184310297"/>
      <w:bookmarkEnd w:id="378"/>
      <w:bookmarkStart w:id="379" w:name="_Toc184308051"/>
      <w:bookmarkEnd w:id="379"/>
      <w:bookmarkStart w:id="380" w:name="_Toc184310339"/>
      <w:bookmarkEnd w:id="380"/>
      <w:bookmarkStart w:id="381" w:name="_Toc184308079"/>
      <w:bookmarkEnd w:id="381"/>
      <w:bookmarkStart w:id="382" w:name="_Toc184314418"/>
      <w:bookmarkEnd w:id="382"/>
      <w:bookmarkStart w:id="383" w:name="_Toc184308050"/>
      <w:bookmarkEnd w:id="383"/>
      <w:bookmarkStart w:id="384" w:name="_Toc184313304"/>
      <w:bookmarkEnd w:id="384"/>
      <w:bookmarkStart w:id="385" w:name="_Toc184313298"/>
      <w:bookmarkEnd w:id="385"/>
      <w:bookmarkStart w:id="386" w:name="_Toc184310318"/>
      <w:bookmarkEnd w:id="386"/>
      <w:bookmarkStart w:id="387" w:name="_Toc184312124"/>
      <w:bookmarkEnd w:id="387"/>
      <w:bookmarkStart w:id="388" w:name="_Toc184310328"/>
      <w:bookmarkEnd w:id="388"/>
      <w:bookmarkStart w:id="389" w:name="_Toc184312073"/>
      <w:bookmarkEnd w:id="389"/>
      <w:bookmarkStart w:id="390" w:name="_Toc184312133"/>
      <w:bookmarkEnd w:id="390"/>
      <w:bookmarkStart w:id="391" w:name="_Toc184313254"/>
      <w:bookmarkEnd w:id="391"/>
      <w:bookmarkStart w:id="392" w:name="_Toc184314479"/>
      <w:bookmarkEnd w:id="392"/>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1250"/>
        <w:gridCol w:w="3610"/>
        <w:gridCol w:w="720"/>
        <w:gridCol w:w="1080"/>
        <w:gridCol w:w="1297"/>
      </w:tblGrid>
      <w:tr w14:paraId="78315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10C7BF1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4860" w:type="dxa"/>
            <w:gridSpan w:val="2"/>
            <w:vAlign w:val="center"/>
          </w:tcPr>
          <w:p w14:paraId="7623FBD6">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720" w:type="dxa"/>
            <w:vAlign w:val="center"/>
          </w:tcPr>
          <w:p w14:paraId="449D912F">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1080" w:type="dxa"/>
            <w:vAlign w:val="center"/>
          </w:tcPr>
          <w:p w14:paraId="18E86A0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主观分/客观分属性</w:t>
            </w:r>
          </w:p>
        </w:tc>
        <w:tc>
          <w:tcPr>
            <w:tcW w:w="1297" w:type="dxa"/>
          </w:tcPr>
          <w:p w14:paraId="5537C6F9">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投标文件中评标标准相应的商务技术资料目录*</w:t>
            </w:r>
          </w:p>
        </w:tc>
      </w:tr>
      <w:tr w14:paraId="4E8C7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shd w:val="clear" w:color="auto" w:fill="auto"/>
            <w:vAlign w:val="center"/>
          </w:tcPr>
          <w:p w14:paraId="3633FB8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p>
        </w:tc>
        <w:tc>
          <w:tcPr>
            <w:tcW w:w="1250" w:type="dxa"/>
            <w:vAlign w:val="center"/>
          </w:tcPr>
          <w:p w14:paraId="6023D311">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业绩</w:t>
            </w:r>
          </w:p>
        </w:tc>
        <w:tc>
          <w:tcPr>
            <w:tcW w:w="3610" w:type="dxa"/>
            <w:vAlign w:val="center"/>
          </w:tcPr>
          <w:p w14:paraId="4EC1711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Cs w:val="24"/>
                <w:highlight w:val="none"/>
              </w:rPr>
            </w:pPr>
            <w:r>
              <w:rPr>
                <w:rFonts w:hint="eastAsia" w:ascii="宋体" w:hAnsi="宋体" w:eastAsia="宋体" w:cs="宋体"/>
                <w:sz w:val="24"/>
                <w:szCs w:val="24"/>
                <w:lang w:val="en-US" w:eastAsia="zh-CN"/>
              </w:rPr>
              <w:t>近三年来（以合同签订时间为准）供应商承担过文艺汇演、大型文艺活动类似项目的成功案例，提供合同、委托协议复印件（合同复印件中需包括合同双方签订的时间，项目内容，合同双方的盖章，三项内容，缺一不可得分。），每提供 1 个得 1 分，最高得 2 分。</w:t>
            </w:r>
          </w:p>
        </w:tc>
        <w:tc>
          <w:tcPr>
            <w:tcW w:w="720" w:type="dxa"/>
            <w:vAlign w:val="center"/>
          </w:tcPr>
          <w:p w14:paraId="67D82F71">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080" w:type="dxa"/>
            <w:vAlign w:val="center"/>
          </w:tcPr>
          <w:p w14:paraId="129D5D7B">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客观分</w:t>
            </w:r>
          </w:p>
        </w:tc>
        <w:tc>
          <w:tcPr>
            <w:tcW w:w="1297" w:type="dxa"/>
          </w:tcPr>
          <w:p w14:paraId="612E1ED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bCs/>
                <w:color w:val="auto"/>
                <w:sz w:val="24"/>
                <w:szCs w:val="24"/>
                <w:highlight w:val="none"/>
              </w:rPr>
            </w:pPr>
          </w:p>
        </w:tc>
      </w:tr>
      <w:tr w14:paraId="3F64A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shd w:val="clear" w:color="auto" w:fill="auto"/>
            <w:vAlign w:val="center"/>
          </w:tcPr>
          <w:p w14:paraId="3B223BD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w:t>
            </w:r>
          </w:p>
        </w:tc>
        <w:tc>
          <w:tcPr>
            <w:tcW w:w="1250" w:type="dxa"/>
            <w:vAlign w:val="center"/>
          </w:tcPr>
          <w:p w14:paraId="6FDDDFD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000000"/>
                <w:kern w:val="0"/>
                <w:sz w:val="24"/>
                <w:szCs w:val="24"/>
                <w:lang w:val="en-US" w:eastAsia="zh-CN" w:bidi="ar"/>
              </w:rPr>
              <w:t>整体方案</w:t>
            </w:r>
          </w:p>
        </w:tc>
        <w:tc>
          <w:tcPr>
            <w:tcW w:w="3610" w:type="dxa"/>
          </w:tcPr>
          <w:p w14:paraId="13C622C7">
            <w:pPr>
              <w:keepNext w:val="0"/>
              <w:keepLines w:val="0"/>
              <w:pageBreakBefore w:val="0"/>
              <w:widowControl/>
              <w:suppressLineNumbers w:val="0"/>
              <w:kinsoku/>
              <w:wordWrap/>
              <w:overflowPunct/>
              <w:topLinePunct w:val="0"/>
              <w:autoSpaceDE/>
              <w:autoSpaceDN/>
              <w:bidi w:val="0"/>
              <w:spacing w:line="360" w:lineRule="auto"/>
              <w:ind w:right="-185" w:rightChars="-88"/>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整体方案有利于完成此次剧目汇演各项目标任务 0-3 分；</w:t>
            </w:r>
          </w:p>
          <w:p w14:paraId="64E77D18">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000000"/>
                <w:kern w:val="0"/>
                <w:sz w:val="24"/>
                <w:szCs w:val="24"/>
                <w:lang w:val="en-US" w:eastAsia="zh-CN" w:bidi="ar"/>
              </w:rPr>
              <w:t>整体方案的构建和描述合理、完整、可行0-3分。</w:t>
            </w:r>
          </w:p>
        </w:tc>
        <w:tc>
          <w:tcPr>
            <w:tcW w:w="720" w:type="dxa"/>
            <w:vAlign w:val="center"/>
          </w:tcPr>
          <w:p w14:paraId="67B2E87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080" w:type="dxa"/>
            <w:vAlign w:val="center"/>
          </w:tcPr>
          <w:p w14:paraId="3574C94B">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1297" w:type="dxa"/>
          </w:tcPr>
          <w:p w14:paraId="675EC9F2">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7FF3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shd w:val="clear" w:color="auto" w:fill="auto"/>
            <w:vAlign w:val="center"/>
          </w:tcPr>
          <w:p w14:paraId="6CECBE5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p>
        </w:tc>
        <w:tc>
          <w:tcPr>
            <w:tcW w:w="1250" w:type="dxa"/>
            <w:vMerge w:val="restart"/>
            <w:vAlign w:val="center"/>
          </w:tcPr>
          <w:p w14:paraId="38F89DE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组织实施方案</w:t>
            </w:r>
          </w:p>
        </w:tc>
        <w:tc>
          <w:tcPr>
            <w:tcW w:w="3610" w:type="dxa"/>
          </w:tcPr>
          <w:p w14:paraId="29D2A366">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组织2025年“西湖之春”杭州市青年戏曲演员大赛的具体方案</w:t>
            </w:r>
            <w:r>
              <w:rPr>
                <w:rFonts w:hint="eastAsia" w:ascii="宋体" w:hAnsi="宋体" w:cs="宋体"/>
                <w:sz w:val="24"/>
                <w:szCs w:val="24"/>
                <w:highlight w:val="none"/>
                <w:lang w:val="en-US" w:eastAsia="zh-CN"/>
              </w:rPr>
              <w:t>0-5分；</w:t>
            </w:r>
          </w:p>
          <w:p w14:paraId="1566CAC7">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color w:val="auto"/>
                <w:sz w:val="24"/>
                <w:szCs w:val="24"/>
                <w:highlight w:val="none"/>
                <w:lang w:val="en-US"/>
              </w:rPr>
            </w:pPr>
            <w:r>
              <w:rPr>
                <w:rFonts w:hint="eastAsia" w:ascii="宋体" w:hAnsi="宋体" w:eastAsia="宋体" w:cs="宋体"/>
                <w:sz w:val="24"/>
                <w:szCs w:val="24"/>
                <w:highlight w:val="none"/>
                <w:lang w:val="en-US" w:eastAsia="zh-CN"/>
              </w:rPr>
              <w:t>拟邀请的知名戏曲艺术家专家评审团名单</w:t>
            </w:r>
            <w:r>
              <w:rPr>
                <w:rFonts w:hint="eastAsia" w:ascii="宋体" w:hAnsi="宋体" w:cs="宋体"/>
                <w:sz w:val="24"/>
                <w:szCs w:val="24"/>
                <w:highlight w:val="none"/>
                <w:lang w:val="en-US" w:eastAsia="zh-CN"/>
              </w:rPr>
              <w:t>0-2分</w:t>
            </w:r>
            <w:r>
              <w:rPr>
                <w:rFonts w:hint="eastAsia" w:ascii="宋体" w:hAnsi="宋体" w:eastAsia="宋体" w:cs="宋体"/>
                <w:sz w:val="24"/>
                <w:szCs w:val="24"/>
                <w:highlight w:val="none"/>
                <w:lang w:val="en-US" w:eastAsia="zh-CN"/>
              </w:rPr>
              <w:t>。</w:t>
            </w:r>
          </w:p>
        </w:tc>
        <w:tc>
          <w:tcPr>
            <w:tcW w:w="720" w:type="dxa"/>
            <w:vAlign w:val="center"/>
          </w:tcPr>
          <w:p w14:paraId="5750972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080" w:type="dxa"/>
            <w:vAlign w:val="center"/>
          </w:tcPr>
          <w:p w14:paraId="5FFB9F5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515E161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0D175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shd w:val="clear" w:color="auto" w:fill="auto"/>
            <w:vAlign w:val="center"/>
          </w:tcPr>
          <w:p w14:paraId="7640FB8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4</w:t>
            </w:r>
          </w:p>
        </w:tc>
        <w:tc>
          <w:tcPr>
            <w:tcW w:w="1250" w:type="dxa"/>
            <w:vMerge w:val="continue"/>
          </w:tcPr>
          <w:p w14:paraId="0F294CED">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3610" w:type="dxa"/>
          </w:tcPr>
          <w:p w14:paraId="2DA62936">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能根据各参演剧目舞美设计以及表演需求，协调城区各专业剧场资源的能力 0-3 分。</w:t>
            </w:r>
          </w:p>
        </w:tc>
        <w:tc>
          <w:tcPr>
            <w:tcW w:w="720" w:type="dxa"/>
            <w:vAlign w:val="center"/>
          </w:tcPr>
          <w:p w14:paraId="389FB8AC">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64625D3A">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55EEB14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4B374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76B3F1B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250" w:type="dxa"/>
            <w:vMerge w:val="continue"/>
          </w:tcPr>
          <w:p w14:paraId="5B7912D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3610" w:type="dxa"/>
          </w:tcPr>
          <w:p w14:paraId="095538F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能统筹合理安排各剧目演出时间，确保在计划时间内顺利完成演出任务 0-3 分。</w:t>
            </w:r>
          </w:p>
        </w:tc>
        <w:tc>
          <w:tcPr>
            <w:tcW w:w="720" w:type="dxa"/>
            <w:vAlign w:val="center"/>
          </w:tcPr>
          <w:p w14:paraId="78B4E819">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3D02BAB7">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180A941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7ED36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09068E8B">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250" w:type="dxa"/>
            <w:vMerge w:val="continue"/>
          </w:tcPr>
          <w:p w14:paraId="2757D0DA">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3610" w:type="dxa"/>
          </w:tcPr>
          <w:p w14:paraId="4F44B63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对展演中可能出现的突发状况进行预判，及应对措施0-3分。</w:t>
            </w:r>
          </w:p>
        </w:tc>
        <w:tc>
          <w:tcPr>
            <w:tcW w:w="720" w:type="dxa"/>
            <w:vAlign w:val="center"/>
          </w:tcPr>
          <w:p w14:paraId="717355F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393D3E6F">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596FCD9A">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4023A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6792EE6C">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250" w:type="dxa"/>
            <w:vMerge w:val="continue"/>
          </w:tcPr>
          <w:p w14:paraId="0A904CAF">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p>
        </w:tc>
        <w:tc>
          <w:tcPr>
            <w:tcW w:w="3610" w:type="dxa"/>
          </w:tcPr>
          <w:p w14:paraId="5CA9FB6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在展演期间，提供措施确保演出安全和观演安全 0-3分。</w:t>
            </w:r>
          </w:p>
        </w:tc>
        <w:tc>
          <w:tcPr>
            <w:tcW w:w="720" w:type="dxa"/>
            <w:vAlign w:val="center"/>
          </w:tcPr>
          <w:p w14:paraId="530B2F3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7B3EADE5">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4ABFA836">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3BDA9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4DB42AB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1250" w:type="dxa"/>
            <w:vMerge w:val="continue"/>
          </w:tcPr>
          <w:p w14:paraId="773044A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1AB2AA1F">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艺术展演期间本地文艺团体传统戏曲展演的具体组织方案，场地租赁、观众组织、演出信息发布、物料制作，以及宣传推广等工作的安排是否合理，可行0-5分；</w:t>
            </w:r>
          </w:p>
          <w:p w14:paraId="7DC6CFF8">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承诺：</w:t>
            </w:r>
            <w:r>
              <w:rPr>
                <w:rFonts w:hint="eastAsia" w:ascii="宋体" w:hAnsi="宋体" w:eastAsia="宋体" w:cs="宋体"/>
                <w:sz w:val="24"/>
                <w:szCs w:val="24"/>
                <w:highlight w:val="none"/>
                <w:lang w:val="en-US" w:eastAsia="zh-CN"/>
              </w:rPr>
              <w:t>艺术展演期间组织安排不少于5场本地文艺团体传统戏曲展演（格式自拟）0-2分。</w:t>
            </w:r>
          </w:p>
        </w:tc>
        <w:tc>
          <w:tcPr>
            <w:tcW w:w="720" w:type="dxa"/>
            <w:vAlign w:val="center"/>
          </w:tcPr>
          <w:p w14:paraId="29173B01">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080" w:type="dxa"/>
            <w:vAlign w:val="center"/>
          </w:tcPr>
          <w:p w14:paraId="0210B7E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52FCD0C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2E3DE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7653EA69">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1250" w:type="dxa"/>
            <w:vMerge w:val="continue"/>
          </w:tcPr>
          <w:p w14:paraId="05B9300A">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shd w:val="clear" w:color="auto" w:fill="auto"/>
            <w:vAlign w:val="top"/>
          </w:tcPr>
          <w:p w14:paraId="59D04F85">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z w:val="24"/>
                <w:szCs w:val="24"/>
                <w:lang w:val="en-US" w:eastAsia="zh-CN"/>
              </w:rPr>
              <w:t>举办四场书画活动：书画活动的具体实施方案，</w:t>
            </w:r>
            <w:r>
              <w:rPr>
                <w:rFonts w:hint="eastAsia" w:ascii="宋体" w:hAnsi="宋体" w:eastAsia="宋体" w:cs="宋体"/>
                <w:color w:val="000000"/>
                <w:kern w:val="0"/>
                <w:sz w:val="24"/>
                <w:szCs w:val="24"/>
                <w:lang w:val="en-US" w:eastAsia="zh-CN" w:bidi="ar"/>
              </w:rPr>
              <w:t>能统筹合理安排各书画活动时间，确保在计划时间内顺利完成</w:t>
            </w:r>
            <w:r>
              <w:rPr>
                <w:rFonts w:hint="eastAsia" w:ascii="宋体" w:hAnsi="宋体" w:cs="宋体"/>
                <w:color w:val="000000"/>
                <w:kern w:val="0"/>
                <w:sz w:val="24"/>
                <w:szCs w:val="24"/>
                <w:lang w:val="en-US" w:eastAsia="zh-CN" w:bidi="ar"/>
              </w:rPr>
              <w:t>展览</w:t>
            </w:r>
            <w:r>
              <w:rPr>
                <w:rFonts w:hint="eastAsia" w:ascii="宋体" w:hAnsi="宋体" w:eastAsia="宋体" w:cs="宋体"/>
                <w:color w:val="000000"/>
                <w:kern w:val="0"/>
                <w:sz w:val="24"/>
                <w:szCs w:val="24"/>
                <w:lang w:val="en-US" w:eastAsia="zh-CN" w:bidi="ar"/>
              </w:rPr>
              <w:t>任务 0-</w:t>
            </w:r>
            <w:r>
              <w:rPr>
                <w:rFonts w:hint="eastAsia" w:ascii="宋体" w:hAnsi="宋体" w:cs="宋体"/>
                <w:color w:val="000000"/>
                <w:kern w:val="0"/>
                <w:sz w:val="24"/>
                <w:szCs w:val="24"/>
                <w:lang w:val="en-US" w:eastAsia="zh-CN" w:bidi="ar"/>
              </w:rPr>
              <w:t>5</w:t>
            </w:r>
            <w:r>
              <w:rPr>
                <w:rFonts w:hint="eastAsia" w:ascii="宋体" w:hAnsi="宋体" w:eastAsia="宋体" w:cs="宋体"/>
                <w:color w:val="000000"/>
                <w:kern w:val="0"/>
                <w:sz w:val="24"/>
                <w:szCs w:val="24"/>
                <w:lang w:val="en-US" w:eastAsia="zh-CN" w:bidi="ar"/>
              </w:rPr>
              <w:t xml:space="preserve"> 分。</w:t>
            </w:r>
          </w:p>
        </w:tc>
        <w:tc>
          <w:tcPr>
            <w:tcW w:w="720" w:type="dxa"/>
            <w:shd w:val="clear" w:color="auto" w:fill="auto"/>
            <w:vAlign w:val="center"/>
          </w:tcPr>
          <w:p w14:paraId="664B8B8F">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080" w:type="dxa"/>
            <w:vAlign w:val="center"/>
          </w:tcPr>
          <w:p w14:paraId="2CC2A96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7845198A">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12402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45EC22DA">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1250" w:type="dxa"/>
            <w:vMerge w:val="continue"/>
          </w:tcPr>
          <w:p w14:paraId="1DBB7ACC">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shd w:val="clear" w:color="auto" w:fill="auto"/>
            <w:vAlign w:val="top"/>
          </w:tcPr>
          <w:p w14:paraId="3BF46487">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rPr>
              <w:t>协调演出单位、演出场所，做好灯箱LED屏游动字幕显示、路引指示、宣传折页等氛围营造和演出信息</w:t>
            </w:r>
            <w:r>
              <w:rPr>
                <w:rFonts w:hint="eastAsia" w:ascii="宋体" w:hAnsi="宋体" w:eastAsia="宋体" w:cs="宋体"/>
                <w:sz w:val="24"/>
                <w:szCs w:val="24"/>
                <w:highlight w:val="none"/>
              </w:rPr>
              <w:t>发布等相关工作</w:t>
            </w:r>
            <w:r>
              <w:rPr>
                <w:rFonts w:hint="eastAsia" w:ascii="宋体" w:hAnsi="宋体" w:eastAsia="宋体" w:cs="宋体"/>
                <w:sz w:val="24"/>
                <w:szCs w:val="24"/>
                <w:highlight w:val="none"/>
                <w:lang w:val="en-US" w:eastAsia="zh-CN"/>
              </w:rPr>
              <w:t>0-3分；</w:t>
            </w:r>
          </w:p>
          <w:p w14:paraId="044185E9">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highlight w:val="none"/>
                <w:lang w:val="en-US" w:eastAsia="zh-CN"/>
              </w:rPr>
              <w:t>承诺：</w:t>
            </w:r>
            <w:r>
              <w:rPr>
                <w:rFonts w:hint="eastAsia" w:ascii="宋体" w:hAnsi="宋体" w:eastAsia="宋体" w:cs="宋体"/>
                <w:sz w:val="24"/>
                <w:szCs w:val="24"/>
                <w:highlight w:val="none"/>
              </w:rPr>
              <w:t>路引指示每场演出不少于3块；宣传折页制作应不少于2000份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格式自拟</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0-2分</w:t>
            </w:r>
            <w:r>
              <w:rPr>
                <w:rFonts w:hint="eastAsia" w:ascii="宋体" w:hAnsi="宋体" w:eastAsia="宋体" w:cs="宋体"/>
                <w:sz w:val="24"/>
                <w:szCs w:val="24"/>
                <w:highlight w:val="none"/>
                <w:lang w:eastAsia="zh-CN"/>
              </w:rPr>
              <w:t>。</w:t>
            </w:r>
          </w:p>
        </w:tc>
        <w:tc>
          <w:tcPr>
            <w:tcW w:w="720" w:type="dxa"/>
            <w:shd w:val="clear" w:color="auto" w:fill="auto"/>
            <w:vAlign w:val="center"/>
          </w:tcPr>
          <w:p w14:paraId="4C1D8F25">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080" w:type="dxa"/>
            <w:vAlign w:val="center"/>
          </w:tcPr>
          <w:p w14:paraId="69173B65">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0345B4B2">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1AB34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26B9A2CE">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1250" w:type="dxa"/>
            <w:vMerge w:val="continue"/>
          </w:tcPr>
          <w:p w14:paraId="7D991417">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4A7179DD">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做好参演剧目、参赛选手获奖证书制作等相关工作</w:t>
            </w:r>
            <w:r>
              <w:rPr>
                <w:rFonts w:hint="eastAsia" w:ascii="宋体" w:hAnsi="宋体" w:eastAsia="宋体" w:cs="宋体"/>
                <w:sz w:val="24"/>
                <w:szCs w:val="24"/>
                <w:lang w:val="en-US" w:eastAsia="zh-CN"/>
              </w:rPr>
              <w:t>0-3分</w:t>
            </w:r>
            <w:r>
              <w:rPr>
                <w:rFonts w:hint="eastAsia" w:ascii="宋体" w:hAnsi="宋体" w:eastAsia="宋体" w:cs="宋体"/>
                <w:sz w:val="24"/>
                <w:szCs w:val="24"/>
                <w:lang w:eastAsia="zh-CN"/>
              </w:rPr>
              <w:t>。</w:t>
            </w:r>
          </w:p>
        </w:tc>
        <w:tc>
          <w:tcPr>
            <w:tcW w:w="720" w:type="dxa"/>
            <w:vAlign w:val="center"/>
          </w:tcPr>
          <w:p w14:paraId="7AF818B7">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10362A1C">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55547A0C">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702CF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03576EF3">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1250" w:type="dxa"/>
            <w:vMerge w:val="continue"/>
          </w:tcPr>
          <w:p w14:paraId="555A6BA1">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1B655859">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拟订</w:t>
            </w:r>
            <w:r>
              <w:rPr>
                <w:rFonts w:hint="eastAsia" w:ascii="宋体" w:hAnsi="宋体" w:eastAsia="宋体" w:cs="宋体"/>
                <w:sz w:val="24"/>
                <w:szCs w:val="24"/>
              </w:rPr>
              <w:t>本次西湖之春艺术展演</w:t>
            </w:r>
            <w:r>
              <w:rPr>
                <w:rFonts w:hint="eastAsia" w:ascii="宋体" w:hAnsi="宋体" w:eastAsia="宋体" w:cs="宋体"/>
                <w:sz w:val="24"/>
                <w:szCs w:val="24"/>
                <w:lang w:eastAsia="zh-CN"/>
              </w:rPr>
              <w:t>的</w:t>
            </w:r>
            <w:r>
              <w:rPr>
                <w:rFonts w:hint="eastAsia" w:ascii="宋体" w:hAnsi="宋体" w:eastAsia="宋体" w:cs="宋体"/>
                <w:sz w:val="24"/>
                <w:szCs w:val="24"/>
              </w:rPr>
              <w:t>宣传工作方案，做好媒体报道的组织、协调、接待等具体工作</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分</w:t>
            </w:r>
            <w:r>
              <w:rPr>
                <w:rFonts w:hint="eastAsia" w:ascii="宋体" w:hAnsi="宋体" w:eastAsia="宋体" w:cs="宋体"/>
                <w:sz w:val="24"/>
                <w:szCs w:val="24"/>
                <w:lang w:eastAsia="zh-CN"/>
              </w:rPr>
              <w:t>。</w:t>
            </w:r>
          </w:p>
        </w:tc>
        <w:tc>
          <w:tcPr>
            <w:tcW w:w="720" w:type="dxa"/>
            <w:vAlign w:val="center"/>
          </w:tcPr>
          <w:p w14:paraId="76FD79EB">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080" w:type="dxa"/>
            <w:vAlign w:val="center"/>
          </w:tcPr>
          <w:p w14:paraId="002CCDD2">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149690F9">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5D930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0FC2C621">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1250" w:type="dxa"/>
            <w:vMerge w:val="continue"/>
          </w:tcPr>
          <w:p w14:paraId="65AA54EA">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45F5B90E">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拟订</w:t>
            </w:r>
            <w:r>
              <w:rPr>
                <w:rFonts w:hint="eastAsia" w:ascii="宋体" w:hAnsi="宋体" w:eastAsia="宋体" w:cs="宋体"/>
                <w:sz w:val="24"/>
                <w:szCs w:val="24"/>
              </w:rPr>
              <w:t>本次西湖之春艺术展演</w:t>
            </w:r>
            <w:r>
              <w:rPr>
                <w:rFonts w:hint="eastAsia" w:ascii="宋体" w:hAnsi="宋体" w:eastAsia="宋体" w:cs="宋体"/>
                <w:sz w:val="24"/>
                <w:szCs w:val="24"/>
                <w:lang w:eastAsia="zh-CN"/>
              </w:rPr>
              <w:t>的</w:t>
            </w:r>
            <w:r>
              <w:rPr>
                <w:rFonts w:hint="eastAsia" w:ascii="宋体" w:hAnsi="宋体" w:eastAsia="宋体" w:cs="宋体"/>
                <w:sz w:val="24"/>
                <w:szCs w:val="24"/>
              </w:rPr>
              <w:t>宣传工作方案，做好媒体报道的组织、协调、接待等具体工作</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分</w:t>
            </w:r>
            <w:r>
              <w:rPr>
                <w:rFonts w:hint="eastAsia" w:ascii="宋体" w:hAnsi="宋体" w:eastAsia="宋体" w:cs="宋体"/>
                <w:sz w:val="24"/>
                <w:szCs w:val="24"/>
                <w:lang w:eastAsia="zh-CN"/>
              </w:rPr>
              <w:t>。</w:t>
            </w:r>
          </w:p>
        </w:tc>
        <w:tc>
          <w:tcPr>
            <w:tcW w:w="720" w:type="dxa"/>
            <w:vAlign w:val="center"/>
          </w:tcPr>
          <w:p w14:paraId="751F44E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080" w:type="dxa"/>
            <w:vAlign w:val="center"/>
          </w:tcPr>
          <w:p w14:paraId="245D3701">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23D0F90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65166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557494FA">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w:t>
            </w:r>
          </w:p>
        </w:tc>
        <w:tc>
          <w:tcPr>
            <w:tcW w:w="1250" w:type="dxa"/>
            <w:vMerge w:val="continue"/>
          </w:tcPr>
          <w:p w14:paraId="2DE8988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00517790">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本次活动所有参演剧目、演出场次的摄影等相关工作</w:t>
            </w:r>
            <w:r>
              <w:rPr>
                <w:rFonts w:hint="eastAsia" w:ascii="宋体" w:hAnsi="宋体" w:eastAsia="宋体" w:cs="宋体"/>
                <w:sz w:val="24"/>
                <w:szCs w:val="24"/>
                <w:lang w:val="en-US" w:eastAsia="zh-CN"/>
              </w:rPr>
              <w:t>的具体实施方案0-</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分；</w:t>
            </w:r>
          </w:p>
          <w:p w14:paraId="784CD343">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承诺：（1）</w:t>
            </w:r>
            <w:r>
              <w:rPr>
                <w:rFonts w:hint="eastAsia" w:ascii="宋体" w:hAnsi="宋体" w:eastAsia="宋体" w:cs="宋体"/>
                <w:sz w:val="24"/>
                <w:szCs w:val="24"/>
              </w:rPr>
              <w:t>传统戏曲展演和青年戏曲演员大赛（决赛）需要视频直播</w:t>
            </w:r>
            <w:r>
              <w:rPr>
                <w:rFonts w:hint="eastAsia" w:ascii="宋体" w:hAnsi="宋体" w:eastAsia="宋体" w:cs="宋体"/>
                <w:sz w:val="24"/>
                <w:szCs w:val="24"/>
                <w:lang w:val="en-US" w:eastAsia="zh-CN"/>
              </w:rPr>
              <w:t>0-2分</w:t>
            </w:r>
            <w:r>
              <w:rPr>
                <w:rFonts w:hint="eastAsia" w:ascii="宋体" w:hAnsi="宋体" w:eastAsia="宋体" w:cs="宋体"/>
                <w:sz w:val="24"/>
                <w:szCs w:val="24"/>
                <w:highlight w:val="none"/>
                <w:lang w:val="en-US" w:eastAsia="zh-CN"/>
              </w:rPr>
              <w:t>（格式自拟）</w:t>
            </w:r>
            <w:r>
              <w:rPr>
                <w:rFonts w:hint="eastAsia" w:ascii="宋体" w:hAnsi="宋体" w:eastAsia="宋体" w:cs="宋体"/>
                <w:sz w:val="24"/>
                <w:szCs w:val="24"/>
                <w:lang w:eastAsia="zh-CN"/>
              </w:rPr>
              <w:t>；</w:t>
            </w:r>
          </w:p>
          <w:p w14:paraId="3AEA6193">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highlight w:val="none"/>
              </w:rPr>
              <w:t>各类活动提供不少于</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张</w:t>
            </w:r>
            <w:r>
              <w:rPr>
                <w:rFonts w:hint="eastAsia" w:ascii="宋体" w:hAnsi="宋体" w:eastAsia="宋体" w:cs="宋体"/>
                <w:sz w:val="24"/>
                <w:szCs w:val="24"/>
                <w:highlight w:val="none"/>
                <w:lang w:eastAsia="zh-CN"/>
              </w:rPr>
              <w:t>高清</w:t>
            </w:r>
            <w:r>
              <w:rPr>
                <w:rFonts w:hint="eastAsia" w:ascii="宋体" w:hAnsi="宋体" w:eastAsia="宋体" w:cs="宋体"/>
                <w:sz w:val="24"/>
                <w:szCs w:val="24"/>
                <w:highlight w:val="none"/>
              </w:rPr>
              <w:t>照片，视频不少于</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个，并在不少于5家新媒体平台上发布</w:t>
            </w:r>
            <w:r>
              <w:rPr>
                <w:rFonts w:hint="eastAsia" w:ascii="宋体" w:hAnsi="宋体" w:eastAsia="宋体" w:cs="宋体"/>
                <w:sz w:val="24"/>
                <w:szCs w:val="24"/>
                <w:highlight w:val="none"/>
                <w:lang w:val="en-US" w:eastAsia="zh-CN"/>
              </w:rPr>
              <w:t>0-2分（格式自拟）</w:t>
            </w:r>
            <w:r>
              <w:rPr>
                <w:rFonts w:hint="eastAsia" w:ascii="宋体" w:hAnsi="宋体" w:eastAsia="宋体" w:cs="宋体"/>
                <w:sz w:val="24"/>
                <w:szCs w:val="24"/>
                <w:highlight w:val="none"/>
                <w:lang w:eastAsia="zh-CN"/>
              </w:rPr>
              <w:t>。</w:t>
            </w:r>
          </w:p>
        </w:tc>
        <w:tc>
          <w:tcPr>
            <w:tcW w:w="720" w:type="dxa"/>
            <w:vAlign w:val="center"/>
          </w:tcPr>
          <w:p w14:paraId="0EC442E0">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1080" w:type="dxa"/>
            <w:vAlign w:val="center"/>
          </w:tcPr>
          <w:p w14:paraId="0185083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6645B0D9">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16DBF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5720204D">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15</w:t>
            </w:r>
          </w:p>
        </w:tc>
        <w:tc>
          <w:tcPr>
            <w:tcW w:w="1250" w:type="dxa"/>
            <w:vMerge w:val="continue"/>
          </w:tcPr>
          <w:p w14:paraId="1ABC993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4937FD84">
            <w:pPr>
              <w:keepNext w:val="0"/>
              <w:keepLines w:val="0"/>
              <w:pageBreakBefore w:val="0"/>
              <w:kinsoku/>
              <w:wordWrap/>
              <w:overflowPunct/>
              <w:topLinePunct w:val="0"/>
              <w:autoSpaceDE/>
              <w:autoSpaceDN/>
              <w:bidi w:val="0"/>
              <w:snapToGrid w:val="0"/>
              <w:spacing w:line="360" w:lineRule="auto"/>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配合</w:t>
            </w:r>
            <w:r>
              <w:rPr>
                <w:rFonts w:hint="eastAsia" w:ascii="宋体" w:hAnsi="宋体" w:eastAsia="宋体" w:cs="宋体"/>
                <w:sz w:val="24"/>
                <w:szCs w:val="24"/>
              </w:rPr>
              <w:t>做好各场次演出的观演组织等相关工作</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分</w:t>
            </w:r>
            <w:r>
              <w:rPr>
                <w:rFonts w:hint="eastAsia" w:ascii="宋体" w:hAnsi="宋体" w:eastAsia="宋体" w:cs="宋体"/>
                <w:sz w:val="24"/>
                <w:szCs w:val="24"/>
                <w:lang w:eastAsia="zh-CN"/>
              </w:rPr>
              <w:t>。</w:t>
            </w:r>
          </w:p>
        </w:tc>
        <w:tc>
          <w:tcPr>
            <w:tcW w:w="720" w:type="dxa"/>
            <w:vAlign w:val="center"/>
          </w:tcPr>
          <w:p w14:paraId="274DE6FB">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080" w:type="dxa"/>
            <w:vAlign w:val="center"/>
          </w:tcPr>
          <w:p w14:paraId="6193B202">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06E0CB89">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559B6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2E1BBA29">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w:t>
            </w:r>
          </w:p>
        </w:tc>
        <w:tc>
          <w:tcPr>
            <w:tcW w:w="1250" w:type="dxa"/>
            <w:vMerge w:val="continue"/>
          </w:tcPr>
          <w:p w14:paraId="0F6D921D">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4007A1F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color w:val="000000"/>
                <w:kern w:val="0"/>
                <w:sz w:val="24"/>
                <w:szCs w:val="24"/>
                <w:lang w:val="en-US" w:eastAsia="zh-CN" w:bidi="ar"/>
              </w:rPr>
              <w:t>对演出场所配合做好活动现场的秩序维护、会场管理、安全保卫、消防安全等工作，以高标准要求完成活动全程的安保任务 0-</w:t>
            </w:r>
            <w:r>
              <w:rPr>
                <w:rFonts w:hint="eastAsia" w:ascii="宋体" w:hAnsi="宋体" w:cs="宋体"/>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分。</w:t>
            </w:r>
          </w:p>
        </w:tc>
        <w:tc>
          <w:tcPr>
            <w:tcW w:w="720" w:type="dxa"/>
            <w:vAlign w:val="center"/>
          </w:tcPr>
          <w:p w14:paraId="5E8011D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74000628">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59E7A733">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23073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738DD7E2">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17</w:t>
            </w:r>
          </w:p>
        </w:tc>
        <w:tc>
          <w:tcPr>
            <w:tcW w:w="1250" w:type="dxa"/>
            <w:vMerge w:val="continue"/>
          </w:tcPr>
          <w:p w14:paraId="7E47614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c>
          <w:tcPr>
            <w:tcW w:w="3610" w:type="dxa"/>
          </w:tcPr>
          <w:p w14:paraId="1BEB7D3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color w:val="000000"/>
                <w:kern w:val="0"/>
                <w:sz w:val="24"/>
                <w:szCs w:val="24"/>
                <w:lang w:val="en-US" w:eastAsia="zh-CN" w:bidi="ar"/>
              </w:rPr>
              <w:t>须建立突发公共安全事件应急机制，配备足够的专业人员对可能出现的危急情况做好预案，最大限度地减少展会突发公共安全事件对参展人员、设备、场所的危害0-</w:t>
            </w:r>
            <w:r>
              <w:rPr>
                <w:rFonts w:hint="eastAsia" w:ascii="宋体" w:hAnsi="宋体" w:cs="宋体"/>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分。</w:t>
            </w:r>
          </w:p>
        </w:tc>
        <w:tc>
          <w:tcPr>
            <w:tcW w:w="720" w:type="dxa"/>
            <w:vAlign w:val="center"/>
          </w:tcPr>
          <w:p w14:paraId="358E755D">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080" w:type="dxa"/>
            <w:vAlign w:val="center"/>
          </w:tcPr>
          <w:p w14:paraId="7579ED9E">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6C443C1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1EF9E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4196CCC3">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18</w:t>
            </w:r>
          </w:p>
        </w:tc>
        <w:tc>
          <w:tcPr>
            <w:tcW w:w="1250" w:type="dxa"/>
            <w:vAlign w:val="center"/>
          </w:tcPr>
          <w:p w14:paraId="4D1F90FD">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拟派项目组成员</w:t>
            </w:r>
          </w:p>
        </w:tc>
        <w:tc>
          <w:tcPr>
            <w:tcW w:w="3610" w:type="dxa"/>
          </w:tcPr>
          <w:p w14:paraId="1D4B102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sz w:val="24"/>
                <w:szCs w:val="24"/>
                <w:highlight w:val="none"/>
              </w:rPr>
              <w:t>执行团队需对舞台演出有成熟的操作经验，熟悉艺术文艺团体情况，具有较强的组织协调能力。具体包括：</w:t>
            </w:r>
            <w:r>
              <w:rPr>
                <w:rFonts w:hint="eastAsia" w:ascii="宋体" w:hAnsi="宋体" w:eastAsia="宋体" w:cs="宋体"/>
                <w:sz w:val="24"/>
                <w:szCs w:val="24"/>
                <w:highlight w:val="none"/>
                <w:lang w:eastAsia="zh-CN"/>
              </w:rPr>
              <w:t>具</w:t>
            </w:r>
            <w:r>
              <w:rPr>
                <w:rFonts w:hint="eastAsia" w:ascii="宋体" w:hAnsi="宋体" w:eastAsia="宋体" w:cs="宋体"/>
                <w:sz w:val="24"/>
                <w:szCs w:val="24"/>
                <w:highlight w:val="none"/>
              </w:rPr>
              <w:t>有承担并完成市级及以上政府部门主办的演艺、创作展演经验</w:t>
            </w:r>
            <w:r>
              <w:rPr>
                <w:rFonts w:hint="eastAsia" w:ascii="宋体" w:hAnsi="宋体" w:eastAsia="宋体" w:cs="宋体"/>
                <w:sz w:val="24"/>
                <w:szCs w:val="24"/>
                <w:highlight w:val="none"/>
                <w:lang w:val="en-US" w:eastAsia="zh-CN"/>
              </w:rPr>
              <w:t>0-3分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承办团队骨干成员中拥有多名中级（含）以上艺术系列职称</w:t>
            </w:r>
            <w:r>
              <w:rPr>
                <w:rFonts w:hint="eastAsia" w:ascii="宋体" w:hAnsi="宋体" w:eastAsia="宋体" w:cs="宋体"/>
                <w:sz w:val="24"/>
                <w:szCs w:val="24"/>
                <w:highlight w:val="none"/>
                <w:lang w:val="en-US" w:eastAsia="zh-CN"/>
              </w:rPr>
              <w:t>0-3分</w:t>
            </w:r>
            <w:r>
              <w:rPr>
                <w:rFonts w:hint="eastAsia" w:ascii="宋体" w:hAnsi="宋体" w:eastAsia="宋体" w:cs="宋体"/>
                <w:sz w:val="24"/>
                <w:szCs w:val="24"/>
                <w:highlight w:val="none"/>
              </w:rPr>
              <w:t>；熟悉文艺院团和艺术创作进入舞台二次创作的艺术协调</w:t>
            </w:r>
            <w:r>
              <w:rPr>
                <w:rFonts w:hint="eastAsia" w:ascii="宋体" w:hAnsi="宋体" w:eastAsia="宋体" w:cs="宋体"/>
                <w:sz w:val="24"/>
                <w:szCs w:val="24"/>
                <w:highlight w:val="none"/>
                <w:lang w:val="en-US" w:eastAsia="zh-CN"/>
              </w:rPr>
              <w:t>0-3分</w:t>
            </w:r>
            <w:r>
              <w:rPr>
                <w:rFonts w:hint="eastAsia" w:ascii="宋体" w:hAnsi="宋体" w:eastAsia="宋体" w:cs="宋体"/>
                <w:sz w:val="24"/>
                <w:szCs w:val="24"/>
                <w:highlight w:val="none"/>
              </w:rPr>
              <w:t>。</w:t>
            </w:r>
          </w:p>
        </w:tc>
        <w:tc>
          <w:tcPr>
            <w:tcW w:w="720" w:type="dxa"/>
            <w:vAlign w:val="center"/>
          </w:tcPr>
          <w:p w14:paraId="4668BA6F">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080" w:type="dxa"/>
            <w:vAlign w:val="center"/>
          </w:tcPr>
          <w:p w14:paraId="7263EF74">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主观分</w:t>
            </w:r>
          </w:p>
        </w:tc>
        <w:tc>
          <w:tcPr>
            <w:tcW w:w="1297" w:type="dxa"/>
          </w:tcPr>
          <w:p w14:paraId="79A97906">
            <w:pPr>
              <w:keepNext w:val="0"/>
              <w:keepLines w:val="0"/>
              <w:pageBreakBefore w:val="0"/>
              <w:kinsoku/>
              <w:wordWrap/>
              <w:overflowPunct/>
              <w:topLinePunct w:val="0"/>
              <w:autoSpaceDE/>
              <w:autoSpaceDN/>
              <w:bidi w:val="0"/>
              <w:snapToGrid w:val="0"/>
              <w:spacing w:line="360" w:lineRule="auto"/>
              <w:jc w:val="center"/>
              <w:textAlignment w:val="auto"/>
              <w:rPr>
                <w:rFonts w:hint="eastAsia" w:ascii="宋体" w:hAnsi="宋体" w:eastAsia="宋体" w:cs="宋体"/>
                <w:color w:val="auto"/>
                <w:sz w:val="24"/>
                <w:szCs w:val="24"/>
                <w:highlight w:val="none"/>
              </w:rPr>
            </w:pPr>
          </w:p>
        </w:tc>
      </w:tr>
      <w:tr w14:paraId="546D3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8" w:type="dxa"/>
            <w:vAlign w:val="center"/>
          </w:tcPr>
          <w:p w14:paraId="2F4EBD51">
            <w:pPr>
              <w:keepNext w:val="0"/>
              <w:keepLines w:val="0"/>
              <w:pageBreakBefore w:val="0"/>
              <w:kinsoku/>
              <w:wordWrap/>
              <w:overflowPunct/>
              <w:topLinePunct w:val="0"/>
              <w:autoSpaceDE/>
              <w:autoSpaceDN/>
              <w:bidi w:val="0"/>
              <w:snapToGrid w:val="0"/>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19</w:t>
            </w:r>
          </w:p>
        </w:tc>
        <w:tc>
          <w:tcPr>
            <w:tcW w:w="4860" w:type="dxa"/>
            <w:gridSpan w:val="2"/>
          </w:tcPr>
          <w:p w14:paraId="2C5BA208">
            <w:pPr>
              <w:keepNext w:val="0"/>
              <w:keepLines w:val="0"/>
              <w:pageBreakBefore w:val="0"/>
              <w:kinsoku/>
              <w:wordWrap/>
              <w:overflowPunct/>
              <w:topLinePunct w:val="0"/>
              <w:autoSpaceDE/>
              <w:autoSpaceDN/>
              <w:bidi w:val="0"/>
              <w:spacing w:line="360" w:lineRule="auto"/>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有效投标报价的最低价作为评标基准价，其最低报价为满分；按［投标报价得分=（评标基准价/投标报价）*权重］的计算公式计算。</w:t>
            </w:r>
          </w:p>
          <w:p w14:paraId="4ADC17FE">
            <w:pPr>
              <w:keepNext w:val="0"/>
              <w:keepLines w:val="0"/>
              <w:pageBreakBefore w:val="0"/>
              <w:widowControl/>
              <w:shd w:val="clear" w:color="auto" w:fill="FFFFFF"/>
              <w:kinsoku/>
              <w:wordWrap/>
              <w:overflowPunct/>
              <w:topLinePunct w:val="0"/>
              <w:autoSpaceDE/>
              <w:autoSpaceDN/>
              <w:bidi w:val="0"/>
              <w:adjustRightInd/>
              <w:spacing w:after="225" w:line="360" w:lineRule="auto"/>
              <w:ind w:firstLine="4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tc>
        <w:tc>
          <w:tcPr>
            <w:tcW w:w="720" w:type="dxa"/>
            <w:vAlign w:val="center"/>
          </w:tcPr>
          <w:p w14:paraId="695BA13C">
            <w:pPr>
              <w:keepNext w:val="0"/>
              <w:keepLines w:val="0"/>
              <w:pageBreakBefore w:val="0"/>
              <w:kinsoku/>
              <w:wordWrap/>
              <w:overflowPunct/>
              <w:topLinePunct w:val="0"/>
              <w:autoSpaceDE/>
              <w:autoSpaceDN/>
              <w:bidi w:val="0"/>
              <w:spacing w:line="360" w:lineRule="auto"/>
              <w:jc w:val="center"/>
              <w:textAlignment w:val="auto"/>
              <w:outlineLvl w:val="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1080" w:type="dxa"/>
            <w:vAlign w:val="center"/>
          </w:tcPr>
          <w:p w14:paraId="7D0AD58D">
            <w:pPr>
              <w:keepNext w:val="0"/>
              <w:keepLines w:val="0"/>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szCs w:val="24"/>
                <w:highlight w:val="none"/>
              </w:rPr>
            </w:pPr>
          </w:p>
        </w:tc>
        <w:tc>
          <w:tcPr>
            <w:tcW w:w="1297" w:type="dxa"/>
            <w:vAlign w:val="center"/>
          </w:tcPr>
          <w:p w14:paraId="52B5A744">
            <w:pPr>
              <w:keepNext w:val="0"/>
              <w:keepLines w:val="0"/>
              <w:pageBreakBefore w:val="0"/>
              <w:kinsoku/>
              <w:wordWrap/>
              <w:overflowPunct/>
              <w:topLinePunct w:val="0"/>
              <w:autoSpaceDE/>
              <w:autoSpaceDN/>
              <w:bidi w:val="0"/>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bl>
    <w:p w14:paraId="1C30EFBB">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3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5"/>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5B4FDB5">
      <w:pPr>
        <w:pStyle w:val="33"/>
        <w:snapToGrid w:val="0"/>
        <w:spacing w:before="0" w:beforeLines="0" w:after="0" w:afterLines="0" w:line="440" w:lineRule="exact"/>
        <w:jc w:val="center"/>
        <w:outlineLvl w:val="0"/>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t>（</w:t>
      </w:r>
      <w:r>
        <w:rPr>
          <w:rFonts w:hint="eastAsia" w:ascii="宋体" w:hAnsi="宋体" w:eastAsia="宋体" w:cs="宋体"/>
          <w:b/>
          <w:sz w:val="28"/>
          <w:szCs w:val="28"/>
          <w:highlight w:val="none"/>
          <w:lang w:val="en-US" w:eastAsia="zh-CN"/>
        </w:rPr>
        <w:t>以最终合同为准</w:t>
      </w:r>
      <w:r>
        <w:rPr>
          <w:rFonts w:hint="eastAsia" w:ascii="宋体" w:hAnsi="宋体" w:eastAsia="宋体" w:cs="宋体"/>
          <w:b/>
          <w:sz w:val="28"/>
          <w:szCs w:val="28"/>
          <w:highlight w:val="none"/>
          <w:lang w:eastAsia="zh-CN"/>
        </w:rPr>
        <w:t>）</w:t>
      </w:r>
    </w:p>
    <w:p w14:paraId="74C973D7">
      <w:pPr>
        <w:pStyle w:val="33"/>
        <w:snapToGrid w:val="0"/>
        <w:spacing w:before="0" w:beforeLines="0" w:after="0" w:afterLines="0" w:line="440" w:lineRule="exact"/>
        <w:ind w:firstLine="562" w:firstLineChars="200"/>
        <w:jc w:val="center"/>
        <w:outlineLvl w:val="0"/>
        <w:rPr>
          <w:rFonts w:hint="eastAsia" w:ascii="宋体" w:hAnsi="宋体" w:eastAsia="宋体" w:cs="宋体"/>
          <w:b/>
          <w:sz w:val="28"/>
          <w:szCs w:val="28"/>
          <w:highlight w:val="none"/>
        </w:rPr>
      </w:pPr>
    </w:p>
    <w:p w14:paraId="4711F120">
      <w:pPr>
        <w:pStyle w:val="33"/>
        <w:snapToGrid w:val="0"/>
        <w:spacing w:before="0" w:beforeLines="0" w:after="0" w:afterLines="0" w:line="440" w:lineRule="exact"/>
        <w:ind w:firstLine="723" w:firstLineChars="200"/>
        <w:jc w:val="center"/>
        <w:outlineLvl w:val="0"/>
        <w:rPr>
          <w:rFonts w:hint="eastAsia" w:ascii="黑体" w:hAnsi="黑体" w:eastAsia="黑体"/>
          <w:b/>
          <w:bCs/>
          <w:sz w:val="36"/>
          <w:szCs w:val="36"/>
          <w:highlight w:val="none"/>
        </w:rPr>
      </w:pPr>
      <w:r>
        <w:rPr>
          <w:rFonts w:hint="eastAsia" w:ascii="黑体" w:hAnsi="黑体" w:eastAsia="黑体"/>
          <w:b/>
          <w:sz w:val="36"/>
          <w:szCs w:val="36"/>
          <w:highlight w:val="none"/>
        </w:rPr>
        <w:t xml:space="preserve"> ****项目</w:t>
      </w:r>
      <w:r>
        <w:rPr>
          <w:rFonts w:hint="eastAsia" w:ascii="黑体" w:hAnsi="黑体" w:eastAsia="黑体"/>
          <w:b/>
          <w:bCs/>
          <w:sz w:val="36"/>
          <w:szCs w:val="36"/>
          <w:highlight w:val="none"/>
        </w:rPr>
        <w:t>合同</w:t>
      </w:r>
    </w:p>
    <w:p w14:paraId="4ED7E459">
      <w:pPr>
        <w:pStyle w:val="33"/>
        <w:snapToGrid w:val="0"/>
        <w:spacing w:before="0" w:beforeLines="0" w:after="0" w:afterLines="0" w:line="440" w:lineRule="exact"/>
        <w:ind w:firstLine="723" w:firstLineChars="200"/>
        <w:jc w:val="center"/>
        <w:outlineLvl w:val="0"/>
        <w:rPr>
          <w:rFonts w:hint="eastAsia" w:ascii="黑体" w:hAnsi="黑体" w:eastAsia="黑体"/>
          <w:b/>
          <w:bCs/>
          <w:sz w:val="36"/>
          <w:szCs w:val="36"/>
          <w:highlight w:val="none"/>
        </w:rPr>
      </w:pPr>
    </w:p>
    <w:p w14:paraId="3BE14625">
      <w:pPr>
        <w:pStyle w:val="33"/>
        <w:keepNext w:val="0"/>
        <w:keepLines w:val="0"/>
        <w:pageBreakBefore w:val="0"/>
        <w:kinsoku/>
        <w:wordWrap/>
        <w:overflowPunct/>
        <w:topLinePunct w:val="0"/>
        <w:bidi w:val="0"/>
        <w:snapToGrid w:val="0"/>
        <w:spacing w:before="0" w:beforeLines="0" w:after="0" w:afterLines="0" w:line="360" w:lineRule="auto"/>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 xml:space="preserve">合同编号：                  </w:t>
      </w:r>
    </w:p>
    <w:p w14:paraId="491F6FF5">
      <w:pPr>
        <w:pStyle w:val="33"/>
        <w:keepNext w:val="0"/>
        <w:keepLines w:val="0"/>
        <w:pageBreakBefore w:val="0"/>
        <w:kinsoku/>
        <w:wordWrap/>
        <w:overflowPunct/>
        <w:topLinePunct w:val="0"/>
        <w:bidi w:val="0"/>
        <w:snapToGrid w:val="0"/>
        <w:spacing w:before="0" w:beforeLines="0" w:after="0" w:afterLines="0" w:line="360" w:lineRule="auto"/>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合同项目名称：</w:t>
      </w:r>
      <w:r>
        <w:rPr>
          <w:rFonts w:hint="eastAsia" w:hAnsi="宋体" w:cs="宋体"/>
          <w:b/>
          <w:sz w:val="24"/>
          <w:szCs w:val="24"/>
          <w:highlight w:val="none"/>
          <w:lang w:val="en-US" w:eastAsia="zh-CN"/>
        </w:rPr>
        <w:t>2025年“西湖之春”艺术展演</w:t>
      </w:r>
      <w:r>
        <w:rPr>
          <w:rFonts w:hint="eastAsia" w:ascii="宋体" w:hAnsi="宋体" w:eastAsia="宋体" w:cs="宋体"/>
          <w:b/>
          <w:sz w:val="24"/>
          <w:szCs w:val="24"/>
          <w:highlight w:val="none"/>
        </w:rPr>
        <w:t xml:space="preserve">             </w:t>
      </w:r>
    </w:p>
    <w:p w14:paraId="60AC4FD8">
      <w:pPr>
        <w:pStyle w:val="33"/>
        <w:keepNext w:val="0"/>
        <w:keepLines w:val="0"/>
        <w:pageBreakBefore w:val="0"/>
        <w:kinsoku/>
        <w:wordWrap/>
        <w:overflowPunct/>
        <w:topLinePunct w:val="0"/>
        <w:bidi w:val="0"/>
        <w:snapToGrid w:val="0"/>
        <w:spacing w:before="0" w:beforeLines="0" w:after="0" w:afterLines="0" w:line="360" w:lineRule="auto"/>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合同各方：</w:t>
      </w:r>
    </w:p>
    <w:p w14:paraId="381E047D">
      <w:pPr>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甲方：杭州市文化广电旅游局</w:t>
      </w:r>
    </w:p>
    <w:p w14:paraId="6DB59AC0">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地址：杭州市解放东路18号市民中心A座</w:t>
      </w:r>
    </w:p>
    <w:p w14:paraId="73EF81DE">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联系人：</w:t>
      </w:r>
    </w:p>
    <w:p w14:paraId="0352CF79">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电话：</w:t>
      </w:r>
    </w:p>
    <w:p w14:paraId="2DA53942">
      <w:pPr>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乙方：</w:t>
      </w:r>
    </w:p>
    <w:p w14:paraId="4DE3A28E">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地址： </w:t>
      </w:r>
    </w:p>
    <w:p w14:paraId="0741BA32">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联系人：</w:t>
      </w:r>
    </w:p>
    <w:p w14:paraId="729A32C7">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电话：  </w:t>
      </w:r>
    </w:p>
    <w:p w14:paraId="73BF2803">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开户银行：</w:t>
      </w:r>
    </w:p>
    <w:p w14:paraId="72F1CE0C">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帐号：             </w:t>
      </w:r>
    </w:p>
    <w:p w14:paraId="12641D45">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根据《中华人民共和国民法典》、《中华人民共和国政府采购法》等相关法律法规之规定，按照平等、自愿、公平、诚实信用和绿色的原则，经甲乙双方协商一致，约定以下合同条款，以兹共同遵守、全面履行。</w:t>
      </w:r>
    </w:p>
    <w:p w14:paraId="57611A34">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kern w:val="0"/>
          <w:sz w:val="24"/>
          <w:szCs w:val="24"/>
          <w:highlight w:val="none"/>
        </w:rPr>
      </w:pPr>
      <w:bookmarkStart w:id="395" w:name="_Toc24059"/>
      <w:bookmarkStart w:id="396" w:name="_Toc3029"/>
      <w:bookmarkStart w:id="397" w:name="_Toc2232"/>
      <w:r>
        <w:rPr>
          <w:rFonts w:hint="eastAsia" w:ascii="宋体" w:hAnsi="宋体" w:eastAsia="宋体" w:cs="宋体"/>
          <w:b/>
          <w:kern w:val="0"/>
          <w:sz w:val="24"/>
          <w:szCs w:val="24"/>
          <w:highlight w:val="none"/>
        </w:rPr>
        <w:t>一、合同文件的组成</w:t>
      </w:r>
      <w:bookmarkEnd w:id="395"/>
      <w:bookmarkEnd w:id="396"/>
      <w:bookmarkEnd w:id="397"/>
      <w:r>
        <w:rPr>
          <w:rFonts w:hint="eastAsia" w:ascii="宋体" w:hAnsi="宋体" w:eastAsia="宋体" w:cs="宋体"/>
          <w:b/>
          <w:kern w:val="0"/>
          <w:sz w:val="24"/>
          <w:szCs w:val="24"/>
          <w:highlight w:val="none"/>
        </w:rPr>
        <w:t>和解释顺序</w:t>
      </w:r>
    </w:p>
    <w:p w14:paraId="0FE3192A">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 本合同及其补充合同、变更协议；</w:t>
      </w:r>
    </w:p>
    <w:p w14:paraId="12238752">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1.2 本项目成交或中标通知书；</w:t>
      </w:r>
    </w:p>
    <w:p w14:paraId="068C9621">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1.3 乙方的本项目投标文件或响应文件（含澄清或者说明文件）；</w:t>
      </w:r>
    </w:p>
    <w:p w14:paraId="142E26E8">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1.4 本项目招标文件或采购文件（含澄清或者说明文件）；</w:t>
      </w:r>
    </w:p>
    <w:p w14:paraId="43886FED">
      <w:pPr>
        <w:pStyle w:val="3"/>
        <w:keepNext w:val="0"/>
        <w:keepLines w:val="0"/>
        <w:pageBreakBefore w:val="0"/>
        <w:kinsoku/>
        <w:wordWrap/>
        <w:overflowPunct/>
        <w:topLinePunct w:val="0"/>
        <w:bidi w:val="0"/>
        <w:spacing w:line="360" w:lineRule="auto"/>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    1.5 其他合同文件（需列明）</w:t>
      </w:r>
    </w:p>
    <w:p w14:paraId="014B6AA2">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上述文件互相补充和解释，如有不明确或不一致之处，按照上述文件次序在先者为准。同一层次合同文件有矛盾的，以时间较后的为准。</w:t>
      </w:r>
    </w:p>
    <w:p w14:paraId="2E35DA67">
      <w:pPr>
        <w:pStyle w:val="3"/>
        <w:keepNext w:val="0"/>
        <w:keepLines w:val="0"/>
        <w:pageBreakBefore w:val="0"/>
        <w:kinsoku/>
        <w:wordWrap/>
        <w:overflowPunct/>
        <w:topLinePunct w:val="0"/>
        <w:bidi w:val="0"/>
        <w:spacing w:line="360" w:lineRule="auto"/>
        <w:textAlignment w:val="auto"/>
        <w:rPr>
          <w:rFonts w:hint="eastAsia" w:ascii="宋体" w:hAnsi="宋体" w:eastAsia="宋体" w:cs="宋体"/>
          <w:b/>
          <w:kern w:val="0"/>
          <w:sz w:val="24"/>
          <w:szCs w:val="24"/>
          <w:highlight w:val="none"/>
        </w:rPr>
      </w:pPr>
      <w:r>
        <w:rPr>
          <w:rFonts w:hint="eastAsia" w:ascii="宋体" w:hAnsi="宋体" w:eastAsia="宋体" w:cs="宋体"/>
          <w:kern w:val="0"/>
          <w:sz w:val="24"/>
          <w:szCs w:val="24"/>
          <w:highlight w:val="none"/>
        </w:rPr>
        <w:t xml:space="preserve"> </w:t>
      </w:r>
      <w:r>
        <w:rPr>
          <w:rFonts w:hint="eastAsia" w:ascii="宋体" w:hAnsi="宋体" w:eastAsia="宋体" w:cs="宋体"/>
          <w:b/>
          <w:kern w:val="0"/>
          <w:sz w:val="24"/>
          <w:szCs w:val="24"/>
          <w:highlight w:val="none"/>
        </w:rPr>
        <w:t xml:space="preserve">   二、合同主要要素</w:t>
      </w:r>
    </w:p>
    <w:p w14:paraId="5534E036">
      <w:pPr>
        <w:pStyle w:val="3"/>
        <w:keepNext w:val="0"/>
        <w:keepLines w:val="0"/>
        <w:pageBreakBefore w:val="0"/>
        <w:kinsoku/>
        <w:wordWrap/>
        <w:overflowPunct/>
        <w:topLinePunct w:val="0"/>
        <w:bidi w:val="0"/>
        <w:spacing w:line="360" w:lineRule="auto"/>
        <w:ind w:firstLine="48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2.1 乙方根据本合同的规定向甲方提供以下服务：</w:t>
      </w:r>
    </w:p>
    <w:p w14:paraId="50FF3029">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乙方所提供的服务其来源应符合国家的有关规定，服务的内容、要求、服</w:t>
      </w:r>
    </w:p>
    <w:p w14:paraId="4055411B">
      <w:pPr>
        <w:keepNext w:val="0"/>
        <w:keepLines w:val="0"/>
        <w:pageBreakBefore w:val="0"/>
        <w:kinsoku/>
        <w:wordWrap/>
        <w:overflowPunct/>
        <w:topLinePunct w:val="0"/>
        <w:autoSpaceDE w:val="0"/>
        <w:autoSpaceDN w:val="0"/>
        <w:bidi w:val="0"/>
        <w:adjustRightInd w:val="0"/>
        <w:spacing w:line="360" w:lineRule="auto"/>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务质量等详见合同文件。乙方提供服务的主要内容如下：</w:t>
      </w:r>
    </w:p>
    <w:p w14:paraId="36630D91">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技术履约内容：</w:t>
      </w:r>
    </w:p>
    <w:p w14:paraId="6ED82A9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1.做好艺术展演期间举办各项活动的组织、协调和保障工作，具体包括：</w:t>
      </w:r>
    </w:p>
    <w:p w14:paraId="7F5C34F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组织2025年“西湖之春”杭州市青年戏曲演员大赛：面向杭州及各区、县（市）所属专业戏曲院团、广大业余戏曲社团与爱好者，年龄在16岁至40岁，涵盖越剧、杭剧、绍剧、婺剧等剧种。比赛采用线上视频评选选拔以及蜂巢剧院现场复赛、决赛；以折子戏的形式，内容健康、积极向上，具有较高的艺术水准和观赏性，鼓励原创戏曲作品参赛；单个节目不超过20分钟。邀请知名戏曲艺术家组成专家评审团，综合专家评审团打分，评选出金、银、铜奖等奖项若干。</w:t>
      </w:r>
    </w:p>
    <w:p w14:paraId="2FDDF1F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（2）艺术展演期间组织安排不少于5场本地文艺团体传统戏曲展演，其中：杭剧1场，绍剧1场，婺剧1场，越剧2场。做好场地租赁、观众组织、演出信息发布、物料制作，以及宣传推广等工作；</w:t>
      </w:r>
    </w:p>
    <w:p w14:paraId="73FC796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举办四场书画活动：①致敬黄宾虹——杭州、歙县两地艺术实践活动（5月）；②历史印记名窟薪传—书画作品展（7月）；③“西湖杯”2025杭州市主题书法美术展暨杭黄合作交流展（9月）；④“西湖杯”2025中国硬笔书法大赛（展）（10月）</w:t>
      </w:r>
    </w:p>
    <w:p w14:paraId="5FE9390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.协调演出单位、演出场所，做好灯箱LED屏游动字幕显示、路引指示、宣传折页等氛围营造和演出信息发布等相关工作。</w:t>
      </w:r>
      <w:r>
        <w:rPr>
          <w:rFonts w:hint="eastAsia" w:ascii="宋体" w:hAnsi="宋体" w:eastAsia="宋体" w:cs="宋体"/>
          <w:sz w:val="24"/>
          <w:szCs w:val="24"/>
          <w:highlight w:val="none"/>
          <w:lang w:eastAsia="zh-CN"/>
        </w:rPr>
        <w:t>其中，</w:t>
      </w:r>
      <w:r>
        <w:rPr>
          <w:rFonts w:hint="eastAsia" w:ascii="宋体" w:hAnsi="宋体" w:eastAsia="宋体" w:cs="宋体"/>
          <w:sz w:val="24"/>
          <w:szCs w:val="24"/>
          <w:highlight w:val="none"/>
        </w:rPr>
        <w:t>路引指示在显著位置摆放，每场演出不少于3块；宣传折页制作应不少于2000份。</w:t>
      </w:r>
    </w:p>
    <w:p w14:paraId="717CE13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.做好参演剧目、参赛选手获奖证书制作等相关工作。</w:t>
      </w:r>
    </w:p>
    <w:p w14:paraId="7FD2FF0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拟订</w:t>
      </w:r>
      <w:r>
        <w:rPr>
          <w:rFonts w:hint="eastAsia" w:ascii="宋体" w:hAnsi="宋体" w:eastAsia="宋体" w:cs="宋体"/>
          <w:sz w:val="24"/>
          <w:szCs w:val="24"/>
          <w:highlight w:val="none"/>
        </w:rPr>
        <w:t>本次西湖之春艺术展演</w:t>
      </w:r>
      <w:r>
        <w:rPr>
          <w:rFonts w:hint="eastAsia" w:ascii="宋体" w:hAnsi="宋体" w:eastAsia="宋体" w:cs="宋体"/>
          <w:sz w:val="24"/>
          <w:szCs w:val="24"/>
          <w:highlight w:val="none"/>
          <w:lang w:eastAsia="zh-CN"/>
        </w:rPr>
        <w:t>的</w:t>
      </w:r>
      <w:r>
        <w:rPr>
          <w:rFonts w:hint="eastAsia" w:ascii="宋体" w:hAnsi="宋体" w:eastAsia="宋体" w:cs="宋体"/>
          <w:sz w:val="24"/>
          <w:szCs w:val="24"/>
          <w:highlight w:val="none"/>
        </w:rPr>
        <w:t>宣传工作方案，做好媒体报道的组织、协调、接待等具体工作。</w:t>
      </w:r>
    </w:p>
    <w:p w14:paraId="65791E6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.负责做好本次活动所有参演剧目、演出场次的摄影等相关工作。其中传统戏曲展演和青年戏曲演员大赛（决赛）需要视频直播。各类活动提供不少于</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张</w:t>
      </w:r>
      <w:r>
        <w:rPr>
          <w:rFonts w:hint="eastAsia" w:ascii="宋体" w:hAnsi="宋体" w:eastAsia="宋体" w:cs="宋体"/>
          <w:sz w:val="24"/>
          <w:szCs w:val="24"/>
          <w:highlight w:val="none"/>
          <w:lang w:eastAsia="zh-CN"/>
        </w:rPr>
        <w:t>高清</w:t>
      </w:r>
      <w:r>
        <w:rPr>
          <w:rFonts w:hint="eastAsia" w:ascii="宋体" w:hAnsi="宋体" w:eastAsia="宋体" w:cs="宋体"/>
          <w:sz w:val="24"/>
          <w:szCs w:val="24"/>
          <w:highlight w:val="none"/>
        </w:rPr>
        <w:t>照片，视频不少于</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个，并在不少于5家新媒体平台上发布。</w:t>
      </w:r>
    </w:p>
    <w:p w14:paraId="5DF0F3A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.配合做好各场次演出的观演组织等相关工作。</w:t>
      </w:r>
    </w:p>
    <w:p w14:paraId="74CCAEC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.做好相关活动的安全、应急以及活动涉及方案</w:t>
      </w:r>
      <w:r>
        <w:rPr>
          <w:rFonts w:hint="eastAsia" w:ascii="宋体" w:hAnsi="宋体" w:eastAsia="宋体" w:cs="宋体"/>
          <w:sz w:val="24"/>
          <w:szCs w:val="24"/>
          <w:highlight w:val="none"/>
          <w:lang w:eastAsia="zh-CN"/>
        </w:rPr>
        <w:t>的</w:t>
      </w:r>
      <w:r>
        <w:rPr>
          <w:rFonts w:hint="eastAsia" w:ascii="宋体" w:hAnsi="宋体" w:eastAsia="宋体" w:cs="宋体"/>
          <w:sz w:val="24"/>
          <w:szCs w:val="24"/>
          <w:highlight w:val="none"/>
        </w:rPr>
        <w:t>审核报批等工作。</w:t>
      </w:r>
    </w:p>
    <w:p w14:paraId="48FE9E3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须建立突发公共安全事件应急机制，配备足够的专业人员对可能出现的危急情况做好预案，会同演出</w:t>
      </w:r>
      <w:r>
        <w:rPr>
          <w:rFonts w:hint="eastAsia" w:ascii="宋体" w:hAnsi="宋体" w:eastAsia="宋体" w:cs="宋体"/>
          <w:sz w:val="24"/>
          <w:szCs w:val="24"/>
          <w:highlight w:val="none"/>
          <w:lang w:eastAsia="zh-CN"/>
        </w:rPr>
        <w:t>及活动</w:t>
      </w:r>
      <w:r>
        <w:rPr>
          <w:rFonts w:hint="eastAsia" w:ascii="宋体" w:hAnsi="宋体" w:eastAsia="宋体" w:cs="宋体"/>
          <w:sz w:val="24"/>
          <w:szCs w:val="24"/>
          <w:highlight w:val="none"/>
        </w:rPr>
        <w:t>场所做好现场的秩序维护、会场管理、安全保卫、消防安全等工作，以高标准要求完成活动全程的安保任务。</w:t>
      </w:r>
    </w:p>
    <w:p w14:paraId="736803A4">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商务履约内容</w:t>
      </w:r>
    </w:p>
    <w:p w14:paraId="4CDD732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default" w:ascii="宋体" w:hAnsi="宋体" w:eastAsia="宋体" w:cs="宋体"/>
          <w:color w:val="auto"/>
          <w:kern w:val="0"/>
          <w:sz w:val="24"/>
          <w:szCs w:val="24"/>
          <w:highlight w:val="none"/>
          <w:lang w:val="en-US"/>
        </w:rPr>
      </w:pPr>
      <w:r>
        <w:rPr>
          <w:rFonts w:hint="eastAsia" w:ascii="宋体" w:hAnsi="宋体" w:eastAsia="宋体" w:cs="宋体"/>
          <w:sz w:val="24"/>
          <w:szCs w:val="24"/>
          <w:highlight w:val="none"/>
        </w:rPr>
        <w:t>执行团队需对舞台演出有成熟的操作经验，熟悉艺术文艺团体情况，具有较强的组织协调能力。具体包括：</w:t>
      </w:r>
      <w:r>
        <w:rPr>
          <w:rFonts w:hint="eastAsia" w:ascii="宋体" w:hAnsi="宋体" w:eastAsia="宋体" w:cs="宋体"/>
          <w:sz w:val="24"/>
          <w:szCs w:val="24"/>
          <w:highlight w:val="none"/>
          <w:lang w:eastAsia="zh-CN"/>
        </w:rPr>
        <w:t>具</w:t>
      </w:r>
      <w:r>
        <w:rPr>
          <w:rFonts w:hint="eastAsia" w:ascii="宋体" w:hAnsi="宋体" w:eastAsia="宋体" w:cs="宋体"/>
          <w:sz w:val="24"/>
          <w:szCs w:val="24"/>
          <w:highlight w:val="none"/>
        </w:rPr>
        <w:t>有承担并完成市级及以上政府部门主办的演艺、创作展演经验，承办团队骨干成员中拥有多名中级（含）以上艺术系列职称；熟悉文艺院团和艺术创作进入舞台二次创作的艺术协调。</w:t>
      </w:r>
    </w:p>
    <w:p w14:paraId="4A73612B">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 合同价款</w:t>
      </w:r>
    </w:p>
    <w:p w14:paraId="30D8EAC4">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color w:val="auto"/>
          <w:kern w:val="0"/>
          <w:sz w:val="24"/>
          <w:szCs w:val="24"/>
          <w:highlight w:val="none"/>
        </w:rPr>
        <w:t>本合同总价为：￥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kern w:val="0"/>
          <w:sz w:val="24"/>
          <w:szCs w:val="24"/>
          <w:highlight w:val="none"/>
          <w:u w:val="single"/>
        </w:rPr>
        <w:t xml:space="preserve">         </w:t>
      </w:r>
      <w:r>
        <w:rPr>
          <w:rFonts w:hint="eastAsia" w:ascii="宋体" w:hAnsi="宋体" w:eastAsia="宋体" w:cs="宋体"/>
          <w:kern w:val="0"/>
          <w:sz w:val="24"/>
          <w:szCs w:val="24"/>
          <w:highlight w:val="none"/>
        </w:rPr>
        <w:t>元（大写：</w:t>
      </w:r>
      <w:r>
        <w:rPr>
          <w:rFonts w:hint="eastAsia" w:ascii="宋体" w:hAnsi="宋体" w:eastAsia="宋体" w:cs="宋体"/>
          <w:kern w:val="0"/>
          <w:sz w:val="24"/>
          <w:szCs w:val="24"/>
          <w:highlight w:val="none"/>
          <w:u w:val="single"/>
        </w:rPr>
        <w:t xml:space="preserve">                 元</w:t>
      </w:r>
      <w:r>
        <w:rPr>
          <w:rFonts w:hint="eastAsia" w:ascii="宋体" w:hAnsi="宋体" w:eastAsia="宋体" w:cs="宋体"/>
          <w:kern w:val="0"/>
          <w:sz w:val="24"/>
          <w:szCs w:val="24"/>
          <w:highlight w:val="none"/>
        </w:rPr>
        <w:t>人民币）。</w:t>
      </w:r>
    </w:p>
    <w:p w14:paraId="35766DF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87AD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61C32596">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noWrap w:val="0"/>
            <w:vAlign w:val="center"/>
          </w:tcPr>
          <w:p w14:paraId="2B15E82D">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noWrap w:val="0"/>
            <w:vAlign w:val="center"/>
          </w:tcPr>
          <w:p w14:paraId="2E32FEA9">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分项价格</w:t>
            </w:r>
          </w:p>
        </w:tc>
      </w:tr>
      <w:tr w14:paraId="215B5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31696A63">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12CA292E">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6C13AD01">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r>
      <w:tr w14:paraId="506F9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23A6EC3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0D2CF978">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3CA64876">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r>
      <w:tr w14:paraId="49649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49DAC317">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5B49C9AF">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1DA11E7F">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r>
      <w:tr w14:paraId="31064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6C5AF61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3181D587">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674F1C87">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r>
      <w:tr w14:paraId="4EB97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noWrap w:val="0"/>
            <w:vAlign w:val="center"/>
          </w:tcPr>
          <w:p w14:paraId="72174446">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noWrap w:val="0"/>
            <w:vAlign w:val="center"/>
          </w:tcPr>
          <w:p w14:paraId="1B3F779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p>
        </w:tc>
      </w:tr>
    </w:tbl>
    <w:p w14:paraId="7E9DA42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乙方为履行本合同而发生的所有费用均应包含在合同价中，甲方不再另行支付其它任何费用。</w:t>
      </w:r>
    </w:p>
    <w:p w14:paraId="5E334F62">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2.3 履行期限： </w:t>
      </w:r>
    </w:p>
    <w:p w14:paraId="09C54951">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2.4 履行地点：</w:t>
      </w:r>
    </w:p>
    <w:p w14:paraId="42850540">
      <w:pPr>
        <w:keepNext w:val="0"/>
        <w:keepLines w:val="0"/>
        <w:pageBreakBefore w:val="0"/>
        <w:kinsoku/>
        <w:wordWrap/>
        <w:overflowPunct/>
        <w:topLinePunct w:val="0"/>
        <w:autoSpaceDE w:val="0"/>
        <w:autoSpaceDN w:val="0"/>
        <w:bidi w:val="0"/>
        <w:adjustRightInd w:val="0"/>
        <w:spacing w:line="360" w:lineRule="auto"/>
        <w:ind w:firstLine="482" w:firstLineChars="200"/>
        <w:jc w:val="left"/>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三、权利瑕疵担保</w:t>
      </w:r>
    </w:p>
    <w:p w14:paraId="165F5252">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3.1 乙方保证对其提供的服务享有合法的权利，甲方接受乙方服务过程中不会因此而侵犯任何人的合法权益。</w:t>
      </w:r>
    </w:p>
    <w:p w14:paraId="306A0425">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3.2 乙方保证在提供服务上不存在任何未曾向甲方透露的担保物权，如抵押权、质押权、留置权等。甲方接受乙方服务不会因此而存在合同外义务的负担。</w:t>
      </w:r>
    </w:p>
    <w:p w14:paraId="46218D54">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3.3 乙方保证其提供服务没有侵犯任何第三人的知识产权和商业秘密等权利。</w:t>
      </w:r>
    </w:p>
    <w:p w14:paraId="15524D4A">
      <w:pPr>
        <w:pStyle w:val="3"/>
        <w:keepNext w:val="0"/>
        <w:keepLines w:val="0"/>
        <w:pageBreakBefore w:val="0"/>
        <w:kinsoku/>
        <w:wordWrap/>
        <w:overflowPunct/>
        <w:topLinePunct w:val="0"/>
        <w:bidi w:val="0"/>
        <w:spacing w:line="360" w:lineRule="auto"/>
        <w:ind w:firstLine="48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 如乙方所提供的服务构成上述侵权的，则由乙方承担全部责任。由此给甲方造成的损失，由乙方承担，其承担的范围包括但不限于：赔偿费、律师费、诉讼费和与诉讼相关的费用。</w:t>
      </w:r>
    </w:p>
    <w:p w14:paraId="4152F4CE">
      <w:pPr>
        <w:keepNext w:val="0"/>
        <w:keepLines w:val="0"/>
        <w:pageBreakBefore w:val="0"/>
        <w:kinsoku/>
        <w:wordWrap/>
        <w:overflowPunct/>
        <w:topLinePunct w:val="0"/>
        <w:autoSpaceDE w:val="0"/>
        <w:autoSpaceDN w:val="0"/>
        <w:bidi w:val="0"/>
        <w:adjustRightInd w:val="0"/>
        <w:spacing w:line="360" w:lineRule="auto"/>
        <w:ind w:firstLine="482" w:firstLineChars="200"/>
        <w:jc w:val="left"/>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四、服务质量标准和要求</w:t>
      </w:r>
    </w:p>
    <w:p w14:paraId="7ADB3392">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4.1 乙方应当按照合同要求提供服务，合同未作明确要求的，服务标准按照国家标准、行业标准或地方标准确定，均有标准的以高者（严格者）为准。没有国家标准、行业标准或地方标准的，按照通常标准或者符合合同目的的特定标准确定。乙方所提供的服务还应符合国家和杭州市之有关规定。</w:t>
      </w:r>
    </w:p>
    <w:p w14:paraId="4B0C32F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 乙方提供的服务成果未达合同约定要求，乙方应负责修改或重做直至达到合同约定要求。对项目核心资源落实不到位或经修改重做后仍达不到要求或执行完毕后仍有未达到要求的内容，甲方有权扣除相应合同金额，该款项优先从乙方交纳的履约保证金中扣除，履约保证金不足以抵扣的，甲方有权在应支付的合同款项中扣除或要求乙方另行支付给甲方。</w:t>
      </w:r>
    </w:p>
    <w:p w14:paraId="23360633">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4.3 在合同约定的履行期内，乙方应对因乙方原因（包括乙方自身原因和乙方合作方的原因等）造成的质量及安全问题负责处理解决并承担一切费用。</w:t>
      </w:r>
    </w:p>
    <w:p w14:paraId="08F1D0DA">
      <w:pPr>
        <w:pStyle w:val="3"/>
        <w:keepNext w:val="0"/>
        <w:keepLines w:val="0"/>
        <w:pageBreakBefore w:val="0"/>
        <w:kinsoku/>
        <w:wordWrap/>
        <w:overflowPunct/>
        <w:topLinePunct w:val="0"/>
        <w:bidi w:val="0"/>
        <w:spacing w:line="360" w:lineRule="auto"/>
        <w:ind w:firstLine="590" w:firstLineChars="245"/>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五、验收</w:t>
      </w:r>
    </w:p>
    <w:p w14:paraId="7289F755">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5.1 验收标准：本项目验收标准以符合合同文件为准。</w:t>
      </w:r>
    </w:p>
    <w:p w14:paraId="467D18C9">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5.2 甲方有权在其认为必要时，对乙方是否能够按照合同约定提供服务进行履约检查，以确保乙方所提供的服务能够依约满足甲方之项目需求，但不得因履约检查妨碍乙方的正常工作，乙方应予积极配合。</w:t>
      </w:r>
    </w:p>
    <w:p w14:paraId="2E6AB167">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b/>
          <w:kern w:val="0"/>
          <w:sz w:val="24"/>
          <w:szCs w:val="24"/>
          <w:highlight w:val="none"/>
        </w:rPr>
      </w:pPr>
      <w:r>
        <w:rPr>
          <w:rFonts w:hint="eastAsia" w:ascii="宋体" w:hAnsi="宋体" w:eastAsia="宋体" w:cs="宋体"/>
          <w:sz w:val="24"/>
          <w:szCs w:val="24"/>
          <w:highlight w:val="none"/>
        </w:rPr>
        <w:t xml:space="preserve">5.3 </w:t>
      </w:r>
      <w:r>
        <w:rPr>
          <w:rFonts w:hint="eastAsia" w:ascii="宋体" w:hAnsi="宋体" w:eastAsia="宋体" w:cs="宋体"/>
          <w:b/>
          <w:sz w:val="24"/>
          <w:szCs w:val="24"/>
          <w:highlight w:val="none"/>
        </w:rPr>
        <w:t>合同期满或者履行完毕后，乙方向甲方申请履约验收并提交结案报告和履约证明材料。</w:t>
      </w:r>
      <w:r>
        <w:rPr>
          <w:rFonts w:hint="eastAsia" w:ascii="宋体" w:hAnsi="宋体" w:eastAsia="宋体" w:cs="宋体"/>
          <w:sz w:val="24"/>
          <w:szCs w:val="24"/>
          <w:highlight w:val="none"/>
        </w:rPr>
        <w:t>甲方在收到乙方验收申请后10个工作日内组织验收。向社会公众提供的公共服务项目，验收时将邀请服务对象参与并出具意见，验收结果将向社会公告。</w:t>
      </w:r>
    </w:p>
    <w:p w14:paraId="66944DA8">
      <w:pPr>
        <w:pStyle w:val="3"/>
        <w:keepNext w:val="0"/>
        <w:keepLines w:val="0"/>
        <w:pageBreakBefore w:val="0"/>
        <w:kinsoku/>
        <w:wordWrap/>
        <w:overflowPunct/>
        <w:topLinePunct w:val="0"/>
        <w:bidi w:val="0"/>
        <w:spacing w:line="360" w:lineRule="auto"/>
        <w:ind w:firstLine="590" w:firstLineChars="245"/>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六、付款方式、税费</w:t>
      </w:r>
    </w:p>
    <w:p w14:paraId="0BA13DE6">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付款时间</w:t>
      </w:r>
    </w:p>
    <w:p w14:paraId="41B83F6C">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szCs w:val="24"/>
          <w:highlight w:val="none"/>
          <w:lang w:val="en" w:eastAsia="zh-CN"/>
        </w:rPr>
      </w:pPr>
      <w:r>
        <w:rPr>
          <w:rFonts w:hint="eastAsia" w:ascii="宋体" w:hAnsi="宋体" w:eastAsia="宋体" w:cs="宋体"/>
          <w:color w:val="auto"/>
          <w:spacing w:val="0"/>
          <w:sz w:val="24"/>
          <w:szCs w:val="24"/>
          <w:highlight w:val="none"/>
          <w:lang w:val="en-US" w:eastAsia="zh-CN"/>
        </w:rPr>
        <w:t>合同签订后7个工作日内，甲方向乙方支付合同金额的70%，待项目验收通过后，支付合同金额的30%</w:t>
      </w:r>
      <w:r>
        <w:rPr>
          <w:rFonts w:hint="eastAsia" w:ascii="宋体" w:hAnsi="宋体" w:eastAsia="宋体" w:cs="宋体"/>
          <w:szCs w:val="24"/>
          <w:highlight w:val="none"/>
          <w:lang w:val="en" w:eastAsia="zh-CN"/>
        </w:rPr>
        <w:t>。</w:t>
      </w:r>
    </w:p>
    <w:p w14:paraId="73A704EE">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 xml:space="preserve"> 税费</w:t>
      </w:r>
    </w:p>
    <w:p w14:paraId="4B5AC5C7">
      <w:pPr>
        <w:pStyle w:val="3"/>
        <w:keepNext w:val="0"/>
        <w:keepLines w:val="0"/>
        <w:pageBreakBefore w:val="0"/>
        <w:kinsoku/>
        <w:wordWrap/>
        <w:overflowPunct/>
        <w:topLinePunct w:val="0"/>
        <w:bidi w:val="0"/>
        <w:spacing w:line="360" w:lineRule="auto"/>
        <w:ind w:firstLine="588" w:firstLineChars="245"/>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与合同有关的一切税费，均已包含在上述合同金额中。</w:t>
      </w:r>
    </w:p>
    <w:p w14:paraId="77279FED">
      <w:pPr>
        <w:pStyle w:val="3"/>
        <w:keepNext w:val="0"/>
        <w:keepLines w:val="0"/>
        <w:pageBreakBefore w:val="0"/>
        <w:kinsoku/>
        <w:wordWrap/>
        <w:overflowPunct/>
        <w:topLinePunct w:val="0"/>
        <w:bidi w:val="0"/>
        <w:spacing w:line="360" w:lineRule="auto"/>
        <w:ind w:firstLine="590" w:firstLineChars="245"/>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七、乙方的权利和义务</w:t>
      </w:r>
    </w:p>
    <w:p w14:paraId="35C50FED">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7.1 乙方有权在履行合同期间内取得按合同约定应有的报酬。</w:t>
      </w:r>
    </w:p>
    <w:p w14:paraId="2DF91CD6">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7.2 乙方在项目服务过程中，如甲方提供的资料不明确时可向甲方提出书面报告。</w:t>
      </w:r>
    </w:p>
    <w:p w14:paraId="57970113">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7.3 乙方有权在合同履行期间得到甲方必要的支持，有权拒绝执行甲方任何不符合有关法律、法规规定的要求。</w:t>
      </w:r>
    </w:p>
    <w:p w14:paraId="081315F4">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7.4 乙方应严格遵守国家、地方的法律、法规的规定，保证在合法且不侵犯他人利益的原则下进行所委托项目服务活动，并对其所进行的与委托有关的服务活动负责。</w:t>
      </w:r>
    </w:p>
    <w:p w14:paraId="7342FFAE">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7.5 乙方应按本合同所述的时间、服务范围和内容,尽自己的一切努力,按行业通常接受的技术惯例和专业机构承认的标准，高效地履行自己的义务。在项目执行过程中支持和维护国家和甲方的合法利益；</w:t>
      </w:r>
    </w:p>
    <w:p w14:paraId="617E9EA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7.6 向甲方提供与本项目服务有关的资料，包括项目服务单位、人员的资质证书及承担本合同业务的专业人员名单、项目服务工作计划等，并按合同约定的范围、时间工作依据、工作标准，出具内容齐全、规范、准确的相关报告等。乙方在履约过程中应当搜集整理并留存证明其完全履约的印证材料。</w:t>
      </w:r>
    </w:p>
    <w:p w14:paraId="34514411">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7.7 乙方应对履行本合同所规定的服务以及在履行中因自己违约而给甲方造成的损失承担责任并应当向甲方进行赔偿,累计赔偿总额不应超过合同总额。但下</w:t>
      </w:r>
      <w:r>
        <w:rPr>
          <w:rFonts w:hint="eastAsia" w:ascii="宋体" w:hAnsi="宋体" w:cs="宋体"/>
          <w:kern w:val="0"/>
          <w:sz w:val="24"/>
          <w:szCs w:val="24"/>
          <w:highlight w:val="none"/>
          <w:lang w:val="en-US" w:eastAsia="zh-CN"/>
        </w:rPr>
        <w:t>列</w:t>
      </w:r>
      <w:r>
        <w:rPr>
          <w:rFonts w:hint="eastAsia" w:ascii="宋体" w:hAnsi="宋体" w:eastAsia="宋体" w:cs="宋体"/>
          <w:kern w:val="0"/>
          <w:sz w:val="24"/>
          <w:szCs w:val="24"/>
          <w:highlight w:val="none"/>
        </w:rPr>
        <w:t>情况除外:（1）非乙方的行为、过失、违约或失职造成的损失或伤害；（2）不可抗力造成的损失。</w:t>
      </w:r>
    </w:p>
    <w:p w14:paraId="7F64A99B">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7.8 乙方必须为本项目涉及的各种资料、数据和收据等保密。未经甲方书面同意,乙方及乙方员工不得泄露、遗失、复印与本合同规定业务活动有关的一切资料和内容。所有甲方或第三人（与合同业务有关相关单位）提供的与本合同规定业务活动有关的一切资料，在合同结束后均应归还。</w:t>
      </w:r>
    </w:p>
    <w:p w14:paraId="6CA4747C">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7.9 乙方应对本项目所提供服务结果的可靠性、准确性、全面性向甲方负责，由于服务结果的可靠性、准确性、全面性不足而导致甲方工作偏差或失误，乙方应承担责任。</w:t>
      </w:r>
    </w:p>
    <w:p w14:paraId="4F365057">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7.10 乙方在履行合同期间或合同规定期限内，履行本合同所确定的项目负责人及主要专业技术、管理人员等必须是本单位职工和该项目的实际操作者。乙方不得调换或撤离上述人员，乙方若更换项目组成员的，应当提前7天向甲方作出书面报告，经甲方书面同意后更换，更换后的人员资格能力不得低于原人员水平。乙方在收到甲方更换人员的要求后5日内，应当根据甲方要求更换符合合同要求的人员。</w:t>
      </w:r>
    </w:p>
    <w:p w14:paraId="52FF6171">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7.11 按本合同支付给乙方的报酬应为本合同服务的唯一报酬。</w:t>
      </w:r>
    </w:p>
    <w:p w14:paraId="6E1A3DF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7.12 乙方在本合同履行期间均不能直接或间接从事与本合同中活动相冲突的商业或职业活动，不得以任何理由向甲方任何工作人员行贿或有类似的行为。</w:t>
      </w:r>
    </w:p>
    <w:p w14:paraId="3704DB12">
      <w:pPr>
        <w:keepNext w:val="0"/>
        <w:keepLines w:val="0"/>
        <w:pageBreakBefore w:val="0"/>
        <w:kinsoku/>
        <w:wordWrap/>
        <w:overflowPunct/>
        <w:topLinePunct w:val="0"/>
        <w:autoSpaceDE w:val="0"/>
        <w:autoSpaceDN w:val="0"/>
        <w:bidi w:val="0"/>
        <w:adjustRightInd w:val="0"/>
        <w:spacing w:line="360" w:lineRule="auto"/>
        <w:ind w:firstLine="482" w:firstLineChars="200"/>
        <w:jc w:val="left"/>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八、甲方的权利和义务</w:t>
      </w:r>
    </w:p>
    <w:p w14:paraId="5BB744C6">
      <w:pPr>
        <w:keepNext w:val="0"/>
        <w:keepLines w:val="0"/>
        <w:pageBreakBefore w:val="0"/>
        <w:kinsoku/>
        <w:wordWrap/>
        <w:overflowPunct/>
        <w:topLinePunct w:val="0"/>
        <w:autoSpaceDE w:val="0"/>
        <w:autoSpaceDN w:val="0"/>
        <w:bidi w:val="0"/>
        <w:adjustRightInd w:val="0"/>
        <w:spacing w:line="360" w:lineRule="auto"/>
        <w:ind w:firstLine="588" w:firstLineChars="245"/>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8.1 甲方有权向乙方询问工作进展情况及相关的内容, 有权检查乙方的服务工作质量，有权要求乙方以书面形式就前述内容进行汇报。</w:t>
      </w:r>
    </w:p>
    <w:p w14:paraId="1D139372">
      <w:pPr>
        <w:keepNext w:val="0"/>
        <w:keepLines w:val="0"/>
        <w:pageBreakBefore w:val="0"/>
        <w:kinsoku/>
        <w:wordWrap/>
        <w:overflowPunct/>
        <w:topLinePunct w:val="0"/>
        <w:autoSpaceDE w:val="0"/>
        <w:autoSpaceDN w:val="0"/>
        <w:bidi w:val="0"/>
        <w:adjustRightInd w:val="0"/>
        <w:spacing w:line="360" w:lineRule="auto"/>
        <w:ind w:firstLine="600" w:firstLineChars="25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8.2 甲方有权对具体的问题提出建议和意见。</w:t>
      </w:r>
    </w:p>
    <w:p w14:paraId="7DB051D3">
      <w:pPr>
        <w:keepNext w:val="0"/>
        <w:keepLines w:val="0"/>
        <w:pageBreakBefore w:val="0"/>
        <w:kinsoku/>
        <w:wordWrap/>
        <w:overflowPunct/>
        <w:topLinePunct w:val="0"/>
        <w:autoSpaceDE w:val="0"/>
        <w:autoSpaceDN w:val="0"/>
        <w:bidi w:val="0"/>
        <w:adjustRightInd w:val="0"/>
        <w:spacing w:line="360" w:lineRule="auto"/>
        <w:ind w:firstLine="600" w:firstLineChars="25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8.3 当甲方认定项目服务专业人员不按项目服务合同履行其职责，或专业能力、管理能力、责任心较差，不能有效与甲方配合并履行其项目服务义务；或与第三人串通给甲方造</w:t>
      </w:r>
      <w:r>
        <w:rPr>
          <w:rFonts w:hint="eastAsia" w:ascii="宋体" w:hAnsi="宋体" w:cs="宋体"/>
          <w:kern w:val="0"/>
          <w:sz w:val="24"/>
          <w:szCs w:val="24"/>
          <w:highlight w:val="none"/>
          <w:lang w:val="en-US" w:eastAsia="zh-CN"/>
        </w:rPr>
        <w:t>成</w:t>
      </w:r>
      <w:r>
        <w:rPr>
          <w:rFonts w:hint="eastAsia" w:ascii="宋体" w:hAnsi="宋体" w:eastAsia="宋体" w:cs="宋体"/>
          <w:kern w:val="0"/>
          <w:sz w:val="24"/>
          <w:szCs w:val="24"/>
          <w:highlight w:val="none"/>
        </w:rPr>
        <w:t>经济损失的，甲方有权要求更换项目服务专业人员，直至终止合同并要求乙方承担相应的赔偿责任。</w:t>
      </w:r>
    </w:p>
    <w:p w14:paraId="1532BC21">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8.4 甲方有权同意或不同意乙方因自身工作需要而更换合同约定的主要工作小组成员的要求。</w:t>
      </w:r>
    </w:p>
    <w:p w14:paraId="5691C53A">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8.5 甲方有权得到合同范围内乙方的服务和其服务成果。乙方提交的全部服务成果及相关资料，所具有的知识产权归甲方所有并使用（合同另有规定的除外），乙方就此不做任何的权利保留。</w:t>
      </w:r>
    </w:p>
    <w:p w14:paraId="5A0EF4D8">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8.6 甲方应当在合同履约中，督促、协调与本项目服务有关的第三人（与合同履行有关的相关单位）协同乙方办理有关服务事项。</w:t>
      </w:r>
    </w:p>
    <w:p w14:paraId="4A32167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8.7 甲方应当在7个工作日内就乙方书面提交并要求做出答复的事宜做出书面答复。乙方要求第三人提供有关资料时，甲方可根据自己的能力负责协调、转达及资料转送，但并不成为甲方当然的义务。</w:t>
      </w:r>
    </w:p>
    <w:p w14:paraId="55C69B3E">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8.8 甲方应当履行本合同约定的义务，如有违反则应当承担违约责任，赔偿给乙方造成的直接经济损失。</w:t>
      </w:r>
    </w:p>
    <w:p w14:paraId="5E227B8F">
      <w:pPr>
        <w:pStyle w:val="3"/>
        <w:keepNext w:val="0"/>
        <w:keepLines w:val="0"/>
        <w:pageBreakBefore w:val="0"/>
        <w:kinsoku/>
        <w:wordWrap/>
        <w:overflowPunct/>
        <w:topLinePunct w:val="0"/>
        <w:bidi w:val="0"/>
        <w:spacing w:line="360" w:lineRule="auto"/>
        <w:ind w:firstLine="590" w:firstLineChars="245"/>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九、违约责任</w:t>
      </w:r>
    </w:p>
    <w:p w14:paraId="1970727E">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9.1 除不可抗力或甲方确定同意延期提供服务外，如果乙方没有按照合同规定的时间提供服务，甲方可以从应付的合同款项中扣除误期赔偿费，误期赔偿费的扣除不影响乙方在合同项下采取其他补救方法的义务。每延误一天，按延期服务的服务费用的百分之零点五（0.5%）计收误期赔偿费，直至实际提供服务为止。但误期赔偿费的最高限额不超过合同价的百分之五（5%）。一旦达到误期赔偿的最高限额，甲方有权在要求乙方支付赔偿费的同时，书面通知乙方解除本合同；</w:t>
      </w:r>
    </w:p>
    <w:p w14:paraId="3E2E3C51">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9.2 除不可抗力外或乙方确定同意延期外，如果甲方没有按照本合同约定的付款时间付款，那么乙方可要求甲方支付违约金，每迟延付款一日，按应付未付款的0.05%计算违约金，最高限额为本合同总价的5%；迟延付款的违约金计算数额达到前述最高限额之日起，乙方有权在要求甲方支付违约金的同时，书面通知甲方解除本合同；</w:t>
      </w:r>
    </w:p>
    <w:p w14:paraId="2AE7C038">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因乙方违约导致合同解除的，乙方除本合同约定的违约金外，履约保证金不予退还。</w:t>
      </w:r>
    </w:p>
    <w:p w14:paraId="345A2522">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9.4 乙方未经甲方书面同意，擅自更换项目成员的，若影响项目实施的，甲方有权解除合同；乙方收到甲方更换项目成员的要求后5日内无正当理由拒绝更换的，若影响项目实施的，甲方有权解除合同。</w:t>
      </w:r>
    </w:p>
    <w:p w14:paraId="3D8A3B9E">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9.5 合同履行过程中，甲方有权就乙方履约行为进行监督，若发现乙方行为不符合合同约定的，甲方有权要求乙方在规定时间内整改，乙方未在规定时间内整改或者整改后仍不符合合同约定的，甲方有权解除合同。</w:t>
      </w:r>
    </w:p>
    <w:p w14:paraId="3CB5211B">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9.6任何一方按照前述约定要求违约方支付违约金的同时，仍有权要求违约方继续履行合同、采取补救措施，并有权按照己方实际损情况要求违约方赔偿损失；守约方行使的任何权利救济方式均不视为其放弃了其他法定或者约定的权利救济方式；</w:t>
      </w:r>
    </w:p>
    <w:p w14:paraId="127E449D">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9.7如果出现政府采购监督管理部门在处理投诉事项期间，书面通知甲方暂停采购活动的情形，或者询问或质疑事项可能影响中标结果的，导致甲方中止履行合同的情形，均不视为甲方违约。</w:t>
      </w:r>
    </w:p>
    <w:p w14:paraId="5CAE3F9B">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kern w:val="0"/>
          <w:sz w:val="24"/>
          <w:szCs w:val="24"/>
          <w:highlight w:val="none"/>
        </w:rPr>
        <w:t>十、</w:t>
      </w:r>
      <w:r>
        <w:rPr>
          <w:rFonts w:hint="eastAsia" w:ascii="宋体" w:hAnsi="宋体" w:eastAsia="宋体" w:cs="宋体"/>
          <w:b/>
          <w:sz w:val="24"/>
          <w:szCs w:val="24"/>
          <w:highlight w:val="none"/>
        </w:rPr>
        <w:t>技术资料和保密义务</w:t>
      </w:r>
    </w:p>
    <w:p w14:paraId="6A37AA6C">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10.1 乙方有权依据合同约定和项目需要，向甲方了解有关情况，调阅有关资料等，甲方应予积极配合；</w:t>
      </w:r>
    </w:p>
    <w:p w14:paraId="55E513EF">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10.2 乙方有义务妥善保管和保护由甲方提供的前款信息和资料等；</w:t>
      </w:r>
    </w:p>
    <w:p w14:paraId="0EC8B514">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9D71419">
      <w:pPr>
        <w:pStyle w:val="61"/>
        <w:keepNext w:val="0"/>
        <w:keepLines w:val="0"/>
        <w:pageBreakBefore w:val="0"/>
        <w:kinsoku/>
        <w:wordWrap/>
        <w:overflowPunct/>
        <w:topLinePunct w:val="0"/>
        <w:bidi w:val="0"/>
        <w:spacing w:line="360" w:lineRule="auto"/>
        <w:ind w:left="0" w:leftChars="0"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10.4如一方违反本协议关于保密的约定，无论故意与过失，应当立即停止侵害，并在第一时间采取一切必要措施防止保密信息的扩散，尽最大可能消除影响。同时，违约方应当赔偿对方相应的损失。</w:t>
      </w:r>
    </w:p>
    <w:p w14:paraId="7728B9E3">
      <w:pPr>
        <w:pStyle w:val="61"/>
        <w:keepNext w:val="0"/>
        <w:keepLines w:val="0"/>
        <w:pageBreakBefore w:val="0"/>
        <w:kinsoku/>
        <w:wordWrap/>
        <w:overflowPunct/>
        <w:topLinePunct w:val="0"/>
        <w:bidi w:val="0"/>
        <w:spacing w:line="360" w:lineRule="auto"/>
        <w:ind w:left="0" w:leftChars="0"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10.5本条规定自本合同生效之日起即应履行，长期有效，并且不受本合同届满、提前终止或本合同中其他条款的无效或履行完毕等情形的影响。</w:t>
      </w:r>
    </w:p>
    <w:p w14:paraId="5322AA6F">
      <w:pPr>
        <w:pStyle w:val="3"/>
        <w:keepNext w:val="0"/>
        <w:keepLines w:val="0"/>
        <w:pageBreakBefore w:val="0"/>
        <w:kinsoku/>
        <w:wordWrap/>
        <w:overflowPunct/>
        <w:topLinePunct w:val="0"/>
        <w:bidi w:val="0"/>
        <w:spacing w:line="360" w:lineRule="auto"/>
        <w:ind w:firstLine="482" w:firstLineChars="200"/>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十一、知识产权</w:t>
      </w:r>
    </w:p>
    <w:p w14:paraId="38A3BB21">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11.1 双方确认对履行本合同所产生的所有保密信息、标志和授权称谓，以及由保密信息、标志和授权称谓衍生的、以其为基础或含有其部分内容的所有信息和材料的所有权利、利益均属于甲方。本合同的签署和履行不应被理解为甲方通过明示、暗示或其他方式许可乙方对甲方在现阶段或将来拥有或持有的知识产权享有任何利益。</w:t>
      </w:r>
    </w:p>
    <w:p w14:paraId="700511D9">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11.2 本合同所产生技术成果的全部知识产权，包括但不限于著作权、专利权、专利申请权、技术秘密、商标权等，全部归甲方所有，未经甲方事先书面许可，乙方及乙方技术服务人员不得实施、使用该项技术成果，也不得将该项技术成果以任何方式提供给任何第三方（包括甲方单位中与本项目无关的人员）。违反本条规定的，乙方应当对因此给甲方造成的一切损失承担赔偿责任，赔偿范围包括但不限于甲方因此遭受的直接经济损失，可预见的间接经济损失，以及甲方因此支出的诉讼费、仲裁费、律师费、差旅费、评估费、鉴定费等费用。</w:t>
      </w:r>
    </w:p>
    <w:p w14:paraId="06A82AE6">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11.3 乙方保证乙方交付的成果不会侵犯甲方及任何第三方的知识产权，并保证甲方及甲方利益相关方免于遭受任何第三方基于本合同交付成果而提起任何知识产权诉讼。如果任何第三方基于本合同交付成果而针对甲方或甲方利益相关方提起任何知识产权诉讼，乙方应负责应诉，并承担所有费用，包括但不限于：诉讼费、律师费、鉴定费、罚金、赔偿金等，如甲方为自身及甲方利益相关方的利益应诉，并不免除乙方的前述义务，乙方应赔偿甲方因此遭受的前述全部损失。（但由于甲方原因而造成的第三方针对甲方或甲方利益相关方提起任何知识产权诉讼，乙方不承担任何责任）。乙方若侵害了第三方知识产权或其他合法权益的，还应及时公开澄清相关事实，使甲方声誉免受损害。</w:t>
      </w:r>
    </w:p>
    <w:p w14:paraId="686286D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11.4 如乙方发现任何交付成果的知识产权可能有瑕疵，应立即书面通知甲方，并立即采取一切必要措施使交付成果合法化。</w:t>
      </w:r>
    </w:p>
    <w:p w14:paraId="0286B05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11.5 本条规定自本合同生效之日起即应履行，长期有效，并且不受本合同届满、提前终止或本合同中其他条款的无效或履行完毕等情形的影响。</w:t>
      </w:r>
    </w:p>
    <w:p w14:paraId="6324F0C0">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bookmarkStart w:id="398" w:name="_Toc7502"/>
      <w:r>
        <w:rPr>
          <w:rFonts w:hint="eastAsia" w:ascii="宋体" w:hAnsi="宋体" w:eastAsia="宋体" w:cs="宋体"/>
          <w:b/>
          <w:sz w:val="24"/>
          <w:szCs w:val="24"/>
          <w:highlight w:val="none"/>
        </w:rPr>
        <w:t>十二、合同终止、中止、变更</w:t>
      </w:r>
    </w:p>
    <w:p w14:paraId="0C488E56">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 xml:space="preserve">12.1合同终止 </w:t>
      </w:r>
    </w:p>
    <w:p w14:paraId="562A6EB9">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sz w:val="24"/>
          <w:szCs w:val="24"/>
          <w:highlight w:val="none"/>
        </w:rPr>
      </w:pPr>
      <w:r>
        <w:rPr>
          <w:rFonts w:hint="eastAsia" w:ascii="宋体" w:hAnsi="宋体" w:eastAsia="宋体" w:cs="宋体"/>
          <w:b/>
          <w:sz w:val="24"/>
          <w:szCs w:val="24"/>
          <w:highlight w:val="none"/>
        </w:rPr>
        <w:t xml:space="preserve">12.1.1 违约终止合同 </w:t>
      </w:r>
    </w:p>
    <w:p w14:paraId="414114A4">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12.1.1.1甲方可在下列情况下向乙方发出书面通知书，提出终止部分或全部合同，终止合同不影响甲方针对乙方违约行为而采取的任何补救措施：</w:t>
      </w:r>
    </w:p>
    <w:p w14:paraId="36EBC79E">
      <w:pPr>
        <w:pStyle w:val="61"/>
        <w:keepNext w:val="0"/>
        <w:keepLines w:val="0"/>
        <w:pageBreakBefore w:val="0"/>
        <w:kinsoku/>
        <w:wordWrap/>
        <w:overflowPunct/>
        <w:topLinePunct w:val="0"/>
        <w:bidi w:val="0"/>
        <w:spacing w:line="360" w:lineRule="auto"/>
        <w:ind w:left="0" w:leftChars="0"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（1）如果乙方未能在合同规定的限期或甲方同意延长的限期内提供服务的且达到赔偿金上限的。</w:t>
      </w:r>
    </w:p>
    <w:p w14:paraId="7F05D637">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（2）乙方未能履行本合同约定的其他主要义务，经催告后在合理期限内仍未履行的；</w:t>
      </w:r>
    </w:p>
    <w:p w14:paraId="3928CA89">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3）乙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w:t>
      </w:r>
    </w:p>
    <w:p w14:paraId="2CCA3A93">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（4）如果乙方未能履行合同规定的其它任何义务经过甲方催告后在甲方要求的时间内仍未履行的。 </w:t>
      </w:r>
    </w:p>
    <w:p w14:paraId="4EFA2B27">
      <w:pPr>
        <w:pStyle w:val="61"/>
        <w:keepNext w:val="0"/>
        <w:keepLines w:val="0"/>
        <w:pageBreakBefore w:val="0"/>
        <w:kinsoku/>
        <w:wordWrap/>
        <w:overflowPunct/>
        <w:topLinePunct w:val="0"/>
        <w:bidi w:val="0"/>
        <w:spacing w:line="360" w:lineRule="auto"/>
        <w:ind w:left="0" w:leftChars="0"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（5）根据合同约定或者法律规定的其他情况。</w:t>
      </w:r>
    </w:p>
    <w:p w14:paraId="351DB40C">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12.1.1.2 如果甲方根据上述的规定，终止了全部或部分合同，甲方可以依其认为适当的条件和方法另行购买本合同项下服务或者类似的服务，乙方应对甲方另行购买服务所超出的那部分费用负责。但是，乙方应继续执行合同中未终止的部分。</w:t>
      </w:r>
    </w:p>
    <w:p w14:paraId="3880DE82">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12.1.1.3 如果乙方在履行合同过程中有不正当竞争行为，甲方有权解除合同，并按《中华人民共和国反不正当竞争法》之规定向有关部门举报，追究其法律责任。 </w:t>
      </w:r>
    </w:p>
    <w:p w14:paraId="75546E80">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 xml:space="preserve">12.1.2 破产终止合同 </w:t>
      </w:r>
    </w:p>
    <w:p w14:paraId="528BE846">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如果乙方破产、进入解散或清算程序，或丧失清偿能力（包括但不限于被有关部门列入执行黑名单、失信被执行人名录等情形），视为乙方已无法履行本合同项下义务，甲方可在任何时候以书面形式通知乙方终止合同。基于此甲方终止合同不构成违约，无须给予乙方赔偿与补偿。该终止合同不损害或影响甲方已经采取或将要采取的任何向乙方追究违约责任及追讨损失的行动或补救措施的权利。</w:t>
      </w:r>
    </w:p>
    <w:p w14:paraId="022C28B6">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sz w:val="24"/>
          <w:szCs w:val="24"/>
          <w:highlight w:val="none"/>
        </w:rPr>
      </w:pPr>
      <w:r>
        <w:rPr>
          <w:rFonts w:hint="eastAsia" w:ascii="宋体" w:hAnsi="宋体" w:eastAsia="宋体" w:cs="宋体"/>
          <w:b/>
          <w:sz w:val="24"/>
          <w:szCs w:val="24"/>
          <w:highlight w:val="none"/>
        </w:rPr>
        <w:t xml:space="preserve"> 12.1.3 不可抗力终止合同</w:t>
      </w:r>
      <w:r>
        <w:rPr>
          <w:rFonts w:hint="eastAsia" w:ascii="宋体" w:hAnsi="宋体" w:eastAsia="宋体" w:cs="宋体"/>
          <w:sz w:val="24"/>
          <w:szCs w:val="24"/>
          <w:highlight w:val="none"/>
        </w:rPr>
        <w:t xml:space="preserve"> </w:t>
      </w:r>
    </w:p>
    <w:p w14:paraId="71EAF9B0">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如因发生不可抗力事件导致合同无法履行的，或延迟履行会给一方或双方造成严重利益损害的，双方可协商终止本合同履行，双方互不承担违约及赔偿责任，但仍应就已履行部分进行费用结算。 </w:t>
      </w:r>
    </w:p>
    <w:p w14:paraId="3EF31125">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 xml:space="preserve">12.2 合同中止 </w:t>
      </w:r>
    </w:p>
    <w:p w14:paraId="369A2D66">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12.2.1 除合同继续履行将损害国家利益和社会公共利益的情形以及根据法律规定可中止的情况外，双方当事人不得擅自中止合同。</w:t>
      </w:r>
    </w:p>
    <w:p w14:paraId="7B148A8C">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12.2.2若发生不可抗力事件，但合同仍有继续履行可能的，双方当事人可协商中止履行本合同全部或部分内容。 </w:t>
      </w:r>
    </w:p>
    <w:p w14:paraId="5BD71E73">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12.3 合同变更</w:t>
      </w:r>
    </w:p>
    <w:p w14:paraId="3B8ACDC4">
      <w:pPr>
        <w:keepNext w:val="0"/>
        <w:keepLines w:val="0"/>
        <w:pageBreakBefore w:val="0"/>
        <w:kinsoku/>
        <w:wordWrap/>
        <w:overflowPunct/>
        <w:topLinePunct w:val="0"/>
        <w:bidi w:val="0"/>
        <w:spacing w:line="360" w:lineRule="auto"/>
        <w:ind w:firstLine="480"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sz w:val="24"/>
          <w:szCs w:val="24"/>
          <w:highlight w:val="none"/>
        </w:rPr>
        <w:t>除合同规定情形外，双方不得擅自变更合同。合同继续履行将损害国家利益和社会公共利益的，双方应当变更。有过错的一方应当承担赔偿责任，双方都有过错的，各自承担相应的责任。</w:t>
      </w:r>
    </w:p>
    <w:bookmarkEnd w:id="398"/>
    <w:p w14:paraId="366E1C51">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十三、合同转让和分包</w:t>
      </w:r>
    </w:p>
    <w:p w14:paraId="03CCBC66">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本合同不得转让</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经甲方</w:t>
      </w:r>
      <w:r>
        <w:rPr>
          <w:rFonts w:hint="eastAsia" w:ascii="宋体" w:hAnsi="宋体" w:eastAsia="宋体" w:cs="宋体"/>
          <w:sz w:val="24"/>
          <w:highlight w:val="none"/>
        </w:rPr>
        <w:t>同意</w:t>
      </w:r>
      <w:r>
        <w:rPr>
          <w:rFonts w:hint="eastAsia" w:ascii="宋体" w:hAnsi="宋体" w:eastAsia="宋体" w:cs="宋体"/>
          <w:sz w:val="24"/>
          <w:highlight w:val="none"/>
          <w:lang w:val="en-US" w:eastAsia="zh-CN"/>
        </w:rPr>
        <w:t>后，可以</w:t>
      </w:r>
      <w:r>
        <w:rPr>
          <w:rFonts w:hint="eastAsia" w:ascii="宋体" w:hAnsi="宋体" w:eastAsia="宋体" w:cs="宋体"/>
          <w:sz w:val="24"/>
          <w:highlight w:val="none"/>
        </w:rPr>
        <w:t>将非主体、非关键性的工作</w:t>
      </w:r>
      <w:r>
        <w:rPr>
          <w:rFonts w:hint="eastAsia" w:ascii="宋体" w:hAnsi="宋体" w:cs="宋体"/>
          <w:sz w:val="24"/>
          <w:szCs w:val="24"/>
          <w:highlight w:val="none"/>
          <w:lang w:val="en-US" w:eastAsia="zh-CN"/>
        </w:rPr>
        <w:t>进行分包</w:t>
      </w:r>
      <w:r>
        <w:rPr>
          <w:rFonts w:hint="eastAsia" w:ascii="宋体" w:hAnsi="宋体" w:eastAsia="宋体" w:cs="宋体"/>
          <w:sz w:val="24"/>
          <w:szCs w:val="24"/>
          <w:highlight w:val="none"/>
        </w:rPr>
        <w:t>。</w:t>
      </w:r>
    </w:p>
    <w:p w14:paraId="17C16B6E">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bookmarkStart w:id="399" w:name="_Toc16508"/>
      <w:bookmarkStart w:id="400" w:name="_Toc14066"/>
      <w:bookmarkStart w:id="401" w:name="_Toc13566"/>
      <w:r>
        <w:rPr>
          <w:rFonts w:hint="eastAsia" w:ascii="宋体" w:hAnsi="宋体" w:eastAsia="宋体" w:cs="宋体"/>
          <w:b/>
          <w:sz w:val="24"/>
          <w:szCs w:val="24"/>
          <w:highlight w:val="none"/>
        </w:rPr>
        <w:t>十四、不可抗力</w:t>
      </w:r>
      <w:bookmarkEnd w:id="399"/>
      <w:bookmarkEnd w:id="400"/>
      <w:bookmarkEnd w:id="401"/>
    </w:p>
    <w:p w14:paraId="7EF7EDFD">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14.1如果任何一方遭遇法律规定的不可抗力，致使合同履行受阻时，履行合同的期限应予延长，延长的期限应相当于不可抗力所影响的时间；</w:t>
      </w:r>
    </w:p>
    <w:p w14:paraId="33264E9D">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14.2 因不可抗力致使不能实现合同目的的，当事人可以解除合同；</w:t>
      </w:r>
    </w:p>
    <w:p w14:paraId="11AEC653">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14.3 因不可抗力致使合同有变更必要的，双方当事人以书面形式变更合同；</w:t>
      </w:r>
    </w:p>
    <w:p w14:paraId="6D54672C">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14.4 受不可抗力影响的一方在不可抗力发生后，应在二日内以书面形式通知对方当事人，并在十五日内将有关部门出具的证明文件送达对方当事人。</w:t>
      </w:r>
    </w:p>
    <w:p w14:paraId="41966C3F">
      <w:pPr>
        <w:keepNext w:val="0"/>
        <w:keepLines w:val="0"/>
        <w:pageBreakBefore w:val="0"/>
        <w:kinsoku/>
        <w:wordWrap/>
        <w:overflowPunct/>
        <w:topLinePunct w:val="0"/>
        <w:bidi w:val="0"/>
        <w:spacing w:line="360" w:lineRule="auto"/>
        <w:ind w:firstLine="482" w:firstLineChars="200"/>
        <w:textAlignment w:val="auto"/>
        <w:outlineLvl w:val="0"/>
        <w:rPr>
          <w:rFonts w:hint="eastAsia" w:ascii="宋体" w:hAnsi="宋体" w:eastAsia="宋体" w:cs="宋体"/>
          <w:b/>
          <w:sz w:val="24"/>
          <w:szCs w:val="24"/>
          <w:highlight w:val="none"/>
        </w:rPr>
      </w:pPr>
      <w:bookmarkStart w:id="402" w:name="_Toc28375"/>
      <w:bookmarkStart w:id="403" w:name="_Toc16021"/>
      <w:bookmarkStart w:id="404" w:name="_Toc15583"/>
      <w:r>
        <w:rPr>
          <w:rFonts w:hint="eastAsia" w:ascii="宋体" w:hAnsi="宋体" w:eastAsia="宋体" w:cs="宋体"/>
          <w:b/>
          <w:sz w:val="24"/>
          <w:szCs w:val="24"/>
          <w:highlight w:val="none"/>
        </w:rPr>
        <w:t>十</w:t>
      </w:r>
      <w:r>
        <w:rPr>
          <w:rFonts w:hint="eastAsia" w:ascii="宋体" w:hAnsi="宋体" w:cs="宋体"/>
          <w:b/>
          <w:sz w:val="24"/>
          <w:szCs w:val="24"/>
          <w:highlight w:val="none"/>
          <w:lang w:val="en-US" w:eastAsia="zh-CN"/>
        </w:rPr>
        <w:t>五</w:t>
      </w:r>
      <w:r>
        <w:rPr>
          <w:rFonts w:hint="eastAsia" w:ascii="宋体" w:hAnsi="宋体" w:eastAsia="宋体" w:cs="宋体"/>
          <w:b/>
          <w:sz w:val="24"/>
          <w:szCs w:val="24"/>
          <w:highlight w:val="none"/>
        </w:rPr>
        <w:t>、合同争议的解决</w:t>
      </w:r>
      <w:bookmarkEnd w:id="402"/>
      <w:bookmarkEnd w:id="403"/>
      <w:bookmarkEnd w:id="404"/>
    </w:p>
    <w:p w14:paraId="364B7D19">
      <w:pPr>
        <w:keepNext w:val="0"/>
        <w:keepLines w:val="0"/>
        <w:pageBreakBefore w:val="0"/>
        <w:kinsoku/>
        <w:wordWrap/>
        <w:overflowPunct/>
        <w:topLinePunct w:val="0"/>
        <w:bidi w:val="0"/>
        <w:spacing w:line="360" w:lineRule="auto"/>
        <w:ind w:left="-61" w:leftChars="-29" w:right="-420" w:rightChars="-200" w:firstLine="240" w:firstLineChars="1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本合同履行过程中发生的任何争议，双方当事人均可通过和解或者调解解决。不愿和解、调解或者和解、调解不成的，双方均有权向甲方所在地法院提起诉讼。在诉讼期间，除正在进行诉讼的部分外，本合同的其它部分应继续执行。败诉一方应当承担包括但不限于诉讼费用、律师费用、公证费用等。</w:t>
      </w:r>
    </w:p>
    <w:p w14:paraId="23D0DAC8">
      <w:pPr>
        <w:keepNext w:val="0"/>
        <w:keepLines w:val="0"/>
        <w:pageBreakBefore w:val="0"/>
        <w:kinsoku/>
        <w:wordWrap/>
        <w:overflowPunct/>
        <w:topLinePunct w:val="0"/>
        <w:autoSpaceDE w:val="0"/>
        <w:autoSpaceDN w:val="0"/>
        <w:bidi w:val="0"/>
        <w:adjustRightInd w:val="0"/>
        <w:spacing w:line="360" w:lineRule="auto"/>
        <w:ind w:firstLine="482" w:firstLineChars="200"/>
        <w:jc w:val="left"/>
        <w:textAlignment w:val="auto"/>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十</w:t>
      </w:r>
      <w:r>
        <w:rPr>
          <w:rFonts w:hint="eastAsia" w:ascii="宋体" w:hAnsi="宋体" w:cs="宋体"/>
          <w:b/>
          <w:kern w:val="0"/>
          <w:sz w:val="24"/>
          <w:szCs w:val="24"/>
          <w:highlight w:val="none"/>
          <w:lang w:val="en-US" w:eastAsia="zh-CN"/>
        </w:rPr>
        <w:t>六</w:t>
      </w:r>
      <w:r>
        <w:rPr>
          <w:rFonts w:hint="eastAsia" w:ascii="宋体" w:hAnsi="宋体" w:eastAsia="宋体" w:cs="宋体"/>
          <w:b/>
          <w:kern w:val="0"/>
          <w:sz w:val="24"/>
          <w:szCs w:val="24"/>
          <w:highlight w:val="none"/>
        </w:rPr>
        <w:t>、合同生效及其它</w:t>
      </w:r>
    </w:p>
    <w:p w14:paraId="6AC11E45">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r>
        <w:rPr>
          <w:rFonts w:hint="eastAsia" w:ascii="宋体" w:hAnsi="宋体" w:cs="宋体"/>
          <w:kern w:val="0"/>
          <w:sz w:val="24"/>
          <w:szCs w:val="24"/>
          <w:highlight w:val="none"/>
          <w:lang w:val="en-US" w:eastAsia="zh-CN"/>
        </w:rPr>
        <w:t>6</w:t>
      </w:r>
      <w:r>
        <w:rPr>
          <w:rFonts w:hint="eastAsia" w:ascii="宋体" w:hAnsi="宋体" w:eastAsia="宋体" w:cs="宋体"/>
          <w:kern w:val="0"/>
          <w:sz w:val="24"/>
          <w:szCs w:val="24"/>
          <w:highlight w:val="none"/>
        </w:rPr>
        <w:t>.1 合同经双方法定代表人或授权代表签字并加盖单位公章后生效。</w:t>
      </w:r>
    </w:p>
    <w:p w14:paraId="7D30949B">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r>
        <w:rPr>
          <w:rFonts w:hint="eastAsia" w:ascii="宋体" w:hAnsi="宋体" w:cs="宋体"/>
          <w:kern w:val="0"/>
          <w:sz w:val="24"/>
          <w:szCs w:val="24"/>
          <w:highlight w:val="none"/>
          <w:lang w:val="en-US" w:eastAsia="zh-CN"/>
        </w:rPr>
        <w:t>6</w:t>
      </w:r>
      <w:r>
        <w:rPr>
          <w:rFonts w:hint="eastAsia" w:ascii="宋体" w:hAnsi="宋体" w:eastAsia="宋体" w:cs="宋体"/>
          <w:kern w:val="0"/>
          <w:sz w:val="24"/>
          <w:szCs w:val="24"/>
          <w:highlight w:val="none"/>
        </w:rPr>
        <w:t>.2 本合同一式六份，甲、乙双方各执三份，具有同等法律效力。</w:t>
      </w:r>
    </w:p>
    <w:p w14:paraId="369DCA11">
      <w:pPr>
        <w:pStyle w:val="3"/>
        <w:keepNext w:val="0"/>
        <w:keepLines w:val="0"/>
        <w:pageBreakBefore w:val="0"/>
        <w:kinsoku/>
        <w:wordWrap/>
        <w:overflowPunct/>
        <w:topLinePunct w:val="0"/>
        <w:bidi w:val="0"/>
        <w:spacing w:line="360" w:lineRule="auto"/>
        <w:textAlignment w:val="auto"/>
        <w:rPr>
          <w:rFonts w:hint="eastAsia" w:ascii="宋体" w:hAnsi="宋体" w:eastAsia="宋体" w:cs="宋体"/>
          <w:sz w:val="24"/>
          <w:szCs w:val="24"/>
          <w:highlight w:val="none"/>
        </w:rPr>
      </w:pPr>
    </w:p>
    <w:p w14:paraId="0C090E7D">
      <w:pPr>
        <w:keepNext w:val="0"/>
        <w:keepLines w:val="0"/>
        <w:pageBreakBefore w:val="0"/>
        <w:kinsoku/>
        <w:wordWrap/>
        <w:overflowPunct/>
        <w:topLinePunct w:val="0"/>
        <w:autoSpaceDE w:val="0"/>
        <w:autoSpaceDN w:val="0"/>
        <w:bidi w:val="0"/>
        <w:adjustRightInd w:val="0"/>
        <w:spacing w:line="360" w:lineRule="auto"/>
        <w:jc w:val="left"/>
        <w:textAlignment w:val="auto"/>
        <w:rPr>
          <w:rFonts w:hint="eastAsia" w:ascii="宋体" w:hAnsi="宋体" w:eastAsia="宋体" w:cs="宋体"/>
          <w:kern w:val="0"/>
          <w:sz w:val="24"/>
          <w:szCs w:val="24"/>
          <w:highlight w:val="none"/>
        </w:rPr>
      </w:pPr>
    </w:p>
    <w:p w14:paraId="4C40926B">
      <w:pPr>
        <w:pStyle w:val="3"/>
        <w:keepNext w:val="0"/>
        <w:keepLines w:val="0"/>
        <w:pageBreakBefore w:val="0"/>
        <w:kinsoku/>
        <w:wordWrap/>
        <w:overflowPunct/>
        <w:topLinePunct w:val="0"/>
        <w:bidi w:val="0"/>
        <w:spacing w:line="360" w:lineRule="auto"/>
        <w:textAlignment w:val="auto"/>
        <w:rPr>
          <w:rFonts w:hint="eastAsia" w:ascii="宋体" w:hAnsi="宋体" w:eastAsia="宋体" w:cs="宋体"/>
          <w:sz w:val="24"/>
          <w:szCs w:val="24"/>
          <w:highlight w:val="none"/>
        </w:rPr>
      </w:pPr>
    </w:p>
    <w:p w14:paraId="0D5298FB">
      <w:pPr>
        <w:pStyle w:val="3"/>
        <w:keepNext w:val="0"/>
        <w:keepLines w:val="0"/>
        <w:pageBreakBefore w:val="0"/>
        <w:kinsoku/>
        <w:wordWrap/>
        <w:overflowPunct/>
        <w:topLinePunct w:val="0"/>
        <w:bidi w:val="0"/>
        <w:spacing w:line="360" w:lineRule="auto"/>
        <w:textAlignment w:val="auto"/>
        <w:rPr>
          <w:rFonts w:hint="eastAsia" w:ascii="宋体" w:hAnsi="宋体" w:eastAsia="宋体" w:cs="宋体"/>
          <w:sz w:val="24"/>
          <w:szCs w:val="24"/>
          <w:highlight w:val="none"/>
        </w:rPr>
      </w:pPr>
    </w:p>
    <w:p w14:paraId="22DCB973">
      <w:pPr>
        <w:pStyle w:val="3"/>
        <w:keepNext w:val="0"/>
        <w:keepLines w:val="0"/>
        <w:pageBreakBefore w:val="0"/>
        <w:kinsoku/>
        <w:wordWrap/>
        <w:overflowPunct/>
        <w:topLinePunct w:val="0"/>
        <w:bidi w:val="0"/>
        <w:spacing w:line="360" w:lineRule="auto"/>
        <w:textAlignment w:val="auto"/>
        <w:rPr>
          <w:rFonts w:hint="eastAsia" w:ascii="宋体" w:hAnsi="宋体" w:eastAsia="宋体" w:cs="宋体"/>
          <w:sz w:val="24"/>
          <w:szCs w:val="24"/>
          <w:highlight w:val="none"/>
        </w:rPr>
      </w:pPr>
    </w:p>
    <w:p w14:paraId="3E5AD859">
      <w:pPr>
        <w:pStyle w:val="3"/>
        <w:keepNext w:val="0"/>
        <w:keepLines w:val="0"/>
        <w:pageBreakBefore w:val="0"/>
        <w:kinsoku/>
        <w:wordWrap/>
        <w:overflowPunct/>
        <w:topLinePunct w:val="0"/>
        <w:bidi w:val="0"/>
        <w:spacing w:line="360" w:lineRule="auto"/>
        <w:textAlignment w:val="auto"/>
        <w:rPr>
          <w:rFonts w:hint="eastAsia" w:ascii="宋体" w:hAnsi="宋体" w:eastAsia="宋体" w:cs="宋体"/>
          <w:sz w:val="24"/>
          <w:szCs w:val="24"/>
          <w:highlight w:val="none"/>
        </w:rPr>
      </w:pPr>
    </w:p>
    <w:p w14:paraId="39CA56A0">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甲方（盖章）：                  乙方（盖章）：</w:t>
      </w:r>
    </w:p>
    <w:p w14:paraId="2BEB9539">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法定代表人：                    法定代表人：</w:t>
      </w:r>
    </w:p>
    <w:p w14:paraId="1AD6FCF3">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或受委托人（签字）：            或受委托人（签字）：</w:t>
      </w:r>
    </w:p>
    <w:p w14:paraId="5C4C6243">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联系人：                        联系人：</w:t>
      </w:r>
    </w:p>
    <w:p w14:paraId="15034CA2">
      <w:pPr>
        <w:keepNext w:val="0"/>
        <w:keepLines w:val="0"/>
        <w:pageBreakBefore w:val="0"/>
        <w:kinsoku/>
        <w:wordWrap/>
        <w:overflowPunct/>
        <w:topLinePunct w:val="0"/>
        <w:autoSpaceDE w:val="0"/>
        <w:autoSpaceDN w:val="0"/>
        <w:bidi w:val="0"/>
        <w:adjustRightInd w:val="0"/>
        <w:spacing w:line="360" w:lineRule="auto"/>
        <w:ind w:firstLine="480" w:firstLineChars="200"/>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签订时间：                      签订时间：</w:t>
      </w:r>
    </w:p>
    <w:p w14:paraId="1E844846">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5" w:name="_Hlk101257010"/>
      <w:r>
        <w:rPr>
          <w:rFonts w:hint="eastAsia" w:ascii="宋体" w:hAnsi="宋体" w:cs="宋体"/>
          <w:color w:val="auto"/>
          <w:sz w:val="24"/>
          <w:highlight w:val="none"/>
        </w:rPr>
        <w:t>（如果有)</w:t>
      </w:r>
      <w:bookmarkEnd w:id="405"/>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keepNext w:val="0"/>
        <w:keepLines w:val="0"/>
        <w:pageBreakBefore w:val="0"/>
        <w:widowControl w:val="0"/>
        <w:numPr>
          <w:ilvl w:val="0"/>
          <w:numId w:val="0"/>
        </w:numPr>
        <w:kinsoku/>
        <w:wordWrap/>
        <w:overflowPunct/>
        <w:topLinePunct w:val="0"/>
        <w:autoSpaceDE/>
        <w:autoSpaceDN/>
        <w:bidi w:val="0"/>
        <w:adjustRightInd w:val="0"/>
        <w:spacing w:line="360" w:lineRule="auto"/>
        <w:ind w:firstLine="480" w:firstLineChars="200"/>
        <w:jc w:val="both"/>
        <w:textAlignment w:val="auto"/>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2704AB67">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30CF978">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396AEF1">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6A47DC9A">
      <w:pPr>
        <w:snapToGrid w:val="0"/>
        <w:spacing w:line="360" w:lineRule="auto"/>
        <w:ind w:firstLine="5040" w:firstLineChars="2100"/>
        <w:rPr>
          <w:rFonts w:hint="eastAsia" w:ascii="宋体" w:hAnsi="宋体" w:cs="宋体"/>
          <w:color w:val="auto"/>
          <w:kern w:val="0"/>
          <w:sz w:val="24"/>
          <w:highlight w:val="none"/>
          <w:lang w:val="zh-CN"/>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567" w:footer="567"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33E4EF4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六</w:t>
      </w:r>
      <w:r>
        <w:rPr>
          <w:rFonts w:hint="eastAsia" w:ascii="宋体" w:hAnsi="宋体" w:cs="宋体"/>
          <w:b/>
          <w:color w:val="auto"/>
          <w:kern w:val="0"/>
          <w:sz w:val="32"/>
          <w:szCs w:val="32"/>
          <w:highlight w:val="none"/>
        </w:rPr>
        <w:t>、商务技术偏离表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4.若不填写，则表示无偏离。</w:t>
      </w: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33DDBB01">
      <w:pPr>
        <w:pStyle w:val="693"/>
        <w:keepNext w:val="0"/>
        <w:pageBreakBefore w:val="0"/>
        <w:tabs>
          <w:tab w:val="clear" w:pos="720"/>
        </w:tabs>
        <w:snapToGrid w:val="0"/>
        <w:spacing w:before="120" w:after="120"/>
        <w:ind w:firstLine="643"/>
        <w:jc w:val="both"/>
        <w:outlineLvl w:val="9"/>
        <w:rPr>
          <w:rFonts w:hint="default"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附：报价明细表</w:t>
      </w: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406" w:name="OLE_LINK13"/>
      <w:bookmarkStart w:id="407" w:name="OLE_LINK14"/>
      <w:r>
        <w:rPr>
          <w:rFonts w:hint="eastAsia" w:ascii="宋体" w:hAnsi="宋体" w:cs="宋体"/>
          <w:b/>
          <w:color w:val="auto"/>
          <w:spacing w:val="6"/>
          <w:sz w:val="32"/>
          <w:szCs w:val="32"/>
          <w:highlight w:val="none"/>
        </w:rPr>
        <w:t>残疾人福利性单位声明函</w:t>
      </w:r>
    </w:p>
    <w:bookmarkEnd w:id="406"/>
    <w:bookmarkEnd w:id="407"/>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79FC9944">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31A95582">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采购人</w:t>
      </w:r>
      <w:r>
        <w:rPr>
          <w:rFonts w:hint="eastAsia" w:ascii="宋体" w:hAnsi="宋体" w:cs="宋体"/>
          <w:color w:val="auto"/>
          <w:sz w:val="24"/>
          <w:highlight w:val="none"/>
          <w:lang w:eastAsia="zh-CN"/>
        </w:rPr>
        <w:t>）</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采购代理机构</w:t>
      </w:r>
      <w:r>
        <w:rPr>
          <w:rFonts w:hint="eastAsia" w:ascii="宋体" w:hAnsi="宋体" w:cs="宋体"/>
          <w:color w:val="auto"/>
          <w:sz w:val="24"/>
          <w:highlight w:val="none"/>
          <w:lang w:eastAsia="zh-CN"/>
        </w:rPr>
        <w:t>）</w:t>
      </w:r>
      <w:r>
        <w:rPr>
          <w:rFonts w:hint="eastAsia" w:ascii="宋体" w:hAnsi="宋体" w:cs="宋体"/>
          <w:color w:val="auto"/>
          <w:sz w:val="24"/>
          <w:highlight w:val="none"/>
          <w:u w:val="non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29FE3296">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8"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0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9"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9"/>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0"/>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21005AAA">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4B742C33">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采购人</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Noto Serif SC"/>
    <w:panose1 w:val="00000000000000000000"/>
    <w:charset w:val="00"/>
    <w:family w:val="roman"/>
    <w:pitch w:val="default"/>
    <w:sig w:usb0="00000000" w:usb1="00000000" w:usb2="00000000" w:usb3="00000000" w:csb0="00040001" w:csb1="00000000"/>
  </w:font>
  <w:font w:name="Noto Serif SC">
    <w:panose1 w:val="02020200000000000000"/>
    <w:charset w:val="86"/>
    <w:family w:val="auto"/>
    <w:pitch w:val="default"/>
    <w:sig w:usb0="20000083" w:usb1="2ADF3C10" w:usb2="00000016" w:usb3="00000000" w:csb0="60060107"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Noto Serif SC"/>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Noto Serif SC"/>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2"/>
      </w:rPr>
    </w:pPr>
    <w:r>
      <w:fldChar w:fldCharType="begin"/>
    </w:r>
    <w:r>
      <w:rPr>
        <w:rStyle w:val="72"/>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2"/>
      </w:rPr>
    </w:pPr>
    <w:r>
      <w:fldChar w:fldCharType="begin"/>
    </w:r>
    <w:r>
      <w:rPr>
        <w:rStyle w:val="72"/>
      </w:rPr>
      <w:instrText xml:space="preserve">PAGE  </w:instrText>
    </w:r>
    <w:r>
      <w:fldChar w:fldCharType="end"/>
    </w:r>
  </w:p>
  <w:p w14:paraId="65FC6C0A">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11" w:name="_Toc164085800"/>
    <w:bookmarkStart w:id="412" w:name="_Toc36110187"/>
    <w:bookmarkStart w:id="413" w:name="_Toc131845147"/>
    <w:bookmarkStart w:id="414" w:name="_Toc91899912"/>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none" w:color="auto" w:sz="0" w:space="4"/>
      </w:pBdr>
      <w:jc w:val="right"/>
    </w:pPr>
    <w:r>
      <w:t></w:t>
    </w:r>
    <w:r>
      <w:rPr>
        <w:rFonts w:hint="eastAsia"/>
      </w:rPr>
      <w:t xml:space="preserve"> </w:t>
    </w:r>
  </w:p>
  <w:p w14:paraId="5E97806E">
    <w:pPr>
      <w:pStyle w:val="59"/>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1"/>
      <w:pBdr>
        <w:bottom w:val="none" w:color="auto" w:sz="0" w:space="1"/>
      </w:pBdr>
      <w:rPr>
        <w:rFonts w:ascii="仿宋_GB2312" w:eastAsia="仿宋_GB2312"/>
        <w:b/>
        <w:i/>
        <w:u w:val="single"/>
      </w:rPr>
    </w:pPr>
    <w:r>
      <w:t></w:t>
    </w:r>
    <w:r>
      <w:rPr>
        <w:rFonts w:hint="eastAsia"/>
      </w:rPr>
      <w:t xml:space="preserve">                          </w:t>
    </w:r>
  </w:p>
  <w:p w14:paraId="7DC11C7F">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7612A">
    <w:pPr>
      <w:pStyle w:val="41"/>
      <w:pBdr>
        <w:bottom w:val="none" w:color="auto" w:sz="0" w:space="1"/>
      </w:pBdr>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1"/>
      <w:pBdr>
        <w:bottom w:val="none" w:color="auto" w:sz="0" w:space="1"/>
      </w:pBdr>
      <w:rPr>
        <w:rFonts w:ascii="仿宋_GB2312" w:eastAsia="仿宋_GB2312"/>
        <w:b/>
        <w:i/>
        <w:u w:val="single"/>
      </w:rPr>
    </w:pPr>
    <w:r>
      <w:t></w:t>
    </w:r>
  </w:p>
  <w:p w14:paraId="4E6D3F42">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1"/>
      <w:pBdr>
        <w:bottom w:val="none" w:color="auto" w:sz="0" w:space="1"/>
      </w:pBdr>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1"/>
      <w:pBdr>
        <w:bottom w:val="none" w:color="auto" w:sz="0" w:space="1"/>
      </w:pBdr>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1"/>
      <w:pBdr>
        <w:bottom w:val="none" w:color="auto" w:sz="0" w:space="1"/>
      </w:pBdr>
      <w:jc w:val="right"/>
      <w:rPr>
        <w:rFonts w:ascii="仿宋_GB2312" w:eastAsia="仿宋_GB2312"/>
        <w:b/>
        <w:i/>
        <w:iCs/>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52DCA"/>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4A09CD"/>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318A7"/>
    <w:rsid w:val="135F4BE2"/>
    <w:rsid w:val="139B1A0A"/>
    <w:rsid w:val="139D25C7"/>
    <w:rsid w:val="13BF3CE4"/>
    <w:rsid w:val="13CE750E"/>
    <w:rsid w:val="141008D8"/>
    <w:rsid w:val="14125FE6"/>
    <w:rsid w:val="146D271E"/>
    <w:rsid w:val="14982588"/>
    <w:rsid w:val="149A5AD9"/>
    <w:rsid w:val="14A7619D"/>
    <w:rsid w:val="14ED6215"/>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BE63E1"/>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17BF5"/>
    <w:rsid w:val="239C0061"/>
    <w:rsid w:val="23B908A4"/>
    <w:rsid w:val="23BF06E3"/>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5855C9"/>
    <w:rsid w:val="32BE5C2C"/>
    <w:rsid w:val="32FB6478"/>
    <w:rsid w:val="33263B3F"/>
    <w:rsid w:val="336963EB"/>
    <w:rsid w:val="33816EEB"/>
    <w:rsid w:val="33AA1CB1"/>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AD03D7A"/>
    <w:rsid w:val="3B2349B7"/>
    <w:rsid w:val="3B616CFF"/>
    <w:rsid w:val="3B6259F6"/>
    <w:rsid w:val="3B976654"/>
    <w:rsid w:val="3BC01EFC"/>
    <w:rsid w:val="3BCA786A"/>
    <w:rsid w:val="3BD31E2F"/>
    <w:rsid w:val="3BF15831"/>
    <w:rsid w:val="3BF34D89"/>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222E17"/>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230847"/>
    <w:rsid w:val="449101DD"/>
    <w:rsid w:val="44DE1391"/>
    <w:rsid w:val="451B225C"/>
    <w:rsid w:val="452410C9"/>
    <w:rsid w:val="45317DFB"/>
    <w:rsid w:val="454D49E5"/>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DA54095"/>
    <w:rsid w:val="4E793892"/>
    <w:rsid w:val="4E800872"/>
    <w:rsid w:val="4E851BD0"/>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2778D"/>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90118"/>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3F23B7"/>
    <w:rsid w:val="69627681"/>
    <w:rsid w:val="6977531D"/>
    <w:rsid w:val="69CC2BFF"/>
    <w:rsid w:val="69FD55B8"/>
    <w:rsid w:val="6A0B1C62"/>
    <w:rsid w:val="6A2406C8"/>
    <w:rsid w:val="6AA6549D"/>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6A0E68"/>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0E4F5B"/>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21"/>
    <w:qFormat/>
    <w:uiPriority w:val="0"/>
    <w:pPr>
      <w:ind w:firstLine="420"/>
    </w:pPr>
    <w:rPr>
      <w:rFonts w:hAnsi="Calibri" w:cs="Times New Roman"/>
      <w:snapToGrid/>
      <w:szCs w:val="20"/>
    </w:rPr>
  </w:style>
  <w:style w:type="paragraph" w:styleId="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qFormat/>
    <w:uiPriority w:val="0"/>
    <w:rPr>
      <w:b/>
      <w:bCs/>
    </w:rPr>
  </w:style>
  <w:style w:type="paragraph" w:styleId="61">
    <w:name w:val="Body Text First Indent 2"/>
    <w:basedOn w:val="25"/>
    <w:next w:val="2"/>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1"/>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99"/>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15388</Words>
  <Characters>16540</Characters>
  <Lines>281</Lines>
  <Paragraphs>79</Paragraphs>
  <TotalTime>1</TotalTime>
  <ScaleCrop>false</ScaleCrop>
  <LinksUpToDate>false</LinksUpToDate>
  <CharactersWithSpaces>17007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Painkiller</cp:lastModifiedBy>
  <cp:lastPrinted>2021-12-28T03:06:00Z</cp:lastPrinted>
  <dcterms:modified xsi:type="dcterms:W3CDTF">2025-04-15T06:46:02Z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730536D539FB4956BD703ADAAD354CCB_13</vt:lpwstr>
  </property>
  <property fmtid="{D5CDD505-2E9C-101B-9397-08002B2CF9AE}" pid="5" name="KSOTemplateDocerSaveRecord">
    <vt:lpwstr>eyJoZGlkIjoiZWQwYWZjZWU3YTZlMWUwOTRlOWNmM2NkZTE1NmQ3NzciLCJ1c2VySWQiOiIxMjU4NjM3NDUwIn0=</vt:lpwstr>
  </property>
</Properties>
</file>