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D2228">
      <w:pPr>
        <w:pStyle w:val="4"/>
        <w:keepNext w:val="0"/>
        <w:widowControl/>
        <w:spacing w:line="600" w:lineRule="exact"/>
        <w:rPr>
          <w:rFonts w:hint="eastAsia" w:ascii="仿宋" w:hAnsi="仿宋" w:eastAsia="仿宋" w:cs="宋体"/>
          <w:bCs/>
          <w:color w:val="auto"/>
          <w:kern w:val="0"/>
          <w:sz w:val="48"/>
          <w:szCs w:val="48"/>
          <w:highlight w:val="none"/>
          <w:lang w:val="zh-CN"/>
        </w:rPr>
      </w:pPr>
    </w:p>
    <w:p w14:paraId="181725B3">
      <w:pPr>
        <w:rPr>
          <w:rFonts w:hint="eastAsia"/>
          <w:color w:val="auto"/>
          <w:highlight w:val="none"/>
          <w:lang w:val="zh-CN"/>
        </w:rPr>
      </w:pPr>
    </w:p>
    <w:p w14:paraId="19C66156">
      <w:pPr>
        <w:pStyle w:val="4"/>
        <w:keepNext w:val="0"/>
        <w:keepLines w:val="0"/>
        <w:pageBreakBefore w:val="0"/>
        <w:widowControl/>
        <w:kinsoku/>
        <w:wordWrap/>
        <w:overflowPunct/>
        <w:topLinePunct w:val="0"/>
        <w:autoSpaceDE/>
        <w:autoSpaceDN/>
        <w:bidi w:val="0"/>
        <w:adjustRightInd/>
        <w:snapToGrid/>
        <w:spacing w:line="800" w:lineRule="exact"/>
        <w:textAlignment w:val="auto"/>
        <w:rPr>
          <w:rFonts w:ascii="仿宋" w:hAnsi="仿宋" w:eastAsia="仿宋" w:cs="宋体"/>
          <w:bCs/>
          <w:color w:val="auto"/>
          <w:kern w:val="0"/>
          <w:sz w:val="48"/>
          <w:szCs w:val="48"/>
          <w:highlight w:val="none"/>
          <w:lang w:val="zh-CN"/>
        </w:rPr>
      </w:pPr>
      <w:r>
        <w:rPr>
          <w:rFonts w:hint="eastAsia" w:ascii="仿宋" w:hAnsi="仿宋" w:eastAsia="仿宋" w:cs="宋体"/>
          <w:bCs/>
          <w:color w:val="auto"/>
          <w:kern w:val="0"/>
          <w:sz w:val="48"/>
          <w:szCs w:val="48"/>
          <w:highlight w:val="none"/>
          <w:lang w:val="zh-CN"/>
        </w:rPr>
        <w:t>湖州市吴兴区公用事业管理中心2025-2027年度雨污水管网维护及应急处置采购项目</w:t>
      </w:r>
    </w:p>
    <w:p w14:paraId="367EBC7B">
      <w:pPr>
        <w:pStyle w:val="33"/>
        <w:jc w:val="center"/>
        <w:rPr>
          <w:rFonts w:ascii="仿宋" w:hAnsi="仿宋" w:eastAsia="仿宋" w:cs="仿宋"/>
          <w:color w:val="auto"/>
          <w:sz w:val="30"/>
          <w:szCs w:val="30"/>
          <w:highlight w:val="none"/>
        </w:rPr>
      </w:pPr>
    </w:p>
    <w:p w14:paraId="3918CC77">
      <w:pPr>
        <w:widowControl/>
        <w:spacing w:line="900" w:lineRule="exact"/>
        <w:jc w:val="center"/>
        <w:rPr>
          <w:rFonts w:ascii="仿宋" w:hAnsi="仿宋" w:eastAsia="仿宋" w:cs="仿宋"/>
          <w:b/>
          <w:color w:val="auto"/>
          <w:kern w:val="0"/>
          <w:sz w:val="32"/>
          <w:szCs w:val="32"/>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财政审批编号:</w:t>
      </w:r>
      <w:r>
        <w:rPr>
          <w:rFonts w:hint="eastAsia" w:ascii="仿宋" w:hAnsi="仿宋" w:eastAsia="仿宋" w:cs="仿宋"/>
          <w:color w:val="auto"/>
          <w:sz w:val="30"/>
          <w:szCs w:val="30"/>
          <w:highlight w:val="none"/>
          <w:lang w:val="en-US" w:eastAsia="zh-CN"/>
        </w:rPr>
        <w:t xml:space="preserve"> 临[2024]6545号</w:t>
      </w:r>
      <w:r>
        <w:rPr>
          <w:rFonts w:hint="eastAsia" w:ascii="仿宋" w:hAnsi="仿宋" w:eastAsia="仿宋" w:cs="仿宋"/>
          <w:color w:val="auto"/>
          <w:sz w:val="30"/>
          <w:szCs w:val="30"/>
          <w:highlight w:val="none"/>
        </w:rPr>
        <w:t>）</w:t>
      </w:r>
    </w:p>
    <w:p w14:paraId="24DAA61D">
      <w:pPr>
        <w:pStyle w:val="33"/>
        <w:jc w:val="center"/>
        <w:rPr>
          <w:rFonts w:ascii="仿宋" w:hAnsi="仿宋" w:eastAsia="仿宋" w:cs="仿宋"/>
          <w:color w:val="auto"/>
          <w:sz w:val="72"/>
          <w:szCs w:val="72"/>
          <w:highlight w:val="none"/>
        </w:rPr>
      </w:pPr>
    </w:p>
    <w:p w14:paraId="09AE01BD">
      <w:pPr>
        <w:pStyle w:val="33"/>
        <w:jc w:val="center"/>
        <w:rPr>
          <w:rFonts w:ascii="仿宋" w:hAnsi="仿宋" w:eastAsia="仿宋" w:cs="仿宋"/>
          <w:color w:val="auto"/>
          <w:sz w:val="72"/>
          <w:szCs w:val="72"/>
          <w:highlight w:val="none"/>
        </w:rPr>
      </w:pPr>
      <w:r>
        <w:rPr>
          <w:rFonts w:hint="eastAsia" w:ascii="仿宋" w:hAnsi="仿宋" w:eastAsia="仿宋" w:cs="仿宋"/>
          <w:color w:val="auto"/>
          <w:sz w:val="72"/>
          <w:szCs w:val="72"/>
          <w:highlight w:val="none"/>
        </w:rPr>
        <w:t>公开招标文件</w:t>
      </w:r>
    </w:p>
    <w:p w14:paraId="32C51180">
      <w:pPr>
        <w:pStyle w:val="33"/>
        <w:jc w:val="center"/>
        <w:rPr>
          <w:rFonts w:ascii="仿宋" w:hAnsi="仿宋" w:eastAsia="仿宋"/>
          <w:b/>
          <w:snapToGrid w:val="0"/>
          <w:color w:val="auto"/>
          <w:sz w:val="44"/>
          <w:szCs w:val="44"/>
          <w:highlight w:val="none"/>
          <w:lang w:val="zh-CN"/>
        </w:rPr>
      </w:pPr>
    </w:p>
    <w:p w14:paraId="0FE70F2F">
      <w:pPr>
        <w:pStyle w:val="33"/>
        <w:jc w:val="center"/>
        <w:rPr>
          <w:rFonts w:ascii="仿宋" w:hAnsi="仿宋" w:eastAsia="仿宋"/>
          <w:b/>
          <w:snapToGrid w:val="0"/>
          <w:color w:val="auto"/>
          <w:sz w:val="44"/>
          <w:szCs w:val="44"/>
          <w:highlight w:val="none"/>
          <w:lang w:val="zh-CN"/>
        </w:rPr>
      </w:pPr>
      <w:r>
        <w:rPr>
          <w:rFonts w:hint="eastAsia" w:ascii="仿宋" w:hAnsi="仿宋" w:eastAsia="仿宋"/>
          <w:b/>
          <w:snapToGrid w:val="0"/>
          <w:color w:val="auto"/>
          <w:sz w:val="44"/>
          <w:szCs w:val="44"/>
          <w:highlight w:val="none"/>
          <w:lang w:val="zh-CN"/>
        </w:rPr>
        <w:t>（全流程电子）</w:t>
      </w:r>
    </w:p>
    <w:p w14:paraId="0016BF6F">
      <w:pPr>
        <w:pStyle w:val="33"/>
        <w:jc w:val="both"/>
        <w:rPr>
          <w:rFonts w:ascii="仿宋" w:hAnsi="仿宋" w:eastAsia="仿宋" w:cs="仿宋"/>
          <w:color w:val="auto"/>
          <w:sz w:val="72"/>
          <w:szCs w:val="72"/>
          <w:highlight w:val="none"/>
        </w:rPr>
      </w:pPr>
    </w:p>
    <w:p w14:paraId="541B8DD9">
      <w:pPr>
        <w:pStyle w:val="33"/>
        <w:keepNext w:val="0"/>
        <w:keepLines w:val="0"/>
        <w:pageBreakBefore w:val="0"/>
        <w:widowControl w:val="0"/>
        <w:kinsoku/>
        <w:wordWrap/>
        <w:overflowPunct/>
        <w:topLinePunct w:val="0"/>
        <w:autoSpaceDE w:val="0"/>
        <w:autoSpaceDN w:val="0"/>
        <w:bidi w:val="0"/>
        <w:adjustRightInd w:val="0"/>
        <w:snapToGrid/>
        <w:spacing w:line="1000" w:lineRule="exact"/>
        <w:ind w:firstLine="300" w:firstLineChars="100"/>
        <w:textAlignment w:val="auto"/>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lang w:val="en-US" w:eastAsia="zh-CN"/>
        </w:rPr>
        <w:t xml:space="preserve"> 中纬采字[2025]-002-1号</w:t>
      </w:r>
      <w:r>
        <w:rPr>
          <w:rFonts w:hint="eastAsia" w:ascii="仿宋" w:hAnsi="仿宋" w:eastAsia="仿宋" w:cs="仿宋"/>
          <w:color w:val="auto"/>
          <w:sz w:val="30"/>
          <w:szCs w:val="30"/>
          <w:highlight w:val="none"/>
          <w:u w:val="single"/>
        </w:rPr>
        <w:t xml:space="preserve"> </w:t>
      </w:r>
    </w:p>
    <w:p w14:paraId="20E21E67">
      <w:pPr>
        <w:pStyle w:val="33"/>
        <w:keepNext w:val="0"/>
        <w:keepLines w:val="0"/>
        <w:pageBreakBefore w:val="0"/>
        <w:widowControl w:val="0"/>
        <w:kinsoku/>
        <w:wordWrap/>
        <w:overflowPunct/>
        <w:topLinePunct w:val="0"/>
        <w:autoSpaceDE w:val="0"/>
        <w:autoSpaceDN w:val="0"/>
        <w:bidi w:val="0"/>
        <w:adjustRightInd w:val="0"/>
        <w:snapToGrid/>
        <w:spacing w:line="1000" w:lineRule="exact"/>
        <w:ind w:left="1798" w:leftChars="142" w:hanging="1500" w:hangingChars="500"/>
        <w:textAlignment w:val="auto"/>
        <w:rPr>
          <w:rFonts w:hint="eastAsia" w:ascii="仿宋" w:hAnsi="仿宋" w:eastAsia="仿宋" w:cs="仿宋"/>
          <w:color w:val="auto"/>
          <w:sz w:val="30"/>
          <w:szCs w:val="30"/>
          <w:highlight w:val="none"/>
          <w:u w:val="single"/>
          <w:lang w:eastAsia="zh-CN"/>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u w:val="single"/>
          <w:lang w:eastAsia="zh-CN"/>
        </w:rPr>
        <w:t>湖州市吴兴区公用事业管理中心2025-2027年度雨污水管网维护及应急处置采购项目</w:t>
      </w:r>
    </w:p>
    <w:p w14:paraId="66B3D1E7">
      <w:pPr>
        <w:pStyle w:val="33"/>
        <w:keepNext w:val="0"/>
        <w:keepLines w:val="0"/>
        <w:pageBreakBefore w:val="0"/>
        <w:widowControl w:val="0"/>
        <w:kinsoku/>
        <w:wordWrap/>
        <w:overflowPunct/>
        <w:topLinePunct w:val="0"/>
        <w:autoSpaceDE w:val="0"/>
        <w:autoSpaceDN w:val="0"/>
        <w:bidi w:val="0"/>
        <w:adjustRightInd w:val="0"/>
        <w:snapToGrid/>
        <w:spacing w:line="1000" w:lineRule="exact"/>
        <w:ind w:firstLine="300" w:firstLineChars="100"/>
        <w:jc w:val="both"/>
        <w:textAlignment w:val="auto"/>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采 购 人：</w:t>
      </w:r>
      <w:r>
        <w:rPr>
          <w:rFonts w:hint="eastAsia" w:ascii="仿宋" w:hAnsi="仿宋" w:eastAsia="仿宋" w:cs="仿宋"/>
          <w:color w:val="auto"/>
          <w:sz w:val="30"/>
          <w:szCs w:val="30"/>
          <w:highlight w:val="none"/>
          <w:u w:val="single"/>
        </w:rPr>
        <w:t>湖州市吴兴区公用事业管理中心</w:t>
      </w:r>
    </w:p>
    <w:p w14:paraId="48998155">
      <w:pPr>
        <w:pStyle w:val="33"/>
        <w:keepNext w:val="0"/>
        <w:keepLines w:val="0"/>
        <w:pageBreakBefore w:val="0"/>
        <w:widowControl w:val="0"/>
        <w:kinsoku/>
        <w:wordWrap/>
        <w:overflowPunct/>
        <w:topLinePunct w:val="0"/>
        <w:autoSpaceDE w:val="0"/>
        <w:autoSpaceDN w:val="0"/>
        <w:bidi w:val="0"/>
        <w:adjustRightInd w:val="0"/>
        <w:snapToGrid/>
        <w:spacing w:line="1000" w:lineRule="exact"/>
        <w:ind w:firstLine="300" w:firstLineChars="100"/>
        <w:jc w:val="both"/>
        <w:textAlignment w:val="auto"/>
        <w:rPr>
          <w:rFonts w:hint="eastAsia" w:ascii="仿宋" w:hAnsi="仿宋" w:eastAsia="仿宋" w:cs="仿宋"/>
          <w:color w:val="auto"/>
          <w:sz w:val="30"/>
          <w:szCs w:val="30"/>
          <w:highlight w:val="none"/>
          <w:u w:val="single"/>
          <w:lang w:eastAsia="zh-CN"/>
        </w:rPr>
      </w:pPr>
      <w:r>
        <w:rPr>
          <w:rFonts w:hint="eastAsia" w:ascii="仿宋" w:hAnsi="仿宋" w:eastAsia="仿宋" w:cs="仿宋"/>
          <w:color w:val="auto"/>
          <w:sz w:val="30"/>
          <w:szCs w:val="30"/>
          <w:highlight w:val="none"/>
        </w:rPr>
        <w:t>代理机构：</w:t>
      </w:r>
      <w:r>
        <w:rPr>
          <w:rFonts w:hint="eastAsia" w:ascii="仿宋" w:hAnsi="仿宋" w:eastAsia="仿宋" w:cs="仿宋"/>
          <w:color w:val="auto"/>
          <w:sz w:val="30"/>
          <w:szCs w:val="30"/>
          <w:highlight w:val="none"/>
          <w:u w:val="single"/>
          <w:lang w:eastAsia="zh-CN"/>
        </w:rPr>
        <w:t>中纬工程管理咨询有限公司</w:t>
      </w:r>
    </w:p>
    <w:p w14:paraId="1E6033E2">
      <w:pPr>
        <w:pStyle w:val="33"/>
        <w:spacing w:line="360" w:lineRule="auto"/>
        <w:jc w:val="center"/>
        <w:rPr>
          <w:rFonts w:ascii="仿宋" w:hAnsi="仿宋" w:eastAsia="仿宋" w:cs="仿宋"/>
          <w:color w:val="auto"/>
          <w:sz w:val="28"/>
          <w:szCs w:val="28"/>
          <w:highlight w:val="none"/>
        </w:rPr>
      </w:pPr>
    </w:p>
    <w:p w14:paraId="2F6DC9AF">
      <w:pPr>
        <w:pStyle w:val="33"/>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二〇二五</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月</w:t>
      </w:r>
    </w:p>
    <w:p w14:paraId="2E301C37">
      <w:pPr>
        <w:pStyle w:val="33"/>
        <w:spacing w:line="360" w:lineRule="auto"/>
        <w:jc w:val="center"/>
        <w:rPr>
          <w:rFonts w:ascii="仿宋" w:hAnsi="仿宋" w:eastAsia="仿宋" w:cs="仿宋"/>
          <w:color w:val="auto"/>
          <w:sz w:val="28"/>
          <w:szCs w:val="28"/>
          <w:highlight w:val="none"/>
        </w:rPr>
      </w:pPr>
    </w:p>
    <w:sdt>
      <w:sdtPr>
        <w:rPr>
          <w:rFonts w:hint="eastAsia" w:ascii="仿宋" w:hAnsi="仿宋" w:eastAsia="仿宋" w:cs="仿宋"/>
          <w:color w:val="auto"/>
          <w:sz w:val="32"/>
          <w:szCs w:val="32"/>
          <w:highlight w:val="none"/>
        </w:rPr>
        <w:id w:val="147459969"/>
        <w:docPartObj>
          <w:docPartGallery w:val="Table of Contents"/>
          <w:docPartUnique/>
        </w:docPartObj>
      </w:sdtPr>
      <w:sdtEndPr>
        <w:rPr>
          <w:rFonts w:hint="eastAsia" w:ascii="Times New Roman" w:hAnsi="Times New Roman" w:eastAsia="楷体_GB2312" w:cs="Times New Roman"/>
          <w:color w:val="auto"/>
          <w:sz w:val="21"/>
          <w:szCs w:val="24"/>
          <w:highlight w:val="none"/>
        </w:rPr>
      </w:sdtEndPr>
      <w:sdtContent>
        <w:p w14:paraId="42595EEE">
          <w:pPr>
            <w:jc w:val="center"/>
            <w:rPr>
              <w:rFonts w:ascii="仿宋" w:hAnsi="仿宋" w:eastAsia="仿宋" w:cs="仿宋"/>
              <w:color w:val="auto"/>
              <w:sz w:val="32"/>
              <w:szCs w:val="32"/>
              <w:highlight w:val="none"/>
            </w:rPr>
          </w:pPr>
          <w:bookmarkStart w:id="0" w:name="_Toc11724"/>
          <w:bookmarkStart w:id="1" w:name="_Toc738"/>
          <w:bookmarkStart w:id="2" w:name="_Toc18432"/>
          <w:bookmarkStart w:id="3" w:name="_Toc510462676"/>
        </w:p>
        <w:p w14:paraId="7EF5BA51">
          <w:pPr>
            <w:jc w:val="center"/>
            <w:rPr>
              <w:rFonts w:hint="eastAsia" w:ascii="仿宋" w:hAnsi="仿宋" w:eastAsia="仿宋" w:cs="仿宋"/>
              <w:color w:val="auto"/>
              <w:sz w:val="32"/>
              <w:szCs w:val="32"/>
              <w:highlight w:val="none"/>
            </w:rPr>
          </w:pPr>
        </w:p>
        <w:p w14:paraId="2D77E84F">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录</w:t>
          </w:r>
        </w:p>
        <w:p w14:paraId="2B0BC042">
          <w:pPr>
            <w:pStyle w:val="50"/>
            <w:tabs>
              <w:tab w:val="right" w:leader="dot" w:pos="9412"/>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"1-1" \h \u </w:instrText>
          </w:r>
          <w:r>
            <w:rPr>
              <w:rFonts w:hint="eastAsia" w:ascii="仿宋" w:hAnsi="仿宋" w:eastAsia="仿宋" w:cs="仿宋"/>
              <w:color w:val="auto"/>
              <w:sz w:val="24"/>
              <w:szCs w:val="24"/>
              <w:highlight w:val="none"/>
            </w:rPr>
            <w:fldChar w:fldCharType="separate"/>
          </w:r>
        </w:p>
        <w:p w14:paraId="3BA5BAA7">
          <w:pPr>
            <w:pStyle w:val="50"/>
            <w:keepNext w:val="0"/>
            <w:keepLines w:val="0"/>
            <w:pageBreakBefore w:val="0"/>
            <w:widowControl/>
            <w:tabs>
              <w:tab w:val="right" w:leader="dot" w:pos="9412"/>
            </w:tabs>
            <w:kinsoku/>
            <w:wordWrap/>
            <w:overflowPunct/>
            <w:topLinePunct w:val="0"/>
            <w:autoSpaceDE/>
            <w:autoSpaceDN/>
            <w:bidi w:val="0"/>
            <w:adjustRightInd/>
            <w:snapToGrid/>
            <w:spacing w:line="480" w:lineRule="auto"/>
            <w:textAlignment w:val="auto"/>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"_Toc4546" </w:instrText>
          </w:r>
          <w:r>
            <w:rPr>
              <w:color w:val="auto"/>
              <w:highlight w:val="none"/>
            </w:rPr>
            <w:fldChar w:fldCharType="separate"/>
          </w:r>
          <w:r>
            <w:rPr>
              <w:rFonts w:hint="eastAsia" w:ascii="仿宋" w:hAnsi="仿宋" w:eastAsia="仿宋" w:cs="仿宋"/>
              <w:color w:val="auto"/>
              <w:sz w:val="24"/>
              <w:szCs w:val="24"/>
              <w:highlight w:val="none"/>
            </w:rPr>
            <w:t>第一章  公开招标公告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_Toc4546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980351B">
          <w:pPr>
            <w:pStyle w:val="50"/>
            <w:keepNext w:val="0"/>
            <w:keepLines w:val="0"/>
            <w:pageBreakBefore w:val="0"/>
            <w:widowControl/>
            <w:tabs>
              <w:tab w:val="right" w:leader="dot" w:pos="9412"/>
            </w:tabs>
            <w:kinsoku/>
            <w:wordWrap/>
            <w:overflowPunct/>
            <w:topLinePunct w:val="0"/>
            <w:autoSpaceDE/>
            <w:autoSpaceDN/>
            <w:bidi w:val="0"/>
            <w:adjustRightInd/>
            <w:snapToGrid/>
            <w:spacing w:line="480" w:lineRule="auto"/>
            <w:textAlignment w:val="auto"/>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"_Toc24776" </w:instrText>
          </w:r>
          <w:r>
            <w:rPr>
              <w:color w:val="auto"/>
              <w:highlight w:val="none"/>
            </w:rPr>
            <w:fldChar w:fldCharType="separate"/>
          </w:r>
          <w:r>
            <w:rPr>
              <w:rFonts w:hint="eastAsia" w:ascii="仿宋" w:hAnsi="仿宋" w:eastAsia="仿宋" w:cs="仿宋"/>
              <w:color w:val="auto"/>
              <w:sz w:val="24"/>
              <w:szCs w:val="24"/>
              <w:highlight w:val="none"/>
            </w:rPr>
            <w:t>第二章  招标需求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_Toc24776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148E6FC">
          <w:pPr>
            <w:pStyle w:val="50"/>
            <w:keepNext w:val="0"/>
            <w:keepLines w:val="0"/>
            <w:pageBreakBefore w:val="0"/>
            <w:widowControl/>
            <w:tabs>
              <w:tab w:val="right" w:leader="dot" w:pos="9412"/>
            </w:tabs>
            <w:kinsoku/>
            <w:wordWrap/>
            <w:overflowPunct/>
            <w:topLinePunct w:val="0"/>
            <w:autoSpaceDE/>
            <w:autoSpaceDN/>
            <w:bidi w:val="0"/>
            <w:adjustRightInd/>
            <w:snapToGrid/>
            <w:spacing w:line="480" w:lineRule="auto"/>
            <w:textAlignment w:val="auto"/>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"_Toc27233" </w:instrText>
          </w:r>
          <w:r>
            <w:rPr>
              <w:color w:val="auto"/>
              <w:highlight w:val="none"/>
            </w:rPr>
            <w:fldChar w:fldCharType="separate"/>
          </w:r>
          <w:r>
            <w:rPr>
              <w:rFonts w:hint="eastAsia" w:ascii="仿宋" w:hAnsi="仿宋" w:eastAsia="仿宋" w:cs="仿宋"/>
              <w:color w:val="auto"/>
              <w:sz w:val="24"/>
              <w:szCs w:val="24"/>
              <w:highlight w:val="none"/>
            </w:rPr>
            <w:t>第三章  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_Toc27233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CFAD3DC">
          <w:pPr>
            <w:pStyle w:val="50"/>
            <w:keepNext w:val="0"/>
            <w:keepLines w:val="0"/>
            <w:pageBreakBefore w:val="0"/>
            <w:widowControl/>
            <w:tabs>
              <w:tab w:val="right" w:leader="dot" w:pos="9412"/>
            </w:tabs>
            <w:kinsoku/>
            <w:wordWrap/>
            <w:overflowPunct/>
            <w:topLinePunct w:val="0"/>
            <w:autoSpaceDE/>
            <w:autoSpaceDN/>
            <w:bidi w:val="0"/>
            <w:adjustRightInd/>
            <w:snapToGrid/>
            <w:spacing w:line="480" w:lineRule="auto"/>
            <w:textAlignment w:val="auto"/>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"_Toc5189" </w:instrText>
          </w:r>
          <w:r>
            <w:rPr>
              <w:color w:val="auto"/>
              <w:highlight w:val="none"/>
            </w:rPr>
            <w:fldChar w:fldCharType="separate"/>
          </w:r>
          <w:r>
            <w:rPr>
              <w:rFonts w:hint="eastAsia" w:ascii="仿宋" w:hAnsi="仿宋" w:eastAsia="仿宋" w:cs="仿宋"/>
              <w:color w:val="auto"/>
              <w:sz w:val="24"/>
              <w:szCs w:val="24"/>
              <w:highlight w:val="none"/>
            </w:rPr>
            <w:t xml:space="preserve">第四章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评标办法及评分标准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_Toc5189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F083542">
          <w:pPr>
            <w:pStyle w:val="50"/>
            <w:keepNext w:val="0"/>
            <w:keepLines w:val="0"/>
            <w:pageBreakBefore w:val="0"/>
            <w:widowControl/>
            <w:tabs>
              <w:tab w:val="right" w:leader="dot" w:pos="9412"/>
            </w:tabs>
            <w:kinsoku/>
            <w:wordWrap/>
            <w:overflowPunct/>
            <w:topLinePunct w:val="0"/>
            <w:autoSpaceDE/>
            <w:autoSpaceDN/>
            <w:bidi w:val="0"/>
            <w:adjustRightInd/>
            <w:snapToGrid/>
            <w:spacing w:line="480" w:lineRule="auto"/>
            <w:textAlignment w:val="auto"/>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"_Toc635" </w:instrText>
          </w:r>
          <w:r>
            <w:rPr>
              <w:color w:val="auto"/>
              <w:highlight w:val="none"/>
            </w:rPr>
            <w:fldChar w:fldCharType="separate"/>
          </w:r>
          <w:r>
            <w:rPr>
              <w:rFonts w:hint="eastAsia" w:ascii="仿宋" w:hAnsi="仿宋" w:eastAsia="仿宋" w:cs="仿宋"/>
              <w:color w:val="auto"/>
              <w:sz w:val="24"/>
              <w:szCs w:val="24"/>
              <w:highlight w:val="none"/>
            </w:rPr>
            <w:t xml:space="preserve">第五章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合同主要条款</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_Toc635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50ABDC0">
          <w:pPr>
            <w:pStyle w:val="50"/>
            <w:keepNext w:val="0"/>
            <w:keepLines w:val="0"/>
            <w:pageBreakBefore w:val="0"/>
            <w:widowControl/>
            <w:tabs>
              <w:tab w:val="right" w:leader="dot" w:pos="94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highlight w:val="none"/>
              <w:lang w:val="en-US" w:eastAsia="zh-CN"/>
            </w:rPr>
          </w:pPr>
          <w:r>
            <w:rPr>
              <w:color w:val="auto"/>
              <w:highlight w:val="none"/>
            </w:rPr>
            <w:fldChar w:fldCharType="begin"/>
          </w:r>
          <w:r>
            <w:rPr>
              <w:color w:val="auto"/>
              <w:highlight w:val="none"/>
            </w:rPr>
            <w:instrText xml:space="preserve"> HYPERLINK \l "_Toc29795" </w:instrText>
          </w:r>
          <w:r>
            <w:rPr>
              <w:color w:val="auto"/>
              <w:highlight w:val="none"/>
            </w:rPr>
            <w:fldChar w:fldCharType="separate"/>
          </w:r>
          <w:r>
            <w:rPr>
              <w:rFonts w:hint="eastAsia" w:ascii="仿宋" w:hAnsi="仿宋" w:eastAsia="仿宋" w:cs="仿宋"/>
              <w:color w:val="auto"/>
              <w:sz w:val="24"/>
              <w:szCs w:val="24"/>
              <w:highlight w:val="none"/>
            </w:rPr>
            <w:t>第六章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投标格式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4</w:t>
          </w:r>
        </w:p>
        <w:p w14:paraId="457BBF66">
          <w:pPr>
            <w:pStyle w:val="50"/>
            <w:tabs>
              <w:tab w:val="right" w:leader="dot" w:pos="9412"/>
            </w:tabs>
            <w:rPr>
              <w:rFonts w:ascii="仿宋" w:hAnsi="仿宋" w:eastAsia="仿宋" w:cs="仿宋"/>
              <w:color w:val="auto"/>
              <w:sz w:val="24"/>
              <w:szCs w:val="24"/>
              <w:highlight w:val="none"/>
            </w:rPr>
          </w:pPr>
        </w:p>
        <w:p w14:paraId="08A9DE84">
          <w:pPr>
            <w:pStyle w:val="2"/>
            <w:ind w:firstLine="480"/>
            <w:rPr>
              <w:color w:val="auto"/>
              <w:highlight w:val="none"/>
            </w:rPr>
          </w:pPr>
          <w:r>
            <w:rPr>
              <w:rFonts w:hint="eastAsia" w:ascii="仿宋" w:hAnsi="仿宋" w:eastAsia="仿宋" w:cs="仿宋"/>
              <w:color w:val="auto"/>
              <w:sz w:val="24"/>
              <w:highlight w:val="none"/>
            </w:rPr>
            <w:fldChar w:fldCharType="end"/>
          </w:r>
        </w:p>
      </w:sdtContent>
    </w:sdt>
    <w:p w14:paraId="1E9BFF2F">
      <w:pPr>
        <w:pStyle w:val="4"/>
        <w:spacing w:line="360" w:lineRule="auto"/>
        <w:rPr>
          <w:rFonts w:ascii="仿宋" w:hAnsi="仿宋" w:eastAsia="仿宋" w:cs="仿宋"/>
          <w:color w:val="auto"/>
          <w:sz w:val="32"/>
          <w:highlight w:val="none"/>
        </w:rPr>
      </w:pPr>
      <w:bookmarkStart w:id="4" w:name="_Toc4546"/>
    </w:p>
    <w:p w14:paraId="453A1842">
      <w:pPr>
        <w:bidi w:val="0"/>
        <w:rPr>
          <w:color w:val="auto"/>
          <w:highlight w:val="none"/>
        </w:rPr>
      </w:pPr>
    </w:p>
    <w:p w14:paraId="2A294ABD">
      <w:pPr>
        <w:bidi w:val="0"/>
        <w:rPr>
          <w:color w:val="auto"/>
          <w:highlight w:val="none"/>
        </w:rPr>
      </w:pPr>
    </w:p>
    <w:p w14:paraId="0426E19F">
      <w:pPr>
        <w:bidi w:val="0"/>
        <w:rPr>
          <w:color w:val="auto"/>
          <w:highlight w:val="none"/>
        </w:rPr>
      </w:pPr>
    </w:p>
    <w:p w14:paraId="7520FDD1">
      <w:pPr>
        <w:bidi w:val="0"/>
        <w:rPr>
          <w:color w:val="auto"/>
          <w:highlight w:val="none"/>
        </w:rPr>
      </w:pPr>
    </w:p>
    <w:p w14:paraId="51A07B7F">
      <w:pPr>
        <w:bidi w:val="0"/>
        <w:rPr>
          <w:color w:val="auto"/>
          <w:highlight w:val="none"/>
        </w:rPr>
      </w:pPr>
    </w:p>
    <w:p w14:paraId="0C608C56">
      <w:pPr>
        <w:bidi w:val="0"/>
        <w:rPr>
          <w:color w:val="auto"/>
          <w:highlight w:val="none"/>
        </w:rPr>
      </w:pPr>
    </w:p>
    <w:p w14:paraId="55C0709E">
      <w:pPr>
        <w:bidi w:val="0"/>
        <w:rPr>
          <w:color w:val="auto"/>
          <w:highlight w:val="none"/>
        </w:rPr>
      </w:pPr>
    </w:p>
    <w:p w14:paraId="7F0485BD">
      <w:pPr>
        <w:bidi w:val="0"/>
        <w:rPr>
          <w:color w:val="auto"/>
          <w:highlight w:val="none"/>
        </w:rPr>
      </w:pPr>
    </w:p>
    <w:p w14:paraId="409E0F61">
      <w:pPr>
        <w:tabs>
          <w:tab w:val="left" w:pos="8377"/>
        </w:tabs>
        <w:bidi w:val="0"/>
        <w:jc w:val="left"/>
        <w:rPr>
          <w:rFonts w:hint="eastAsia" w:eastAsia="宋体"/>
          <w:color w:val="auto"/>
          <w:highlight w:val="none"/>
          <w:lang w:eastAsia="zh-CN"/>
        </w:rPr>
        <w:sectPr>
          <w:headerReference r:id="rId4" w:type="first"/>
          <w:headerReference r:id="rId3" w:type="default"/>
          <w:footerReference r:id="rId5" w:type="default"/>
          <w:pgSz w:w="11905" w:h="16838"/>
          <w:pgMar w:top="1417" w:right="1417" w:bottom="1417" w:left="1417" w:header="850" w:footer="850" w:gutter="0"/>
          <w:pgNumType w:fmt="numberInDash" w:start="1"/>
          <w:cols w:space="0" w:num="1"/>
          <w:rtlGutter w:val="0"/>
          <w:docGrid w:linePitch="312" w:charSpace="0"/>
        </w:sectPr>
      </w:pPr>
      <w:r>
        <w:rPr>
          <w:rFonts w:hint="eastAsia"/>
          <w:color w:val="auto"/>
          <w:highlight w:val="none"/>
          <w:lang w:eastAsia="zh-CN"/>
        </w:rPr>
        <w:tab/>
      </w:r>
    </w:p>
    <w:p w14:paraId="449282E1">
      <w:pPr>
        <w:pStyle w:val="4"/>
        <w:spacing w:line="360" w:lineRule="auto"/>
        <w:rPr>
          <w:rFonts w:ascii="仿宋" w:hAnsi="仿宋" w:eastAsia="仿宋" w:cs="仿宋"/>
          <w:color w:val="auto"/>
          <w:sz w:val="32"/>
          <w:highlight w:val="none"/>
        </w:rPr>
      </w:pPr>
      <w:r>
        <w:rPr>
          <w:rFonts w:hint="eastAsia" w:ascii="仿宋" w:hAnsi="仿宋" w:eastAsia="仿宋" w:cs="仿宋"/>
          <w:color w:val="auto"/>
          <w:sz w:val="32"/>
          <w:highlight w:val="none"/>
        </w:rPr>
        <w:t>第一章   公开招标公告</w:t>
      </w:r>
      <w:bookmarkEnd w:id="0"/>
      <w:bookmarkEnd w:id="1"/>
      <w:bookmarkEnd w:id="2"/>
      <w:bookmarkEnd w:id="3"/>
      <w:bookmarkEnd w:id="4"/>
    </w:p>
    <w:p w14:paraId="00A86CB0">
      <w:pPr>
        <w:pStyle w:val="33"/>
        <w:spacing w:beforeLines="50" w:afterLines="5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根据《中华人民共和国政府采购法》《政府采购货物和服务招标投标管理办法》及相关法律、法规等规定，经湖州市吴兴区财政局</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财政审批号：临[2024]6545</w:t>
      </w:r>
      <w:r>
        <w:rPr>
          <w:rFonts w:hint="eastAsia" w:ascii="仿宋" w:hAnsi="仿宋" w:eastAsia="仿宋" w:cs="仿宋"/>
          <w:color w:val="auto"/>
          <w:highlight w:val="none"/>
          <w:lang w:eastAsia="zh-CN"/>
        </w:rPr>
        <w:t>号）</w:t>
      </w:r>
      <w:r>
        <w:rPr>
          <w:rFonts w:hint="eastAsia" w:ascii="仿宋" w:hAnsi="仿宋" w:eastAsia="仿宋" w:cs="仿宋"/>
          <w:color w:val="auto"/>
          <w:highlight w:val="none"/>
        </w:rPr>
        <w:t>批准，</w:t>
      </w:r>
      <w:r>
        <w:rPr>
          <w:rFonts w:hint="eastAsia" w:ascii="仿宋" w:hAnsi="仿宋" w:eastAsia="仿宋" w:cs="仿宋"/>
          <w:b/>
          <w:bCs/>
          <w:color w:val="auto"/>
          <w:highlight w:val="none"/>
          <w:u w:val="none"/>
          <w:lang w:eastAsia="zh-CN"/>
        </w:rPr>
        <w:t>中纬工程管理咨询有限公司</w:t>
      </w:r>
      <w:r>
        <w:rPr>
          <w:rFonts w:hint="eastAsia" w:ascii="仿宋" w:hAnsi="仿宋" w:eastAsia="仿宋" w:cs="仿宋"/>
          <w:color w:val="auto"/>
          <w:highlight w:val="none"/>
          <w:u w:val="none"/>
        </w:rPr>
        <w:t>受</w:t>
      </w:r>
      <w:r>
        <w:rPr>
          <w:rFonts w:hint="eastAsia" w:ascii="仿宋" w:hAnsi="仿宋" w:eastAsia="仿宋" w:cs="仿宋"/>
          <w:b/>
          <w:bCs/>
          <w:color w:val="auto"/>
          <w:highlight w:val="none"/>
          <w:u w:val="none"/>
        </w:rPr>
        <w:t>湖州市吴兴区公用事业管理中心</w:t>
      </w:r>
      <w:r>
        <w:rPr>
          <w:rFonts w:hint="eastAsia" w:ascii="仿宋" w:hAnsi="仿宋" w:eastAsia="仿宋" w:cs="仿宋"/>
          <w:b w:val="0"/>
          <w:bCs w:val="0"/>
          <w:color w:val="auto"/>
          <w:highlight w:val="none"/>
          <w:u w:val="none"/>
          <w:lang w:eastAsia="zh-CN"/>
        </w:rPr>
        <w:t>的</w:t>
      </w:r>
      <w:r>
        <w:rPr>
          <w:rFonts w:hint="eastAsia" w:ascii="仿宋" w:hAnsi="仿宋" w:eastAsia="仿宋" w:cs="仿宋"/>
          <w:color w:val="auto"/>
          <w:highlight w:val="none"/>
          <w:u w:val="none"/>
        </w:rPr>
        <w:t>委托，现就</w:t>
      </w:r>
      <w:r>
        <w:rPr>
          <w:rFonts w:hint="eastAsia" w:ascii="仿宋" w:hAnsi="仿宋" w:eastAsia="仿宋" w:cs="仿宋"/>
          <w:b/>
          <w:bCs/>
          <w:color w:val="auto"/>
          <w:highlight w:val="none"/>
          <w:u w:val="none"/>
          <w:lang w:eastAsia="zh-CN"/>
        </w:rPr>
        <w:t>湖州市吴兴区公用事业管理中心2025-2027年度雨污水管网维护及应急处置采购项目</w:t>
      </w:r>
      <w:r>
        <w:rPr>
          <w:rFonts w:hint="eastAsia" w:ascii="仿宋" w:hAnsi="仿宋" w:eastAsia="仿宋" w:cs="仿宋"/>
          <w:color w:val="auto"/>
          <w:highlight w:val="none"/>
        </w:rPr>
        <w:t>进行公开招标采购，欢迎中华人民共和国境内的合格投标人前来参加投标。</w:t>
      </w:r>
    </w:p>
    <w:p w14:paraId="1336ED43">
      <w:pPr>
        <w:numPr>
          <w:ilvl w:val="0"/>
          <w:numId w:val="1"/>
        </w:num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项目编号：中纬采字[2025]-002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号</w:t>
      </w:r>
    </w:p>
    <w:p w14:paraId="229C051B">
      <w:pPr>
        <w:numPr>
          <w:ilvl w:val="0"/>
          <w:numId w:val="1"/>
        </w:num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采购组织类型：</w:t>
      </w:r>
      <w:r>
        <w:rPr>
          <w:rFonts w:hint="eastAsia" w:ascii="仿宋" w:hAnsi="仿宋" w:eastAsia="仿宋" w:cs="仿宋"/>
          <w:color w:val="auto"/>
          <w:sz w:val="24"/>
          <w:highlight w:val="none"/>
        </w:rPr>
        <w:t>分散采购委托代理</w:t>
      </w:r>
    </w:p>
    <w:p w14:paraId="7FC83F65">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三、采购方式：</w:t>
      </w:r>
      <w:r>
        <w:rPr>
          <w:rFonts w:hint="eastAsia" w:ascii="仿宋" w:hAnsi="仿宋" w:eastAsia="仿宋" w:cs="仿宋"/>
          <w:color w:val="auto"/>
          <w:sz w:val="24"/>
          <w:highlight w:val="none"/>
        </w:rPr>
        <w:t>公开招标</w:t>
      </w:r>
    </w:p>
    <w:p w14:paraId="471D925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四、招标项目概况</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内容、数量等）:</w:t>
      </w:r>
    </w:p>
    <w:tbl>
      <w:tblPr>
        <w:tblStyle w:val="21"/>
        <w:tblW w:w="9736" w:type="dxa"/>
        <w:jc w:val="center"/>
        <w:tblLayout w:type="autofit"/>
        <w:tblCellMar>
          <w:top w:w="0" w:type="dxa"/>
          <w:left w:w="10" w:type="dxa"/>
          <w:bottom w:w="0" w:type="dxa"/>
          <w:right w:w="10" w:type="dxa"/>
        </w:tblCellMar>
      </w:tblPr>
      <w:tblGrid>
        <w:gridCol w:w="686"/>
        <w:gridCol w:w="3164"/>
        <w:gridCol w:w="872"/>
        <w:gridCol w:w="1772"/>
        <w:gridCol w:w="2043"/>
        <w:gridCol w:w="1199"/>
      </w:tblGrid>
      <w:tr w14:paraId="31BEF2CE">
        <w:tblPrEx>
          <w:tblCellMar>
            <w:top w:w="0" w:type="dxa"/>
            <w:left w:w="10" w:type="dxa"/>
            <w:bottom w:w="0" w:type="dxa"/>
            <w:right w:w="10" w:type="dxa"/>
          </w:tblCellMar>
        </w:tblPrEx>
        <w:trPr>
          <w:trHeight w:val="889" w:hRule="atLeast"/>
          <w:jc w:val="center"/>
        </w:trPr>
        <w:tc>
          <w:tcPr>
            <w:tcW w:w="686" w:type="dxa"/>
            <w:tcBorders>
              <w:top w:val="single" w:color="auto" w:sz="6" w:space="0"/>
              <w:left w:val="single" w:color="auto" w:sz="6" w:space="0"/>
              <w:bottom w:val="single" w:color="auto" w:sz="6" w:space="0"/>
              <w:right w:val="single" w:color="auto" w:sz="6" w:space="0"/>
            </w:tcBorders>
            <w:vAlign w:val="center"/>
          </w:tcPr>
          <w:p w14:paraId="5E97B532">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3164" w:type="dxa"/>
            <w:tcBorders>
              <w:top w:val="single" w:color="auto" w:sz="6" w:space="0"/>
              <w:left w:val="single" w:color="auto" w:sz="6" w:space="0"/>
              <w:bottom w:val="single" w:color="auto" w:sz="6" w:space="0"/>
              <w:right w:val="single" w:color="auto" w:sz="6" w:space="0"/>
            </w:tcBorders>
            <w:vAlign w:val="center"/>
          </w:tcPr>
          <w:p w14:paraId="27EAE2B9">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项目名称</w:t>
            </w:r>
          </w:p>
        </w:tc>
        <w:tc>
          <w:tcPr>
            <w:tcW w:w="872" w:type="dxa"/>
            <w:tcBorders>
              <w:top w:val="single" w:color="auto" w:sz="6" w:space="0"/>
              <w:left w:val="single" w:color="auto" w:sz="6" w:space="0"/>
              <w:bottom w:val="single" w:color="auto" w:sz="4" w:space="0"/>
              <w:right w:val="single" w:color="auto" w:sz="6" w:space="0"/>
            </w:tcBorders>
            <w:vAlign w:val="center"/>
          </w:tcPr>
          <w:p w14:paraId="6CD6F694">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1772" w:type="dxa"/>
            <w:tcBorders>
              <w:top w:val="single" w:color="auto" w:sz="6" w:space="0"/>
              <w:left w:val="single" w:color="auto" w:sz="6" w:space="0"/>
              <w:bottom w:val="single" w:color="auto" w:sz="4" w:space="0"/>
              <w:right w:val="single" w:color="auto" w:sz="4" w:space="0"/>
            </w:tcBorders>
            <w:vAlign w:val="center"/>
          </w:tcPr>
          <w:p w14:paraId="17ED98DC">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内容</w:t>
            </w:r>
          </w:p>
        </w:tc>
        <w:tc>
          <w:tcPr>
            <w:tcW w:w="2043" w:type="dxa"/>
            <w:tcBorders>
              <w:top w:val="single" w:color="auto" w:sz="6" w:space="0"/>
              <w:left w:val="single" w:color="auto" w:sz="4" w:space="0"/>
              <w:bottom w:val="single" w:color="auto" w:sz="4" w:space="0"/>
              <w:right w:val="single" w:color="auto" w:sz="4" w:space="0"/>
            </w:tcBorders>
            <w:vAlign w:val="center"/>
          </w:tcPr>
          <w:p w14:paraId="52BD041A">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预算金额</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万元）</w:t>
            </w:r>
          </w:p>
        </w:tc>
        <w:tc>
          <w:tcPr>
            <w:tcW w:w="1199" w:type="dxa"/>
            <w:tcBorders>
              <w:top w:val="single" w:color="auto" w:sz="6" w:space="0"/>
              <w:left w:val="single" w:color="auto" w:sz="4" w:space="0"/>
              <w:bottom w:val="single" w:color="auto" w:sz="4" w:space="0"/>
              <w:right w:val="single" w:color="auto" w:sz="4" w:space="0"/>
            </w:tcBorders>
            <w:vAlign w:val="center"/>
          </w:tcPr>
          <w:p w14:paraId="2F7E0DB5">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服务期限</w:t>
            </w:r>
          </w:p>
        </w:tc>
      </w:tr>
      <w:tr w14:paraId="668B3FDD">
        <w:tblPrEx>
          <w:tblCellMar>
            <w:top w:w="0" w:type="dxa"/>
            <w:left w:w="10" w:type="dxa"/>
            <w:bottom w:w="0" w:type="dxa"/>
            <w:right w:w="10" w:type="dxa"/>
          </w:tblCellMar>
        </w:tblPrEx>
        <w:trPr>
          <w:trHeight w:val="1071" w:hRule="atLeast"/>
          <w:jc w:val="center"/>
        </w:trPr>
        <w:tc>
          <w:tcPr>
            <w:tcW w:w="686" w:type="dxa"/>
            <w:tcBorders>
              <w:top w:val="single" w:color="auto" w:sz="6" w:space="0"/>
              <w:left w:val="single" w:color="auto" w:sz="6" w:space="0"/>
              <w:bottom w:val="single" w:color="auto" w:sz="6" w:space="0"/>
              <w:right w:val="single" w:color="auto" w:sz="6" w:space="0"/>
            </w:tcBorders>
            <w:vAlign w:val="center"/>
          </w:tcPr>
          <w:p w14:paraId="708108AD">
            <w:pPr>
              <w:spacing w:line="360" w:lineRule="auto"/>
              <w:jc w:val="center"/>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1</w:t>
            </w:r>
          </w:p>
        </w:tc>
        <w:tc>
          <w:tcPr>
            <w:tcW w:w="3164" w:type="dxa"/>
            <w:tcBorders>
              <w:top w:val="single" w:color="auto" w:sz="6" w:space="0"/>
              <w:left w:val="single" w:color="auto" w:sz="6" w:space="0"/>
              <w:bottom w:val="single" w:color="auto" w:sz="6" w:space="0"/>
              <w:right w:val="single" w:color="auto" w:sz="6" w:space="0"/>
            </w:tcBorders>
            <w:vAlign w:val="center"/>
          </w:tcPr>
          <w:p w14:paraId="3A6DFECB">
            <w:pPr>
              <w:spacing w:line="360" w:lineRule="auto"/>
              <w:jc w:val="center"/>
              <w:rPr>
                <w:rFonts w:hint="eastAsia" w:ascii="仿宋" w:hAnsi="仿宋" w:eastAsia="仿宋" w:cs="仿宋"/>
                <w:b w:val="0"/>
                <w:bCs w:val="0"/>
                <w:color w:val="auto"/>
                <w:kern w:val="0"/>
                <w:sz w:val="24"/>
                <w:highlight w:val="none"/>
                <w:lang w:eastAsia="zh-CN"/>
              </w:rPr>
            </w:pPr>
            <w:r>
              <w:rPr>
                <w:rFonts w:hint="eastAsia" w:ascii="仿宋" w:hAnsi="仿宋" w:eastAsia="仿宋" w:cs="仿宋"/>
                <w:b/>
                <w:bCs/>
                <w:color w:val="auto"/>
                <w:kern w:val="0"/>
                <w:sz w:val="24"/>
                <w:highlight w:val="none"/>
                <w:lang w:eastAsia="zh-CN"/>
              </w:rPr>
              <w:t>湖州市吴兴区公用事业管理中心2025-2027年度雨污水管网维护及应急处置采购项目</w:t>
            </w:r>
          </w:p>
        </w:tc>
        <w:tc>
          <w:tcPr>
            <w:tcW w:w="872" w:type="dxa"/>
            <w:tcBorders>
              <w:top w:val="single" w:color="auto" w:sz="6" w:space="0"/>
              <w:left w:val="single" w:color="auto" w:sz="6" w:space="0"/>
              <w:bottom w:val="single" w:color="auto" w:sz="6" w:space="0"/>
              <w:right w:val="single" w:color="auto" w:sz="6" w:space="0"/>
            </w:tcBorders>
            <w:vAlign w:val="center"/>
          </w:tcPr>
          <w:p w14:paraId="49784CEC">
            <w:pPr>
              <w:spacing w:line="360" w:lineRule="auto"/>
              <w:jc w:val="center"/>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1项</w:t>
            </w:r>
          </w:p>
        </w:tc>
        <w:tc>
          <w:tcPr>
            <w:tcW w:w="1772" w:type="dxa"/>
            <w:tcBorders>
              <w:top w:val="single" w:color="auto" w:sz="6" w:space="0"/>
              <w:left w:val="single" w:color="auto" w:sz="6" w:space="0"/>
              <w:bottom w:val="single" w:color="auto" w:sz="6" w:space="0"/>
              <w:right w:val="single" w:color="auto" w:sz="4" w:space="0"/>
            </w:tcBorders>
            <w:vAlign w:val="center"/>
          </w:tcPr>
          <w:p w14:paraId="48C04A59">
            <w:pPr>
              <w:spacing w:line="360" w:lineRule="auto"/>
              <w:jc w:val="center"/>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详见招标文件要求</w:t>
            </w:r>
          </w:p>
        </w:tc>
        <w:tc>
          <w:tcPr>
            <w:tcW w:w="2043" w:type="dxa"/>
            <w:tcBorders>
              <w:top w:val="single" w:color="auto" w:sz="6" w:space="0"/>
              <w:left w:val="single" w:color="auto" w:sz="4" w:space="0"/>
              <w:bottom w:val="single" w:color="auto" w:sz="6" w:space="0"/>
              <w:right w:val="single" w:color="auto" w:sz="4" w:space="0"/>
            </w:tcBorders>
            <w:vAlign w:val="center"/>
          </w:tcPr>
          <w:p w14:paraId="22AF38F9">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500万元</w:t>
            </w:r>
          </w:p>
        </w:tc>
        <w:tc>
          <w:tcPr>
            <w:tcW w:w="1199" w:type="dxa"/>
            <w:tcBorders>
              <w:top w:val="single" w:color="auto" w:sz="6" w:space="0"/>
              <w:left w:val="single" w:color="auto" w:sz="4" w:space="0"/>
              <w:bottom w:val="single" w:color="auto" w:sz="6" w:space="0"/>
              <w:right w:val="single" w:color="auto" w:sz="4" w:space="0"/>
            </w:tcBorders>
            <w:vAlign w:val="center"/>
          </w:tcPr>
          <w:p w14:paraId="40A26B37">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2年</w:t>
            </w:r>
          </w:p>
        </w:tc>
      </w:tr>
    </w:tbl>
    <w:p w14:paraId="17BAB2FC">
      <w:pPr>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五、投标人资格要求:</w:t>
      </w:r>
    </w:p>
    <w:p w14:paraId="3CA43E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1、符合《中华人民共和国政府采购法》第二十二条规定和浙财采监【2013】24号《关于规范政府采购投标人资格设定及资格审查的通知》第六条规定,且未被</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信用中国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www.creditchina.gov.cn）、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中国政府采购网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www.ccgp.gov.cn）列入失信被执行人、重大税收违法案件当事人名单、政府采购严重违法失信行为记录名单。</w:t>
      </w:r>
    </w:p>
    <w:p w14:paraId="154FED51">
      <w:pPr>
        <w:spacing w:line="360" w:lineRule="auto"/>
        <w:ind w:firstLine="480" w:firstLineChars="200"/>
        <w:outlineLvl w:val="1"/>
        <w:rPr>
          <w:rFonts w:ascii="仿宋" w:hAnsi="仿宋" w:eastAsia="仿宋" w:cs="仿宋"/>
          <w:color w:val="auto"/>
          <w:sz w:val="24"/>
          <w:highlight w:val="none"/>
        </w:rPr>
      </w:pPr>
      <w:bookmarkStart w:id="5" w:name="_Toc25785"/>
      <w:r>
        <w:rPr>
          <w:rFonts w:hint="eastAsia" w:ascii="仿宋" w:hAnsi="仿宋" w:eastAsia="仿宋" w:cs="仿宋"/>
          <w:color w:val="auto"/>
          <w:sz w:val="24"/>
          <w:highlight w:val="none"/>
        </w:rPr>
        <w:t>2、本项目接受联合体投标，联合体成员总数不得超过2家且联合体各方不得再单独参加或者与其他供应商另外组成联合体参加本项目采购活动，联合体协议中由供应商自行约定联合体牵头人及联合体成员单位。</w:t>
      </w:r>
      <w:bookmarkEnd w:id="5"/>
    </w:p>
    <w:p w14:paraId="4F1DC0F9">
      <w:pPr>
        <w:widowControl/>
        <w:autoSpaceDE w:val="0"/>
        <w:autoSpaceDN w:val="0"/>
        <w:spacing w:before="75" w:after="75"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投标人特别条件：</w:t>
      </w:r>
    </w:p>
    <w:p w14:paraId="1FC68108">
      <w:pPr>
        <w:widowControl/>
        <w:numPr>
          <w:ilvl w:val="0"/>
          <w:numId w:val="0"/>
        </w:numPr>
        <w:autoSpaceDE w:val="0"/>
        <w:autoSpaceDN w:val="0"/>
        <w:spacing w:before="75" w:after="75"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投标人须具有市政公用工程施工总承包三级及以上资质并具备完成地下管道检测修复服务的能力</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提供相应的证书或证明材料并加盖公章</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浙江省外企业须提供有效的进浙备案证明</w:t>
      </w:r>
      <w:r>
        <w:rPr>
          <w:rFonts w:hint="eastAsia" w:ascii="仿宋" w:hAnsi="仿宋" w:eastAsia="仿宋"/>
          <w:color w:val="auto"/>
          <w:sz w:val="24"/>
          <w:highlight w:val="none"/>
          <w:lang w:eastAsia="zh-CN"/>
        </w:rPr>
        <w:t>）</w:t>
      </w:r>
    </w:p>
    <w:p w14:paraId="5DE31684">
      <w:pPr>
        <w:widowControl/>
        <w:numPr>
          <w:ilvl w:val="0"/>
          <w:numId w:val="0"/>
        </w:numPr>
        <w:autoSpaceDE w:val="0"/>
        <w:autoSpaceDN w:val="0"/>
        <w:spacing w:before="75" w:after="75" w:line="360" w:lineRule="auto"/>
        <w:ind w:firstLine="480" w:firstLineChars="200"/>
        <w:rPr>
          <w:rFonts w:ascii="仿宋" w:hAnsi="仿宋" w:eastAsia="仿宋" w:cs="仿宋"/>
          <w:b/>
          <w:color w:val="auto"/>
          <w:sz w:val="24"/>
          <w:highlight w:val="none"/>
        </w:rPr>
      </w:pP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本项目专门面向中小企业采购，供应商需提供符合《政府采购促进中小企业发展管理办法》</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财库【2020】46号）和本采购文件规定的《中小企业声明函》</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监狱企业参加磋商【提供《监狱企业声明函》及其相关的证明材料】、残疾人福利性单位参加磋商【提供《残疾人福利性单位声明函》及其相关的证明材料】，视为小型、微型企业，享受小微企业政策扶持）。</w:t>
      </w:r>
    </w:p>
    <w:p w14:paraId="5C45D606">
      <w:pPr>
        <w:widowControl/>
        <w:autoSpaceDE w:val="0"/>
        <w:autoSpaceDN w:val="0"/>
        <w:spacing w:before="75" w:after="75"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六、招标文件的获取: </w:t>
      </w:r>
    </w:p>
    <w:p w14:paraId="7EC1E57E">
      <w:pPr>
        <w:spacing w:line="360" w:lineRule="auto"/>
        <w:ind w:firstLine="480" w:firstLineChars="200"/>
        <w:rPr>
          <w:rFonts w:ascii="仿宋" w:hAnsi="仿宋" w:eastAsia="仿宋" w:cs="仿宋"/>
          <w:color w:val="auto"/>
          <w:sz w:val="24"/>
          <w:highlight w:val="none"/>
        </w:rPr>
      </w:pPr>
      <w:bookmarkStart w:id="6" w:name="_Toc8034"/>
      <w:bookmarkStart w:id="7" w:name="_Toc130094905"/>
      <w:bookmarkStart w:id="8" w:name="_Toc98731748"/>
      <w:r>
        <w:rPr>
          <w:rFonts w:hint="eastAsia" w:ascii="仿宋" w:hAnsi="仿宋" w:eastAsia="仿宋" w:cs="仿宋"/>
          <w:color w:val="auto"/>
          <w:sz w:val="24"/>
          <w:highlight w:val="none"/>
        </w:rPr>
        <w:t>1、获取招标文件时间</w:t>
      </w:r>
      <w:bookmarkStart w:id="87" w:name="_GoBack"/>
      <w:bookmarkEnd w:id="87"/>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公告发布时间至开标截止时间前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潜在投标人获取采购文件前应当在电子交易平台上注册账号并登录，截止时间后不再接受潜在投标人获取采购文件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E3BF08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2、本项目招标文件实行网上获取，</w:t>
      </w:r>
      <w:r>
        <w:rPr>
          <w:rFonts w:hint="eastAsia" w:ascii="仿宋" w:hAnsi="仿宋" w:eastAsia="仿宋" w:cs="仿宋"/>
          <w:color w:val="auto"/>
          <w:sz w:val="24"/>
          <w:highlight w:val="none"/>
          <w:lang w:eastAsia="zh-CN"/>
        </w:rPr>
        <w:t>不再</w:t>
      </w:r>
      <w:r>
        <w:rPr>
          <w:rFonts w:hint="eastAsia" w:ascii="仿宋" w:hAnsi="仿宋" w:eastAsia="仿宋" w:cs="仿宋"/>
          <w:color w:val="auto"/>
          <w:sz w:val="24"/>
          <w:highlight w:val="none"/>
        </w:rPr>
        <w:t>接受投标人现场报名。投标人登录浙江政府采购网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进入政采云系统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项目采购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模块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获取采购文件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菜单，进行网上获取招标文件。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政采云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注册账号、密码登录系统后获取采购文件）。</w:t>
      </w:r>
    </w:p>
    <w:p w14:paraId="36C5376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3、免费注册网址：浙江政府采购网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投标人注册页面）:https://middle.zcygov.cn/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政采云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，咨询电话：</w:t>
      </w:r>
      <w:r>
        <w:rPr>
          <w:rFonts w:hint="eastAsia" w:ascii="仿宋" w:hAnsi="仿宋" w:eastAsia="仿宋" w:cs="仿宋"/>
          <w:color w:val="auto"/>
          <w:sz w:val="24"/>
          <w:highlight w:val="none"/>
          <w:lang w:eastAsia="zh-CN"/>
        </w:rPr>
        <w:t>95763</w:t>
      </w:r>
      <w:r>
        <w:rPr>
          <w:rFonts w:hint="eastAsia" w:ascii="仿宋" w:hAnsi="仿宋" w:eastAsia="仿宋" w:cs="仿宋"/>
          <w:color w:val="auto"/>
          <w:sz w:val="24"/>
          <w:highlight w:val="none"/>
        </w:rPr>
        <w:t>。已经注册成功的投标人无需重复注册。</w:t>
      </w:r>
    </w:p>
    <w:p w14:paraId="4BDD96B4">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七、投标文件的递交及相关事宜</w:t>
      </w:r>
    </w:p>
    <w:p w14:paraId="41EA814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1、投标文件递交的截止时间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投标截止时间，下同）为</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13:30</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北京时间）。</w:t>
      </w:r>
    </w:p>
    <w:p w14:paraId="1AE4E48A">
      <w:pPr>
        <w:spacing w:line="360" w:lineRule="auto"/>
        <w:ind w:firstLine="480" w:firstLineChars="200"/>
        <w:jc w:val="left"/>
        <w:outlineLvl w:val="1"/>
        <w:rPr>
          <w:rFonts w:ascii="仿宋" w:hAnsi="仿宋" w:eastAsia="仿宋" w:cs="仿宋"/>
          <w:color w:val="auto"/>
          <w:sz w:val="24"/>
          <w:highlight w:val="none"/>
        </w:rPr>
      </w:pPr>
      <w:bookmarkStart w:id="9" w:name="_Toc26366"/>
      <w:r>
        <w:rPr>
          <w:rFonts w:hint="eastAsia" w:ascii="仿宋" w:hAnsi="仿宋" w:eastAsia="仿宋" w:cs="仿宋"/>
          <w:color w:val="auto"/>
          <w:sz w:val="24"/>
          <w:highlight w:val="none"/>
        </w:rPr>
        <w:t>2、投标文件递交方式：</w:t>
      </w:r>
      <w:bookmarkEnd w:id="9"/>
    </w:p>
    <w:p w14:paraId="14F74743">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电子投标文件：按政采云平台项目采购-电子交易操作指南及本招标文件要求递交。投标人应于</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13:30</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北京时间）前将加密的电子版投标文件上传到政采云系统中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不准时上传视为不参加）。</w:t>
      </w:r>
    </w:p>
    <w:p w14:paraId="25648369">
      <w:pPr>
        <w:spacing w:line="360" w:lineRule="auto"/>
        <w:ind w:firstLine="480" w:firstLineChars="200"/>
        <w:jc w:val="left"/>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数据电子备份投标文件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U盘）：以U盘形式提供的数据电子备份投标文件格式及内容须与政采云平台项目采购-电子交易操作指南中制作、加密并递交的电子投标文件格式及内容一致。</w:t>
      </w:r>
      <w:r>
        <w:rPr>
          <w:rFonts w:hint="eastAsia" w:ascii="仿宋" w:hAnsi="仿宋" w:eastAsia="仿宋" w:cs="仿宋"/>
          <w:b/>
          <w:bCs/>
          <w:color w:val="auto"/>
          <w:kern w:val="0"/>
          <w:sz w:val="24"/>
          <w:highlight w:val="none"/>
        </w:rPr>
        <w:t>递交方式：</w:t>
      </w:r>
    </w:p>
    <w:p w14:paraId="36837B23">
      <w:pPr>
        <w:spacing w:line="360" w:lineRule="auto"/>
        <w:ind w:firstLine="480" w:firstLineChars="200"/>
        <w:jc w:val="left"/>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数据电子备份响应文件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U盘）可通过邮寄快递方式或现场递交方式送达，应当密封、包装并在包装上标注竞标项目名称、竞标单位名称、竞标单位的联系人、联系电话并加盖公章。地址：中纬工程管理咨询有限公司湖州分公司</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湖州市吴兴区浙北金瑞大厦A座11楼）；收件人：金小颖；联系电话：0572-2372728，电子邮箱：zwhz0001@163.com，邮寄拒绝到付。邮寄接收截止时间：供应商应于响应文件截止递交前一个工作日</w:t>
      </w:r>
      <w:r>
        <w:rPr>
          <w:rFonts w:hint="eastAsia" w:ascii="仿宋" w:hAnsi="仿宋" w:eastAsia="仿宋" w:cs="仿宋"/>
          <w:color w:val="auto"/>
          <w:kern w:val="0"/>
          <w:sz w:val="24"/>
          <w:highlight w:val="none"/>
          <w:lang w:eastAsia="zh-CN"/>
        </w:rPr>
        <w:t>17:</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0时前准时送达</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以收件人实际签收时间为准），逾期不予受理。</w:t>
      </w:r>
    </w:p>
    <w:p w14:paraId="6098FC8E">
      <w:pPr>
        <w:widowControl/>
        <w:spacing w:line="360" w:lineRule="auto"/>
        <w:ind w:left="44" w:leftChars="21" w:right="60" w:firstLine="482" w:firstLineChars="200"/>
        <w:jc w:val="left"/>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注：</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1）投标人应权衡利弊考虑是否提供数据电子备份投标文件</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U盘），采购人及采购代理机构不做强制性要求，若因下一条款</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第3条）原因须启用数据电子备份投标文件</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U盘）时，而投标人未提供的，视为放弃投标资格，作未递交投标文件处理；</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2）投标人应对提供的数据电子备份投标文件</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U盘）进行加密处理，若需要启用数据电子备份投标文件</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U盘）时，由采购人或采购代理机构启封并进行解密；</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3）若投标人未提供数据电子备份投标文件</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U盘），招标公告及招标文件中关于数据电子备份投标文件</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U盘）的要求及内容不再适用。</w:t>
      </w:r>
    </w:p>
    <w:p w14:paraId="6CE28AD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3、CA锁解密时间为开标当日投标截止时间后</w:t>
      </w:r>
      <w:r>
        <w:rPr>
          <w:rFonts w:hint="eastAsia" w:ascii="仿宋" w:hAnsi="仿宋" w:eastAsia="仿宋" w:cs="仿宋"/>
          <w:color w:val="auto"/>
          <w:sz w:val="24"/>
          <w:highlight w:val="none"/>
          <w:shd w:val="pct10" w:color="auto" w:fill="FFFFFF"/>
        </w:rPr>
        <w:t>30分钟内</w:t>
      </w:r>
      <w:r>
        <w:rPr>
          <w:rFonts w:hint="eastAsia" w:ascii="仿宋" w:hAnsi="仿宋" w:eastAsia="仿宋" w:cs="仿宋"/>
          <w:color w:val="auto"/>
          <w:sz w:val="24"/>
          <w:highlight w:val="none"/>
        </w:rPr>
        <w:t>。投标截止时间止未完成上传的电子投标文件作未递交投标文件处理；未按招标文件要求密封、包装的数据电子备份投标文件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 盘）将拒绝接收。整个开标过程中若因投标人问题造成电子投标文件无法正常解密的，均认定为未提交电子投标文件，作未递交投标文件处理。若因网络或者其他非投标人问题造成电子投标文件无法正常解密的，启用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 盘），因投标人自身原因造成数据电子备份投标文件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 盘）无法打开的，作未递交投标文件处理。若正常解密成功，则数据电子备份投标文件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 盘）不予开启。</w:t>
      </w:r>
    </w:p>
    <w:p w14:paraId="342C59A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4、投标人须在线获取CA数字证书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完成CA数字证书办理预计一周左右，建议各投标人自行把握时间）,办理流程详见https://service.zcygov.cn/，并</w:t>
      </w:r>
      <w:r>
        <w:rPr>
          <w:rFonts w:hint="eastAsia" w:ascii="仿宋" w:hAnsi="仿宋" w:eastAsia="仿宋" w:cs="仿宋"/>
          <w:color w:val="auto"/>
          <w:sz w:val="24"/>
          <w:highlight w:val="none"/>
          <w:lang w:eastAsia="zh-CN"/>
        </w:rPr>
        <w:t>登录“</w:t>
      </w:r>
      <w:r>
        <w:rPr>
          <w:rFonts w:hint="eastAsia" w:ascii="仿宋" w:hAnsi="仿宋" w:eastAsia="仿宋" w:cs="仿宋"/>
          <w:color w:val="auto"/>
          <w:sz w:val="24"/>
          <w:highlight w:val="none"/>
        </w:rPr>
        <w:t>浙江省政府采购网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,进入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下载专区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下载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电子交易客户端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，制作投标文件。</w:t>
      </w:r>
    </w:p>
    <w:p w14:paraId="2E497B1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5、投标人将加密的电子版投标文件于投标截止时间前上传到政采云系统中。</w:t>
      </w:r>
    </w:p>
    <w:p w14:paraId="149A1F2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6、具体的投标文件加密上传等操作详见政采云平台操作指南。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下载网址：https://service.zcygov.cn）</w:t>
      </w:r>
    </w:p>
    <w:p w14:paraId="096A11F6">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八、投标地址： </w:t>
      </w:r>
    </w:p>
    <w:p w14:paraId="75C653E7">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1、本项目通过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www.zcygov.cn）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实行在线投标响应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电子投标</w:t>
      </w:r>
      <w:r>
        <w:rPr>
          <w:rFonts w:hint="eastAsia" w:ascii="仿宋" w:hAnsi="仿宋" w:eastAsia="仿宋" w:cs="仿宋"/>
          <w:color w:val="auto"/>
          <w:sz w:val="24"/>
          <w:highlight w:val="none"/>
          <w:lang w:eastAsia="zh-CN"/>
        </w:rPr>
        <w:t>）。</w:t>
      </w:r>
    </w:p>
    <w:p w14:paraId="508DB58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2、投标人应当在投标截止时间前，将生成的文件格式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.jmbs</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电子加密投标 </w:t>
      </w:r>
    </w:p>
    <w:p w14:paraId="4E4C76C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上传递交至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实行在线投标响应。投标截止时间以后上传递交 </w:t>
      </w:r>
    </w:p>
    <w:p w14:paraId="0EA3627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的投标文件将被</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拒收，作未递交投标文件处理。 </w:t>
      </w:r>
    </w:p>
    <w:p w14:paraId="27D97DC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九、开标时间：</w:t>
      </w:r>
      <w:r>
        <w:rPr>
          <w:rFonts w:hint="eastAsia" w:ascii="仿宋" w:hAnsi="仿宋" w:eastAsia="仿宋" w:cs="仿宋"/>
          <w:b/>
          <w:color w:val="auto"/>
          <w:sz w:val="24"/>
          <w:highlight w:val="none"/>
          <w:lang w:val="en-US" w:eastAsia="zh-CN"/>
        </w:rPr>
        <w:t>2025</w:t>
      </w:r>
      <w:r>
        <w:rPr>
          <w:rFonts w:hint="eastAsia" w:ascii="仿宋" w:hAnsi="仿宋" w:eastAsia="仿宋" w:cs="仿宋"/>
          <w:b/>
          <w:color w:val="auto"/>
          <w:sz w:val="24"/>
          <w:highlight w:val="none"/>
        </w:rPr>
        <w:t>年</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月</w:t>
      </w:r>
      <w:r>
        <w:rPr>
          <w:rFonts w:hint="eastAsia" w:ascii="仿宋" w:hAnsi="仿宋" w:eastAsia="仿宋" w:cs="仿宋"/>
          <w:b/>
          <w:color w:val="auto"/>
          <w:sz w:val="24"/>
          <w:highlight w:val="none"/>
          <w:lang w:val="en-US" w:eastAsia="zh-CN"/>
        </w:rPr>
        <w:t>28</w:t>
      </w:r>
      <w:r>
        <w:rPr>
          <w:rFonts w:hint="eastAsia" w:ascii="仿宋" w:hAnsi="仿宋" w:eastAsia="仿宋" w:cs="仿宋"/>
          <w:b/>
          <w:color w:val="auto"/>
          <w:sz w:val="24"/>
          <w:highlight w:val="none"/>
        </w:rPr>
        <w:t>日13:30时整</w:t>
      </w:r>
    </w:p>
    <w:p w14:paraId="352B2F89">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十、开标地址：</w:t>
      </w:r>
      <w:r>
        <w:rPr>
          <w:rFonts w:hint="eastAsia" w:ascii="仿宋" w:hAnsi="仿宋" w:eastAsia="仿宋" w:cs="仿宋"/>
          <w:bCs/>
          <w:color w:val="auto"/>
          <w:sz w:val="24"/>
          <w:highlight w:val="none"/>
        </w:rPr>
        <w:t>湖州市吴兴区公共资源交易中心</w:t>
      </w:r>
      <w:r>
        <w:rPr>
          <w:rFonts w:hint="eastAsia" w:ascii="仿宋" w:hAnsi="仿宋" w:eastAsia="仿宋" w:cs="仿宋"/>
          <w:bCs/>
          <w:color w:val="auto"/>
          <w:sz w:val="24"/>
          <w:highlight w:val="none"/>
          <w:lang w:val="en-US" w:eastAsia="zh-CN"/>
        </w:rPr>
        <w:t>4号</w:t>
      </w:r>
      <w:r>
        <w:rPr>
          <w:rFonts w:hint="eastAsia" w:ascii="仿宋" w:hAnsi="仿宋" w:eastAsia="仿宋" w:cs="仿宋"/>
          <w:bCs/>
          <w:color w:val="auto"/>
          <w:sz w:val="24"/>
          <w:highlight w:val="none"/>
        </w:rPr>
        <w:t>开标室</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湖州市吴兴区区府路1188号总部自由港E幢）</w:t>
      </w:r>
      <w:r>
        <w:rPr>
          <w:rFonts w:hint="eastAsia" w:ascii="仿宋" w:hAnsi="仿宋" w:eastAsia="仿宋" w:cs="仿宋"/>
          <w:color w:val="auto"/>
          <w:sz w:val="24"/>
          <w:highlight w:val="none"/>
        </w:rPr>
        <w:t>，投标人应在投标截止时间前登入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www.zcygov.cn）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在线参与开标，并完成 CA 锁在线解密投标文件等相关工作。 </w:t>
      </w:r>
    </w:p>
    <w:p w14:paraId="69780062">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十一、其他事项：</w:t>
      </w:r>
    </w:p>
    <w:p w14:paraId="618D350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项目为电子招投标项目，实行网上招投标，应按照本招标文件及政采云平台的要求编制、加密并要求投标人通过政采云系统在线投标响应，投标截止时间前须完成电子投标文件的上传，同时投标人须使用在线投标响应文件时所用的 CA 锁，投标人在使用系统进行投标的过程中遇到涉及平台使用的任何问题，可致电政采云平台技术支持热线咨询，联系方式：</w:t>
      </w:r>
      <w:r>
        <w:rPr>
          <w:rFonts w:hint="eastAsia" w:ascii="仿宋" w:hAnsi="仿宋" w:eastAsia="仿宋" w:cs="仿宋"/>
          <w:color w:val="auto"/>
          <w:sz w:val="24"/>
          <w:highlight w:val="none"/>
          <w:lang w:eastAsia="zh-CN"/>
        </w:rPr>
        <w:t>95763</w:t>
      </w:r>
      <w:r>
        <w:rPr>
          <w:rFonts w:hint="eastAsia" w:ascii="仿宋" w:hAnsi="仿宋" w:eastAsia="仿宋" w:cs="仿宋"/>
          <w:color w:val="auto"/>
          <w:sz w:val="24"/>
          <w:highlight w:val="none"/>
        </w:rPr>
        <w:t xml:space="preserve">。 </w:t>
      </w:r>
    </w:p>
    <w:p w14:paraId="030CA47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2、本项目公告期限为自本公告发布之日起5个工作日。投标人如认为采购文件使自己的权益受到损害的，可以自获取采购文件之日或者采购文件公告期限届满之日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公告期限届满后获取采购文件的，以公告期限届满之日为准）起7个工作日内，以书面形式向采购人、采购代理机构提出质疑，根据《中华人民共和国财政部令第94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答疑、澄清）文件，潜在投标人应自行关注网站公告，采购人不再一一通知，投标人因自身贻误行为导致投标失效的，责任自负。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2E7E133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3、潜在投标人已依法获取其可质疑的招标文件，可以对该文件提出质疑。未按照规定方式依法获取招标文件的，不得对招标文件提起质疑投诉。 </w:t>
      </w:r>
    </w:p>
    <w:p w14:paraId="027F540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4、答疑内容是招标文件的组成部分，并将在网上发布补充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答疑、澄清）文件，潜在投标人应自行关注网站公告，采购人不再一一通知，投标人因自身贻误行为导致投标失效的，责任自负。  </w:t>
      </w:r>
    </w:p>
    <w:p w14:paraId="6F556EA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5、参与政府采购项目的注册投标人，需登录浙江政府采购云平台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http://www.zcygov.cn）进行网上报名，尚未注册的投标人应当先在浙江政府采购云平台上申请注册，注册终审通过后再进行网上报名。 </w:t>
      </w:r>
    </w:p>
    <w:p w14:paraId="2C85014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6、为有效破解当前中小微企业面临的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融资难、融资贵</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困局，充分发挥好政府采购扶持小微企业发展的政策功能，本项目中标人可凭中标通知书等材料至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绿贷通平台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网页</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www.lvdt.huzldt.com）或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政采贷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平台网页</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www.zcygov.cn）申请相关融资产品。具体操作方式可在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绿贷通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政采贷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平台网站查询，也可向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绿贷通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政采贷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平台电话咨询</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绿贷通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联系电话：0572-2392590、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政采贷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联系电话：0572-2151055、18698580797）。 </w:t>
      </w:r>
    </w:p>
    <w:p w14:paraId="6AF3C08E">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7、本项目是否专门面向中小企业采购：是。 </w:t>
      </w:r>
    </w:p>
    <w:p w14:paraId="5506EA87">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8、本项目公告发布网站：</w:t>
      </w:r>
    </w:p>
    <w:p w14:paraId="3EED04C8">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浙江政府采购网：http://zfcg.czt.zj.gov.cn/ </w:t>
      </w:r>
    </w:p>
    <w:p w14:paraId="23C4DA49">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湖州市公共资源交易网：http://ggzyjy.huzhou.gov.cn/</w:t>
      </w:r>
    </w:p>
    <w:p w14:paraId="2B34090B">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十二、联系方式：</w:t>
      </w:r>
    </w:p>
    <w:p w14:paraId="2B4FA526">
      <w:pPr>
        <w:spacing w:line="360" w:lineRule="auto"/>
        <w:ind w:firstLine="480" w:firstLineChars="200"/>
        <w:outlineLvl w:val="1"/>
        <w:rPr>
          <w:rFonts w:hint="eastAsia" w:ascii="仿宋" w:hAnsi="仿宋" w:eastAsia="仿宋" w:cs="仿宋"/>
          <w:color w:val="auto"/>
          <w:sz w:val="24"/>
          <w:highlight w:val="none"/>
          <w:lang w:eastAsia="zh-CN"/>
        </w:rPr>
      </w:pPr>
      <w:bookmarkStart w:id="10" w:name="_Toc23042"/>
      <w:r>
        <w:rPr>
          <w:rFonts w:hint="eastAsia" w:ascii="仿宋" w:hAnsi="仿宋" w:eastAsia="仿宋" w:cs="仿宋"/>
          <w:color w:val="auto"/>
          <w:sz w:val="24"/>
          <w:highlight w:val="none"/>
        </w:rPr>
        <w:t>1、采购代理机构名称：</w:t>
      </w:r>
      <w:bookmarkEnd w:id="10"/>
      <w:r>
        <w:rPr>
          <w:rFonts w:hint="eastAsia" w:ascii="仿宋" w:hAnsi="仿宋" w:eastAsia="仿宋" w:cs="仿宋"/>
          <w:color w:val="auto"/>
          <w:sz w:val="24"/>
          <w:highlight w:val="none"/>
          <w:lang w:eastAsia="zh-CN"/>
        </w:rPr>
        <w:t>中纬工程管理咨询有限公司</w:t>
      </w:r>
    </w:p>
    <w:p w14:paraId="10828821">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金女士</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0572-2372728</w:t>
      </w:r>
    </w:p>
    <w:p w14:paraId="65F4E1E9">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质疑函接收人：</w:t>
      </w:r>
      <w:r>
        <w:rPr>
          <w:rFonts w:hint="eastAsia" w:ascii="仿宋" w:hAnsi="仿宋" w:eastAsia="仿宋" w:cs="仿宋"/>
          <w:color w:val="auto"/>
          <w:sz w:val="24"/>
          <w:highlight w:val="none"/>
          <w:lang w:val="en-US" w:eastAsia="zh-CN"/>
        </w:rPr>
        <w:t>陈女士</w:t>
      </w:r>
      <w:r>
        <w:rPr>
          <w:rFonts w:hint="eastAsia" w:ascii="仿宋" w:hAnsi="仿宋" w:eastAsia="仿宋" w:cs="仿宋"/>
          <w:color w:val="auto"/>
          <w:sz w:val="24"/>
          <w:highlight w:val="none"/>
        </w:rPr>
        <w:t xml:space="preserve">      联系电话：</w:t>
      </w:r>
      <w:r>
        <w:rPr>
          <w:rFonts w:ascii="仿宋" w:hAnsi="仿宋" w:eastAsia="仿宋" w:cs="仿宋"/>
          <w:color w:val="auto"/>
          <w:sz w:val="24"/>
          <w:highlight w:val="none"/>
        </w:rPr>
        <w:t>0572-</w:t>
      </w:r>
      <w:r>
        <w:rPr>
          <w:rFonts w:hint="eastAsia" w:ascii="仿宋" w:hAnsi="仿宋" w:eastAsia="仿宋" w:cs="仿宋"/>
          <w:color w:val="auto"/>
          <w:sz w:val="24"/>
          <w:highlight w:val="none"/>
          <w:lang w:val="en-US" w:eastAsia="zh-CN"/>
        </w:rPr>
        <w:t>2372728</w:t>
      </w:r>
    </w:p>
    <w:p w14:paraId="238CE75E">
      <w:pPr>
        <w:spacing w:line="360" w:lineRule="auto"/>
        <w:ind w:firstLine="480" w:firstLineChars="200"/>
        <w:rPr>
          <w:rFonts w:hint="eastAsia" w:ascii="仿宋" w:hAnsi="仿宋" w:eastAsia="仿宋" w:cs="仿宋"/>
          <w:color w:val="auto"/>
          <w:sz w:val="24"/>
          <w:highlight w:val="none"/>
          <w:shd w:val="clear" w:color="auto" w:fill="FFFF00"/>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湖州市吴兴区浙北金瑞大厦A座11楼</w:t>
      </w:r>
    </w:p>
    <w:p w14:paraId="403A17E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2、采购人名称：湖州市吴兴区公用事业管理中心</w:t>
      </w:r>
    </w:p>
    <w:p w14:paraId="14A05F22">
      <w:pPr>
        <w:snapToGrid w:val="0"/>
        <w:spacing w:line="360" w:lineRule="auto"/>
        <w:ind w:firstLine="480" w:firstLineChars="2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潘先生</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val="en-US" w:eastAsia="zh-CN"/>
        </w:rPr>
        <w:t>0572-2962771</w:t>
      </w:r>
    </w:p>
    <w:p w14:paraId="0A662E1F">
      <w:pPr>
        <w:snapToGrid w:val="0"/>
        <w:spacing w:line="360" w:lineRule="auto"/>
        <w:ind w:firstLine="480" w:firstLineChars="2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质疑函接收人：</w:t>
      </w:r>
      <w:r>
        <w:rPr>
          <w:rFonts w:hint="eastAsia" w:ascii="仿宋" w:hAnsi="仿宋" w:eastAsia="仿宋" w:cs="仿宋"/>
          <w:color w:val="auto"/>
          <w:sz w:val="24"/>
          <w:highlight w:val="none"/>
          <w:lang w:val="en-US" w:eastAsia="zh-CN"/>
        </w:rPr>
        <w:t>费女士</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0572-2962776</w:t>
      </w:r>
    </w:p>
    <w:p w14:paraId="150A6DF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3、政府采购行政监管及投诉受理部门：湖州市吴兴区财政局政府采购监管科</w:t>
      </w:r>
    </w:p>
    <w:p w14:paraId="50DC189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联系人：沈先生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联系电话：0572-2289702</w:t>
      </w:r>
    </w:p>
    <w:p w14:paraId="688BFFB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地址：湖州市吴兴区吴兴大道1号</w:t>
      </w:r>
    </w:p>
    <w:p w14:paraId="725EE7CE">
      <w:pPr>
        <w:snapToGrid w:val="0"/>
        <w:spacing w:line="360" w:lineRule="auto"/>
        <w:ind w:left="238" w:right="480"/>
        <w:jc w:val="right"/>
        <w:rPr>
          <w:rFonts w:ascii="仿宋" w:hAnsi="仿宋" w:eastAsia="仿宋" w:cs="仿宋"/>
          <w:color w:val="auto"/>
          <w:sz w:val="24"/>
          <w:highlight w:val="none"/>
        </w:rPr>
      </w:pPr>
    </w:p>
    <w:p w14:paraId="2ABAA7F5">
      <w:pPr>
        <w:snapToGrid w:val="0"/>
        <w:spacing w:line="360" w:lineRule="auto"/>
        <w:ind w:right="480"/>
        <w:jc w:val="right"/>
        <w:rPr>
          <w:rFonts w:hint="eastAsia" w:ascii="仿宋" w:hAnsi="仿宋" w:eastAsia="仿宋" w:cs="仿宋"/>
          <w:color w:val="auto"/>
          <w:sz w:val="24"/>
          <w:highlight w:val="none"/>
        </w:rPr>
      </w:pPr>
    </w:p>
    <w:p w14:paraId="1AB30FCC">
      <w:pPr>
        <w:snapToGrid w:val="0"/>
        <w:spacing w:line="360" w:lineRule="auto"/>
        <w:ind w:right="480"/>
        <w:jc w:val="right"/>
        <w:rPr>
          <w:rFonts w:ascii="仿宋" w:hAnsi="仿宋" w:eastAsia="仿宋" w:cs="仿宋"/>
          <w:bCs/>
          <w:color w:val="auto"/>
          <w:sz w:val="24"/>
          <w:highlight w:val="none"/>
        </w:rPr>
      </w:pPr>
      <w:r>
        <w:rPr>
          <w:rFonts w:hint="eastAsia" w:ascii="仿宋" w:hAnsi="仿宋" w:eastAsia="仿宋" w:cs="仿宋"/>
          <w:color w:val="auto"/>
          <w:sz w:val="24"/>
          <w:highlight w:val="none"/>
        </w:rPr>
        <w:t>湖州市吴兴区公用事业管理中心</w:t>
      </w:r>
    </w:p>
    <w:p w14:paraId="146F6177">
      <w:pPr>
        <w:snapToGrid w:val="0"/>
        <w:spacing w:line="360" w:lineRule="auto"/>
        <w:ind w:left="238" w:right="480"/>
        <w:jc w:val="righ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中纬工程管理咨询有限公司</w:t>
      </w:r>
    </w:p>
    <w:p w14:paraId="673BF061">
      <w:pPr>
        <w:wordWrap w:val="0"/>
        <w:snapToGrid w:val="0"/>
        <w:spacing w:line="360" w:lineRule="auto"/>
        <w:ind w:left="238" w:right="480"/>
        <w:jc w:val="right"/>
        <w:rPr>
          <w:rFonts w:ascii="仿宋" w:hAnsi="仿宋" w:eastAsia="仿宋" w:cs="仿宋"/>
          <w:bCs/>
          <w:color w:val="auto"/>
          <w:sz w:val="30"/>
          <w:szCs w:val="30"/>
          <w:highlight w:val="none"/>
        </w:rPr>
        <w:sectPr>
          <w:footerReference r:id="rId7" w:type="first"/>
          <w:footerReference r:id="rId6" w:type="default"/>
          <w:pgSz w:w="11905" w:h="16838"/>
          <w:pgMar w:top="1417" w:right="1417" w:bottom="1417" w:left="1417" w:header="850" w:footer="850" w:gutter="0"/>
          <w:pgNumType w:start="1"/>
          <w:cols w:space="0" w:num="1"/>
          <w:rtlGutter w:val="0"/>
          <w:docGrid w:linePitch="312" w:charSpace="0"/>
        </w:sectPr>
      </w:pPr>
      <w:r>
        <w:rPr>
          <w:rFonts w:hint="eastAsia" w:ascii="仿宋" w:hAnsi="仿宋" w:eastAsia="仿宋" w:cs="仿宋"/>
          <w:bCs/>
          <w:color w:val="auto"/>
          <w:sz w:val="24"/>
          <w:highlight w:val="none"/>
          <w:lang w:val="en-US" w:eastAsia="zh-CN"/>
        </w:rPr>
        <w:t xml:space="preserve"> 2025</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日</w:t>
      </w:r>
    </w:p>
    <w:p w14:paraId="18B9274F">
      <w:pPr>
        <w:pStyle w:val="4"/>
        <w:keepNext w:val="0"/>
        <w:pageBreakBefore/>
        <w:spacing w:line="360" w:lineRule="auto"/>
        <w:rPr>
          <w:rFonts w:ascii="仿宋" w:hAnsi="仿宋" w:eastAsia="仿宋" w:cs="仿宋"/>
          <w:color w:val="auto"/>
          <w:sz w:val="32"/>
          <w:highlight w:val="none"/>
        </w:rPr>
      </w:pPr>
      <w:bookmarkStart w:id="11" w:name="_Toc1536"/>
      <w:bookmarkStart w:id="12" w:name="_Toc24776"/>
      <w:bookmarkStart w:id="13" w:name="_Toc32756"/>
      <w:r>
        <w:rPr>
          <w:rFonts w:hint="eastAsia" w:ascii="仿宋" w:hAnsi="仿宋" w:eastAsia="仿宋" w:cs="仿宋"/>
          <w:color w:val="auto"/>
          <w:sz w:val="32"/>
          <w:highlight w:val="none"/>
        </w:rPr>
        <w:t>第二章  招标</w:t>
      </w:r>
      <w:bookmarkEnd w:id="6"/>
      <w:bookmarkEnd w:id="7"/>
      <w:bookmarkEnd w:id="8"/>
      <w:r>
        <w:rPr>
          <w:rFonts w:hint="eastAsia" w:ascii="仿宋" w:hAnsi="仿宋" w:eastAsia="仿宋" w:cs="仿宋"/>
          <w:color w:val="auto"/>
          <w:sz w:val="32"/>
          <w:highlight w:val="none"/>
        </w:rPr>
        <w:t>需求</w:t>
      </w:r>
      <w:bookmarkEnd w:id="11"/>
      <w:bookmarkEnd w:id="12"/>
      <w:bookmarkEnd w:id="13"/>
    </w:p>
    <w:p w14:paraId="63296B7F">
      <w:pPr>
        <w:spacing w:line="360" w:lineRule="auto"/>
        <w:ind w:firstLine="241" w:firstLineChars="100"/>
        <w:outlineLvl w:val="1"/>
        <w:rPr>
          <w:rFonts w:hint="eastAsia" w:ascii="仿宋" w:hAnsi="仿宋" w:eastAsia="仿宋" w:cs="仿宋"/>
          <w:b/>
          <w:bCs/>
          <w:color w:val="auto"/>
          <w:sz w:val="24"/>
          <w:highlight w:val="none"/>
          <w:lang w:eastAsia="zh-CN"/>
        </w:rPr>
      </w:pPr>
      <w:bookmarkStart w:id="14" w:name="_Toc3023"/>
      <w:bookmarkStart w:id="15" w:name="_Toc9632"/>
      <w:r>
        <w:rPr>
          <w:rFonts w:hint="eastAsia" w:ascii="仿宋" w:hAnsi="仿宋" w:eastAsia="仿宋" w:cs="仿宋"/>
          <w:b/>
          <w:bCs/>
          <w:color w:val="auto"/>
          <w:sz w:val="24"/>
          <w:highlight w:val="none"/>
        </w:rPr>
        <w:t>一、项目编号：</w:t>
      </w:r>
      <w:bookmarkEnd w:id="14"/>
      <w:r>
        <w:rPr>
          <w:rFonts w:hint="eastAsia" w:ascii="仿宋" w:hAnsi="仿宋" w:eastAsia="仿宋" w:cs="仿宋"/>
          <w:b w:val="0"/>
          <w:bCs w:val="0"/>
          <w:color w:val="auto"/>
          <w:sz w:val="24"/>
          <w:highlight w:val="none"/>
        </w:rPr>
        <w:t>中纬采字[2025]-002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号</w:t>
      </w:r>
      <w:r>
        <w:rPr>
          <w:rFonts w:hint="eastAsia" w:ascii="仿宋" w:hAnsi="仿宋" w:eastAsia="仿宋" w:cs="仿宋"/>
          <w:b/>
          <w:bCs/>
          <w:color w:val="auto"/>
          <w:sz w:val="24"/>
          <w:highlight w:val="none"/>
          <w:lang w:val="en-US" w:eastAsia="zh-CN"/>
        </w:rPr>
        <w:t xml:space="preserve"> </w:t>
      </w:r>
    </w:p>
    <w:p w14:paraId="6F512A69">
      <w:pPr>
        <w:spacing w:line="360" w:lineRule="auto"/>
        <w:ind w:firstLine="241" w:firstLineChars="100"/>
        <w:outlineLvl w:val="1"/>
        <w:rPr>
          <w:rFonts w:ascii="仿宋" w:hAnsi="仿宋" w:eastAsia="仿宋" w:cs="仿宋"/>
          <w:b w:val="0"/>
          <w:bCs w:val="0"/>
          <w:color w:val="auto"/>
          <w:sz w:val="24"/>
          <w:highlight w:val="none"/>
        </w:rPr>
      </w:pPr>
      <w:bookmarkStart w:id="16" w:name="_Toc16150"/>
      <w:r>
        <w:rPr>
          <w:rFonts w:hint="eastAsia" w:ascii="仿宋" w:hAnsi="仿宋" w:eastAsia="仿宋" w:cs="仿宋"/>
          <w:b/>
          <w:bCs/>
          <w:color w:val="auto"/>
          <w:sz w:val="24"/>
          <w:highlight w:val="none"/>
        </w:rPr>
        <w:t>二、采购单位名称：</w:t>
      </w:r>
      <w:r>
        <w:rPr>
          <w:rFonts w:hint="eastAsia" w:ascii="仿宋" w:hAnsi="仿宋" w:eastAsia="仿宋" w:cs="仿宋"/>
          <w:b w:val="0"/>
          <w:bCs w:val="0"/>
          <w:color w:val="auto"/>
          <w:sz w:val="24"/>
          <w:highlight w:val="none"/>
        </w:rPr>
        <w:t>湖州市吴兴区公用事业管理中心</w:t>
      </w:r>
      <w:bookmarkEnd w:id="16"/>
    </w:p>
    <w:p w14:paraId="4CA852BD">
      <w:pPr>
        <w:spacing w:line="360" w:lineRule="auto"/>
        <w:ind w:firstLine="241" w:firstLineChars="100"/>
        <w:outlineLvl w:val="1"/>
        <w:rPr>
          <w:rFonts w:hint="eastAsia" w:ascii="仿宋" w:hAnsi="仿宋" w:eastAsia="仿宋" w:cs="仿宋"/>
          <w:b w:val="0"/>
          <w:bCs w:val="0"/>
          <w:color w:val="auto"/>
          <w:sz w:val="24"/>
          <w:highlight w:val="none"/>
          <w:lang w:eastAsia="zh-CN"/>
        </w:rPr>
      </w:pPr>
      <w:bookmarkStart w:id="17" w:name="_Toc28909"/>
      <w:r>
        <w:rPr>
          <w:rFonts w:hint="eastAsia" w:ascii="仿宋" w:hAnsi="仿宋" w:eastAsia="仿宋" w:cs="仿宋"/>
          <w:b/>
          <w:bCs/>
          <w:color w:val="auto"/>
          <w:sz w:val="24"/>
          <w:highlight w:val="none"/>
        </w:rPr>
        <w:t>三、采购项目：</w:t>
      </w:r>
      <w:bookmarkEnd w:id="17"/>
      <w:r>
        <w:rPr>
          <w:rFonts w:hint="eastAsia" w:ascii="仿宋" w:hAnsi="仿宋" w:eastAsia="仿宋" w:cs="仿宋"/>
          <w:b w:val="0"/>
          <w:bCs w:val="0"/>
          <w:color w:val="auto"/>
          <w:sz w:val="24"/>
          <w:highlight w:val="none"/>
          <w:shd w:val="clear" w:color="auto" w:fill="FFFFFF" w:themeFill="background1"/>
          <w:lang w:eastAsia="zh-CN"/>
        </w:rPr>
        <w:t>湖州市吴兴区公用事业管理中心2025-2027年度雨污水管网维护及应急处置采购项目</w:t>
      </w:r>
    </w:p>
    <w:p w14:paraId="0BEB8640">
      <w:pPr>
        <w:spacing w:line="360" w:lineRule="auto"/>
        <w:ind w:firstLine="241" w:firstLineChars="100"/>
        <w:outlineLvl w:val="1"/>
        <w:rPr>
          <w:rFonts w:ascii="仿宋" w:hAnsi="仿宋" w:eastAsia="仿宋" w:cs="仿宋"/>
          <w:b/>
          <w:bCs/>
          <w:color w:val="auto"/>
          <w:sz w:val="24"/>
          <w:highlight w:val="none"/>
        </w:rPr>
      </w:pPr>
      <w:bookmarkStart w:id="18" w:name="_Toc18385"/>
      <w:r>
        <w:rPr>
          <w:rFonts w:hint="eastAsia" w:ascii="仿宋" w:hAnsi="仿宋" w:eastAsia="仿宋" w:cs="仿宋"/>
          <w:b/>
          <w:bCs/>
          <w:color w:val="auto"/>
          <w:sz w:val="24"/>
          <w:highlight w:val="none"/>
        </w:rPr>
        <w:t>四、项目概况</w:t>
      </w:r>
      <w:bookmarkEnd w:id="18"/>
    </w:p>
    <w:p w14:paraId="77FB41CC">
      <w:pPr>
        <w:spacing w:line="360" w:lineRule="auto"/>
        <w:ind w:firstLine="720" w:firstLineChars="300"/>
        <w:outlineLvl w:val="1"/>
        <w:rPr>
          <w:rFonts w:ascii="仿宋" w:hAnsi="仿宋" w:eastAsia="仿宋"/>
          <w:color w:val="auto"/>
          <w:sz w:val="24"/>
          <w:highlight w:val="none"/>
        </w:rPr>
      </w:pPr>
      <w:bookmarkStart w:id="19" w:name="_Toc20378"/>
      <w:r>
        <w:rPr>
          <w:rFonts w:hint="eastAsia" w:ascii="仿宋" w:hAnsi="仿宋" w:eastAsia="仿宋" w:cs="仿宋"/>
          <w:color w:val="auto"/>
          <w:sz w:val="24"/>
          <w:highlight w:val="none"/>
        </w:rPr>
        <w:t>本项目</w:t>
      </w:r>
      <w:r>
        <w:rPr>
          <w:rFonts w:hint="eastAsia" w:ascii="仿宋" w:hAnsi="仿宋" w:eastAsia="仿宋"/>
          <w:b/>
          <w:color w:val="auto"/>
          <w:sz w:val="24"/>
          <w:highlight w:val="none"/>
          <w:lang w:eastAsia="zh-CN"/>
        </w:rPr>
        <w:t>湖州市吴兴区公用事业管理中心2025-2027年度雨污水管网维护及应急处置采购项目</w:t>
      </w:r>
      <w:r>
        <w:rPr>
          <w:rFonts w:hint="eastAsia" w:ascii="仿宋" w:hAnsi="仿宋" w:eastAsia="仿宋"/>
          <w:color w:val="auto"/>
          <w:sz w:val="24"/>
          <w:highlight w:val="none"/>
        </w:rPr>
        <w:t>。主要采购需求如下：</w:t>
      </w:r>
      <w:bookmarkEnd w:id="19"/>
    </w:p>
    <w:tbl>
      <w:tblPr>
        <w:tblStyle w:val="21"/>
        <w:tblW w:w="8657" w:type="dxa"/>
        <w:jc w:val="center"/>
        <w:tblLayout w:type="autofit"/>
        <w:tblCellMar>
          <w:top w:w="0" w:type="dxa"/>
          <w:left w:w="10" w:type="dxa"/>
          <w:bottom w:w="0" w:type="dxa"/>
          <w:right w:w="10" w:type="dxa"/>
        </w:tblCellMar>
      </w:tblPr>
      <w:tblGrid>
        <w:gridCol w:w="678"/>
        <w:gridCol w:w="3605"/>
        <w:gridCol w:w="919"/>
        <w:gridCol w:w="2252"/>
        <w:gridCol w:w="1203"/>
      </w:tblGrid>
      <w:tr w14:paraId="4C6964C9">
        <w:tblPrEx>
          <w:tblCellMar>
            <w:top w:w="0" w:type="dxa"/>
            <w:left w:w="10" w:type="dxa"/>
            <w:bottom w:w="0" w:type="dxa"/>
            <w:right w:w="10" w:type="dxa"/>
          </w:tblCellMar>
        </w:tblPrEx>
        <w:trPr>
          <w:trHeight w:val="890" w:hRule="atLeast"/>
          <w:jc w:val="center"/>
        </w:trPr>
        <w:tc>
          <w:tcPr>
            <w:tcW w:w="0" w:type="auto"/>
            <w:tcBorders>
              <w:top w:val="single" w:color="auto" w:sz="6" w:space="0"/>
              <w:left w:val="single" w:color="auto" w:sz="6" w:space="0"/>
              <w:bottom w:val="single" w:color="auto" w:sz="6" w:space="0"/>
              <w:right w:val="single" w:color="auto" w:sz="6" w:space="0"/>
            </w:tcBorders>
            <w:vAlign w:val="center"/>
          </w:tcPr>
          <w:p w14:paraId="4FAF8F76">
            <w:pPr>
              <w:widowControl/>
              <w:spacing w:line="360" w:lineRule="auto"/>
              <w:ind w:left="60" w:right="60"/>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3605" w:type="dxa"/>
            <w:tcBorders>
              <w:top w:val="single" w:color="auto" w:sz="6" w:space="0"/>
              <w:left w:val="single" w:color="auto" w:sz="6" w:space="0"/>
              <w:bottom w:val="single" w:color="auto" w:sz="6" w:space="0"/>
              <w:right w:val="single" w:color="auto" w:sz="6" w:space="0"/>
            </w:tcBorders>
            <w:vAlign w:val="center"/>
          </w:tcPr>
          <w:p w14:paraId="08CF3B8C">
            <w:pPr>
              <w:widowControl/>
              <w:spacing w:line="360" w:lineRule="auto"/>
              <w:ind w:left="60" w:right="60"/>
              <w:jc w:val="center"/>
              <w:rPr>
                <w:rFonts w:ascii="仿宋" w:hAnsi="仿宋" w:eastAsia="仿宋"/>
                <w:color w:val="auto"/>
                <w:sz w:val="24"/>
                <w:highlight w:val="none"/>
              </w:rPr>
            </w:pPr>
            <w:r>
              <w:rPr>
                <w:rFonts w:hint="eastAsia" w:ascii="仿宋" w:hAnsi="仿宋" w:eastAsia="仿宋"/>
                <w:color w:val="auto"/>
                <w:sz w:val="24"/>
                <w:highlight w:val="none"/>
              </w:rPr>
              <w:t>项目名称</w:t>
            </w:r>
          </w:p>
        </w:tc>
        <w:tc>
          <w:tcPr>
            <w:tcW w:w="919" w:type="dxa"/>
            <w:tcBorders>
              <w:top w:val="single" w:color="auto" w:sz="6" w:space="0"/>
              <w:left w:val="single" w:color="auto" w:sz="6" w:space="0"/>
              <w:bottom w:val="single" w:color="auto" w:sz="4" w:space="0"/>
              <w:right w:val="single" w:color="auto" w:sz="6" w:space="0"/>
            </w:tcBorders>
            <w:vAlign w:val="center"/>
          </w:tcPr>
          <w:p w14:paraId="3E41D851">
            <w:pPr>
              <w:widowControl/>
              <w:spacing w:line="360" w:lineRule="auto"/>
              <w:ind w:left="60" w:right="60"/>
              <w:jc w:val="center"/>
              <w:rPr>
                <w:rFonts w:ascii="仿宋" w:hAnsi="仿宋" w:eastAsia="仿宋"/>
                <w:color w:val="auto"/>
                <w:sz w:val="24"/>
                <w:highlight w:val="none"/>
              </w:rPr>
            </w:pPr>
            <w:r>
              <w:rPr>
                <w:rFonts w:hint="eastAsia" w:ascii="仿宋" w:hAnsi="仿宋" w:eastAsia="仿宋"/>
                <w:color w:val="auto"/>
                <w:sz w:val="24"/>
                <w:highlight w:val="none"/>
              </w:rPr>
              <w:t>数量</w:t>
            </w:r>
          </w:p>
        </w:tc>
        <w:tc>
          <w:tcPr>
            <w:tcW w:w="0" w:type="auto"/>
            <w:tcBorders>
              <w:top w:val="single" w:color="auto" w:sz="6" w:space="0"/>
              <w:left w:val="single" w:color="auto" w:sz="4" w:space="0"/>
              <w:bottom w:val="single" w:color="auto" w:sz="4" w:space="0"/>
              <w:right w:val="single" w:color="auto" w:sz="4" w:space="0"/>
            </w:tcBorders>
            <w:vAlign w:val="center"/>
          </w:tcPr>
          <w:p w14:paraId="4D433D01">
            <w:pPr>
              <w:widowControl/>
              <w:spacing w:line="360" w:lineRule="auto"/>
              <w:ind w:left="60" w:right="60"/>
              <w:jc w:val="center"/>
              <w:rPr>
                <w:rFonts w:ascii="仿宋" w:hAnsi="仿宋" w:eastAsia="仿宋"/>
                <w:color w:val="auto"/>
                <w:sz w:val="24"/>
                <w:highlight w:val="none"/>
              </w:rPr>
            </w:pPr>
            <w:r>
              <w:rPr>
                <w:rFonts w:hint="eastAsia" w:ascii="仿宋" w:hAnsi="仿宋" w:eastAsia="仿宋"/>
                <w:color w:val="auto"/>
                <w:sz w:val="24"/>
                <w:highlight w:val="none"/>
              </w:rPr>
              <w:t>预算金额</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万元）</w:t>
            </w:r>
          </w:p>
        </w:tc>
        <w:tc>
          <w:tcPr>
            <w:tcW w:w="0" w:type="auto"/>
            <w:tcBorders>
              <w:top w:val="single" w:color="auto" w:sz="6" w:space="0"/>
              <w:left w:val="single" w:color="auto" w:sz="4" w:space="0"/>
              <w:bottom w:val="single" w:color="auto" w:sz="4" w:space="0"/>
              <w:right w:val="single" w:color="auto" w:sz="4" w:space="0"/>
            </w:tcBorders>
            <w:vAlign w:val="center"/>
          </w:tcPr>
          <w:p w14:paraId="3CA300CE">
            <w:pPr>
              <w:widowControl/>
              <w:spacing w:line="360" w:lineRule="auto"/>
              <w:ind w:left="60" w:right="60"/>
              <w:jc w:val="center"/>
              <w:rPr>
                <w:rFonts w:ascii="仿宋" w:hAnsi="仿宋" w:eastAsia="仿宋"/>
                <w:color w:val="auto"/>
                <w:sz w:val="24"/>
                <w:highlight w:val="none"/>
              </w:rPr>
            </w:pPr>
            <w:r>
              <w:rPr>
                <w:rFonts w:hint="eastAsia" w:ascii="仿宋" w:hAnsi="仿宋" w:eastAsia="仿宋"/>
                <w:color w:val="auto"/>
                <w:sz w:val="24"/>
                <w:highlight w:val="none"/>
              </w:rPr>
              <w:t>服务期限</w:t>
            </w:r>
          </w:p>
        </w:tc>
      </w:tr>
      <w:tr w14:paraId="1CDE939C">
        <w:tblPrEx>
          <w:tblCellMar>
            <w:top w:w="0" w:type="dxa"/>
            <w:left w:w="10" w:type="dxa"/>
            <w:bottom w:w="0" w:type="dxa"/>
            <w:right w:w="10" w:type="dxa"/>
          </w:tblCellMar>
        </w:tblPrEx>
        <w:trPr>
          <w:trHeight w:val="948" w:hRule="atLeast"/>
          <w:jc w:val="center"/>
        </w:trPr>
        <w:tc>
          <w:tcPr>
            <w:tcW w:w="0" w:type="auto"/>
            <w:tcBorders>
              <w:top w:val="single" w:color="auto" w:sz="6" w:space="0"/>
              <w:left w:val="single" w:color="auto" w:sz="6" w:space="0"/>
              <w:bottom w:val="single" w:color="auto" w:sz="6" w:space="0"/>
              <w:right w:val="single" w:color="auto" w:sz="6" w:space="0"/>
            </w:tcBorders>
            <w:vAlign w:val="center"/>
          </w:tcPr>
          <w:p w14:paraId="53C533D2">
            <w:pPr>
              <w:widowControl/>
              <w:spacing w:line="360" w:lineRule="auto"/>
              <w:ind w:left="60" w:right="60"/>
              <w:jc w:val="center"/>
              <w:rPr>
                <w:rFonts w:ascii="仿宋" w:hAnsi="仿宋" w:eastAsia="仿宋"/>
                <w:color w:val="auto"/>
                <w:sz w:val="24"/>
                <w:highlight w:val="none"/>
              </w:rPr>
            </w:pPr>
            <w:r>
              <w:rPr>
                <w:rFonts w:ascii="仿宋" w:hAnsi="仿宋" w:eastAsia="仿宋"/>
                <w:color w:val="auto"/>
                <w:sz w:val="24"/>
                <w:highlight w:val="none"/>
              </w:rPr>
              <w:t>1</w:t>
            </w:r>
          </w:p>
        </w:tc>
        <w:tc>
          <w:tcPr>
            <w:tcW w:w="3605" w:type="dxa"/>
            <w:tcBorders>
              <w:top w:val="single" w:color="auto" w:sz="6" w:space="0"/>
              <w:left w:val="single" w:color="auto" w:sz="6" w:space="0"/>
              <w:bottom w:val="single" w:color="auto" w:sz="6" w:space="0"/>
              <w:right w:val="single" w:color="auto" w:sz="6" w:space="0"/>
            </w:tcBorders>
            <w:vAlign w:val="center"/>
          </w:tcPr>
          <w:p w14:paraId="2742BA57">
            <w:pPr>
              <w:widowControl/>
              <w:spacing w:line="360" w:lineRule="auto"/>
              <w:ind w:left="60" w:right="62"/>
              <w:jc w:val="center"/>
              <w:rPr>
                <w:rFonts w:hint="eastAsia" w:ascii="仿宋" w:hAnsi="仿宋" w:eastAsia="仿宋"/>
                <w:color w:val="auto"/>
                <w:sz w:val="24"/>
                <w:highlight w:val="none"/>
                <w:lang w:eastAsia="zh-CN"/>
              </w:rPr>
            </w:pPr>
            <w:r>
              <w:rPr>
                <w:rFonts w:hint="eastAsia" w:ascii="仿宋" w:hAnsi="仿宋" w:eastAsia="仿宋"/>
                <w:b/>
                <w:color w:val="auto"/>
                <w:sz w:val="24"/>
                <w:highlight w:val="none"/>
                <w:u w:val="none"/>
                <w:lang w:eastAsia="zh-CN"/>
              </w:rPr>
              <w:t>湖州市吴兴区公用事业管理中心2025-2027年度雨污水管网维护及应急处置采购项目</w:t>
            </w:r>
          </w:p>
        </w:tc>
        <w:tc>
          <w:tcPr>
            <w:tcW w:w="919" w:type="dxa"/>
            <w:tcBorders>
              <w:top w:val="single" w:color="auto" w:sz="6" w:space="0"/>
              <w:left w:val="single" w:color="auto" w:sz="6" w:space="0"/>
              <w:bottom w:val="single" w:color="auto" w:sz="6" w:space="0"/>
              <w:right w:val="single" w:color="auto" w:sz="6" w:space="0"/>
            </w:tcBorders>
            <w:vAlign w:val="center"/>
          </w:tcPr>
          <w:p w14:paraId="645352F9">
            <w:pPr>
              <w:widowControl/>
              <w:spacing w:line="360" w:lineRule="auto"/>
              <w:ind w:right="62"/>
              <w:jc w:val="center"/>
              <w:rPr>
                <w:rFonts w:ascii="仿宋" w:hAnsi="仿宋" w:eastAsia="仿宋"/>
                <w:color w:val="auto"/>
                <w:sz w:val="24"/>
                <w:highlight w:val="none"/>
              </w:rPr>
            </w:pPr>
            <w:r>
              <w:rPr>
                <w:rFonts w:hint="eastAsia" w:ascii="仿宋" w:hAnsi="仿宋" w:eastAsia="仿宋"/>
                <w:color w:val="auto"/>
                <w:sz w:val="24"/>
                <w:highlight w:val="none"/>
              </w:rPr>
              <w:t>1项</w:t>
            </w:r>
          </w:p>
        </w:tc>
        <w:tc>
          <w:tcPr>
            <w:tcW w:w="0" w:type="auto"/>
            <w:tcBorders>
              <w:top w:val="single" w:color="auto" w:sz="6" w:space="0"/>
              <w:left w:val="single" w:color="auto" w:sz="4" w:space="0"/>
              <w:bottom w:val="single" w:color="auto" w:sz="6" w:space="0"/>
              <w:right w:val="single" w:color="auto" w:sz="4" w:space="0"/>
            </w:tcBorders>
            <w:vAlign w:val="center"/>
          </w:tcPr>
          <w:p w14:paraId="2CA660E9">
            <w:pPr>
              <w:spacing w:line="360" w:lineRule="auto"/>
              <w:ind w:right="62"/>
              <w:jc w:val="center"/>
              <w:rPr>
                <w:rFonts w:ascii="仿宋" w:hAnsi="仿宋" w:eastAsia="仿宋"/>
                <w:color w:val="auto"/>
                <w:sz w:val="24"/>
                <w:highlight w:val="none"/>
              </w:rPr>
            </w:pPr>
            <w:r>
              <w:rPr>
                <w:rFonts w:hint="eastAsia" w:ascii="仿宋" w:hAnsi="仿宋" w:eastAsia="仿宋"/>
                <w:color w:val="auto"/>
                <w:sz w:val="24"/>
                <w:highlight w:val="none"/>
              </w:rPr>
              <w:t>500万元</w:t>
            </w:r>
          </w:p>
        </w:tc>
        <w:tc>
          <w:tcPr>
            <w:tcW w:w="0" w:type="auto"/>
            <w:tcBorders>
              <w:top w:val="single" w:color="auto" w:sz="6" w:space="0"/>
              <w:left w:val="single" w:color="auto" w:sz="4" w:space="0"/>
              <w:bottom w:val="single" w:color="auto" w:sz="6" w:space="0"/>
              <w:right w:val="single" w:color="auto" w:sz="4" w:space="0"/>
            </w:tcBorders>
            <w:vAlign w:val="center"/>
          </w:tcPr>
          <w:p w14:paraId="06B62D9D">
            <w:pPr>
              <w:spacing w:line="360" w:lineRule="auto"/>
              <w:ind w:right="62"/>
              <w:jc w:val="center"/>
              <w:rPr>
                <w:rFonts w:ascii="仿宋" w:hAnsi="仿宋" w:eastAsia="仿宋"/>
                <w:color w:val="auto"/>
                <w:sz w:val="24"/>
                <w:highlight w:val="none"/>
              </w:rPr>
            </w:pPr>
            <w:r>
              <w:rPr>
                <w:rFonts w:hint="eastAsia" w:ascii="仿宋" w:hAnsi="仿宋" w:eastAsia="仿宋"/>
                <w:color w:val="auto"/>
                <w:sz w:val="24"/>
                <w:highlight w:val="none"/>
              </w:rPr>
              <w:t>2年</w:t>
            </w:r>
          </w:p>
        </w:tc>
      </w:tr>
    </w:tbl>
    <w:p w14:paraId="2D1D142C">
      <w:pPr>
        <w:numPr>
          <w:ilvl w:val="0"/>
          <w:numId w:val="2"/>
        </w:numP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服务范围</w:t>
      </w:r>
    </w:p>
    <w:p w14:paraId="1A4ED8FE">
      <w:pPr>
        <w:numPr>
          <w:ilvl w:val="1"/>
          <w:numId w:val="3"/>
        </w:numPr>
        <w:spacing w:line="360" w:lineRule="auto"/>
        <w:ind w:firstLine="480" w:firstLineChars="200"/>
        <w:rPr>
          <w:color w:val="auto"/>
          <w:sz w:val="24"/>
          <w:szCs w:val="24"/>
          <w:highlight w:val="none"/>
        </w:rPr>
      </w:pPr>
      <w:r>
        <w:rPr>
          <w:rFonts w:hint="eastAsia" w:ascii="仿宋" w:hAnsi="仿宋" w:eastAsia="仿宋" w:cs="仿宋"/>
          <w:color w:val="auto"/>
          <w:sz w:val="24"/>
          <w:szCs w:val="24"/>
          <w:highlight w:val="none"/>
        </w:rPr>
        <w:t>现管养：湖东西区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东至三环东路，西至陆王路，南至三里桥路，北至清远路，以上合围区域范围内部分市政道路）污水管网，</w:t>
      </w:r>
      <w:r>
        <w:rPr>
          <w:rFonts w:hint="eastAsia" w:ascii="仿宋" w:hAnsi="仿宋" w:eastAsia="仿宋" w:cs="仿宋"/>
          <w:color w:val="auto"/>
          <w:sz w:val="24"/>
          <w:szCs w:val="24"/>
          <w:highlight w:val="none"/>
          <w:lang w:val="en-US" w:eastAsia="zh-CN"/>
        </w:rPr>
        <w:t>农批市场周边道路雨</w:t>
      </w:r>
      <w:r>
        <w:rPr>
          <w:rFonts w:hint="eastAsia" w:ascii="仿宋" w:hAnsi="仿宋" w:eastAsia="仿宋" w:cs="仿宋"/>
          <w:color w:val="auto"/>
          <w:sz w:val="24"/>
          <w:szCs w:val="24"/>
          <w:highlight w:val="none"/>
        </w:rPr>
        <w:t>污水管网。</w:t>
      </w:r>
    </w:p>
    <w:p w14:paraId="4DCEB0D8">
      <w:pPr>
        <w:numPr>
          <w:ilvl w:val="1"/>
          <w:numId w:val="3"/>
        </w:numPr>
        <w:spacing w:line="360" w:lineRule="auto"/>
        <w:ind w:firstLine="480" w:firstLineChars="200"/>
        <w:rPr>
          <w:color w:val="auto"/>
          <w:sz w:val="24"/>
          <w:szCs w:val="24"/>
          <w:highlight w:val="none"/>
        </w:rPr>
      </w:pPr>
      <w:r>
        <w:rPr>
          <w:rFonts w:hint="eastAsia" w:ascii="仿宋" w:hAnsi="仿宋" w:eastAsia="仿宋" w:cs="仿宋"/>
          <w:color w:val="auto"/>
          <w:sz w:val="24"/>
          <w:szCs w:val="24"/>
          <w:highlight w:val="none"/>
        </w:rPr>
        <w:t>待移交：湖山大道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二里桥路-浮玉花园），湖浔大道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三环东路-南浔界）</w:t>
      </w:r>
      <w:r>
        <w:rPr>
          <w:rFonts w:hint="eastAsia" w:ascii="仿宋" w:hAnsi="仿宋" w:eastAsia="仿宋" w:cs="仿宋"/>
          <w:color w:val="auto"/>
          <w:sz w:val="24"/>
          <w:szCs w:val="24"/>
          <w:highlight w:val="none"/>
          <w:lang w:val="en-US" w:eastAsia="zh-CN"/>
        </w:rPr>
        <w:t>等道路</w:t>
      </w:r>
      <w:r>
        <w:rPr>
          <w:rFonts w:hint="eastAsia" w:ascii="仿宋" w:hAnsi="仿宋" w:eastAsia="仿宋" w:cs="仿宋"/>
          <w:color w:val="auto"/>
          <w:sz w:val="24"/>
          <w:szCs w:val="24"/>
          <w:highlight w:val="none"/>
        </w:rPr>
        <w:t>的雨污水管网。</w:t>
      </w:r>
    </w:p>
    <w:p w14:paraId="7A9443C4">
      <w:pPr>
        <w:numPr>
          <w:ilvl w:val="1"/>
          <w:numId w:val="3"/>
        </w:numPr>
        <w:spacing w:line="360" w:lineRule="auto"/>
        <w:ind w:firstLine="480" w:firstLineChars="200"/>
        <w:rPr>
          <w:color w:val="auto"/>
          <w:sz w:val="24"/>
          <w:szCs w:val="24"/>
          <w:highlight w:val="none"/>
        </w:rPr>
      </w:pPr>
      <w:r>
        <w:rPr>
          <w:rFonts w:hint="eastAsia" w:ascii="仿宋" w:hAnsi="仿宋" w:eastAsia="仿宋" w:cs="仿宋"/>
          <w:color w:val="auto"/>
          <w:sz w:val="24"/>
          <w:szCs w:val="24"/>
          <w:highlight w:val="none"/>
        </w:rPr>
        <w:t>具体服务范围以</w:t>
      </w:r>
      <w:r>
        <w:rPr>
          <w:rFonts w:hint="eastAsia" w:ascii="仿宋" w:hAnsi="仿宋" w:eastAsia="仿宋" w:cs="仿宋"/>
          <w:color w:val="auto"/>
          <w:sz w:val="24"/>
          <w:szCs w:val="24"/>
          <w:highlight w:val="none"/>
          <w:lang w:val="en-US" w:eastAsia="zh-CN"/>
        </w:rPr>
        <w:t>采购方指定</w:t>
      </w:r>
      <w:r>
        <w:rPr>
          <w:rFonts w:hint="eastAsia" w:ascii="仿宋" w:hAnsi="仿宋" w:eastAsia="仿宋" w:cs="仿宋"/>
          <w:color w:val="auto"/>
          <w:sz w:val="24"/>
          <w:szCs w:val="24"/>
          <w:highlight w:val="none"/>
        </w:rPr>
        <w:t>为准。</w:t>
      </w:r>
    </w:p>
    <w:p w14:paraId="55788FBF">
      <w:pPr>
        <w:spacing w:line="360" w:lineRule="auto"/>
        <w:outlineLvl w:val="1"/>
        <w:rPr>
          <w:rFonts w:ascii="仿宋" w:hAnsi="仿宋" w:eastAsia="仿宋" w:cs="仿宋"/>
          <w:b/>
          <w:bCs/>
          <w:color w:val="auto"/>
          <w:sz w:val="24"/>
          <w:highlight w:val="none"/>
        </w:rPr>
      </w:pPr>
      <w:bookmarkStart w:id="20" w:name="_Toc24013"/>
      <w:r>
        <w:rPr>
          <w:rFonts w:hint="eastAsia" w:ascii="仿宋" w:hAnsi="仿宋" w:eastAsia="仿宋" w:cs="仿宋"/>
          <w:b/>
          <w:bCs/>
          <w:color w:val="auto"/>
          <w:sz w:val="24"/>
          <w:highlight w:val="none"/>
        </w:rPr>
        <w:t>五、项目内容</w:t>
      </w:r>
      <w:bookmarkEnd w:id="20"/>
    </w:p>
    <w:p w14:paraId="10501FC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1、地下管道及其附属设施的日常巡查、日常维修、管理养护、隐患排查、应急抢险及值班备勤等；</w:t>
      </w:r>
    </w:p>
    <w:p w14:paraId="5776B40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2、地下管道CCTV检测服务，出具CCTV检测成果报告及影像资料等。</w:t>
      </w:r>
    </w:p>
    <w:p w14:paraId="3F6C42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工作内容详见下表：</w:t>
      </w:r>
    </w:p>
    <w:tbl>
      <w:tblPr>
        <w:tblStyle w:val="21"/>
        <w:tblW w:w="5212" w:type="pct"/>
        <w:jc w:val="center"/>
        <w:tblLayout w:type="fixed"/>
        <w:tblCellMar>
          <w:top w:w="0" w:type="dxa"/>
          <w:left w:w="108" w:type="dxa"/>
          <w:bottom w:w="0" w:type="dxa"/>
          <w:right w:w="108" w:type="dxa"/>
        </w:tblCellMar>
      </w:tblPr>
      <w:tblGrid>
        <w:gridCol w:w="397"/>
        <w:gridCol w:w="875"/>
        <w:gridCol w:w="6549"/>
        <w:gridCol w:w="601"/>
        <w:gridCol w:w="1259"/>
      </w:tblGrid>
      <w:tr w14:paraId="001A4F3B">
        <w:tblPrEx>
          <w:tblCellMar>
            <w:top w:w="0" w:type="dxa"/>
            <w:left w:w="108" w:type="dxa"/>
            <w:bottom w:w="0" w:type="dxa"/>
            <w:right w:w="108" w:type="dxa"/>
          </w:tblCellMar>
        </w:tblPrEx>
        <w:trPr>
          <w:trHeight w:val="663" w:hRule="atLeast"/>
          <w:jc w:val="center"/>
        </w:trPr>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D5D095">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51" w:type="pct"/>
            <w:tcBorders>
              <w:top w:val="single" w:color="auto" w:sz="4" w:space="0"/>
              <w:left w:val="single" w:color="auto" w:sz="4" w:space="0"/>
              <w:bottom w:val="single" w:color="auto" w:sz="4" w:space="0"/>
              <w:right w:val="nil"/>
            </w:tcBorders>
            <w:shd w:val="clear" w:color="auto" w:fill="auto"/>
            <w:noWrap/>
            <w:vAlign w:val="center"/>
          </w:tcPr>
          <w:p w14:paraId="1AE5B1C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项目类型</w:t>
            </w:r>
          </w:p>
        </w:tc>
        <w:tc>
          <w:tcPr>
            <w:tcW w:w="3382" w:type="pct"/>
            <w:tcBorders>
              <w:top w:val="single" w:color="auto" w:sz="4" w:space="0"/>
              <w:left w:val="single" w:color="000000" w:sz="4" w:space="0"/>
              <w:bottom w:val="single" w:color="auto" w:sz="4" w:space="0"/>
              <w:right w:val="nil"/>
            </w:tcBorders>
            <w:shd w:val="clear" w:color="auto" w:fill="auto"/>
            <w:noWrap/>
            <w:vAlign w:val="center"/>
          </w:tcPr>
          <w:p w14:paraId="290353B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项目内容</w:t>
            </w:r>
          </w:p>
        </w:tc>
        <w:tc>
          <w:tcPr>
            <w:tcW w:w="310" w:type="pct"/>
            <w:tcBorders>
              <w:top w:val="single" w:color="auto" w:sz="4" w:space="0"/>
              <w:left w:val="single" w:color="000000" w:sz="4" w:space="0"/>
              <w:bottom w:val="single" w:color="auto" w:sz="4" w:space="0"/>
              <w:right w:val="nil"/>
            </w:tcBorders>
            <w:shd w:val="clear" w:color="auto" w:fill="auto"/>
            <w:noWrap/>
            <w:vAlign w:val="center"/>
          </w:tcPr>
          <w:p w14:paraId="4396670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650" w:type="pct"/>
            <w:tcBorders>
              <w:top w:val="single" w:color="auto" w:sz="4" w:space="0"/>
              <w:left w:val="single" w:color="000000" w:sz="4" w:space="0"/>
              <w:bottom w:val="single" w:color="auto" w:sz="4" w:space="0"/>
              <w:right w:val="single" w:color="auto" w:sz="4" w:space="0"/>
            </w:tcBorders>
            <w:shd w:val="clear" w:color="auto" w:fill="auto"/>
            <w:noWrap/>
            <w:vAlign w:val="center"/>
          </w:tcPr>
          <w:p w14:paraId="6986D726">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固定单价</w:t>
            </w:r>
          </w:p>
        </w:tc>
      </w:tr>
      <w:tr w14:paraId="5A967483">
        <w:tblPrEx>
          <w:tblCellMar>
            <w:top w:w="0" w:type="dxa"/>
            <w:left w:w="108" w:type="dxa"/>
            <w:bottom w:w="0" w:type="dxa"/>
            <w:right w:w="108" w:type="dxa"/>
          </w:tblCellMar>
        </w:tblPrEx>
        <w:trPr>
          <w:trHeight w:val="1693" w:hRule="atLeast"/>
          <w:jc w:val="center"/>
        </w:trPr>
        <w:tc>
          <w:tcPr>
            <w:tcW w:w="205" w:type="pct"/>
            <w:tcBorders>
              <w:top w:val="single" w:color="auto" w:sz="4" w:space="0"/>
              <w:left w:val="single" w:color="000000" w:sz="4" w:space="0"/>
              <w:bottom w:val="single" w:color="000000" w:sz="4" w:space="0"/>
              <w:right w:val="single" w:color="auto" w:sz="4" w:space="0"/>
            </w:tcBorders>
            <w:shd w:val="clear" w:color="auto" w:fill="auto"/>
            <w:noWrap/>
            <w:vAlign w:val="center"/>
          </w:tcPr>
          <w:p w14:paraId="1A46FC5E">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451"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1593B8C0">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常规巡检</w:t>
            </w:r>
          </w:p>
        </w:tc>
        <w:tc>
          <w:tcPr>
            <w:tcW w:w="3382"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50AACFB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包括但不限于地下管道及其附属设施的</w:t>
            </w:r>
            <w:r>
              <w:rPr>
                <w:rFonts w:hint="eastAsia" w:ascii="仿宋" w:hAnsi="仿宋" w:eastAsia="仿宋" w:cs="仿宋"/>
                <w:color w:val="auto"/>
                <w:sz w:val="24"/>
                <w:highlight w:val="none"/>
                <w:lang w:eastAsia="zh-CN"/>
              </w:rPr>
              <w:t>每日巡查</w:t>
            </w:r>
            <w:r>
              <w:rPr>
                <w:rFonts w:hint="eastAsia" w:ascii="仿宋" w:hAnsi="仿宋" w:eastAsia="仿宋" w:cs="仿宋"/>
                <w:color w:val="auto"/>
                <w:sz w:val="24"/>
                <w:highlight w:val="none"/>
              </w:rPr>
              <w:t>、隐患排查</w:t>
            </w:r>
            <w:r>
              <w:rPr>
                <w:rFonts w:hint="eastAsia" w:ascii="仿宋" w:hAnsi="仿宋" w:eastAsia="仿宋" w:cs="仿宋"/>
                <w:color w:val="auto"/>
                <w:sz w:val="24"/>
                <w:highlight w:val="none"/>
                <w:lang w:eastAsia="zh-CN"/>
              </w:rPr>
              <w:t>、备勤、本项目有关的专家论证等咨询事宜</w:t>
            </w:r>
            <w:r>
              <w:rPr>
                <w:rFonts w:hint="eastAsia" w:ascii="仿宋" w:hAnsi="仿宋" w:eastAsia="仿宋" w:cs="仿宋"/>
                <w:color w:val="auto"/>
                <w:sz w:val="24"/>
                <w:highlight w:val="none"/>
              </w:rPr>
              <w:t>。采用固定总价报价。</w:t>
            </w:r>
            <w:r>
              <w:rPr>
                <w:rFonts w:hint="eastAsia" w:ascii="仿宋" w:hAnsi="仿宋" w:eastAsia="仿宋" w:cs="仿宋"/>
                <w:b/>
                <w:bCs/>
                <w:color w:val="auto"/>
                <w:sz w:val="24"/>
                <w:highlight w:val="none"/>
              </w:rPr>
              <w:t>服务期：2年。</w:t>
            </w:r>
          </w:p>
        </w:tc>
        <w:tc>
          <w:tcPr>
            <w:tcW w:w="310"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0B15105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w:t>
            </w:r>
          </w:p>
        </w:tc>
        <w:tc>
          <w:tcPr>
            <w:tcW w:w="650"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5956D8A8">
            <w:pPr>
              <w:spacing w:line="360" w:lineRule="auto"/>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12.5万元</w:t>
            </w:r>
          </w:p>
        </w:tc>
      </w:tr>
      <w:tr w14:paraId="3CAAED99">
        <w:tblPrEx>
          <w:tblCellMar>
            <w:top w:w="0" w:type="dxa"/>
            <w:left w:w="108" w:type="dxa"/>
            <w:bottom w:w="0" w:type="dxa"/>
            <w:right w:w="108" w:type="dxa"/>
          </w:tblCellMar>
        </w:tblPrEx>
        <w:trPr>
          <w:trHeight w:val="939" w:hRule="atLeast"/>
          <w:jc w:val="center"/>
        </w:trPr>
        <w:tc>
          <w:tcPr>
            <w:tcW w:w="205" w:type="pct"/>
            <w:tcBorders>
              <w:top w:val="single" w:color="auto" w:sz="4" w:space="0"/>
              <w:left w:val="single" w:color="000000" w:sz="4" w:space="0"/>
              <w:bottom w:val="single" w:color="000000" w:sz="4" w:space="0"/>
              <w:right w:val="single" w:color="auto" w:sz="4" w:space="0"/>
            </w:tcBorders>
            <w:shd w:val="clear" w:color="auto" w:fill="auto"/>
            <w:noWrap/>
            <w:vAlign w:val="center"/>
          </w:tcPr>
          <w:p w14:paraId="15810D31">
            <w:pPr>
              <w:spacing w:line="360" w:lineRule="auto"/>
              <w:jc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序号</w:t>
            </w:r>
          </w:p>
        </w:tc>
        <w:tc>
          <w:tcPr>
            <w:tcW w:w="451"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39AEC431">
            <w:pPr>
              <w:spacing w:line="360" w:lineRule="auto"/>
              <w:jc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项目类型</w:t>
            </w:r>
          </w:p>
        </w:tc>
        <w:tc>
          <w:tcPr>
            <w:tcW w:w="3382"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5E563497">
            <w:pPr>
              <w:spacing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项目内容</w:t>
            </w:r>
          </w:p>
        </w:tc>
        <w:tc>
          <w:tcPr>
            <w:tcW w:w="310"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4E1414EC">
            <w:pPr>
              <w:spacing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单位</w:t>
            </w:r>
          </w:p>
        </w:tc>
        <w:tc>
          <w:tcPr>
            <w:tcW w:w="650"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359E47EC">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综合单价最高限价</w:t>
            </w:r>
          </w:p>
        </w:tc>
      </w:tr>
      <w:tr w14:paraId="04E55F6D">
        <w:tblPrEx>
          <w:tblCellMar>
            <w:top w:w="0" w:type="dxa"/>
            <w:left w:w="108" w:type="dxa"/>
            <w:bottom w:w="0" w:type="dxa"/>
            <w:right w:w="108" w:type="dxa"/>
          </w:tblCellMar>
        </w:tblPrEx>
        <w:trPr>
          <w:trHeight w:val="1080" w:hRule="atLeast"/>
          <w:jc w:val="center"/>
        </w:trPr>
        <w:tc>
          <w:tcPr>
            <w:tcW w:w="205" w:type="pct"/>
            <w:tcBorders>
              <w:top w:val="single" w:color="auto" w:sz="4" w:space="0"/>
              <w:left w:val="single" w:color="000000" w:sz="4" w:space="0"/>
              <w:bottom w:val="single" w:color="000000" w:sz="4" w:space="0"/>
              <w:right w:val="single" w:color="auto" w:sz="4" w:space="0"/>
            </w:tcBorders>
            <w:shd w:val="clear" w:color="auto" w:fill="auto"/>
            <w:noWrap/>
            <w:vAlign w:val="center"/>
          </w:tcPr>
          <w:p w14:paraId="79884885">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451"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23D33C0C">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维修处置</w:t>
            </w:r>
          </w:p>
        </w:tc>
        <w:tc>
          <w:tcPr>
            <w:tcW w:w="3382"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0742DFE2">
            <w:pP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包括但不限于管网设施的日常维修、疏通维护、抢修处置、污染物处置、</w:t>
            </w:r>
            <w:r>
              <w:rPr>
                <w:rFonts w:hint="eastAsia" w:ascii="仿宋" w:hAnsi="仿宋" w:eastAsia="仿宋" w:cs="仿宋"/>
                <w:bCs/>
                <w:color w:val="auto"/>
                <w:sz w:val="24"/>
                <w:highlight w:val="none"/>
              </w:rPr>
              <w:t>抽水、气囊封堵</w:t>
            </w:r>
            <w:r>
              <w:rPr>
                <w:rFonts w:hint="eastAsia" w:ascii="仿宋" w:hAnsi="仿宋" w:eastAsia="仿宋" w:cs="仿宋"/>
                <w:bCs/>
                <w:color w:val="auto"/>
                <w:sz w:val="24"/>
                <w:highlight w:val="none"/>
                <w:lang w:eastAsia="zh-CN"/>
              </w:rPr>
              <w:t>、</w:t>
            </w:r>
            <w:r>
              <w:rPr>
                <w:rFonts w:hint="eastAsia" w:ascii="仿宋" w:hAnsi="仿宋" w:eastAsia="仿宋" w:cs="仿宋"/>
                <w:color w:val="auto"/>
                <w:sz w:val="24"/>
                <w:highlight w:val="none"/>
              </w:rPr>
              <w:t>排涝抢险</w:t>
            </w:r>
            <w:r>
              <w:rPr>
                <w:rFonts w:hint="eastAsia" w:ascii="仿宋" w:hAnsi="仿宋" w:eastAsia="仿宋" w:cs="仿宋"/>
                <w:color w:val="auto"/>
                <w:sz w:val="24"/>
                <w:highlight w:val="none"/>
                <w:lang w:eastAsia="zh-CN"/>
              </w:rPr>
              <w:t>、现场值班</w:t>
            </w:r>
            <w:r>
              <w:rPr>
                <w:rFonts w:hint="eastAsia" w:ascii="仿宋" w:hAnsi="仿宋" w:eastAsia="仿宋" w:cs="仿宋"/>
                <w:color w:val="auto"/>
                <w:sz w:val="24"/>
                <w:highlight w:val="none"/>
              </w:rPr>
              <w:t>等。采取折扣报价，套用当月信息价，第三方审计。</w:t>
            </w:r>
          </w:p>
        </w:tc>
        <w:tc>
          <w:tcPr>
            <w:tcW w:w="310"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052309B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650"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4F81F9A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14:paraId="3DA34124">
        <w:tblPrEx>
          <w:tblCellMar>
            <w:top w:w="0" w:type="dxa"/>
            <w:left w:w="108" w:type="dxa"/>
            <w:bottom w:w="0" w:type="dxa"/>
            <w:right w:w="108" w:type="dxa"/>
          </w:tblCellMar>
        </w:tblPrEx>
        <w:trPr>
          <w:trHeight w:val="1070" w:hRule="atLeast"/>
          <w:jc w:val="center"/>
        </w:trPr>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29FD00">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3   </w:t>
            </w: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89210D">
            <w:pPr>
              <w:spacing w:line="360" w:lineRule="auto"/>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管道检测</w:t>
            </w:r>
          </w:p>
        </w:tc>
        <w:tc>
          <w:tcPr>
            <w:tcW w:w="3382" w:type="pct"/>
            <w:tcBorders>
              <w:top w:val="single" w:color="000000" w:sz="4" w:space="0"/>
              <w:left w:val="single" w:color="auto" w:sz="4" w:space="0"/>
              <w:bottom w:val="single" w:color="000000" w:sz="4" w:space="0"/>
              <w:right w:val="nil"/>
            </w:tcBorders>
            <w:shd w:val="clear" w:color="auto" w:fill="auto"/>
            <w:noWrap/>
            <w:vAlign w:val="center"/>
          </w:tcPr>
          <w:p w14:paraId="7AEB9183">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包括但不限于管道CCTV检测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不分管径大小），要求全段360度影像，特别对于管道破损的节点全方位清晰反映破损情况。最终向发包人提供管道检测书面报告及存档影像资料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第三方审计</w:t>
            </w:r>
            <w:r>
              <w:rPr>
                <w:rFonts w:hint="eastAsia" w:ascii="仿宋" w:hAnsi="仿宋" w:eastAsia="仿宋" w:cs="仿宋"/>
                <w:color w:val="auto"/>
                <w:sz w:val="24"/>
                <w:highlight w:val="none"/>
                <w:lang w:eastAsia="zh-CN"/>
              </w:rPr>
              <w:t>。</w:t>
            </w:r>
          </w:p>
        </w:tc>
        <w:tc>
          <w:tcPr>
            <w:tcW w:w="310" w:type="pct"/>
            <w:tcBorders>
              <w:top w:val="single" w:color="000000" w:sz="4" w:space="0"/>
              <w:left w:val="single" w:color="000000" w:sz="4" w:space="0"/>
              <w:bottom w:val="single" w:color="000000" w:sz="4" w:space="0"/>
              <w:right w:val="nil"/>
            </w:tcBorders>
            <w:shd w:val="clear" w:color="auto" w:fill="auto"/>
            <w:noWrap/>
            <w:vAlign w:val="center"/>
          </w:tcPr>
          <w:p w14:paraId="00F21E3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m</w:t>
            </w:r>
          </w:p>
        </w:tc>
        <w:tc>
          <w:tcPr>
            <w:tcW w:w="65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8CF0ED3">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10元/米</w:t>
            </w:r>
          </w:p>
          <w:p w14:paraId="74ACDCC6">
            <w:pPr>
              <w:spacing w:line="360" w:lineRule="auto"/>
              <w:jc w:val="center"/>
              <w:rPr>
                <w:rFonts w:ascii="仿宋" w:hAnsi="仿宋" w:eastAsia="仿宋" w:cs="仿宋"/>
                <w:color w:val="auto"/>
                <w:sz w:val="24"/>
                <w:highlight w:val="none"/>
              </w:rPr>
            </w:pPr>
          </w:p>
        </w:tc>
      </w:tr>
      <w:tr w14:paraId="64ACA6C3">
        <w:tblPrEx>
          <w:tblCellMar>
            <w:top w:w="0" w:type="dxa"/>
            <w:left w:w="108" w:type="dxa"/>
            <w:bottom w:w="0" w:type="dxa"/>
            <w:right w:w="108" w:type="dxa"/>
          </w:tblCellMar>
        </w:tblPrEx>
        <w:trPr>
          <w:trHeight w:val="107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B4DBBBA">
            <w:pPr>
              <w:spacing w:line="360" w:lineRule="auto"/>
              <w:jc w:val="left"/>
              <w:rPr>
                <w:rFonts w:ascii="仿宋" w:hAnsi="仿宋" w:eastAsia="仿宋" w:cs="仿宋"/>
                <w:b/>
                <w:bCs/>
                <w:color w:val="auto"/>
                <w:sz w:val="24"/>
                <w:highlight w:val="none"/>
              </w:rPr>
            </w:pPr>
            <w:bookmarkStart w:id="21" w:name="_Toc8635"/>
            <w:r>
              <w:rPr>
                <w:rFonts w:hint="eastAsia" w:ascii="仿宋" w:hAnsi="仿宋" w:eastAsia="仿宋" w:cs="仿宋"/>
                <w:b/>
                <w:bCs/>
                <w:color w:val="auto"/>
                <w:sz w:val="24"/>
                <w:highlight w:val="none"/>
              </w:rPr>
              <w:t>注：1、本次采购项目中维修处置及管道检测为统一折扣报价，参与报价评分中，最高折扣为100%超过最高折扣或者出现2个及以上的折扣报价作无效报价处理。</w:t>
            </w:r>
          </w:p>
          <w:p w14:paraId="66D328E8">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2、常规巡检为固定单价12.5万元/年，不参与报价评分。</w:t>
            </w:r>
          </w:p>
        </w:tc>
      </w:tr>
    </w:tbl>
    <w:p w14:paraId="3E888CDE">
      <w:pPr>
        <w:spacing w:line="360" w:lineRule="auto"/>
        <w:ind w:firstLine="241" w:firstLineChars="100"/>
        <w:outlineLvl w:val="1"/>
        <w:rPr>
          <w:rFonts w:hint="eastAsia" w:ascii="仿宋" w:hAnsi="仿宋" w:eastAsia="仿宋" w:cs="仿宋"/>
          <w:b/>
          <w:bCs/>
          <w:color w:val="auto"/>
          <w:sz w:val="24"/>
          <w:highlight w:val="none"/>
        </w:rPr>
      </w:pPr>
    </w:p>
    <w:p w14:paraId="10213E46">
      <w:pPr>
        <w:spacing w:line="360" w:lineRule="auto"/>
        <w:ind w:firstLine="241" w:firstLineChars="100"/>
        <w:outlineLvl w:val="1"/>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rPr>
        <w:t>六、排水管检测标准</w:t>
      </w:r>
      <w:bookmarkEnd w:id="21"/>
    </w:p>
    <w:p w14:paraId="5C99BD6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排水管道检测需要遵循以下各项要求：</w:t>
      </w:r>
    </w:p>
    <w:p w14:paraId="21EC08C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1、《城乡排水工程项目规范》GB 55027-2022；</w:t>
      </w:r>
    </w:p>
    <w:p w14:paraId="171158A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2、《城镇排水管道非开挖修复更新工程技术规程》CJJ/T 210-2014；</w:t>
      </w:r>
    </w:p>
    <w:p w14:paraId="6FD8976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3、《城镇排水管渠与泵站运行、维护及安全技术规程》CJJ68-2016；</w:t>
      </w:r>
    </w:p>
    <w:p w14:paraId="14BB996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4、《中华人民共和国道路交通安全法》；</w:t>
      </w:r>
    </w:p>
    <w:p w14:paraId="3EF8BF5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5、其它相关的行业、地方、或者厂矿单位的法规、规程、规定及要求；</w:t>
      </w:r>
    </w:p>
    <w:p w14:paraId="19E5330B">
      <w:pPr>
        <w:spacing w:line="360" w:lineRule="auto"/>
        <w:ind w:firstLine="241" w:firstLineChars="100"/>
        <w:outlineLvl w:val="1"/>
        <w:rPr>
          <w:rFonts w:ascii="仿宋" w:hAnsi="仿宋" w:eastAsia="仿宋" w:cs="仿宋"/>
          <w:b/>
          <w:color w:val="auto"/>
          <w:sz w:val="24"/>
          <w:highlight w:val="none"/>
        </w:rPr>
      </w:pPr>
      <w:bookmarkStart w:id="22" w:name="_Toc11473"/>
      <w:r>
        <w:rPr>
          <w:rFonts w:hint="eastAsia" w:ascii="仿宋" w:hAnsi="仿宋" w:eastAsia="仿宋" w:cs="仿宋"/>
          <w:b/>
          <w:color w:val="auto"/>
          <w:sz w:val="24"/>
          <w:highlight w:val="none"/>
        </w:rPr>
        <w:t>七、 具体要求</w:t>
      </w:r>
      <w:bookmarkEnd w:id="22"/>
    </w:p>
    <w:p w14:paraId="5BC55A63">
      <w:pPr>
        <w:autoSpaceDE w:val="0"/>
        <w:autoSpaceDN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1、管道CCTV检测工作范围</w:t>
      </w:r>
    </w:p>
    <w:p w14:paraId="7AFDF21D">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1.1 进行环境保护的污水泄漏检测；</w:t>
      </w:r>
    </w:p>
    <w:p w14:paraId="2036067E">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1.2 不明污水处渗入来源检测；</w:t>
      </w:r>
    </w:p>
    <w:p w14:paraId="5E4E5E8C">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 管路淤积、排水不畅等原因的调查；</w:t>
      </w:r>
    </w:p>
    <w:p w14:paraId="08E7E6AC">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1.4 可直接排放污水与须处理污水的合流情况检测；</w:t>
      </w:r>
    </w:p>
    <w:p w14:paraId="4FB8EDB4">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1.5 管道的腐蚀、破损、接口错位、淤积、结垢等运行状况的检测；</w:t>
      </w:r>
    </w:p>
    <w:p w14:paraId="6AE65F58">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1.6 查找因排水系统或基建施工而找不到的检修井或去向不明管段；</w:t>
      </w:r>
    </w:p>
    <w:p w14:paraId="48B1C2DB">
      <w:pPr>
        <w:autoSpaceDE w:val="0"/>
        <w:autoSpaceDN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2、管道CCTV检测要求</w:t>
      </w:r>
    </w:p>
    <w:p w14:paraId="01DC8FC5">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2.1 管道检测的基本程序要求：检测工作任务书下达，搜集资料，现场踏勘，编写技术检测方案，检测前的准备</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含办理占道施工许可证、管道特殊预处理许可手续等），现场检测及初步判读，内业</w:t>
      </w:r>
      <w:r>
        <w:rPr>
          <w:rFonts w:hint="eastAsia" w:ascii="仿宋" w:hAnsi="仿宋" w:eastAsia="仿宋" w:cs="仿宋"/>
          <w:bCs/>
          <w:color w:val="auto"/>
          <w:sz w:val="24"/>
          <w:highlight w:val="none"/>
          <w:lang w:eastAsia="zh-CN"/>
        </w:rPr>
        <w:t>影像判读</w:t>
      </w:r>
      <w:r>
        <w:rPr>
          <w:rFonts w:hint="eastAsia" w:ascii="仿宋" w:hAnsi="仿宋" w:eastAsia="仿宋" w:cs="仿宋"/>
          <w:bCs/>
          <w:color w:val="auto"/>
          <w:sz w:val="24"/>
          <w:highlight w:val="none"/>
        </w:rPr>
        <w:t>与处理，评估计算及图件编辑，编写检测报告书和成果验收。检测任务较简单及工作量较小时，上述程序可酌情简化。</w:t>
      </w:r>
    </w:p>
    <w:p w14:paraId="2FF07AD5">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2.2 管道检测前应搜集如下资料：</w:t>
      </w:r>
    </w:p>
    <w:p w14:paraId="7A6A007B">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2.2.1 已有排水管线图；</w:t>
      </w:r>
    </w:p>
    <w:p w14:paraId="077BBDA8">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2.2.2 管道的竣工图或施工图等技术资料；</w:t>
      </w:r>
    </w:p>
    <w:p w14:paraId="2BB306E6">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2.2.3 已有管道检测资料；</w:t>
      </w:r>
    </w:p>
    <w:p w14:paraId="039F8DCA">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2.2.4 评估所需的相关资料。</w:t>
      </w:r>
    </w:p>
    <w:p w14:paraId="7551042B">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2.3 现场踏勘应包括下列内容：</w:t>
      </w:r>
    </w:p>
    <w:p w14:paraId="51DD09A2">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2.3.1 察看测区的地物、地貌、交通和管道分布情况；</w:t>
      </w:r>
    </w:p>
    <w:p w14:paraId="52227D78">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2.3.2 开井目视检查管道的水位、淤泥和井内构造等情况；</w:t>
      </w:r>
    </w:p>
    <w:p w14:paraId="7B2EEDD1">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2.3.3 核对所搜集资料中的人井位置、管位、管径、材质等。</w:t>
      </w:r>
    </w:p>
    <w:p w14:paraId="613CBB84">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2.4 技术检测方案应包括下列内容：</w:t>
      </w:r>
    </w:p>
    <w:p w14:paraId="7C962C0B">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2.4.1 检测任务的委托方、施工方，检测任务、目的和工期要求；</w:t>
      </w:r>
    </w:p>
    <w:p w14:paraId="7F463B3D">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2.4.2 管道概况、现场交通条件及对已有资料的分析；</w:t>
      </w:r>
    </w:p>
    <w:p w14:paraId="6F5F04E2">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2.4.3 技术方案</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包括管道检测及预处理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w:t>
      </w:r>
    </w:p>
    <w:p w14:paraId="6A4D291F">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2.4.4 作业质量、健康、安全、交通组织、环保等保证体系与具体措施；</w:t>
      </w:r>
    </w:p>
    <w:p w14:paraId="2FD98AB9">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2.4.5 可能存在的问题和对策；</w:t>
      </w:r>
    </w:p>
    <w:p w14:paraId="48D7B122">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2.4.6 工作量估算及工作进度计划；</w:t>
      </w:r>
    </w:p>
    <w:p w14:paraId="38769EA6">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2.4.7 人员组织、设备、材料计划；</w:t>
      </w:r>
    </w:p>
    <w:p w14:paraId="0D35E3F5">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2.4.8 拟提交的成果资料。</w:t>
      </w:r>
    </w:p>
    <w:p w14:paraId="2E52E18A">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2.5 现场管道检测应包括下列内容：</w:t>
      </w:r>
    </w:p>
    <w:p w14:paraId="66624D77">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2.5.1 设立施工现场围栏和安全标志，必要时须按道路交通管理部门的指示封闭道路后再作业；</w:t>
      </w:r>
    </w:p>
    <w:p w14:paraId="4720413E">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2.5.2 管道预处理，如封堵、吸污、清洗、抽水等；</w:t>
      </w:r>
    </w:p>
    <w:p w14:paraId="26074EAE">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2.5.3 仪器设备自检；</w:t>
      </w:r>
    </w:p>
    <w:p w14:paraId="441BC3B9">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2.5.4 管道实地检测与初步判读。对发现的重大缺陷问题应及时报知委托方或委托方指定的现场监理；</w:t>
      </w:r>
    </w:p>
    <w:p w14:paraId="7F3588E7">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2.5.5 检测完成后应及时清理现场，保养设备。</w:t>
      </w:r>
    </w:p>
    <w:p w14:paraId="144E962F">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2.6 缺陷分布图的编绘应符合下列要求：</w:t>
      </w:r>
    </w:p>
    <w:p w14:paraId="4DDF5249">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2.6.1 缺陷分布图宜在已有的排水管线图基础上加绘缺陷要素。无排水管线图的应按现行的行业标准《城市地下管线探测技术规程》CJJ61和《城镇排水管渠与泵站维护技术规程》CJJ/T68的有关规定绘制。测区较小的可实地丈量后以自由比例尺简单绘制；</w:t>
      </w:r>
    </w:p>
    <w:p w14:paraId="7B148FB2">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2.6.2 管道缺陷图上必须注明的缺陷要素包括：录像文件</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带）编号、检测方向、缺陷位置、代码及照片编号、管径和相对距离等；</w:t>
      </w:r>
    </w:p>
    <w:p w14:paraId="091ED98F">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2.6.3 图上的代码和颜色应按本规程规定执行。</w:t>
      </w:r>
    </w:p>
    <w:p w14:paraId="0BB15674">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2.7 管道检测记录应在现场按规定格式填写完成，不得事后补填，以保证资料的真实性、准确性。在描述管道缺陷或结构特征在管道环向上的位置时应采用时钟表示法。以</w:t>
      </w:r>
      <w:r>
        <w:rPr>
          <w:rFonts w:hint="eastAsia" w:ascii="仿宋" w:hAnsi="仿宋" w:eastAsia="仿宋" w:cs="仿宋"/>
          <w:bCs/>
          <w:color w:val="auto"/>
          <w:sz w:val="24"/>
          <w:highlight w:val="none"/>
          <w:lang w:eastAsia="zh-CN"/>
        </w:rPr>
        <w:t>声呐</w:t>
      </w:r>
      <w:r>
        <w:rPr>
          <w:rFonts w:hint="eastAsia" w:ascii="仿宋" w:hAnsi="仿宋" w:eastAsia="仿宋" w:cs="仿宋"/>
          <w:bCs/>
          <w:color w:val="auto"/>
          <w:sz w:val="24"/>
          <w:highlight w:val="none"/>
        </w:rPr>
        <w:t>检测的渠箱缺陷定位应按系统实际量测位置以数值表示。</w:t>
      </w:r>
    </w:p>
    <w:p w14:paraId="64B8F1E5">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2.8 管道检测成果报表必须包括：工程名称</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或合同号）、检测时间、天气、操作者、所持检测资格证书编号，地名、路名、录像文件</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带）编号、管道用途、权属单位、铺设时间、预清洗、开始/结束井编号、形状、管径、材质、内衬、管道接头间距、检测方向、缺陷位置、分布时钟、代码级别及缺陷照片等，对于连续性缺陷还应注明起/止位置和长度。报表应经操作者、填表人和审核人签名确认。</w:t>
      </w:r>
    </w:p>
    <w:p w14:paraId="5630B7E7">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2.9 管道检测成果资料应按档案管理中统一载体、装订规格的要求，分为文字、表、图和光盘</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录象带）四大类进行编号和组卷。</w:t>
      </w:r>
    </w:p>
    <w:p w14:paraId="2A229781">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2.10 管道检测成果可置入数字市政系统，并建立动态管理机制。</w:t>
      </w:r>
    </w:p>
    <w:p w14:paraId="07B7C502">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2.11 管道检测现场施工必须执行现行的行业标准《排水管道检测与修复安全技术规程》CJJ6的有关规定。</w:t>
      </w:r>
    </w:p>
    <w:p w14:paraId="2297CCCC">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2.12  普查类检测项目的质量控制宜采用监理模式，现场监理应全程见证现场检测过程，并及时确认管道的重大缺陷。</w:t>
      </w:r>
    </w:p>
    <w:p w14:paraId="4C9A1DF7">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2.13 检测设备的技术要求</w:t>
      </w:r>
    </w:p>
    <w:p w14:paraId="63451011">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2.13.1 摄像头高度可自由调整；爬行器的车轮直径大小或者轴间距可根据被检测管道的大小进行更换或调整；灯光强度能调节。</w:t>
      </w:r>
    </w:p>
    <w:p w14:paraId="3412B7BB">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2.13.2 闭路电视系统和手持式电视检测系统的技术要求应符合下表的规定。</w:t>
      </w:r>
    </w:p>
    <w:p w14:paraId="0593FC74">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闭路电视检测系统摄像镜头主要技术指标要求</w:t>
      </w:r>
    </w:p>
    <w:tbl>
      <w:tblPr>
        <w:tblStyle w:val="21"/>
        <w:tblW w:w="0" w:type="auto"/>
        <w:jc w:val="center"/>
        <w:tblLayout w:type="fixed"/>
        <w:tblCellMar>
          <w:top w:w="0" w:type="dxa"/>
          <w:left w:w="108" w:type="dxa"/>
          <w:bottom w:w="0" w:type="dxa"/>
          <w:right w:w="108" w:type="dxa"/>
        </w:tblCellMar>
      </w:tblPr>
      <w:tblGrid>
        <w:gridCol w:w="1806"/>
        <w:gridCol w:w="3737"/>
        <w:gridCol w:w="3554"/>
      </w:tblGrid>
      <w:tr w14:paraId="33B1C8C6">
        <w:tblPrEx>
          <w:tblCellMar>
            <w:top w:w="0" w:type="dxa"/>
            <w:left w:w="108" w:type="dxa"/>
            <w:bottom w:w="0" w:type="dxa"/>
            <w:right w:w="108" w:type="dxa"/>
          </w:tblCellMar>
        </w:tblPrEx>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4226898F">
            <w:pPr>
              <w:pStyle w:val="30"/>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w:t>
            </w:r>
          </w:p>
        </w:tc>
        <w:tc>
          <w:tcPr>
            <w:tcW w:w="7291" w:type="dxa"/>
            <w:gridSpan w:val="2"/>
            <w:tcBorders>
              <w:top w:val="single" w:color="auto" w:sz="4" w:space="0"/>
              <w:left w:val="single" w:color="auto" w:sz="4" w:space="0"/>
              <w:bottom w:val="single" w:color="auto" w:sz="4" w:space="0"/>
              <w:right w:val="single" w:color="auto" w:sz="4" w:space="0"/>
            </w:tcBorders>
            <w:noWrap/>
            <w:vAlign w:val="center"/>
          </w:tcPr>
          <w:p w14:paraId="20224757">
            <w:pPr>
              <w:pStyle w:val="30"/>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 术 指 标</w:t>
            </w:r>
          </w:p>
        </w:tc>
      </w:tr>
      <w:tr w14:paraId="5E31A60A">
        <w:tblPrEx>
          <w:tblCellMar>
            <w:top w:w="0" w:type="dxa"/>
            <w:left w:w="108" w:type="dxa"/>
            <w:bottom w:w="0" w:type="dxa"/>
            <w:right w:w="108" w:type="dxa"/>
          </w:tblCellMar>
        </w:tblPrEx>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350FA4B8">
            <w:pPr>
              <w:pStyle w:val="30"/>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镜头种类</w:t>
            </w:r>
          </w:p>
        </w:tc>
        <w:tc>
          <w:tcPr>
            <w:tcW w:w="3737" w:type="dxa"/>
            <w:tcBorders>
              <w:top w:val="single" w:color="auto" w:sz="4" w:space="0"/>
              <w:left w:val="single" w:color="auto" w:sz="4" w:space="0"/>
              <w:bottom w:val="single" w:color="auto" w:sz="4" w:space="0"/>
              <w:right w:val="single" w:color="auto" w:sz="4" w:space="0"/>
            </w:tcBorders>
            <w:noWrap/>
            <w:vAlign w:val="center"/>
          </w:tcPr>
          <w:p w14:paraId="5FF0A8C0">
            <w:pPr>
              <w:pStyle w:val="30"/>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直视</w:t>
            </w:r>
          </w:p>
        </w:tc>
        <w:tc>
          <w:tcPr>
            <w:tcW w:w="3554" w:type="dxa"/>
            <w:tcBorders>
              <w:top w:val="single" w:color="auto" w:sz="4" w:space="0"/>
              <w:left w:val="single" w:color="auto" w:sz="4" w:space="0"/>
              <w:bottom w:val="single" w:color="auto" w:sz="4" w:space="0"/>
              <w:right w:val="single" w:color="auto" w:sz="4" w:space="0"/>
            </w:tcBorders>
            <w:noWrap/>
            <w:vAlign w:val="center"/>
          </w:tcPr>
          <w:p w14:paraId="08271871">
            <w:pPr>
              <w:pStyle w:val="30"/>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扫视与旋转</w:t>
            </w:r>
          </w:p>
        </w:tc>
      </w:tr>
      <w:tr w14:paraId="40CF7B44">
        <w:tblPrEx>
          <w:tblCellMar>
            <w:top w:w="0" w:type="dxa"/>
            <w:left w:w="108" w:type="dxa"/>
            <w:bottom w:w="0" w:type="dxa"/>
            <w:right w:w="108" w:type="dxa"/>
          </w:tblCellMar>
        </w:tblPrEx>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1278D654">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成像单元</w:t>
            </w:r>
          </w:p>
        </w:tc>
        <w:tc>
          <w:tcPr>
            <w:tcW w:w="3737" w:type="dxa"/>
            <w:tcBorders>
              <w:top w:val="single" w:color="auto" w:sz="4" w:space="0"/>
              <w:left w:val="single" w:color="auto" w:sz="4" w:space="0"/>
              <w:bottom w:val="single" w:color="auto" w:sz="4" w:space="0"/>
              <w:right w:val="single" w:color="auto" w:sz="4" w:space="0"/>
            </w:tcBorders>
            <w:noWrap/>
            <w:vAlign w:val="center"/>
          </w:tcPr>
          <w:p w14:paraId="1A687326">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肌 CCD</w:t>
            </w:r>
          </w:p>
        </w:tc>
        <w:tc>
          <w:tcPr>
            <w:tcW w:w="3554" w:type="dxa"/>
            <w:tcBorders>
              <w:top w:val="single" w:color="auto" w:sz="4" w:space="0"/>
              <w:left w:val="single" w:color="auto" w:sz="4" w:space="0"/>
              <w:bottom w:val="single" w:color="auto" w:sz="4" w:space="0"/>
              <w:right w:val="single" w:color="auto" w:sz="4" w:space="0"/>
            </w:tcBorders>
            <w:noWrap/>
            <w:vAlign w:val="center"/>
          </w:tcPr>
          <w:p w14:paraId="2D035C8F">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肌 CCD</w:t>
            </w:r>
          </w:p>
        </w:tc>
      </w:tr>
      <w:tr w14:paraId="72FED924">
        <w:tblPrEx>
          <w:tblCellMar>
            <w:top w:w="0" w:type="dxa"/>
            <w:left w:w="108" w:type="dxa"/>
            <w:bottom w:w="0" w:type="dxa"/>
            <w:right w:w="108" w:type="dxa"/>
          </w:tblCellMar>
        </w:tblPrEx>
        <w:trPr>
          <w:trHeight w:val="939"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184F79B8">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分辨率</w:t>
            </w:r>
          </w:p>
        </w:tc>
        <w:tc>
          <w:tcPr>
            <w:tcW w:w="3737" w:type="dxa"/>
            <w:tcBorders>
              <w:top w:val="single" w:color="auto" w:sz="4" w:space="0"/>
              <w:left w:val="single" w:color="auto" w:sz="4" w:space="0"/>
              <w:bottom w:val="single" w:color="auto" w:sz="4" w:space="0"/>
              <w:right w:val="single" w:color="auto" w:sz="4" w:space="0"/>
            </w:tcBorders>
            <w:noWrap/>
            <w:vAlign w:val="center"/>
          </w:tcPr>
          <w:p w14:paraId="7F774889">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像素512 x 492，水平≥330 TVL</w:t>
            </w:r>
          </w:p>
        </w:tc>
        <w:tc>
          <w:tcPr>
            <w:tcW w:w="3554" w:type="dxa"/>
            <w:tcBorders>
              <w:top w:val="single" w:color="auto" w:sz="4" w:space="0"/>
              <w:left w:val="single" w:color="auto" w:sz="4" w:space="0"/>
              <w:bottom w:val="single" w:color="auto" w:sz="4" w:space="0"/>
              <w:right w:val="single" w:color="auto" w:sz="4" w:space="0"/>
            </w:tcBorders>
            <w:noWrap/>
            <w:vAlign w:val="center"/>
          </w:tcPr>
          <w:p w14:paraId="346FB850">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像素512 x 492，水平≥400 TVL</w:t>
            </w:r>
          </w:p>
        </w:tc>
      </w:tr>
      <w:tr w14:paraId="6A989BE3">
        <w:tblPrEx>
          <w:tblCellMar>
            <w:top w:w="0" w:type="dxa"/>
            <w:left w:w="108" w:type="dxa"/>
            <w:bottom w:w="0" w:type="dxa"/>
            <w:right w:w="108" w:type="dxa"/>
          </w:tblCellMar>
        </w:tblPrEx>
        <w:trPr>
          <w:trHeight w:val="939"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3D3432F2">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灵敏度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最低感光度）</w:t>
            </w:r>
          </w:p>
        </w:tc>
        <w:tc>
          <w:tcPr>
            <w:tcW w:w="3737" w:type="dxa"/>
            <w:tcBorders>
              <w:top w:val="single" w:color="auto" w:sz="4" w:space="0"/>
              <w:left w:val="single" w:color="auto" w:sz="4" w:space="0"/>
              <w:bottom w:val="single" w:color="auto" w:sz="4" w:space="0"/>
              <w:right w:val="single" w:color="auto" w:sz="4" w:space="0"/>
            </w:tcBorders>
            <w:noWrap/>
            <w:vAlign w:val="center"/>
          </w:tcPr>
          <w:p w14:paraId="164A79B4">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≤1勒克斯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lux）</w:t>
            </w:r>
          </w:p>
        </w:tc>
        <w:tc>
          <w:tcPr>
            <w:tcW w:w="3554" w:type="dxa"/>
            <w:tcBorders>
              <w:top w:val="single" w:color="auto" w:sz="4" w:space="0"/>
              <w:left w:val="single" w:color="auto" w:sz="4" w:space="0"/>
              <w:bottom w:val="single" w:color="auto" w:sz="4" w:space="0"/>
              <w:right w:val="single" w:color="auto" w:sz="4" w:space="0"/>
            </w:tcBorders>
            <w:noWrap/>
            <w:vAlign w:val="center"/>
          </w:tcPr>
          <w:p w14:paraId="3ECE0C3C">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≤1勒克斯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lux）</w:t>
            </w:r>
          </w:p>
        </w:tc>
      </w:tr>
      <w:tr w14:paraId="4FEBB2C9">
        <w:tblPrEx>
          <w:tblCellMar>
            <w:top w:w="0" w:type="dxa"/>
            <w:left w:w="108" w:type="dxa"/>
            <w:bottom w:w="0" w:type="dxa"/>
            <w:right w:w="108" w:type="dxa"/>
          </w:tblCellMar>
        </w:tblPrEx>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55C5C8C5">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视角</w:t>
            </w:r>
          </w:p>
        </w:tc>
        <w:tc>
          <w:tcPr>
            <w:tcW w:w="3737" w:type="dxa"/>
            <w:tcBorders>
              <w:top w:val="single" w:color="auto" w:sz="4" w:space="0"/>
              <w:left w:val="single" w:color="auto" w:sz="4" w:space="0"/>
              <w:bottom w:val="single" w:color="auto" w:sz="4" w:space="0"/>
              <w:right w:val="single" w:color="auto" w:sz="4" w:space="0"/>
            </w:tcBorders>
            <w:noWrap/>
            <w:vAlign w:val="center"/>
          </w:tcPr>
          <w:p w14:paraId="021AE630">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≥45度</w:t>
            </w:r>
          </w:p>
        </w:tc>
        <w:tc>
          <w:tcPr>
            <w:tcW w:w="3554" w:type="dxa"/>
            <w:tcBorders>
              <w:top w:val="single" w:color="auto" w:sz="4" w:space="0"/>
              <w:left w:val="single" w:color="auto" w:sz="4" w:space="0"/>
              <w:bottom w:val="single" w:color="auto" w:sz="4" w:space="0"/>
              <w:right w:val="single" w:color="auto" w:sz="4" w:space="0"/>
            </w:tcBorders>
            <w:noWrap/>
            <w:vAlign w:val="center"/>
          </w:tcPr>
          <w:p w14:paraId="472D8334">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≥45度</w:t>
            </w:r>
          </w:p>
        </w:tc>
      </w:tr>
      <w:tr w14:paraId="1B6BA856">
        <w:tblPrEx>
          <w:tblCellMar>
            <w:top w:w="0" w:type="dxa"/>
            <w:left w:w="108" w:type="dxa"/>
            <w:bottom w:w="0" w:type="dxa"/>
            <w:right w:w="108" w:type="dxa"/>
          </w:tblCellMar>
        </w:tblPrEx>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688E40D5">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3737" w:type="dxa"/>
            <w:tcBorders>
              <w:top w:val="single" w:color="auto" w:sz="4" w:space="0"/>
              <w:left w:val="single" w:color="auto" w:sz="4" w:space="0"/>
              <w:bottom w:val="single" w:color="auto" w:sz="4" w:space="0"/>
              <w:right w:val="single" w:color="auto" w:sz="4" w:space="0"/>
            </w:tcBorders>
            <w:noWrap/>
            <w:vAlign w:val="center"/>
          </w:tcPr>
          <w:p w14:paraId="1CB1E169">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3554" w:type="dxa"/>
            <w:tcBorders>
              <w:top w:val="single" w:color="auto" w:sz="4" w:space="0"/>
              <w:left w:val="single" w:color="auto" w:sz="4" w:space="0"/>
              <w:bottom w:val="single" w:color="auto" w:sz="4" w:space="0"/>
              <w:right w:val="single" w:color="auto" w:sz="4" w:space="0"/>
            </w:tcBorders>
            <w:noWrap/>
            <w:vAlign w:val="center"/>
          </w:tcPr>
          <w:p w14:paraId="68C03933">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扫视：210º，旋转：355º</w:t>
            </w:r>
          </w:p>
        </w:tc>
      </w:tr>
      <w:tr w14:paraId="677BEDB9">
        <w:tblPrEx>
          <w:tblCellMar>
            <w:top w:w="0" w:type="dxa"/>
            <w:left w:w="108" w:type="dxa"/>
            <w:bottom w:w="0" w:type="dxa"/>
            <w:right w:w="108" w:type="dxa"/>
          </w:tblCellMar>
        </w:tblPrEx>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5666A746">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防水性能</w:t>
            </w:r>
          </w:p>
        </w:tc>
        <w:tc>
          <w:tcPr>
            <w:tcW w:w="3737" w:type="dxa"/>
            <w:tcBorders>
              <w:top w:val="single" w:color="auto" w:sz="4" w:space="0"/>
              <w:left w:val="single" w:color="auto" w:sz="4" w:space="0"/>
              <w:bottom w:val="single" w:color="auto" w:sz="4" w:space="0"/>
              <w:right w:val="single" w:color="auto" w:sz="4" w:space="0"/>
            </w:tcBorders>
            <w:noWrap/>
            <w:vAlign w:val="center"/>
          </w:tcPr>
          <w:p w14:paraId="34523804">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水下4bar</w:t>
            </w:r>
          </w:p>
        </w:tc>
        <w:tc>
          <w:tcPr>
            <w:tcW w:w="3554" w:type="dxa"/>
            <w:tcBorders>
              <w:top w:val="single" w:color="auto" w:sz="4" w:space="0"/>
              <w:left w:val="single" w:color="auto" w:sz="4" w:space="0"/>
              <w:bottom w:val="single" w:color="auto" w:sz="4" w:space="0"/>
              <w:right w:val="single" w:color="auto" w:sz="4" w:space="0"/>
            </w:tcBorders>
            <w:noWrap/>
            <w:vAlign w:val="center"/>
          </w:tcPr>
          <w:p w14:paraId="21E39E72">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水下1bar</w:t>
            </w:r>
          </w:p>
        </w:tc>
      </w:tr>
      <w:tr w14:paraId="44497BE3">
        <w:tblPrEx>
          <w:tblCellMar>
            <w:top w:w="0" w:type="dxa"/>
            <w:left w:w="108" w:type="dxa"/>
            <w:bottom w:w="0" w:type="dxa"/>
            <w:right w:w="108" w:type="dxa"/>
          </w:tblCellMar>
        </w:tblPrEx>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7A0EF42C">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监视器</w:t>
            </w:r>
          </w:p>
        </w:tc>
        <w:tc>
          <w:tcPr>
            <w:tcW w:w="7291" w:type="dxa"/>
            <w:gridSpan w:val="2"/>
            <w:tcBorders>
              <w:top w:val="single" w:color="auto" w:sz="4" w:space="0"/>
              <w:left w:val="single" w:color="auto" w:sz="4" w:space="0"/>
              <w:bottom w:val="single" w:color="auto" w:sz="4" w:space="0"/>
              <w:right w:val="single" w:color="auto" w:sz="4" w:space="0"/>
            </w:tcBorders>
            <w:noWrap/>
            <w:vAlign w:val="center"/>
          </w:tcPr>
          <w:p w14:paraId="01142462">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14:paraId="639B7645">
        <w:tblPrEx>
          <w:tblCellMar>
            <w:top w:w="0" w:type="dxa"/>
            <w:left w:w="108" w:type="dxa"/>
            <w:bottom w:w="0" w:type="dxa"/>
            <w:right w:w="108" w:type="dxa"/>
          </w:tblCellMar>
        </w:tblPrEx>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2726C05F">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图像变形</w:t>
            </w:r>
          </w:p>
        </w:tc>
        <w:tc>
          <w:tcPr>
            <w:tcW w:w="7291" w:type="dxa"/>
            <w:gridSpan w:val="2"/>
            <w:tcBorders>
              <w:top w:val="single" w:color="auto" w:sz="4" w:space="0"/>
              <w:left w:val="single" w:color="auto" w:sz="4" w:space="0"/>
              <w:bottom w:val="single" w:color="auto" w:sz="4" w:space="0"/>
              <w:right w:val="single" w:color="auto" w:sz="4" w:space="0"/>
            </w:tcBorders>
            <w:noWrap/>
            <w:vAlign w:val="center"/>
          </w:tcPr>
          <w:p w14:paraId="0C9A78E5">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14:paraId="4EC26207">
        <w:tblPrEx>
          <w:tblCellMar>
            <w:top w:w="0" w:type="dxa"/>
            <w:left w:w="108" w:type="dxa"/>
            <w:bottom w:w="0" w:type="dxa"/>
            <w:right w:w="108" w:type="dxa"/>
          </w:tblCellMar>
        </w:tblPrEx>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351D8BFE">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屏幕</w:t>
            </w:r>
          </w:p>
        </w:tc>
        <w:tc>
          <w:tcPr>
            <w:tcW w:w="7291" w:type="dxa"/>
            <w:gridSpan w:val="2"/>
            <w:tcBorders>
              <w:top w:val="single" w:color="auto" w:sz="4" w:space="0"/>
              <w:left w:val="single" w:color="auto" w:sz="4" w:space="0"/>
              <w:bottom w:val="single" w:color="auto" w:sz="4" w:space="0"/>
              <w:right w:val="single" w:color="auto" w:sz="4" w:space="0"/>
            </w:tcBorders>
            <w:noWrap/>
            <w:vAlign w:val="center"/>
          </w:tcPr>
          <w:p w14:paraId="13AB8579">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≥250mm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对角线）真彩色</w:t>
            </w:r>
          </w:p>
        </w:tc>
      </w:tr>
      <w:tr w14:paraId="29D5D23E">
        <w:tblPrEx>
          <w:tblCellMar>
            <w:top w:w="0" w:type="dxa"/>
            <w:left w:w="108" w:type="dxa"/>
            <w:bottom w:w="0" w:type="dxa"/>
            <w:right w:w="108" w:type="dxa"/>
          </w:tblCellMar>
        </w:tblPrEx>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07EB7D6D">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灯光</w:t>
            </w:r>
          </w:p>
        </w:tc>
        <w:tc>
          <w:tcPr>
            <w:tcW w:w="7291" w:type="dxa"/>
            <w:gridSpan w:val="2"/>
            <w:tcBorders>
              <w:top w:val="single" w:color="auto" w:sz="4" w:space="0"/>
              <w:left w:val="single" w:color="auto" w:sz="4" w:space="0"/>
              <w:bottom w:val="single" w:color="auto" w:sz="4" w:space="0"/>
              <w:right w:val="single" w:color="auto" w:sz="4" w:space="0"/>
            </w:tcBorders>
            <w:noWrap/>
            <w:vAlign w:val="center"/>
          </w:tcPr>
          <w:p w14:paraId="6F5E30DA">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≥1500坎德拉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cd）</w:t>
            </w:r>
          </w:p>
        </w:tc>
      </w:tr>
      <w:tr w14:paraId="6CBEA718">
        <w:tblPrEx>
          <w:tblCellMar>
            <w:top w:w="0" w:type="dxa"/>
            <w:left w:w="108" w:type="dxa"/>
            <w:bottom w:w="0" w:type="dxa"/>
            <w:right w:w="108" w:type="dxa"/>
          </w:tblCellMar>
        </w:tblPrEx>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12DE07A0">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影像</w:t>
            </w:r>
            <w:r>
              <w:rPr>
                <w:rFonts w:hint="eastAsia" w:ascii="仿宋" w:hAnsi="仿宋" w:eastAsia="仿宋" w:cs="仿宋"/>
                <w:color w:val="auto"/>
                <w:sz w:val="24"/>
                <w:szCs w:val="24"/>
                <w:highlight w:val="none"/>
              </w:rPr>
              <w:t>记录模式</w:t>
            </w:r>
          </w:p>
        </w:tc>
        <w:tc>
          <w:tcPr>
            <w:tcW w:w="7291" w:type="dxa"/>
            <w:gridSpan w:val="2"/>
            <w:tcBorders>
              <w:top w:val="single" w:color="auto" w:sz="4" w:space="0"/>
              <w:left w:val="single" w:color="auto" w:sz="4" w:space="0"/>
              <w:bottom w:val="single" w:color="auto" w:sz="4" w:space="0"/>
              <w:right w:val="single" w:color="auto" w:sz="4" w:space="0"/>
            </w:tcBorders>
            <w:noWrap/>
            <w:vAlign w:val="center"/>
          </w:tcPr>
          <w:p w14:paraId="7BA5DB6F">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录像带或DVD光盘</w:t>
            </w:r>
          </w:p>
        </w:tc>
      </w:tr>
      <w:tr w14:paraId="5410EF3A">
        <w:tblPrEx>
          <w:tblCellMar>
            <w:top w:w="0" w:type="dxa"/>
            <w:left w:w="108" w:type="dxa"/>
            <w:bottom w:w="0" w:type="dxa"/>
            <w:right w:w="108" w:type="dxa"/>
          </w:tblCellMar>
        </w:tblPrEx>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3E118232">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电缆抗拉强度</w:t>
            </w:r>
          </w:p>
        </w:tc>
        <w:tc>
          <w:tcPr>
            <w:tcW w:w="7291" w:type="dxa"/>
            <w:gridSpan w:val="2"/>
            <w:tcBorders>
              <w:top w:val="single" w:color="auto" w:sz="4" w:space="0"/>
              <w:left w:val="single" w:color="auto" w:sz="4" w:space="0"/>
              <w:bottom w:val="single" w:color="auto" w:sz="4" w:space="0"/>
              <w:right w:val="single" w:color="auto" w:sz="4" w:space="0"/>
            </w:tcBorders>
            <w:noWrap/>
            <w:vAlign w:val="center"/>
          </w:tcPr>
          <w:p w14:paraId="1A55A844">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≥200千克力</w:t>
            </w:r>
          </w:p>
        </w:tc>
      </w:tr>
      <w:tr w14:paraId="7F19D50C">
        <w:tblPrEx>
          <w:tblCellMar>
            <w:top w:w="0" w:type="dxa"/>
            <w:left w:w="108" w:type="dxa"/>
            <w:bottom w:w="0" w:type="dxa"/>
            <w:right w:w="108" w:type="dxa"/>
          </w:tblCellMar>
        </w:tblPrEx>
        <w:trPr>
          <w:trHeight w:val="48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7B1E11B6">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电缆长度</w:t>
            </w:r>
          </w:p>
        </w:tc>
        <w:tc>
          <w:tcPr>
            <w:tcW w:w="7291" w:type="dxa"/>
            <w:gridSpan w:val="2"/>
            <w:tcBorders>
              <w:top w:val="single" w:color="auto" w:sz="4" w:space="0"/>
              <w:left w:val="single" w:color="auto" w:sz="4" w:space="0"/>
              <w:bottom w:val="single" w:color="auto" w:sz="4" w:space="0"/>
              <w:right w:val="single" w:color="auto" w:sz="4" w:space="0"/>
            </w:tcBorders>
            <w:noWrap/>
            <w:vAlign w:val="center"/>
          </w:tcPr>
          <w:p w14:paraId="67DC5BEF">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推杆式≥30米，爬行器式≥120米</w:t>
            </w:r>
          </w:p>
        </w:tc>
      </w:tr>
    </w:tbl>
    <w:p w14:paraId="7BA871BF">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2.13.3 检测设备结构坚固，密封良好，能在-10°C至+50°C的气温条件下和潮湿的环境中正常工作，宜配有防爆系统和防水系统。</w:t>
      </w:r>
    </w:p>
    <w:p w14:paraId="1754F9A7">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2.13.4 实施管道结构性检测的摄像头宜具备旋转/仰俯功能，以满足侧向摄影要求。</w:t>
      </w:r>
    </w:p>
    <w:p w14:paraId="3BECFB19">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2.13.5 检测设备须具备距离计数功能，电缆计数测量仪最低计量单位为0.1m，精度误差不大于0.3m或±1%。</w:t>
      </w:r>
    </w:p>
    <w:p w14:paraId="069763C0">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2.13.6 电缆长度120米时，爬行器的爬坡能力应大于5度。</w:t>
      </w:r>
    </w:p>
    <w:p w14:paraId="5B632A20">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2.13.7 检测设备应符合现行的国家标准《爆炸性气体环境用电气设备》GB3836的有关规定。</w:t>
      </w:r>
    </w:p>
    <w:p w14:paraId="7562D49B">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2.13.8 对新购置的或经过大修及长期停用后重新启用的设备，应按说明书的要求进行检查和校正。</w:t>
      </w:r>
    </w:p>
    <w:p w14:paraId="7CFF3F12">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2.14 影像资料要求：</w:t>
      </w:r>
    </w:p>
    <w:p w14:paraId="4F4AB2EA">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2.14.1 缺陷的类型和代码宜在现场确认并记录。现场检测完毕后，应由第二者根据</w:t>
      </w:r>
      <w:r>
        <w:rPr>
          <w:rFonts w:hint="eastAsia" w:ascii="仿宋" w:hAnsi="仿宋" w:eastAsia="仿宋" w:cs="仿宋"/>
          <w:bCs/>
          <w:color w:val="auto"/>
          <w:sz w:val="24"/>
          <w:szCs w:val="24"/>
          <w:highlight w:val="none"/>
          <w:lang w:eastAsia="zh-CN"/>
        </w:rPr>
        <w:t>录像</w:t>
      </w:r>
      <w:r>
        <w:rPr>
          <w:rFonts w:hint="eastAsia" w:ascii="仿宋" w:hAnsi="仿宋" w:eastAsia="仿宋" w:cs="仿宋"/>
          <w:bCs/>
          <w:color w:val="auto"/>
          <w:sz w:val="24"/>
          <w:szCs w:val="24"/>
          <w:highlight w:val="none"/>
        </w:rPr>
        <w:t>复核。</w:t>
      </w:r>
    </w:p>
    <w:p w14:paraId="09CB8B0D">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2.14.2 缺陷的几何尺寸应比照管径或相关物体的尺寸判定。</w:t>
      </w:r>
    </w:p>
    <w:p w14:paraId="6F428D77">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2.14.3 对无法确定的缺陷类型或等级必须在评估报告中加以说明。</w:t>
      </w:r>
    </w:p>
    <w:p w14:paraId="1DA72154">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2.14.4 缺陷图片应采用现场抓取最佳角度和最清晰图片的方式，特殊情况下也可采用观看录像抓取图片方式。</w:t>
      </w:r>
    </w:p>
    <w:p w14:paraId="71E5D82F">
      <w:pPr>
        <w:autoSpaceDE w:val="0"/>
        <w:autoSpaceDN w:val="0"/>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3.管道疏通要求</w:t>
      </w:r>
    </w:p>
    <w:p w14:paraId="581E42D3">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通过对排水管道进行疏通养护，可有效的避免污水漫溢及道路积水，确保人们的正常的生产和生活，同时对城市的雨季抗洪提供重要的基础条件。</w:t>
      </w:r>
    </w:p>
    <w:p w14:paraId="38472088">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3.1排水管道疏通方法</w:t>
      </w:r>
    </w:p>
    <w:p w14:paraId="21A4DD11">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排水管道疏通就是清除排水管道内的垃圾和沉积积泥等物体，保障管道排水畅通。其根据疏通方式不同可分为机械疏通、水力疏通以及人工疏通等方法。</w:t>
      </w:r>
    </w:p>
    <w:p w14:paraId="1FBAFCAF">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3.1.1推杆和转杆疏通</w:t>
      </w:r>
    </w:p>
    <w:p w14:paraId="24605B92">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推杆疏通就是用人力将竹片、钢条等工具推入管道内清除堵塞的疏通方法；钻杆疏通就是是采用旋转疏通杆的方式来清除管道堵塞的疏通方法，又称为软轴疏通或弹簧疏通。</w:t>
      </w:r>
    </w:p>
    <w:p w14:paraId="1C49BC08">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转杆疏通机按动力不同可分为手动、电动和内燃机几种，目前我国生产的只有手动和电动二种，电动疏通机在室外使用时供电比较麻烦。转杆机配有不同功能的钻头，用以疏通树根、泥沙、布条等不同堵塞物，其效果比推杆疏通更好。</w:t>
      </w:r>
    </w:p>
    <w:p w14:paraId="398A76E0">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通沟钢条 转杆疏通机</w:t>
      </w:r>
    </w:p>
    <w:p w14:paraId="33A577D0">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3.1.2射水疏通</w:t>
      </w:r>
    </w:p>
    <w:p w14:paraId="786BDC12">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射水疏通是指采用高压射水清通管道的疏通方法。其效率高、疏通质量好，近20年来在我国许多城市已逐步被采用。射水疏通在支管等小型管中效果特别好。在非满管的情况下能彻底清除管壁油垢和管道污泥。如果装上一种带旋转链条的特殊喷头，还可以清除管内固结的水泥浆。联合吸污车在射水 可清除水泥浆的射水喷头</w:t>
      </w:r>
    </w:p>
    <w:p w14:paraId="4337293F">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3.1.3绞车疏通</w:t>
      </w:r>
    </w:p>
    <w:p w14:paraId="095151E8">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绞车疏通是许多城市的排水管道主要疏通方法。其主要设备包括绞车、滑轮架和通沟牛。绞车可分为手动和机动二种；其主要原理为通过沟牛在管道内的来回移动，将积泥清理至检查井内，然后将积泥捞出，运送至垃圾填埋场。</w:t>
      </w:r>
    </w:p>
    <w:p w14:paraId="45159E1C">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3.1.4水力疏通</w:t>
      </w:r>
    </w:p>
    <w:p w14:paraId="3302F1C0">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水力疏通就是采用提高管渠上下游水位差，加大流速来疏通管渠的一种方法。其要求管道疏通必须达到0.7m/s左右的自清流速。对于目前城 绞车、滑轮架和通沟牛 沈阳的机动绞车 不同通的沟牛市的排水管道来说，除靠近泵站的少数管道外，大部分管道内水流无法达到此流速，因此无法进行管道的水力疏通。</w:t>
      </w:r>
    </w:p>
    <w:p w14:paraId="12181089">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3.1.5人工疏通</w:t>
      </w:r>
    </w:p>
    <w:p w14:paraId="47BCEB1C">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人工疏通就是由作业人员直接进入管道内进行管道清理作业的方法，其主要适用于大型管道</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管道直径不小于800mm）的疏通作业。人工疏通效果好，但存在安全隐患。</w:t>
      </w:r>
    </w:p>
    <w:p w14:paraId="1C3FED61">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3.2排水管道疏通方法的选择</w:t>
      </w:r>
    </w:p>
    <w:p w14:paraId="4361E482">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于管道疏通方法的选择需考虑各种因素，包括管径、管内的沉积深度以及沉积性质，还包括一些外部的环境等。但我们在管道疏通过程中可根据管道内部实际沉积状况和实际条件，遵循水力疏通—射水疏通—绞车疏通—推杆和转杆疏通—人工疏通的先后顺序选择疏通方法。也可以根据现实情况在上述方法中进行组合选择，确保选择最省时、省力和费用最低的方法。</w:t>
      </w:r>
    </w:p>
    <w:p w14:paraId="5491AB0E">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3.3排水管道疏通施工</w:t>
      </w:r>
    </w:p>
    <w:p w14:paraId="14A9204D">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3.3.1施工流程</w:t>
      </w:r>
    </w:p>
    <w:p w14:paraId="4DB8A94F">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收集原有管线资料和施工现场查勘：由养护人员根据收集到的管线资料，对施工现场进行勘探并且记录，为施工准备工程计划及施工现场安全维护</w:t>
      </w:r>
    </w:p>
    <w:p w14:paraId="04BA51B8">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为保障现场施工安全，在进行管道疏通施工前，需对施工现场进行全封闭的安全维护。由于施工现场为一般的临时性维护，因此所采用的安全维护装备主要为施工护栏、三角护锥以及警戒带等，现场安全维护方式如下：</w:t>
      </w:r>
    </w:p>
    <w:p w14:paraId="43B09D76">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3.3.2管道封堵及排水施工：</w:t>
      </w:r>
    </w:p>
    <w:p w14:paraId="3BC44E91">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按照排水管道封堵技术要求，对于需要清淤的管道采用橡皮管塞或砖墙进行临时封堵，封堵遵循先上游后下游的封堵方式进行施工。待管道封堵完成后，使用水泵将封堵范围内管道内部的积水临时排至下游管网内。</w:t>
      </w:r>
    </w:p>
    <w:p w14:paraId="1C797373">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3.3.3窖井清捞：</w:t>
      </w:r>
    </w:p>
    <w:p w14:paraId="1CB5FBEB">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将窖井内的垃圾和石头等杂物捞出外运；</w:t>
      </w:r>
    </w:p>
    <w:p w14:paraId="31193FA8">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3.3.4管道清洗疏通：</w:t>
      </w:r>
    </w:p>
    <w:p w14:paraId="4E274C01">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使用高压射水车，通过高压射水的强大压力，通过高压射水头在管道内的来回移动，使高压水流不断冲洗管壁，将管道内部的淤泥清理至检查井内，从而达到彻底清理管壁的效果，确保清洗后管壁无残留物，高压射水车的工作原理如下：高压射水清洗：另外管道堵点在清洗后达到水流畅通，对于管道堵塞严重的点，必要时配合绞车或人工疏通进行。其中对于一些大型管道</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包括特大型管道），由于其管径较大，因此高压射水疏通堵点达不到预期的效果，对于此类型的管道堵点疏通采用绞车疏通方式进行。绞车疏通：在管道两端分别设臵绞车，管道内放臵通沟牛，通过绞车在管道两段来回牵引通沟牛，将管道内的淤泥分别清理至管道两端的检查井内，在管道内淤泥基本清理完成后，再使用高压射水车将管道内壁清洗干净。</w:t>
      </w:r>
    </w:p>
    <w:p w14:paraId="0D7DDD38">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3.3.5淤泥外运：</w:t>
      </w:r>
    </w:p>
    <w:p w14:paraId="45364C74">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当管道清洗完成后，在检查井内气体符合安全要求后，由施工人员佩戴自供气式呼吸面具进入检查井，先使用高压射水对检查井井壁进行仔细清洗，然后将检查井内原有的以及由排水管道内清理出的垃圾、淤泥等杂物捞出至地面，确保检查井干净、见底、无残留物。所有淤泥垃圾必须装袋并转运至建设方制定的淤泥堆放地点；</w:t>
      </w:r>
    </w:p>
    <w:p w14:paraId="363C27F7">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3.3.6拆封通水：</w:t>
      </w:r>
    </w:p>
    <w:p w14:paraId="337E7795">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管道疏通完成后，将管道封堵拆除，保持水流畅通。</w:t>
      </w:r>
    </w:p>
    <w:p w14:paraId="7F07F697">
      <w:pPr>
        <w:autoSpaceDE w:val="0"/>
        <w:autoSpaceDN w:val="0"/>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4.管道疏通可达到的质量要求</w:t>
      </w:r>
    </w:p>
    <w:p w14:paraId="5E8CA044">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管道畅通无阻，每次清淤疏通后管内积淤深度不能超过1/5管径；</w:t>
      </w:r>
    </w:p>
    <w:p w14:paraId="68D38C73">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窨井内无硬块杂物，井内四壁清洁；</w:t>
      </w:r>
    </w:p>
    <w:p w14:paraId="344F382B">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窨井盖框平稳不动摇、无缺损、无安全隐患、无渗漏。</w:t>
      </w:r>
    </w:p>
    <w:p w14:paraId="373370C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下水道疏通清理一般遵循由下而上的原则，即清理从排水流向的下游开始，逐渐向上游推进。管道和窨井的疏通、清捞、调换窨井盖及清淤时产生的污泥进行装车、输送到指定处理厂或填埋点。管道的清洗疏通按照施工流程进行操作，以保障施工的质量。管道疏通完成后，采用新科技、新设备对疏通管段进行质量检查，如采用声纳或CCTV对管道进行质量检查，确保工程质量达标。</w:t>
      </w:r>
    </w:p>
    <w:p w14:paraId="05399629">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4.1特殊工程施工措施</w:t>
      </w:r>
    </w:p>
    <w:p w14:paraId="045890FB">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4.1.1管道封堵：</w:t>
      </w:r>
    </w:p>
    <w:p w14:paraId="1BD91830">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由专业潜水员对管道实施封堵，封堵的顺序为先对管道上游实施封堵，再对管道下游进行封堵，必要时还需对沿线排水支管进行临时封堵。</w:t>
      </w:r>
    </w:p>
    <w:p w14:paraId="7279E8D4">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4.1.2管道清洗疏通：</w:t>
      </w:r>
    </w:p>
    <w:p w14:paraId="26F2D0A3">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在管道清洗疏通过程中，结合管道内部情况，对于硬质水泥结块等射水疏通无法清理的，辅以人工进行疏通。</w:t>
      </w:r>
    </w:p>
    <w:p w14:paraId="4EF807AE">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4.1.3淤泥外运：</w:t>
      </w:r>
    </w:p>
    <w:p w14:paraId="604D3BFD">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为保障环境整洁，所有疏通淤泥必须清运至垃圾填埋场，且保证在运输过程中路面无散落。拟采用罐式运输车进行淤泥外运。</w:t>
      </w:r>
      <w:bookmarkStart w:id="23" w:name="_Toc24483"/>
    </w:p>
    <w:p w14:paraId="76FF8769">
      <w:pPr>
        <w:autoSpaceDE w:val="0"/>
        <w:autoSpaceDN w:val="0"/>
        <w:spacing w:line="360" w:lineRule="auto"/>
        <w:ind w:firstLine="241" w:firstLineChars="1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八、项目成果</w:t>
      </w:r>
      <w:bookmarkEnd w:id="23"/>
    </w:p>
    <w:p w14:paraId="5EFF952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完成本项目的实施后，根据采购人的要求，提供书面及电子版本的成果文件。在项目实施过程中，要求投标单位每完成一个区域的检测后，即时出具本区域的成果报告，以便采购人安排其他工作的开展。在项目全部实施完成后，出具完整的最终成果报告，成果报告包括应包括成果表数据、检测录像数据、 缺陷照片数据、 缺陷分布图数据、技术设计书、检测报告书等。书面资料数量：一式陆份。  </w:t>
      </w:r>
    </w:p>
    <w:p w14:paraId="16318AB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outlineLvl w:val="1"/>
        <w:rPr>
          <w:rFonts w:ascii="仿宋" w:hAnsi="仿宋" w:eastAsia="仿宋" w:cs="仿宋"/>
          <w:b/>
          <w:color w:val="auto"/>
          <w:sz w:val="24"/>
          <w:szCs w:val="24"/>
          <w:highlight w:val="none"/>
        </w:rPr>
      </w:pPr>
      <w:bookmarkStart w:id="24" w:name="_Toc222"/>
      <w:r>
        <w:rPr>
          <w:rFonts w:hint="eastAsia" w:ascii="仿宋" w:hAnsi="仿宋" w:eastAsia="仿宋" w:cs="仿宋"/>
          <w:b/>
          <w:color w:val="auto"/>
          <w:sz w:val="24"/>
          <w:szCs w:val="24"/>
          <w:highlight w:val="none"/>
        </w:rPr>
        <w:t>九、检测及维修处置进度要求</w:t>
      </w:r>
      <w:bookmarkEnd w:id="24"/>
    </w:p>
    <w:p w14:paraId="1308C33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单位须安排人员，在任务单规定时间内完成所有项目的检测，在完成检测后10个工作日内出具相应的成果报告及影像资料等。根据检测报告和任务单及时安排维修施工作业，待修复完成后再行安排CCTV复检，直至合格。</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同一故障点的CCTV复检不另行计费，复检须出具相应的成果报告及影像资料等）</w:t>
      </w:r>
    </w:p>
    <w:p w14:paraId="76B141D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十、考核标准</w:t>
      </w:r>
    </w:p>
    <w:p w14:paraId="4B46C247">
      <w:pPr>
        <w:pStyle w:val="52"/>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b w:val="0"/>
          <w:bCs/>
          <w:color w:val="auto"/>
          <w:sz w:val="24"/>
          <w:szCs w:val="24"/>
          <w:highlight w:val="none"/>
        </w:rPr>
      </w:pPr>
      <w:r>
        <w:rPr>
          <w:rFonts w:hint="eastAsia" w:ascii="仿宋" w:hAnsi="仿宋" w:eastAsia="仿宋" w:cs="仿宋"/>
          <w:bCs/>
          <w:color w:val="auto"/>
          <w:kern w:val="2"/>
          <w:sz w:val="24"/>
          <w:szCs w:val="24"/>
          <w:highlight w:val="none"/>
          <w:lang w:val="en-US" w:eastAsia="zh-CN" w:bidi="ar-SA"/>
        </w:rPr>
        <w:t>按照吴兴区公用事业管理中心市政（管网）考核表（最新版）执行，如后期相关作业标准和考核有新要求，乙方应无条件服从。</w:t>
      </w:r>
    </w:p>
    <w:p w14:paraId="08AFB41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outlineLvl w:val="1"/>
        <w:rPr>
          <w:rFonts w:hint="eastAsia" w:ascii="仿宋" w:hAnsi="仿宋" w:eastAsia="仿宋" w:cs="仿宋"/>
          <w:b/>
          <w:color w:val="auto"/>
          <w:sz w:val="24"/>
          <w:szCs w:val="24"/>
          <w:highlight w:val="none"/>
        </w:rPr>
      </w:pPr>
      <w:bookmarkStart w:id="25" w:name="_Toc3656"/>
      <w:r>
        <w:rPr>
          <w:rFonts w:hint="eastAsia" w:ascii="仿宋" w:hAnsi="仿宋" w:eastAsia="仿宋" w:cs="仿宋"/>
          <w:b/>
          <w:color w:val="auto"/>
          <w:sz w:val="24"/>
          <w:szCs w:val="24"/>
          <w:highlight w:val="none"/>
        </w:rPr>
        <w:t>十一、其他要求</w:t>
      </w:r>
      <w:bookmarkEnd w:id="25"/>
    </w:p>
    <w:p w14:paraId="175B9761">
      <w:pPr>
        <w:autoSpaceDE w:val="0"/>
        <w:autoSpaceDN w:val="0"/>
        <w:spacing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1、如招标人有任务安排或需处理的事宜，投标单位须在承诺时间内到达现场配合招标人工作</w:t>
      </w:r>
      <w:r>
        <w:rPr>
          <w:rFonts w:hint="eastAsia" w:ascii="仿宋" w:hAnsi="仿宋" w:eastAsia="仿宋" w:cs="仿宋"/>
          <w:bCs/>
          <w:color w:val="auto"/>
          <w:sz w:val="24"/>
          <w:szCs w:val="24"/>
          <w:highlight w:val="none"/>
          <w:lang w:eastAsia="zh-CN"/>
        </w:rPr>
        <w:t>。</w:t>
      </w:r>
    </w:p>
    <w:p w14:paraId="79BDFDAF">
      <w:pPr>
        <w:pStyle w:val="3"/>
        <w:spacing w:line="360" w:lineRule="auto"/>
        <w:jc w:val="left"/>
        <w:rPr>
          <w:rFonts w:hint="default" w:eastAsia="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2 </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中标单位在中标后15天内，在湖州市吴兴区范围内设立项目部。</w:t>
      </w:r>
    </w:p>
    <w:p w14:paraId="7E20C892">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、未尽事宜以招投标文件和最终签订的合同约定为准。</w:t>
      </w:r>
    </w:p>
    <w:p w14:paraId="51F8777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outlineLvl w:val="1"/>
        <w:rPr>
          <w:rFonts w:hint="eastAsia" w:ascii="仿宋" w:hAnsi="仿宋" w:eastAsia="仿宋" w:cs="仿宋"/>
          <w:b/>
          <w:color w:val="auto"/>
          <w:sz w:val="24"/>
          <w:szCs w:val="24"/>
          <w:highlight w:val="none"/>
        </w:rPr>
      </w:pPr>
      <w:bookmarkStart w:id="26" w:name="_Toc30763"/>
      <w:r>
        <w:rPr>
          <w:rFonts w:hint="eastAsia" w:ascii="仿宋" w:hAnsi="仿宋" w:eastAsia="仿宋" w:cs="仿宋"/>
          <w:b/>
          <w:color w:val="auto"/>
          <w:sz w:val="24"/>
          <w:szCs w:val="24"/>
          <w:highlight w:val="none"/>
        </w:rPr>
        <w:t>十二、项目服务周期</w:t>
      </w:r>
      <w:bookmarkEnd w:id="26"/>
    </w:p>
    <w:p w14:paraId="431EA165">
      <w:pPr>
        <w:autoSpaceDE w:val="0"/>
        <w:autoSpaceDN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自合同签订生效之日起计算，服务期达到2年或者中标人实施实际产生的费用达到500万元时终止本项目合同。</w:t>
      </w:r>
    </w:p>
    <w:p w14:paraId="49A7D91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outlineLvl w:val="1"/>
        <w:rPr>
          <w:rFonts w:hint="eastAsia" w:ascii="仿宋" w:hAnsi="仿宋" w:eastAsia="仿宋" w:cs="仿宋"/>
          <w:b/>
          <w:color w:val="auto"/>
          <w:sz w:val="24"/>
          <w:szCs w:val="24"/>
          <w:highlight w:val="none"/>
        </w:rPr>
      </w:pPr>
      <w:bookmarkStart w:id="27" w:name="_Toc5074"/>
      <w:r>
        <w:rPr>
          <w:rFonts w:hint="eastAsia" w:ascii="仿宋" w:hAnsi="仿宋" w:eastAsia="仿宋" w:cs="仿宋"/>
          <w:b/>
          <w:color w:val="auto"/>
          <w:sz w:val="24"/>
          <w:szCs w:val="24"/>
          <w:highlight w:val="none"/>
        </w:rPr>
        <w:t>十三、结算方式</w:t>
      </w:r>
      <w:bookmarkEnd w:id="27"/>
    </w:p>
    <w:p w14:paraId="0EC011BD">
      <w:pPr>
        <w:autoSpaceDE w:val="0"/>
        <w:autoSpaceDN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本项目中维修处置及检测等结算按以下两种方式执行。</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结算费用=下浮前总价*中标折扣，最终结算以审计为准）</w:t>
      </w:r>
    </w:p>
    <w:p w14:paraId="01579CBA">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一）套用定额计价方式：</w:t>
      </w:r>
    </w:p>
    <w:p w14:paraId="0BB2144D">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1、有关定额、规范等依据：</w:t>
      </w:r>
    </w:p>
    <w:p w14:paraId="2F15E9F4">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1）《浙江省市政设施养护维修预算定额》</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w:t>
      </w:r>
    </w:p>
    <w:p w14:paraId="7072B48A">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2）《建设工程工程量清单计价规范》</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GB50500-2013）及建设工程工程量计算规范</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2013）浙江省补充规定</w:t>
      </w:r>
    </w:p>
    <w:p w14:paraId="25416373">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3）《市政工程工程量计算规范》</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GB50857-2013）</w:t>
      </w:r>
    </w:p>
    <w:p w14:paraId="721C688C">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4）《浙江省市政工程预算定额》</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w:t>
      </w:r>
    </w:p>
    <w:p w14:paraId="6BC3608B">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5）《浙江省建设工程计价规则》</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w:t>
      </w:r>
    </w:p>
    <w:p w14:paraId="7CBD3ECA">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2、取费标准：</w:t>
      </w:r>
    </w:p>
    <w:p w14:paraId="681DB1F8">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1）本项目按市政工程取费。</w:t>
      </w:r>
    </w:p>
    <w:p w14:paraId="3CE79F79">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2）企业管理费、利润根据《浙江省建设工程计价规则》</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2018版）规定，按照控制价编制口径，以中间值计取。</w:t>
      </w:r>
    </w:p>
    <w:p w14:paraId="3CC65AA8">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3）施工组织措施项目费根据《浙江省建设工程计价规则》</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2018版）规定的市政土建工程中间值计取，其中安全文本施工基本费按非市区工程计取。</w:t>
      </w:r>
    </w:p>
    <w:p w14:paraId="07585DD4">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4）规费：其费率根据《浙江省建设工程计价规则》</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2018版）规定计取。</w:t>
      </w:r>
    </w:p>
    <w:p w14:paraId="22B20FF6">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5）税金按增值税</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按一般计税方法）计取，根据浙建建发[2019]92号规定费率按9%计取。税率政策有调整的按实计取。</w:t>
      </w:r>
    </w:p>
    <w:p w14:paraId="1F434F2B">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6）标化工地增加费及其他项目费</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优质工程增加费及施工总承包服务费）不计。</w:t>
      </w:r>
    </w:p>
    <w:p w14:paraId="3F9947F5">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3、造价信息：</w:t>
      </w:r>
    </w:p>
    <w:p w14:paraId="197A3DDA">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材料价格参照《湖州市建设工程造价信息》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施工期当月或跨月取平均）及同期《浙江造价信息》，人工价格参照《湖州市建设工程造价信息》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施工期当月或跨月取平均）。基本原则为参照《湖州市建设工程造价信息》中湖州市区栏，湖州市区栏没有的参照同期《浙江造价信息》。</w:t>
      </w:r>
    </w:p>
    <w:p w14:paraId="04397B51">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二）无法套用定额的计价方式：按实际发生的人工、材料、机械计取，工程量按监理、业主签证为准，人工、材料、机械按当月信息价计，没有信息价的按市场价计，该费用只计取税金。</w:t>
      </w:r>
    </w:p>
    <w:p w14:paraId="53954F24">
      <w:pPr>
        <w:autoSpaceDE w:val="0"/>
        <w:autoSpaceDN w:val="0"/>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注：1.运输各类人员至现场施工的车辆不计台班。</w:t>
      </w:r>
    </w:p>
    <w:p w14:paraId="54C6EF21">
      <w:pPr>
        <w:autoSpaceDE w:val="0"/>
        <w:autoSpaceDN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.实际完成工程量</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含应急期间备勤待命人员及作业车辆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由施工方上报甲方、监理、审计，经三方审核确认为准。</w:t>
      </w:r>
    </w:p>
    <w:p w14:paraId="5E90942C">
      <w:pPr>
        <w:autoSpaceDE w:val="0"/>
        <w:autoSpaceDN w:val="0"/>
        <w:spacing w:line="360" w:lineRule="auto"/>
        <w:ind w:firstLine="241" w:firstLineChars="100"/>
        <w:rPr>
          <w:rFonts w:hint="eastAsia" w:ascii="仿宋" w:hAnsi="仿宋" w:eastAsia="仿宋" w:cs="仿宋"/>
          <w:b/>
          <w:bCs w:val="0"/>
          <w:color w:val="auto"/>
          <w:sz w:val="24"/>
          <w:highlight w:val="none"/>
        </w:rPr>
      </w:pPr>
      <w:bookmarkStart w:id="28" w:name="_Toc17885"/>
      <w:r>
        <w:rPr>
          <w:rFonts w:hint="eastAsia" w:ascii="仿宋" w:hAnsi="仿宋" w:eastAsia="仿宋" w:cs="仿宋"/>
          <w:b/>
          <w:bCs w:val="0"/>
          <w:color w:val="auto"/>
          <w:sz w:val="24"/>
          <w:highlight w:val="none"/>
        </w:rPr>
        <w:t>十四、商务响应表</w:t>
      </w:r>
      <w:bookmarkEnd w:id="28"/>
    </w:p>
    <w:tbl>
      <w:tblPr>
        <w:tblStyle w:val="21"/>
        <w:tblW w:w="95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2"/>
        <w:gridCol w:w="7747"/>
      </w:tblGrid>
      <w:tr w14:paraId="5300C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1792" w:type="dxa"/>
            <w:tcBorders>
              <w:top w:val="single" w:color="auto" w:sz="4" w:space="0"/>
              <w:left w:val="single" w:color="auto" w:sz="4" w:space="0"/>
              <w:bottom w:val="single" w:color="auto" w:sz="4" w:space="0"/>
              <w:right w:val="single" w:color="auto" w:sz="4" w:space="0"/>
            </w:tcBorders>
            <w:vAlign w:val="center"/>
          </w:tcPr>
          <w:p w14:paraId="217197A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服务期限</w:t>
            </w:r>
          </w:p>
        </w:tc>
        <w:tc>
          <w:tcPr>
            <w:tcW w:w="7747" w:type="dxa"/>
            <w:tcBorders>
              <w:top w:val="single" w:color="auto" w:sz="4" w:space="0"/>
              <w:left w:val="single" w:color="auto" w:sz="4" w:space="0"/>
              <w:bottom w:val="single" w:color="auto" w:sz="4" w:space="0"/>
              <w:right w:val="single" w:color="auto" w:sz="4" w:space="0"/>
            </w:tcBorders>
            <w:vAlign w:val="center"/>
          </w:tcPr>
          <w:p w14:paraId="684CFE4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自合同签订生效之日起2年止）</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szCs w:val="24"/>
                <w:highlight w:val="none"/>
              </w:rPr>
              <w:t>乙方实施实际产生的费用达到500万元时终止本合同</w:t>
            </w:r>
          </w:p>
        </w:tc>
      </w:tr>
      <w:tr w14:paraId="7C338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792" w:type="dxa"/>
            <w:tcBorders>
              <w:top w:val="single" w:color="auto" w:sz="4" w:space="0"/>
              <w:left w:val="single" w:color="auto" w:sz="4" w:space="0"/>
              <w:bottom w:val="single" w:color="auto" w:sz="4" w:space="0"/>
              <w:right w:val="single" w:color="auto" w:sz="4" w:space="0"/>
            </w:tcBorders>
            <w:vAlign w:val="center"/>
          </w:tcPr>
          <w:p w14:paraId="5B1E6AF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服务地点</w:t>
            </w:r>
          </w:p>
        </w:tc>
        <w:tc>
          <w:tcPr>
            <w:tcW w:w="7747" w:type="dxa"/>
            <w:tcBorders>
              <w:top w:val="single" w:color="auto" w:sz="4" w:space="0"/>
              <w:left w:val="single" w:color="auto" w:sz="4" w:space="0"/>
              <w:bottom w:val="single" w:color="auto" w:sz="4" w:space="0"/>
              <w:right w:val="single" w:color="auto" w:sz="4" w:space="0"/>
            </w:tcBorders>
            <w:vAlign w:val="center"/>
          </w:tcPr>
          <w:p w14:paraId="488F516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采购人指定地点</w:t>
            </w:r>
          </w:p>
        </w:tc>
      </w:tr>
      <w:tr w14:paraId="05E93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5" w:hRule="atLeast"/>
          <w:jc w:val="center"/>
        </w:trPr>
        <w:tc>
          <w:tcPr>
            <w:tcW w:w="1792" w:type="dxa"/>
            <w:tcBorders>
              <w:top w:val="single" w:color="auto" w:sz="4" w:space="0"/>
              <w:left w:val="single" w:color="auto" w:sz="4" w:space="0"/>
              <w:bottom w:val="single" w:color="auto" w:sz="4" w:space="0"/>
              <w:right w:val="single" w:color="auto" w:sz="4" w:space="0"/>
            </w:tcBorders>
            <w:vAlign w:val="center"/>
          </w:tcPr>
          <w:p w14:paraId="0B6966C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付款条件</w:t>
            </w:r>
          </w:p>
        </w:tc>
        <w:tc>
          <w:tcPr>
            <w:tcW w:w="7747" w:type="dxa"/>
            <w:tcBorders>
              <w:top w:val="single" w:color="auto" w:sz="4" w:space="0"/>
              <w:left w:val="single" w:color="auto" w:sz="4" w:space="0"/>
              <w:bottom w:val="single" w:color="auto" w:sz="4" w:space="0"/>
              <w:right w:val="single" w:color="auto" w:sz="4" w:space="0"/>
            </w:tcBorders>
            <w:vAlign w:val="center"/>
          </w:tcPr>
          <w:p w14:paraId="6076BBE8">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ascii="仿宋" w:hAnsi="仿宋" w:eastAsia="仿宋"/>
                <w:color w:val="auto"/>
                <w:sz w:val="24"/>
                <w:highlight w:val="none"/>
              </w:rPr>
            </w:pPr>
            <w:r>
              <w:rPr>
                <w:rFonts w:hint="eastAsia" w:ascii="仿宋" w:hAnsi="仿宋" w:eastAsia="仿宋"/>
                <w:color w:val="auto"/>
                <w:sz w:val="24"/>
                <w:highlight w:val="none"/>
              </w:rPr>
              <w:t>合同总价分为三部分：常规巡检、维修处置、管道检测。</w:t>
            </w:r>
          </w:p>
          <w:p w14:paraId="16FC3204">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ascii="仿宋" w:hAnsi="仿宋" w:eastAsia="仿宋"/>
                <w:color w:val="auto"/>
                <w:sz w:val="24"/>
                <w:highlight w:val="none"/>
              </w:rPr>
            </w:pPr>
            <w:r>
              <w:rPr>
                <w:rFonts w:hint="eastAsia" w:ascii="仿宋" w:hAnsi="仿宋" w:eastAsia="仿宋"/>
                <w:color w:val="auto"/>
                <w:sz w:val="24"/>
                <w:highlight w:val="none"/>
              </w:rPr>
              <w:t>每满6个月进行审计，结合考核扣款情况，支付维修处置、管道检测部分审定价的80%及当期常规巡检费，剩余款项待合同期满后付清。</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预付款在第一期付款中一次性扣回。）</w:t>
            </w:r>
          </w:p>
          <w:p w14:paraId="07B638DA">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olor w:val="auto"/>
                <w:sz w:val="24"/>
                <w:highlight w:val="none"/>
              </w:rPr>
            </w:pPr>
            <w:r>
              <w:rPr>
                <w:rFonts w:hint="eastAsia" w:ascii="仿宋" w:hAnsi="仿宋" w:eastAsia="仿宋"/>
                <w:color w:val="auto"/>
                <w:sz w:val="24"/>
                <w:highlight w:val="none"/>
              </w:rPr>
              <w:t>注：</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其中常规巡检为固定总价25万,签订合同乙方进场后，甲方向乙方支付预付款，预付款为合同总价中常规巡检部分的40%，即10万元。如合同签订待上级财政资金到位后进行支付，若中标供应商明确表示无需预付款或者主动要求降低预付款比例的，采购人可不适用前述规定。</w:t>
            </w:r>
          </w:p>
          <w:p w14:paraId="7BA09EA2">
            <w:pPr>
              <w:pStyle w:val="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eastAsia="仿宋"/>
                <w:color w:val="auto"/>
                <w:highlight w:val="none"/>
                <w:lang w:val="en-US" w:eastAsia="zh-CN"/>
              </w:rPr>
            </w:pPr>
            <w:r>
              <w:rPr>
                <w:rFonts w:hint="eastAsia" w:ascii="仿宋" w:hAnsi="仿宋" w:eastAsia="仿宋"/>
                <w:color w:val="auto"/>
                <w:sz w:val="24"/>
                <w:highlight w:val="none"/>
                <w:lang w:val="en-US" w:eastAsia="zh-CN"/>
              </w:rPr>
              <w:t>2、具体付款以财政拨款为准。</w:t>
            </w:r>
          </w:p>
        </w:tc>
      </w:tr>
    </w:tbl>
    <w:p w14:paraId="691EDF3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仿宋" w:hAnsi="仿宋" w:eastAsia="仿宋"/>
          <w:color w:val="auto"/>
          <w:sz w:val="24"/>
          <w:highlight w:val="none"/>
        </w:rPr>
      </w:pPr>
      <w:r>
        <w:rPr>
          <w:rFonts w:hint="eastAsia" w:ascii="仿宋" w:hAnsi="仿宋" w:eastAsia="仿宋"/>
          <w:color w:val="auto"/>
          <w:sz w:val="24"/>
          <w:highlight w:val="none"/>
        </w:rPr>
        <w:t xml:space="preserve">注：扶持政策说明： </w:t>
      </w:r>
    </w:p>
    <w:p w14:paraId="53B8C9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1、本项目采购标的对应的中小企业划分标准所属行业为</w:t>
      </w:r>
      <w:r>
        <w:rPr>
          <w:rFonts w:hint="eastAsia" w:ascii="仿宋" w:hAnsi="仿宋" w:eastAsia="仿宋"/>
          <w:b/>
          <w:bCs/>
          <w:color w:val="auto"/>
          <w:sz w:val="24"/>
          <w:szCs w:val="24"/>
          <w:highlight w:val="none"/>
          <w:u w:val="single"/>
        </w:rPr>
        <w:t>其他未列明行业</w:t>
      </w:r>
      <w:r>
        <w:rPr>
          <w:rFonts w:hint="eastAsia" w:ascii="仿宋" w:hAnsi="仿宋" w:eastAsia="仿宋"/>
          <w:color w:val="auto"/>
          <w:sz w:val="24"/>
          <w:szCs w:val="24"/>
          <w:highlight w:val="none"/>
        </w:rPr>
        <w:t>。</w:t>
      </w:r>
    </w:p>
    <w:p w14:paraId="5F0FF9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2、依据《政府采购促进中小企业发展管理办法》</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财库【2020】46号）规定享受扶持政策获得政府采购合同的，小微企业不得将合同分包给大中型企业，中型企业不得将合同分包给大型企业。</w:t>
      </w:r>
    </w:p>
    <w:p w14:paraId="3BB127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86C51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4、符合中小企业划分标准的个体工商户，在政府采购活动中视同中小企业。</w:t>
      </w:r>
    </w:p>
    <w:p w14:paraId="710CA2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5、在政府采购活动中，供应商提供的货物、工程或者服务符合下列情形的，享受本办法规定的中小企业扶持政策：</w:t>
      </w:r>
    </w:p>
    <w:p w14:paraId="5806DC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6、在货物采购项目中，货物由中小企业制造，即货物由中小企业生产且使用该中小企业商号或者注册商标；</w:t>
      </w:r>
    </w:p>
    <w:p w14:paraId="3D7BB6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7、在工程采购项目中，工程由中小企业承建，即工程施工单位为中小企业；</w:t>
      </w:r>
    </w:p>
    <w:p w14:paraId="104772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8、在服务采购项目中，服务由中小企业承接，即提供服务的人员为中小企业依照《中华人民共和国劳动合同法》订立劳动合同的从业人员。</w:t>
      </w:r>
    </w:p>
    <w:p w14:paraId="69D664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9、在货物采购项目中，供应商提供的货物既有中小企业制造货物，也有大型企业制造货物的，不享受本办法规定的中小企业扶持政策。</w:t>
      </w:r>
    </w:p>
    <w:p w14:paraId="7B9513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10、以联合体形式参加政府采购活动，联合体各方均为中小企业的，联合体视同中小企业。其中，联合体各方均为小微企业的，联合体视同小微企业。</w:t>
      </w:r>
    </w:p>
    <w:p w14:paraId="132C86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11、监狱企业参加政府采购提供《监狱企业声明函》</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见附件）及其相关的充分的证明材料的，视为小型、微型企业，享受小微企业政策扶持；监狱企业属于小型、微型企业的，不重复享受政策。</w:t>
      </w:r>
    </w:p>
    <w:p w14:paraId="7631E5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12、残疾人福利性单位参加政府采购提供《残疾人福利性单位声明函》</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格式见附件），视为小型、微型企业，享受小微企业政策扶持；残疾人福利性单位属于小型、微型企业的，不重复享受政策。</w:t>
      </w:r>
    </w:p>
    <w:p w14:paraId="36FACD1E">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color w:val="auto"/>
          <w:sz w:val="24"/>
          <w:szCs w:val="24"/>
          <w:highlight w:val="none"/>
        </w:rPr>
      </w:pPr>
      <w:r>
        <w:rPr>
          <w:rFonts w:hint="eastAsia" w:ascii="仿宋" w:hAnsi="仿宋" w:eastAsia="仿宋"/>
          <w:color w:val="auto"/>
          <w:sz w:val="24"/>
          <w:szCs w:val="24"/>
          <w:highlight w:val="none"/>
        </w:rPr>
        <w:t>13、根据《政府采购促进中小企业发展管理办法》</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bookmarkEnd w:id="15"/>
    <w:p w14:paraId="55AB62A8">
      <w:pPr>
        <w:pStyle w:val="4"/>
        <w:keepNext w:val="0"/>
        <w:pageBreakBefore/>
        <w:spacing w:line="360" w:lineRule="auto"/>
        <w:rPr>
          <w:rFonts w:ascii="仿宋" w:hAnsi="仿宋" w:eastAsia="仿宋" w:cs="仿宋"/>
          <w:bCs/>
          <w:color w:val="auto"/>
          <w:szCs w:val="30"/>
          <w:highlight w:val="none"/>
        </w:rPr>
      </w:pPr>
      <w:bookmarkStart w:id="29" w:name="_Toc11750"/>
      <w:bookmarkStart w:id="30" w:name="_Toc27233"/>
      <w:bookmarkStart w:id="31" w:name="_Toc22678"/>
      <w:r>
        <w:rPr>
          <w:rFonts w:hint="eastAsia" w:ascii="仿宋" w:hAnsi="仿宋" w:eastAsia="仿宋" w:cs="仿宋"/>
          <w:color w:val="auto"/>
          <w:sz w:val="32"/>
          <w:highlight w:val="none"/>
        </w:rPr>
        <w:t>第三章  投标人须知</w:t>
      </w:r>
      <w:bookmarkEnd w:id="29"/>
      <w:bookmarkEnd w:id="30"/>
      <w:bookmarkEnd w:id="31"/>
      <w:bookmarkStart w:id="32" w:name="_Toc130094928"/>
      <w:bookmarkStart w:id="33" w:name="_Toc98731777"/>
      <w:bookmarkStart w:id="34" w:name="_Toc130094913"/>
      <w:bookmarkStart w:id="35" w:name="_Toc98731756"/>
    </w:p>
    <w:p w14:paraId="6B05795E">
      <w:pPr>
        <w:jc w:val="center"/>
        <w:rPr>
          <w:color w:val="auto"/>
          <w:highlight w:val="none"/>
        </w:rPr>
      </w:pPr>
      <w:r>
        <w:rPr>
          <w:rFonts w:hint="eastAsia" w:ascii="仿宋" w:hAnsi="仿宋" w:eastAsia="仿宋" w:cs="仿宋"/>
          <w:b/>
          <w:bCs/>
          <w:color w:val="auto"/>
          <w:sz w:val="30"/>
          <w:szCs w:val="30"/>
          <w:highlight w:val="none"/>
        </w:rPr>
        <w:t>前附表</w:t>
      </w:r>
    </w:p>
    <w:tbl>
      <w:tblPr>
        <w:tblStyle w:val="21"/>
        <w:tblW w:w="100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9317"/>
      </w:tblGrid>
      <w:tr w14:paraId="0B05E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768EE6A3">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9317" w:type="dxa"/>
            <w:tcBorders>
              <w:top w:val="single" w:color="auto" w:sz="4" w:space="0"/>
              <w:left w:val="nil"/>
              <w:bottom w:val="single" w:color="auto" w:sz="4" w:space="0"/>
              <w:right w:val="single" w:color="auto" w:sz="4" w:space="0"/>
            </w:tcBorders>
            <w:vAlign w:val="center"/>
          </w:tcPr>
          <w:p w14:paraId="6EE76229">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内容、要求</w:t>
            </w:r>
          </w:p>
        </w:tc>
      </w:tr>
      <w:tr w14:paraId="6590D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795E5CBB">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317" w:type="dxa"/>
            <w:tcBorders>
              <w:top w:val="single" w:color="auto" w:sz="4" w:space="0"/>
              <w:left w:val="nil"/>
              <w:bottom w:val="single" w:color="auto" w:sz="4" w:space="0"/>
              <w:right w:val="single" w:color="auto" w:sz="4" w:space="0"/>
            </w:tcBorders>
            <w:vAlign w:val="center"/>
          </w:tcPr>
          <w:p w14:paraId="6E87698D">
            <w:pPr>
              <w:spacing w:line="273" w:lineRule="auto"/>
              <w:rPr>
                <w:rFonts w:hint="eastAsia" w:ascii="仿宋" w:hAnsi="仿宋" w:eastAsia="仿宋" w:cs="仿宋"/>
                <w:color w:val="auto"/>
                <w:spacing w:val="-14"/>
                <w:sz w:val="24"/>
                <w:highlight w:val="none"/>
                <w:lang w:eastAsia="zh-CN"/>
              </w:rPr>
            </w:pPr>
            <w:r>
              <w:rPr>
                <w:rFonts w:hint="eastAsia" w:ascii="仿宋" w:hAnsi="仿宋" w:eastAsia="仿宋" w:cs="仿宋"/>
                <w:color w:val="auto"/>
                <w:sz w:val="24"/>
                <w:highlight w:val="none"/>
                <w:shd w:val="clear" w:color="auto" w:fill="FFFFFF" w:themeFill="background1"/>
              </w:rPr>
              <w:t>项目名称：</w:t>
            </w:r>
            <w:r>
              <w:rPr>
                <w:rFonts w:hint="eastAsia" w:ascii="仿宋" w:hAnsi="仿宋" w:eastAsia="仿宋" w:cs="仿宋"/>
                <w:color w:val="auto"/>
                <w:sz w:val="24"/>
                <w:highlight w:val="none"/>
                <w:shd w:val="clear" w:color="auto" w:fill="FFFFFF" w:themeFill="background1"/>
                <w:lang w:eastAsia="zh-CN"/>
              </w:rPr>
              <w:t>湖州市吴兴区公用事业管理中心2025-2027年度雨污水管网维护及应急处置采购项目</w:t>
            </w:r>
          </w:p>
        </w:tc>
      </w:tr>
      <w:tr w14:paraId="63EBF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30DC2D65">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9317" w:type="dxa"/>
            <w:tcBorders>
              <w:top w:val="single" w:color="auto" w:sz="4" w:space="0"/>
              <w:left w:val="nil"/>
              <w:bottom w:val="single" w:color="auto" w:sz="4" w:space="0"/>
              <w:right w:val="single" w:color="auto" w:sz="4" w:space="0"/>
            </w:tcBorders>
            <w:vAlign w:val="center"/>
          </w:tcPr>
          <w:p w14:paraId="6FAFAA21">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采购内容及数量：详见第二章采购需求</w:t>
            </w:r>
          </w:p>
        </w:tc>
      </w:tr>
      <w:tr w14:paraId="1D82F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270B90FE">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9317" w:type="dxa"/>
            <w:tcBorders>
              <w:top w:val="single" w:color="auto" w:sz="4" w:space="0"/>
              <w:left w:val="nil"/>
              <w:bottom w:val="single" w:color="auto" w:sz="4" w:space="0"/>
              <w:right w:val="single" w:color="auto" w:sz="4" w:space="0"/>
            </w:tcBorders>
            <w:vAlign w:val="center"/>
          </w:tcPr>
          <w:p w14:paraId="434C837F">
            <w:pPr>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投标报价及费用：本项目投标应以人民币报价；2、不论投标结果如何，投标人均应自行承担所有与投标有关的全部费用。</w:t>
            </w:r>
            <w:r>
              <w:rPr>
                <w:rFonts w:hint="eastAsia" w:ascii="仿宋" w:hAnsi="仿宋" w:eastAsia="仿宋"/>
                <w:color w:val="auto"/>
                <w:sz w:val="24"/>
                <w:highlight w:val="none"/>
              </w:rPr>
              <w:t>本项目代理服务费</w:t>
            </w:r>
            <w:r>
              <w:rPr>
                <w:rFonts w:hint="eastAsia" w:ascii="仿宋" w:hAnsi="仿宋" w:eastAsia="仿宋"/>
                <w:color w:val="auto"/>
                <w:sz w:val="24"/>
                <w:highlight w:val="none"/>
                <w:lang w:val="en-US" w:eastAsia="zh-CN"/>
              </w:rPr>
              <w:t>¥</w:t>
            </w:r>
            <w:r>
              <w:rPr>
                <w:rFonts w:hint="eastAsia" w:ascii="仿宋" w:hAnsi="仿宋" w:eastAsia="仿宋" w:cs="仿宋"/>
                <w:b/>
                <w:color w:val="auto"/>
                <w:sz w:val="24"/>
                <w:highlight w:val="none"/>
                <w:u w:val="single"/>
              </w:rPr>
              <w:t>3</w:t>
            </w:r>
            <w:r>
              <w:rPr>
                <w:rFonts w:hint="eastAsia" w:ascii="仿宋" w:hAnsi="仿宋" w:eastAsia="仿宋" w:cs="仿宋"/>
                <w:b/>
                <w:color w:val="auto"/>
                <w:sz w:val="24"/>
                <w:highlight w:val="none"/>
                <w:u w:val="single"/>
                <w:lang w:val="en-US" w:eastAsia="zh-CN"/>
              </w:rPr>
              <w:t>2</w:t>
            </w:r>
            <w:r>
              <w:rPr>
                <w:rFonts w:hint="eastAsia" w:ascii="仿宋" w:hAnsi="仿宋" w:eastAsia="仿宋" w:cs="仿宋"/>
                <w:b/>
                <w:color w:val="auto"/>
                <w:sz w:val="24"/>
                <w:highlight w:val="none"/>
                <w:u w:val="single"/>
              </w:rPr>
              <w:t>000</w:t>
            </w:r>
            <w:r>
              <w:rPr>
                <w:rFonts w:hint="eastAsia" w:ascii="仿宋" w:hAnsi="仿宋" w:eastAsia="仿宋"/>
                <w:color w:val="auto"/>
                <w:sz w:val="24"/>
                <w:highlight w:val="none"/>
                <w:u w:val="single"/>
              </w:rPr>
              <w:t>元</w:t>
            </w:r>
            <w:r>
              <w:rPr>
                <w:rFonts w:hint="eastAsia" w:ascii="仿宋" w:hAnsi="仿宋" w:eastAsia="仿宋"/>
                <w:color w:val="auto"/>
                <w:sz w:val="24"/>
                <w:highlight w:val="none"/>
              </w:rPr>
              <w:t>由相应中标人支付。在确定中标人后，领取中标通知书</w:t>
            </w:r>
            <w:r>
              <w:rPr>
                <w:rFonts w:hint="eastAsia" w:ascii="仿宋" w:hAnsi="仿宋" w:eastAsia="仿宋" w:cs="宋体"/>
                <w:color w:val="auto"/>
                <w:sz w:val="24"/>
                <w:highlight w:val="none"/>
              </w:rPr>
              <w:t>的当天一次性结清</w:t>
            </w:r>
            <w:r>
              <w:rPr>
                <w:rFonts w:hint="eastAsia" w:ascii="仿宋" w:hAnsi="仿宋" w:eastAsia="仿宋"/>
                <w:color w:val="auto"/>
                <w:sz w:val="24"/>
                <w:highlight w:val="none"/>
              </w:rPr>
              <w:t>，请各投标人自行考虑计入投标报价中。</w:t>
            </w:r>
          </w:p>
        </w:tc>
      </w:tr>
      <w:tr w14:paraId="2BCBF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8"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4BD2F67">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9317" w:type="dxa"/>
            <w:tcBorders>
              <w:top w:val="single" w:color="auto" w:sz="4" w:space="0"/>
              <w:left w:val="nil"/>
              <w:bottom w:val="single" w:color="auto" w:sz="4" w:space="0"/>
              <w:right w:val="single" w:color="auto" w:sz="4" w:space="0"/>
            </w:tcBorders>
            <w:vAlign w:val="center"/>
          </w:tcPr>
          <w:p w14:paraId="140F541C">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答疑与澄清：投标人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答疑、澄清）文件，潜在投标人应自行关注网站公告，采购人不再一一通知，投标人因自身贻误行为导致投标失效的，责任自负。</w:t>
            </w:r>
          </w:p>
        </w:tc>
      </w:tr>
      <w:tr w14:paraId="34234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1DC5035">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9317" w:type="dxa"/>
            <w:tcBorders>
              <w:top w:val="single" w:color="auto" w:sz="4" w:space="0"/>
              <w:left w:val="nil"/>
              <w:bottom w:val="single" w:color="auto" w:sz="4" w:space="0"/>
              <w:right w:val="single" w:color="auto" w:sz="4" w:space="0"/>
            </w:tcBorders>
            <w:vAlign w:val="center"/>
          </w:tcPr>
          <w:p w14:paraId="47A08443">
            <w:pPr>
              <w:snapToGrid w:val="0"/>
              <w:spacing w:line="500" w:lineRule="exact"/>
              <w:rPr>
                <w:rFonts w:ascii="仿宋" w:hAnsi="仿宋" w:eastAsia="仿宋" w:cs="仿宋"/>
                <w:b/>
                <w:color w:val="auto"/>
                <w:sz w:val="24"/>
                <w:highlight w:val="none"/>
              </w:rPr>
            </w:pPr>
            <w:r>
              <w:rPr>
                <w:rFonts w:hint="eastAsia" w:ascii="仿宋" w:hAnsi="仿宋" w:eastAsia="仿宋" w:cs="仿宋"/>
                <w:color w:val="auto"/>
                <w:sz w:val="24"/>
                <w:highlight w:val="none"/>
                <w:shd w:val="clear" w:color="auto" w:fill="FFFFFF" w:themeFill="background1"/>
              </w:rPr>
              <w:t>采购预算：</w:t>
            </w:r>
            <w:r>
              <w:rPr>
                <w:rFonts w:hint="eastAsia" w:ascii="仿宋" w:hAnsi="仿宋" w:eastAsia="仿宋" w:cs="仿宋"/>
                <w:color w:val="auto"/>
                <w:sz w:val="24"/>
                <w:highlight w:val="none"/>
                <w:shd w:val="clear" w:color="auto" w:fill="FFFFFF" w:themeFill="background1"/>
                <w:lang w:val="en-US" w:eastAsia="zh-CN"/>
              </w:rPr>
              <w:t>500</w:t>
            </w:r>
            <w:r>
              <w:rPr>
                <w:rFonts w:hint="eastAsia" w:ascii="仿宋" w:hAnsi="仿宋" w:eastAsia="仿宋" w:cs="仿宋"/>
                <w:color w:val="auto"/>
                <w:sz w:val="24"/>
                <w:highlight w:val="none"/>
                <w:shd w:val="clear" w:color="auto" w:fill="FFFFFF" w:themeFill="background1"/>
              </w:rPr>
              <w:t>万元</w:t>
            </w:r>
          </w:p>
        </w:tc>
      </w:tr>
      <w:tr w14:paraId="70716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49F7FA4E">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9317" w:type="dxa"/>
            <w:tcBorders>
              <w:top w:val="single" w:color="auto" w:sz="4" w:space="0"/>
              <w:left w:val="nil"/>
              <w:bottom w:val="single" w:color="auto" w:sz="4" w:space="0"/>
              <w:right w:val="single" w:color="auto" w:sz="4" w:space="0"/>
            </w:tcBorders>
            <w:vAlign w:val="center"/>
          </w:tcPr>
          <w:p w14:paraId="4E221C30">
            <w:pPr>
              <w:autoSpaceDE w:val="0"/>
              <w:autoSpaceDN w:val="0"/>
              <w:snapToGrid w:val="0"/>
              <w:spacing w:line="273"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1、投标文件的制作：本项目实行电子招投标。</w:t>
            </w:r>
          </w:p>
          <w:p w14:paraId="3C6D086E">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2、投标人应按要求提供电子投标文件及数据电子备份投标文件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U盘），具体内容如下：</w:t>
            </w:r>
          </w:p>
          <w:p w14:paraId="683B6646">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1）电子投标文件：按政采云平台项目采购-电子交易操作指南及本招标文件要求制作、加密并递交，超过上传时间的视为放弃投标资格，作未递交投标文件处理；</w:t>
            </w:r>
          </w:p>
          <w:p w14:paraId="08FC25BC">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盘）：以U盘形式提供的数据电子备份投标文件格式及内容须与政采云平台项目采购-电子交易操作指南中制作、加密并递交的电子投标文件格式及内容一致。数据电子备份投标文件应加密，允许制作成一个U盘，但须密封、包装，不按此规定密封、包装的数据电子备份响应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U盘）均按未提供处理。</w:t>
            </w:r>
          </w:p>
        </w:tc>
      </w:tr>
      <w:tr w14:paraId="56A54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446BD3A4">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9317" w:type="dxa"/>
            <w:tcBorders>
              <w:top w:val="single" w:color="auto" w:sz="4" w:space="0"/>
              <w:left w:val="nil"/>
              <w:bottom w:val="single" w:color="auto" w:sz="4" w:space="0"/>
              <w:right w:val="single" w:color="auto" w:sz="4" w:space="0"/>
            </w:tcBorders>
            <w:vAlign w:val="center"/>
          </w:tcPr>
          <w:p w14:paraId="741ADDA8">
            <w:pPr>
              <w:snapToGrid w:val="0"/>
              <w:spacing w:line="273" w:lineRule="auto"/>
              <w:rPr>
                <w:rFonts w:ascii="仿宋" w:hAnsi="仿宋" w:eastAsia="仿宋" w:cs="仿宋"/>
                <w:color w:val="auto"/>
                <w:sz w:val="24"/>
                <w:highlight w:val="none"/>
                <w:shd w:val="pct10" w:color="auto" w:fill="FFFFFF"/>
              </w:rPr>
            </w:pPr>
            <w:r>
              <w:rPr>
                <w:rFonts w:hint="eastAsia" w:ascii="仿宋" w:hAnsi="仿宋" w:eastAsia="仿宋" w:cs="仿宋"/>
                <w:color w:val="auto"/>
                <w:sz w:val="24"/>
                <w:highlight w:val="none"/>
              </w:rPr>
              <w:t>投标截止时间：2025年2月28日</w:t>
            </w:r>
            <w:r>
              <w:rPr>
                <w:rFonts w:hint="eastAsia" w:ascii="仿宋" w:hAnsi="仿宋" w:eastAsia="仿宋" w:cs="仿宋"/>
                <w:color w:val="auto"/>
                <w:sz w:val="24"/>
                <w:highlight w:val="none"/>
                <w:lang w:val="en-US" w:eastAsia="zh-CN"/>
              </w:rPr>
              <w:t>13:30时</w:t>
            </w:r>
            <w:r>
              <w:rPr>
                <w:rFonts w:hint="eastAsia" w:ascii="仿宋" w:hAnsi="仿宋" w:eastAsia="仿宋" w:cs="仿宋"/>
                <w:color w:val="auto"/>
                <w:sz w:val="24"/>
                <w:highlight w:val="none"/>
                <w:shd w:val="pct10" w:color="auto" w:fill="FFFFFF"/>
              </w:rPr>
              <w:t>；</w:t>
            </w:r>
          </w:p>
          <w:p w14:paraId="3311233B">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投标地点：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1）本项目通过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www.zcygov.cn）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实行在线投标响应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电子投标）；</w:t>
            </w:r>
          </w:p>
          <w:p w14:paraId="7DF4233C">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2）投标人应当在投标截止时间前，将生成的文件格式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.jmbs</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电子加密投标文件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上传递交至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实行在线投标响应。投标截止时间以后上传递交的投标文件将被</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拒收，作未递交投标文件处理。</w:t>
            </w:r>
          </w:p>
        </w:tc>
      </w:tr>
      <w:tr w14:paraId="2ADA8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7F453C8E">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9317" w:type="dxa"/>
            <w:tcBorders>
              <w:top w:val="single" w:color="auto" w:sz="4" w:space="0"/>
              <w:left w:val="nil"/>
              <w:bottom w:val="single" w:color="auto" w:sz="4" w:space="0"/>
              <w:right w:val="single" w:color="auto" w:sz="4" w:space="0"/>
            </w:tcBorders>
            <w:vAlign w:val="center"/>
          </w:tcPr>
          <w:p w14:paraId="4BC1DFD7">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开标时间：</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13:30</w:t>
            </w:r>
            <w:r>
              <w:rPr>
                <w:rFonts w:hint="eastAsia" w:ascii="仿宋" w:hAnsi="仿宋" w:eastAsia="仿宋" w:cs="仿宋"/>
                <w:color w:val="auto"/>
                <w:sz w:val="24"/>
                <w:highlight w:val="none"/>
                <w:shd w:val="pct10" w:color="auto" w:fill="FFFFFF"/>
              </w:rPr>
              <w:t>时；</w:t>
            </w:r>
          </w:p>
          <w:p w14:paraId="587A1B03">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地点：湖州市吴兴区公共资源交易中心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湖州市吴兴区区府路1188号总部自由港E幢4楼）。</w:t>
            </w:r>
          </w:p>
          <w:p w14:paraId="74B0E434">
            <w:pPr>
              <w:snapToGrid w:val="0"/>
              <w:spacing w:line="273"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未递交投标文件处理。</w:t>
            </w:r>
          </w:p>
          <w:p w14:paraId="2C5D5A62">
            <w:pPr>
              <w:snapToGrid w:val="0"/>
              <w:spacing w:line="273"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 盘）：以 U 盘形式提供的数据电子备份投标文件格式及内容须与政采云平台项目采购-电子交易操作指南中制作、加密并递交的电子投标文件格式及内容一致。递交方式：</w:t>
            </w:r>
          </w:p>
          <w:p w14:paraId="3D1A9E72">
            <w:pPr>
              <w:snapToGrid w:val="0"/>
              <w:spacing w:line="273"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因疫情原因，数据电子备份投标文件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U盘）应通过邮寄快递方式送达，邮寄地址为：中纬工程管理咨询有限公司湖州分公司</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湖州市吴兴区浙北金瑞大厦A座11楼）；收件人：金小颖；联系电话：0572-2372728，电子邮箱：zwhz0001@163.com，邮寄拒绝到付。邮寄接收截止时间：供应商应于响应文件截止递交前一个工作日下午1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0时前准时送达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以收件人实际签收时间为准），逾期不予受理。    </w:t>
            </w:r>
          </w:p>
          <w:p w14:paraId="4CACF60A">
            <w:pPr>
              <w:snapToGrid w:val="0"/>
              <w:spacing w:line="273"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1）投标人应权衡利弊考虑是否提供数据电子备份投标文件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U盘），采购人及采购代理机构不做强制性要求，若因下一条款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第3条）原因须启用数据电子备份投标文件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U盘）时，而投标人未提供的，视为放弃投标资格，作未递交投标文件处理；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2）投标人应对提供的数据电子备份投标文件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U盘）进行加密处理，若需要启用数据电子备份投标文件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U盘）时，由采购人或采购代理机构启封并进行解密；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3）若投标人未提供数据电子备份投标文件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U盘），招标公告及招标文件中关于数据电子备份投标文件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U盘）的要求及内容不再适用。</w:t>
            </w:r>
          </w:p>
        </w:tc>
      </w:tr>
      <w:tr w14:paraId="09A5A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965399A">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9317" w:type="dxa"/>
            <w:tcBorders>
              <w:top w:val="single" w:color="auto" w:sz="4" w:space="0"/>
              <w:left w:val="nil"/>
              <w:bottom w:val="single" w:color="auto" w:sz="4" w:space="0"/>
              <w:right w:val="single" w:color="auto" w:sz="4" w:space="0"/>
            </w:tcBorders>
            <w:vAlign w:val="center"/>
          </w:tcPr>
          <w:p w14:paraId="198956E0">
            <w:pPr>
              <w:autoSpaceDE w:val="0"/>
              <w:autoSpaceDN w:val="0"/>
              <w:snapToGrid w:val="0"/>
              <w:spacing w:line="273"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评标办法及评分标准：附后</w:t>
            </w:r>
          </w:p>
        </w:tc>
      </w:tr>
      <w:tr w14:paraId="0B44B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1532E53B">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9317" w:type="dxa"/>
            <w:tcBorders>
              <w:top w:val="single" w:color="auto" w:sz="4" w:space="0"/>
              <w:left w:val="nil"/>
              <w:bottom w:val="single" w:color="auto" w:sz="4" w:space="0"/>
              <w:right w:val="single" w:color="auto" w:sz="4" w:space="0"/>
            </w:tcBorders>
            <w:vAlign w:val="center"/>
          </w:tcPr>
          <w:p w14:paraId="4287F5B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中标结果公告：采购人依法确定中标后 2 个工作日内，公告发布网址如下：</w:t>
            </w:r>
          </w:p>
          <w:p w14:paraId="7C4F60D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浙江政府采购网：http://zfcg.czt.zj.gov.cn/；</w:t>
            </w:r>
          </w:p>
          <w:p w14:paraId="73F16F4D">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湖州市公共资源交易网：http://ggzyjy.huzhou.gov.cn/</w:t>
            </w:r>
          </w:p>
        </w:tc>
      </w:tr>
      <w:tr w14:paraId="69EE9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869E821">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9317" w:type="dxa"/>
            <w:tcBorders>
              <w:top w:val="single" w:color="auto" w:sz="4" w:space="0"/>
              <w:left w:val="nil"/>
              <w:bottom w:val="single" w:color="auto" w:sz="4" w:space="0"/>
              <w:right w:val="single" w:color="auto" w:sz="4" w:space="0"/>
            </w:tcBorders>
            <w:vAlign w:val="center"/>
          </w:tcPr>
          <w:p w14:paraId="451F9F3F">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中标通知书：在发布中标结果公告的同时，向中标人发中标通知书。</w:t>
            </w:r>
          </w:p>
        </w:tc>
      </w:tr>
      <w:tr w14:paraId="0C19D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574D911">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9317" w:type="dxa"/>
            <w:tcBorders>
              <w:top w:val="single" w:color="auto" w:sz="4" w:space="0"/>
              <w:left w:val="nil"/>
              <w:bottom w:val="single" w:color="auto" w:sz="4" w:space="0"/>
              <w:right w:val="single" w:color="auto" w:sz="4" w:space="0"/>
            </w:tcBorders>
            <w:vAlign w:val="center"/>
          </w:tcPr>
          <w:p w14:paraId="1816E7B0">
            <w:pPr>
              <w:autoSpaceDE w:val="0"/>
              <w:autoSpaceDN w:val="0"/>
              <w:snapToGrid w:val="0"/>
              <w:spacing w:line="273"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签订合同时间：中标通知书发出后30日内。</w:t>
            </w:r>
          </w:p>
        </w:tc>
      </w:tr>
      <w:tr w14:paraId="12FF4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7A51E1C3">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9317" w:type="dxa"/>
            <w:tcBorders>
              <w:top w:val="single" w:color="auto" w:sz="4" w:space="0"/>
              <w:left w:val="nil"/>
              <w:bottom w:val="single" w:color="auto" w:sz="4" w:space="0"/>
              <w:right w:val="single" w:color="auto" w:sz="4" w:space="0"/>
            </w:tcBorders>
            <w:vAlign w:val="center"/>
          </w:tcPr>
          <w:p w14:paraId="248AEC69">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履约保证金的收取及退还：</w:t>
            </w:r>
            <w:r>
              <w:rPr>
                <w:rFonts w:hint="eastAsia" w:ascii="仿宋" w:hAnsi="仿宋" w:eastAsia="仿宋"/>
                <w:color w:val="auto"/>
                <w:sz w:val="24"/>
                <w:highlight w:val="none"/>
                <w:lang w:val="en-US" w:eastAsia="zh-CN"/>
              </w:rPr>
              <w:t>无</w:t>
            </w:r>
            <w:r>
              <w:rPr>
                <w:rFonts w:hint="eastAsia" w:ascii="仿宋" w:hAnsi="仿宋" w:eastAsia="仿宋"/>
                <w:color w:val="auto"/>
                <w:sz w:val="24"/>
                <w:highlight w:val="none"/>
              </w:rPr>
              <w:t>。</w:t>
            </w:r>
          </w:p>
        </w:tc>
      </w:tr>
      <w:tr w14:paraId="48372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71E9B86">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9317" w:type="dxa"/>
            <w:tcBorders>
              <w:top w:val="single" w:color="auto" w:sz="4" w:space="0"/>
              <w:left w:val="nil"/>
              <w:bottom w:val="single" w:color="auto" w:sz="4" w:space="0"/>
              <w:right w:val="single" w:color="auto" w:sz="4" w:space="0"/>
            </w:tcBorders>
            <w:vAlign w:val="center"/>
          </w:tcPr>
          <w:p w14:paraId="66D96907">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招标代理服务费：</w:t>
            </w:r>
            <w:r>
              <w:rPr>
                <w:rFonts w:hint="eastAsia" w:ascii="仿宋" w:hAnsi="仿宋" w:eastAsia="仿宋" w:cs="仿宋"/>
                <w:color w:val="auto"/>
                <w:sz w:val="24"/>
                <w:highlight w:val="none"/>
                <w:lang w:val="en-US" w:eastAsia="zh-CN"/>
              </w:rPr>
              <w:t>¥</w:t>
            </w:r>
            <w:r>
              <w:rPr>
                <w:rFonts w:hint="eastAsia" w:ascii="仿宋" w:hAnsi="仿宋" w:eastAsia="仿宋" w:cs="仿宋"/>
                <w:b/>
                <w:color w:val="auto"/>
                <w:sz w:val="24"/>
                <w:highlight w:val="none"/>
                <w:u w:val="single"/>
              </w:rPr>
              <w:t>3</w:t>
            </w:r>
            <w:r>
              <w:rPr>
                <w:rFonts w:hint="eastAsia" w:ascii="仿宋" w:hAnsi="仿宋" w:eastAsia="仿宋" w:cs="仿宋"/>
                <w:b/>
                <w:color w:val="auto"/>
                <w:sz w:val="24"/>
                <w:highlight w:val="none"/>
                <w:u w:val="single"/>
                <w:lang w:val="en-US" w:eastAsia="zh-CN"/>
              </w:rPr>
              <w:t>2</w:t>
            </w:r>
            <w:r>
              <w:rPr>
                <w:rFonts w:hint="eastAsia" w:ascii="仿宋" w:hAnsi="仿宋" w:eastAsia="仿宋" w:cs="仿宋"/>
                <w:b/>
                <w:color w:val="auto"/>
                <w:sz w:val="24"/>
                <w:highlight w:val="none"/>
                <w:u w:val="single"/>
              </w:rPr>
              <w:t>000元</w:t>
            </w:r>
          </w:p>
        </w:tc>
      </w:tr>
      <w:tr w14:paraId="17E2D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56789C8">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9317" w:type="dxa"/>
            <w:tcBorders>
              <w:top w:val="single" w:color="auto" w:sz="4" w:space="0"/>
              <w:left w:val="nil"/>
              <w:bottom w:val="single" w:color="auto" w:sz="4" w:space="0"/>
              <w:right w:val="single" w:color="auto" w:sz="4" w:space="0"/>
            </w:tcBorders>
            <w:vAlign w:val="center"/>
          </w:tcPr>
          <w:p w14:paraId="6998000C">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投标文件有效期：60天</w:t>
            </w:r>
          </w:p>
        </w:tc>
      </w:tr>
      <w:tr w14:paraId="3D8F6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014EE5A">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9317" w:type="dxa"/>
            <w:tcBorders>
              <w:top w:val="single" w:color="auto" w:sz="4" w:space="0"/>
              <w:left w:val="nil"/>
              <w:bottom w:val="single" w:color="auto" w:sz="4" w:space="0"/>
              <w:right w:val="single" w:color="auto" w:sz="4" w:space="0"/>
            </w:tcBorders>
            <w:vAlign w:val="center"/>
          </w:tcPr>
          <w:p w14:paraId="300404A4">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解释：本招标文件的解释权属于招标人。</w:t>
            </w:r>
          </w:p>
        </w:tc>
      </w:tr>
      <w:tr w14:paraId="36A91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664DD45">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9317" w:type="dxa"/>
            <w:tcBorders>
              <w:top w:val="single" w:color="auto" w:sz="4" w:space="0"/>
              <w:left w:val="nil"/>
              <w:bottom w:val="single" w:color="auto" w:sz="4" w:space="0"/>
              <w:right w:val="single" w:color="auto" w:sz="4" w:space="0"/>
            </w:tcBorders>
            <w:vAlign w:val="center"/>
          </w:tcPr>
          <w:p w14:paraId="2AF9C02E">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在确定中标人后，签订合同前，中标人须提供叁份完整的纸质投标文件给采购人，纸质投标文件须与电子投标文件格式及内容一致。</w:t>
            </w:r>
          </w:p>
        </w:tc>
      </w:tr>
      <w:tr w14:paraId="04C5B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48C4010F">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9317" w:type="dxa"/>
            <w:tcBorders>
              <w:top w:val="single" w:color="auto" w:sz="4" w:space="0"/>
              <w:left w:val="nil"/>
              <w:bottom w:val="single" w:color="auto" w:sz="4" w:space="0"/>
              <w:right w:val="single" w:color="auto" w:sz="4" w:space="0"/>
            </w:tcBorders>
            <w:vAlign w:val="center"/>
          </w:tcPr>
          <w:p w14:paraId="7DBE9020">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特别说明：政采云公司如对电子化开标及评审程序有调整的，应按调整的程序操作。</w:t>
            </w:r>
          </w:p>
        </w:tc>
      </w:tr>
      <w:bookmarkEnd w:id="32"/>
      <w:bookmarkEnd w:id="33"/>
    </w:tbl>
    <w:p w14:paraId="0F698B39">
      <w:pPr>
        <w:rPr>
          <w:color w:val="auto"/>
          <w:highlight w:val="none"/>
        </w:rPr>
      </w:pPr>
    </w:p>
    <w:p w14:paraId="651F6FB2">
      <w:pPr>
        <w:rPr>
          <w:color w:val="auto"/>
          <w:highlight w:val="none"/>
        </w:rPr>
      </w:pPr>
    </w:p>
    <w:p w14:paraId="6D43D24A">
      <w:pPr>
        <w:pStyle w:val="33"/>
        <w:outlineLvl w:val="1"/>
        <w:rPr>
          <w:rFonts w:ascii="仿宋" w:hAnsi="仿宋" w:eastAsia="仿宋" w:cs="仿宋"/>
          <w:b/>
          <w:color w:val="auto"/>
          <w:highlight w:val="none"/>
        </w:rPr>
      </w:pPr>
      <w:bookmarkStart w:id="36" w:name="_Toc5049"/>
      <w:r>
        <w:rPr>
          <w:rFonts w:hint="eastAsia" w:ascii="仿宋" w:hAnsi="仿宋" w:eastAsia="仿宋" w:cs="仿宋"/>
          <w:b/>
          <w:color w:val="auto"/>
          <w:highlight w:val="none"/>
        </w:rPr>
        <w:t>一、总 则</w:t>
      </w:r>
      <w:bookmarkEnd w:id="36"/>
    </w:p>
    <w:p w14:paraId="6AAD2E2B">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一）适用范围 </w:t>
      </w:r>
    </w:p>
    <w:p w14:paraId="2B395EDB">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w:t>
      </w:r>
      <w:r>
        <w:rPr>
          <w:rFonts w:hint="eastAsia" w:ascii="仿宋" w:hAnsi="仿宋" w:eastAsia="仿宋" w:cs="仿宋"/>
          <w:color w:val="auto"/>
          <w:sz w:val="24"/>
          <w:highlight w:val="none"/>
          <w:u w:val="single"/>
          <w:shd w:val="clear" w:color="auto" w:fill="FFFFFF" w:themeFill="background1"/>
          <w:lang w:eastAsia="zh-CN"/>
        </w:rPr>
        <w:t>湖州市吴兴区公用事业管理中心2025-2027年度雨污水管网维护及应急处置采购项目</w:t>
      </w:r>
      <w:r>
        <w:rPr>
          <w:rFonts w:hint="eastAsia" w:ascii="仿宋" w:hAnsi="仿宋" w:eastAsia="仿宋" w:cs="仿宋"/>
          <w:color w:val="auto"/>
          <w:sz w:val="24"/>
          <w:highlight w:val="none"/>
        </w:rPr>
        <w:t>的招标、投标、评标、定标、验收、合同履约、付款等行为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法律、法规另有规定的，从其规定）。 </w:t>
      </w:r>
    </w:p>
    <w:p w14:paraId="6F03493F">
      <w:pPr>
        <w:pStyle w:val="33"/>
        <w:spacing w:line="460" w:lineRule="exact"/>
        <w:ind w:firstLine="480" w:firstLineChars="200"/>
        <w:rPr>
          <w:rFonts w:ascii="仿宋" w:hAnsi="仿宋" w:eastAsia="仿宋" w:cs="仿宋"/>
          <w:color w:val="auto"/>
          <w:highlight w:val="none"/>
          <w:shd w:val="pct10" w:color="auto" w:fill="FFFFFF"/>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二）采购预算：</w:t>
      </w:r>
      <w:r>
        <w:rPr>
          <w:rFonts w:hint="eastAsia" w:ascii="仿宋" w:hAnsi="仿宋" w:eastAsia="仿宋" w:cs="仿宋"/>
          <w:color w:val="auto"/>
          <w:highlight w:val="none"/>
          <w:lang w:val="en-US" w:eastAsia="zh-CN"/>
        </w:rPr>
        <w:t>500</w:t>
      </w:r>
      <w:r>
        <w:rPr>
          <w:rFonts w:hint="eastAsia" w:ascii="仿宋" w:hAnsi="仿宋" w:eastAsia="仿宋" w:cs="仿宋"/>
          <w:color w:val="auto"/>
          <w:highlight w:val="none"/>
        </w:rPr>
        <w:t>万元。</w:t>
      </w:r>
    </w:p>
    <w:p w14:paraId="50C7B9F8">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三）定义 </w:t>
      </w:r>
    </w:p>
    <w:p w14:paraId="75793FE1">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 采购人系指组织本次项目采购的</w:t>
      </w:r>
      <w:r>
        <w:rPr>
          <w:rFonts w:hint="eastAsia" w:ascii="仿宋" w:hAnsi="仿宋" w:eastAsia="仿宋" w:cs="仿宋"/>
          <w:b/>
          <w:bCs/>
          <w:color w:val="auto"/>
          <w:highlight w:val="none"/>
          <w:u w:val="single"/>
        </w:rPr>
        <w:t>湖州市吴兴区公用事业管理中心；</w:t>
      </w:r>
      <w:r>
        <w:rPr>
          <w:rFonts w:hint="eastAsia" w:ascii="仿宋" w:hAnsi="仿宋" w:eastAsia="仿宋" w:cs="仿宋"/>
          <w:color w:val="auto"/>
          <w:highlight w:val="none"/>
        </w:rPr>
        <w:t>采购代理机构系指采购人授权委托代理本项目招标程序的</w:t>
      </w:r>
      <w:r>
        <w:rPr>
          <w:rFonts w:hint="eastAsia" w:ascii="仿宋" w:hAnsi="仿宋" w:eastAsia="仿宋" w:cs="仿宋"/>
          <w:b/>
          <w:color w:val="auto"/>
          <w:highlight w:val="none"/>
          <w:u w:val="single"/>
          <w:lang w:eastAsia="zh-CN"/>
        </w:rPr>
        <w:t>中纬工程管理咨询有限公司</w:t>
      </w:r>
      <w:r>
        <w:rPr>
          <w:rFonts w:hint="eastAsia" w:ascii="仿宋" w:hAnsi="仿宋" w:eastAsia="仿宋" w:cs="仿宋"/>
          <w:color w:val="auto"/>
          <w:highlight w:val="none"/>
        </w:rPr>
        <w:t xml:space="preserve">。 </w:t>
      </w:r>
    </w:p>
    <w:p w14:paraId="58348D58">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投标人</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指向采购人提交投标文件的单位。 </w:t>
      </w:r>
    </w:p>
    <w:p w14:paraId="02F76114">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3. </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系指供方按招标文件规定，须向采购人提供的一切产品、保险、税金、备品备件、工具、手册及其它有关技术资料和材料。</w:t>
      </w:r>
    </w:p>
    <w:p w14:paraId="0D13CCDD">
      <w:pPr>
        <w:pStyle w:val="33"/>
        <w:spacing w:line="460" w:lineRule="exact"/>
        <w:ind w:firstLine="480" w:firstLineChars="200"/>
        <w:rPr>
          <w:rFonts w:ascii="仿宋" w:hAnsi="仿宋" w:eastAsia="仿宋" w:cs="仿宋"/>
          <w:color w:val="auto"/>
          <w:szCs w:val="20"/>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系指招标文件规定投标人须承担的安装、调试、技术协助、校准、培训、技术指导以及其他类似的义务。</w:t>
      </w:r>
    </w:p>
    <w:p w14:paraId="257E4537">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项目</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系指投标人按招标文件规定向采购人提供的服务。 </w:t>
      </w:r>
    </w:p>
    <w:p w14:paraId="33CF9F1C">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书面形式</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包括信函、传真、电报等。 </w:t>
      </w:r>
    </w:p>
    <w:p w14:paraId="4F83BDEC">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系指实质性要求条款。 </w:t>
      </w:r>
    </w:p>
    <w:p w14:paraId="284F8839">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四）采购方式 </w:t>
      </w:r>
    </w:p>
    <w:p w14:paraId="5BFFD348">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本次招标采用公开招标方式进行。 </w:t>
      </w:r>
    </w:p>
    <w:p w14:paraId="2FBADC1D">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五）投标费用</w:t>
      </w:r>
    </w:p>
    <w:p w14:paraId="1B4EFEC5">
      <w:pPr>
        <w:spacing w:line="46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投标人应自行承担投标过程中的所有相关费用，不论中标与否，采购人在任何情况下不承担有关费用。</w:t>
      </w:r>
    </w:p>
    <w:p w14:paraId="3A51358D">
      <w:pPr>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本项目代理服务费</w:t>
      </w:r>
      <w:r>
        <w:rPr>
          <w:rFonts w:hint="eastAsia" w:ascii="仿宋" w:hAnsi="仿宋" w:eastAsia="仿宋" w:cs="仿宋"/>
          <w:b/>
          <w:bCs/>
          <w:color w:val="auto"/>
          <w:kern w:val="0"/>
          <w:sz w:val="24"/>
          <w:highlight w:val="none"/>
          <w:u w:val="none"/>
          <w:lang w:val="en-US" w:eastAsia="zh-CN"/>
        </w:rPr>
        <w:t>¥</w:t>
      </w:r>
      <w:r>
        <w:rPr>
          <w:rFonts w:hint="eastAsia" w:ascii="仿宋" w:hAnsi="仿宋" w:eastAsia="仿宋" w:cs="仿宋"/>
          <w:b/>
          <w:bCs/>
          <w:color w:val="auto"/>
          <w:kern w:val="0"/>
          <w:sz w:val="24"/>
          <w:highlight w:val="none"/>
          <w:u w:val="none"/>
        </w:rPr>
        <w:t>3</w:t>
      </w:r>
      <w:r>
        <w:rPr>
          <w:rFonts w:hint="eastAsia" w:ascii="仿宋" w:hAnsi="仿宋" w:eastAsia="仿宋" w:cs="仿宋"/>
          <w:b/>
          <w:bCs/>
          <w:color w:val="auto"/>
          <w:kern w:val="0"/>
          <w:sz w:val="24"/>
          <w:highlight w:val="none"/>
          <w:u w:val="none"/>
          <w:lang w:val="en-US" w:eastAsia="zh-CN"/>
        </w:rPr>
        <w:t>2</w:t>
      </w:r>
      <w:r>
        <w:rPr>
          <w:rFonts w:hint="eastAsia" w:ascii="仿宋" w:hAnsi="仿宋" w:eastAsia="仿宋" w:cs="仿宋"/>
          <w:b/>
          <w:bCs/>
          <w:color w:val="auto"/>
          <w:kern w:val="0"/>
          <w:sz w:val="24"/>
          <w:highlight w:val="none"/>
          <w:u w:val="none"/>
        </w:rPr>
        <w:t>000元</w:t>
      </w:r>
      <w:r>
        <w:rPr>
          <w:rFonts w:hint="eastAsia" w:ascii="仿宋" w:hAnsi="仿宋" w:eastAsia="仿宋" w:cs="仿宋"/>
          <w:color w:val="auto"/>
          <w:kern w:val="0"/>
          <w:sz w:val="24"/>
          <w:highlight w:val="none"/>
        </w:rPr>
        <w:t>由相应中标人支付。在确定中标人后，领取中标通知书的当天一次性结清，请各投标人自行考虑计入投标报价中。</w:t>
      </w:r>
    </w:p>
    <w:p w14:paraId="17473908">
      <w:pPr>
        <w:spacing w:line="46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代理机构银行账户信息：</w:t>
      </w:r>
    </w:p>
    <w:p w14:paraId="2E977FBC">
      <w:pPr>
        <w:spacing w:line="460" w:lineRule="exact"/>
        <w:ind w:firstLine="482" w:firstLineChars="200"/>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户  名：中纬工程管理咨询有限公司湖州分公司</w:t>
      </w:r>
    </w:p>
    <w:p w14:paraId="64A9A7CF">
      <w:pPr>
        <w:spacing w:line="460" w:lineRule="exact"/>
        <w:ind w:firstLine="482" w:firstLineChars="200"/>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开户银行：湖州银行日月城支行</w:t>
      </w:r>
    </w:p>
    <w:p w14:paraId="0BAD4FBC">
      <w:pPr>
        <w:spacing w:line="460" w:lineRule="exact"/>
        <w:ind w:firstLine="482" w:firstLineChars="200"/>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账  号：800025382000238</w:t>
      </w:r>
    </w:p>
    <w:p w14:paraId="7F40FD62">
      <w:pPr>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六）联合体投标</w:t>
      </w:r>
    </w:p>
    <w:p w14:paraId="41A39918">
      <w:pPr>
        <w:spacing w:line="460" w:lineRule="exact"/>
        <w:ind w:firstLine="482" w:firstLineChars="200"/>
        <w:jc w:val="left"/>
        <w:rPr>
          <w:rFonts w:ascii="仿宋" w:hAnsi="仿宋" w:eastAsia="仿宋" w:cs="仿宋"/>
          <w:b/>
          <w:color w:val="auto"/>
          <w:kern w:val="0"/>
          <w:sz w:val="24"/>
          <w:highlight w:val="none"/>
        </w:rPr>
      </w:pPr>
      <w:r>
        <w:rPr>
          <w:rFonts w:hint="eastAsia" w:ascii="仿宋" w:hAnsi="仿宋" w:eastAsia="仿宋" w:cs="仿宋"/>
          <w:b/>
          <w:color w:val="auto"/>
          <w:sz w:val="24"/>
          <w:highlight w:val="none"/>
        </w:rPr>
        <w:t>本项目接受联合体投标，联合体成员总数不得超过2家且联合体各方不得再单独参加或者与其他供应商另外组成联合体参加本项目采购活动，联合体协议中由供应商自行约定联合体牵头人及联合体成员单位。</w:t>
      </w:r>
    </w:p>
    <w:p w14:paraId="2D78DD12">
      <w:pPr>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七）转包与分包</w:t>
      </w:r>
    </w:p>
    <w:p w14:paraId="6DD10FC8">
      <w:pPr>
        <w:spacing w:line="460" w:lineRule="exact"/>
        <w:ind w:firstLine="482" w:firstLineChars="20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本项目不允许转包与分包。</w:t>
      </w:r>
    </w:p>
    <w:p w14:paraId="0B5AD194">
      <w:pPr>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特别说明：</w:t>
      </w:r>
    </w:p>
    <w:p w14:paraId="7F22C8CF">
      <w:pPr>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1.投标人投标所使用的资格、信誉、荣誉、业绩与企业认证必须为本法人所拥有。投标人投标所使用的采购项目实施人员必须为本法人员工。</w:t>
      </w:r>
    </w:p>
    <w:p w14:paraId="52390EAC">
      <w:pPr>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2.投标人应仔细阅读招标文件的所有内容，按照招标文件的要求提交投标文件，并对所提供的全部资料的真实性承担法律责任。</w:t>
      </w:r>
    </w:p>
    <w:p w14:paraId="02D2068C">
      <w:pPr>
        <w:widowControl/>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B03671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八）质疑和投诉</w:t>
      </w:r>
    </w:p>
    <w:p w14:paraId="6D51E954">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根据《中华人民共和国财政部令第 94 号-政府采购质疑和投诉办法》第二章规定。</w:t>
      </w:r>
    </w:p>
    <w:p w14:paraId="53F2A63D">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1.投标人认为招标文件、采购过程、中标或者中标结果使自己的权益受到损害的，可以在知道或者应知其权益受到损害之日起 7 个工作日内，以书面形式向采购人、采购代理机构提出质疑。招标文件可以要求投标人在法定质疑期内一次性提出针对同一采购程序环节的质疑。</w:t>
      </w:r>
    </w:p>
    <w:p w14:paraId="40346535">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2.提出质疑的投标人</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以下简称质疑投标人）应当是参与所质疑项目采购活动的投标人。潜在投标人已依法获取其可质疑的招标文件的，可以对该文件提出质疑。对招标文件提出质疑的，应当在获取招标文件或者招标文件公告期限届满之日起 7 个工作日内提出。</w:t>
      </w:r>
    </w:p>
    <w:p w14:paraId="6B972B3B">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投标人提出质疑应当提交质疑函和必要的证明材料。质疑函应当包括下列内容: </w:t>
      </w:r>
    </w:p>
    <w:p w14:paraId="0036DB6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1）投标人的姓名或者名称、地址、邮编、联系人及联系电话；</w:t>
      </w:r>
    </w:p>
    <w:p w14:paraId="0E1DCC51">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2）质疑项目的名称、编号；</w:t>
      </w:r>
    </w:p>
    <w:p w14:paraId="331820B0">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3）具体、明确的质疑事项和与质疑事项相关的请求；</w:t>
      </w:r>
    </w:p>
    <w:p w14:paraId="5C0E5D54">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4）事实依据；</w:t>
      </w:r>
    </w:p>
    <w:p w14:paraId="7FCDE384">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5）必要的法律依据；</w:t>
      </w:r>
    </w:p>
    <w:p w14:paraId="372378DA">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6）提出质疑的日期。</w:t>
      </w:r>
    </w:p>
    <w:p w14:paraId="240E0FA2">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投标人为自然人的，应当由本人签字；投标人为法人或者其他组织的，应当由法定代表人、主要负责人，或者其授权代理人签字或者盖章，并加盖公章。</w:t>
      </w:r>
    </w:p>
    <w:p w14:paraId="21C07377">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4.采购人、采购代理机构不得拒收质疑投标人在法定质疑期内发出的质疑函，应当在收到质疑函后 7 个工作日内作出答复，并以书面形式通知质疑投标人和其他有关投标人。</w:t>
      </w:r>
    </w:p>
    <w:p w14:paraId="155DD678">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 投标人对评审过程、中标或者中标结果提出质疑的，采购人、采购代理机构可以组织原评标委员会、竞争性谈判小组、询价小组或者竞争性评审小组协助答复质疑。</w:t>
      </w:r>
    </w:p>
    <w:p w14:paraId="3B4A2735">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6.质疑答复应当包括下列内容：</w:t>
      </w:r>
    </w:p>
    <w:p w14:paraId="5F19ED15">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1）质疑投标人的姓名或者名称；</w:t>
      </w:r>
    </w:p>
    <w:p w14:paraId="6865DC4C">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2）收到质疑函的日期、质疑项目名称及编号；</w:t>
      </w:r>
    </w:p>
    <w:p w14:paraId="0A8D0F0A">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3）质疑事项、质疑答复的具体内容、事实依据和法律依据；</w:t>
      </w:r>
    </w:p>
    <w:p w14:paraId="3079DD4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4）告知质疑投标人依法投诉的权利；</w:t>
      </w:r>
    </w:p>
    <w:p w14:paraId="3A5515E7">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5）质疑答复人名称；</w:t>
      </w:r>
    </w:p>
    <w:p w14:paraId="2CD9BB3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6）答复质疑的日期。</w:t>
      </w:r>
    </w:p>
    <w:p w14:paraId="209ED55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质疑答复的内容不得涉及商业秘密。</w:t>
      </w:r>
    </w:p>
    <w:p w14:paraId="247FEB0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7.采购人、采购代理机构认为投标人质疑不成立，或者成立但未对中标、中标结果构成影响的，继续开展采购活动；认为投标人质疑成立且影响或者可能影响中标、中标结果的，按照下列情况处理：</w:t>
      </w:r>
    </w:p>
    <w:p w14:paraId="3337D9F4">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1）对招标文件提出的质疑，依法通过澄清或者修改可以继续开展采购活动的，澄清或者修改招标文件后继续开展采购活动；否则应当修改招标文件后重新开展采购活动。</w:t>
      </w:r>
    </w:p>
    <w:p w14:paraId="106F878A">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对采购过程、中标或者中标结果提出的质疑，合格投标人符合法定数量时，可以从合格的中标或者中标候选人中另行确定中标、中标人的，应当依法另行确定中标、中标人；否则应当重新开展采购活动。质疑答复导致中标、中标结果改变的，采购人或者采购代理机构应当将有关情况书面报告本级财政部门。</w:t>
      </w:r>
      <w:bookmarkStart w:id="37" w:name="_Toc32550"/>
    </w:p>
    <w:p w14:paraId="7418D03C">
      <w:pPr>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二、招标文件</w:t>
      </w:r>
      <w:bookmarkEnd w:id="37"/>
    </w:p>
    <w:p w14:paraId="7EE78F9F">
      <w:pPr>
        <w:spacing w:line="460" w:lineRule="exact"/>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一） 招标文件的构成。本招标文件由以下部分组成：</w:t>
      </w:r>
    </w:p>
    <w:p w14:paraId="2A58CC5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1.公开招标公告</w:t>
      </w:r>
    </w:p>
    <w:p w14:paraId="6C4FB57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2.招标需求</w:t>
      </w:r>
    </w:p>
    <w:p w14:paraId="3AF8D05B">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3.投标人须知</w:t>
      </w:r>
    </w:p>
    <w:p w14:paraId="2C355030">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4.评标办法及标准</w:t>
      </w:r>
    </w:p>
    <w:p w14:paraId="7806F8C5">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5.合同主要条款</w:t>
      </w:r>
    </w:p>
    <w:p w14:paraId="5274DBA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6.投标格式</w:t>
      </w:r>
    </w:p>
    <w:p w14:paraId="2CE9086D">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7.本项目招标文件的澄清、答复、修改、补充的内容</w:t>
      </w:r>
    </w:p>
    <w:p w14:paraId="3BB2D3D5">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二）投标人的风险</w:t>
      </w:r>
    </w:p>
    <w:p w14:paraId="450B069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投标人没有按照招标文件要求提供全部资料，或者投标人没有对招标文件在各方面作出实质性响应是投标人的风险，并可能导致其投标被拒绝。</w:t>
      </w:r>
    </w:p>
    <w:p w14:paraId="187B1A34">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三）招标文件的澄清与修改</w:t>
      </w:r>
    </w:p>
    <w:p w14:paraId="2235C020">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应认真阅读本招标文件，发现其中有误或有不合理要求的，投标人应当在获取招标文件或者招标文件公告期限届满之日起七个工作日内提出，否则逾期视为默认。采购人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采购人或者采购代理机构应当顺延提交投标文件的截止时间。</w:t>
      </w:r>
    </w:p>
    <w:p w14:paraId="6890027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2.采购人、采购代理机构必须以书面形式答复投标人要求澄清的问题，并将不包含问题来源的答复书面通知所有购买招标文件的投标人；除书面答复以外的其他澄清方式及澄清内容均无效。</w:t>
      </w:r>
    </w:p>
    <w:p w14:paraId="35890BD0">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3.招标文件澄清、答复、修改、补充的内容为招标文件的组成部分。当招标文件与招标文件的答复、澄清、修改、补充通知就同一内容的表述不一致时，以最后发出的书面文件为准。</w:t>
      </w:r>
    </w:p>
    <w:p w14:paraId="548D73DD">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4.招标文件的澄清、答复、修改或补充都应该通过本采购代理机构以法定形式发布，采购人非通过本采购代理机构，不得擅自澄清、答复、修改或补充招标文件。</w:t>
      </w:r>
    </w:p>
    <w:p w14:paraId="0810445A">
      <w:pPr>
        <w:spacing w:line="460" w:lineRule="exact"/>
        <w:rPr>
          <w:rFonts w:hint="eastAsia" w:ascii="仿宋" w:hAnsi="仿宋" w:eastAsia="仿宋" w:cs="仿宋"/>
          <w:b/>
          <w:color w:val="auto"/>
          <w:sz w:val="24"/>
          <w:szCs w:val="24"/>
          <w:highlight w:val="none"/>
        </w:rPr>
      </w:pPr>
      <w:bookmarkStart w:id="38" w:name="_Toc16925"/>
      <w:r>
        <w:rPr>
          <w:rFonts w:hint="eastAsia" w:ascii="仿宋" w:hAnsi="仿宋" w:eastAsia="仿宋" w:cs="仿宋"/>
          <w:b/>
          <w:color w:val="auto"/>
          <w:sz w:val="24"/>
          <w:szCs w:val="24"/>
          <w:highlight w:val="none"/>
        </w:rPr>
        <w:t>三、投标文件的编制要求</w:t>
      </w:r>
      <w:bookmarkEnd w:id="38"/>
    </w:p>
    <w:p w14:paraId="4A52081A">
      <w:pPr>
        <w:spacing w:line="460" w:lineRule="exac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一）投标文件的组成</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如无格式、格式自拟。）</w:t>
      </w:r>
    </w:p>
    <w:p w14:paraId="6CF1877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投标文件由《资格文件》《技术、商务、资信及其他文件》《报价文件》三部分组成。</w:t>
      </w:r>
    </w:p>
    <w:p w14:paraId="785704C1">
      <w:pPr>
        <w:spacing w:line="460" w:lineRule="exact"/>
        <w:ind w:firstLine="241" w:firstLineChars="100"/>
        <w:rPr>
          <w:rFonts w:ascii="仿宋" w:hAnsi="仿宋" w:eastAsia="仿宋" w:cs="仿宋"/>
          <w:b/>
          <w:color w:val="auto"/>
          <w:kern w:val="0"/>
          <w:sz w:val="24"/>
          <w:highlight w:val="none"/>
        </w:rPr>
      </w:pPr>
      <w:bookmarkStart w:id="39" w:name="_Hlk69641401"/>
      <w:r>
        <w:rPr>
          <w:rFonts w:hint="eastAsia" w:ascii="仿宋" w:hAnsi="仿宋" w:eastAsia="仿宋" w:cs="仿宋"/>
          <w:b/>
          <w:color w:val="auto"/>
          <w:kern w:val="0"/>
          <w:sz w:val="24"/>
          <w:highlight w:val="none"/>
        </w:rPr>
        <w:t>1.资格文件主要包括下列内容：</w:t>
      </w:r>
    </w:p>
    <w:p w14:paraId="6A6A4C6B">
      <w:pPr>
        <w:spacing w:line="460" w:lineRule="exact"/>
        <w:ind w:firstLine="235" w:firstLineChars="98"/>
        <w:rPr>
          <w:rFonts w:ascii="仿宋" w:hAnsi="仿宋" w:eastAsia="仿宋" w:cs="仿宋"/>
          <w:b/>
          <w:bCs/>
          <w:color w:val="auto"/>
          <w:kern w:val="0"/>
          <w:sz w:val="24"/>
          <w:highlight w:val="none"/>
        </w:rPr>
      </w:pPr>
      <w:r>
        <w:rPr>
          <w:rFonts w:hint="eastAsia" w:ascii="仿宋" w:hAnsi="仿宋" w:eastAsia="仿宋" w:cs="仿宋"/>
          <w:color w:val="auto"/>
          <w:kern w:val="0"/>
          <w:sz w:val="24"/>
          <w:highlight w:val="none"/>
        </w:rPr>
        <w:t>①</w:t>
      </w:r>
      <w:r>
        <w:rPr>
          <w:rFonts w:ascii="仿宋" w:hAnsi="仿宋" w:eastAsia="仿宋"/>
          <w:color w:val="auto"/>
          <w:sz w:val="24"/>
          <w:highlight w:val="none"/>
        </w:rPr>
        <w:t>有效的营业执照、税务登记证、组织机构代码证或</w:t>
      </w:r>
      <w:r>
        <w:rPr>
          <w:rFonts w:hint="eastAsia" w:ascii="仿宋" w:hAnsi="仿宋" w:eastAsia="仿宋"/>
          <w:color w:val="auto"/>
          <w:sz w:val="24"/>
          <w:highlight w:val="none"/>
          <w:lang w:eastAsia="zh-CN"/>
        </w:rPr>
        <w:t>“</w:t>
      </w:r>
      <w:r>
        <w:rPr>
          <w:rFonts w:ascii="仿宋" w:hAnsi="仿宋" w:eastAsia="仿宋"/>
          <w:color w:val="auto"/>
          <w:sz w:val="24"/>
          <w:highlight w:val="none"/>
        </w:rPr>
        <w:t>三证合一</w:t>
      </w:r>
      <w:r>
        <w:rPr>
          <w:rFonts w:hint="eastAsia" w:ascii="仿宋" w:hAnsi="仿宋" w:eastAsia="仿宋"/>
          <w:color w:val="auto"/>
          <w:sz w:val="24"/>
          <w:highlight w:val="none"/>
          <w:lang w:eastAsia="zh-CN"/>
        </w:rPr>
        <w:t>”</w:t>
      </w:r>
      <w:r>
        <w:rPr>
          <w:rFonts w:ascii="仿宋" w:hAnsi="仿宋" w:eastAsia="仿宋"/>
          <w:color w:val="auto"/>
          <w:sz w:val="24"/>
          <w:highlight w:val="none"/>
        </w:rPr>
        <w:t>的营业执照或</w:t>
      </w:r>
      <w:r>
        <w:rPr>
          <w:rFonts w:hint="eastAsia" w:ascii="仿宋" w:hAnsi="仿宋" w:eastAsia="仿宋"/>
          <w:color w:val="auto"/>
          <w:sz w:val="24"/>
          <w:highlight w:val="none"/>
          <w:lang w:eastAsia="zh-CN"/>
        </w:rPr>
        <w:t>“</w:t>
      </w:r>
      <w:r>
        <w:rPr>
          <w:rFonts w:ascii="仿宋" w:hAnsi="仿宋" w:eastAsia="仿宋"/>
          <w:color w:val="auto"/>
          <w:sz w:val="24"/>
          <w:highlight w:val="none"/>
        </w:rPr>
        <w:t>五证合一</w:t>
      </w:r>
      <w:r>
        <w:rPr>
          <w:rFonts w:hint="eastAsia" w:ascii="仿宋" w:hAnsi="仿宋" w:eastAsia="仿宋"/>
          <w:color w:val="auto"/>
          <w:sz w:val="24"/>
          <w:highlight w:val="none"/>
          <w:lang w:eastAsia="zh-CN"/>
        </w:rPr>
        <w:t>”</w:t>
      </w:r>
      <w:r>
        <w:rPr>
          <w:rFonts w:ascii="仿宋" w:hAnsi="仿宋" w:eastAsia="仿宋"/>
          <w:color w:val="auto"/>
          <w:sz w:val="24"/>
          <w:highlight w:val="none"/>
        </w:rPr>
        <w:t>的营业执照；</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rPr>
        <w:t>资格审查条款，联合体投标的双方均提供）</w:t>
      </w:r>
    </w:p>
    <w:p w14:paraId="71DDD2EB">
      <w:pPr>
        <w:spacing w:line="460" w:lineRule="exact"/>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②</w:t>
      </w:r>
      <w:r>
        <w:rPr>
          <w:rFonts w:ascii="仿宋" w:hAnsi="仿宋" w:eastAsia="仿宋"/>
          <w:color w:val="auto"/>
          <w:sz w:val="24"/>
          <w:highlight w:val="none"/>
        </w:rPr>
        <w:t>法定代表人有效身份证明书及身份证或法定代表人授权书及授权人身份证；</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rPr>
        <w:t>资格审查条款，联合体投标的由牵头人提供）</w:t>
      </w:r>
    </w:p>
    <w:p w14:paraId="5DF98CF7">
      <w:pPr>
        <w:spacing w:line="460" w:lineRule="exact"/>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③</w:t>
      </w:r>
      <w:r>
        <w:rPr>
          <w:rFonts w:ascii="仿宋" w:hAnsi="仿宋" w:eastAsia="仿宋"/>
          <w:color w:val="auto"/>
          <w:sz w:val="24"/>
          <w:highlight w:val="none"/>
        </w:rPr>
        <w:t>授权代理人最近</w:t>
      </w:r>
      <w:r>
        <w:rPr>
          <w:rFonts w:hint="eastAsia" w:ascii="仿宋" w:hAnsi="仿宋" w:eastAsia="仿宋"/>
          <w:bCs/>
          <w:color w:val="auto"/>
          <w:sz w:val="24"/>
          <w:highlight w:val="none"/>
        </w:rPr>
        <w:t>三个月中任意一个月</w:t>
      </w:r>
      <w:r>
        <w:rPr>
          <w:rFonts w:ascii="仿宋" w:hAnsi="仿宋" w:eastAsia="仿宋"/>
          <w:color w:val="auto"/>
          <w:sz w:val="24"/>
          <w:highlight w:val="none"/>
        </w:rPr>
        <w:t>个人社保缴纳证明文件；</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rPr>
        <w:t>资格审查条款，联合体投标的由牵头人提供）</w:t>
      </w:r>
    </w:p>
    <w:p w14:paraId="6B6CC4BA">
      <w:pPr>
        <w:spacing w:line="460" w:lineRule="exact"/>
        <w:ind w:firstLine="235" w:firstLineChars="98"/>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④</w:t>
      </w:r>
      <w:r>
        <w:rPr>
          <w:rFonts w:hint="eastAsia" w:ascii="仿宋" w:hAnsi="仿宋" w:eastAsia="仿宋"/>
          <w:bCs/>
          <w:color w:val="auto"/>
          <w:sz w:val="24"/>
          <w:highlight w:val="none"/>
        </w:rPr>
        <w:t>资格</w:t>
      </w:r>
      <w:r>
        <w:rPr>
          <w:rFonts w:ascii="仿宋" w:hAnsi="仿宋" w:eastAsia="仿宋"/>
          <w:color w:val="auto"/>
          <w:sz w:val="24"/>
          <w:highlight w:val="none"/>
        </w:rPr>
        <w:t>承诺书；</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rPr>
        <w:t>资格审查条款，联合体投标的双方均提供）</w:t>
      </w:r>
    </w:p>
    <w:p w14:paraId="69A155D7">
      <w:pPr>
        <w:spacing w:line="460" w:lineRule="exact"/>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⑤</w:t>
      </w:r>
      <w:r>
        <w:rPr>
          <w:rFonts w:ascii="仿宋" w:hAnsi="仿宋" w:eastAsia="仿宋"/>
          <w:color w:val="auto"/>
          <w:sz w:val="24"/>
          <w:highlight w:val="none"/>
        </w:rPr>
        <w:t>信用承诺书；</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rPr>
        <w:t>资格审查条款，联合体投标的双方均提供）</w:t>
      </w:r>
    </w:p>
    <w:p w14:paraId="57891D37">
      <w:pPr>
        <w:spacing w:line="460" w:lineRule="exact"/>
        <w:ind w:firstLine="240" w:firstLineChars="100"/>
        <w:rPr>
          <w:rFonts w:ascii="仿宋" w:hAnsi="仿宋" w:eastAsia="仿宋"/>
          <w:b/>
          <w:bCs/>
          <w:color w:val="auto"/>
          <w:sz w:val="24"/>
          <w:highlight w:val="none"/>
        </w:rPr>
      </w:pPr>
      <w:r>
        <w:rPr>
          <w:rFonts w:hint="eastAsia" w:ascii="仿宋" w:hAnsi="仿宋" w:eastAsia="仿宋" w:cs="仿宋"/>
          <w:color w:val="auto"/>
          <w:kern w:val="0"/>
          <w:sz w:val="24"/>
          <w:highlight w:val="none"/>
        </w:rPr>
        <w:t>⑥</w:t>
      </w:r>
      <w:r>
        <w:rPr>
          <w:rFonts w:hint="eastAsia" w:ascii="仿宋" w:hAnsi="仿宋" w:eastAsia="仿宋" w:cs="仿宋"/>
          <w:bCs/>
          <w:color w:val="auto"/>
          <w:sz w:val="24"/>
          <w:highlight w:val="none"/>
        </w:rPr>
        <w:t>企业资质证书【市政公用工程施工总承包三级及以上资质</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浙江省外企业须提供有效的进浙备案证明）、具备完成地下管道检测修复服务的能力</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提供相应的证书或证明材料并加盖公章</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】如是联合体单位请提供联合体协议；</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rPr>
        <w:t>资格审查条款，联合体投标的任意一方提供均认可）</w:t>
      </w:r>
    </w:p>
    <w:p w14:paraId="471643D8">
      <w:pPr>
        <w:spacing w:line="460" w:lineRule="exact"/>
        <w:ind w:firstLine="240" w:firstLineChars="100"/>
        <w:rPr>
          <w:rFonts w:eastAsia="仿宋"/>
          <w:color w:val="auto"/>
          <w:highlight w:val="none"/>
        </w:rPr>
      </w:pPr>
      <w:r>
        <w:rPr>
          <w:rFonts w:hint="eastAsia" w:ascii="仿宋" w:hAnsi="仿宋" w:eastAsia="仿宋" w:cs="仿宋"/>
          <w:color w:val="auto"/>
          <w:kern w:val="0"/>
          <w:sz w:val="24"/>
          <w:highlight w:val="none"/>
        </w:rPr>
        <w:t>⑦</w:t>
      </w:r>
      <w:r>
        <w:rPr>
          <w:rFonts w:hint="eastAsia" w:ascii="仿宋" w:hAnsi="仿宋" w:eastAsia="仿宋" w:cs="仿宋"/>
          <w:bCs/>
          <w:color w:val="auto"/>
          <w:sz w:val="24"/>
          <w:highlight w:val="none"/>
        </w:rPr>
        <w:t>联合体协议</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如有）；</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rPr>
        <w:t>资格审查条款，非联合体无需提供）</w:t>
      </w:r>
    </w:p>
    <w:p w14:paraId="34903D7A">
      <w:pPr>
        <w:spacing w:line="460" w:lineRule="exact"/>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⑧</w:t>
      </w:r>
      <w:r>
        <w:rPr>
          <w:rFonts w:ascii="仿宋" w:hAnsi="仿宋" w:eastAsia="仿宋"/>
          <w:color w:val="auto"/>
          <w:sz w:val="24"/>
          <w:highlight w:val="none"/>
        </w:rPr>
        <w:t>中小企业声明函；</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rPr>
        <w:t>资格审查条款，联合体投标的双方均提供）</w:t>
      </w:r>
    </w:p>
    <w:p w14:paraId="559B815C">
      <w:pPr>
        <w:spacing w:line="460" w:lineRule="exact"/>
        <w:ind w:firstLine="240" w:firstLineChars="100"/>
        <w:rPr>
          <w:rFonts w:ascii="仿宋" w:hAnsi="仿宋" w:eastAsia="仿宋"/>
          <w:color w:val="auto"/>
          <w:sz w:val="24"/>
          <w:highlight w:val="none"/>
        </w:rPr>
      </w:pPr>
      <w:r>
        <w:rPr>
          <w:rFonts w:hint="eastAsia" w:ascii="仿宋" w:hAnsi="仿宋" w:eastAsia="仿宋"/>
          <w:color w:val="auto"/>
          <w:sz w:val="24"/>
          <w:highlight w:val="none"/>
        </w:rPr>
        <w:t>⑨</w:t>
      </w:r>
      <w:r>
        <w:rPr>
          <w:rFonts w:ascii="仿宋" w:hAnsi="仿宋" w:eastAsia="仿宋"/>
          <w:color w:val="auto"/>
          <w:sz w:val="24"/>
          <w:highlight w:val="none"/>
        </w:rPr>
        <w:t>监狱企业声明函</w:t>
      </w:r>
      <w:r>
        <w:rPr>
          <w:rFonts w:hint="eastAsia" w:ascii="仿宋" w:hAnsi="仿宋" w:eastAsia="仿宋"/>
          <w:color w:val="auto"/>
          <w:sz w:val="24"/>
          <w:highlight w:val="none"/>
          <w:lang w:eastAsia="zh-CN"/>
        </w:rPr>
        <w:t>（</w:t>
      </w:r>
      <w:r>
        <w:rPr>
          <w:rFonts w:ascii="仿宋" w:hAnsi="仿宋" w:eastAsia="仿宋"/>
          <w:color w:val="auto"/>
          <w:sz w:val="24"/>
          <w:highlight w:val="none"/>
        </w:rPr>
        <w:t>如有）；</w:t>
      </w:r>
    </w:p>
    <w:p w14:paraId="41062F34">
      <w:pPr>
        <w:spacing w:line="460" w:lineRule="exact"/>
        <w:ind w:firstLine="240" w:firstLineChars="100"/>
        <w:rPr>
          <w:rFonts w:ascii="仿宋" w:hAnsi="仿宋" w:eastAsia="仿宋"/>
          <w:color w:val="auto"/>
          <w:sz w:val="24"/>
          <w:highlight w:val="none"/>
        </w:rPr>
      </w:pPr>
      <w:r>
        <w:rPr>
          <w:rFonts w:hint="eastAsia" w:ascii="仿宋" w:hAnsi="仿宋" w:eastAsia="仿宋"/>
          <w:color w:val="auto"/>
          <w:sz w:val="24"/>
          <w:highlight w:val="none"/>
          <w:lang w:val="en-US" w:eastAsia="zh-CN"/>
        </w:rPr>
        <w:t>⑩</w:t>
      </w:r>
      <w:r>
        <w:rPr>
          <w:rFonts w:ascii="仿宋" w:hAnsi="仿宋" w:eastAsia="仿宋"/>
          <w:color w:val="auto"/>
          <w:sz w:val="24"/>
          <w:highlight w:val="none"/>
        </w:rPr>
        <w:t>残疾人福利性单位声明函</w:t>
      </w:r>
      <w:r>
        <w:rPr>
          <w:rFonts w:hint="eastAsia" w:ascii="仿宋" w:hAnsi="仿宋" w:eastAsia="仿宋"/>
          <w:color w:val="auto"/>
          <w:sz w:val="24"/>
          <w:highlight w:val="none"/>
          <w:lang w:eastAsia="zh-CN"/>
        </w:rPr>
        <w:t>（</w:t>
      </w:r>
      <w:r>
        <w:rPr>
          <w:rFonts w:ascii="仿宋" w:hAnsi="仿宋" w:eastAsia="仿宋"/>
          <w:color w:val="auto"/>
          <w:sz w:val="24"/>
          <w:highlight w:val="none"/>
        </w:rPr>
        <w:t>如有）。</w:t>
      </w:r>
    </w:p>
    <w:p w14:paraId="2B0E985E">
      <w:pPr>
        <w:spacing w:line="460" w:lineRule="exact"/>
        <w:ind w:firstLine="240" w:firstLineChars="100"/>
        <w:rPr>
          <w:rFonts w:ascii="仿宋" w:hAnsi="仿宋" w:eastAsia="仿宋"/>
          <w:color w:val="auto"/>
          <w:sz w:val="24"/>
          <w:highlight w:val="none"/>
        </w:rPr>
      </w:pPr>
      <w:r>
        <w:rPr>
          <w:rFonts w:hint="eastAsia" w:ascii="仿宋" w:hAnsi="仿宋" w:eastAsia="仿宋"/>
          <w:color w:val="auto"/>
          <w:sz w:val="24"/>
          <w:highlight w:val="none"/>
        </w:rPr>
        <w:t>注：以上为资格审查条款，投标文件中须提供齐全，届时采购人和采购代理机构将进行审核，未提供齐全可能将影响资格审查通过。</w:t>
      </w:r>
    </w:p>
    <w:p w14:paraId="048C2E87">
      <w:pPr>
        <w:spacing w:line="460" w:lineRule="exact"/>
        <w:ind w:firstLine="241" w:firstLineChars="1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 技术、商务、资信及其他文件主要包括下列内容：</w:t>
      </w:r>
    </w:p>
    <w:p w14:paraId="55347571">
      <w:pPr>
        <w:spacing w:line="460" w:lineRule="exact"/>
        <w:ind w:firstLine="235" w:firstLineChars="98"/>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投标人自评分索引表；</w:t>
      </w:r>
    </w:p>
    <w:p w14:paraId="39DD9061">
      <w:pPr>
        <w:pStyle w:val="12"/>
        <w:numPr>
          <w:ilvl w:val="0"/>
          <w:numId w:val="4"/>
        </w:numPr>
        <w:spacing w:line="460" w:lineRule="exact"/>
        <w:ind w:left="0" w:right="0" w:rightChars="0" w:firstLine="236" w:firstLineChars="98"/>
        <w:jc w:val="left"/>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技术部分：</w:t>
      </w:r>
    </w:p>
    <w:p w14:paraId="573AC2FD">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①</w:t>
      </w:r>
      <w:r>
        <w:rPr>
          <w:rFonts w:hint="eastAsia" w:ascii="仿宋" w:hAnsi="仿宋" w:eastAsia="仿宋"/>
          <w:color w:val="auto"/>
          <w:sz w:val="24"/>
          <w:highlight w:val="none"/>
        </w:rPr>
        <w:t>整体技术方案</w:t>
      </w:r>
      <w:r>
        <w:rPr>
          <w:rFonts w:hint="eastAsia" w:ascii="仿宋" w:hAnsi="仿宋" w:eastAsia="仿宋" w:cs="仿宋"/>
          <w:bCs/>
          <w:color w:val="auto"/>
          <w:sz w:val="24"/>
          <w:highlight w:val="none"/>
        </w:rPr>
        <w:t>；</w:t>
      </w:r>
    </w:p>
    <w:p w14:paraId="0F7BF44E">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②</w:t>
      </w:r>
      <w:r>
        <w:rPr>
          <w:rFonts w:ascii="仿宋" w:hAnsi="仿宋" w:eastAsia="仿宋"/>
          <w:color w:val="auto"/>
          <w:sz w:val="24"/>
          <w:highlight w:val="none"/>
        </w:rPr>
        <w:t>进度</w:t>
      </w:r>
      <w:r>
        <w:rPr>
          <w:rFonts w:hint="eastAsia" w:ascii="仿宋" w:hAnsi="仿宋" w:eastAsia="仿宋"/>
          <w:color w:val="auto"/>
          <w:sz w:val="24"/>
          <w:highlight w:val="none"/>
        </w:rPr>
        <w:t>控制</w:t>
      </w:r>
      <w:r>
        <w:rPr>
          <w:rFonts w:ascii="仿宋" w:hAnsi="仿宋" w:eastAsia="仿宋"/>
          <w:color w:val="auto"/>
          <w:sz w:val="24"/>
          <w:highlight w:val="none"/>
        </w:rPr>
        <w:t>措施</w:t>
      </w:r>
      <w:r>
        <w:rPr>
          <w:rFonts w:hint="eastAsia" w:ascii="仿宋" w:hAnsi="仿宋" w:eastAsia="仿宋"/>
          <w:color w:val="auto"/>
          <w:sz w:val="24"/>
          <w:highlight w:val="none"/>
        </w:rPr>
        <w:t>及方案</w:t>
      </w:r>
      <w:r>
        <w:rPr>
          <w:rFonts w:hint="eastAsia" w:ascii="仿宋" w:hAnsi="仿宋" w:eastAsia="仿宋" w:cs="仿宋"/>
          <w:bCs/>
          <w:color w:val="auto"/>
          <w:sz w:val="24"/>
          <w:highlight w:val="none"/>
        </w:rPr>
        <w:t>；</w:t>
      </w:r>
    </w:p>
    <w:p w14:paraId="5B614685">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③</w:t>
      </w:r>
      <w:r>
        <w:rPr>
          <w:rFonts w:ascii="仿宋" w:hAnsi="仿宋" w:eastAsia="仿宋"/>
          <w:color w:val="auto"/>
          <w:sz w:val="24"/>
          <w:highlight w:val="none"/>
        </w:rPr>
        <w:t>质量</w:t>
      </w:r>
      <w:r>
        <w:rPr>
          <w:rFonts w:hint="eastAsia" w:ascii="仿宋" w:hAnsi="仿宋" w:eastAsia="仿宋"/>
          <w:color w:val="auto"/>
          <w:sz w:val="24"/>
          <w:highlight w:val="none"/>
        </w:rPr>
        <w:t>控制措施及方案</w:t>
      </w:r>
      <w:r>
        <w:rPr>
          <w:rFonts w:hint="eastAsia" w:ascii="仿宋" w:hAnsi="仿宋" w:eastAsia="仿宋" w:cs="仿宋"/>
          <w:bCs/>
          <w:color w:val="auto"/>
          <w:sz w:val="24"/>
          <w:highlight w:val="none"/>
        </w:rPr>
        <w:t>；</w:t>
      </w:r>
    </w:p>
    <w:p w14:paraId="5D77ED4F">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④</w:t>
      </w:r>
      <w:r>
        <w:rPr>
          <w:rFonts w:hint="eastAsia" w:ascii="仿宋" w:hAnsi="仿宋" w:eastAsia="仿宋"/>
          <w:color w:val="auto"/>
          <w:sz w:val="24"/>
          <w:highlight w:val="none"/>
        </w:rPr>
        <w:t>环境保护管理方案及措施；</w:t>
      </w:r>
    </w:p>
    <w:p w14:paraId="7962B37A">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⑤</w:t>
      </w:r>
      <w:r>
        <w:rPr>
          <w:rFonts w:hint="eastAsia" w:ascii="仿宋" w:hAnsi="仿宋" w:eastAsia="仿宋"/>
          <w:color w:val="auto"/>
          <w:sz w:val="24"/>
          <w:highlight w:val="none"/>
        </w:rPr>
        <w:t>本项目拟投入设备</w:t>
      </w:r>
      <w:r>
        <w:rPr>
          <w:rFonts w:hint="eastAsia" w:ascii="仿宋" w:hAnsi="仿宋" w:eastAsia="仿宋" w:cs="仿宋"/>
          <w:bCs/>
          <w:color w:val="auto"/>
          <w:sz w:val="24"/>
          <w:highlight w:val="none"/>
        </w:rPr>
        <w:t>；</w:t>
      </w:r>
    </w:p>
    <w:p w14:paraId="3160A3CC">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⑥</w:t>
      </w:r>
      <w:r>
        <w:rPr>
          <w:rFonts w:ascii="仿宋" w:hAnsi="仿宋" w:eastAsia="仿宋"/>
          <w:color w:val="auto"/>
          <w:sz w:val="24"/>
          <w:highlight w:val="none"/>
        </w:rPr>
        <w:t>保证项目实施的技术力量和人力资源安排</w:t>
      </w:r>
      <w:r>
        <w:rPr>
          <w:rFonts w:hint="eastAsia" w:ascii="仿宋" w:hAnsi="仿宋" w:eastAsia="仿宋"/>
          <w:color w:val="auto"/>
          <w:sz w:val="24"/>
          <w:highlight w:val="none"/>
        </w:rPr>
        <w:t>；</w:t>
      </w:r>
    </w:p>
    <w:p w14:paraId="3290F0F4">
      <w:pPr>
        <w:spacing w:line="460" w:lineRule="exact"/>
        <w:ind w:firstLine="240" w:firstLineChars="100"/>
        <w:rPr>
          <w:rFonts w:ascii="仿宋" w:hAnsi="仿宋" w:eastAsia="仿宋" w:cs="仿宋"/>
          <w:bCs/>
          <w:color w:val="auto"/>
          <w:sz w:val="24"/>
          <w:highlight w:val="none"/>
        </w:rPr>
      </w:pPr>
      <w:r>
        <w:rPr>
          <w:rFonts w:hint="eastAsia" w:ascii="仿宋" w:hAnsi="仿宋" w:eastAsia="仿宋" w:cs="宋体"/>
          <w:color w:val="auto"/>
          <w:kern w:val="0"/>
          <w:sz w:val="24"/>
          <w:highlight w:val="none"/>
        </w:rPr>
        <w:t>⑦</w:t>
      </w:r>
      <w:r>
        <w:rPr>
          <w:rFonts w:hint="eastAsia" w:ascii="仿宋" w:hAnsi="仿宋" w:eastAsia="仿宋"/>
          <w:color w:val="auto"/>
          <w:sz w:val="24"/>
          <w:highlight w:val="none"/>
        </w:rPr>
        <w:t>应急预案</w:t>
      </w:r>
      <w:r>
        <w:rPr>
          <w:rFonts w:hint="eastAsia" w:ascii="仿宋" w:hAnsi="仿宋" w:eastAsia="仿宋" w:cs="仿宋"/>
          <w:bCs/>
          <w:color w:val="auto"/>
          <w:sz w:val="24"/>
          <w:highlight w:val="none"/>
        </w:rPr>
        <w:t>；</w:t>
      </w:r>
    </w:p>
    <w:p w14:paraId="07D33905">
      <w:pPr>
        <w:spacing w:line="460" w:lineRule="exact"/>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⑧对本项目有效的改进措施和合理化建议；</w:t>
      </w:r>
    </w:p>
    <w:p w14:paraId="19BC8E59">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仿宋"/>
          <w:bCs/>
          <w:color w:val="auto"/>
          <w:sz w:val="24"/>
          <w:highlight w:val="none"/>
        </w:rPr>
        <w:t>⑨投标人认为应该说明的其他文件和资料。</w:t>
      </w:r>
    </w:p>
    <w:p w14:paraId="27745911">
      <w:pPr>
        <w:spacing w:line="460" w:lineRule="exact"/>
        <w:ind w:firstLine="241" w:firstLineChars="100"/>
        <w:jc w:val="left"/>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lang w:eastAsia="zh-CN"/>
        </w:rPr>
        <w:t>（</w:t>
      </w:r>
      <w:r>
        <w:rPr>
          <w:rFonts w:hint="eastAsia" w:ascii="仿宋" w:hAnsi="仿宋" w:eastAsia="仿宋" w:cs="宋体"/>
          <w:b/>
          <w:color w:val="auto"/>
          <w:kern w:val="0"/>
          <w:sz w:val="24"/>
          <w:highlight w:val="none"/>
        </w:rPr>
        <w:t>2）商务、资信及其他部分：</w:t>
      </w:r>
    </w:p>
    <w:p w14:paraId="4126C175">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①</w:t>
      </w:r>
      <w:r>
        <w:rPr>
          <w:rFonts w:hint="eastAsia" w:ascii="仿宋" w:hAnsi="仿宋" w:eastAsia="仿宋" w:cs="仿宋"/>
          <w:bCs/>
          <w:color w:val="auto"/>
          <w:sz w:val="24"/>
          <w:highlight w:val="none"/>
        </w:rPr>
        <w:t>售后服务承诺</w:t>
      </w:r>
      <w:r>
        <w:rPr>
          <w:rFonts w:hint="eastAsia" w:ascii="仿宋" w:hAnsi="仿宋" w:eastAsia="仿宋" w:cs="宋体"/>
          <w:color w:val="auto"/>
          <w:kern w:val="0"/>
          <w:sz w:val="24"/>
          <w:highlight w:val="none"/>
        </w:rPr>
        <w:t>；</w:t>
      </w:r>
    </w:p>
    <w:p w14:paraId="2AA8F85B">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②企业业绩</w:t>
      </w:r>
      <w:r>
        <w:rPr>
          <w:rFonts w:hint="eastAsia" w:ascii="仿宋" w:hAnsi="仿宋" w:eastAsia="仿宋" w:cs="仿宋"/>
          <w:bCs/>
          <w:color w:val="auto"/>
          <w:sz w:val="24"/>
          <w:highlight w:val="none"/>
        </w:rPr>
        <w:t>；</w:t>
      </w:r>
    </w:p>
    <w:p w14:paraId="4E914643">
      <w:pPr>
        <w:spacing w:line="460" w:lineRule="exact"/>
        <w:ind w:left="239" w:leftChars="114"/>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③</w:t>
      </w:r>
      <w:r>
        <w:rPr>
          <w:rFonts w:hint="eastAsia" w:ascii="仿宋" w:hAnsi="仿宋" w:eastAsia="仿宋" w:cs="仿宋"/>
          <w:bCs/>
          <w:color w:val="auto"/>
          <w:sz w:val="24"/>
          <w:highlight w:val="none"/>
        </w:rPr>
        <w:t>响应时间承诺</w:t>
      </w:r>
      <w:r>
        <w:rPr>
          <w:rFonts w:hint="eastAsia" w:ascii="仿宋" w:hAnsi="仿宋" w:eastAsia="仿宋" w:cs="宋体"/>
          <w:color w:val="auto"/>
          <w:kern w:val="0"/>
          <w:sz w:val="24"/>
          <w:highlight w:val="none"/>
        </w:rPr>
        <w:t>；</w:t>
      </w:r>
    </w:p>
    <w:p w14:paraId="563F5C4F">
      <w:pPr>
        <w:spacing w:line="460" w:lineRule="exact"/>
        <w:ind w:left="239" w:leftChars="114"/>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④</w:t>
      </w:r>
      <w:r>
        <w:rPr>
          <w:rFonts w:hint="eastAsia" w:ascii="仿宋" w:hAnsi="仿宋" w:eastAsia="仿宋" w:cs="仿宋"/>
          <w:bCs/>
          <w:color w:val="auto"/>
          <w:sz w:val="24"/>
          <w:highlight w:val="none"/>
        </w:rPr>
        <w:t>企业认证；</w:t>
      </w:r>
    </w:p>
    <w:p w14:paraId="6877137F">
      <w:pPr>
        <w:spacing w:line="460" w:lineRule="exact"/>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⑤商务响应表；</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格式见附件）</w:t>
      </w:r>
    </w:p>
    <w:p w14:paraId="4FC28308">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仿宋"/>
          <w:bCs/>
          <w:color w:val="auto"/>
          <w:sz w:val="24"/>
          <w:highlight w:val="none"/>
        </w:rPr>
        <w:t>⑥投标人认为应该说明的其他文件和资料。</w:t>
      </w:r>
    </w:p>
    <w:p w14:paraId="02A49C2E">
      <w:pPr>
        <w:spacing w:line="460" w:lineRule="exact"/>
        <w:ind w:firstLine="240" w:firstLineChars="1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3）其他招标文件要求提供的或投标人认为需要说明的技术、商务、资信及其他文件内容。</w:t>
      </w:r>
    </w:p>
    <w:p w14:paraId="78773F3F">
      <w:pPr>
        <w:spacing w:line="460" w:lineRule="exact"/>
        <w:ind w:firstLine="241" w:firstLineChars="1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3.报价文件：</w:t>
      </w:r>
    </w:p>
    <w:p w14:paraId="7C8A9C3F">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①开标一览表</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格式见第六章）；</w:t>
      </w:r>
    </w:p>
    <w:p w14:paraId="194BE15D">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②报价明细表</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格式自拟）；</w:t>
      </w:r>
    </w:p>
    <w:p w14:paraId="3688A51E">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③招标代理服务费承诺函；</w:t>
      </w:r>
    </w:p>
    <w:p w14:paraId="4937CA70">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④投标人针对报价需要说明的其他文件和说明。</w:t>
      </w:r>
    </w:p>
    <w:p w14:paraId="2AF7ADB2">
      <w:pPr>
        <w:tabs>
          <w:tab w:val="left" w:pos="8100"/>
        </w:tabs>
        <w:spacing w:line="500" w:lineRule="exact"/>
        <w:rPr>
          <w:rFonts w:ascii="仿宋" w:hAnsi="仿宋" w:eastAsia="仿宋" w:cs="仿宋"/>
          <w:color w:val="auto"/>
          <w:sz w:val="24"/>
          <w:highlight w:val="none"/>
        </w:rPr>
      </w:pPr>
      <w:r>
        <w:rPr>
          <w:rFonts w:hint="eastAsia" w:ascii="仿宋" w:hAnsi="仿宋" w:eastAsia="仿宋" w:cs="仿宋"/>
          <w:b/>
          <w:color w:val="auto"/>
          <w:sz w:val="24"/>
          <w:highlight w:val="none"/>
        </w:rPr>
        <w:t>注：以上响应文件组成内容中的复印件均须加盖供应商公章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或CA电子签章）。</w:t>
      </w:r>
    </w:p>
    <w:bookmarkEnd w:id="39"/>
    <w:p w14:paraId="5900487D">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二）投标文件的语言及计量</w:t>
      </w:r>
    </w:p>
    <w:p w14:paraId="69DD3117">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1.投标文件以及投标人与采购人就有关投标事宜的所有来往函电，均应以中文汉语书写。除签名、盖章、专用名称等特殊情形外，以中文汉语以外的文字表述的投标文件视同未提供。</w:t>
      </w:r>
    </w:p>
    <w:p w14:paraId="478B0664">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2.投标计量单位，招标文件已有明确规定的，使用招标文件规定的计量单位；招标文件没有规定的，应采用中华人民共和国法定计量单位</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货币单位：人民币元），否则视同未响应。</w:t>
      </w:r>
    </w:p>
    <w:p w14:paraId="25DD4313">
      <w:pPr>
        <w:spacing w:line="460" w:lineRule="exact"/>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三）投标报价</w:t>
      </w:r>
    </w:p>
    <w:p w14:paraId="71B1185D">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1.投标报价应按招标文件中相关附表格式填写。投标报价为本招标项目全部工作内容的报价，所有报价均应使用</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人民币元）表示。</w:t>
      </w:r>
    </w:p>
    <w:p w14:paraId="3A82E30F">
      <w:pPr>
        <w:pStyle w:val="13"/>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2.投标报价是履行合同的最终价格，应包括管道检测疏通、设备、人员、交通、耗材、培训、调试、验收、专用工具、保险、税金等完成本项目的一切税金和费用。</w:t>
      </w:r>
    </w:p>
    <w:p w14:paraId="39CD6D1D">
      <w:pPr>
        <w:pStyle w:val="13"/>
        <w:spacing w:line="460" w:lineRule="exact"/>
        <w:ind w:firstLine="480" w:firstLineChars="200"/>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投标供应商对在合同执行中，除上述费用及采购文件规定的由中标供应商负责的工作范围以外需要采购人协调或提供便利的工作应当在报价文件中说明。</w:t>
      </w:r>
    </w:p>
    <w:p w14:paraId="28049F0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3.投标文件只允许有一个报价，有选择的或有条件的报价将不予接受。</w:t>
      </w:r>
    </w:p>
    <w:p w14:paraId="792DAE08">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4.投标人的最终报价由投标人自担全部风险责任，中标后不得以任何理由调整报价或追加任何费用。</w:t>
      </w:r>
    </w:p>
    <w:p w14:paraId="2365F89E">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5.投标人所有优惠条件和优惠费用不得降低和影响本采购项目质量。</w:t>
      </w:r>
    </w:p>
    <w:p w14:paraId="4D71B2ED">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6.投标人对招标文件里有关投标报价的全部内容应仔细确认，若有个别异议，应在开标前提出修改意见，否则视同全部确认。</w:t>
      </w:r>
    </w:p>
    <w:p w14:paraId="44BC379B">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7.报价如单价与总价不符时，以单价为准；大写与小写不符时以大写为准。</w:t>
      </w:r>
    </w:p>
    <w:p w14:paraId="7A5E1DE0">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8.投标人在报价中应充分考虑所有可能发生的费用，否则采购人将视报价总价中已包括所有费用。</w:t>
      </w:r>
    </w:p>
    <w:p w14:paraId="716A6E7B">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9.投标人对在合同执行中，除上述费用及招标文件规定的由中标人负责的工作范围以外需要采购人协调或提供便利的工作应当在报价文件中说明。</w:t>
      </w:r>
    </w:p>
    <w:p w14:paraId="74547E21">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四）投标文件的有效期</w:t>
      </w:r>
    </w:p>
    <w:p w14:paraId="6B83B417">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▲1.自投标截止日起</w:t>
      </w:r>
      <w:r>
        <w:rPr>
          <w:rFonts w:hint="eastAsia" w:ascii="仿宋" w:hAnsi="仿宋" w:eastAsia="仿宋" w:cs="仿宋"/>
          <w:color w:val="auto"/>
          <w:kern w:val="0"/>
          <w:sz w:val="24"/>
          <w:highlight w:val="none"/>
          <w:u w:val="single"/>
        </w:rPr>
        <w:t>60天</w:t>
      </w:r>
      <w:r>
        <w:rPr>
          <w:rFonts w:hint="eastAsia" w:ascii="仿宋" w:hAnsi="仿宋" w:eastAsia="仿宋" w:cs="仿宋"/>
          <w:color w:val="auto"/>
          <w:kern w:val="0"/>
          <w:sz w:val="24"/>
          <w:highlight w:val="none"/>
        </w:rPr>
        <w:t>投标文件应保持有效。有效期不足的投标文件将被拒绝。</w:t>
      </w:r>
    </w:p>
    <w:p w14:paraId="3E08A48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2.在特殊情况下，采购人可与投标人协商延长投标书的有效期，这种要求和答复均以书面形式进行。</w:t>
      </w:r>
    </w:p>
    <w:p w14:paraId="13887B6A">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3.投标人可拒绝接受延期要求。同意延长有效期的投标人不能修改投标文件。</w:t>
      </w:r>
    </w:p>
    <w:p w14:paraId="45DF249A">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4.中标人的投标文件自开标之日起至合同履行完毕止均应保持有效。</w:t>
      </w:r>
    </w:p>
    <w:p w14:paraId="0DFC8DCB">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五）投标文件的签署和份数</w:t>
      </w:r>
    </w:p>
    <w:p w14:paraId="282F5327">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1、电子投标文件：</w:t>
      </w:r>
    </w:p>
    <w:p w14:paraId="772ABCE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投标人应根据</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政采云投标人项目采购-电子招投标操作指南</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及本招标文件规定的格式和顺序编制电子投标文件并进行关联定位，若因投标文件内容不完整、编排混乱导致投标文件被误读、漏读或者查找不到相关内容的，是投标人的责任。凡是参加两个或者以上标项投标的，投标文件必须按标项分别制作。</w:t>
      </w:r>
    </w:p>
    <w:p w14:paraId="0B78DADB">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2.数据电子备份投标文件</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 xml:space="preserve">U 盘）： </w:t>
      </w:r>
    </w:p>
    <w:p w14:paraId="14C5271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电子投标文件的备份文件可以 U 盘形式存储。数据电子备份投标文件格式及内容须与政采云平台项目采购-电子交易操作指南中制作、加密并递交的电子投标文件格式及内容一致。投标人应将数据电子备份</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 盘）形式的投标文件密封、包装，不按此规定密封、包装的数据电子备份投标文件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 盘）均按未提供处理。</w:t>
      </w:r>
    </w:p>
    <w:p w14:paraId="6B958E76">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 xml:space="preserve">3.其他： </w:t>
      </w:r>
    </w:p>
    <w:p w14:paraId="1BB619A3">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 投标文件需按招标文件要求的格式填写并签字盖章。</w:t>
      </w:r>
    </w:p>
    <w:p w14:paraId="31971A83">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3.2 投标文件不应涂改或行间插字和增删, 如有修改，修改处须加盖投标人的公章或由法定代表人或其授权委托人签字或盖章。投标文件因字迹潦草或表达不清所引起的后果由投标人负责。</w:t>
      </w:r>
    </w:p>
    <w:p w14:paraId="125A3D56">
      <w:pPr>
        <w:spacing w:line="460" w:lineRule="exact"/>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六）投标文件的包装、递交、修改和撤回</w:t>
      </w:r>
    </w:p>
    <w:p w14:paraId="4D42A4B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w:t>
      </w:r>
      <w:r>
        <w:rPr>
          <w:rFonts w:hint="eastAsia" w:ascii="仿宋" w:hAnsi="仿宋" w:eastAsia="仿宋" w:cs="仿宋"/>
          <w:color w:val="auto"/>
          <w:sz w:val="24"/>
          <w:highlight w:val="none"/>
        </w:rPr>
        <w:t>作未递交投标文件处理</w:t>
      </w:r>
      <w:r>
        <w:rPr>
          <w:rFonts w:hint="eastAsia" w:ascii="仿宋" w:hAnsi="仿宋" w:eastAsia="仿宋" w:cs="仿宋"/>
          <w:color w:val="auto"/>
          <w:kern w:val="0"/>
          <w:sz w:val="24"/>
          <w:highlight w:val="none"/>
        </w:rPr>
        <w:t>。</w:t>
      </w:r>
    </w:p>
    <w:p w14:paraId="2EB2B152">
      <w:pPr>
        <w:spacing w:line="460" w:lineRule="exact"/>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2.数据电子备份投标文件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 盘）：以 U 盘形式提供的数据电子备份投标文件格式及内容须与政采云平台项目采购-电子交易操作指南中制作、加密并递交的电子投标文件格式及内容一致。递交方式：</w:t>
      </w:r>
      <w:r>
        <w:rPr>
          <w:rFonts w:hint="eastAsia" w:ascii="仿宋" w:hAnsi="仿宋" w:eastAsia="仿宋" w:cs="仿宋"/>
          <w:color w:val="auto"/>
          <w:sz w:val="24"/>
          <w:highlight w:val="none"/>
        </w:rPr>
        <w:t>数据电子备份响应文件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U盘）可通过邮寄快递方式或现场递交方式送达，应当密封、包装并在包装上标注竞标项目名称、竞标单位名称、竞标单位的联系人、联系电话并加盖公章。地址：中纬工程管理咨询有限公司湖州分公司</w:t>
      </w:r>
      <w:r>
        <w:rPr>
          <w:rFonts w:hint="eastAsia" w:ascii="仿宋" w:hAnsi="仿宋" w:eastAsia="仿宋" w:cs="仿宋"/>
          <w:color w:val="auto"/>
          <w:sz w:val="24"/>
          <w:highlight w:val="none"/>
          <w:lang w:eastAsia="zh-CN"/>
        </w:rPr>
        <w:t>（湖州市吴兴区浙北金瑞大厦A座11楼</w:t>
      </w:r>
      <w:r>
        <w:rPr>
          <w:rFonts w:hint="eastAsia" w:ascii="仿宋" w:hAnsi="仿宋" w:eastAsia="仿宋" w:cs="仿宋"/>
          <w:color w:val="auto"/>
          <w:sz w:val="24"/>
          <w:highlight w:val="none"/>
        </w:rPr>
        <w:t>）；收件人：金小颖；联系电话：0572-2372728，电子邮箱：zwhz0001@163.com，邮寄拒绝到付。邮寄接收截止时间：供应商应于响应文件截止递交前一个工作日下午1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0时前准时送达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以收件人实际签收时间为准），逾期不予受理</w:t>
      </w:r>
      <w:r>
        <w:rPr>
          <w:rFonts w:hint="eastAsia" w:ascii="仿宋" w:hAnsi="仿宋" w:eastAsia="仿宋" w:cs="仿宋"/>
          <w:color w:val="auto"/>
          <w:sz w:val="24"/>
          <w:highlight w:val="none"/>
          <w:lang w:eastAsia="zh-CN"/>
        </w:rPr>
        <w:t>。</w:t>
      </w:r>
    </w:p>
    <w:p w14:paraId="5432A68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3.整个开标过程中若因投标人问题造成电子投标文件无法正常解密的，均认定为未提交电子投标文件，</w:t>
      </w:r>
      <w:r>
        <w:rPr>
          <w:rFonts w:hint="eastAsia" w:ascii="仿宋" w:hAnsi="仿宋" w:eastAsia="仿宋" w:cs="仿宋"/>
          <w:color w:val="auto"/>
          <w:sz w:val="24"/>
          <w:highlight w:val="none"/>
        </w:rPr>
        <w:t>作未递交投标文件处理</w:t>
      </w:r>
      <w:r>
        <w:rPr>
          <w:rFonts w:hint="eastAsia" w:ascii="仿宋" w:hAnsi="仿宋" w:eastAsia="仿宋" w:cs="仿宋"/>
          <w:color w:val="auto"/>
          <w:kern w:val="0"/>
          <w:sz w:val="24"/>
          <w:highlight w:val="none"/>
        </w:rPr>
        <w:t>。若因网络或者其他非投标人问题造成电子投标文件无法正常解密的，启用数据电子备份投标文件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 盘），因投标人自身原因造成数据电子备份投标文件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 盘）无法打开的，</w:t>
      </w:r>
      <w:r>
        <w:rPr>
          <w:rFonts w:hint="eastAsia" w:ascii="仿宋" w:hAnsi="仿宋" w:eastAsia="仿宋" w:cs="仿宋"/>
          <w:color w:val="auto"/>
          <w:sz w:val="24"/>
          <w:highlight w:val="none"/>
        </w:rPr>
        <w:t>作未递交投标文件处理</w:t>
      </w:r>
      <w:r>
        <w:rPr>
          <w:rFonts w:hint="eastAsia" w:ascii="仿宋" w:hAnsi="仿宋" w:eastAsia="仿宋" w:cs="仿宋"/>
          <w:color w:val="auto"/>
          <w:kern w:val="0"/>
          <w:sz w:val="24"/>
          <w:highlight w:val="none"/>
        </w:rPr>
        <w:t>。若正常解密成功，则数据电子备份投标文件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U 盘）不予开启。在下一顺位的投标文件启用时，前一顺位的投标文件自动失效。 </w:t>
      </w:r>
    </w:p>
    <w:p w14:paraId="1178FDB8">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4.投标人应将以数据电子备份</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 盘）形式提供的投标文件一份密封、包装。数据电子备份投标文件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 盘）的包装封面上应注明投标人名称、投标人地址、投标文件名称、投标项目名称、标项及项目编号，并加盖投标人公章。未按规定密封、包装或标记的数据电子备份投标文件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 盘）将被拒绝，由此造成数据电子备份投标文件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 盘）被误投或提前拆封的风险由投标人承担。</w:t>
      </w:r>
    </w:p>
    <w:p w14:paraId="1732C279">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七）投标无效的情形</w:t>
      </w:r>
    </w:p>
    <w:p w14:paraId="76F9C7C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5B8EFF6F">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1.在评标开始前，评标委员会或采购代理机构对投标人的资格进行审查，如发现下列情形之一的，投标文件将被视为无效，不在进行下一步评审：</w:t>
      </w:r>
    </w:p>
    <w:p w14:paraId="3FDB1CD6">
      <w:pPr>
        <w:spacing w:line="460" w:lineRule="exact"/>
        <w:ind w:firstLine="475" w:firstLineChars="198"/>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1）未提供</w:t>
      </w:r>
      <w:r>
        <w:rPr>
          <w:rFonts w:ascii="仿宋" w:hAnsi="仿宋" w:eastAsia="仿宋"/>
          <w:color w:val="auto"/>
          <w:sz w:val="24"/>
          <w:highlight w:val="none"/>
        </w:rPr>
        <w:t>有效的营业执照、税务登记证、组织机构代码证或</w:t>
      </w:r>
      <w:r>
        <w:rPr>
          <w:rFonts w:hint="eastAsia" w:ascii="仿宋" w:hAnsi="仿宋" w:eastAsia="仿宋"/>
          <w:color w:val="auto"/>
          <w:sz w:val="24"/>
          <w:highlight w:val="none"/>
          <w:lang w:eastAsia="zh-CN"/>
        </w:rPr>
        <w:t>“</w:t>
      </w:r>
      <w:r>
        <w:rPr>
          <w:rFonts w:ascii="仿宋" w:hAnsi="仿宋" w:eastAsia="仿宋"/>
          <w:color w:val="auto"/>
          <w:sz w:val="24"/>
          <w:highlight w:val="none"/>
        </w:rPr>
        <w:t>三证合一</w:t>
      </w:r>
      <w:r>
        <w:rPr>
          <w:rFonts w:hint="eastAsia" w:ascii="仿宋" w:hAnsi="仿宋" w:eastAsia="仿宋"/>
          <w:color w:val="auto"/>
          <w:sz w:val="24"/>
          <w:highlight w:val="none"/>
          <w:lang w:eastAsia="zh-CN"/>
        </w:rPr>
        <w:t>”</w:t>
      </w:r>
      <w:r>
        <w:rPr>
          <w:rFonts w:ascii="仿宋" w:hAnsi="仿宋" w:eastAsia="仿宋"/>
          <w:color w:val="auto"/>
          <w:sz w:val="24"/>
          <w:highlight w:val="none"/>
        </w:rPr>
        <w:t>的营业执照或</w:t>
      </w:r>
      <w:r>
        <w:rPr>
          <w:rFonts w:hint="eastAsia" w:ascii="仿宋" w:hAnsi="仿宋" w:eastAsia="仿宋"/>
          <w:color w:val="auto"/>
          <w:sz w:val="24"/>
          <w:highlight w:val="none"/>
          <w:lang w:eastAsia="zh-CN"/>
        </w:rPr>
        <w:t>“</w:t>
      </w:r>
      <w:r>
        <w:rPr>
          <w:rFonts w:ascii="仿宋" w:hAnsi="仿宋" w:eastAsia="仿宋"/>
          <w:color w:val="auto"/>
          <w:sz w:val="24"/>
          <w:highlight w:val="none"/>
        </w:rPr>
        <w:t>五证合一</w:t>
      </w:r>
      <w:r>
        <w:rPr>
          <w:rFonts w:hint="eastAsia" w:ascii="仿宋" w:hAnsi="仿宋" w:eastAsia="仿宋"/>
          <w:color w:val="auto"/>
          <w:sz w:val="24"/>
          <w:highlight w:val="none"/>
          <w:lang w:eastAsia="zh-CN"/>
        </w:rPr>
        <w:t>”</w:t>
      </w:r>
      <w:r>
        <w:rPr>
          <w:rFonts w:ascii="仿宋" w:hAnsi="仿宋" w:eastAsia="仿宋"/>
          <w:color w:val="auto"/>
          <w:sz w:val="24"/>
          <w:highlight w:val="none"/>
        </w:rPr>
        <w:t>的营业执照；</w:t>
      </w:r>
    </w:p>
    <w:p w14:paraId="1986DB13">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2）未提供法定代表人有效身份证明书及身份证或未提供法定代表人授权书及授权人身份证或与法定代表人授权委托人身份不符的；</w:t>
      </w:r>
    </w:p>
    <w:p w14:paraId="37B5DEF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3）未提供</w:t>
      </w:r>
      <w:r>
        <w:rPr>
          <w:rFonts w:ascii="仿宋" w:hAnsi="仿宋" w:eastAsia="仿宋"/>
          <w:color w:val="auto"/>
          <w:sz w:val="24"/>
          <w:highlight w:val="none"/>
        </w:rPr>
        <w:t>授权代理人最近</w:t>
      </w:r>
      <w:r>
        <w:rPr>
          <w:rFonts w:hint="eastAsia" w:ascii="仿宋" w:hAnsi="仿宋" w:eastAsia="仿宋"/>
          <w:bCs/>
          <w:color w:val="auto"/>
          <w:sz w:val="24"/>
          <w:highlight w:val="none"/>
        </w:rPr>
        <w:t>三个月中任意一个月</w:t>
      </w:r>
      <w:r>
        <w:rPr>
          <w:rFonts w:ascii="仿宋" w:hAnsi="仿宋" w:eastAsia="仿宋"/>
          <w:color w:val="auto"/>
          <w:sz w:val="24"/>
          <w:highlight w:val="none"/>
        </w:rPr>
        <w:t>个人社保缴纳证明文件</w:t>
      </w:r>
      <w:r>
        <w:rPr>
          <w:rFonts w:hint="eastAsia" w:ascii="仿宋" w:hAnsi="仿宋" w:eastAsia="仿宋" w:cs="仿宋"/>
          <w:color w:val="auto"/>
          <w:kern w:val="0"/>
          <w:sz w:val="24"/>
          <w:highlight w:val="none"/>
        </w:rPr>
        <w:t>的；</w:t>
      </w:r>
    </w:p>
    <w:p w14:paraId="66F89423">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4）未提供</w:t>
      </w:r>
      <w:r>
        <w:rPr>
          <w:rFonts w:hint="eastAsia" w:ascii="仿宋" w:hAnsi="仿宋" w:eastAsia="仿宋"/>
          <w:bCs/>
          <w:color w:val="auto"/>
          <w:sz w:val="24"/>
          <w:highlight w:val="none"/>
        </w:rPr>
        <w:t>资格</w:t>
      </w:r>
      <w:r>
        <w:rPr>
          <w:rFonts w:ascii="仿宋" w:hAnsi="仿宋" w:eastAsia="仿宋"/>
          <w:color w:val="auto"/>
          <w:sz w:val="24"/>
          <w:highlight w:val="none"/>
        </w:rPr>
        <w:t>承诺书</w:t>
      </w:r>
      <w:r>
        <w:rPr>
          <w:rFonts w:hint="eastAsia" w:ascii="仿宋" w:hAnsi="仿宋" w:eastAsia="仿宋"/>
          <w:color w:val="auto"/>
          <w:sz w:val="24"/>
          <w:highlight w:val="none"/>
        </w:rPr>
        <w:t>的</w:t>
      </w:r>
      <w:r>
        <w:rPr>
          <w:rFonts w:hint="eastAsia" w:ascii="仿宋" w:hAnsi="仿宋" w:eastAsia="仿宋" w:cs="仿宋"/>
          <w:color w:val="auto"/>
          <w:kern w:val="0"/>
          <w:sz w:val="24"/>
          <w:highlight w:val="none"/>
        </w:rPr>
        <w:t>；</w:t>
      </w:r>
    </w:p>
    <w:p w14:paraId="7E82B13E">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5）自招标公告发布之日起至投标截止日内，在</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信用中国网</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www.creditchina.gov.cn</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被列入失信被执行人、重大税收违法当事人名单、政府采购严重违法失信行为记录名单的投标人，资格审查时不予以通过；投标截止前，在</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中国政府采购网</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www.ccgp.gov.cn</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被列入政府采购严重违法失信行为记录名单中的投标人且在处罚有效期内的投标人，资格审查时不予以通过；</w:t>
      </w:r>
    </w:p>
    <w:p w14:paraId="36F262B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6）未提供信用承诺书的；</w:t>
      </w:r>
    </w:p>
    <w:p w14:paraId="4EE6C571">
      <w:pPr>
        <w:spacing w:line="4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7）未提供</w:t>
      </w:r>
      <w:r>
        <w:rPr>
          <w:rFonts w:hint="eastAsia" w:ascii="仿宋" w:hAnsi="仿宋" w:eastAsia="仿宋" w:cs="仿宋"/>
          <w:bCs/>
          <w:color w:val="auto"/>
          <w:sz w:val="24"/>
          <w:highlight w:val="none"/>
        </w:rPr>
        <w:t>企业资质证书【市政公用工程施工总承包三级及以上资质</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浙江省外企业须提供有效的进浙备案证明）】；</w:t>
      </w:r>
    </w:p>
    <w:p w14:paraId="58E7BA5B">
      <w:pPr>
        <w:pStyle w:val="31"/>
        <w:ind w:firstLine="480"/>
        <w:rPr>
          <w:rFonts w:eastAsia="仿宋"/>
          <w:color w:val="auto"/>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8）</w:t>
      </w:r>
      <w:r>
        <w:rPr>
          <w:rFonts w:hint="eastAsia" w:ascii="仿宋" w:hAnsi="仿宋" w:eastAsia="仿宋" w:cs="仿宋"/>
          <w:color w:val="auto"/>
          <w:kern w:val="0"/>
          <w:sz w:val="24"/>
          <w:highlight w:val="none"/>
        </w:rPr>
        <w:t>未提供</w:t>
      </w:r>
      <w:r>
        <w:rPr>
          <w:rFonts w:hint="eastAsia" w:ascii="仿宋" w:hAnsi="仿宋" w:eastAsia="仿宋" w:cs="仿宋"/>
          <w:bCs/>
          <w:color w:val="auto"/>
          <w:sz w:val="24"/>
          <w:highlight w:val="none"/>
        </w:rPr>
        <w:t>具备完成地下管道检测修复服务能力的证明文件的；</w:t>
      </w:r>
    </w:p>
    <w:p w14:paraId="66D9B17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）如是联合体投标的未提供联合体协议书的；</w:t>
      </w:r>
    </w:p>
    <w:p w14:paraId="46EF39D8">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）未提供中小企业声明函的;</w:t>
      </w:r>
    </w:p>
    <w:p w14:paraId="638E39C7">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）资格证明文件不全的，或者不符合招标文件标明的资格要求的。</w:t>
      </w:r>
    </w:p>
    <w:p w14:paraId="21156295">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2.在符合性审查和商务评审时，如发现下列情形之一的，投标文件将被视为无效：</w:t>
      </w:r>
    </w:p>
    <w:p w14:paraId="024AD8B2">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1）投标文件未按招标文件要求签字或盖章；</w:t>
      </w:r>
    </w:p>
    <w:p w14:paraId="49D47A2B">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2）投标文件格式不规范、项目不齐全或者内容虚假的；</w:t>
      </w:r>
    </w:p>
    <w:p w14:paraId="56758830">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3）投标文件的实质性内容未使用中文表述、意思表述不明确、前后矛盾或者使用计量单位不符合招标文件要求的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经评标委员会认定并允许其当场更正的笔误除外）；</w:t>
      </w:r>
    </w:p>
    <w:p w14:paraId="38B49D04">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4）未实质性响应招标文件要求或者投标文件有采购人不能接受的附加条件的。</w:t>
      </w:r>
    </w:p>
    <w:p w14:paraId="466221EB">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3.在技术评审时，如发现下列情形之一的，投标文件将被视为无效：</w:t>
      </w:r>
    </w:p>
    <w:p w14:paraId="61969C10">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1）未提供或未如实提供投标货物的技术参数，或者投标文件标明的响应或偏离与事实不符或虚假投标的；</w:t>
      </w:r>
    </w:p>
    <w:p w14:paraId="7CB51810">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2）明显不符合招标文件要求的规格型号、质量标准，或者与招标文件中标有</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的技术指标、主要功能项目发生实质性偏离的；</w:t>
      </w:r>
    </w:p>
    <w:p w14:paraId="4DCBE993">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3）投标技术方案不明确，存在一个或一个以上备选</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替代）投标方案的；</w:t>
      </w:r>
    </w:p>
    <w:p w14:paraId="1813F8AE">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4）与其他参加本次投标投标人的投标文件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技术文件）的文字表述内容相同连续 20行以上或者差错相同2处以上的。</w:t>
      </w:r>
    </w:p>
    <w:p w14:paraId="28AA1F55">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4.在报价评审时，如发现下列情形之一的，投标文件将被视为无效：</w:t>
      </w:r>
    </w:p>
    <w:p w14:paraId="65BCA85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1）未采用</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人民币元</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报价的或未按照招标文件表明的币种报价的；</w:t>
      </w:r>
    </w:p>
    <w:p w14:paraId="2AB660E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2）报价偏离采购人的采购定价，或者超出采购预算金额或采购单价限价，采购人不能支付的；</w:t>
      </w:r>
    </w:p>
    <w:p w14:paraId="1A68C7E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3）投标报价具有选择性，或者投标报价未按照招标文件规定的价格进行报价的。</w:t>
      </w:r>
    </w:p>
    <w:p w14:paraId="7D673EE1">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5.被拒绝的投标文件为无效。</w:t>
      </w:r>
    </w:p>
    <w:p w14:paraId="2DAB7D28">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6.投标人有下列情形之一的，视为投标人串通投标，其投标无效： </w:t>
      </w:r>
    </w:p>
    <w:p w14:paraId="67D7621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1）不同投标人的投标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响应）文件由同一单位或者个人编制；</w:t>
      </w:r>
    </w:p>
    <w:p w14:paraId="291FBA31">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2）不同投标人委托同一单位或者个人办理投标事宜；</w:t>
      </w:r>
    </w:p>
    <w:p w14:paraId="1B9BEDBC">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3）不同投标人的投标文件或响应文件载明的项目管理成员或者联系人员为同一人；</w:t>
      </w:r>
    </w:p>
    <w:p w14:paraId="661D0E4D">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4）不同投标人的投标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响应）文件件异常一致或者投标报价呈规律性差异；</w:t>
      </w:r>
    </w:p>
    <w:p w14:paraId="0D2A8CA1">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5）不同投标人的投标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响应）文件相互混装。</w:t>
      </w:r>
    </w:p>
    <w:p w14:paraId="0795394E">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 投标人有下列情形之一的，属于恶意串通，其投标无效：</w:t>
      </w:r>
    </w:p>
    <w:p w14:paraId="050D7C9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1）投标人直接或者间接从采购人或者采购代理机构处获得其他投标人的相关情况并修改其投标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响应）文件；</w:t>
      </w:r>
    </w:p>
    <w:p w14:paraId="704520B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2）投标人按照采购人或者采购代理机构的授意撤换、修改投标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响应）文件；</w:t>
      </w:r>
    </w:p>
    <w:p w14:paraId="3FFD2D28">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3）投标人之间协商报价、技术方案等投标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响应）文件的实质性内容；</w:t>
      </w:r>
    </w:p>
    <w:p w14:paraId="457A0B63">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4）属于同一集团、协会、商会等组织成员的投标人按照该组织要求协同参加政府采购活动；</w:t>
      </w:r>
    </w:p>
    <w:p w14:paraId="1B7C647E">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5）投标人之间事先约定由某一特定投标人中标、成交；</w:t>
      </w:r>
    </w:p>
    <w:p w14:paraId="3DED768B">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6）投标人之间商定部分投标人放弃参加政府采购活动或者放弃中标、成交；</w:t>
      </w:r>
    </w:p>
    <w:p w14:paraId="475692D2">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7）投标人与采购人或者采购代理机构之间、投标人相互之间，为谋求特定投标人中标、成交或者排斥其他投标人的其他串通行为。</w:t>
      </w:r>
    </w:p>
    <w:p w14:paraId="56E0FC32">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8.出现以下情形，导致电子交易平台无法正常进行，或者无法保证电子交易的公平、公正和安全时，中止电子交易活动： </w:t>
      </w:r>
    </w:p>
    <w:p w14:paraId="72FD286C">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1）电子交易平台发生故障而无法登录访问的；</w:t>
      </w:r>
    </w:p>
    <w:p w14:paraId="2260F50C">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2）电子交易平台应用或数据库出现错误，不能进行正常操作的；</w:t>
      </w:r>
    </w:p>
    <w:p w14:paraId="08BF5B94">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3）电子交易平台发现严重安全漏洞，有潜在泄密危险的；</w:t>
      </w:r>
    </w:p>
    <w:p w14:paraId="7230E661">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4）病毒发作导致不能进行正常操作的；</w:t>
      </w:r>
    </w:p>
    <w:p w14:paraId="68832D2D">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5）其他无法保证电子交易的公平、公正和安全的情况。</w:t>
      </w:r>
    </w:p>
    <w:p w14:paraId="15AD5D9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出现以上规定情形，不影响采购公平、公正性的，采购代理机构可以待上述情形消除后继续组织电子交易活动，也可以决定某些环节以数据电子备份投标文件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 盘）形式进行；影响或可能影响采购公平、公正性的，重新采购。</w:t>
      </w:r>
    </w:p>
    <w:p w14:paraId="17685D9E">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八</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废标的情形</w:t>
      </w:r>
    </w:p>
    <w:p w14:paraId="2D1B9B5D">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在采购活动中，出现下列情形之一的，应予废标：</w:t>
      </w:r>
    </w:p>
    <w:p w14:paraId="0BDA7774">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符合专业条件的投标人或者对招标文件作实质性响应的投标人不足三家的；</w:t>
      </w:r>
    </w:p>
    <w:p w14:paraId="586946B4">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出现影响采购公正的违法、违规行为的；</w:t>
      </w:r>
    </w:p>
    <w:p w14:paraId="52B79AF3">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投标人的报价均超过了采购预算或单项最高限价，采购人不能支付的；</w:t>
      </w:r>
    </w:p>
    <w:p w14:paraId="716E247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因重大变故，采购任务取消的。</w:t>
      </w:r>
    </w:p>
    <w:p w14:paraId="3235D0ED">
      <w:pPr>
        <w:spacing w:line="460" w:lineRule="exact"/>
        <w:rPr>
          <w:rFonts w:hint="eastAsia" w:ascii="仿宋" w:hAnsi="仿宋" w:eastAsia="仿宋" w:cs="仿宋"/>
          <w:b/>
          <w:color w:val="auto"/>
          <w:sz w:val="24"/>
          <w:szCs w:val="24"/>
          <w:highlight w:val="none"/>
        </w:rPr>
      </w:pPr>
      <w:bookmarkStart w:id="40" w:name="_Toc5552"/>
      <w:r>
        <w:rPr>
          <w:rFonts w:hint="eastAsia" w:ascii="仿宋" w:hAnsi="仿宋" w:eastAsia="仿宋" w:cs="仿宋"/>
          <w:b/>
          <w:color w:val="auto"/>
          <w:sz w:val="24"/>
          <w:szCs w:val="24"/>
          <w:highlight w:val="none"/>
        </w:rPr>
        <w:t>四、开标</w:t>
      </w:r>
      <w:bookmarkEnd w:id="40"/>
    </w:p>
    <w:p w14:paraId="022D55FE">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一）开标准备</w:t>
      </w:r>
    </w:p>
    <w:p w14:paraId="63E2F84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采购代理机构将在规定的时间和地点进行开标，并按照招标文件规定的时间通过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政府采购云平台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组织开标、开启投标文件，所有投标人均应当准时在线参加。</w:t>
      </w:r>
    </w:p>
    <w:p w14:paraId="27FCE672">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 xml:space="preserve">二） 电子招投标开标及评审程序 </w:t>
      </w:r>
    </w:p>
    <w:p w14:paraId="2A3B8847">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1.开标由采购人或者采购代理机构主持，邀请投标人在线参加。评标委员会成员不得参加开标活动；</w:t>
      </w:r>
    </w:p>
    <w:p w14:paraId="4B4D3DDE">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2.主持人宣布开标会议开始，并按照规定的时间通过政采云系统组织开标，所有投标人应当准时在线参加；</w:t>
      </w:r>
    </w:p>
    <w:p w14:paraId="171E1901">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3.投标截止时间后，投标人应登录政采云平台，在收到电子加密投标文件【开始解密】通知后，通过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项目采购-开标评标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模块对电子投标文件进行在线解密；</w:t>
      </w:r>
    </w:p>
    <w:p w14:paraId="11A3FF6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4.在开标结束后</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评标开始前），由采购人或采购代理机构进行资格审查。资格审查后在系统上公布资格审查结果；</w:t>
      </w:r>
    </w:p>
    <w:p w14:paraId="47122AB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5.由评标委员会对资格审查通过的投标人进行技术、商务、资信及其他部分评审，符合性审查及评分结束后，由主持人公布无效投标的投标人名单、投标无效的原因，并在系统上公布其他有效投标的评审结果；</w:t>
      </w:r>
    </w:p>
    <w:p w14:paraId="55A3E60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6.由主持人在系统上公布的投标人名称及在其投标文件中承诺的投标报价、投标内容以及其他有必要宣读的内容；</w:t>
      </w:r>
    </w:p>
    <w:p w14:paraId="065D3CCA">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7.报价部分符合性审查及评分结束后，由主持人公布无效投标的投标人名单、投标无效的原因，并在系统上公布其他有效投标的评分结果；</w:t>
      </w:r>
    </w:p>
    <w:p w14:paraId="5F96047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8.最终在政采云系统上公布评审结果；</w:t>
      </w:r>
    </w:p>
    <w:p w14:paraId="757FEDAD">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9.开标会议结束。</w:t>
      </w:r>
    </w:p>
    <w:p w14:paraId="63BD4107">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特别说明：政采云公司如对电子化开标及评审程序有调整的，应按调整的程序操作。</w:t>
      </w:r>
    </w:p>
    <w:p w14:paraId="755F5CC3">
      <w:pPr>
        <w:spacing w:line="460" w:lineRule="exact"/>
        <w:rPr>
          <w:rFonts w:hint="eastAsia" w:ascii="仿宋" w:hAnsi="仿宋" w:eastAsia="仿宋" w:cs="仿宋"/>
          <w:b/>
          <w:color w:val="auto"/>
          <w:sz w:val="24"/>
          <w:szCs w:val="24"/>
          <w:highlight w:val="none"/>
        </w:rPr>
      </w:pPr>
      <w:bookmarkStart w:id="41" w:name="_Toc256"/>
      <w:r>
        <w:rPr>
          <w:rFonts w:hint="eastAsia" w:ascii="仿宋" w:hAnsi="仿宋" w:eastAsia="仿宋" w:cs="仿宋"/>
          <w:b/>
          <w:color w:val="auto"/>
          <w:sz w:val="24"/>
          <w:szCs w:val="24"/>
          <w:highlight w:val="none"/>
        </w:rPr>
        <w:t>五、评标</w:t>
      </w:r>
      <w:bookmarkEnd w:id="41"/>
    </w:p>
    <w:p w14:paraId="5027A408">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一）组建评标委员会</w:t>
      </w:r>
    </w:p>
    <w:p w14:paraId="56939B7A">
      <w:pPr>
        <w:spacing w:line="460" w:lineRule="exact"/>
        <w:ind w:firstLine="480" w:firstLineChars="200"/>
        <w:rPr>
          <w:rFonts w:ascii="仿宋" w:hAnsi="仿宋" w:eastAsia="仿宋" w:cs="宋体"/>
          <w:color w:val="auto"/>
          <w:kern w:val="0"/>
          <w:sz w:val="24"/>
          <w:highlight w:val="none"/>
        </w:rPr>
      </w:pPr>
      <w:r>
        <w:rPr>
          <w:rFonts w:hint="eastAsia" w:ascii="仿宋" w:hAnsi="仿宋" w:eastAsia="仿宋" w:cs="仿宋"/>
          <w:color w:val="auto"/>
          <w:kern w:val="0"/>
          <w:sz w:val="24"/>
          <w:highlight w:val="none"/>
        </w:rPr>
        <w:t>本项目评标委员会由政府采购评审专家共5名组成。</w:t>
      </w:r>
    </w:p>
    <w:p w14:paraId="11A5AE51">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二）评标的方式</w:t>
      </w:r>
    </w:p>
    <w:p w14:paraId="1556E99A">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本项目采用不公开方式评标，评标的依据为招标文件和投标文件。</w:t>
      </w:r>
    </w:p>
    <w:p w14:paraId="56798B20">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三）评标程序</w:t>
      </w:r>
    </w:p>
    <w:p w14:paraId="44C15384">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1.形式审查</w:t>
      </w:r>
    </w:p>
    <w:p w14:paraId="3ED74FA3">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在开标结束后</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评标开始前），采购人或代理机构负责对投标人的资格和投标文件的完整性、合法性等进行审查。</w:t>
      </w:r>
    </w:p>
    <w:p w14:paraId="6057341A">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2.实质审查与比较</w:t>
      </w:r>
    </w:p>
    <w:p w14:paraId="25212374">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1）评标委员会审查投标文件的实质性内容是否符合招标文件的实质性要求。</w:t>
      </w:r>
    </w:p>
    <w:p w14:paraId="10BD334A">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评标委员会将根据投标人的投标文件进行审查、核对,如有疑问,将对投标人进行询标,投标人要向评标委员会澄清有关问题,并最终以书面形式进行答复。投标人未的规定时间内澄清或者拒绝澄清或者澄清的内容改变了投标文件的实质性内容的，评标委员会有权对该投标文件做出不利于投标人的评判。</w:t>
      </w:r>
    </w:p>
    <w:p w14:paraId="45E70008">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3）评标委员会完成评标后,按评标原则推荐中标候选人同时起草评标报告。</w:t>
      </w:r>
    </w:p>
    <w:p w14:paraId="3B5D5C50">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4）评标委员会按评标原则通过电子系统向采购人及采购代理机构提交评审报告。</w:t>
      </w:r>
    </w:p>
    <w:p w14:paraId="25CEB79B">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四）澄清问题的形式</w:t>
      </w:r>
    </w:p>
    <w:p w14:paraId="364CEB3E">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审中需要投标人对投标文件作出澄清、说明或者补正的，评标委员会和投标人应当通过电子交易平台交换数据电文。给予投标人提交澄清说明或补正的时间为30分钟，投标人已经明确表示澄清说明或补正完毕的除外。</w:t>
      </w:r>
    </w:p>
    <w:p w14:paraId="536D05B3">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五）错误修正</w:t>
      </w:r>
    </w:p>
    <w:p w14:paraId="21404E31">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投标文件如果出现计算或表达上的错误，修正错误的原则如下：</w:t>
      </w:r>
    </w:p>
    <w:p w14:paraId="46B4FE9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1.投标文件的大写和小写不一致的，以大写为准；</w:t>
      </w:r>
    </w:p>
    <w:p w14:paraId="3D885802">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2.对不同文字文本投标文件的解释发生异议的，以中文文本为准。</w:t>
      </w:r>
    </w:p>
    <w:p w14:paraId="2F2A8D50">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6A463106">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六）评标原则和评标办法</w:t>
      </w:r>
    </w:p>
    <w:p w14:paraId="092A4F55">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8A03EA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2.评标办法。本项目评标办法是</w:t>
      </w:r>
      <w:r>
        <w:rPr>
          <w:rFonts w:hint="eastAsia" w:ascii="仿宋" w:hAnsi="仿宋" w:eastAsia="仿宋" w:cs="仿宋"/>
          <w:b/>
          <w:color w:val="auto"/>
          <w:kern w:val="0"/>
          <w:sz w:val="24"/>
          <w:highlight w:val="none"/>
          <w:u w:val="single"/>
        </w:rPr>
        <w:t>综合评分法</w:t>
      </w:r>
      <w:r>
        <w:rPr>
          <w:rFonts w:hint="eastAsia" w:ascii="仿宋" w:hAnsi="仿宋" w:eastAsia="仿宋" w:cs="仿宋"/>
          <w:color w:val="auto"/>
          <w:kern w:val="0"/>
          <w:sz w:val="24"/>
          <w:highlight w:val="none"/>
        </w:rPr>
        <w:t>，具体评标内容及评分标准等详见《第四章：评标办法及评分标准》。</w:t>
      </w:r>
    </w:p>
    <w:p w14:paraId="5F601A9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3.评标过程中凡是属于审查、澄清、评审和比较的有关资料以及授标建议，任何人均不得向投标人或其他无关人员透露。</w:t>
      </w:r>
    </w:p>
    <w:p w14:paraId="461280DC">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七）评标过程的监控</w:t>
      </w:r>
    </w:p>
    <w:p w14:paraId="6F794F13">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本项目评标过程实行全程录音、录像监控，由湖州市吴兴区公共资源交易管理办公室进行现场监督。投标人在评标过程中所进行的试图影响评标结果的不公正活动，可能导致其投标被拒绝。</w:t>
      </w:r>
    </w:p>
    <w:p w14:paraId="31797E58">
      <w:pPr>
        <w:spacing w:line="460" w:lineRule="exact"/>
        <w:rPr>
          <w:rFonts w:hint="eastAsia" w:ascii="仿宋" w:hAnsi="仿宋" w:eastAsia="仿宋" w:cs="仿宋"/>
          <w:b/>
          <w:color w:val="auto"/>
          <w:sz w:val="24"/>
          <w:szCs w:val="24"/>
          <w:highlight w:val="none"/>
        </w:rPr>
      </w:pPr>
      <w:bookmarkStart w:id="42" w:name="_Toc6825"/>
      <w:r>
        <w:rPr>
          <w:rFonts w:hint="eastAsia" w:ascii="仿宋" w:hAnsi="仿宋" w:eastAsia="仿宋" w:cs="仿宋"/>
          <w:b/>
          <w:color w:val="auto"/>
          <w:sz w:val="24"/>
          <w:szCs w:val="24"/>
          <w:highlight w:val="none"/>
        </w:rPr>
        <w:t>六、定标</w:t>
      </w:r>
      <w:bookmarkEnd w:id="42"/>
    </w:p>
    <w:p w14:paraId="324BE823">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一）确定中标人。本项目由采购人确定中标人。</w:t>
      </w:r>
    </w:p>
    <w:p w14:paraId="7D92A8F0">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1.评标委员会完成评审后，采购代理机构通过电子交易平台向采购人提交评标报告。采购人通过电子交易平台确认中标人。</w:t>
      </w:r>
    </w:p>
    <w:p w14:paraId="7AD64606">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采购代理机构在评标结束后2个工作日内将评标报告交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4A18072">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3.采购人在收到评标报告5个工作日内未按评标报告推荐的中标候选人顺序确定中标人，又不能说明合法理由的，视同按评标报告推荐的顺序确定排名第一的中标候选人为中标人。</w:t>
      </w:r>
    </w:p>
    <w:p w14:paraId="40EDDEB1">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4.采购人依法确定中标人后2个工作日内，采购代理机构、采购人向中标人发出中标通知书，并同时在相关网站上发布中标结果公告。</w:t>
      </w:r>
    </w:p>
    <w:p w14:paraId="4FE55BFF">
      <w:pPr>
        <w:spacing w:line="460" w:lineRule="exact"/>
        <w:rPr>
          <w:rFonts w:hint="eastAsia" w:ascii="仿宋" w:hAnsi="仿宋" w:eastAsia="仿宋" w:cs="仿宋"/>
          <w:b/>
          <w:color w:val="auto"/>
          <w:sz w:val="24"/>
          <w:szCs w:val="24"/>
          <w:highlight w:val="none"/>
        </w:rPr>
      </w:pPr>
      <w:bookmarkStart w:id="43" w:name="_Toc20945"/>
      <w:r>
        <w:rPr>
          <w:rFonts w:hint="eastAsia" w:ascii="仿宋" w:hAnsi="仿宋" w:eastAsia="仿宋" w:cs="仿宋"/>
          <w:b/>
          <w:color w:val="auto"/>
          <w:sz w:val="24"/>
          <w:szCs w:val="24"/>
          <w:highlight w:val="none"/>
        </w:rPr>
        <w:t>七、合同授予</w:t>
      </w:r>
      <w:bookmarkEnd w:id="43"/>
    </w:p>
    <w:p w14:paraId="1C5B6D8F">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一）签订合同</w:t>
      </w:r>
    </w:p>
    <w:p w14:paraId="6F6776E7">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采购人与中标人应当在《中标通知书》发出之日起30日内签订政府采购合同。采购人通过电子交易平台与中标人签订合同，并在规定时间内依法发布合同公告。同时，采购代理机构对合同内容进行审查，如发现与采购结果和投标承诺内容不一致的，应予以纠正。</w:t>
      </w:r>
    </w:p>
    <w:p w14:paraId="398D0C57">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2.中标人拖延、拒签合同的,将被取消中标资格。</w:t>
      </w:r>
    </w:p>
    <w:p w14:paraId="3D77CA59">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二）中标通知书</w:t>
      </w:r>
    </w:p>
    <w:p w14:paraId="3945AE4D">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1.确定中标人后，采购代理机构将以书面形式发出中标通知书，通知中标的投标人其投标被接受； </w:t>
      </w:r>
    </w:p>
    <w:p w14:paraId="0CC48A0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2.中标通知书为双方签订合同的依据； </w:t>
      </w:r>
    </w:p>
    <w:p w14:paraId="74445985">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3.中标人应根据中标通知书中规定的时间内，由法定代表人或其授权代理人与采购人签订合同。</w:t>
      </w:r>
    </w:p>
    <w:p w14:paraId="27CB1F3F">
      <w:pPr>
        <w:spacing w:line="360" w:lineRule="auto"/>
        <w:ind w:firstLine="482" w:firstLineChars="200"/>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三）履约保证金：</w:t>
      </w:r>
      <w:r>
        <w:rPr>
          <w:rFonts w:hint="eastAsia" w:ascii="仿宋" w:hAnsi="仿宋" w:eastAsia="仿宋" w:cs="仿宋"/>
          <w:b w:val="0"/>
          <w:bCs/>
          <w:color w:val="auto"/>
          <w:kern w:val="0"/>
          <w:sz w:val="24"/>
          <w:highlight w:val="none"/>
          <w:lang w:val="en-US" w:eastAsia="zh-CN"/>
        </w:rPr>
        <w:t>无。</w:t>
      </w:r>
    </w:p>
    <w:p w14:paraId="6D592930">
      <w:pPr>
        <w:pStyle w:val="33"/>
        <w:spacing w:line="360" w:lineRule="auto"/>
        <w:outlineLvl w:val="1"/>
        <w:rPr>
          <w:rFonts w:ascii="仿宋" w:hAnsi="仿宋" w:eastAsia="仿宋" w:cs="仿宋"/>
          <w:b/>
          <w:color w:val="auto"/>
          <w:highlight w:val="none"/>
        </w:rPr>
      </w:pPr>
      <w:bookmarkStart w:id="44" w:name="_Toc6939"/>
      <w:r>
        <w:rPr>
          <w:rFonts w:hint="eastAsia" w:ascii="仿宋" w:hAnsi="仿宋" w:eastAsia="仿宋" w:cs="仿宋"/>
          <w:b/>
          <w:color w:val="auto"/>
          <w:highlight w:val="none"/>
        </w:rPr>
        <w:t>八、其他内容</w:t>
      </w:r>
      <w:bookmarkEnd w:id="44"/>
    </w:p>
    <w:p w14:paraId="67A3158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发生下列情况之一，投标人自愿接受取消投标资格、记入信用档案、媒体通报、1-3年内禁止参与政府采购等处罚；如已中标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成交）的，自动放弃中标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成交）资格，并承担全部法律责任；给采购人造成损失的，依法承担赔偿责任：</w:t>
      </w:r>
    </w:p>
    <w:p w14:paraId="655D803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1.投标人在提交投标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响应）文件截止时间后撤回投标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响应）文件的；</w:t>
      </w:r>
    </w:p>
    <w:p w14:paraId="47B2FDFE">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投标人在投标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响应）文件中提交虚假材料的；</w:t>
      </w:r>
    </w:p>
    <w:p w14:paraId="0394F5A3">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3.除因不可抗力或招标文件认可的情形以外，中标人不与采购人签订合同的；</w:t>
      </w:r>
    </w:p>
    <w:p w14:paraId="73706860">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4.投标人与采购人、其他投标人或者采购代理机构恶意串通的；</w:t>
      </w:r>
    </w:p>
    <w:p w14:paraId="6B28CD87">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5.招标文件规定的其他情形。</w:t>
      </w:r>
    </w:p>
    <w:p w14:paraId="0D280B9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6.为有效破解当前中小微企业面临的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融资难、融资贵</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困局，充分发挥好政府采购扶持小微企业发展的政策功能，本项目中标人可凭中标通知书等材料至</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绿贷通平台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网页</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www.lvdt.huzldt.com）或</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政采贷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平台网页</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www.zcygov.cn）申请相关融资产品。具体操作方式可在</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绿贷通</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或</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政采贷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平台网站查询，也可向</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绿贷通</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或</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政采贷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平台电话咨询</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绿贷通</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联系电话：0572-2392590、</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政采贷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联系电话：0572-2151055、18698580797）。</w:t>
      </w:r>
    </w:p>
    <w:p w14:paraId="6449396D">
      <w:pPr>
        <w:pStyle w:val="4"/>
        <w:keepNext w:val="0"/>
        <w:pageBreakBefore/>
        <w:spacing w:line="360" w:lineRule="auto"/>
        <w:rPr>
          <w:rFonts w:ascii="仿宋" w:hAnsi="仿宋" w:eastAsia="仿宋" w:cs="仿宋"/>
          <w:color w:val="auto"/>
          <w:sz w:val="32"/>
          <w:highlight w:val="none"/>
        </w:rPr>
      </w:pPr>
      <w:bookmarkStart w:id="45" w:name="_Toc20230"/>
      <w:bookmarkStart w:id="46" w:name="_Toc5189"/>
      <w:bookmarkStart w:id="47" w:name="_Toc16747"/>
      <w:r>
        <w:rPr>
          <w:rFonts w:hint="eastAsia" w:ascii="仿宋" w:hAnsi="仿宋" w:eastAsia="仿宋" w:cs="仿宋"/>
          <w:color w:val="auto"/>
          <w:sz w:val="32"/>
          <w:highlight w:val="none"/>
        </w:rPr>
        <w:t>第四章 评标办法及评分标准</w:t>
      </w:r>
      <w:bookmarkEnd w:id="45"/>
      <w:bookmarkEnd w:id="46"/>
      <w:bookmarkEnd w:id="47"/>
    </w:p>
    <w:p w14:paraId="6B595754">
      <w:pPr>
        <w:spacing w:line="360" w:lineRule="auto"/>
        <w:ind w:firstLine="720" w:firstLineChars="300"/>
        <w:rPr>
          <w:rFonts w:hint="eastAsia" w:ascii="仿宋" w:hAnsi="仿宋" w:eastAsia="仿宋" w:cs="仿宋"/>
          <w:color w:val="auto"/>
          <w:kern w:val="0"/>
          <w:sz w:val="24"/>
          <w:highlight w:val="none"/>
        </w:rPr>
      </w:pPr>
    </w:p>
    <w:p w14:paraId="2D14F279">
      <w:pPr>
        <w:spacing w:line="360" w:lineRule="auto"/>
        <w:ind w:firstLine="720" w:firstLineChars="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为公正、公平、科学地选择中标供应商，根据《中华人民共和国政府采购法》、《政府采购货物和服务招标投标管理办法》及相关法律、法规等规定，并结合本项目的实际，制定本办法。</w:t>
      </w:r>
    </w:p>
    <w:p w14:paraId="14C692A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本办法适用于</w:t>
      </w:r>
      <w:r>
        <w:rPr>
          <w:rFonts w:hint="eastAsia" w:ascii="仿宋" w:hAnsi="仿宋" w:eastAsia="仿宋" w:cs="仿宋"/>
          <w:color w:val="auto"/>
          <w:sz w:val="24"/>
          <w:highlight w:val="none"/>
          <w:u w:val="single"/>
          <w:lang w:eastAsia="zh-CN"/>
        </w:rPr>
        <w:t>湖州市吴兴区公用事业管理中心2025-2027年度雨污水管网维护及应急处置采购项目</w:t>
      </w:r>
      <w:r>
        <w:rPr>
          <w:rFonts w:hint="eastAsia" w:ascii="仿宋" w:hAnsi="仿宋" w:eastAsia="仿宋" w:cs="仿宋"/>
          <w:color w:val="auto"/>
          <w:kern w:val="0"/>
          <w:sz w:val="24"/>
          <w:highlight w:val="none"/>
        </w:rPr>
        <w:t>招标项目的评标。</w:t>
      </w:r>
    </w:p>
    <w:bookmarkEnd w:id="34"/>
    <w:bookmarkEnd w:id="35"/>
    <w:p w14:paraId="3689BF2B">
      <w:pPr>
        <w:pStyle w:val="33"/>
        <w:spacing w:line="360" w:lineRule="auto"/>
        <w:outlineLvl w:val="1"/>
        <w:rPr>
          <w:rFonts w:ascii="仿宋" w:hAnsi="仿宋" w:eastAsia="仿宋" w:cs="仿宋"/>
          <w:b/>
          <w:color w:val="auto"/>
          <w:highlight w:val="none"/>
        </w:rPr>
      </w:pPr>
      <w:bookmarkStart w:id="48" w:name="_Toc7332"/>
      <w:r>
        <w:rPr>
          <w:rFonts w:hint="eastAsia" w:ascii="仿宋" w:hAnsi="仿宋" w:eastAsia="仿宋" w:cs="仿宋"/>
          <w:b/>
          <w:color w:val="auto"/>
          <w:highlight w:val="none"/>
        </w:rPr>
        <w:t>一、总则</w:t>
      </w:r>
      <w:bookmarkEnd w:id="48"/>
    </w:p>
    <w:p w14:paraId="0C4BAA6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本次评标采用综合评分法，</w:t>
      </w:r>
      <w:r>
        <w:rPr>
          <w:rFonts w:hint="eastAsia" w:ascii="仿宋" w:hAnsi="仿宋" w:eastAsia="仿宋" w:cs="仿宋"/>
          <w:b/>
          <w:color w:val="auto"/>
          <w:kern w:val="0"/>
          <w:sz w:val="24"/>
          <w:highlight w:val="none"/>
        </w:rPr>
        <w:t>总分为100分，其中价格分</w:t>
      </w:r>
      <w:r>
        <w:rPr>
          <w:rFonts w:hint="eastAsia" w:ascii="仿宋" w:hAnsi="仿宋" w:eastAsia="仿宋" w:cs="仿宋"/>
          <w:b/>
          <w:color w:val="auto"/>
          <w:kern w:val="0"/>
          <w:sz w:val="24"/>
          <w:highlight w:val="none"/>
          <w:lang w:val="en-US" w:eastAsia="zh-CN"/>
        </w:rPr>
        <w:t>20</w:t>
      </w:r>
      <w:r>
        <w:rPr>
          <w:rFonts w:hint="eastAsia" w:ascii="仿宋" w:hAnsi="仿宋" w:eastAsia="仿宋" w:cs="仿宋"/>
          <w:b/>
          <w:color w:val="auto"/>
          <w:kern w:val="0"/>
          <w:sz w:val="24"/>
          <w:highlight w:val="none"/>
        </w:rPr>
        <w:t>分、技术分、商务分和资信及其他部分</w:t>
      </w:r>
      <w:r>
        <w:rPr>
          <w:rFonts w:hint="eastAsia" w:ascii="仿宋" w:hAnsi="仿宋" w:eastAsia="仿宋" w:cs="仿宋"/>
          <w:b/>
          <w:color w:val="auto"/>
          <w:kern w:val="0"/>
          <w:sz w:val="24"/>
          <w:highlight w:val="none"/>
          <w:lang w:val="en-US" w:eastAsia="zh-CN"/>
        </w:rPr>
        <w:t>80</w:t>
      </w:r>
      <w:r>
        <w:rPr>
          <w:rFonts w:hint="eastAsia" w:ascii="仿宋" w:hAnsi="仿宋" w:eastAsia="仿宋" w:cs="仿宋"/>
          <w:b/>
          <w:color w:val="auto"/>
          <w:kern w:val="0"/>
          <w:sz w:val="24"/>
          <w:highlight w:val="none"/>
        </w:rPr>
        <w:t>分。</w:t>
      </w:r>
      <w:r>
        <w:rPr>
          <w:rFonts w:hint="eastAsia" w:ascii="仿宋" w:hAnsi="仿宋" w:eastAsia="仿宋" w:cs="仿宋"/>
          <w:color w:val="auto"/>
          <w:kern w:val="0"/>
          <w:sz w:val="24"/>
          <w:highlight w:val="none"/>
        </w:rPr>
        <w:t>合格供应商的评标得分为各项目汇总得分。中标候选资格按评标得分由高到低顺序排列，得分相同的，按投标报价由低到高顺序排列；得分且投标报价相同的，按技术得分由高到低顺序排列。排名第一的供应商为中标供应商。评分过程中采用四舍五入法，并保留小数2位。</w:t>
      </w:r>
    </w:p>
    <w:p w14:paraId="70DDA33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各供应商最终得分=技术分、商务分和资信及其他分得分+价格分得分</w:t>
      </w:r>
    </w:p>
    <w:p w14:paraId="25756DE4">
      <w:pPr>
        <w:pStyle w:val="33"/>
        <w:spacing w:line="360" w:lineRule="auto"/>
        <w:outlineLvl w:val="1"/>
        <w:rPr>
          <w:rFonts w:ascii="仿宋" w:hAnsi="仿宋" w:eastAsia="仿宋" w:cs="仿宋"/>
          <w:b/>
          <w:color w:val="auto"/>
          <w:highlight w:val="none"/>
        </w:rPr>
      </w:pPr>
      <w:bookmarkStart w:id="49" w:name="_Toc25201"/>
      <w:r>
        <w:rPr>
          <w:rFonts w:hint="eastAsia" w:ascii="仿宋" w:hAnsi="仿宋" w:eastAsia="仿宋" w:cs="仿宋"/>
          <w:b/>
          <w:color w:val="auto"/>
          <w:highlight w:val="none"/>
        </w:rPr>
        <w:t>二、评标内容及标准</w:t>
      </w:r>
      <w:bookmarkEnd w:id="49"/>
    </w:p>
    <w:p w14:paraId="42BC5DC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1）价格分</w:t>
      </w:r>
      <w:r>
        <w:rPr>
          <w:rFonts w:hint="eastAsia" w:ascii="仿宋" w:hAnsi="仿宋" w:eastAsia="仿宋" w:cs="仿宋"/>
          <w:color w:val="auto"/>
          <w:kern w:val="0"/>
          <w:sz w:val="24"/>
          <w:highlight w:val="none"/>
          <w:lang w:val="en-US" w:eastAsia="zh-CN"/>
        </w:rPr>
        <w:t>20</w:t>
      </w:r>
      <w:r>
        <w:rPr>
          <w:rFonts w:hint="eastAsia" w:ascii="仿宋" w:hAnsi="仿宋" w:eastAsia="仿宋" w:cs="仿宋"/>
          <w:color w:val="auto"/>
          <w:kern w:val="0"/>
          <w:sz w:val="24"/>
          <w:highlight w:val="none"/>
        </w:rPr>
        <w:t>分</w:t>
      </w:r>
    </w:p>
    <w:p w14:paraId="7DB935A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价格分采用低价优先法计算，即满足招标文件要求且投标报价最低的投标报价为评标基准价，其他供应商的价格分按照下列公式计算：</w:t>
      </w:r>
    </w:p>
    <w:p w14:paraId="787A1796">
      <w:pPr>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价格分=【评标基准价/投标报价】×</w:t>
      </w:r>
      <w:r>
        <w:rPr>
          <w:rFonts w:hint="eastAsia" w:ascii="仿宋" w:hAnsi="仿宋" w:eastAsia="仿宋" w:cs="仿宋"/>
          <w:b/>
          <w:color w:val="auto"/>
          <w:kern w:val="0"/>
          <w:sz w:val="24"/>
          <w:highlight w:val="none"/>
          <w:lang w:val="en-US" w:eastAsia="zh-CN"/>
        </w:rPr>
        <w:t>2</w:t>
      </w:r>
      <w:r>
        <w:rPr>
          <w:rFonts w:hint="eastAsia" w:ascii="仿宋" w:hAnsi="仿宋" w:eastAsia="仿宋" w:cs="仿宋"/>
          <w:b/>
          <w:color w:val="auto"/>
          <w:kern w:val="0"/>
          <w:sz w:val="24"/>
          <w:highlight w:val="none"/>
        </w:rPr>
        <w:t>0</w:t>
      </w:r>
    </w:p>
    <w:p w14:paraId="340EA83C">
      <w:pPr>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2）技术分、商务分、资信及其他分</w:t>
      </w:r>
      <w:r>
        <w:rPr>
          <w:rFonts w:hint="eastAsia" w:ascii="仿宋" w:hAnsi="仿宋" w:eastAsia="仿宋" w:cs="仿宋"/>
          <w:b/>
          <w:color w:val="auto"/>
          <w:kern w:val="0"/>
          <w:sz w:val="24"/>
          <w:highlight w:val="none"/>
          <w:lang w:val="en-US" w:eastAsia="zh-CN"/>
        </w:rPr>
        <w:t>80</w:t>
      </w:r>
      <w:r>
        <w:rPr>
          <w:rFonts w:hint="eastAsia" w:ascii="仿宋" w:hAnsi="仿宋" w:eastAsia="仿宋" w:cs="仿宋"/>
          <w:b/>
          <w:color w:val="auto"/>
          <w:kern w:val="0"/>
          <w:sz w:val="24"/>
          <w:highlight w:val="none"/>
        </w:rPr>
        <w:t>分</w:t>
      </w:r>
    </w:p>
    <w:p w14:paraId="4404DBE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技术、商务、资信及其他分按照评标委员会成员的独立评分结果汇总数的算术平均分计算，计算公式为：</w:t>
      </w:r>
    </w:p>
    <w:p w14:paraId="5F9F8D04">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技术分、商务分、资信及其他分=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评标委员会所有成员评分合计数）/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评标委员会组成人员数）</w:t>
      </w:r>
    </w:p>
    <w:p w14:paraId="25F6CF44">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p w14:paraId="66102959">
      <w:pPr>
        <w:pStyle w:val="2"/>
        <w:rPr>
          <w:color w:val="auto"/>
          <w:highlight w:val="none"/>
        </w:rPr>
      </w:pPr>
    </w:p>
    <w:p w14:paraId="62015D2F">
      <w:pPr>
        <w:spacing w:line="480" w:lineRule="auto"/>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附件：评分表格式</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技术、商务、资信及其他分，共</w:t>
      </w:r>
      <w:r>
        <w:rPr>
          <w:rFonts w:hint="eastAsia" w:ascii="仿宋" w:hAnsi="仿宋" w:eastAsia="仿宋" w:cs="仿宋"/>
          <w:b/>
          <w:color w:val="auto"/>
          <w:kern w:val="0"/>
          <w:sz w:val="24"/>
          <w:highlight w:val="none"/>
          <w:lang w:val="en-US" w:eastAsia="zh-CN"/>
        </w:rPr>
        <w:t>80</w:t>
      </w:r>
      <w:r>
        <w:rPr>
          <w:rFonts w:hint="eastAsia" w:ascii="仿宋" w:hAnsi="仿宋" w:eastAsia="仿宋" w:cs="仿宋"/>
          <w:b/>
          <w:color w:val="auto"/>
          <w:kern w:val="0"/>
          <w:sz w:val="24"/>
          <w:highlight w:val="none"/>
        </w:rPr>
        <w:t>分）</w:t>
      </w:r>
    </w:p>
    <w:tbl>
      <w:tblPr>
        <w:tblStyle w:val="21"/>
        <w:tblW w:w="100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7"/>
        <w:gridCol w:w="1522"/>
        <w:gridCol w:w="7100"/>
        <w:gridCol w:w="850"/>
      </w:tblGrid>
      <w:tr w14:paraId="65AB6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0B60C336">
            <w:pPr>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序号</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73317626">
            <w:pPr>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评审内容</w:t>
            </w:r>
          </w:p>
        </w:tc>
        <w:tc>
          <w:tcPr>
            <w:tcW w:w="7100" w:type="dxa"/>
            <w:tcBorders>
              <w:top w:val="single" w:color="auto" w:sz="4" w:space="0"/>
              <w:left w:val="single" w:color="auto" w:sz="4" w:space="0"/>
              <w:bottom w:val="single" w:color="auto" w:sz="4" w:space="0"/>
              <w:right w:val="single" w:color="auto" w:sz="4" w:space="0"/>
            </w:tcBorders>
            <w:shd w:val="clear" w:color="auto" w:fill="auto"/>
            <w:vAlign w:val="center"/>
          </w:tcPr>
          <w:p w14:paraId="5FAC42A5">
            <w:pPr>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评分标准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448CE42">
            <w:pPr>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分值</w:t>
            </w:r>
          </w:p>
        </w:tc>
      </w:tr>
      <w:tr w14:paraId="24215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24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FD5DB3">
            <w:pPr>
              <w:spacing w:line="240" w:lineRule="auto"/>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技术分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A6DBDBE">
            <w:pPr>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en-US" w:eastAsia="zh-CN"/>
              </w:rPr>
              <w:t>67</w:t>
            </w:r>
            <w:r>
              <w:rPr>
                <w:rFonts w:hint="eastAsia" w:ascii="仿宋" w:hAnsi="仿宋" w:eastAsia="仿宋" w:cs="仿宋"/>
                <w:b/>
                <w:color w:val="auto"/>
                <w:kern w:val="0"/>
                <w:sz w:val="24"/>
                <w:highlight w:val="none"/>
              </w:rPr>
              <w:t>分</w:t>
            </w:r>
          </w:p>
        </w:tc>
      </w:tr>
      <w:tr w14:paraId="13BCD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6" w:hRule="atLeast"/>
          <w:jc w:val="center"/>
        </w:trPr>
        <w:tc>
          <w:tcPr>
            <w:tcW w:w="627" w:type="dxa"/>
            <w:tcBorders>
              <w:top w:val="single" w:color="auto" w:sz="4" w:space="0"/>
              <w:left w:val="single" w:color="auto" w:sz="4" w:space="0"/>
              <w:right w:val="single" w:color="auto" w:sz="4" w:space="0"/>
            </w:tcBorders>
            <w:vAlign w:val="center"/>
          </w:tcPr>
          <w:p w14:paraId="5D3AEBBD">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22" w:type="dxa"/>
            <w:tcBorders>
              <w:top w:val="single" w:color="auto" w:sz="4" w:space="0"/>
              <w:left w:val="single" w:color="auto" w:sz="4" w:space="0"/>
              <w:right w:val="single" w:color="auto" w:sz="4" w:space="0"/>
            </w:tcBorders>
            <w:vAlign w:val="center"/>
          </w:tcPr>
          <w:p w14:paraId="49BE26D5">
            <w:pPr>
              <w:spacing w:line="240" w:lineRule="auto"/>
              <w:ind w:left="0" w:leftChars="0" w:right="0" w:righ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color w:val="auto"/>
                <w:kern w:val="0"/>
                <w:sz w:val="24"/>
                <w:highlight w:val="none"/>
              </w:rPr>
              <w:t>整体技术方案</w:t>
            </w:r>
          </w:p>
        </w:tc>
        <w:tc>
          <w:tcPr>
            <w:tcW w:w="7100" w:type="dxa"/>
            <w:tcBorders>
              <w:top w:val="single" w:color="auto" w:sz="4" w:space="0"/>
              <w:left w:val="single" w:color="auto" w:sz="4" w:space="0"/>
              <w:right w:val="single" w:color="auto" w:sz="4" w:space="0"/>
            </w:tcBorders>
            <w:vAlign w:val="center"/>
          </w:tcPr>
          <w:p w14:paraId="542CBE9A">
            <w:pPr>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由评审小组根据供应商整体技术方案进行评审：至少应包括技术要点分析、拟采取的检测、疏通和排水管道错接混接排查技术措施、作业实施步骤、施工</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作业）组织设计等。</w:t>
            </w:r>
          </w:p>
          <w:p w14:paraId="66C691B4">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提供整体技术方案</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内容齐全、结构完整、表述准确、条理清晰，方案优秀的得</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eastAsia="zh-CN"/>
              </w:rPr>
              <w:t>；</w:t>
            </w:r>
          </w:p>
          <w:p w14:paraId="4D40E8E4">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提供的整体技术方案内容</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结构不完整</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表述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条理</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清晰的</w:t>
            </w:r>
            <w:r>
              <w:rPr>
                <w:rFonts w:hint="eastAsia" w:ascii="仿宋" w:hAnsi="仿宋" w:eastAsia="仿宋" w:cs="仿宋"/>
                <w:color w:val="auto"/>
                <w:kern w:val="0"/>
                <w:sz w:val="24"/>
                <w:highlight w:val="none"/>
                <w:lang w:eastAsia="zh-CN"/>
              </w:rPr>
              <w:t>，存在明显缺陷的，</w:t>
            </w:r>
            <w:r>
              <w:rPr>
                <w:rFonts w:hint="eastAsia" w:ascii="仿宋" w:hAnsi="仿宋" w:eastAsia="仿宋" w:cs="仿宋"/>
                <w:color w:val="auto"/>
                <w:kern w:val="0"/>
                <w:sz w:val="24"/>
                <w:highlight w:val="none"/>
                <w:lang w:val="en-US" w:eastAsia="zh-CN"/>
              </w:rPr>
              <w:t>每项扣2分，扣完为止。</w:t>
            </w:r>
          </w:p>
        </w:tc>
        <w:tc>
          <w:tcPr>
            <w:tcW w:w="850" w:type="dxa"/>
            <w:tcBorders>
              <w:top w:val="single" w:color="auto" w:sz="4" w:space="0"/>
              <w:left w:val="single" w:color="auto" w:sz="4" w:space="0"/>
              <w:right w:val="single" w:color="auto" w:sz="4" w:space="0"/>
            </w:tcBorders>
            <w:vAlign w:val="center"/>
          </w:tcPr>
          <w:p w14:paraId="4EDF2EFE">
            <w:pPr>
              <w:pStyle w:val="19"/>
              <w:spacing w:line="48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r>
      <w:tr w14:paraId="1D009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627" w:type="dxa"/>
            <w:tcBorders>
              <w:top w:val="single" w:color="auto" w:sz="4" w:space="0"/>
              <w:left w:val="single" w:color="auto" w:sz="4" w:space="0"/>
              <w:right w:val="single" w:color="auto" w:sz="4" w:space="0"/>
            </w:tcBorders>
            <w:vAlign w:val="center"/>
          </w:tcPr>
          <w:p w14:paraId="771F5092">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22" w:type="dxa"/>
            <w:tcBorders>
              <w:top w:val="single" w:color="auto" w:sz="4" w:space="0"/>
              <w:left w:val="single" w:color="auto" w:sz="4" w:space="0"/>
              <w:right w:val="single" w:color="auto" w:sz="4" w:space="0"/>
            </w:tcBorders>
            <w:vAlign w:val="center"/>
          </w:tcPr>
          <w:p w14:paraId="687D6A1A">
            <w:pPr>
              <w:spacing w:line="240" w:lineRule="auto"/>
              <w:ind w:left="0" w:leftChars="0" w:right="0" w:rightChars="0"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进度控制措施及方案</w:t>
            </w:r>
          </w:p>
        </w:tc>
        <w:tc>
          <w:tcPr>
            <w:tcW w:w="7100" w:type="dxa"/>
            <w:tcBorders>
              <w:top w:val="single" w:color="auto" w:sz="4" w:space="0"/>
              <w:left w:val="single" w:color="auto" w:sz="4" w:space="0"/>
              <w:right w:val="single" w:color="auto" w:sz="4" w:space="0"/>
            </w:tcBorders>
            <w:vAlign w:val="center"/>
          </w:tcPr>
          <w:p w14:paraId="4F899AAD">
            <w:pPr>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由评审小组根据供应商提供的进度控制措施及方案进行评审：</w:t>
            </w:r>
          </w:p>
          <w:p w14:paraId="059A6D9A">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提供进度控制措施及方案</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内容全面、严谨、科学、明确可行的得</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eastAsia="zh-CN"/>
              </w:rPr>
              <w:t>；</w:t>
            </w:r>
          </w:p>
          <w:p w14:paraId="07842EB9">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提供的进度控制措施及方案内容</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全面、</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严谨、</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科学、</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明确</w:t>
            </w:r>
            <w:r>
              <w:rPr>
                <w:rFonts w:hint="eastAsia" w:ascii="仿宋" w:hAnsi="仿宋" w:eastAsia="仿宋" w:cs="仿宋"/>
                <w:color w:val="auto"/>
                <w:kern w:val="0"/>
                <w:sz w:val="24"/>
                <w:highlight w:val="none"/>
                <w:lang w:eastAsia="zh-CN"/>
              </w:rPr>
              <w:t>、存在明显缺陷的，每项扣2分，扣完为止。</w:t>
            </w:r>
          </w:p>
        </w:tc>
        <w:tc>
          <w:tcPr>
            <w:tcW w:w="850" w:type="dxa"/>
            <w:tcBorders>
              <w:top w:val="single" w:color="auto" w:sz="4" w:space="0"/>
              <w:left w:val="single" w:color="auto" w:sz="4" w:space="0"/>
              <w:right w:val="single" w:color="auto" w:sz="4" w:space="0"/>
            </w:tcBorders>
            <w:vAlign w:val="center"/>
          </w:tcPr>
          <w:p w14:paraId="3A9C098E">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tc>
      </w:tr>
      <w:tr w14:paraId="18ED3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8" w:hRule="atLeast"/>
          <w:jc w:val="center"/>
        </w:trPr>
        <w:tc>
          <w:tcPr>
            <w:tcW w:w="627" w:type="dxa"/>
            <w:tcBorders>
              <w:top w:val="single" w:color="auto" w:sz="4" w:space="0"/>
              <w:left w:val="single" w:color="auto" w:sz="4" w:space="0"/>
              <w:right w:val="single" w:color="auto" w:sz="4" w:space="0"/>
            </w:tcBorders>
            <w:vAlign w:val="center"/>
          </w:tcPr>
          <w:p w14:paraId="31D22ADF">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22" w:type="dxa"/>
            <w:tcBorders>
              <w:top w:val="single" w:color="auto" w:sz="4" w:space="0"/>
              <w:left w:val="single" w:color="auto" w:sz="4" w:space="0"/>
              <w:right w:val="single" w:color="auto" w:sz="4" w:space="0"/>
            </w:tcBorders>
            <w:vAlign w:val="center"/>
          </w:tcPr>
          <w:p w14:paraId="6F16DC08">
            <w:pPr>
              <w:spacing w:line="240" w:lineRule="auto"/>
              <w:ind w:left="0" w:leftChars="0" w:right="0" w:rightChars="0"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质量控制措施及方案</w:t>
            </w:r>
          </w:p>
        </w:tc>
        <w:tc>
          <w:tcPr>
            <w:tcW w:w="7100" w:type="dxa"/>
            <w:tcBorders>
              <w:top w:val="single" w:color="auto" w:sz="4" w:space="0"/>
              <w:left w:val="single" w:color="auto" w:sz="4" w:space="0"/>
              <w:right w:val="single" w:color="auto" w:sz="4" w:space="0"/>
            </w:tcBorders>
            <w:vAlign w:val="center"/>
          </w:tcPr>
          <w:p w14:paraId="04A1FDA2">
            <w:pPr>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由评审小组根据供应商提供的质量控制措施及方案进行评审：</w:t>
            </w:r>
          </w:p>
          <w:p w14:paraId="63FFB5F0">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提供质量控制措施及方案</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清晰、科学、明确可行完全符合本项目的得</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eastAsia="zh-CN"/>
              </w:rPr>
              <w:t>；</w:t>
            </w:r>
          </w:p>
          <w:p w14:paraId="7083F015">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提供的质量控制措施及方案科学性、清晰度有欠缺</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内容粗糙，有明显缺陷及不针对本项目措施的，</w:t>
            </w:r>
            <w:r>
              <w:rPr>
                <w:rFonts w:hint="eastAsia" w:ascii="仿宋" w:hAnsi="仿宋" w:eastAsia="仿宋" w:cs="仿宋"/>
                <w:color w:val="auto"/>
                <w:kern w:val="0"/>
                <w:sz w:val="24"/>
                <w:highlight w:val="none"/>
                <w:lang w:eastAsia="zh-CN"/>
              </w:rPr>
              <w:t>每项扣2分，扣完为止。</w:t>
            </w:r>
          </w:p>
        </w:tc>
        <w:tc>
          <w:tcPr>
            <w:tcW w:w="850" w:type="dxa"/>
            <w:tcBorders>
              <w:top w:val="single" w:color="auto" w:sz="4" w:space="0"/>
              <w:left w:val="single" w:color="auto" w:sz="4" w:space="0"/>
              <w:right w:val="single" w:color="auto" w:sz="4" w:space="0"/>
            </w:tcBorders>
            <w:vAlign w:val="center"/>
          </w:tcPr>
          <w:p w14:paraId="575C3061">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tc>
      </w:tr>
      <w:tr w14:paraId="1DACE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9" w:hRule="atLeast"/>
          <w:jc w:val="center"/>
        </w:trPr>
        <w:tc>
          <w:tcPr>
            <w:tcW w:w="627" w:type="dxa"/>
            <w:tcBorders>
              <w:top w:val="single" w:color="auto" w:sz="4" w:space="0"/>
              <w:left w:val="single" w:color="auto" w:sz="4" w:space="0"/>
              <w:right w:val="single" w:color="auto" w:sz="4" w:space="0"/>
            </w:tcBorders>
            <w:vAlign w:val="center"/>
          </w:tcPr>
          <w:p w14:paraId="3ED86C1E">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4</w:t>
            </w:r>
          </w:p>
        </w:tc>
        <w:tc>
          <w:tcPr>
            <w:tcW w:w="1522" w:type="dxa"/>
            <w:tcBorders>
              <w:top w:val="single" w:color="auto" w:sz="4" w:space="0"/>
              <w:left w:val="single" w:color="auto" w:sz="4" w:space="0"/>
              <w:right w:val="single" w:color="auto" w:sz="4" w:space="0"/>
            </w:tcBorders>
            <w:vAlign w:val="center"/>
          </w:tcPr>
          <w:p w14:paraId="3025B98F">
            <w:pPr>
              <w:spacing w:line="240" w:lineRule="auto"/>
              <w:ind w:left="0" w:leftChars="0" w:right="0" w:rightChars="0"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排水防涝方案</w:t>
            </w:r>
          </w:p>
        </w:tc>
        <w:tc>
          <w:tcPr>
            <w:tcW w:w="7100" w:type="dxa"/>
            <w:tcBorders>
              <w:top w:val="single" w:color="auto" w:sz="4" w:space="0"/>
              <w:left w:val="single" w:color="auto" w:sz="4" w:space="0"/>
              <w:right w:val="single" w:color="auto" w:sz="4" w:space="0"/>
            </w:tcBorders>
            <w:vAlign w:val="center"/>
          </w:tcPr>
          <w:p w14:paraId="58EA6049">
            <w:pPr>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由评审小组根据供应商提供的排水防涝方案进行评审：</w:t>
            </w:r>
          </w:p>
          <w:p w14:paraId="2B9B1CA3">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排水防涝方案科学、严密、合理、针对性强、操作性强且对本项目实施有推进作用的得6分；</w:t>
            </w:r>
          </w:p>
          <w:p w14:paraId="591C9EFB">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提供的对排水防涝方案科学、严密、合理、针对性强、操作性有欠缺的</w:t>
            </w:r>
            <w:r>
              <w:rPr>
                <w:rFonts w:hint="eastAsia" w:ascii="仿宋" w:hAnsi="仿宋" w:eastAsia="仿宋" w:cs="仿宋"/>
                <w:color w:val="auto"/>
                <w:kern w:val="0"/>
                <w:sz w:val="24"/>
                <w:highlight w:val="none"/>
                <w:lang w:eastAsia="zh-CN"/>
              </w:rPr>
              <w:t>，每项扣2分，扣完为止。</w:t>
            </w:r>
          </w:p>
        </w:tc>
        <w:tc>
          <w:tcPr>
            <w:tcW w:w="850" w:type="dxa"/>
            <w:tcBorders>
              <w:top w:val="single" w:color="auto" w:sz="4" w:space="0"/>
              <w:left w:val="single" w:color="auto" w:sz="4" w:space="0"/>
              <w:right w:val="single" w:color="auto" w:sz="4" w:space="0"/>
            </w:tcBorders>
            <w:vAlign w:val="center"/>
          </w:tcPr>
          <w:p w14:paraId="0D0AE04C">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tc>
      </w:tr>
      <w:tr w14:paraId="5F78D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27" w:type="dxa"/>
            <w:tcBorders>
              <w:top w:val="single" w:color="auto" w:sz="4" w:space="0"/>
              <w:left w:val="single" w:color="auto" w:sz="4" w:space="0"/>
              <w:right w:val="single" w:color="auto" w:sz="4" w:space="0"/>
            </w:tcBorders>
            <w:vAlign w:val="center"/>
          </w:tcPr>
          <w:p w14:paraId="418B6C83">
            <w:pPr>
              <w:spacing w:line="480"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5</w:t>
            </w:r>
          </w:p>
        </w:tc>
        <w:tc>
          <w:tcPr>
            <w:tcW w:w="1522" w:type="dxa"/>
            <w:tcBorders>
              <w:top w:val="single" w:color="auto" w:sz="4" w:space="0"/>
              <w:left w:val="single" w:color="auto" w:sz="4" w:space="0"/>
              <w:right w:val="single" w:color="auto" w:sz="4" w:space="0"/>
            </w:tcBorders>
            <w:vAlign w:val="center"/>
          </w:tcPr>
          <w:p w14:paraId="737E9AEC">
            <w:pPr>
              <w:spacing w:line="240" w:lineRule="auto"/>
              <w:ind w:left="0" w:leftChars="0" w:right="0" w:rightChars="0"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保证项目实施的技术力量安排</w:t>
            </w:r>
          </w:p>
        </w:tc>
        <w:tc>
          <w:tcPr>
            <w:tcW w:w="7100" w:type="dxa"/>
            <w:tcBorders>
              <w:top w:val="single" w:color="auto" w:sz="4" w:space="0"/>
              <w:left w:val="single" w:color="auto" w:sz="4" w:space="0"/>
              <w:right w:val="single" w:color="auto" w:sz="4" w:space="0"/>
            </w:tcBorders>
            <w:vAlign w:val="center"/>
          </w:tcPr>
          <w:p w14:paraId="37E2016F">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1、投标单位配置1台管道CCTV检测设备的得2分，本小项最高得2分；</w:t>
            </w:r>
          </w:p>
          <w:p w14:paraId="6E1ED2A4">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2、投标单位配置1台毒气检测仪的得2分，本小项最高得2分</w:t>
            </w:r>
            <w:r>
              <w:rPr>
                <w:rFonts w:hint="eastAsia" w:ascii="仿宋" w:hAnsi="仿宋" w:eastAsia="仿宋" w:cs="仿宋"/>
                <w:color w:val="auto"/>
                <w:kern w:val="0"/>
                <w:sz w:val="24"/>
                <w:highlight w:val="none"/>
                <w:lang w:eastAsia="zh-CN"/>
              </w:rPr>
              <w:t>；</w:t>
            </w:r>
          </w:p>
          <w:p w14:paraId="0458EC6C">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3、投标单位配置1套潜水设备的得2分，本小项最高得2分；</w:t>
            </w:r>
          </w:p>
          <w:p w14:paraId="0BF6657E">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4、投标单位配置1台发电机组的得2分，每增加1台得2分，本小项最高得4分；</w:t>
            </w:r>
          </w:p>
          <w:p w14:paraId="05A19A65">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5、投标单位配置1台</w:t>
            </w:r>
            <w:r>
              <w:rPr>
                <w:rFonts w:hint="eastAsia" w:ascii="仿宋" w:hAnsi="仿宋" w:eastAsia="仿宋" w:cs="仿宋"/>
                <w:color w:val="auto"/>
                <w:kern w:val="0"/>
                <w:sz w:val="24"/>
                <w:highlight w:val="none"/>
                <w:lang w:eastAsia="zh-CN"/>
              </w:rPr>
              <w:t>清理疏通车</w:t>
            </w:r>
            <w:r>
              <w:rPr>
                <w:rFonts w:hint="eastAsia" w:ascii="仿宋" w:hAnsi="仿宋" w:eastAsia="仿宋" w:cs="仿宋"/>
                <w:color w:val="auto"/>
                <w:kern w:val="0"/>
                <w:sz w:val="24"/>
                <w:highlight w:val="none"/>
              </w:rPr>
              <w:t>的得2分，每增加1台得2分，本小项最高得4分；</w:t>
            </w:r>
          </w:p>
          <w:p w14:paraId="789CE5AB">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6、投标单位配置1辆吸污车的得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分，每增加1辆得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分，本小项最高得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p>
          <w:p w14:paraId="2F788A96">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7、投标单位配置1辆专项作业车（</w:t>
            </w:r>
            <w:r>
              <w:rPr>
                <w:rFonts w:hint="eastAsia" w:ascii="仿宋" w:hAnsi="仿宋" w:eastAsia="仿宋" w:cs="仿宋"/>
                <w:color w:val="auto"/>
                <w:kern w:val="0"/>
                <w:sz w:val="24"/>
                <w:highlight w:val="none"/>
                <w:lang w:eastAsia="zh-CN"/>
              </w:rPr>
              <w:t>大流量</w:t>
            </w:r>
            <w:r>
              <w:rPr>
                <w:rFonts w:hint="eastAsia" w:ascii="仿宋" w:hAnsi="仿宋" w:eastAsia="仿宋" w:cs="仿宋"/>
                <w:color w:val="auto"/>
                <w:kern w:val="0"/>
                <w:sz w:val="24"/>
                <w:highlight w:val="none"/>
                <w:lang w:val="en-US" w:eastAsia="zh-CN"/>
              </w:rPr>
              <w:t>排水抢险</w:t>
            </w:r>
            <w:r>
              <w:rPr>
                <w:rFonts w:hint="eastAsia" w:ascii="仿宋" w:hAnsi="仿宋" w:eastAsia="仿宋" w:cs="仿宋"/>
                <w:color w:val="auto"/>
                <w:kern w:val="0"/>
                <w:sz w:val="24"/>
                <w:highlight w:val="none"/>
                <w:lang w:eastAsia="zh-CN"/>
              </w:rPr>
              <w:t>车</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eastAsia="zh-CN"/>
              </w:rPr>
              <w:t>，要求整车抽排能力</w:t>
            </w:r>
            <w:r>
              <w:rPr>
                <w:rFonts w:hint="eastAsia" w:ascii="仿宋" w:hAnsi="仿宋" w:eastAsia="仿宋" w:cs="仿宋"/>
                <w:color w:val="auto"/>
                <w:kern w:val="0"/>
                <w:sz w:val="24"/>
                <w:highlight w:val="none"/>
                <w:lang w:val="en-US" w:eastAsia="zh-CN"/>
              </w:rPr>
              <w:t>不低于800</w:t>
            </w:r>
            <w:r>
              <w:rPr>
                <w:rFonts w:hint="eastAsia" w:ascii="仿宋" w:hAnsi="仿宋" w:eastAsia="仿宋" w:cs="仿宋"/>
                <w:color w:val="auto"/>
                <w:kern w:val="0"/>
                <w:sz w:val="24"/>
                <w:highlight w:val="none"/>
                <w:lang w:eastAsia="zh-CN"/>
              </w:rPr>
              <w:t>立方米/小时的得2分，本小项最高得2分</w:t>
            </w:r>
            <w:r>
              <w:rPr>
                <w:rFonts w:hint="eastAsia" w:ascii="仿宋" w:hAnsi="仿宋" w:eastAsia="仿宋" w:cs="仿宋"/>
                <w:color w:val="auto"/>
                <w:kern w:val="0"/>
                <w:sz w:val="24"/>
                <w:highlight w:val="none"/>
              </w:rPr>
              <w:t>。</w:t>
            </w:r>
          </w:p>
          <w:p w14:paraId="28A82789">
            <w:pPr>
              <w:spacing w:line="240" w:lineRule="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lang w:val="en-US" w:eastAsia="zh-CN" w:bidi="zh-CN"/>
              </w:rPr>
              <w:t>注：以上设备需为供应商自有或租赁。需提供清晰的购入发票或租赁合同及发票，并加盖公章；提供设备的实物照片及参数照片并加盖公章。不提供不得分。</w:t>
            </w:r>
          </w:p>
        </w:tc>
        <w:tc>
          <w:tcPr>
            <w:tcW w:w="850" w:type="dxa"/>
            <w:tcBorders>
              <w:top w:val="single" w:color="auto" w:sz="4" w:space="0"/>
              <w:left w:val="single" w:color="auto" w:sz="4" w:space="0"/>
              <w:right w:val="single" w:color="auto" w:sz="4" w:space="0"/>
            </w:tcBorders>
            <w:vAlign w:val="center"/>
          </w:tcPr>
          <w:p w14:paraId="048191E1">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0-18分</w:t>
            </w:r>
          </w:p>
        </w:tc>
      </w:tr>
      <w:tr w14:paraId="09A9A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6" w:hRule="atLeast"/>
          <w:jc w:val="center"/>
        </w:trPr>
        <w:tc>
          <w:tcPr>
            <w:tcW w:w="627" w:type="dxa"/>
            <w:tcBorders>
              <w:top w:val="single" w:color="auto" w:sz="4" w:space="0"/>
              <w:left w:val="single" w:color="auto" w:sz="4" w:space="0"/>
              <w:right w:val="single" w:color="auto" w:sz="4" w:space="0"/>
            </w:tcBorders>
            <w:vAlign w:val="center"/>
          </w:tcPr>
          <w:p w14:paraId="64E8A1DF">
            <w:pPr>
              <w:spacing w:line="480"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6</w:t>
            </w:r>
          </w:p>
        </w:tc>
        <w:tc>
          <w:tcPr>
            <w:tcW w:w="1522" w:type="dxa"/>
            <w:tcBorders>
              <w:top w:val="single" w:color="auto" w:sz="4" w:space="0"/>
              <w:left w:val="single" w:color="auto" w:sz="4" w:space="0"/>
              <w:right w:val="single" w:color="auto" w:sz="4" w:space="0"/>
            </w:tcBorders>
            <w:vAlign w:val="center"/>
          </w:tcPr>
          <w:p w14:paraId="79964F1A">
            <w:pPr>
              <w:spacing w:line="240" w:lineRule="auto"/>
              <w:ind w:left="0" w:leftChars="0" w:right="0" w:rightChars="0"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保证项目实施的人力资源安排</w:t>
            </w:r>
          </w:p>
        </w:tc>
        <w:tc>
          <w:tcPr>
            <w:tcW w:w="7100" w:type="dxa"/>
            <w:tcBorders>
              <w:top w:val="single" w:color="auto" w:sz="4" w:space="0"/>
              <w:left w:val="single" w:color="auto" w:sz="4" w:space="0"/>
              <w:right w:val="single" w:color="auto" w:sz="4" w:space="0"/>
            </w:tcBorders>
            <w:vAlign w:val="center"/>
          </w:tcPr>
          <w:p w14:paraId="71891FB0">
            <w:pPr>
              <w:shd w:val="clear"/>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项目组成人员：</w:t>
            </w:r>
          </w:p>
          <w:p w14:paraId="55461FDC">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1、投标人提供有毒有害有限空间作业证书1人得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分，最多得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w:t>
            </w:r>
          </w:p>
          <w:p w14:paraId="5A04EA26">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2、投标人具有下水道养护工中级或高级工证书的，一人得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分，最高得</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分，未提供或不满足的不得分；</w:t>
            </w:r>
          </w:p>
          <w:p w14:paraId="706469F2">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3、投标人提供潜水员证书1人得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分，最多得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eastAsia="zh-CN"/>
              </w:rPr>
              <w:t>。</w:t>
            </w:r>
          </w:p>
          <w:p w14:paraId="0A50667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注：以上拥有证书人员必须是响应人的合法员工，并提供近三个月中任意一个月的社保证明及相关证书复印件加盖公章，否则不得分。</w:t>
            </w:r>
          </w:p>
        </w:tc>
        <w:tc>
          <w:tcPr>
            <w:tcW w:w="850" w:type="dxa"/>
            <w:tcBorders>
              <w:top w:val="single" w:color="auto" w:sz="4" w:space="0"/>
              <w:left w:val="single" w:color="auto" w:sz="4" w:space="0"/>
              <w:right w:val="single" w:color="auto" w:sz="4" w:space="0"/>
            </w:tcBorders>
            <w:vAlign w:val="center"/>
          </w:tcPr>
          <w:p w14:paraId="61CCCEF4">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w:t>
            </w:r>
          </w:p>
        </w:tc>
      </w:tr>
      <w:tr w14:paraId="46DCD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1" w:hRule="atLeast"/>
          <w:jc w:val="center"/>
        </w:trPr>
        <w:tc>
          <w:tcPr>
            <w:tcW w:w="627" w:type="dxa"/>
            <w:tcBorders>
              <w:top w:val="single" w:color="auto" w:sz="4" w:space="0"/>
              <w:left w:val="single" w:color="auto" w:sz="4" w:space="0"/>
              <w:right w:val="single" w:color="auto" w:sz="4" w:space="0"/>
            </w:tcBorders>
            <w:vAlign w:val="center"/>
          </w:tcPr>
          <w:p w14:paraId="2DA18A4D">
            <w:pPr>
              <w:spacing w:line="480"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w:t>
            </w:r>
          </w:p>
        </w:tc>
        <w:tc>
          <w:tcPr>
            <w:tcW w:w="1522" w:type="dxa"/>
            <w:tcBorders>
              <w:top w:val="single" w:color="auto" w:sz="4" w:space="0"/>
              <w:left w:val="single" w:color="auto" w:sz="4" w:space="0"/>
              <w:right w:val="single" w:color="auto" w:sz="4" w:space="0"/>
            </w:tcBorders>
            <w:vAlign w:val="center"/>
          </w:tcPr>
          <w:p w14:paraId="0A1512C8">
            <w:pPr>
              <w:spacing w:line="240" w:lineRule="auto"/>
              <w:ind w:left="0" w:leftChars="0" w:right="0" w:rightChars="0"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应急预案</w:t>
            </w:r>
          </w:p>
        </w:tc>
        <w:tc>
          <w:tcPr>
            <w:tcW w:w="7100" w:type="dxa"/>
            <w:tcBorders>
              <w:top w:val="single" w:color="auto" w:sz="4" w:space="0"/>
              <w:left w:val="single" w:color="auto" w:sz="4" w:space="0"/>
              <w:right w:val="single" w:color="auto" w:sz="4" w:space="0"/>
            </w:tcBorders>
            <w:vAlign w:val="center"/>
          </w:tcPr>
          <w:p w14:paraId="632432A2">
            <w:pPr>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根据供应商提供的应急预案内容是否合理，突发情况的响应时效以及处理流程进行评审：</w:t>
            </w:r>
          </w:p>
          <w:p w14:paraId="7117A089">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提供应急预案</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内容合理并符合要求，响应时效和处理流程</w:t>
            </w:r>
            <w:r>
              <w:rPr>
                <w:rFonts w:hint="eastAsia" w:ascii="仿宋" w:hAnsi="仿宋" w:eastAsia="仿宋" w:cs="仿宋"/>
                <w:color w:val="auto"/>
                <w:kern w:val="0"/>
                <w:sz w:val="24"/>
                <w:highlight w:val="none"/>
                <w:lang w:val="en-US" w:eastAsia="zh-CN"/>
              </w:rPr>
              <w:t>完善的</w:t>
            </w:r>
            <w:r>
              <w:rPr>
                <w:rFonts w:hint="eastAsia" w:ascii="仿宋" w:hAnsi="仿宋" w:eastAsia="仿宋" w:cs="仿宋"/>
                <w:color w:val="auto"/>
                <w:kern w:val="0"/>
                <w:sz w:val="24"/>
                <w:highlight w:val="none"/>
              </w:rPr>
              <w:t>得</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分；</w:t>
            </w:r>
          </w:p>
          <w:p w14:paraId="6E3A4502">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w:t>
            </w:r>
            <w:r>
              <w:rPr>
                <w:rFonts w:hint="eastAsia" w:ascii="仿宋" w:hAnsi="仿宋" w:eastAsia="仿宋" w:cs="仿宋"/>
                <w:color w:val="auto"/>
                <w:kern w:val="0"/>
                <w:sz w:val="24"/>
                <w:highlight w:val="none"/>
                <w:lang w:val="en-US" w:eastAsia="zh-CN"/>
              </w:rPr>
              <w:t>的</w:t>
            </w:r>
            <w:r>
              <w:rPr>
                <w:rFonts w:hint="eastAsia" w:ascii="仿宋" w:hAnsi="仿宋" w:eastAsia="仿宋" w:cs="仿宋"/>
                <w:color w:val="auto"/>
                <w:kern w:val="0"/>
                <w:sz w:val="24"/>
                <w:highlight w:val="none"/>
              </w:rPr>
              <w:t>应急预案内容</w:t>
            </w:r>
            <w:r>
              <w:rPr>
                <w:rFonts w:hint="eastAsia" w:ascii="仿宋" w:hAnsi="仿宋" w:eastAsia="仿宋" w:cs="仿宋"/>
                <w:color w:val="auto"/>
                <w:kern w:val="0"/>
                <w:sz w:val="24"/>
                <w:highlight w:val="none"/>
                <w:lang w:val="en-US" w:eastAsia="zh-CN"/>
              </w:rPr>
              <w:t>不合理，</w:t>
            </w:r>
            <w:r>
              <w:rPr>
                <w:rFonts w:hint="eastAsia" w:ascii="仿宋" w:hAnsi="仿宋" w:eastAsia="仿宋" w:cs="仿宋"/>
                <w:color w:val="auto"/>
                <w:kern w:val="0"/>
                <w:sz w:val="24"/>
                <w:highlight w:val="none"/>
              </w:rPr>
              <w:t>响应时效和处理流程</w:t>
            </w:r>
            <w:r>
              <w:rPr>
                <w:rFonts w:hint="eastAsia" w:ascii="仿宋" w:hAnsi="仿宋" w:eastAsia="仿宋" w:cs="仿宋"/>
                <w:color w:val="auto"/>
                <w:kern w:val="0"/>
                <w:sz w:val="24"/>
                <w:highlight w:val="none"/>
                <w:lang w:val="en-US" w:eastAsia="zh-CN"/>
              </w:rPr>
              <w:t>不完善的</w:t>
            </w:r>
            <w:r>
              <w:rPr>
                <w:rFonts w:hint="eastAsia" w:ascii="仿宋" w:hAnsi="仿宋" w:eastAsia="仿宋" w:cs="仿宋"/>
                <w:color w:val="auto"/>
                <w:kern w:val="0"/>
                <w:sz w:val="24"/>
                <w:highlight w:val="none"/>
                <w:lang w:eastAsia="zh-CN"/>
              </w:rPr>
              <w:t>每项扣2分，扣完为止。</w:t>
            </w:r>
          </w:p>
        </w:tc>
        <w:tc>
          <w:tcPr>
            <w:tcW w:w="850" w:type="dxa"/>
            <w:tcBorders>
              <w:top w:val="single" w:color="auto" w:sz="4" w:space="0"/>
              <w:left w:val="single" w:color="auto" w:sz="4" w:space="0"/>
              <w:right w:val="single" w:color="auto" w:sz="4" w:space="0"/>
            </w:tcBorders>
            <w:vAlign w:val="center"/>
          </w:tcPr>
          <w:p w14:paraId="7DA093F2">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tc>
      </w:tr>
      <w:tr w14:paraId="7B5A5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3"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76E6817B">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522" w:type="dxa"/>
            <w:tcBorders>
              <w:top w:val="single" w:color="auto" w:sz="4" w:space="0"/>
              <w:left w:val="single" w:color="auto" w:sz="4" w:space="0"/>
              <w:bottom w:val="single" w:color="auto" w:sz="4" w:space="0"/>
              <w:right w:val="single" w:color="auto" w:sz="4" w:space="0"/>
            </w:tcBorders>
            <w:vAlign w:val="center"/>
          </w:tcPr>
          <w:p w14:paraId="061D82CB">
            <w:pPr>
              <w:widowControl/>
              <w:spacing w:line="240" w:lineRule="auto"/>
              <w:ind w:left="0" w:leftChars="0" w:right="0" w:rightChars="0"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对本项目有效的改进措施和合理化建议</w:t>
            </w:r>
          </w:p>
        </w:tc>
        <w:tc>
          <w:tcPr>
            <w:tcW w:w="7100" w:type="dxa"/>
            <w:tcBorders>
              <w:top w:val="single" w:color="auto" w:sz="4" w:space="0"/>
              <w:left w:val="single" w:color="auto" w:sz="4" w:space="0"/>
              <w:bottom w:val="single" w:color="auto" w:sz="4" w:space="0"/>
              <w:right w:val="single" w:color="auto" w:sz="4" w:space="0"/>
            </w:tcBorders>
            <w:vAlign w:val="center"/>
          </w:tcPr>
          <w:p w14:paraId="73458048">
            <w:pPr>
              <w:spacing w:line="360" w:lineRule="auto"/>
              <w:ind w:firstLine="240" w:firstLineChars="1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有效建议和措施每项得1分，最高得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分，未提供不得分。</w:t>
            </w:r>
          </w:p>
        </w:tc>
        <w:tc>
          <w:tcPr>
            <w:tcW w:w="850" w:type="dxa"/>
            <w:tcBorders>
              <w:top w:val="single" w:color="auto" w:sz="4" w:space="0"/>
              <w:left w:val="single" w:color="auto" w:sz="4" w:space="0"/>
              <w:bottom w:val="single" w:color="auto" w:sz="4" w:space="0"/>
              <w:right w:val="single" w:color="auto" w:sz="4" w:space="0"/>
            </w:tcBorders>
            <w:vAlign w:val="center"/>
          </w:tcPr>
          <w:p w14:paraId="4E5CBD4A">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r>
      <w:tr w14:paraId="75420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9249" w:type="dxa"/>
            <w:gridSpan w:val="3"/>
            <w:tcBorders>
              <w:top w:val="single" w:color="auto" w:sz="4" w:space="0"/>
              <w:left w:val="single" w:color="auto" w:sz="4" w:space="0"/>
              <w:bottom w:val="single" w:color="auto" w:sz="4" w:space="0"/>
              <w:right w:val="single" w:color="auto" w:sz="4" w:space="0"/>
            </w:tcBorders>
            <w:vAlign w:val="center"/>
          </w:tcPr>
          <w:p w14:paraId="2D29A4B7">
            <w:pPr>
              <w:pStyle w:val="19"/>
              <w:spacing w:after="0" w:line="240" w:lineRule="auto"/>
              <w:ind w:left="0" w:leftChars="0" w:right="0"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商务、资信及其他分</w:t>
            </w:r>
          </w:p>
        </w:tc>
        <w:tc>
          <w:tcPr>
            <w:tcW w:w="850" w:type="dxa"/>
            <w:tcBorders>
              <w:top w:val="single" w:color="auto" w:sz="4" w:space="0"/>
              <w:left w:val="single" w:color="auto" w:sz="4" w:space="0"/>
              <w:bottom w:val="single" w:color="auto" w:sz="4" w:space="0"/>
              <w:right w:val="single" w:color="auto" w:sz="4" w:space="0"/>
            </w:tcBorders>
            <w:vAlign w:val="center"/>
          </w:tcPr>
          <w:p w14:paraId="5E26752C">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13分</w:t>
            </w:r>
          </w:p>
        </w:tc>
      </w:tr>
      <w:tr w14:paraId="48F97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1C98E24E">
            <w:pPr>
              <w:spacing w:line="48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522" w:type="dxa"/>
            <w:tcBorders>
              <w:top w:val="single" w:color="auto" w:sz="4" w:space="0"/>
              <w:left w:val="single" w:color="auto" w:sz="4" w:space="0"/>
              <w:bottom w:val="single" w:color="auto" w:sz="4" w:space="0"/>
              <w:right w:val="single" w:color="auto" w:sz="4" w:space="0"/>
            </w:tcBorders>
            <w:vAlign w:val="center"/>
          </w:tcPr>
          <w:p w14:paraId="10B6ED17">
            <w:pPr>
              <w:spacing w:line="240" w:lineRule="auto"/>
              <w:ind w:left="0" w:leftChars="0" w:right="0" w:rightChars="0"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售后服务承诺</w:t>
            </w:r>
          </w:p>
        </w:tc>
        <w:tc>
          <w:tcPr>
            <w:tcW w:w="7100" w:type="dxa"/>
            <w:tcBorders>
              <w:top w:val="single" w:color="auto" w:sz="4" w:space="0"/>
              <w:left w:val="single" w:color="auto" w:sz="4" w:space="0"/>
              <w:right w:val="single" w:color="auto" w:sz="4" w:space="0"/>
            </w:tcBorders>
            <w:vAlign w:val="center"/>
          </w:tcPr>
          <w:p w14:paraId="28BE514F">
            <w:pPr>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评审小组根据售后服务方案进行评审：</w:t>
            </w:r>
          </w:p>
          <w:p w14:paraId="520A293C">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提供</w:t>
            </w:r>
            <w:r>
              <w:rPr>
                <w:rFonts w:hint="eastAsia" w:ascii="仿宋" w:hAnsi="仿宋" w:eastAsia="仿宋" w:cs="仿宋"/>
                <w:color w:val="auto"/>
                <w:kern w:val="0"/>
                <w:sz w:val="24"/>
                <w:highlight w:val="none"/>
                <w:lang w:val="en-US" w:eastAsia="zh-CN"/>
              </w:rPr>
              <w:t>售后服务方案，</w:t>
            </w:r>
            <w:r>
              <w:rPr>
                <w:rFonts w:hint="eastAsia" w:ascii="仿宋" w:hAnsi="仿宋" w:eastAsia="仿宋" w:cs="仿宋"/>
                <w:color w:val="auto"/>
                <w:kern w:val="0"/>
                <w:sz w:val="24"/>
                <w:highlight w:val="none"/>
              </w:rPr>
              <w:t>全面、周到、明确可行，优惠幅度大的得</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eastAsia="zh-CN"/>
              </w:rPr>
              <w:t>：</w:t>
            </w:r>
          </w:p>
          <w:p w14:paraId="5BA51E60">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w:t>
            </w:r>
            <w:r>
              <w:rPr>
                <w:rFonts w:hint="eastAsia" w:ascii="仿宋" w:hAnsi="仿宋" w:eastAsia="仿宋" w:cs="仿宋"/>
                <w:color w:val="auto"/>
                <w:kern w:val="0"/>
                <w:sz w:val="24"/>
                <w:highlight w:val="none"/>
                <w:lang w:val="en-US" w:eastAsia="zh-CN"/>
              </w:rPr>
              <w:t>的</w:t>
            </w:r>
            <w:r>
              <w:rPr>
                <w:rFonts w:hint="eastAsia" w:ascii="仿宋" w:hAnsi="仿宋" w:eastAsia="仿宋" w:cs="仿宋"/>
                <w:color w:val="auto"/>
                <w:kern w:val="0"/>
                <w:sz w:val="24"/>
                <w:highlight w:val="none"/>
              </w:rPr>
              <w:t>售后服务方案</w:t>
            </w:r>
            <w:r>
              <w:rPr>
                <w:rFonts w:hint="eastAsia" w:ascii="仿宋" w:hAnsi="仿宋" w:eastAsia="仿宋" w:cs="仿宋"/>
                <w:color w:val="auto"/>
                <w:kern w:val="0"/>
                <w:sz w:val="24"/>
                <w:highlight w:val="none"/>
                <w:lang w:val="en-US" w:eastAsia="zh-CN"/>
              </w:rPr>
              <w:t>不够全面、周到、明确的，</w:t>
            </w:r>
            <w:r>
              <w:rPr>
                <w:rFonts w:hint="eastAsia" w:ascii="仿宋" w:hAnsi="仿宋" w:eastAsia="仿宋" w:cs="仿宋"/>
                <w:color w:val="auto"/>
                <w:kern w:val="0"/>
                <w:sz w:val="24"/>
                <w:highlight w:val="none"/>
              </w:rPr>
              <w:t>优惠幅度</w:t>
            </w:r>
            <w:r>
              <w:rPr>
                <w:rFonts w:hint="eastAsia" w:ascii="仿宋" w:hAnsi="仿宋" w:eastAsia="仿宋" w:cs="仿宋"/>
                <w:color w:val="auto"/>
                <w:kern w:val="0"/>
                <w:sz w:val="24"/>
                <w:highlight w:val="none"/>
                <w:lang w:val="en-US" w:eastAsia="zh-CN"/>
              </w:rPr>
              <w:t>不明显的</w:t>
            </w:r>
            <w:r>
              <w:rPr>
                <w:rFonts w:hint="eastAsia" w:ascii="仿宋" w:hAnsi="仿宋" w:eastAsia="仿宋" w:cs="仿宋"/>
                <w:color w:val="auto"/>
                <w:kern w:val="0"/>
                <w:sz w:val="24"/>
                <w:highlight w:val="none"/>
                <w:lang w:eastAsia="zh-CN"/>
              </w:rPr>
              <w:t>每项扣</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分，扣完为止。</w:t>
            </w:r>
          </w:p>
        </w:tc>
        <w:tc>
          <w:tcPr>
            <w:tcW w:w="850" w:type="dxa"/>
            <w:tcBorders>
              <w:top w:val="single" w:color="auto" w:sz="4" w:space="0"/>
              <w:left w:val="single" w:color="auto" w:sz="4" w:space="0"/>
              <w:right w:val="single" w:color="auto" w:sz="4" w:space="0"/>
            </w:tcBorders>
            <w:vAlign w:val="center"/>
          </w:tcPr>
          <w:p w14:paraId="67622D95">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r>
      <w:tr w14:paraId="0C069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3"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2569826E">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522" w:type="dxa"/>
            <w:tcBorders>
              <w:top w:val="single" w:color="auto" w:sz="4" w:space="0"/>
              <w:left w:val="single" w:color="auto" w:sz="4" w:space="0"/>
              <w:bottom w:val="single" w:color="auto" w:sz="4" w:space="0"/>
              <w:right w:val="single" w:color="auto" w:sz="4" w:space="0"/>
            </w:tcBorders>
            <w:vAlign w:val="center"/>
          </w:tcPr>
          <w:p w14:paraId="0D7575BF">
            <w:pPr>
              <w:spacing w:line="240" w:lineRule="auto"/>
              <w:ind w:left="0" w:leftChars="0" w:right="0" w:rightChars="0"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企业业绩</w:t>
            </w:r>
          </w:p>
        </w:tc>
        <w:tc>
          <w:tcPr>
            <w:tcW w:w="7100" w:type="dxa"/>
            <w:tcBorders>
              <w:top w:val="single" w:color="auto" w:sz="4" w:space="0"/>
              <w:left w:val="single" w:color="auto" w:sz="4" w:space="0"/>
              <w:right w:val="single" w:color="auto" w:sz="4" w:space="0"/>
            </w:tcBorders>
            <w:vAlign w:val="center"/>
          </w:tcPr>
          <w:p w14:paraId="5B86EE47">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仿宋" w:hAnsi="仿宋" w:eastAsia="仿宋" w:cs="仿宋"/>
                <w:color w:val="auto"/>
                <w:kern w:val="0"/>
                <w:sz w:val="24"/>
                <w:highlight w:val="none"/>
                <w:shd w:val="clear" w:fill="FFFFFF" w:themeFill="background1"/>
                <w:lang w:eastAsia="zh-CN"/>
              </w:rPr>
            </w:pPr>
            <w:r>
              <w:rPr>
                <w:rFonts w:hint="eastAsia" w:ascii="仿宋" w:hAnsi="仿宋" w:eastAsia="仿宋" w:cs="仿宋"/>
                <w:color w:val="auto"/>
                <w:kern w:val="0"/>
                <w:sz w:val="24"/>
                <w:highlight w:val="none"/>
              </w:rPr>
              <w:t>从202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年1月1日以来，响应人有1个管道维护</w:t>
            </w:r>
            <w:r>
              <w:rPr>
                <w:rFonts w:hint="eastAsia" w:ascii="仿宋" w:hAnsi="仿宋" w:eastAsia="仿宋" w:cs="仿宋"/>
                <w:color w:val="auto"/>
                <w:kern w:val="0"/>
                <w:sz w:val="24"/>
                <w:highlight w:val="none"/>
                <w:lang w:val="en-US" w:eastAsia="zh-CN"/>
              </w:rPr>
              <w:t>修复</w:t>
            </w:r>
            <w:r>
              <w:rPr>
                <w:rFonts w:hint="eastAsia" w:ascii="仿宋" w:hAnsi="仿宋" w:eastAsia="仿宋" w:cs="仿宋"/>
                <w:color w:val="auto"/>
                <w:kern w:val="0"/>
                <w:sz w:val="24"/>
                <w:highlight w:val="none"/>
              </w:rPr>
              <w:t>类项目业绩的</w:t>
            </w:r>
            <w:r>
              <w:rPr>
                <w:rFonts w:hint="eastAsia" w:ascii="仿宋" w:hAnsi="仿宋" w:eastAsia="仿宋" w:cs="仿宋"/>
                <w:color w:val="auto"/>
                <w:kern w:val="0"/>
                <w:sz w:val="24"/>
                <w:highlight w:val="none"/>
                <w:shd w:val="clear" w:fill="FFFFFF" w:themeFill="background1"/>
              </w:rPr>
              <w:t>得</w:t>
            </w:r>
            <w:r>
              <w:rPr>
                <w:rFonts w:hint="eastAsia" w:ascii="仿宋" w:hAnsi="仿宋" w:eastAsia="仿宋" w:cs="仿宋"/>
                <w:color w:val="auto"/>
                <w:kern w:val="0"/>
                <w:sz w:val="24"/>
                <w:highlight w:val="none"/>
                <w:shd w:val="clear" w:fill="FFFFFF" w:themeFill="background1"/>
                <w:lang w:val="en-US" w:eastAsia="zh-CN"/>
              </w:rPr>
              <w:t>1</w:t>
            </w:r>
            <w:r>
              <w:rPr>
                <w:rFonts w:hint="eastAsia" w:ascii="仿宋" w:hAnsi="仿宋" w:eastAsia="仿宋" w:cs="仿宋"/>
                <w:color w:val="auto"/>
                <w:kern w:val="0"/>
                <w:sz w:val="24"/>
                <w:highlight w:val="none"/>
                <w:shd w:val="clear" w:fill="FFFFFF" w:themeFill="background1"/>
              </w:rPr>
              <w:t>分，每增加1个加</w:t>
            </w:r>
            <w:r>
              <w:rPr>
                <w:rFonts w:hint="eastAsia" w:ascii="仿宋" w:hAnsi="仿宋" w:eastAsia="仿宋" w:cs="仿宋"/>
                <w:color w:val="auto"/>
                <w:kern w:val="0"/>
                <w:sz w:val="24"/>
                <w:highlight w:val="none"/>
                <w:shd w:val="clear" w:fill="FFFFFF" w:themeFill="background1"/>
                <w:lang w:val="en-US" w:eastAsia="zh-CN"/>
              </w:rPr>
              <w:t>1</w:t>
            </w:r>
            <w:r>
              <w:rPr>
                <w:rFonts w:hint="eastAsia" w:ascii="仿宋" w:hAnsi="仿宋" w:eastAsia="仿宋" w:cs="仿宋"/>
                <w:color w:val="auto"/>
                <w:kern w:val="0"/>
                <w:sz w:val="24"/>
                <w:highlight w:val="none"/>
                <w:shd w:val="clear" w:fill="FFFFFF" w:themeFill="background1"/>
              </w:rPr>
              <w:t>分，最高得</w:t>
            </w:r>
            <w:r>
              <w:rPr>
                <w:rFonts w:hint="eastAsia" w:ascii="仿宋" w:hAnsi="仿宋" w:eastAsia="仿宋" w:cs="仿宋"/>
                <w:color w:val="auto"/>
                <w:kern w:val="0"/>
                <w:sz w:val="24"/>
                <w:highlight w:val="none"/>
                <w:shd w:val="clear" w:fill="FFFFFF" w:themeFill="background1"/>
                <w:lang w:val="en-US" w:eastAsia="zh-CN"/>
              </w:rPr>
              <w:t>2</w:t>
            </w:r>
            <w:r>
              <w:rPr>
                <w:rFonts w:hint="eastAsia" w:ascii="仿宋" w:hAnsi="仿宋" w:eastAsia="仿宋" w:cs="仿宋"/>
                <w:color w:val="auto"/>
                <w:kern w:val="0"/>
                <w:sz w:val="24"/>
                <w:highlight w:val="none"/>
                <w:shd w:val="clear" w:fill="FFFFFF" w:themeFill="background1"/>
              </w:rPr>
              <w:t>分</w:t>
            </w:r>
            <w:r>
              <w:rPr>
                <w:rFonts w:hint="eastAsia" w:ascii="仿宋" w:hAnsi="仿宋" w:eastAsia="仿宋" w:cs="仿宋"/>
                <w:color w:val="auto"/>
                <w:kern w:val="0"/>
                <w:sz w:val="24"/>
                <w:highlight w:val="none"/>
                <w:shd w:val="clear" w:fill="FFFFFF" w:themeFill="background1"/>
                <w:lang w:eastAsia="zh-CN"/>
              </w:rPr>
              <w:t>。</w:t>
            </w:r>
          </w:p>
          <w:p w14:paraId="5825332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注：</w:t>
            </w:r>
            <w:r>
              <w:rPr>
                <w:rFonts w:hint="eastAsia" w:ascii="仿宋" w:hAnsi="仿宋" w:eastAsia="仿宋" w:cs="仿宋"/>
                <w:b/>
                <w:bCs/>
                <w:color w:val="auto"/>
                <w:kern w:val="0"/>
                <w:sz w:val="24"/>
                <w:highlight w:val="none"/>
                <w:shd w:val="clear" w:fill="FFFFFF" w:themeFill="background1"/>
              </w:rPr>
              <w:t>以合同签订时间为准，需</w:t>
            </w:r>
            <w:r>
              <w:rPr>
                <w:rFonts w:hint="eastAsia" w:ascii="仿宋" w:hAnsi="仿宋" w:eastAsia="仿宋" w:cs="仿宋"/>
                <w:b/>
                <w:bCs/>
                <w:color w:val="auto"/>
                <w:kern w:val="0"/>
                <w:sz w:val="24"/>
                <w:highlight w:val="none"/>
                <w:shd w:val="clear" w:fill="FFFFFF" w:themeFill="background1"/>
                <w:lang w:val="en-US" w:eastAsia="zh-CN"/>
              </w:rPr>
              <w:t>同时</w:t>
            </w:r>
            <w:r>
              <w:rPr>
                <w:rFonts w:hint="eastAsia" w:ascii="仿宋" w:hAnsi="仿宋" w:eastAsia="仿宋" w:cs="仿宋"/>
                <w:b/>
                <w:bCs/>
                <w:color w:val="auto"/>
                <w:kern w:val="0"/>
                <w:sz w:val="24"/>
                <w:highlight w:val="none"/>
                <w:shd w:val="clear" w:fill="FFFFFF" w:themeFill="background1"/>
              </w:rPr>
              <w:t>提供合同及中标通知书复印件</w:t>
            </w:r>
            <w:r>
              <w:rPr>
                <w:rFonts w:hint="eastAsia" w:ascii="仿宋" w:hAnsi="仿宋" w:eastAsia="仿宋" w:cs="仿宋"/>
                <w:b/>
                <w:bCs/>
                <w:color w:val="auto"/>
                <w:kern w:val="0"/>
                <w:sz w:val="24"/>
                <w:highlight w:val="none"/>
              </w:rPr>
              <w:t>加盖公章，不提供不得分。</w:t>
            </w:r>
          </w:p>
        </w:tc>
        <w:tc>
          <w:tcPr>
            <w:tcW w:w="850" w:type="dxa"/>
            <w:tcBorders>
              <w:top w:val="single" w:color="auto" w:sz="4" w:space="0"/>
              <w:left w:val="single" w:color="auto" w:sz="4" w:space="0"/>
              <w:right w:val="single" w:color="auto" w:sz="4" w:space="0"/>
            </w:tcBorders>
            <w:vAlign w:val="center"/>
          </w:tcPr>
          <w:p w14:paraId="5E19F626">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14:paraId="6C82D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627" w:type="dxa"/>
            <w:tcBorders>
              <w:left w:val="single" w:color="auto" w:sz="4" w:space="0"/>
              <w:bottom w:val="single" w:color="auto" w:sz="4" w:space="0"/>
              <w:right w:val="single" w:color="auto" w:sz="4" w:space="0"/>
            </w:tcBorders>
            <w:vAlign w:val="center"/>
          </w:tcPr>
          <w:p w14:paraId="46CC226C">
            <w:pPr>
              <w:widowControl/>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1522" w:type="dxa"/>
            <w:tcBorders>
              <w:top w:val="single" w:color="auto" w:sz="4" w:space="0"/>
              <w:left w:val="single" w:color="auto" w:sz="4" w:space="0"/>
              <w:bottom w:val="single" w:color="auto" w:sz="4" w:space="0"/>
              <w:right w:val="single" w:color="auto" w:sz="4" w:space="0"/>
            </w:tcBorders>
            <w:vAlign w:val="center"/>
          </w:tcPr>
          <w:p w14:paraId="3F9DCE1A">
            <w:pPr>
              <w:spacing w:line="240" w:lineRule="auto"/>
              <w:ind w:left="0" w:leftChars="0" w:right="0" w:rightChars="0"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响应时间承诺</w:t>
            </w:r>
          </w:p>
        </w:tc>
        <w:tc>
          <w:tcPr>
            <w:tcW w:w="7100" w:type="dxa"/>
            <w:tcBorders>
              <w:top w:val="single" w:color="auto" w:sz="4" w:space="0"/>
              <w:left w:val="single" w:color="auto" w:sz="4" w:space="0"/>
              <w:right w:val="single" w:color="auto" w:sz="4" w:space="0"/>
            </w:tcBorders>
            <w:vAlign w:val="center"/>
          </w:tcPr>
          <w:p w14:paraId="004249AC">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default" w:eastAsia="仿宋"/>
                <w:color w:val="auto"/>
                <w:highlight w:val="none"/>
                <w:lang w:val="en-US" w:eastAsia="zh-CN"/>
              </w:rPr>
            </w:pPr>
            <w:r>
              <w:rPr>
                <w:rFonts w:hint="eastAsia" w:ascii="仿宋" w:hAnsi="仿宋" w:eastAsia="仿宋" w:cs="仿宋"/>
                <w:color w:val="auto"/>
                <w:kern w:val="0"/>
                <w:sz w:val="24"/>
                <w:highlight w:val="none"/>
              </w:rPr>
              <w:t>供应商承诺在接到采购人通知后在1小时内到达采购人现场的得2分。每提前0.5小时得1分，本小项最高得3分。</w:t>
            </w:r>
          </w:p>
        </w:tc>
        <w:tc>
          <w:tcPr>
            <w:tcW w:w="850" w:type="dxa"/>
            <w:tcBorders>
              <w:top w:val="single" w:color="auto" w:sz="4" w:space="0"/>
              <w:left w:val="single" w:color="auto" w:sz="4" w:space="0"/>
              <w:right w:val="single" w:color="auto" w:sz="4" w:space="0"/>
            </w:tcBorders>
            <w:vAlign w:val="center"/>
          </w:tcPr>
          <w:p w14:paraId="2742888E">
            <w:pPr>
              <w:pStyle w:val="19"/>
              <w:spacing w:line="24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0-3分</w:t>
            </w:r>
          </w:p>
        </w:tc>
      </w:tr>
      <w:tr w14:paraId="5CE7A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6BA5396A">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522" w:type="dxa"/>
            <w:tcBorders>
              <w:top w:val="single" w:color="auto" w:sz="4" w:space="0"/>
              <w:left w:val="single" w:color="auto" w:sz="4" w:space="0"/>
              <w:bottom w:val="single" w:color="auto" w:sz="4" w:space="0"/>
              <w:right w:val="single" w:color="auto" w:sz="4" w:space="0"/>
            </w:tcBorders>
            <w:vAlign w:val="center"/>
          </w:tcPr>
          <w:p w14:paraId="5E54F37F">
            <w:pPr>
              <w:spacing w:line="240" w:lineRule="auto"/>
              <w:ind w:left="0" w:leftChars="0" w:right="0" w:rightChars="0"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企业认证</w:t>
            </w:r>
          </w:p>
        </w:tc>
        <w:tc>
          <w:tcPr>
            <w:tcW w:w="7100" w:type="dxa"/>
            <w:tcBorders>
              <w:top w:val="single" w:color="auto" w:sz="4" w:space="0"/>
              <w:left w:val="single" w:color="auto" w:sz="4" w:space="0"/>
              <w:bottom w:val="single" w:color="auto" w:sz="4" w:space="0"/>
              <w:right w:val="single" w:color="auto" w:sz="4" w:space="0"/>
            </w:tcBorders>
            <w:vAlign w:val="center"/>
          </w:tcPr>
          <w:p w14:paraId="7280144A">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供应商具有有效期内的质量管理体系认证证书的得1分；</w:t>
            </w:r>
          </w:p>
          <w:p w14:paraId="278E7AC6">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供应商具有有效期内的环境管理体系认证证书的得1分；</w:t>
            </w:r>
          </w:p>
          <w:p w14:paraId="41794511">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供应商具有有效期内的职业健康安全管理体系认证证书的得1分。</w:t>
            </w:r>
          </w:p>
          <w:p w14:paraId="406033B6">
            <w:pPr>
              <w:spacing w:line="240" w:lineRule="auto"/>
              <w:jc w:val="left"/>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注：提供证书扫描件及网页认证查询并加盖公章，不提供不得分。</w:t>
            </w:r>
          </w:p>
        </w:tc>
        <w:tc>
          <w:tcPr>
            <w:tcW w:w="850" w:type="dxa"/>
            <w:tcBorders>
              <w:top w:val="single" w:color="auto" w:sz="4" w:space="0"/>
              <w:left w:val="single" w:color="auto" w:sz="4" w:space="0"/>
              <w:bottom w:val="single" w:color="auto" w:sz="4" w:space="0"/>
              <w:right w:val="single" w:color="auto" w:sz="4" w:space="0"/>
            </w:tcBorders>
            <w:vAlign w:val="center"/>
          </w:tcPr>
          <w:p w14:paraId="192B201A">
            <w:pPr>
              <w:pStyle w:val="19"/>
              <w:spacing w:line="24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0-3分</w:t>
            </w:r>
          </w:p>
        </w:tc>
      </w:tr>
    </w:tbl>
    <w:p w14:paraId="7974D291">
      <w:pPr>
        <w:snapToGrid w:val="0"/>
        <w:spacing w:beforeLines="50" w:after="50" w:line="24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注：1、</w:t>
      </w:r>
      <w:r>
        <w:rPr>
          <w:rFonts w:hint="eastAsia" w:ascii="仿宋" w:hAnsi="仿宋" w:eastAsia="仿宋" w:cs="仿宋"/>
          <w:b/>
          <w:color w:val="auto"/>
          <w:sz w:val="24"/>
          <w:highlight w:val="none"/>
          <w:lang w:val="zh-CN"/>
        </w:rPr>
        <w:t>以上评分内容中，若联合体投标的，任意一方提供的材料均认可。</w:t>
      </w:r>
    </w:p>
    <w:p w14:paraId="3837B143">
      <w:pPr>
        <w:spacing w:before="112" w:line="240" w:lineRule="auto"/>
        <w:jc w:val="left"/>
        <w:rPr>
          <w:rFonts w:ascii="仿宋" w:hAnsi="仿宋" w:eastAsia="仿宋"/>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color w:val="auto"/>
          <w:sz w:val="24"/>
          <w:highlight w:val="none"/>
        </w:rPr>
        <w:t>投标人须将上述评分所需证明资料加盖投标人公章放入投标文件中，未提供不得分。</w:t>
      </w:r>
      <w:r>
        <w:rPr>
          <w:rFonts w:hint="eastAsia" w:ascii="仿宋" w:hAnsi="仿宋" w:eastAsia="仿宋"/>
          <w:b/>
          <w:color w:val="auto"/>
          <w:sz w:val="24"/>
          <w:highlight w:val="none"/>
        </w:rPr>
        <w:t>存在弄虚作假的后果自负。若上所涉及内容，附件格式未提供，请自行设计格式。</w:t>
      </w:r>
    </w:p>
    <w:p w14:paraId="0AD9219D">
      <w:pPr>
        <w:pStyle w:val="4"/>
        <w:keepNext w:val="0"/>
        <w:pageBreakBefore/>
        <w:tabs>
          <w:tab w:val="left" w:pos="2640"/>
          <w:tab w:val="center" w:pos="4311"/>
        </w:tabs>
        <w:spacing w:line="360" w:lineRule="auto"/>
        <w:jc w:val="center"/>
        <w:rPr>
          <w:rFonts w:ascii="仿宋" w:hAnsi="仿宋" w:eastAsia="仿宋" w:cs="仿宋"/>
          <w:color w:val="auto"/>
          <w:sz w:val="32"/>
          <w:highlight w:val="none"/>
        </w:rPr>
      </w:pPr>
      <w:bookmarkStart w:id="50" w:name="_Toc635"/>
      <w:bookmarkStart w:id="51" w:name="_Toc1230"/>
      <w:bookmarkStart w:id="52" w:name="_Toc9549"/>
      <w:r>
        <w:rPr>
          <w:rFonts w:hint="eastAsia" w:ascii="仿宋" w:hAnsi="仿宋" w:eastAsia="仿宋" w:cs="仿宋"/>
          <w:color w:val="auto"/>
          <w:sz w:val="32"/>
          <w:highlight w:val="none"/>
        </w:rPr>
        <w:t>第五章 合同主要条款</w:t>
      </w:r>
      <w:bookmarkEnd w:id="50"/>
      <w:bookmarkEnd w:id="51"/>
      <w:bookmarkEnd w:id="52"/>
    </w:p>
    <w:p w14:paraId="26F435C9">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bookmarkStart w:id="53" w:name="_Toc29795"/>
      <w:bookmarkStart w:id="54" w:name="_Toc4717"/>
      <w:bookmarkStart w:id="55" w:name="_Toc10534"/>
      <w:r>
        <w:rPr>
          <w:rFonts w:hint="eastAsia" w:ascii="仿宋" w:hAnsi="仿宋" w:eastAsia="仿宋" w:cs="仿宋"/>
          <w:bCs/>
          <w:color w:val="auto"/>
          <w:sz w:val="24"/>
          <w:szCs w:val="24"/>
          <w:highlight w:val="none"/>
        </w:rPr>
        <w:t>发包人</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甲方）：</w:t>
      </w:r>
    </w:p>
    <w:p w14:paraId="55830293">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承包人</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乙方）：</w:t>
      </w:r>
    </w:p>
    <w:p w14:paraId="38B3CCB5">
      <w:pPr>
        <w:pStyle w:val="2"/>
        <w:rPr>
          <w:rFonts w:hint="eastAsia"/>
          <w:color w:val="auto"/>
          <w:highlight w:val="none"/>
        </w:rPr>
      </w:pPr>
    </w:p>
    <w:p w14:paraId="110A8CD8">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经公开招标，乙方为</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lang w:eastAsia="zh-CN"/>
        </w:rPr>
        <w:t>湖州市吴兴区公用事业管理中心2025-2027年度雨污水管网维护及应急处置采购项目</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财政审批编号：</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rPr>
        <w:t>）的中标人，依照《中华人民共和国民法典》《中华人民共和国政府采购法》和《</w:t>
      </w:r>
      <w:r>
        <w:rPr>
          <w:rFonts w:hint="eastAsia" w:ascii="仿宋" w:hAnsi="仿宋" w:eastAsia="仿宋" w:cs="仿宋"/>
          <w:b w:val="0"/>
          <w:bCs w:val="0"/>
          <w:color w:val="auto"/>
          <w:sz w:val="24"/>
          <w:szCs w:val="24"/>
          <w:highlight w:val="none"/>
          <w:lang w:eastAsia="zh-CN"/>
        </w:rPr>
        <w:t>中华人民共和国招标投标法</w:t>
      </w:r>
      <w:r>
        <w:rPr>
          <w:rFonts w:hint="eastAsia" w:ascii="仿宋" w:hAnsi="仿宋" w:eastAsia="仿宋" w:cs="仿宋"/>
          <w:b w:val="0"/>
          <w:bCs w:val="0"/>
          <w:color w:val="auto"/>
          <w:sz w:val="24"/>
          <w:szCs w:val="24"/>
          <w:highlight w:val="none"/>
        </w:rPr>
        <w:t>》及其他有关法律、行政法规，遵循平等、自愿、公平和诚实信用的原则，甲、乙双方协商一致，签订如下协议：</w:t>
      </w:r>
    </w:p>
    <w:p w14:paraId="5BC3A18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一、项目名称：</w:t>
      </w:r>
      <w:r>
        <w:rPr>
          <w:rFonts w:hint="eastAsia" w:ascii="仿宋" w:hAnsi="仿宋" w:eastAsia="仿宋" w:cs="仿宋"/>
          <w:bCs/>
          <w:color w:val="auto"/>
          <w:sz w:val="24"/>
          <w:szCs w:val="24"/>
          <w:highlight w:val="none"/>
          <w:lang w:eastAsia="zh-CN"/>
        </w:rPr>
        <w:t>湖州市吴兴区公用事业管理中心2025-2027年度雨污水管网维护及应急处置采购项目</w:t>
      </w:r>
    </w:p>
    <w:p w14:paraId="2F80EB6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二、服务范围</w:t>
      </w:r>
    </w:p>
    <w:p w14:paraId="53456D65">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现管养：湖东西区</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东至三环东路，西至陆王路，南至三里桥路，北至清远路，以上合围区域范围内部分市政道路）污水管网，</w:t>
      </w:r>
      <w:r>
        <w:rPr>
          <w:rFonts w:hint="eastAsia" w:ascii="仿宋" w:hAnsi="仿宋" w:eastAsia="仿宋" w:cs="仿宋"/>
          <w:bCs/>
          <w:color w:val="auto"/>
          <w:sz w:val="24"/>
          <w:szCs w:val="24"/>
          <w:highlight w:val="none"/>
          <w:lang w:val="en-US" w:eastAsia="zh-CN"/>
        </w:rPr>
        <w:t>农批市场周边道路雨</w:t>
      </w:r>
      <w:r>
        <w:rPr>
          <w:rFonts w:hint="eastAsia" w:ascii="仿宋" w:hAnsi="仿宋" w:eastAsia="仿宋" w:cs="仿宋"/>
          <w:bCs/>
          <w:color w:val="auto"/>
          <w:sz w:val="24"/>
          <w:szCs w:val="24"/>
          <w:highlight w:val="none"/>
        </w:rPr>
        <w:t>污水管网。</w:t>
      </w:r>
    </w:p>
    <w:p w14:paraId="3E36CFB0">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待移交：湖山大道</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二里桥路-浮玉花园），湖浔大道</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三环东路-南浔界）</w:t>
      </w:r>
      <w:r>
        <w:rPr>
          <w:rFonts w:hint="eastAsia" w:ascii="仿宋" w:hAnsi="仿宋" w:eastAsia="仿宋" w:cs="仿宋"/>
          <w:bCs/>
          <w:color w:val="auto"/>
          <w:sz w:val="24"/>
          <w:szCs w:val="24"/>
          <w:highlight w:val="none"/>
          <w:lang w:val="en-US" w:eastAsia="zh-CN"/>
        </w:rPr>
        <w:t>等道路</w:t>
      </w:r>
      <w:r>
        <w:rPr>
          <w:rFonts w:hint="eastAsia" w:ascii="仿宋" w:hAnsi="仿宋" w:eastAsia="仿宋" w:cs="仿宋"/>
          <w:bCs/>
          <w:color w:val="auto"/>
          <w:sz w:val="24"/>
          <w:szCs w:val="24"/>
          <w:highlight w:val="none"/>
        </w:rPr>
        <w:t>的雨污水管网。</w:t>
      </w:r>
    </w:p>
    <w:p w14:paraId="692782EA">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具体服务范围以</w:t>
      </w:r>
      <w:r>
        <w:rPr>
          <w:rFonts w:hint="eastAsia" w:ascii="仿宋" w:hAnsi="仿宋" w:eastAsia="仿宋" w:cs="仿宋"/>
          <w:bCs/>
          <w:color w:val="auto"/>
          <w:sz w:val="24"/>
          <w:szCs w:val="24"/>
          <w:highlight w:val="none"/>
          <w:lang w:val="en-US" w:eastAsia="zh-CN"/>
        </w:rPr>
        <w:t>甲方指定</w:t>
      </w:r>
      <w:r>
        <w:rPr>
          <w:rFonts w:hint="eastAsia" w:ascii="仿宋" w:hAnsi="仿宋" w:eastAsia="仿宋" w:cs="仿宋"/>
          <w:bCs/>
          <w:color w:val="auto"/>
          <w:sz w:val="24"/>
          <w:szCs w:val="24"/>
          <w:highlight w:val="none"/>
        </w:rPr>
        <w:t>为准。</w:t>
      </w:r>
    </w:p>
    <w:p w14:paraId="38B61EC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三、服务内容</w:t>
      </w:r>
    </w:p>
    <w:p w14:paraId="026BE4CF">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1、地下管道及其附属设施的日常巡查、日常维修、管理养护、隐患排查、应急抢险及值班备勤等；</w:t>
      </w:r>
    </w:p>
    <w:p w14:paraId="0A1EEDB5">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2、地下管道CCTV检测服务，出具CCTV检测成果报告及影像资料等。</w:t>
      </w:r>
    </w:p>
    <w:p w14:paraId="0246AC9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四、中标价格</w:t>
      </w:r>
    </w:p>
    <w:p w14:paraId="339F4B36">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1、常规巡检：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125000元/年，人民币大写：壹拾贰万伍仟元整/年；</w:t>
      </w:r>
    </w:p>
    <w:p w14:paraId="4472FD94">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2、维修处置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折扣）：  套用当月信息价，第三方监理审计；</w:t>
      </w:r>
    </w:p>
    <w:p w14:paraId="124796FA">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3、管道检测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折扣）：   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元/米，工程量等以第三方监理审计为准。</w:t>
      </w:r>
    </w:p>
    <w:p w14:paraId="4C48F0E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bCs/>
          <w:color w:val="auto"/>
          <w:sz w:val="24"/>
          <w:szCs w:val="24"/>
          <w:highlight w:val="none"/>
          <w:lang w:val="en-US" w:eastAsia="zh-CN"/>
        </w:rPr>
      </w:pPr>
      <w:bookmarkStart w:id="56" w:name="_Toc361762431"/>
      <w:r>
        <w:rPr>
          <w:rFonts w:hint="eastAsia" w:ascii="仿宋" w:hAnsi="仿宋" w:eastAsia="仿宋" w:cs="仿宋"/>
          <w:b/>
          <w:bCs/>
          <w:color w:val="auto"/>
          <w:sz w:val="24"/>
          <w:szCs w:val="24"/>
          <w:highlight w:val="none"/>
          <w:lang w:val="en-US" w:eastAsia="zh-CN"/>
        </w:rPr>
        <w:t>五、</w:t>
      </w:r>
      <w:bookmarkEnd w:id="56"/>
      <w:r>
        <w:rPr>
          <w:rFonts w:hint="eastAsia" w:ascii="仿宋" w:hAnsi="仿宋" w:eastAsia="仿宋" w:cs="仿宋"/>
          <w:b/>
          <w:bCs/>
          <w:color w:val="auto"/>
          <w:sz w:val="24"/>
          <w:szCs w:val="24"/>
          <w:highlight w:val="none"/>
          <w:lang w:val="en-US" w:eastAsia="zh-CN"/>
        </w:rPr>
        <w:t>质量要求</w:t>
      </w:r>
    </w:p>
    <w:p w14:paraId="7FCF1F93">
      <w:pPr>
        <w:pStyle w:val="30"/>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1、管道畅通无阻，每次清淤疏通后管内积淤深度不超过1/5管径。</w:t>
      </w:r>
    </w:p>
    <w:p w14:paraId="71021139">
      <w:pPr>
        <w:pStyle w:val="30"/>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2、井内无硬块杂物，井内四壁清洁。</w:t>
      </w:r>
    </w:p>
    <w:p w14:paraId="4B0B6BEB">
      <w:pPr>
        <w:pStyle w:val="30"/>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3、井盖框平稳不动摇、无缺损、无安全隐患、无渗漏。</w:t>
      </w:r>
    </w:p>
    <w:p w14:paraId="33DDA634">
      <w:pPr>
        <w:pStyle w:val="30"/>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4、未尽事宜参照招标文件第二章招标需求相关约定执行。</w:t>
      </w:r>
    </w:p>
    <w:p w14:paraId="33DD8F7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bCs/>
          <w:color w:val="auto"/>
          <w:sz w:val="24"/>
          <w:szCs w:val="24"/>
          <w:highlight w:val="none"/>
          <w:lang w:val="en-US" w:eastAsia="zh-CN"/>
        </w:rPr>
      </w:pPr>
      <w:bookmarkStart w:id="57" w:name="_Toc361762432"/>
      <w:bookmarkStart w:id="58" w:name="_Toc360651498"/>
      <w:r>
        <w:rPr>
          <w:rFonts w:hint="eastAsia" w:ascii="仿宋" w:hAnsi="仿宋" w:eastAsia="仿宋" w:cs="仿宋"/>
          <w:b/>
          <w:bCs/>
          <w:color w:val="auto"/>
          <w:sz w:val="24"/>
          <w:szCs w:val="24"/>
          <w:highlight w:val="none"/>
          <w:lang w:val="en-US" w:eastAsia="zh-CN"/>
        </w:rPr>
        <w:t>六</w:t>
      </w:r>
      <w:bookmarkEnd w:id="57"/>
      <w:bookmarkEnd w:id="58"/>
      <w:bookmarkStart w:id="59" w:name="_Toc361762433"/>
      <w:bookmarkStart w:id="60" w:name="_Toc360651499"/>
      <w:r>
        <w:rPr>
          <w:rFonts w:hint="eastAsia" w:ascii="仿宋" w:hAnsi="仿宋" w:eastAsia="仿宋" w:cs="仿宋"/>
          <w:b/>
          <w:bCs/>
          <w:color w:val="auto"/>
          <w:sz w:val="24"/>
          <w:szCs w:val="24"/>
          <w:highlight w:val="none"/>
          <w:lang w:val="en-US" w:eastAsia="zh-CN"/>
        </w:rPr>
        <w:t>、进度要求</w:t>
      </w:r>
      <w:bookmarkEnd w:id="59"/>
      <w:bookmarkEnd w:id="60"/>
    </w:p>
    <w:p w14:paraId="1D92A900">
      <w:pPr>
        <w:pStyle w:val="30"/>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须安排人员，在任务单规定时间内完成所有项目的检测，在完成检测后10个工作日内出具相应的成果报告及影像资料等。根据检测报告和任务单及时安排维修施工作业，待修复完成后再行安排CCTV复检，直至合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同一故障点的CCTV复检不另行计费，复检须出具相应的成果报告及影像资料等）</w:t>
      </w:r>
    </w:p>
    <w:p w14:paraId="7883305B">
      <w:pPr>
        <w:pStyle w:val="30"/>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完成本项目的实施后，根据甲方要求，提供书面及电子版本的成果文件。在项目实施过程中，要求乙方每完成一个区域的检测后，即时出具本区域的成果报告，以便甲方安排其他工作的开展。在项目全部实施完成后，出具完整的最终成果报告，成果报告应包括成果表数据、检测录像数据、 缺陷照片数据、 缺陷分布图数据、技术设计书、 检测报告书等。</w:t>
      </w:r>
    </w:p>
    <w:p w14:paraId="0A3CC9A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七、合同期限</w:t>
      </w:r>
    </w:p>
    <w:p w14:paraId="0520DCF6">
      <w:pPr>
        <w:pStyle w:val="30"/>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自本合同签订生效之日起计算2年，即</w:t>
      </w:r>
      <w:r>
        <w:rPr>
          <w:rFonts w:hint="eastAsia" w:ascii="仿宋" w:hAnsi="仿宋" w:eastAsia="仿宋" w:cs="仿宋"/>
          <w:color w:val="auto"/>
          <w:sz w:val="24"/>
          <w:szCs w:val="24"/>
          <w:highlight w:val="none"/>
          <w:u w:val="single"/>
        </w:rPr>
        <w:t xml:space="preserve">   年  月  日至  年  月  日</w:t>
      </w:r>
      <w:r>
        <w:rPr>
          <w:rFonts w:hint="eastAsia" w:ascii="仿宋" w:hAnsi="仿宋" w:eastAsia="仿宋" w:cs="仿宋"/>
          <w:color w:val="auto"/>
          <w:sz w:val="24"/>
          <w:szCs w:val="24"/>
          <w:highlight w:val="none"/>
        </w:rPr>
        <w:t>，合同期满2年或者乙方实施实际产生的费用达到500万元时终止本合同。</w:t>
      </w:r>
    </w:p>
    <w:p w14:paraId="3AFEF3E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八、结算方式</w:t>
      </w:r>
    </w:p>
    <w:p w14:paraId="16950F7A">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本项目中维修处置及检测等结算按以下两种方式执行。</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结算费用=下浮前总价*中标折扣，最终结算以审计为准）</w:t>
      </w:r>
    </w:p>
    <w:p w14:paraId="39699860">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一）套用定额计价方式：</w:t>
      </w:r>
    </w:p>
    <w:p w14:paraId="6ADE27C2">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1、有关定额、规范等依据：</w:t>
      </w:r>
    </w:p>
    <w:p w14:paraId="2EAA5C53">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1）《浙江省市政设施养护维修预算定额》</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w:t>
      </w:r>
    </w:p>
    <w:p w14:paraId="647C8B6F">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2）《建设工程工程量清单计价规范》</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GB50500-2013）及建设工程工程量计算规范</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2013）浙江省补充规定</w:t>
      </w:r>
    </w:p>
    <w:p w14:paraId="41BA7A26">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3）《市政工程工程量计算规范》</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GB50857-2013）</w:t>
      </w:r>
    </w:p>
    <w:p w14:paraId="14756527">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4）《浙江省市政工程预算定额》</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w:t>
      </w:r>
    </w:p>
    <w:p w14:paraId="2BD27919">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5）《浙江省建设工程计价规则》</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w:t>
      </w:r>
    </w:p>
    <w:p w14:paraId="61516EFE">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2、取费标准：</w:t>
      </w:r>
    </w:p>
    <w:p w14:paraId="11939CFC">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1）本项目按市政工程取费。</w:t>
      </w:r>
    </w:p>
    <w:p w14:paraId="62945D6A">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2）企业管理费、利润根据《浙江省建设工程计价规则》</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2018版）规定，按照控制价编制口径，以中间值计取。</w:t>
      </w:r>
    </w:p>
    <w:p w14:paraId="76CC1387">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3）施工组织措施项目费根据《浙江省建设工程计价规则》</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2018版）规定的市政土建工程中间值计取，其中安全文本施工基本费按非市区工程计取。</w:t>
      </w:r>
    </w:p>
    <w:p w14:paraId="31E8754A">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4）规费：其费率根据《浙江省建设工程计价规则》</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2018版）规定计取。</w:t>
      </w:r>
    </w:p>
    <w:p w14:paraId="1432635C">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5）税金按增值税</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按一般计税方法）计取，根据浙建建发[2019]92号规定费率按9%计取。税率政策有调整的按实计取。</w:t>
      </w:r>
    </w:p>
    <w:p w14:paraId="79BD7A01">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6）标化工地增加费及其他项目费</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优质工程增加费及施工总承包服务费）不计。</w:t>
      </w:r>
    </w:p>
    <w:p w14:paraId="771D543C">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3、造价信息：</w:t>
      </w:r>
    </w:p>
    <w:p w14:paraId="16B5359A">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材料价格参照《湖州市建设工程造价信息》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施工期当月或跨月取平均）及同期《浙江造价信息》，人工价格参照《湖州市建设工程造价信息》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施工期当月或跨月取平均）。基本原则为参照《湖州市建设工程造价信息》中湖州市区栏，湖州市区栏没有的参照同期《浙江造价信息》。</w:t>
      </w:r>
    </w:p>
    <w:p w14:paraId="43D78CF4">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二）无法套用定额的计价方式：按实际发生的人工、材料、机械计取，工程量按监理、业主签证为准，人工、材料、机械按当月信息价计，没有信息价的按市场价计，该费用只计取税金。</w:t>
      </w:r>
    </w:p>
    <w:p w14:paraId="19FFBF8C">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bCs/>
          <w:color w:val="auto"/>
          <w:sz w:val="24"/>
          <w:szCs w:val="24"/>
          <w:highlight w:val="none"/>
        </w:rPr>
        <w:t>1.运输各类人员至现场施工的车辆不计台班。</w:t>
      </w:r>
    </w:p>
    <w:p w14:paraId="02A1E2D8">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.实际完成工程量</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含应急期间备勤待命人员及作业车辆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由施工方上报甲方、监理、审计，经三方审核确认为准。</w:t>
      </w:r>
    </w:p>
    <w:p w14:paraId="05FDCCF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九、支付方式</w:t>
      </w:r>
    </w:p>
    <w:p w14:paraId="6443F4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合同总价分为三部分：常规巡检、维修处置、管道检测。</w:t>
      </w:r>
    </w:p>
    <w:p w14:paraId="4DDAFC0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每满6个月进行审计，结合考核扣款情况，支付维修处置、管道检测部分审定价的80%及当期常规巡检费，剩余款项待合同期满后付清。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预付款在第一期付款中一次性扣回。）</w:t>
      </w:r>
    </w:p>
    <w:p w14:paraId="719A59F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其中常规巡检为固定总价25万,签订合同乙方进场后，甲方向乙方支付预付款，预付款为合同总价中常规巡检部分的40%，即10万元。如合同签订待上级财政资金到位后进行支付，若中标供应商明确表示无需预付款或者主动要求降低预付款比例的，采购人可不适用前述规定。</w:t>
      </w:r>
    </w:p>
    <w:p w14:paraId="656FFF88">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2、具体付款以财政拨款为准。</w:t>
      </w:r>
    </w:p>
    <w:p w14:paraId="716DD94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十、履约保证金</w:t>
      </w:r>
    </w:p>
    <w:p w14:paraId="4F909F27">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w:t>
      </w:r>
    </w:p>
    <w:p w14:paraId="5F8D009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十一、考核标准</w:t>
      </w:r>
    </w:p>
    <w:p w14:paraId="4F552091">
      <w:pPr>
        <w:keepNext w:val="0"/>
        <w:keepLines w:val="0"/>
        <w:pageBreakBefore w:val="0"/>
        <w:kinsoku/>
        <w:wordWrap/>
        <w:overflowPunct/>
        <w:topLinePunct w:val="0"/>
        <w:bidi w:val="0"/>
        <w:snapToGrid/>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按照《吴兴区公用事业管理中心市政养护管理考核办法》</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最新版</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执行，如后期相关作业标准和考核有新要求，乙方应无条件服从。</w:t>
      </w:r>
    </w:p>
    <w:p w14:paraId="44C23E5D">
      <w:pPr>
        <w:pStyle w:val="52"/>
        <w:kinsoku/>
        <w:overflowPunct/>
        <w:topLinePunct w:val="0"/>
        <w:bidi w:val="0"/>
        <w:spacing w:line="240" w:lineRule="auto"/>
        <w:ind w:left="0" w:leftChars="0" w:firstLine="0" w:firstLineChars="0"/>
        <w:jc w:val="center"/>
        <w:rPr>
          <w:rFonts w:hint="eastAsia" w:ascii="宋体" w:hAnsi="宋体" w:eastAsia="宋体" w:cs="宋体"/>
          <w:b/>
          <w:bCs/>
          <w:color w:val="auto"/>
          <w:sz w:val="32"/>
          <w:szCs w:val="32"/>
          <w:highlight w:val="none"/>
          <w:lang w:eastAsia="zh-CN"/>
        </w:rPr>
      </w:pPr>
    </w:p>
    <w:p w14:paraId="1C44BA56">
      <w:pPr>
        <w:pStyle w:val="52"/>
        <w:kinsoku/>
        <w:overflowPunct/>
        <w:topLinePunct w:val="0"/>
        <w:bidi w:val="0"/>
        <w:spacing w:line="240" w:lineRule="auto"/>
        <w:ind w:left="0" w:leftChars="0" w:firstLine="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吴兴区公用事业管理中心市政（管网）</w:t>
      </w:r>
      <w:r>
        <w:rPr>
          <w:rFonts w:hint="eastAsia" w:ascii="仿宋" w:hAnsi="仿宋" w:eastAsia="仿宋" w:cs="仿宋"/>
          <w:b/>
          <w:bCs/>
          <w:color w:val="auto"/>
          <w:sz w:val="32"/>
          <w:szCs w:val="32"/>
          <w:highlight w:val="none"/>
        </w:rPr>
        <w:t>考核表</w:t>
      </w:r>
    </w:p>
    <w:p w14:paraId="56271307">
      <w:pPr>
        <w:pStyle w:val="10"/>
        <w:rPr>
          <w:rFonts w:hint="eastAsia"/>
          <w:color w:val="auto"/>
          <w:highlight w:val="none"/>
        </w:rPr>
      </w:pPr>
    </w:p>
    <w:tbl>
      <w:tblPr>
        <w:tblStyle w:val="21"/>
        <w:tblW w:w="10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57"/>
        <w:gridCol w:w="3253"/>
        <w:gridCol w:w="4122"/>
        <w:gridCol w:w="989"/>
        <w:gridCol w:w="990"/>
      </w:tblGrid>
      <w:tr w14:paraId="7702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646" w:type="dxa"/>
            <w:noWrap w:val="0"/>
            <w:vAlign w:val="center"/>
          </w:tcPr>
          <w:p w14:paraId="65D45008">
            <w:pPr>
              <w:kinsoku/>
              <w:overflowPunct/>
              <w:topLinePunct w:val="0"/>
              <w:bidi w:val="0"/>
              <w:spacing w:line="240" w:lineRule="auto"/>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检查项目</w:t>
            </w:r>
          </w:p>
        </w:tc>
        <w:tc>
          <w:tcPr>
            <w:tcW w:w="457" w:type="dxa"/>
            <w:noWrap w:val="0"/>
            <w:vAlign w:val="center"/>
          </w:tcPr>
          <w:p w14:paraId="686DC2D2">
            <w:pPr>
              <w:kinsoku/>
              <w:overflowPunct/>
              <w:topLinePunct w:val="0"/>
              <w:bidi w:val="0"/>
              <w:spacing w:line="24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3253" w:type="dxa"/>
            <w:noWrap w:val="0"/>
            <w:vAlign w:val="center"/>
          </w:tcPr>
          <w:p w14:paraId="06CB3321">
            <w:pPr>
              <w:kinsoku/>
              <w:overflowPunct/>
              <w:topLinePunct w:val="0"/>
              <w:bidi w:val="0"/>
              <w:spacing w:line="240" w:lineRule="auto"/>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en-US" w:eastAsia="zh-CN"/>
              </w:rPr>
              <w:t>考核具体</w:t>
            </w:r>
            <w:r>
              <w:rPr>
                <w:rFonts w:hint="eastAsia" w:ascii="仿宋" w:hAnsi="仿宋" w:eastAsia="仿宋" w:cs="仿宋"/>
                <w:b/>
                <w:bCs/>
                <w:color w:val="auto"/>
                <w:sz w:val="24"/>
                <w:szCs w:val="24"/>
                <w:highlight w:val="none"/>
                <w:lang w:val="zh-CN"/>
              </w:rPr>
              <w:t>要求</w:t>
            </w:r>
          </w:p>
        </w:tc>
        <w:tc>
          <w:tcPr>
            <w:tcW w:w="4122" w:type="dxa"/>
            <w:noWrap w:val="0"/>
            <w:vAlign w:val="center"/>
          </w:tcPr>
          <w:p w14:paraId="1BA63070">
            <w:pPr>
              <w:kinsoku/>
              <w:overflowPunct/>
              <w:topLinePunct w:val="0"/>
              <w:bidi w:val="0"/>
              <w:spacing w:line="24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扣罚标准</w:t>
            </w:r>
          </w:p>
        </w:tc>
        <w:tc>
          <w:tcPr>
            <w:tcW w:w="989" w:type="dxa"/>
            <w:noWrap w:val="0"/>
            <w:vAlign w:val="center"/>
          </w:tcPr>
          <w:p w14:paraId="71A280E4">
            <w:pPr>
              <w:widowControl/>
              <w:kinsoku/>
              <w:overflowPunct/>
              <w:topLinePunct w:val="0"/>
              <w:bidi w:val="0"/>
              <w:spacing w:line="240" w:lineRule="auto"/>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扣款</w:t>
            </w:r>
          </w:p>
        </w:tc>
        <w:tc>
          <w:tcPr>
            <w:tcW w:w="990" w:type="dxa"/>
            <w:noWrap w:val="0"/>
            <w:vAlign w:val="center"/>
          </w:tcPr>
          <w:p w14:paraId="45C204DC">
            <w:pPr>
              <w:widowControl/>
              <w:kinsoku/>
              <w:overflowPunct/>
              <w:topLinePunct w:val="0"/>
              <w:bidi w:val="0"/>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0BDA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46" w:type="dxa"/>
            <w:vMerge w:val="restart"/>
            <w:noWrap w:val="0"/>
            <w:vAlign w:val="center"/>
          </w:tcPr>
          <w:p w14:paraId="6CA8C844">
            <w:pPr>
              <w:kinsoku/>
              <w:overflowPunct/>
              <w:topLinePunct w:val="0"/>
              <w:bidi w:val="0"/>
              <w:snapToGrid w:val="0"/>
              <w:spacing w:line="240" w:lineRule="auto"/>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en-US" w:eastAsia="zh-CN"/>
              </w:rPr>
              <w:t>日常</w:t>
            </w:r>
            <w:r>
              <w:rPr>
                <w:rFonts w:hint="eastAsia" w:ascii="仿宋" w:hAnsi="仿宋" w:eastAsia="仿宋" w:cs="仿宋"/>
                <w:b/>
                <w:bCs/>
                <w:color w:val="auto"/>
                <w:sz w:val="24"/>
                <w:szCs w:val="24"/>
                <w:highlight w:val="none"/>
              </w:rPr>
              <w:t>巡查</w:t>
            </w:r>
          </w:p>
        </w:tc>
        <w:tc>
          <w:tcPr>
            <w:tcW w:w="457" w:type="dxa"/>
            <w:noWrap w:val="0"/>
            <w:vAlign w:val="center"/>
          </w:tcPr>
          <w:p w14:paraId="2C1060C7">
            <w:pPr>
              <w:widowControl/>
              <w:kinsoku/>
              <w:overflowPunct/>
              <w:topLinePunct w:val="0"/>
              <w:bidi w:val="0"/>
              <w:snapToGrid w:val="0"/>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3253" w:type="dxa"/>
            <w:noWrap w:val="0"/>
            <w:vAlign w:val="center"/>
          </w:tcPr>
          <w:p w14:paraId="5EA79D04">
            <w:pPr>
              <w:widowControl/>
              <w:kinsoku/>
              <w:overflowPunct/>
              <w:topLinePunct w:val="0"/>
              <w:bidi w:val="0"/>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所有污水井每月检查清理一次。</w:t>
            </w:r>
          </w:p>
        </w:tc>
        <w:tc>
          <w:tcPr>
            <w:tcW w:w="4122" w:type="dxa"/>
            <w:noWrap w:val="0"/>
            <w:vAlign w:val="center"/>
          </w:tcPr>
          <w:p w14:paraId="3A26D524">
            <w:pPr>
              <w:widowControl/>
              <w:numPr>
                <w:ilvl w:val="0"/>
                <w:numId w:val="5"/>
              </w:numPr>
              <w:kinsoku/>
              <w:overflowPunct/>
              <w:topLinePunct w:val="0"/>
              <w:bidi w:val="0"/>
              <w:snapToGrid w:val="0"/>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对于检查处理不到位的，由业主或监理</w:t>
            </w:r>
            <w:r>
              <w:rPr>
                <w:rFonts w:hint="eastAsia" w:ascii="仿宋" w:hAnsi="仿宋" w:eastAsia="仿宋" w:cs="仿宋"/>
                <w:color w:val="auto"/>
                <w:sz w:val="24"/>
                <w:szCs w:val="24"/>
                <w:highlight w:val="none"/>
              </w:rPr>
              <w:t>每发现一处，</w:t>
            </w:r>
            <w:r>
              <w:rPr>
                <w:rFonts w:hint="eastAsia" w:ascii="仿宋" w:hAnsi="仿宋" w:eastAsia="仿宋" w:cs="仿宋"/>
                <w:color w:val="auto"/>
                <w:sz w:val="24"/>
                <w:szCs w:val="24"/>
                <w:highlight w:val="none"/>
                <w:lang w:val="en-US" w:eastAsia="zh-CN"/>
              </w:rPr>
              <w:t>扣罚</w:t>
            </w:r>
            <w:r>
              <w:rPr>
                <w:rFonts w:hint="eastAsia" w:ascii="仿宋" w:hAnsi="仿宋" w:eastAsia="仿宋" w:cs="仿宋"/>
                <w:color w:val="auto"/>
                <w:sz w:val="24"/>
                <w:szCs w:val="24"/>
                <w:highlight w:val="none"/>
                <w:lang w:val="zh-CN"/>
              </w:rPr>
              <w:t>500</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lang w:val="zh-CN"/>
              </w:rPr>
              <w:t>；</w:t>
            </w:r>
          </w:p>
          <w:p w14:paraId="0EA15955">
            <w:pPr>
              <w:widowControl/>
              <w:numPr>
                <w:ilvl w:val="0"/>
                <w:numId w:val="5"/>
              </w:numPr>
              <w:kinsoku/>
              <w:overflowPunct/>
              <w:topLinePunct w:val="0"/>
              <w:bidi w:val="0"/>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管道积泥深度超过1/5管径的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每处</w:t>
            </w:r>
            <w:r>
              <w:rPr>
                <w:rFonts w:hint="eastAsia" w:ascii="仿宋" w:hAnsi="仿宋" w:eastAsia="仿宋" w:cs="仿宋"/>
                <w:color w:val="auto"/>
                <w:sz w:val="24"/>
                <w:szCs w:val="24"/>
                <w:highlight w:val="none"/>
                <w:lang w:val="en-US" w:eastAsia="zh-CN"/>
              </w:rPr>
              <w:t>扣罚500元</w:t>
            </w:r>
            <w:r>
              <w:rPr>
                <w:rFonts w:hint="eastAsia" w:ascii="仿宋" w:hAnsi="仿宋" w:eastAsia="仿宋" w:cs="仿宋"/>
                <w:color w:val="auto"/>
                <w:sz w:val="24"/>
                <w:szCs w:val="24"/>
                <w:highlight w:val="none"/>
                <w:lang w:val="zh-CN"/>
              </w:rPr>
              <w:t>。</w:t>
            </w:r>
          </w:p>
        </w:tc>
        <w:tc>
          <w:tcPr>
            <w:tcW w:w="989" w:type="dxa"/>
            <w:noWrap w:val="0"/>
            <w:vAlign w:val="center"/>
          </w:tcPr>
          <w:p w14:paraId="12AF6CB5">
            <w:pPr>
              <w:widowControl/>
              <w:kinsoku/>
              <w:overflowPunct/>
              <w:topLinePunct w:val="0"/>
              <w:bidi w:val="0"/>
              <w:spacing w:line="240" w:lineRule="auto"/>
              <w:jc w:val="left"/>
              <w:rPr>
                <w:rFonts w:hint="eastAsia" w:ascii="仿宋" w:hAnsi="仿宋" w:eastAsia="仿宋" w:cs="仿宋"/>
                <w:color w:val="auto"/>
                <w:kern w:val="2"/>
                <w:sz w:val="24"/>
                <w:szCs w:val="24"/>
                <w:highlight w:val="none"/>
                <w:lang w:val="en-US" w:eastAsia="zh-CN" w:bidi="ar-SA"/>
              </w:rPr>
            </w:pPr>
          </w:p>
        </w:tc>
        <w:tc>
          <w:tcPr>
            <w:tcW w:w="990" w:type="dxa"/>
            <w:noWrap w:val="0"/>
            <w:vAlign w:val="center"/>
          </w:tcPr>
          <w:p w14:paraId="4D6B6D62">
            <w:pPr>
              <w:widowControl/>
              <w:kinsoku/>
              <w:overflowPunct/>
              <w:topLinePunct w:val="0"/>
              <w:bidi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月考</w:t>
            </w:r>
          </w:p>
        </w:tc>
      </w:tr>
      <w:tr w14:paraId="7C84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46" w:type="dxa"/>
            <w:vMerge w:val="continue"/>
            <w:noWrap w:val="0"/>
            <w:vAlign w:val="center"/>
          </w:tcPr>
          <w:p w14:paraId="3645F17C">
            <w:pPr>
              <w:kinsoku/>
              <w:overflowPunct/>
              <w:topLinePunct w:val="0"/>
              <w:bidi w:val="0"/>
              <w:snapToGrid w:val="0"/>
              <w:spacing w:line="240" w:lineRule="auto"/>
              <w:jc w:val="center"/>
              <w:rPr>
                <w:rFonts w:hint="eastAsia" w:ascii="仿宋" w:hAnsi="仿宋" w:eastAsia="仿宋" w:cs="仿宋"/>
                <w:b/>
                <w:bCs/>
                <w:color w:val="auto"/>
                <w:sz w:val="24"/>
                <w:szCs w:val="24"/>
                <w:highlight w:val="none"/>
                <w:lang w:val="en-US" w:eastAsia="zh-CN"/>
              </w:rPr>
            </w:pPr>
          </w:p>
        </w:tc>
        <w:tc>
          <w:tcPr>
            <w:tcW w:w="457" w:type="dxa"/>
            <w:noWrap w:val="0"/>
            <w:vAlign w:val="center"/>
          </w:tcPr>
          <w:p w14:paraId="320648C9">
            <w:pPr>
              <w:widowControl/>
              <w:kinsoku/>
              <w:overflowPunct/>
              <w:topLinePunct w:val="0"/>
              <w:bidi w:val="0"/>
              <w:snapToGrid w:val="0"/>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3253" w:type="dxa"/>
            <w:noWrap w:val="0"/>
            <w:vAlign w:val="center"/>
          </w:tcPr>
          <w:p w14:paraId="11C02EC1">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污水井盖每半月巡查一遍。</w:t>
            </w:r>
          </w:p>
        </w:tc>
        <w:tc>
          <w:tcPr>
            <w:tcW w:w="4122" w:type="dxa"/>
            <w:noWrap w:val="0"/>
            <w:vAlign w:val="center"/>
          </w:tcPr>
          <w:p w14:paraId="1466D08A">
            <w:pPr>
              <w:widowControl/>
              <w:numPr>
                <w:ilvl w:val="0"/>
                <w:numId w:val="0"/>
              </w:numPr>
              <w:kinsoku/>
              <w:overflowPunct/>
              <w:topLinePunct w:val="0"/>
              <w:bidi w:val="0"/>
              <w:snapToGrid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发现有破损、异响、井圈与路面高度相差大于1.5cm、未闭合、雨污水井盖混放，每处扣500元。</w:t>
            </w:r>
          </w:p>
        </w:tc>
        <w:tc>
          <w:tcPr>
            <w:tcW w:w="989" w:type="dxa"/>
            <w:noWrap w:val="0"/>
            <w:vAlign w:val="center"/>
          </w:tcPr>
          <w:p w14:paraId="5656A8FA">
            <w:pPr>
              <w:widowControl/>
              <w:kinsoku/>
              <w:overflowPunct/>
              <w:topLinePunct w:val="0"/>
              <w:bidi w:val="0"/>
              <w:spacing w:line="240" w:lineRule="auto"/>
              <w:jc w:val="left"/>
              <w:rPr>
                <w:rFonts w:hint="eastAsia" w:ascii="仿宋" w:hAnsi="仿宋" w:eastAsia="仿宋" w:cs="仿宋"/>
                <w:color w:val="auto"/>
                <w:kern w:val="2"/>
                <w:sz w:val="24"/>
                <w:szCs w:val="24"/>
                <w:highlight w:val="none"/>
                <w:lang w:val="en-US" w:eastAsia="zh-CN" w:bidi="ar-SA"/>
              </w:rPr>
            </w:pPr>
          </w:p>
        </w:tc>
        <w:tc>
          <w:tcPr>
            <w:tcW w:w="990" w:type="dxa"/>
            <w:noWrap w:val="0"/>
            <w:vAlign w:val="center"/>
          </w:tcPr>
          <w:p w14:paraId="74D059A3">
            <w:pPr>
              <w:widowControl/>
              <w:kinsoku/>
              <w:overflowPunct/>
              <w:topLinePunct w:val="0"/>
              <w:bidi w:val="0"/>
              <w:spacing w:line="240" w:lineRule="auto"/>
              <w:jc w:val="left"/>
              <w:rPr>
                <w:rFonts w:hint="eastAsia" w:ascii="仿宋" w:hAnsi="仿宋" w:eastAsia="仿宋" w:cs="仿宋"/>
                <w:color w:val="auto"/>
                <w:kern w:val="2"/>
                <w:sz w:val="24"/>
                <w:szCs w:val="24"/>
                <w:highlight w:val="none"/>
                <w:lang w:val="en-US" w:eastAsia="zh-CN" w:bidi="ar-SA"/>
              </w:rPr>
            </w:pPr>
          </w:p>
        </w:tc>
      </w:tr>
      <w:tr w14:paraId="5378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46" w:type="dxa"/>
            <w:vMerge w:val="continue"/>
            <w:noWrap w:val="0"/>
            <w:vAlign w:val="center"/>
          </w:tcPr>
          <w:p w14:paraId="5C0F52E8">
            <w:pPr>
              <w:kinsoku/>
              <w:overflowPunct/>
              <w:topLinePunct w:val="0"/>
              <w:bidi w:val="0"/>
              <w:snapToGrid w:val="0"/>
              <w:spacing w:line="240" w:lineRule="auto"/>
              <w:jc w:val="center"/>
              <w:rPr>
                <w:rFonts w:hint="eastAsia" w:ascii="仿宋" w:hAnsi="仿宋" w:eastAsia="仿宋" w:cs="仿宋"/>
                <w:b/>
                <w:bCs/>
                <w:color w:val="auto"/>
                <w:sz w:val="24"/>
                <w:szCs w:val="24"/>
                <w:highlight w:val="none"/>
                <w:lang w:val="en-US" w:eastAsia="zh-CN"/>
              </w:rPr>
            </w:pPr>
          </w:p>
        </w:tc>
        <w:tc>
          <w:tcPr>
            <w:tcW w:w="457" w:type="dxa"/>
            <w:noWrap w:val="0"/>
            <w:vAlign w:val="center"/>
          </w:tcPr>
          <w:p w14:paraId="46A05895">
            <w:pPr>
              <w:widowControl/>
              <w:kinsoku/>
              <w:overflowPunct/>
              <w:topLinePunct w:val="0"/>
              <w:bidi w:val="0"/>
              <w:snapToGrid w:val="0"/>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3253" w:type="dxa"/>
            <w:noWrap w:val="0"/>
            <w:vAlign w:val="center"/>
          </w:tcPr>
          <w:p w14:paraId="3E467D1A">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确保管道畅通，及时发现管道破裂、堵塞等问题，并找出原因，做好记录。</w:t>
            </w:r>
          </w:p>
        </w:tc>
        <w:tc>
          <w:tcPr>
            <w:tcW w:w="4122" w:type="dxa"/>
            <w:noWrap w:val="0"/>
            <w:vAlign w:val="center"/>
          </w:tcPr>
          <w:p w14:paraId="4C1694EB">
            <w:pPr>
              <w:widowControl/>
              <w:numPr>
                <w:ilvl w:val="0"/>
                <w:numId w:val="0"/>
              </w:numPr>
              <w:kinsoku/>
              <w:overflowPunct/>
              <w:topLinePunct w:val="0"/>
              <w:bidi w:val="0"/>
              <w:snapToGrid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每发现一处扣1000元。</w:t>
            </w:r>
          </w:p>
        </w:tc>
        <w:tc>
          <w:tcPr>
            <w:tcW w:w="989" w:type="dxa"/>
            <w:noWrap w:val="0"/>
            <w:vAlign w:val="center"/>
          </w:tcPr>
          <w:p w14:paraId="0AB7FCAB">
            <w:pPr>
              <w:widowControl/>
              <w:kinsoku/>
              <w:overflowPunct/>
              <w:topLinePunct w:val="0"/>
              <w:bidi w:val="0"/>
              <w:spacing w:line="240" w:lineRule="auto"/>
              <w:jc w:val="left"/>
              <w:rPr>
                <w:rFonts w:hint="eastAsia" w:ascii="仿宋" w:hAnsi="仿宋" w:eastAsia="仿宋" w:cs="仿宋"/>
                <w:color w:val="auto"/>
                <w:kern w:val="2"/>
                <w:sz w:val="24"/>
                <w:szCs w:val="24"/>
                <w:highlight w:val="none"/>
                <w:lang w:val="en-US" w:eastAsia="zh-CN" w:bidi="ar-SA"/>
              </w:rPr>
            </w:pPr>
          </w:p>
        </w:tc>
        <w:tc>
          <w:tcPr>
            <w:tcW w:w="990" w:type="dxa"/>
            <w:noWrap w:val="0"/>
            <w:vAlign w:val="center"/>
          </w:tcPr>
          <w:p w14:paraId="71D236D9">
            <w:pPr>
              <w:widowControl/>
              <w:kinsoku/>
              <w:overflowPunct/>
              <w:topLinePunct w:val="0"/>
              <w:bidi w:val="0"/>
              <w:spacing w:line="240" w:lineRule="auto"/>
              <w:jc w:val="left"/>
              <w:rPr>
                <w:rFonts w:hint="eastAsia" w:ascii="仿宋" w:hAnsi="仿宋" w:eastAsia="仿宋" w:cs="仿宋"/>
                <w:color w:val="auto"/>
                <w:kern w:val="2"/>
                <w:sz w:val="24"/>
                <w:szCs w:val="24"/>
                <w:highlight w:val="none"/>
                <w:lang w:val="en-US" w:eastAsia="zh-CN" w:bidi="ar-SA"/>
              </w:rPr>
            </w:pPr>
          </w:p>
        </w:tc>
      </w:tr>
      <w:tr w14:paraId="0DF2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46" w:type="dxa"/>
            <w:vMerge w:val="continue"/>
            <w:noWrap w:val="0"/>
            <w:vAlign w:val="center"/>
          </w:tcPr>
          <w:p w14:paraId="2235FA1A">
            <w:pPr>
              <w:kinsoku/>
              <w:overflowPunct/>
              <w:topLinePunct w:val="0"/>
              <w:bidi w:val="0"/>
              <w:snapToGrid w:val="0"/>
              <w:spacing w:line="24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w:t>
            </w:r>
          </w:p>
        </w:tc>
        <w:tc>
          <w:tcPr>
            <w:tcW w:w="457" w:type="dxa"/>
            <w:noWrap w:val="0"/>
            <w:vAlign w:val="center"/>
          </w:tcPr>
          <w:p w14:paraId="10427164">
            <w:pPr>
              <w:widowControl/>
              <w:kinsoku/>
              <w:overflowPunct/>
              <w:topLinePunct w:val="0"/>
              <w:bidi w:val="0"/>
              <w:snapToGrid w:val="0"/>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3253" w:type="dxa"/>
            <w:noWrap w:val="0"/>
            <w:vAlign w:val="center"/>
          </w:tcPr>
          <w:p w14:paraId="3B455D0A">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巡查管道有无私自接管现象。</w:t>
            </w:r>
          </w:p>
        </w:tc>
        <w:tc>
          <w:tcPr>
            <w:tcW w:w="4122" w:type="dxa"/>
            <w:noWrap w:val="0"/>
            <w:vAlign w:val="center"/>
          </w:tcPr>
          <w:p w14:paraId="184AE42C">
            <w:pPr>
              <w:widowControl/>
              <w:numPr>
                <w:ilvl w:val="0"/>
                <w:numId w:val="0"/>
              </w:numPr>
              <w:kinsoku/>
              <w:overflowPunct/>
              <w:topLinePunct w:val="0"/>
              <w:bidi w:val="0"/>
              <w:snapToGrid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每发现一处扣1000元。</w:t>
            </w:r>
          </w:p>
        </w:tc>
        <w:tc>
          <w:tcPr>
            <w:tcW w:w="989" w:type="dxa"/>
            <w:noWrap w:val="0"/>
            <w:vAlign w:val="center"/>
          </w:tcPr>
          <w:p w14:paraId="5709BF0C">
            <w:pPr>
              <w:widowControl/>
              <w:kinsoku/>
              <w:overflowPunct/>
              <w:topLinePunct w:val="0"/>
              <w:bidi w:val="0"/>
              <w:spacing w:line="240" w:lineRule="auto"/>
              <w:jc w:val="left"/>
              <w:rPr>
                <w:rFonts w:hint="eastAsia" w:ascii="仿宋" w:hAnsi="仿宋" w:eastAsia="仿宋" w:cs="仿宋"/>
                <w:color w:val="auto"/>
                <w:kern w:val="2"/>
                <w:sz w:val="24"/>
                <w:szCs w:val="24"/>
                <w:highlight w:val="none"/>
                <w:lang w:val="en-US" w:eastAsia="zh-CN" w:bidi="ar-SA"/>
              </w:rPr>
            </w:pPr>
          </w:p>
        </w:tc>
        <w:tc>
          <w:tcPr>
            <w:tcW w:w="990" w:type="dxa"/>
            <w:noWrap w:val="0"/>
            <w:vAlign w:val="center"/>
          </w:tcPr>
          <w:p w14:paraId="17B95D2A">
            <w:pPr>
              <w:widowControl/>
              <w:kinsoku/>
              <w:overflowPunct/>
              <w:topLinePunct w:val="0"/>
              <w:bidi w:val="0"/>
              <w:spacing w:line="240" w:lineRule="auto"/>
              <w:jc w:val="left"/>
              <w:rPr>
                <w:rFonts w:hint="eastAsia" w:ascii="仿宋" w:hAnsi="仿宋" w:eastAsia="仿宋" w:cs="仿宋"/>
                <w:color w:val="auto"/>
                <w:kern w:val="2"/>
                <w:sz w:val="24"/>
                <w:szCs w:val="24"/>
                <w:highlight w:val="none"/>
                <w:lang w:val="en-US" w:eastAsia="zh-CN" w:bidi="ar-SA"/>
              </w:rPr>
            </w:pPr>
          </w:p>
        </w:tc>
      </w:tr>
      <w:tr w14:paraId="727C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46" w:type="dxa"/>
            <w:vMerge w:val="continue"/>
            <w:noWrap w:val="0"/>
            <w:vAlign w:val="center"/>
          </w:tcPr>
          <w:p w14:paraId="1C2BCEB7">
            <w:pPr>
              <w:kinsoku/>
              <w:overflowPunct/>
              <w:topLinePunct w:val="0"/>
              <w:bidi w:val="0"/>
              <w:spacing w:line="240" w:lineRule="auto"/>
              <w:jc w:val="center"/>
              <w:rPr>
                <w:rFonts w:hint="eastAsia" w:ascii="仿宋" w:hAnsi="仿宋" w:eastAsia="仿宋" w:cs="仿宋"/>
                <w:b/>
                <w:bCs/>
                <w:color w:val="auto"/>
                <w:sz w:val="24"/>
                <w:szCs w:val="24"/>
                <w:highlight w:val="none"/>
                <w:lang w:val="zh-CN"/>
              </w:rPr>
            </w:pPr>
          </w:p>
        </w:tc>
        <w:tc>
          <w:tcPr>
            <w:tcW w:w="457" w:type="dxa"/>
            <w:noWrap w:val="0"/>
            <w:vAlign w:val="center"/>
          </w:tcPr>
          <w:p w14:paraId="32949AF6">
            <w:pPr>
              <w:widowControl/>
              <w:kinsoku/>
              <w:overflowPunct/>
              <w:topLinePunct w:val="0"/>
              <w:bidi w:val="0"/>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3253" w:type="dxa"/>
            <w:noWrap w:val="0"/>
            <w:vAlign w:val="center"/>
          </w:tcPr>
          <w:p w14:paraId="06F6DD71">
            <w:pPr>
              <w:widowControl/>
              <w:kinsoku/>
              <w:overflowPunct/>
              <w:topLinePunct w:val="0"/>
              <w:bidi w:val="0"/>
              <w:snapToGrid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其它发现存在安全隐患的，立即设置警示防护标志并上报。</w:t>
            </w:r>
          </w:p>
        </w:tc>
        <w:tc>
          <w:tcPr>
            <w:tcW w:w="4122" w:type="dxa"/>
            <w:noWrap w:val="0"/>
            <w:vAlign w:val="center"/>
          </w:tcPr>
          <w:p w14:paraId="34A19450">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其他存在安全隐患未巡查到位的，</w:t>
            </w:r>
            <w:r>
              <w:rPr>
                <w:rFonts w:hint="eastAsia" w:ascii="仿宋" w:hAnsi="仿宋" w:eastAsia="仿宋" w:cs="仿宋"/>
                <w:color w:val="auto"/>
                <w:sz w:val="24"/>
                <w:szCs w:val="24"/>
                <w:highlight w:val="none"/>
                <w:lang w:val="en-US" w:eastAsia="zh-CN"/>
              </w:rPr>
              <w:t>每发现一处，扣罚</w:t>
            </w:r>
            <w:r>
              <w:rPr>
                <w:rFonts w:hint="eastAsia" w:ascii="仿宋" w:hAnsi="仿宋" w:eastAsia="仿宋" w:cs="仿宋"/>
                <w:color w:val="auto"/>
                <w:sz w:val="24"/>
                <w:szCs w:val="24"/>
                <w:highlight w:val="none"/>
                <w:lang w:val="zh-CN" w:eastAsia="zh-CN"/>
              </w:rPr>
              <w:t>1000</w:t>
            </w:r>
            <w:r>
              <w:rPr>
                <w:rFonts w:hint="eastAsia" w:ascii="仿宋" w:hAnsi="仿宋" w:eastAsia="仿宋" w:cs="仿宋"/>
                <w:color w:val="auto"/>
                <w:sz w:val="24"/>
                <w:szCs w:val="24"/>
                <w:highlight w:val="none"/>
                <w:lang w:val="en-US" w:eastAsia="zh-CN"/>
              </w:rPr>
              <w:t>元。</w:t>
            </w:r>
          </w:p>
        </w:tc>
        <w:tc>
          <w:tcPr>
            <w:tcW w:w="989" w:type="dxa"/>
            <w:noWrap w:val="0"/>
            <w:vAlign w:val="center"/>
          </w:tcPr>
          <w:p w14:paraId="6F1363C9">
            <w:pPr>
              <w:widowControl/>
              <w:kinsoku/>
              <w:overflowPunct/>
              <w:topLinePunct w:val="0"/>
              <w:bidi w:val="0"/>
              <w:spacing w:line="240" w:lineRule="auto"/>
              <w:jc w:val="left"/>
              <w:rPr>
                <w:rFonts w:hint="eastAsia" w:ascii="仿宋" w:hAnsi="仿宋" w:eastAsia="仿宋" w:cs="仿宋"/>
                <w:color w:val="auto"/>
                <w:kern w:val="2"/>
                <w:sz w:val="24"/>
                <w:szCs w:val="24"/>
                <w:highlight w:val="none"/>
                <w:lang w:val="en-US" w:eastAsia="zh-CN" w:bidi="ar-SA"/>
              </w:rPr>
            </w:pPr>
          </w:p>
        </w:tc>
        <w:tc>
          <w:tcPr>
            <w:tcW w:w="990" w:type="dxa"/>
            <w:noWrap w:val="0"/>
            <w:vAlign w:val="center"/>
          </w:tcPr>
          <w:p w14:paraId="5D49DE5B">
            <w:pPr>
              <w:widowControl/>
              <w:kinsoku/>
              <w:overflowPunct/>
              <w:topLinePunct w:val="0"/>
              <w:bidi w:val="0"/>
              <w:spacing w:line="240" w:lineRule="auto"/>
              <w:jc w:val="left"/>
              <w:rPr>
                <w:rFonts w:hint="eastAsia" w:ascii="仿宋" w:hAnsi="仿宋" w:eastAsia="仿宋" w:cs="仿宋"/>
                <w:color w:val="auto"/>
                <w:kern w:val="2"/>
                <w:sz w:val="24"/>
                <w:szCs w:val="24"/>
                <w:highlight w:val="none"/>
                <w:lang w:val="en-US" w:eastAsia="zh-CN" w:bidi="ar-SA"/>
              </w:rPr>
            </w:pPr>
          </w:p>
        </w:tc>
      </w:tr>
      <w:tr w14:paraId="381C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46" w:type="dxa"/>
            <w:vMerge w:val="continue"/>
            <w:noWrap w:val="0"/>
            <w:vAlign w:val="center"/>
          </w:tcPr>
          <w:p w14:paraId="7A09352B">
            <w:pPr>
              <w:kinsoku/>
              <w:overflowPunct/>
              <w:topLinePunct w:val="0"/>
              <w:bidi w:val="0"/>
              <w:spacing w:line="240" w:lineRule="auto"/>
              <w:jc w:val="center"/>
              <w:rPr>
                <w:rFonts w:hint="eastAsia" w:ascii="仿宋" w:hAnsi="仿宋" w:eastAsia="仿宋" w:cs="仿宋"/>
                <w:b/>
                <w:bCs/>
                <w:color w:val="auto"/>
                <w:sz w:val="24"/>
                <w:szCs w:val="24"/>
                <w:highlight w:val="none"/>
                <w:lang w:val="zh-CN"/>
              </w:rPr>
            </w:pPr>
          </w:p>
        </w:tc>
        <w:tc>
          <w:tcPr>
            <w:tcW w:w="457" w:type="dxa"/>
            <w:noWrap w:val="0"/>
            <w:vAlign w:val="center"/>
          </w:tcPr>
          <w:p w14:paraId="26AE26AF">
            <w:pPr>
              <w:widowControl/>
              <w:kinsoku/>
              <w:overflowPunct/>
              <w:topLinePunct w:val="0"/>
              <w:bidi w:val="0"/>
              <w:snapToGrid w:val="0"/>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3253" w:type="dxa"/>
            <w:noWrap w:val="0"/>
            <w:vAlign w:val="center"/>
          </w:tcPr>
          <w:p w14:paraId="72B2B047">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巡查台账记录清晰，巡查方式多样、到位，发现问题及时，处置问题及时、有效。</w:t>
            </w:r>
          </w:p>
        </w:tc>
        <w:tc>
          <w:tcPr>
            <w:tcW w:w="4122" w:type="dxa"/>
            <w:noWrap w:val="0"/>
            <w:vAlign w:val="center"/>
          </w:tcPr>
          <w:p w14:paraId="5B31A81B">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巡查台账记录混乱、上报不及时，巡查与维修衔接脱节，或以上表格未涉及的，每发现1处，扣罚1000元。</w:t>
            </w:r>
          </w:p>
        </w:tc>
        <w:tc>
          <w:tcPr>
            <w:tcW w:w="989" w:type="dxa"/>
            <w:noWrap w:val="0"/>
            <w:vAlign w:val="center"/>
          </w:tcPr>
          <w:p w14:paraId="2C2D03BE">
            <w:pPr>
              <w:widowControl/>
              <w:kinsoku/>
              <w:overflowPunct/>
              <w:topLinePunct w:val="0"/>
              <w:bidi w:val="0"/>
              <w:spacing w:line="240" w:lineRule="auto"/>
              <w:jc w:val="left"/>
              <w:rPr>
                <w:rFonts w:hint="eastAsia" w:ascii="仿宋" w:hAnsi="仿宋" w:eastAsia="仿宋" w:cs="仿宋"/>
                <w:color w:val="auto"/>
                <w:kern w:val="2"/>
                <w:sz w:val="24"/>
                <w:szCs w:val="24"/>
                <w:highlight w:val="none"/>
                <w:lang w:val="en-US" w:eastAsia="zh-CN" w:bidi="ar-SA"/>
              </w:rPr>
            </w:pPr>
          </w:p>
        </w:tc>
        <w:tc>
          <w:tcPr>
            <w:tcW w:w="990" w:type="dxa"/>
            <w:noWrap w:val="0"/>
            <w:vAlign w:val="center"/>
          </w:tcPr>
          <w:p w14:paraId="6D775F4C">
            <w:pPr>
              <w:widowControl/>
              <w:kinsoku/>
              <w:overflowPunct/>
              <w:topLinePunct w:val="0"/>
              <w:bidi w:val="0"/>
              <w:spacing w:line="240" w:lineRule="auto"/>
              <w:jc w:val="left"/>
              <w:rPr>
                <w:rFonts w:hint="eastAsia" w:ascii="仿宋" w:hAnsi="仿宋" w:eastAsia="仿宋" w:cs="仿宋"/>
                <w:color w:val="auto"/>
                <w:kern w:val="2"/>
                <w:sz w:val="24"/>
                <w:szCs w:val="24"/>
                <w:highlight w:val="none"/>
                <w:lang w:val="en-US" w:eastAsia="zh-CN" w:bidi="ar-SA"/>
              </w:rPr>
            </w:pPr>
          </w:p>
        </w:tc>
      </w:tr>
      <w:tr w14:paraId="50A2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46" w:type="dxa"/>
            <w:vMerge w:val="restart"/>
            <w:noWrap w:val="0"/>
            <w:vAlign w:val="center"/>
          </w:tcPr>
          <w:p w14:paraId="3BB07F78">
            <w:pPr>
              <w:kinsoku/>
              <w:overflowPunct/>
              <w:topLinePunct w:val="0"/>
              <w:bidi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管网设施维修</w:t>
            </w:r>
          </w:p>
        </w:tc>
        <w:tc>
          <w:tcPr>
            <w:tcW w:w="457" w:type="dxa"/>
            <w:noWrap w:val="0"/>
            <w:vAlign w:val="center"/>
          </w:tcPr>
          <w:p w14:paraId="7F9694E7">
            <w:pPr>
              <w:widowControl/>
              <w:kinsoku/>
              <w:overflowPunct/>
              <w:topLinePunct w:val="0"/>
              <w:bidi w:val="0"/>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253" w:type="dxa"/>
            <w:noWrap w:val="0"/>
            <w:vAlign w:val="center"/>
          </w:tcPr>
          <w:p w14:paraId="37F963FA">
            <w:pPr>
              <w:widowControl/>
              <w:kinsoku/>
              <w:overflowPunct/>
              <w:topLinePunct w:val="0"/>
              <w:bidi w:val="0"/>
              <w:snapToGrid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设施修复质量应满足规范要求。</w:t>
            </w:r>
          </w:p>
        </w:tc>
        <w:tc>
          <w:tcPr>
            <w:tcW w:w="4122" w:type="dxa"/>
            <w:noWrap w:val="0"/>
            <w:vAlign w:val="center"/>
          </w:tcPr>
          <w:p w14:paraId="591D6947">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对已修复的事项（含井盖座修复、积水点处理等），质量存在缺陷的，每处扣罚1000元。同时，施工单位应立即重新修复，直至合格为止。</w:t>
            </w:r>
          </w:p>
        </w:tc>
        <w:tc>
          <w:tcPr>
            <w:tcW w:w="989" w:type="dxa"/>
            <w:noWrap w:val="0"/>
            <w:vAlign w:val="center"/>
          </w:tcPr>
          <w:p w14:paraId="7A73DE0A">
            <w:pPr>
              <w:widowControl/>
              <w:kinsoku/>
              <w:overflowPunct/>
              <w:topLinePunct w:val="0"/>
              <w:bidi w:val="0"/>
              <w:spacing w:line="240" w:lineRule="auto"/>
              <w:jc w:val="left"/>
              <w:rPr>
                <w:rFonts w:hint="eastAsia" w:ascii="仿宋" w:hAnsi="仿宋" w:eastAsia="仿宋" w:cs="仿宋"/>
                <w:color w:val="auto"/>
                <w:sz w:val="24"/>
                <w:szCs w:val="24"/>
                <w:highlight w:val="none"/>
              </w:rPr>
            </w:pPr>
          </w:p>
        </w:tc>
        <w:tc>
          <w:tcPr>
            <w:tcW w:w="990" w:type="dxa"/>
            <w:noWrap w:val="0"/>
            <w:vAlign w:val="center"/>
          </w:tcPr>
          <w:p w14:paraId="39AE60A8">
            <w:pPr>
              <w:widowControl/>
              <w:kinsoku/>
              <w:overflowPunct/>
              <w:topLinePunct w:val="0"/>
              <w:bidi w:val="0"/>
              <w:spacing w:line="240" w:lineRule="auto"/>
              <w:jc w:val="left"/>
              <w:rPr>
                <w:rFonts w:hint="eastAsia" w:ascii="仿宋" w:hAnsi="仿宋" w:eastAsia="仿宋" w:cs="仿宋"/>
                <w:color w:val="auto"/>
                <w:sz w:val="24"/>
                <w:szCs w:val="24"/>
                <w:highlight w:val="none"/>
              </w:rPr>
            </w:pPr>
          </w:p>
        </w:tc>
      </w:tr>
      <w:tr w14:paraId="41C9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646" w:type="dxa"/>
            <w:vMerge w:val="continue"/>
            <w:noWrap w:val="0"/>
            <w:vAlign w:val="center"/>
          </w:tcPr>
          <w:p w14:paraId="5220FDF4">
            <w:pPr>
              <w:kinsoku/>
              <w:overflowPunct/>
              <w:topLinePunct w:val="0"/>
              <w:bidi w:val="0"/>
              <w:spacing w:line="240" w:lineRule="auto"/>
              <w:rPr>
                <w:rFonts w:hint="eastAsia" w:ascii="仿宋" w:hAnsi="仿宋" w:eastAsia="仿宋" w:cs="仿宋"/>
                <w:color w:val="auto"/>
                <w:sz w:val="24"/>
                <w:szCs w:val="24"/>
                <w:highlight w:val="none"/>
                <w:lang w:val="en-US" w:eastAsia="zh-CN"/>
              </w:rPr>
            </w:pPr>
          </w:p>
        </w:tc>
        <w:tc>
          <w:tcPr>
            <w:tcW w:w="457" w:type="dxa"/>
            <w:noWrap w:val="0"/>
            <w:vAlign w:val="center"/>
          </w:tcPr>
          <w:p w14:paraId="1396A784">
            <w:pPr>
              <w:widowControl/>
              <w:kinsoku/>
              <w:overflowPunct/>
              <w:topLinePunct w:val="0"/>
              <w:bidi w:val="0"/>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253" w:type="dxa"/>
            <w:noWrap w:val="0"/>
            <w:vAlign w:val="center"/>
          </w:tcPr>
          <w:p w14:paraId="7B2589DE">
            <w:pPr>
              <w:widowControl/>
              <w:kinsoku/>
              <w:overflowPunct/>
              <w:topLinePunct w:val="0"/>
              <w:bidi w:val="0"/>
              <w:snapToGrid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承包人应在业主或监理规定的时间范围内履行养护职责，承包人自接到业主或监理通知，需要其履行养护职责，实施具体事件时（包括但不限于按照业主规定时间修复管网设施、按照业主要求疏通管网以及防汛值班等工作）。</w:t>
            </w:r>
          </w:p>
        </w:tc>
        <w:tc>
          <w:tcPr>
            <w:tcW w:w="4122" w:type="dxa"/>
            <w:noWrap w:val="0"/>
            <w:vAlign w:val="center"/>
          </w:tcPr>
          <w:p w14:paraId="7C82B7A8">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不能按要求完成的，每次扣罚1000元，收到通知单后规定时间内仍不能完成的，翻倍扣罚。</w:t>
            </w:r>
          </w:p>
        </w:tc>
        <w:tc>
          <w:tcPr>
            <w:tcW w:w="989" w:type="dxa"/>
            <w:noWrap w:val="0"/>
            <w:vAlign w:val="center"/>
          </w:tcPr>
          <w:p w14:paraId="6FEAD889">
            <w:pPr>
              <w:widowControl/>
              <w:kinsoku/>
              <w:overflowPunct/>
              <w:topLinePunct w:val="0"/>
              <w:bidi w:val="0"/>
              <w:spacing w:line="240" w:lineRule="auto"/>
              <w:jc w:val="left"/>
              <w:rPr>
                <w:rFonts w:hint="eastAsia" w:ascii="仿宋" w:hAnsi="仿宋" w:eastAsia="仿宋" w:cs="仿宋"/>
                <w:color w:val="auto"/>
                <w:sz w:val="24"/>
                <w:szCs w:val="24"/>
                <w:highlight w:val="none"/>
              </w:rPr>
            </w:pPr>
          </w:p>
        </w:tc>
        <w:tc>
          <w:tcPr>
            <w:tcW w:w="990" w:type="dxa"/>
            <w:noWrap w:val="0"/>
            <w:vAlign w:val="center"/>
          </w:tcPr>
          <w:p w14:paraId="59892E62">
            <w:pPr>
              <w:widowControl/>
              <w:kinsoku/>
              <w:overflowPunct/>
              <w:topLinePunct w:val="0"/>
              <w:bidi w:val="0"/>
              <w:spacing w:line="240" w:lineRule="auto"/>
              <w:jc w:val="left"/>
              <w:rPr>
                <w:rFonts w:hint="eastAsia" w:ascii="仿宋" w:hAnsi="仿宋" w:eastAsia="仿宋" w:cs="仿宋"/>
                <w:color w:val="auto"/>
                <w:sz w:val="24"/>
                <w:szCs w:val="24"/>
                <w:highlight w:val="none"/>
              </w:rPr>
            </w:pPr>
          </w:p>
        </w:tc>
      </w:tr>
      <w:tr w14:paraId="2F6B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46" w:type="dxa"/>
            <w:vMerge w:val="restart"/>
            <w:noWrap w:val="0"/>
            <w:vAlign w:val="center"/>
          </w:tcPr>
          <w:p w14:paraId="4F40CB83">
            <w:pPr>
              <w:kinsoku/>
              <w:overflowPunct/>
              <w:topLinePunct w:val="0"/>
              <w:bidi w:val="0"/>
              <w:snapToGrid w:val="0"/>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其他</w:t>
            </w:r>
          </w:p>
        </w:tc>
        <w:tc>
          <w:tcPr>
            <w:tcW w:w="457" w:type="dxa"/>
            <w:noWrap w:val="0"/>
            <w:vAlign w:val="center"/>
          </w:tcPr>
          <w:p w14:paraId="77F67273">
            <w:pPr>
              <w:widowControl/>
              <w:kinsoku/>
              <w:overflowPunct/>
              <w:topLinePunct w:val="0"/>
              <w:bidi w:val="0"/>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253" w:type="dxa"/>
            <w:noWrap w:val="0"/>
            <w:vAlign w:val="center"/>
          </w:tcPr>
          <w:p w14:paraId="03D1E453">
            <w:pPr>
              <w:widowControl/>
              <w:kinsoku/>
              <w:overflowPunct/>
              <w:topLinePunct w:val="0"/>
              <w:bidi w:val="0"/>
              <w:snapToGrid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按要求做好</w:t>
            </w:r>
            <w:r>
              <w:rPr>
                <w:rFonts w:hint="eastAsia" w:ascii="仿宋" w:hAnsi="仿宋" w:eastAsia="仿宋" w:cs="仿宋"/>
                <w:color w:val="auto"/>
                <w:sz w:val="24"/>
                <w:szCs w:val="24"/>
                <w:highlight w:val="none"/>
                <w:lang w:eastAsia="zh-CN"/>
              </w:rPr>
              <w:t>精细化管理派单</w:t>
            </w:r>
            <w:r>
              <w:rPr>
                <w:rFonts w:hint="eastAsia" w:ascii="仿宋" w:hAnsi="仿宋" w:eastAsia="仿宋" w:cs="仿宋"/>
                <w:color w:val="auto"/>
                <w:sz w:val="24"/>
                <w:szCs w:val="24"/>
                <w:highlight w:val="none"/>
              </w:rPr>
              <w:t>处理</w:t>
            </w:r>
            <w:r>
              <w:rPr>
                <w:rFonts w:hint="eastAsia" w:ascii="仿宋" w:hAnsi="仿宋" w:eastAsia="仿宋" w:cs="仿宋"/>
                <w:color w:val="auto"/>
                <w:sz w:val="24"/>
                <w:szCs w:val="24"/>
                <w:highlight w:val="none"/>
                <w:lang w:eastAsia="zh-CN"/>
              </w:rPr>
              <w:t>。</w:t>
            </w:r>
          </w:p>
        </w:tc>
        <w:tc>
          <w:tcPr>
            <w:tcW w:w="4122" w:type="dxa"/>
            <w:noWrap w:val="0"/>
            <w:vAlign w:val="center"/>
          </w:tcPr>
          <w:p w14:paraId="21C70130">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1、逾期处理，每件扣罚1000元；</w:t>
            </w:r>
          </w:p>
          <w:p w14:paraId="67FC0DEA">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2、返工件，每件扣罚21000元。</w:t>
            </w:r>
          </w:p>
          <w:p w14:paraId="4E9D64FF">
            <w:pPr>
              <w:widowControl/>
              <w:kinsoku/>
              <w:overflowPunct/>
              <w:topLinePunct w:val="0"/>
              <w:bidi w:val="0"/>
              <w:snapToGrid w:val="0"/>
              <w:spacing w:line="240" w:lineRule="auto"/>
              <w:rPr>
                <w:rFonts w:hint="default"/>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（业主单位和监理单位下发的整改通知单或督办单，参照本条）</w:t>
            </w:r>
          </w:p>
        </w:tc>
        <w:tc>
          <w:tcPr>
            <w:tcW w:w="989" w:type="dxa"/>
            <w:noWrap w:val="0"/>
            <w:vAlign w:val="center"/>
          </w:tcPr>
          <w:p w14:paraId="03F5C036">
            <w:pPr>
              <w:widowControl/>
              <w:kinsoku/>
              <w:overflowPunct/>
              <w:topLinePunct w:val="0"/>
              <w:bidi w:val="0"/>
              <w:spacing w:line="240" w:lineRule="auto"/>
              <w:jc w:val="left"/>
              <w:rPr>
                <w:rFonts w:hint="eastAsia" w:ascii="仿宋" w:hAnsi="仿宋" w:eastAsia="仿宋" w:cs="仿宋"/>
                <w:color w:val="auto"/>
                <w:sz w:val="24"/>
                <w:szCs w:val="24"/>
                <w:highlight w:val="none"/>
              </w:rPr>
            </w:pPr>
          </w:p>
        </w:tc>
        <w:tc>
          <w:tcPr>
            <w:tcW w:w="990" w:type="dxa"/>
            <w:noWrap w:val="0"/>
            <w:vAlign w:val="center"/>
          </w:tcPr>
          <w:p w14:paraId="77CF1BB8">
            <w:pPr>
              <w:widowControl/>
              <w:kinsoku/>
              <w:overflowPunct/>
              <w:topLinePunct w:val="0"/>
              <w:bidi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月考</w:t>
            </w:r>
          </w:p>
        </w:tc>
      </w:tr>
      <w:tr w14:paraId="3B6E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9" w:hRule="atLeast"/>
          <w:jc w:val="center"/>
        </w:trPr>
        <w:tc>
          <w:tcPr>
            <w:tcW w:w="646" w:type="dxa"/>
            <w:vMerge w:val="continue"/>
            <w:noWrap w:val="0"/>
            <w:vAlign w:val="center"/>
          </w:tcPr>
          <w:p w14:paraId="2801E4D9">
            <w:pPr>
              <w:kinsoku/>
              <w:overflowPunct/>
              <w:topLinePunct w:val="0"/>
              <w:bidi w:val="0"/>
              <w:snapToGrid w:val="0"/>
              <w:spacing w:line="240" w:lineRule="auto"/>
              <w:jc w:val="center"/>
              <w:rPr>
                <w:rFonts w:hint="eastAsia" w:ascii="仿宋" w:hAnsi="仿宋" w:eastAsia="仿宋" w:cs="仿宋"/>
                <w:b/>
                <w:bCs/>
                <w:color w:val="auto"/>
                <w:sz w:val="24"/>
                <w:szCs w:val="24"/>
                <w:highlight w:val="none"/>
              </w:rPr>
            </w:pPr>
          </w:p>
        </w:tc>
        <w:tc>
          <w:tcPr>
            <w:tcW w:w="457" w:type="dxa"/>
            <w:noWrap w:val="0"/>
            <w:vAlign w:val="center"/>
          </w:tcPr>
          <w:p w14:paraId="7D8FAAFF">
            <w:pPr>
              <w:widowControl/>
              <w:kinsoku/>
              <w:overflowPunct/>
              <w:topLinePunct w:val="0"/>
              <w:bidi w:val="0"/>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253" w:type="dxa"/>
            <w:noWrap w:val="0"/>
            <w:vAlign w:val="center"/>
          </w:tcPr>
          <w:p w14:paraId="42AD515F">
            <w:pPr>
              <w:widowControl/>
              <w:kinsoku/>
              <w:overflowPunct/>
              <w:topLinePunct w:val="0"/>
              <w:bidi w:val="0"/>
              <w:snapToGrid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妥善处理阳光热线、信访件、督办件及有责新闻等其他反应问题。</w:t>
            </w:r>
          </w:p>
        </w:tc>
        <w:tc>
          <w:tcPr>
            <w:tcW w:w="4122" w:type="dxa"/>
            <w:noWrap w:val="0"/>
            <w:vAlign w:val="center"/>
          </w:tcPr>
          <w:p w14:paraId="0ABCC43C">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1、因巡查养护不到位造成的阳光热线，每件扣罚1000元；</w:t>
            </w:r>
          </w:p>
          <w:p w14:paraId="2CAD3B5A">
            <w:pPr>
              <w:widowControl/>
              <w:kinsoku/>
              <w:overflowPunct/>
              <w:topLinePunct w:val="0"/>
              <w:bidi w:val="0"/>
              <w:snapToGrid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2、因巡查养护不力造成阳光热线重件或不满意件，在以上条款基础上，每件加扣罚2000元；</w:t>
            </w:r>
          </w:p>
          <w:p w14:paraId="23DD7DEF">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3、信访件、督办件及有责新闻可参照阳光热线执行处罚。</w:t>
            </w:r>
          </w:p>
          <w:p w14:paraId="2482BDB2">
            <w:pPr>
              <w:widowControl/>
              <w:kinsoku/>
              <w:overflowPunct/>
              <w:topLinePunct w:val="0"/>
              <w:bidi w:val="0"/>
              <w:snapToGrid w:val="0"/>
              <w:spacing w:line="240" w:lineRule="auto"/>
              <w:rPr>
                <w:rFonts w:hint="default"/>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4、经区级机关或区级媒体通报一次，扣罚5000元；经市级机关或市级媒体通报一次，扣罚8000元。一个年度内被市级及以上政府机关或媒体通报三次及以上的情形，业主有权提前终止合约。</w:t>
            </w:r>
          </w:p>
        </w:tc>
        <w:tc>
          <w:tcPr>
            <w:tcW w:w="989" w:type="dxa"/>
            <w:noWrap w:val="0"/>
            <w:vAlign w:val="center"/>
          </w:tcPr>
          <w:p w14:paraId="49896E8D">
            <w:pPr>
              <w:widowControl/>
              <w:kinsoku/>
              <w:overflowPunct/>
              <w:topLinePunct w:val="0"/>
              <w:bidi w:val="0"/>
              <w:spacing w:line="240" w:lineRule="auto"/>
              <w:jc w:val="left"/>
              <w:rPr>
                <w:rFonts w:hint="eastAsia" w:ascii="仿宋" w:hAnsi="仿宋" w:eastAsia="仿宋" w:cs="仿宋"/>
                <w:color w:val="auto"/>
                <w:sz w:val="24"/>
                <w:szCs w:val="24"/>
                <w:highlight w:val="none"/>
              </w:rPr>
            </w:pPr>
          </w:p>
        </w:tc>
        <w:tc>
          <w:tcPr>
            <w:tcW w:w="990" w:type="dxa"/>
            <w:noWrap w:val="0"/>
            <w:vAlign w:val="center"/>
          </w:tcPr>
          <w:p w14:paraId="6ECEDB7B">
            <w:pPr>
              <w:widowControl/>
              <w:kinsoku/>
              <w:overflowPunct/>
              <w:topLinePunct w:val="0"/>
              <w:bidi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月考</w:t>
            </w:r>
          </w:p>
        </w:tc>
      </w:tr>
      <w:tr w14:paraId="47EB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46" w:type="dxa"/>
            <w:vMerge w:val="continue"/>
            <w:noWrap w:val="0"/>
            <w:vAlign w:val="center"/>
          </w:tcPr>
          <w:p w14:paraId="35E21BE7">
            <w:pPr>
              <w:kinsoku/>
              <w:overflowPunct/>
              <w:topLinePunct w:val="0"/>
              <w:bidi w:val="0"/>
              <w:snapToGrid w:val="0"/>
              <w:spacing w:line="240" w:lineRule="auto"/>
              <w:jc w:val="center"/>
              <w:rPr>
                <w:rFonts w:hint="eastAsia" w:ascii="仿宋" w:hAnsi="仿宋" w:eastAsia="仿宋" w:cs="仿宋"/>
                <w:b/>
                <w:bCs/>
                <w:color w:val="auto"/>
                <w:sz w:val="24"/>
                <w:szCs w:val="24"/>
                <w:highlight w:val="none"/>
              </w:rPr>
            </w:pPr>
          </w:p>
        </w:tc>
        <w:tc>
          <w:tcPr>
            <w:tcW w:w="457" w:type="dxa"/>
            <w:noWrap w:val="0"/>
            <w:vAlign w:val="center"/>
          </w:tcPr>
          <w:p w14:paraId="2BF4D066">
            <w:pPr>
              <w:widowControl/>
              <w:kinsoku/>
              <w:overflowPunct/>
              <w:topLinePunct w:val="0"/>
              <w:bidi w:val="0"/>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3253" w:type="dxa"/>
            <w:noWrap w:val="0"/>
            <w:vAlign w:val="center"/>
          </w:tcPr>
          <w:p w14:paraId="6C099CD9">
            <w:pPr>
              <w:widowControl/>
              <w:kinsoku/>
              <w:overflowPunct/>
              <w:topLinePunct w:val="0"/>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各种验收资料应真实、完整</w:t>
            </w:r>
          </w:p>
        </w:tc>
        <w:tc>
          <w:tcPr>
            <w:tcW w:w="4122" w:type="dxa"/>
            <w:noWrap w:val="0"/>
            <w:vAlign w:val="center"/>
          </w:tcPr>
          <w:p w14:paraId="651987DB">
            <w:pPr>
              <w:widowControl/>
              <w:kinsoku/>
              <w:overflowPunct/>
              <w:topLinePunct w:val="0"/>
              <w:bidi w:val="0"/>
              <w:snapToGrid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弄虚作假</w:t>
            </w: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罚5000元</w:t>
            </w:r>
            <w:r>
              <w:rPr>
                <w:rFonts w:hint="eastAsia" w:ascii="仿宋" w:hAnsi="仿宋" w:eastAsia="仿宋" w:cs="仿宋"/>
                <w:color w:val="auto"/>
                <w:sz w:val="24"/>
                <w:szCs w:val="24"/>
                <w:highlight w:val="none"/>
                <w:lang w:eastAsia="zh-CN"/>
              </w:rPr>
              <w:t>。</w:t>
            </w:r>
          </w:p>
        </w:tc>
        <w:tc>
          <w:tcPr>
            <w:tcW w:w="989" w:type="dxa"/>
            <w:noWrap w:val="0"/>
            <w:vAlign w:val="center"/>
          </w:tcPr>
          <w:p w14:paraId="0F2CA3F0">
            <w:pPr>
              <w:widowControl/>
              <w:kinsoku/>
              <w:overflowPunct/>
              <w:topLinePunct w:val="0"/>
              <w:bidi w:val="0"/>
              <w:spacing w:line="240" w:lineRule="auto"/>
              <w:jc w:val="left"/>
              <w:rPr>
                <w:rFonts w:hint="eastAsia" w:ascii="仿宋" w:hAnsi="仿宋" w:eastAsia="仿宋" w:cs="仿宋"/>
                <w:color w:val="auto"/>
                <w:sz w:val="24"/>
                <w:szCs w:val="24"/>
                <w:highlight w:val="none"/>
              </w:rPr>
            </w:pPr>
          </w:p>
        </w:tc>
        <w:tc>
          <w:tcPr>
            <w:tcW w:w="990" w:type="dxa"/>
            <w:noWrap w:val="0"/>
            <w:vAlign w:val="center"/>
          </w:tcPr>
          <w:p w14:paraId="0D6CBDE2">
            <w:pPr>
              <w:widowControl/>
              <w:kinsoku/>
              <w:overflowPunct/>
              <w:topLinePunct w:val="0"/>
              <w:bidi w:val="0"/>
              <w:spacing w:line="240" w:lineRule="auto"/>
              <w:jc w:val="left"/>
              <w:rPr>
                <w:rFonts w:hint="eastAsia" w:ascii="仿宋" w:hAnsi="仿宋" w:eastAsia="仿宋" w:cs="仿宋"/>
                <w:color w:val="auto"/>
                <w:sz w:val="24"/>
                <w:szCs w:val="24"/>
                <w:highlight w:val="none"/>
              </w:rPr>
            </w:pPr>
          </w:p>
        </w:tc>
      </w:tr>
      <w:tr w14:paraId="010C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646" w:type="dxa"/>
            <w:vMerge w:val="continue"/>
            <w:noWrap w:val="0"/>
            <w:vAlign w:val="center"/>
          </w:tcPr>
          <w:p w14:paraId="44D5047B">
            <w:pPr>
              <w:kinsoku/>
              <w:overflowPunct/>
              <w:topLinePunct w:val="0"/>
              <w:bidi w:val="0"/>
              <w:snapToGrid w:val="0"/>
              <w:spacing w:line="240" w:lineRule="auto"/>
              <w:jc w:val="center"/>
              <w:rPr>
                <w:rFonts w:hint="eastAsia" w:ascii="仿宋" w:hAnsi="仿宋" w:eastAsia="仿宋" w:cs="仿宋"/>
                <w:b/>
                <w:bCs/>
                <w:color w:val="auto"/>
                <w:sz w:val="24"/>
                <w:szCs w:val="24"/>
                <w:highlight w:val="none"/>
              </w:rPr>
            </w:pPr>
          </w:p>
        </w:tc>
        <w:tc>
          <w:tcPr>
            <w:tcW w:w="457" w:type="dxa"/>
            <w:noWrap w:val="0"/>
            <w:vAlign w:val="center"/>
          </w:tcPr>
          <w:p w14:paraId="0894C099">
            <w:pPr>
              <w:widowControl/>
              <w:kinsoku/>
              <w:overflowPunct/>
              <w:topLinePunct w:val="0"/>
              <w:bidi w:val="0"/>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253" w:type="dxa"/>
            <w:noWrap w:val="0"/>
            <w:vAlign w:val="center"/>
          </w:tcPr>
          <w:p w14:paraId="42C8E3EE">
            <w:pPr>
              <w:widowControl/>
              <w:kinsoku/>
              <w:overflowPunct/>
              <w:topLinePunct w:val="0"/>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承包人应按有关规定做好文明施工、安全施工。</w:t>
            </w:r>
          </w:p>
        </w:tc>
        <w:tc>
          <w:tcPr>
            <w:tcW w:w="4122" w:type="dxa"/>
            <w:noWrap w:val="0"/>
            <w:vAlign w:val="center"/>
          </w:tcPr>
          <w:p w14:paraId="409F35F6">
            <w:pPr>
              <w:widowControl/>
              <w:numPr>
                <w:ilvl w:val="0"/>
                <w:numId w:val="0"/>
              </w:numPr>
              <w:kinsoku/>
              <w:overflowPunct/>
              <w:topLinePunct w:val="0"/>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每发现一起</w:t>
            </w:r>
            <w:r>
              <w:rPr>
                <w:rFonts w:hint="eastAsia" w:ascii="仿宋" w:hAnsi="仿宋" w:eastAsia="仿宋" w:cs="仿宋"/>
                <w:color w:val="auto"/>
                <w:sz w:val="24"/>
                <w:szCs w:val="24"/>
                <w:highlight w:val="none"/>
                <w:lang w:val="en-US" w:eastAsia="zh-CN"/>
              </w:rPr>
              <w:t>安全措施不到位</w:t>
            </w: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罚500元</w:t>
            </w:r>
            <w:r>
              <w:rPr>
                <w:rFonts w:hint="eastAsia" w:ascii="仿宋" w:hAnsi="仿宋" w:eastAsia="仿宋" w:cs="仿宋"/>
                <w:color w:val="auto"/>
                <w:sz w:val="24"/>
                <w:szCs w:val="24"/>
                <w:highlight w:val="none"/>
              </w:rPr>
              <w:t>；</w:t>
            </w:r>
          </w:p>
          <w:p w14:paraId="1FD3D02F">
            <w:pPr>
              <w:widowControl/>
              <w:numPr>
                <w:ilvl w:val="0"/>
                <w:numId w:val="0"/>
              </w:numPr>
              <w:kinsoku/>
              <w:overflowPunct/>
              <w:topLinePunct w:val="0"/>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2、因安全措施不到位</w:t>
            </w:r>
            <w:r>
              <w:rPr>
                <w:rFonts w:hint="eastAsia" w:ascii="仿宋" w:hAnsi="仿宋" w:eastAsia="仿宋" w:cs="仿宋"/>
                <w:color w:val="auto"/>
                <w:sz w:val="24"/>
                <w:szCs w:val="24"/>
                <w:highlight w:val="none"/>
              </w:rPr>
              <w:t>造成安全生产事故的，扣</w:t>
            </w:r>
            <w:r>
              <w:rPr>
                <w:rFonts w:hint="eastAsia" w:ascii="仿宋" w:hAnsi="仿宋" w:eastAsia="仿宋" w:cs="仿宋"/>
                <w:color w:val="auto"/>
                <w:sz w:val="24"/>
                <w:szCs w:val="24"/>
                <w:highlight w:val="none"/>
                <w:lang w:val="en-US" w:eastAsia="zh-CN"/>
              </w:rPr>
              <w:t>罚3000元</w:t>
            </w:r>
            <w:r>
              <w:rPr>
                <w:rFonts w:hint="eastAsia" w:ascii="仿宋" w:hAnsi="仿宋" w:eastAsia="仿宋" w:cs="仿宋"/>
                <w:color w:val="auto"/>
                <w:sz w:val="24"/>
                <w:szCs w:val="24"/>
                <w:highlight w:val="none"/>
                <w:lang w:eastAsia="zh-CN"/>
              </w:rPr>
              <w:t>；</w:t>
            </w:r>
          </w:p>
          <w:p w14:paraId="34FB73F9">
            <w:pPr>
              <w:widowControl/>
              <w:numPr>
                <w:ilvl w:val="0"/>
                <w:numId w:val="0"/>
              </w:numPr>
              <w:kinsoku/>
              <w:overflowPunct/>
              <w:topLinePunct w:val="0"/>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因野蛮施工</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造成不良社会影响的，扣</w:t>
            </w:r>
            <w:r>
              <w:rPr>
                <w:rFonts w:hint="eastAsia" w:ascii="仿宋" w:hAnsi="仿宋" w:eastAsia="仿宋" w:cs="仿宋"/>
                <w:color w:val="auto"/>
                <w:sz w:val="24"/>
                <w:szCs w:val="24"/>
                <w:highlight w:val="none"/>
                <w:lang w:val="en-US" w:eastAsia="zh-CN"/>
              </w:rPr>
              <w:t>罚5000元</w:t>
            </w:r>
            <w:r>
              <w:rPr>
                <w:rFonts w:hint="eastAsia" w:ascii="仿宋" w:hAnsi="仿宋" w:eastAsia="仿宋" w:cs="仿宋"/>
                <w:color w:val="auto"/>
                <w:sz w:val="24"/>
                <w:szCs w:val="24"/>
                <w:highlight w:val="none"/>
                <w:lang w:eastAsia="zh-CN"/>
              </w:rPr>
              <w:t>。</w:t>
            </w:r>
          </w:p>
        </w:tc>
        <w:tc>
          <w:tcPr>
            <w:tcW w:w="989" w:type="dxa"/>
            <w:noWrap w:val="0"/>
            <w:vAlign w:val="center"/>
          </w:tcPr>
          <w:p w14:paraId="4CC753C0">
            <w:pPr>
              <w:widowControl/>
              <w:kinsoku/>
              <w:overflowPunct/>
              <w:topLinePunct w:val="0"/>
              <w:bidi w:val="0"/>
              <w:spacing w:line="240" w:lineRule="auto"/>
              <w:jc w:val="left"/>
              <w:rPr>
                <w:rFonts w:hint="eastAsia" w:ascii="仿宋" w:hAnsi="仿宋" w:eastAsia="仿宋" w:cs="仿宋"/>
                <w:color w:val="auto"/>
                <w:sz w:val="24"/>
                <w:szCs w:val="24"/>
                <w:highlight w:val="none"/>
              </w:rPr>
            </w:pPr>
          </w:p>
        </w:tc>
        <w:tc>
          <w:tcPr>
            <w:tcW w:w="990" w:type="dxa"/>
            <w:noWrap w:val="0"/>
            <w:vAlign w:val="center"/>
          </w:tcPr>
          <w:p w14:paraId="4E5D29E8">
            <w:pPr>
              <w:widowControl/>
              <w:kinsoku/>
              <w:overflowPunct/>
              <w:topLinePunct w:val="0"/>
              <w:bidi w:val="0"/>
              <w:spacing w:line="240" w:lineRule="auto"/>
              <w:jc w:val="left"/>
              <w:rPr>
                <w:rFonts w:hint="eastAsia" w:ascii="仿宋" w:hAnsi="仿宋" w:eastAsia="仿宋" w:cs="仿宋"/>
                <w:color w:val="auto"/>
                <w:sz w:val="24"/>
                <w:szCs w:val="24"/>
                <w:highlight w:val="none"/>
              </w:rPr>
            </w:pPr>
          </w:p>
        </w:tc>
      </w:tr>
      <w:tr w14:paraId="00B6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46" w:type="dxa"/>
            <w:vMerge w:val="continue"/>
            <w:noWrap w:val="0"/>
            <w:vAlign w:val="center"/>
          </w:tcPr>
          <w:p w14:paraId="7B37AE29">
            <w:pPr>
              <w:kinsoku/>
              <w:overflowPunct/>
              <w:topLinePunct w:val="0"/>
              <w:bidi w:val="0"/>
              <w:snapToGrid w:val="0"/>
              <w:spacing w:line="240" w:lineRule="auto"/>
              <w:jc w:val="center"/>
              <w:rPr>
                <w:rFonts w:hint="eastAsia" w:ascii="仿宋" w:hAnsi="仿宋" w:eastAsia="仿宋" w:cs="仿宋"/>
                <w:b/>
                <w:bCs/>
                <w:color w:val="auto"/>
                <w:sz w:val="24"/>
                <w:szCs w:val="24"/>
                <w:highlight w:val="none"/>
              </w:rPr>
            </w:pPr>
          </w:p>
        </w:tc>
        <w:tc>
          <w:tcPr>
            <w:tcW w:w="457" w:type="dxa"/>
            <w:noWrap w:val="0"/>
            <w:vAlign w:val="center"/>
          </w:tcPr>
          <w:p w14:paraId="0B363FE5">
            <w:pPr>
              <w:widowControl/>
              <w:kinsoku/>
              <w:overflowPunct/>
              <w:topLinePunct w:val="0"/>
              <w:bidi w:val="0"/>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3253" w:type="dxa"/>
            <w:noWrap w:val="0"/>
            <w:vAlign w:val="center"/>
          </w:tcPr>
          <w:p w14:paraId="48F21529">
            <w:pPr>
              <w:widowControl/>
              <w:kinsoku/>
              <w:overflowPunct/>
              <w:topLinePunct w:val="0"/>
              <w:bidi w:val="0"/>
              <w:snapToGrid w:val="0"/>
              <w:spacing w:line="240" w:lineRule="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承包人需及时提交结算资料。</w:t>
            </w:r>
          </w:p>
        </w:tc>
        <w:tc>
          <w:tcPr>
            <w:tcW w:w="4122" w:type="dxa"/>
            <w:noWrap w:val="0"/>
            <w:vAlign w:val="center"/>
          </w:tcPr>
          <w:p w14:paraId="378359E7">
            <w:pPr>
              <w:widowControl/>
              <w:numPr>
                <w:ilvl w:val="0"/>
                <w:numId w:val="0"/>
              </w:numPr>
              <w:kinsoku/>
              <w:overflowPunct/>
              <w:topLinePunct w:val="0"/>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承包人在支付周期到期后28天内提交结算审核资料，逾期扣罚1000元/天。</w:t>
            </w:r>
          </w:p>
        </w:tc>
        <w:tc>
          <w:tcPr>
            <w:tcW w:w="989" w:type="dxa"/>
            <w:noWrap w:val="0"/>
            <w:vAlign w:val="center"/>
          </w:tcPr>
          <w:p w14:paraId="3F55310F">
            <w:pPr>
              <w:widowControl/>
              <w:kinsoku/>
              <w:overflowPunct/>
              <w:topLinePunct w:val="0"/>
              <w:bidi w:val="0"/>
              <w:spacing w:line="240" w:lineRule="auto"/>
              <w:jc w:val="left"/>
              <w:rPr>
                <w:rFonts w:hint="eastAsia" w:ascii="仿宋" w:hAnsi="仿宋" w:eastAsia="仿宋" w:cs="仿宋"/>
                <w:color w:val="auto"/>
                <w:sz w:val="24"/>
                <w:szCs w:val="24"/>
                <w:highlight w:val="none"/>
              </w:rPr>
            </w:pPr>
          </w:p>
        </w:tc>
        <w:tc>
          <w:tcPr>
            <w:tcW w:w="990" w:type="dxa"/>
            <w:noWrap w:val="0"/>
            <w:vAlign w:val="center"/>
          </w:tcPr>
          <w:p w14:paraId="4FFD12F8">
            <w:pPr>
              <w:widowControl/>
              <w:kinsoku/>
              <w:overflowPunct/>
              <w:topLinePunct w:val="0"/>
              <w:bidi w:val="0"/>
              <w:spacing w:line="240" w:lineRule="auto"/>
              <w:jc w:val="left"/>
              <w:rPr>
                <w:rFonts w:hint="eastAsia" w:ascii="仿宋" w:hAnsi="仿宋" w:eastAsia="仿宋" w:cs="仿宋"/>
                <w:color w:val="auto"/>
                <w:sz w:val="24"/>
                <w:szCs w:val="24"/>
                <w:highlight w:val="none"/>
              </w:rPr>
            </w:pPr>
          </w:p>
        </w:tc>
      </w:tr>
      <w:tr w14:paraId="1021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646" w:type="dxa"/>
            <w:vMerge w:val="continue"/>
            <w:noWrap w:val="0"/>
            <w:vAlign w:val="center"/>
          </w:tcPr>
          <w:p w14:paraId="74E900C5">
            <w:pPr>
              <w:kinsoku/>
              <w:overflowPunct/>
              <w:topLinePunct w:val="0"/>
              <w:bidi w:val="0"/>
              <w:snapToGrid w:val="0"/>
              <w:spacing w:line="240" w:lineRule="auto"/>
              <w:jc w:val="center"/>
              <w:rPr>
                <w:rFonts w:hint="eastAsia" w:ascii="仿宋" w:hAnsi="仿宋" w:eastAsia="仿宋" w:cs="仿宋"/>
                <w:b/>
                <w:bCs/>
                <w:color w:val="auto"/>
                <w:sz w:val="24"/>
                <w:szCs w:val="24"/>
                <w:highlight w:val="none"/>
              </w:rPr>
            </w:pPr>
          </w:p>
        </w:tc>
        <w:tc>
          <w:tcPr>
            <w:tcW w:w="457" w:type="dxa"/>
            <w:noWrap w:val="0"/>
            <w:vAlign w:val="center"/>
          </w:tcPr>
          <w:p w14:paraId="528887F6">
            <w:pPr>
              <w:widowControl/>
              <w:kinsoku/>
              <w:overflowPunct/>
              <w:topLinePunct w:val="0"/>
              <w:bidi w:val="0"/>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3253" w:type="dxa"/>
            <w:noWrap w:val="0"/>
            <w:vAlign w:val="center"/>
          </w:tcPr>
          <w:p w14:paraId="27A148AF">
            <w:pPr>
              <w:widowControl/>
              <w:numPr>
                <w:ilvl w:val="0"/>
                <w:numId w:val="0"/>
              </w:numPr>
              <w:kinsoku/>
              <w:overflowPunct/>
              <w:topLinePunct w:val="0"/>
              <w:bidi w:val="0"/>
              <w:snapToGrid w:val="0"/>
              <w:spacing w:line="240" w:lineRule="auto"/>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应急响应处置到位。</w:t>
            </w:r>
          </w:p>
        </w:tc>
        <w:tc>
          <w:tcPr>
            <w:tcW w:w="4122" w:type="dxa"/>
            <w:noWrap w:val="0"/>
            <w:vAlign w:val="center"/>
          </w:tcPr>
          <w:p w14:paraId="5AE653D1">
            <w:pPr>
              <w:widowControl/>
              <w:numPr>
                <w:ilvl w:val="0"/>
                <w:numId w:val="0"/>
              </w:numPr>
              <w:kinsoku/>
              <w:overflowPunct/>
              <w:topLinePunct w:val="0"/>
              <w:bidi w:val="0"/>
              <w:snapToGrid w:val="0"/>
              <w:spacing w:line="240" w:lineRule="auto"/>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1.人员及机械设备（如排水车、疏通车、吸污车等）未按承诺的时间和要求及时响应的，扣罚50000元/次。</w:t>
            </w:r>
          </w:p>
          <w:p w14:paraId="34F7A9EA">
            <w:pPr>
              <w:pStyle w:val="2"/>
              <w:ind w:left="0" w:leftChars="0" w:firstLine="0" w:firstLineChars="0"/>
              <w:rPr>
                <w:rFonts w:hint="default"/>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未处置到位且造成影响的，扣罚50000元/次。</w:t>
            </w:r>
          </w:p>
        </w:tc>
        <w:tc>
          <w:tcPr>
            <w:tcW w:w="989" w:type="dxa"/>
            <w:noWrap w:val="0"/>
            <w:vAlign w:val="center"/>
          </w:tcPr>
          <w:p w14:paraId="304B688F">
            <w:pPr>
              <w:widowControl/>
              <w:kinsoku/>
              <w:overflowPunct/>
              <w:topLinePunct w:val="0"/>
              <w:bidi w:val="0"/>
              <w:spacing w:line="240" w:lineRule="auto"/>
              <w:jc w:val="left"/>
              <w:rPr>
                <w:rFonts w:hint="eastAsia" w:ascii="仿宋" w:hAnsi="仿宋" w:eastAsia="仿宋" w:cs="仿宋"/>
                <w:color w:val="auto"/>
                <w:sz w:val="24"/>
                <w:szCs w:val="24"/>
                <w:highlight w:val="none"/>
              </w:rPr>
            </w:pPr>
          </w:p>
        </w:tc>
        <w:tc>
          <w:tcPr>
            <w:tcW w:w="990" w:type="dxa"/>
            <w:noWrap w:val="0"/>
            <w:vAlign w:val="center"/>
          </w:tcPr>
          <w:p w14:paraId="18891F06">
            <w:pPr>
              <w:widowControl/>
              <w:kinsoku/>
              <w:overflowPunct/>
              <w:topLinePunct w:val="0"/>
              <w:bidi w:val="0"/>
              <w:spacing w:line="240" w:lineRule="auto"/>
              <w:jc w:val="left"/>
              <w:rPr>
                <w:rFonts w:hint="eastAsia" w:ascii="仿宋" w:hAnsi="仿宋" w:eastAsia="仿宋" w:cs="仿宋"/>
                <w:color w:val="auto"/>
                <w:sz w:val="24"/>
                <w:szCs w:val="24"/>
                <w:highlight w:val="none"/>
              </w:rPr>
            </w:pPr>
          </w:p>
        </w:tc>
      </w:tr>
      <w:tr w14:paraId="362D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478" w:type="dxa"/>
            <w:gridSpan w:val="4"/>
            <w:noWrap w:val="0"/>
            <w:vAlign w:val="center"/>
          </w:tcPr>
          <w:p w14:paraId="3001467D">
            <w:pPr>
              <w:widowControl/>
              <w:numPr>
                <w:ilvl w:val="0"/>
                <w:numId w:val="0"/>
              </w:numPr>
              <w:kinsoku/>
              <w:overflowPunct/>
              <w:topLinePunct w:val="0"/>
              <w:bidi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8"/>
                <w:szCs w:val="28"/>
                <w:highlight w:val="none"/>
                <w:lang w:val="en-US" w:eastAsia="zh-CN"/>
              </w:rPr>
              <w:t>小 计</w:t>
            </w:r>
          </w:p>
        </w:tc>
        <w:tc>
          <w:tcPr>
            <w:tcW w:w="989" w:type="dxa"/>
            <w:noWrap w:val="0"/>
            <w:vAlign w:val="center"/>
          </w:tcPr>
          <w:p w14:paraId="1FAE133D">
            <w:pPr>
              <w:widowControl/>
              <w:kinsoku/>
              <w:overflowPunct/>
              <w:topLinePunct w:val="0"/>
              <w:bidi w:val="0"/>
              <w:spacing w:line="240" w:lineRule="auto"/>
              <w:jc w:val="left"/>
              <w:rPr>
                <w:rFonts w:hint="eastAsia" w:ascii="仿宋" w:hAnsi="仿宋" w:eastAsia="仿宋" w:cs="仿宋"/>
                <w:color w:val="auto"/>
                <w:sz w:val="21"/>
                <w:szCs w:val="21"/>
                <w:highlight w:val="none"/>
              </w:rPr>
            </w:pPr>
          </w:p>
        </w:tc>
        <w:tc>
          <w:tcPr>
            <w:tcW w:w="990" w:type="dxa"/>
            <w:noWrap w:val="0"/>
            <w:vAlign w:val="center"/>
          </w:tcPr>
          <w:p w14:paraId="15A4D09D">
            <w:pPr>
              <w:widowControl/>
              <w:kinsoku/>
              <w:overflowPunct/>
              <w:topLinePunct w:val="0"/>
              <w:bidi w:val="0"/>
              <w:spacing w:line="240" w:lineRule="auto"/>
              <w:jc w:val="left"/>
              <w:rPr>
                <w:rFonts w:hint="eastAsia" w:ascii="仿宋" w:hAnsi="仿宋" w:eastAsia="仿宋" w:cs="仿宋"/>
                <w:color w:val="auto"/>
                <w:sz w:val="21"/>
                <w:szCs w:val="21"/>
                <w:highlight w:val="none"/>
              </w:rPr>
            </w:pPr>
          </w:p>
        </w:tc>
      </w:tr>
      <w:tr w14:paraId="76CE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478" w:type="dxa"/>
            <w:gridSpan w:val="4"/>
            <w:noWrap w:val="0"/>
            <w:vAlign w:val="center"/>
          </w:tcPr>
          <w:p w14:paraId="1896F12B">
            <w:pPr>
              <w:widowControl/>
              <w:numPr>
                <w:ilvl w:val="0"/>
                <w:numId w:val="0"/>
              </w:numPr>
              <w:kinsoku/>
              <w:overflowPunct/>
              <w:topLinePunct w:val="0"/>
              <w:bidi w:val="0"/>
              <w:snapToGrid w:val="0"/>
              <w:spacing w:line="240" w:lineRule="auto"/>
              <w:jc w:val="both"/>
              <w:rPr>
                <w:rFonts w:hint="default"/>
                <w:color w:val="auto"/>
                <w:highlight w:val="none"/>
                <w:lang w:val="en-US" w:eastAsia="zh-CN"/>
              </w:rPr>
            </w:pPr>
            <w:r>
              <w:rPr>
                <w:rFonts w:hint="eastAsia" w:ascii="仿宋_GB2312" w:hAnsi="仿宋_GB2312" w:eastAsia="仿宋_GB2312" w:cs="仿宋_GB2312"/>
                <w:color w:val="auto"/>
                <w:sz w:val="24"/>
                <w:szCs w:val="24"/>
                <w:highlight w:val="none"/>
                <w:lang w:val="en-US" w:eastAsia="zh-CN"/>
              </w:rPr>
              <w:t>备注：</w:t>
            </w:r>
          </w:p>
        </w:tc>
        <w:tc>
          <w:tcPr>
            <w:tcW w:w="989" w:type="dxa"/>
            <w:noWrap w:val="0"/>
            <w:vAlign w:val="center"/>
          </w:tcPr>
          <w:p w14:paraId="732EAFB0">
            <w:pPr>
              <w:widowControl/>
              <w:kinsoku/>
              <w:overflowPunct/>
              <w:topLinePunct w:val="0"/>
              <w:bidi w:val="0"/>
              <w:spacing w:line="240" w:lineRule="auto"/>
              <w:jc w:val="left"/>
              <w:rPr>
                <w:rFonts w:hint="eastAsia" w:ascii="仿宋" w:hAnsi="仿宋" w:eastAsia="仿宋" w:cs="仿宋"/>
                <w:color w:val="auto"/>
                <w:sz w:val="21"/>
                <w:szCs w:val="21"/>
                <w:highlight w:val="none"/>
              </w:rPr>
            </w:pPr>
          </w:p>
        </w:tc>
        <w:tc>
          <w:tcPr>
            <w:tcW w:w="990" w:type="dxa"/>
            <w:noWrap w:val="0"/>
            <w:vAlign w:val="center"/>
          </w:tcPr>
          <w:p w14:paraId="0E78F8E8">
            <w:pPr>
              <w:widowControl/>
              <w:kinsoku/>
              <w:overflowPunct/>
              <w:topLinePunct w:val="0"/>
              <w:bidi w:val="0"/>
              <w:spacing w:line="240" w:lineRule="auto"/>
              <w:jc w:val="left"/>
              <w:rPr>
                <w:rFonts w:hint="eastAsia" w:ascii="仿宋" w:hAnsi="仿宋" w:eastAsia="仿宋" w:cs="仿宋"/>
                <w:color w:val="auto"/>
                <w:sz w:val="21"/>
                <w:szCs w:val="21"/>
                <w:highlight w:val="none"/>
              </w:rPr>
            </w:pPr>
          </w:p>
        </w:tc>
      </w:tr>
    </w:tbl>
    <w:p w14:paraId="2E1B8C16">
      <w:pPr>
        <w:pStyle w:val="31"/>
        <w:numPr>
          <w:ilvl w:val="0"/>
          <w:numId w:val="0"/>
        </w:numPr>
        <w:ind w:leftChars="0"/>
        <w:rPr>
          <w:rFonts w:hint="eastAsia" w:ascii="仿宋" w:hAnsi="仿宋" w:eastAsia="仿宋" w:cs="仿宋"/>
          <w:b/>
          <w:color w:val="auto"/>
          <w:sz w:val="24"/>
          <w:szCs w:val="24"/>
          <w:highlight w:val="none"/>
        </w:rPr>
      </w:pPr>
    </w:p>
    <w:p w14:paraId="4539C021">
      <w:pPr>
        <w:keepNext w:val="0"/>
        <w:keepLines w:val="0"/>
        <w:pageBreakBefore w:val="0"/>
        <w:widowControl w:val="0"/>
        <w:tabs>
          <w:tab w:val="left" w:pos="5925"/>
        </w:tabs>
        <w:kinsoku/>
        <w:wordWrap/>
        <w:overflowPunct/>
        <w:topLinePunct w:val="0"/>
        <w:autoSpaceDE/>
        <w:autoSpaceDN/>
        <w:bidi w:val="0"/>
        <w:adjustRightInd/>
        <w:snapToGrid/>
        <w:spacing w:line="360" w:lineRule="auto"/>
        <w:ind w:firstLine="0" w:firstLineChars="0"/>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、违约责任</w:t>
      </w:r>
    </w:p>
    <w:p w14:paraId="4A9B2651">
      <w:pPr>
        <w:keepNext w:val="0"/>
        <w:keepLines w:val="0"/>
        <w:pageBreakBefore w:val="0"/>
        <w:tabs>
          <w:tab w:val="left" w:pos="5925"/>
        </w:tabs>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在合同有效期内,服务质量达不到甲方要求的，甲方出具书面整改通知书后，乙方必须无条件整改到位。整改中所产生的一切费用由乙方负责。如整改后服务质量仍达不到甲方要求的，甲方有权单方面解除合同，并追究乙方由此给甲方带来的一切经济损失。</w:t>
      </w:r>
    </w:p>
    <w:p w14:paraId="04E6AF47">
      <w:pPr>
        <w:keepNext w:val="0"/>
        <w:keepLines w:val="0"/>
        <w:pageBreakBefore w:val="0"/>
        <w:tabs>
          <w:tab w:val="left" w:pos="5925"/>
        </w:tabs>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、因乙方原因中止或终止履行合同的，甲方就额外的损失保留索赔权利。</w:t>
      </w:r>
    </w:p>
    <w:p w14:paraId="07534B91">
      <w:pPr>
        <w:keepNext w:val="0"/>
        <w:keepLines w:val="0"/>
        <w:pageBreakBefore w:val="0"/>
        <w:widowControl w:val="0"/>
        <w:tabs>
          <w:tab w:val="left" w:pos="5925"/>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、其他事项</w:t>
      </w:r>
    </w:p>
    <w:p w14:paraId="5B389784">
      <w:pPr>
        <w:pStyle w:val="53"/>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bCs/>
          <w:color w:val="auto"/>
          <w:sz w:val="24"/>
          <w:szCs w:val="24"/>
          <w:highlight w:val="none"/>
          <w:lang w:val="en-US" w:eastAsia="zh-CN"/>
        </w:rPr>
        <w:t>中标单位须在湖州市吴兴区范围内设立项目部</w:t>
      </w:r>
      <w:r>
        <w:rPr>
          <w:rFonts w:hint="eastAsia" w:ascii="仿宋" w:hAnsi="仿宋" w:eastAsia="仿宋" w:cs="仿宋"/>
          <w:color w:val="auto"/>
          <w:kern w:val="2"/>
          <w:sz w:val="24"/>
          <w:szCs w:val="24"/>
          <w:highlight w:val="none"/>
          <w:lang w:val="en-US" w:eastAsia="zh-CN" w:bidi="ar-SA"/>
        </w:rPr>
        <w:t>（具体位置：</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），并安排项目经理等养护管理人员常驻项目部。发包人将不定期巡视项目部人员到位情况，若项目经理等主要项目组成员无特殊原因不在岗的，视情况在考核中做出相应扣罚。</w:t>
      </w:r>
    </w:p>
    <w:p w14:paraId="4695D41B">
      <w:pPr>
        <w:pStyle w:val="30"/>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2、甲方会定期或不定期进行质量检查，如发现质量问题或不满足甲方要求，乙方需立即整改，整改费用由乙方自行承担。</w:t>
      </w:r>
    </w:p>
    <w:p w14:paraId="140DA419">
      <w:pPr>
        <w:pStyle w:val="30"/>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乙方全权负责对现场文明施工进行分片包干管理，负责到位。严格执行有关文明施工的规定，不违章指挥，不蛮干。施工现场坚持工完料清，垃圾杂物集中堆放，及时处理。若违反规定、造成人身伤亡或者财产损失等，一切责任由乙方自行承担，甲方保留追究责任的权利。 </w:t>
      </w:r>
    </w:p>
    <w:p w14:paraId="63B8C95F">
      <w:pPr>
        <w:keepNext w:val="0"/>
        <w:keepLines w:val="0"/>
        <w:pageBreakBefore w:val="0"/>
        <w:tabs>
          <w:tab w:val="left" w:pos="5925"/>
        </w:tabs>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4、乙方须确保有限空间作业人员等本项目所有作业人员及第三人生命财产安全,产生的各类安全问题,由乙方自行负责。</w:t>
      </w:r>
    </w:p>
    <w:p w14:paraId="50175AD0">
      <w:pPr>
        <w:keepNext w:val="0"/>
        <w:keepLines w:val="0"/>
        <w:pageBreakBefore w:val="0"/>
        <w:tabs>
          <w:tab w:val="left" w:pos="5925"/>
        </w:tabs>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5、本项目所有作业人员，在作业期间及之余应严格遵守劳动纪律，遵守安全操作规程，确保安全。如发生各种意外事故均由乙方依照法律法规妥善处理，甲方对此不承担任何法律责任。</w:t>
      </w:r>
    </w:p>
    <w:p w14:paraId="67DD7FBA">
      <w:pPr>
        <w:keepNext w:val="0"/>
        <w:keepLines w:val="0"/>
        <w:pageBreakBefore w:val="0"/>
        <w:tabs>
          <w:tab w:val="left" w:pos="5925"/>
        </w:tabs>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6、乙方须给所有作业人员购买社保和人身意外保险，如在合同期内发生意外伤人事故的，则由乙方全权负责。</w:t>
      </w:r>
    </w:p>
    <w:p w14:paraId="55A74BA7">
      <w:pPr>
        <w:keepNext w:val="0"/>
        <w:keepLines w:val="0"/>
        <w:pageBreakBefore w:val="0"/>
        <w:tabs>
          <w:tab w:val="left" w:pos="5925"/>
        </w:tabs>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7、如遇群体性等事件涉及乙方管理、处置未到位的，或者多次举报查证甲方发出警告还未能整改到位的等情况，甲方有权单方面解除合同，并有权要求乙方清退出场，所造成的损失由乙方承担。</w:t>
      </w:r>
    </w:p>
    <w:p w14:paraId="3DC8354B">
      <w:pPr>
        <w:keepNext w:val="0"/>
        <w:keepLines w:val="0"/>
        <w:pageBreakBefore w:val="0"/>
        <w:tabs>
          <w:tab w:val="left" w:pos="5925"/>
        </w:tabs>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8、招标文件、乙方投标文件及相关补充协议、澄清文件、承诺等均作为本合同不可分割的一部分，甲方有权要求乙方依照上述文件履行。</w:t>
      </w:r>
    </w:p>
    <w:p w14:paraId="3E120085">
      <w:pPr>
        <w:keepNext w:val="0"/>
        <w:keepLines w:val="0"/>
        <w:pageBreakBefore w:val="0"/>
        <w:widowControl w:val="0"/>
        <w:tabs>
          <w:tab w:val="left" w:pos="5925"/>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、争议解决</w:t>
      </w:r>
    </w:p>
    <w:p w14:paraId="569BC39C">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本合同在履行过程中如发生争议，甲乙双方应友好协调解决。协商不成，可依法向吴兴区人民法院提请诉讼。</w:t>
      </w:r>
    </w:p>
    <w:p w14:paraId="45BA110A">
      <w:pPr>
        <w:keepNext w:val="0"/>
        <w:keepLines w:val="0"/>
        <w:pageBreakBefore w:val="0"/>
        <w:widowControl w:val="0"/>
        <w:tabs>
          <w:tab w:val="left" w:pos="5925"/>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、附则</w:t>
      </w:r>
    </w:p>
    <w:p w14:paraId="3A24F76A">
      <w:pPr>
        <w:keepNext w:val="0"/>
        <w:keepLines w:val="0"/>
        <w:pageBreakBefore w:val="0"/>
        <w:tabs>
          <w:tab w:val="left" w:pos="5925"/>
        </w:tabs>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1、如联合体形式投保，乙方须将联合体协议书正本抄送甲方一份。</w:t>
      </w:r>
    </w:p>
    <w:p w14:paraId="241352BD">
      <w:pPr>
        <w:keepNext w:val="0"/>
        <w:keepLines w:val="0"/>
        <w:pageBreakBefore w:val="0"/>
        <w:tabs>
          <w:tab w:val="left" w:pos="5925"/>
        </w:tabs>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2、本合同自甲乙双方签字盖章之日起生效。</w:t>
      </w:r>
    </w:p>
    <w:p w14:paraId="6A3E772D">
      <w:pPr>
        <w:keepNext w:val="0"/>
        <w:keepLines w:val="0"/>
        <w:pageBreakBefore w:val="0"/>
        <w:tabs>
          <w:tab w:val="left" w:pos="5925"/>
        </w:tabs>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3、本合同中未尽事宜，经双方协商可另附条款，效力等同于本合同。</w:t>
      </w:r>
    </w:p>
    <w:p w14:paraId="323D9772">
      <w:pPr>
        <w:keepNext w:val="0"/>
        <w:keepLines w:val="0"/>
        <w:pageBreakBefore w:val="0"/>
        <w:tabs>
          <w:tab w:val="left" w:pos="5925"/>
        </w:tabs>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4、本合同一式</w:t>
      </w:r>
      <w:r>
        <w:rPr>
          <w:rFonts w:hint="eastAsia" w:ascii="仿宋" w:hAnsi="仿宋" w:eastAsia="仿宋" w:cs="仿宋"/>
          <w:color w:val="auto"/>
          <w:sz w:val="24"/>
          <w:szCs w:val="24"/>
          <w:highlight w:val="none"/>
          <w:lang w:eastAsia="zh-CN"/>
        </w:rPr>
        <w:t>肆</w:t>
      </w:r>
      <w:r>
        <w:rPr>
          <w:rFonts w:hint="eastAsia" w:ascii="仿宋" w:hAnsi="仿宋" w:eastAsia="仿宋" w:cs="仿宋"/>
          <w:color w:val="auto"/>
          <w:sz w:val="24"/>
          <w:szCs w:val="24"/>
          <w:highlight w:val="none"/>
        </w:rPr>
        <w:t>份，具有同等法律效力，甲乙双方各执</w:t>
      </w:r>
      <w:r>
        <w:rPr>
          <w:rFonts w:hint="eastAsia" w:ascii="仿宋" w:hAnsi="仿宋" w:eastAsia="仿宋" w:cs="仿宋"/>
          <w:color w:val="auto"/>
          <w:sz w:val="24"/>
          <w:szCs w:val="24"/>
          <w:highlight w:val="none"/>
          <w:lang w:eastAsia="zh-CN"/>
        </w:rPr>
        <w:t>贰</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w:t>
      </w:r>
    </w:p>
    <w:p w14:paraId="75F01357">
      <w:pPr>
        <w:pStyle w:val="30"/>
        <w:rPr>
          <w:rFonts w:ascii="仿宋" w:hAnsi="仿宋" w:eastAsia="仿宋" w:cs="仿宋"/>
          <w:color w:val="auto"/>
          <w:sz w:val="24"/>
          <w:highlight w:val="none"/>
        </w:rPr>
      </w:pPr>
    </w:p>
    <w:p w14:paraId="67C717E7">
      <w:pPr>
        <w:pStyle w:val="30"/>
        <w:rPr>
          <w:rFonts w:ascii="仿宋" w:hAnsi="仿宋" w:eastAsia="仿宋" w:cs="仿宋"/>
          <w:color w:val="auto"/>
          <w:sz w:val="24"/>
          <w:highlight w:val="none"/>
        </w:rPr>
      </w:pPr>
    </w:p>
    <w:p w14:paraId="3BFC5202">
      <w:pPr>
        <w:pStyle w:val="30"/>
        <w:rPr>
          <w:rFonts w:ascii="仿宋" w:hAnsi="仿宋" w:eastAsia="仿宋" w:cs="仿宋"/>
          <w:color w:val="auto"/>
          <w:sz w:val="24"/>
          <w:highlight w:val="none"/>
        </w:rPr>
      </w:pPr>
    </w:p>
    <w:p w14:paraId="61A0CBD9">
      <w:pPr>
        <w:pStyle w:val="13"/>
        <w:spacing w:line="480" w:lineRule="exact"/>
        <w:rPr>
          <w:rFonts w:ascii="仿宋" w:hAnsi="仿宋" w:eastAsia="仿宋" w:cs="仿宋"/>
          <w:bCs/>
          <w:color w:val="auto"/>
          <w:highlight w:val="none"/>
        </w:rPr>
      </w:pPr>
      <w:r>
        <w:rPr>
          <w:rFonts w:hint="eastAsia" w:ascii="仿宋" w:hAnsi="仿宋" w:eastAsia="仿宋" w:cs="仿宋"/>
          <w:bCs/>
          <w:color w:val="auto"/>
          <w:highlight w:val="none"/>
        </w:rPr>
        <w:t>甲方</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 xml:space="preserve">盖章）：         </w:t>
      </w:r>
      <w:r>
        <w:rPr>
          <w:rFonts w:hint="eastAsia" w:ascii="仿宋" w:hAnsi="仿宋" w:eastAsia="仿宋" w:cs="仿宋"/>
          <w:bCs/>
          <w:color w:val="auto"/>
          <w:highlight w:val="none"/>
          <w:lang w:val="en-US" w:eastAsia="zh-CN"/>
        </w:rPr>
        <w:t xml:space="preserve">     </w:t>
      </w:r>
      <w:r>
        <w:rPr>
          <w:rFonts w:hint="eastAsia" w:ascii="仿宋" w:hAnsi="仿宋" w:eastAsia="仿宋" w:cs="仿宋"/>
          <w:bCs/>
          <w:color w:val="auto"/>
          <w:highlight w:val="none"/>
        </w:rPr>
        <w:t>乙方</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如联合体，则牵头及成员单位均盖章签字）：</w:t>
      </w:r>
    </w:p>
    <w:p w14:paraId="6E9E154E">
      <w:pPr>
        <w:pStyle w:val="13"/>
        <w:spacing w:line="480" w:lineRule="exact"/>
        <w:rPr>
          <w:rFonts w:ascii="仿宋" w:hAnsi="仿宋" w:eastAsia="仿宋" w:cs="仿宋"/>
          <w:bCs/>
          <w:color w:val="auto"/>
          <w:highlight w:val="none"/>
        </w:rPr>
      </w:pPr>
      <w:r>
        <w:rPr>
          <w:rFonts w:hint="eastAsia" w:ascii="仿宋" w:hAnsi="仿宋" w:eastAsia="仿宋" w:cs="仿宋"/>
          <w:bCs/>
          <w:color w:val="auto"/>
          <w:highlight w:val="none"/>
        </w:rPr>
        <w:t>法定代表人/授权代表：       法定代表人/授权代表：</w:t>
      </w:r>
    </w:p>
    <w:p w14:paraId="36DEBC8C">
      <w:pPr>
        <w:pStyle w:val="13"/>
        <w:spacing w:line="480" w:lineRule="exact"/>
        <w:rPr>
          <w:rFonts w:ascii="仿宋" w:hAnsi="仿宋" w:eastAsia="仿宋" w:cs="仿宋"/>
          <w:bCs/>
          <w:color w:val="auto"/>
          <w:highlight w:val="none"/>
        </w:rPr>
      </w:pPr>
      <w:r>
        <w:rPr>
          <w:rFonts w:hint="eastAsia" w:ascii="仿宋" w:hAnsi="仿宋" w:eastAsia="仿宋" w:cs="仿宋"/>
          <w:bCs/>
          <w:color w:val="auto"/>
          <w:highlight w:val="none"/>
        </w:rPr>
        <w:t xml:space="preserve">联系电话：  </w:t>
      </w:r>
      <w:r>
        <w:rPr>
          <w:rFonts w:hint="eastAsia" w:ascii="仿宋" w:hAnsi="仿宋" w:eastAsia="仿宋" w:cs="仿宋"/>
          <w:bCs/>
          <w:color w:val="auto"/>
          <w:highlight w:val="none"/>
          <w:lang w:val="en-US" w:eastAsia="zh-CN"/>
        </w:rPr>
        <w:t xml:space="preserve">                </w:t>
      </w:r>
      <w:r>
        <w:rPr>
          <w:rFonts w:hint="eastAsia" w:ascii="仿宋" w:hAnsi="仿宋" w:eastAsia="仿宋" w:cs="仿宋"/>
          <w:bCs/>
          <w:color w:val="auto"/>
          <w:highlight w:val="none"/>
        </w:rPr>
        <w:t>联系电话：</w:t>
      </w:r>
    </w:p>
    <w:p w14:paraId="50AFBE2F">
      <w:pPr>
        <w:pStyle w:val="13"/>
        <w:spacing w:line="480" w:lineRule="exact"/>
        <w:rPr>
          <w:rFonts w:ascii="仿宋" w:hAnsi="仿宋" w:eastAsia="仿宋" w:cs="仿宋"/>
          <w:bCs/>
          <w:color w:val="auto"/>
          <w:highlight w:val="none"/>
        </w:rPr>
      </w:pPr>
      <w:r>
        <w:rPr>
          <w:rFonts w:hint="eastAsia" w:ascii="仿宋" w:hAnsi="仿宋" w:eastAsia="仿宋" w:cs="仿宋"/>
          <w:bCs/>
          <w:color w:val="auto"/>
          <w:highlight w:val="none"/>
        </w:rPr>
        <w:t>开户行：</w:t>
      </w:r>
      <w:r>
        <w:rPr>
          <w:rFonts w:hint="eastAsia" w:ascii="仿宋" w:hAnsi="仿宋" w:eastAsia="仿宋" w:cs="仿宋"/>
          <w:bCs/>
          <w:color w:val="auto"/>
          <w:highlight w:val="none"/>
          <w:lang w:val="en-US" w:eastAsia="zh-CN"/>
        </w:rPr>
        <w:t xml:space="preserve">                    </w:t>
      </w:r>
      <w:r>
        <w:rPr>
          <w:rFonts w:hint="eastAsia" w:ascii="仿宋" w:hAnsi="仿宋" w:eastAsia="仿宋" w:cs="仿宋"/>
          <w:bCs/>
          <w:color w:val="auto"/>
          <w:highlight w:val="none"/>
        </w:rPr>
        <w:t>开户行：</w:t>
      </w:r>
    </w:p>
    <w:p w14:paraId="70CCAC19">
      <w:pPr>
        <w:pStyle w:val="13"/>
        <w:spacing w:line="480" w:lineRule="exact"/>
        <w:rPr>
          <w:rFonts w:ascii="仿宋" w:hAnsi="仿宋" w:eastAsia="仿宋" w:cs="仿宋"/>
          <w:bCs/>
          <w:color w:val="auto"/>
          <w:highlight w:val="none"/>
        </w:rPr>
      </w:pPr>
      <w:r>
        <w:rPr>
          <w:rFonts w:hint="eastAsia" w:ascii="仿宋" w:hAnsi="仿宋" w:eastAsia="仿宋" w:cs="仿宋"/>
          <w:bCs/>
          <w:color w:val="auto"/>
          <w:highlight w:val="none"/>
        </w:rPr>
        <w:t xml:space="preserve">账号：  </w:t>
      </w:r>
      <w:r>
        <w:rPr>
          <w:rFonts w:hint="eastAsia" w:ascii="仿宋" w:hAnsi="仿宋" w:eastAsia="仿宋" w:cs="仿宋"/>
          <w:bCs/>
          <w:color w:val="auto"/>
          <w:highlight w:val="none"/>
          <w:lang w:val="en-US" w:eastAsia="zh-CN"/>
        </w:rPr>
        <w:t xml:space="preserve">                    </w:t>
      </w:r>
      <w:r>
        <w:rPr>
          <w:rFonts w:hint="eastAsia" w:ascii="仿宋" w:hAnsi="仿宋" w:eastAsia="仿宋" w:cs="仿宋"/>
          <w:bCs/>
          <w:color w:val="auto"/>
          <w:highlight w:val="none"/>
        </w:rPr>
        <w:t>账号：</w:t>
      </w:r>
    </w:p>
    <w:p w14:paraId="55EB1BDA">
      <w:pPr>
        <w:pStyle w:val="4"/>
        <w:keepNext w:val="0"/>
        <w:pageBreakBefore/>
        <w:spacing w:line="360" w:lineRule="auto"/>
        <w:rPr>
          <w:rFonts w:ascii="仿宋" w:hAnsi="仿宋" w:eastAsia="仿宋" w:cs="仿宋"/>
          <w:color w:val="auto"/>
          <w:sz w:val="32"/>
          <w:highlight w:val="none"/>
        </w:rPr>
      </w:pPr>
      <w:r>
        <w:rPr>
          <w:rFonts w:hint="eastAsia" w:ascii="仿宋" w:hAnsi="仿宋" w:eastAsia="仿宋" w:cs="仿宋"/>
          <w:color w:val="auto"/>
          <w:sz w:val="32"/>
          <w:highlight w:val="none"/>
        </w:rPr>
        <w:t>第六章 投标格式</w:t>
      </w:r>
      <w:bookmarkEnd w:id="53"/>
      <w:bookmarkEnd w:id="54"/>
      <w:bookmarkEnd w:id="55"/>
    </w:p>
    <w:p w14:paraId="58B61EC2">
      <w:pPr>
        <w:pStyle w:val="33"/>
        <w:rPr>
          <w:rFonts w:ascii="仿宋" w:hAnsi="仿宋" w:eastAsia="仿宋" w:cs="仿宋"/>
          <w:color w:val="auto"/>
          <w:sz w:val="28"/>
          <w:szCs w:val="28"/>
          <w:highlight w:val="none"/>
        </w:rPr>
      </w:pPr>
    </w:p>
    <w:p w14:paraId="46CE5322">
      <w:pPr>
        <w:snapToGrid w:val="0"/>
        <w:spacing w:before="50" w:after="50" w:line="360" w:lineRule="auto"/>
        <w:outlineLvl w:val="1"/>
        <w:rPr>
          <w:rFonts w:ascii="仿宋" w:hAnsi="仿宋" w:eastAsia="仿宋" w:cs="仿宋"/>
          <w:color w:val="auto"/>
          <w:sz w:val="24"/>
          <w:szCs w:val="28"/>
          <w:highlight w:val="none"/>
        </w:rPr>
      </w:pPr>
      <w:bookmarkStart w:id="61" w:name="_Toc5005"/>
      <w:r>
        <w:rPr>
          <w:rFonts w:hint="eastAsia" w:ascii="仿宋" w:hAnsi="仿宋" w:eastAsia="仿宋" w:cs="仿宋"/>
          <w:color w:val="auto"/>
          <w:sz w:val="24"/>
          <w:szCs w:val="28"/>
          <w:highlight w:val="none"/>
        </w:rPr>
        <w:t>1、资格文件目录</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具体参考第三章投标人须知</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投标文件的组成</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w:t>
      </w:r>
      <w:bookmarkEnd w:id="61"/>
    </w:p>
    <w:p w14:paraId="6252BED1">
      <w:pPr>
        <w:snapToGrid w:val="0"/>
        <w:spacing w:before="50" w:after="50" w:line="360" w:lineRule="auto"/>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w:t>
      </w:r>
    </w:p>
    <w:p w14:paraId="455DA7E7">
      <w:pPr>
        <w:snapToGrid w:val="0"/>
        <w:spacing w:before="50" w:after="50" w:line="360" w:lineRule="auto"/>
        <w:rPr>
          <w:rFonts w:ascii="仿宋" w:hAnsi="仿宋" w:eastAsia="仿宋" w:cs="仿宋"/>
          <w:color w:val="auto"/>
          <w:sz w:val="24"/>
          <w:szCs w:val="28"/>
          <w:highlight w:val="none"/>
        </w:rPr>
      </w:pPr>
    </w:p>
    <w:p w14:paraId="5EB36177">
      <w:pPr>
        <w:snapToGrid w:val="0"/>
        <w:spacing w:before="50" w:after="50" w:line="360" w:lineRule="auto"/>
        <w:rPr>
          <w:rFonts w:ascii="仿宋" w:hAnsi="仿宋" w:eastAsia="仿宋" w:cs="仿宋"/>
          <w:color w:val="auto"/>
          <w:szCs w:val="28"/>
          <w:highlight w:val="none"/>
        </w:rPr>
      </w:pPr>
    </w:p>
    <w:p w14:paraId="2B8E9860">
      <w:pPr>
        <w:snapToGrid w:val="0"/>
        <w:spacing w:before="50" w:after="50" w:line="360" w:lineRule="auto"/>
        <w:rPr>
          <w:rFonts w:ascii="仿宋" w:hAnsi="仿宋" w:eastAsia="仿宋" w:cs="仿宋"/>
          <w:color w:val="auto"/>
          <w:sz w:val="24"/>
          <w:szCs w:val="28"/>
          <w:highlight w:val="none"/>
        </w:rPr>
      </w:pPr>
      <w:r>
        <w:rPr>
          <w:rFonts w:hint="eastAsia" w:ascii="仿宋" w:hAnsi="仿宋" w:eastAsia="仿宋" w:cs="仿宋"/>
          <w:color w:val="auto"/>
          <w:szCs w:val="28"/>
          <w:highlight w:val="none"/>
        </w:rPr>
        <w:t>2、</w:t>
      </w:r>
      <w:r>
        <w:rPr>
          <w:rFonts w:hint="eastAsia" w:ascii="仿宋" w:hAnsi="仿宋" w:eastAsia="仿宋" w:cs="仿宋"/>
          <w:color w:val="auto"/>
          <w:sz w:val="24"/>
          <w:szCs w:val="28"/>
          <w:highlight w:val="none"/>
        </w:rPr>
        <w:t>技术、商务、资信及其他文件目录</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具体参考第三章投标人须知</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投标文件的组成</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w:t>
      </w:r>
    </w:p>
    <w:p w14:paraId="27FA9B61">
      <w:pPr>
        <w:snapToGrid w:val="0"/>
        <w:spacing w:before="50" w:after="50" w:line="360" w:lineRule="auto"/>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w:t>
      </w:r>
    </w:p>
    <w:p w14:paraId="35857C9D">
      <w:pPr>
        <w:snapToGrid w:val="0"/>
        <w:spacing w:before="50" w:after="50" w:line="360" w:lineRule="auto"/>
        <w:rPr>
          <w:rFonts w:ascii="仿宋" w:hAnsi="仿宋" w:eastAsia="仿宋" w:cs="仿宋"/>
          <w:color w:val="auto"/>
          <w:szCs w:val="28"/>
          <w:highlight w:val="none"/>
        </w:rPr>
      </w:pPr>
    </w:p>
    <w:p w14:paraId="49EDB493">
      <w:pPr>
        <w:snapToGrid w:val="0"/>
        <w:spacing w:before="50" w:after="50" w:line="360" w:lineRule="auto"/>
        <w:rPr>
          <w:rFonts w:ascii="仿宋" w:hAnsi="仿宋" w:eastAsia="仿宋" w:cs="仿宋"/>
          <w:color w:val="auto"/>
          <w:szCs w:val="28"/>
          <w:highlight w:val="none"/>
        </w:rPr>
      </w:pPr>
    </w:p>
    <w:p w14:paraId="3FE3DB37">
      <w:pPr>
        <w:snapToGrid w:val="0"/>
        <w:spacing w:before="50" w:after="50" w:line="360" w:lineRule="auto"/>
        <w:outlineLvl w:val="1"/>
        <w:rPr>
          <w:rFonts w:ascii="仿宋" w:hAnsi="仿宋" w:eastAsia="仿宋" w:cs="仿宋"/>
          <w:color w:val="auto"/>
          <w:sz w:val="24"/>
          <w:szCs w:val="28"/>
          <w:highlight w:val="none"/>
        </w:rPr>
      </w:pPr>
      <w:bookmarkStart w:id="62" w:name="_Toc4687"/>
      <w:r>
        <w:rPr>
          <w:rFonts w:hint="eastAsia" w:ascii="仿宋" w:hAnsi="仿宋" w:eastAsia="仿宋" w:cs="仿宋"/>
          <w:color w:val="auto"/>
          <w:sz w:val="24"/>
          <w:szCs w:val="28"/>
          <w:highlight w:val="none"/>
        </w:rPr>
        <w:t>3、报价文件目录</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具体参考第三章投标人须知</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投标文件的组成</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w:t>
      </w:r>
      <w:bookmarkEnd w:id="62"/>
    </w:p>
    <w:p w14:paraId="44CAF96A">
      <w:pPr>
        <w:snapToGrid w:val="0"/>
        <w:spacing w:before="50" w:after="50" w:line="360" w:lineRule="auto"/>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w:t>
      </w:r>
    </w:p>
    <w:p w14:paraId="6A55E4DF">
      <w:pPr>
        <w:snapToGrid w:val="0"/>
        <w:spacing w:before="50" w:afterLines="50" w:line="360" w:lineRule="auto"/>
        <w:jc w:val="left"/>
        <w:rPr>
          <w:rFonts w:ascii="仿宋" w:hAnsi="仿宋" w:eastAsia="仿宋" w:cs="仿宋"/>
          <w:color w:val="auto"/>
          <w:szCs w:val="28"/>
          <w:highlight w:val="none"/>
        </w:rPr>
      </w:pPr>
    </w:p>
    <w:p w14:paraId="7729DFDA">
      <w:pPr>
        <w:snapToGrid w:val="0"/>
        <w:spacing w:before="50" w:afterLines="50" w:line="360" w:lineRule="auto"/>
        <w:jc w:val="left"/>
        <w:rPr>
          <w:rFonts w:ascii="仿宋" w:hAnsi="仿宋" w:eastAsia="仿宋" w:cs="仿宋"/>
          <w:color w:val="auto"/>
          <w:szCs w:val="28"/>
          <w:highlight w:val="none"/>
        </w:rPr>
      </w:pPr>
    </w:p>
    <w:p w14:paraId="30AE4589">
      <w:pPr>
        <w:snapToGrid w:val="0"/>
        <w:spacing w:before="50" w:afterLines="5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本章仅提供部分标准通用表格，具体格式内容请参照本投标文件中对投标文件编制要求）</w:t>
      </w:r>
    </w:p>
    <w:p w14:paraId="473FAEB3">
      <w:pPr>
        <w:pStyle w:val="12"/>
        <w:ind w:left="0"/>
        <w:rPr>
          <w:rFonts w:ascii="仿宋" w:hAnsi="仿宋" w:eastAsia="仿宋" w:cs="仿宋"/>
          <w:color w:val="auto"/>
          <w:highlight w:val="none"/>
        </w:rPr>
      </w:pPr>
    </w:p>
    <w:p w14:paraId="58CE2929">
      <w:pPr>
        <w:pStyle w:val="12"/>
        <w:ind w:left="0"/>
        <w:rPr>
          <w:rFonts w:ascii="仿宋" w:hAnsi="仿宋" w:eastAsia="仿宋" w:cs="仿宋"/>
          <w:color w:val="auto"/>
          <w:highlight w:val="none"/>
        </w:rPr>
      </w:pPr>
    </w:p>
    <w:p w14:paraId="58CB188E">
      <w:pPr>
        <w:pStyle w:val="12"/>
        <w:ind w:left="0"/>
        <w:rPr>
          <w:rFonts w:ascii="仿宋" w:hAnsi="仿宋" w:eastAsia="仿宋" w:cs="仿宋"/>
          <w:color w:val="auto"/>
          <w:highlight w:val="none"/>
        </w:rPr>
      </w:pPr>
    </w:p>
    <w:p w14:paraId="72BFD074">
      <w:pPr>
        <w:pStyle w:val="12"/>
        <w:ind w:left="0"/>
        <w:rPr>
          <w:rFonts w:ascii="仿宋" w:hAnsi="仿宋" w:eastAsia="仿宋" w:cs="仿宋"/>
          <w:color w:val="auto"/>
          <w:highlight w:val="none"/>
        </w:rPr>
      </w:pPr>
    </w:p>
    <w:p w14:paraId="29948926">
      <w:pPr>
        <w:pStyle w:val="12"/>
        <w:ind w:left="0"/>
        <w:rPr>
          <w:rFonts w:ascii="仿宋" w:hAnsi="仿宋" w:eastAsia="仿宋" w:cs="仿宋"/>
          <w:color w:val="auto"/>
          <w:highlight w:val="none"/>
        </w:rPr>
      </w:pPr>
    </w:p>
    <w:p w14:paraId="73D9CDE7">
      <w:pPr>
        <w:pStyle w:val="12"/>
        <w:ind w:left="0"/>
        <w:rPr>
          <w:rFonts w:ascii="仿宋" w:hAnsi="仿宋" w:eastAsia="仿宋" w:cs="仿宋"/>
          <w:color w:val="auto"/>
          <w:highlight w:val="none"/>
        </w:rPr>
      </w:pPr>
    </w:p>
    <w:p w14:paraId="2E5612D6">
      <w:pPr>
        <w:pStyle w:val="12"/>
        <w:ind w:left="0"/>
        <w:rPr>
          <w:rFonts w:ascii="仿宋" w:hAnsi="仿宋" w:eastAsia="仿宋" w:cs="仿宋"/>
          <w:color w:val="auto"/>
          <w:highlight w:val="none"/>
        </w:rPr>
      </w:pPr>
    </w:p>
    <w:p w14:paraId="167965C3">
      <w:pPr>
        <w:pStyle w:val="12"/>
        <w:ind w:left="0"/>
        <w:rPr>
          <w:rFonts w:ascii="仿宋" w:hAnsi="仿宋" w:eastAsia="仿宋" w:cs="仿宋"/>
          <w:color w:val="auto"/>
          <w:highlight w:val="none"/>
        </w:rPr>
      </w:pPr>
    </w:p>
    <w:p w14:paraId="1527C451">
      <w:pPr>
        <w:pStyle w:val="12"/>
        <w:ind w:left="0"/>
        <w:rPr>
          <w:rFonts w:ascii="仿宋" w:hAnsi="仿宋" w:eastAsia="仿宋" w:cs="仿宋"/>
          <w:color w:val="auto"/>
          <w:highlight w:val="none"/>
        </w:rPr>
      </w:pPr>
    </w:p>
    <w:p w14:paraId="50A78840">
      <w:pPr>
        <w:pStyle w:val="12"/>
        <w:ind w:left="0"/>
        <w:rPr>
          <w:rFonts w:ascii="仿宋" w:hAnsi="仿宋" w:eastAsia="仿宋" w:cs="仿宋"/>
          <w:color w:val="auto"/>
          <w:highlight w:val="none"/>
        </w:rPr>
      </w:pPr>
    </w:p>
    <w:p w14:paraId="6E6A5DCD">
      <w:pPr>
        <w:pStyle w:val="12"/>
        <w:ind w:left="0"/>
        <w:rPr>
          <w:rFonts w:ascii="仿宋" w:hAnsi="仿宋" w:eastAsia="仿宋" w:cs="仿宋"/>
          <w:color w:val="auto"/>
          <w:highlight w:val="none"/>
        </w:rPr>
      </w:pPr>
    </w:p>
    <w:p w14:paraId="3A51CD0E">
      <w:pPr>
        <w:pStyle w:val="12"/>
        <w:ind w:left="0"/>
        <w:rPr>
          <w:rFonts w:ascii="仿宋" w:hAnsi="仿宋" w:eastAsia="仿宋" w:cs="仿宋"/>
          <w:color w:val="auto"/>
          <w:highlight w:val="none"/>
        </w:rPr>
      </w:pPr>
    </w:p>
    <w:p w14:paraId="611FA925">
      <w:pPr>
        <w:pStyle w:val="12"/>
        <w:ind w:left="0"/>
        <w:rPr>
          <w:rFonts w:ascii="仿宋" w:hAnsi="仿宋" w:eastAsia="仿宋" w:cs="仿宋"/>
          <w:color w:val="auto"/>
          <w:highlight w:val="none"/>
        </w:rPr>
      </w:pPr>
    </w:p>
    <w:p w14:paraId="351CC52D">
      <w:pPr>
        <w:pStyle w:val="12"/>
        <w:ind w:left="0"/>
        <w:rPr>
          <w:rFonts w:ascii="仿宋" w:hAnsi="仿宋" w:eastAsia="仿宋" w:cs="仿宋"/>
          <w:color w:val="auto"/>
          <w:highlight w:val="none"/>
        </w:rPr>
      </w:pPr>
    </w:p>
    <w:p w14:paraId="3BF6D185">
      <w:pPr>
        <w:pStyle w:val="12"/>
        <w:ind w:left="0"/>
        <w:rPr>
          <w:rFonts w:ascii="仿宋" w:hAnsi="仿宋" w:eastAsia="仿宋" w:cs="仿宋"/>
          <w:color w:val="auto"/>
          <w:highlight w:val="none"/>
        </w:rPr>
      </w:pPr>
    </w:p>
    <w:p w14:paraId="4D4E4864">
      <w:pPr>
        <w:snapToGrid w:val="0"/>
        <w:spacing w:beforeLines="50" w:after="50" w:line="400" w:lineRule="exact"/>
        <w:jc w:val="center"/>
        <w:outlineLvl w:val="1"/>
        <w:rPr>
          <w:rFonts w:hint="eastAsia" w:ascii="仿宋" w:hAnsi="仿宋" w:eastAsia="仿宋" w:cs="仿宋"/>
          <w:b/>
          <w:color w:val="auto"/>
          <w:sz w:val="28"/>
          <w:szCs w:val="28"/>
          <w:highlight w:val="none"/>
        </w:rPr>
      </w:pPr>
      <w:bookmarkStart w:id="63" w:name="_Toc23"/>
    </w:p>
    <w:p w14:paraId="6C9FB6E1">
      <w:pPr>
        <w:keepNext w:val="0"/>
        <w:keepLines w:val="0"/>
        <w:pageBreakBefore w:val="0"/>
        <w:widowControl w:val="0"/>
        <w:kinsoku/>
        <w:wordWrap/>
        <w:overflowPunct/>
        <w:topLinePunct w:val="0"/>
        <w:autoSpaceDE/>
        <w:autoSpaceDN/>
        <w:bidi w:val="0"/>
        <w:adjustRightInd/>
        <w:snapToGrid w:val="0"/>
        <w:spacing w:beforeLines="50" w:after="50" w:line="600" w:lineRule="exact"/>
        <w:jc w:val="center"/>
        <w:textAlignment w:val="auto"/>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一、有效的营业执照、税务登记证、组织机构代码证或</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三证合一</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的营业执照或</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五证合一</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的营业执照</w:t>
      </w:r>
      <w:bookmarkEnd w:id="63"/>
    </w:p>
    <w:p w14:paraId="4B0D46FF">
      <w:pPr>
        <w:widowControl/>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br w:type="page"/>
      </w:r>
    </w:p>
    <w:p w14:paraId="4CA504C8">
      <w:pPr>
        <w:snapToGrid w:val="0"/>
        <w:spacing w:beforeLines="50" w:after="50" w:line="400" w:lineRule="exact"/>
        <w:jc w:val="center"/>
        <w:outlineLvl w:val="1"/>
        <w:rPr>
          <w:rFonts w:hint="eastAsia" w:ascii="仿宋" w:hAnsi="仿宋" w:eastAsia="仿宋" w:cs="仿宋"/>
          <w:b/>
          <w:color w:val="auto"/>
          <w:sz w:val="28"/>
          <w:szCs w:val="28"/>
          <w:highlight w:val="none"/>
        </w:rPr>
      </w:pPr>
      <w:bookmarkStart w:id="64" w:name="_Toc26443"/>
    </w:p>
    <w:p w14:paraId="653C75BA">
      <w:pPr>
        <w:snapToGrid w:val="0"/>
        <w:spacing w:beforeLines="50" w:after="50" w:line="4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二、法定代表人有效身份证明书</w:t>
      </w:r>
      <w:bookmarkEnd w:id="64"/>
    </w:p>
    <w:p w14:paraId="02246127">
      <w:pPr>
        <w:pStyle w:val="12"/>
        <w:rPr>
          <w:rFonts w:ascii="仿宋" w:hAnsi="仿宋" w:eastAsia="仿宋" w:cs="仿宋"/>
          <w:color w:val="auto"/>
          <w:highlight w:val="none"/>
        </w:rPr>
      </w:pPr>
    </w:p>
    <w:p w14:paraId="209B84D5">
      <w:pPr>
        <w:spacing w:line="500" w:lineRule="exact"/>
        <w:ind w:firstLine="360" w:firstLineChars="1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rPr>
        <w:t>姓名）</w:t>
      </w:r>
      <w:r>
        <w:rPr>
          <w:rFonts w:hint="eastAsia" w:ascii="仿宋" w:hAnsi="仿宋" w:eastAsia="仿宋" w:cs="仿宋"/>
          <w:color w:val="auto"/>
          <w:kern w:val="0"/>
          <w:sz w:val="24"/>
          <w:highlight w:val="none"/>
        </w:rPr>
        <w:t>是</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rPr>
        <w:t>投标人全称）</w:t>
      </w:r>
      <w:r>
        <w:rPr>
          <w:rFonts w:hint="eastAsia" w:ascii="仿宋" w:hAnsi="仿宋" w:eastAsia="仿宋" w:cs="仿宋"/>
          <w:color w:val="auto"/>
          <w:kern w:val="0"/>
          <w:sz w:val="24"/>
          <w:highlight w:val="none"/>
        </w:rPr>
        <w:t>的法定代表人，身份证号码为</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w:t>
      </w:r>
    </w:p>
    <w:p w14:paraId="23264FA1">
      <w:pPr>
        <w:spacing w:line="5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特此证明。</w:t>
      </w:r>
    </w:p>
    <w:p w14:paraId="313E1594">
      <w:pPr>
        <w:spacing w:line="500" w:lineRule="exact"/>
        <w:jc w:val="left"/>
        <w:rPr>
          <w:rFonts w:ascii="仿宋" w:hAnsi="仿宋" w:eastAsia="仿宋" w:cs="仿宋"/>
          <w:color w:val="auto"/>
          <w:kern w:val="0"/>
          <w:sz w:val="24"/>
          <w:highlight w:val="none"/>
        </w:rPr>
      </w:pPr>
    </w:p>
    <w:p w14:paraId="56F62FF7">
      <w:pPr>
        <w:spacing w:line="500" w:lineRule="exact"/>
        <w:jc w:val="left"/>
        <w:rPr>
          <w:rFonts w:ascii="仿宋" w:hAnsi="仿宋" w:eastAsia="仿宋" w:cs="仿宋"/>
          <w:color w:val="auto"/>
          <w:kern w:val="0"/>
          <w:sz w:val="24"/>
          <w:highlight w:val="none"/>
        </w:rPr>
      </w:pPr>
    </w:p>
    <w:p w14:paraId="4446DDE7">
      <w:pPr>
        <w:spacing w:line="5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盖章）</w:t>
      </w:r>
    </w:p>
    <w:p w14:paraId="1E946BD1">
      <w:pPr>
        <w:spacing w:line="500" w:lineRule="exact"/>
        <w:jc w:val="left"/>
        <w:rPr>
          <w:rFonts w:ascii="仿宋" w:hAnsi="仿宋" w:eastAsia="仿宋" w:cs="仿宋"/>
          <w:color w:val="auto"/>
          <w:kern w:val="0"/>
          <w:sz w:val="24"/>
          <w:highlight w:val="none"/>
        </w:rPr>
      </w:pPr>
    </w:p>
    <w:p w14:paraId="59D95D28">
      <w:pPr>
        <w:spacing w:line="5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签名或盖章）：</w:t>
      </w:r>
    </w:p>
    <w:p w14:paraId="02F22383">
      <w:pPr>
        <w:spacing w:line="500" w:lineRule="exact"/>
        <w:jc w:val="left"/>
        <w:rPr>
          <w:rFonts w:ascii="仿宋" w:hAnsi="仿宋" w:eastAsia="仿宋" w:cs="仿宋"/>
          <w:color w:val="auto"/>
          <w:kern w:val="0"/>
          <w:sz w:val="24"/>
          <w:highlight w:val="none"/>
        </w:rPr>
      </w:pPr>
    </w:p>
    <w:p w14:paraId="522A76A5">
      <w:pPr>
        <w:spacing w:line="5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7B3201B3">
      <w:pPr>
        <w:spacing w:line="5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15B1C741">
      <w:pPr>
        <w:spacing w:line="500" w:lineRule="exact"/>
        <w:jc w:val="center"/>
        <w:rPr>
          <w:rFonts w:ascii="仿宋" w:hAnsi="仿宋" w:eastAsia="仿宋" w:cs="仿宋"/>
          <w:color w:val="auto"/>
          <w:kern w:val="0"/>
          <w:sz w:val="24"/>
          <w:highlight w:val="none"/>
        </w:rPr>
      </w:pPr>
    </w:p>
    <w:p w14:paraId="32885BEA">
      <w:pPr>
        <w:spacing w:line="500" w:lineRule="exact"/>
        <w:jc w:val="center"/>
        <w:rPr>
          <w:rFonts w:ascii="仿宋" w:hAnsi="仿宋" w:eastAsia="仿宋" w:cs="仿宋"/>
          <w:color w:val="auto"/>
          <w:kern w:val="0"/>
          <w:sz w:val="24"/>
          <w:highlight w:val="none"/>
        </w:rPr>
      </w:pPr>
    </w:p>
    <w:p w14:paraId="06BF10E8">
      <w:pPr>
        <w:spacing w:line="500" w:lineRule="exact"/>
        <w:jc w:val="center"/>
        <w:rPr>
          <w:rFonts w:ascii="仿宋" w:hAnsi="仿宋" w:eastAsia="仿宋" w:cs="仿宋"/>
          <w:color w:val="auto"/>
          <w:kern w:val="0"/>
          <w:sz w:val="24"/>
          <w:highlight w:val="none"/>
        </w:rPr>
      </w:pPr>
    </w:p>
    <w:p w14:paraId="525B94CA">
      <w:pPr>
        <w:spacing w:line="5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有效身份证明复印件粘贴处</w:t>
      </w:r>
    </w:p>
    <w:p w14:paraId="1C49723D">
      <w:pPr>
        <w:spacing w:line="500" w:lineRule="exact"/>
        <w:jc w:val="center"/>
        <w:rPr>
          <w:rFonts w:ascii="仿宋" w:hAnsi="仿宋" w:eastAsia="仿宋" w:cs="仿宋"/>
          <w:color w:val="auto"/>
          <w:kern w:val="0"/>
          <w:sz w:val="24"/>
          <w:highlight w:val="none"/>
        </w:rPr>
      </w:pPr>
    </w:p>
    <w:p w14:paraId="69733C2E">
      <w:pPr>
        <w:jc w:val="center"/>
        <w:rPr>
          <w:rFonts w:ascii="仿宋" w:hAnsi="仿宋" w:eastAsia="仿宋" w:cs="仿宋"/>
          <w:color w:val="auto"/>
          <w:kern w:val="0"/>
          <w:sz w:val="24"/>
          <w:highlight w:val="none"/>
        </w:rPr>
      </w:pPr>
    </w:p>
    <w:p w14:paraId="13BEC009">
      <w:pPr>
        <w:pStyle w:val="12"/>
        <w:rPr>
          <w:rFonts w:ascii="仿宋" w:hAnsi="仿宋" w:eastAsia="仿宋" w:cs="仿宋"/>
          <w:color w:val="auto"/>
          <w:highlight w:val="none"/>
        </w:rPr>
      </w:pPr>
    </w:p>
    <w:p w14:paraId="53A17CB0">
      <w:pPr>
        <w:pStyle w:val="12"/>
        <w:rPr>
          <w:rFonts w:ascii="仿宋" w:hAnsi="仿宋" w:eastAsia="仿宋" w:cs="仿宋"/>
          <w:color w:val="auto"/>
          <w:highlight w:val="none"/>
        </w:rPr>
      </w:pPr>
    </w:p>
    <w:p w14:paraId="5C5B5BA6">
      <w:pPr>
        <w:pStyle w:val="12"/>
        <w:rPr>
          <w:rFonts w:ascii="仿宋" w:hAnsi="仿宋" w:eastAsia="仿宋" w:cs="仿宋"/>
          <w:color w:val="auto"/>
          <w:highlight w:val="none"/>
        </w:rPr>
      </w:pPr>
    </w:p>
    <w:p w14:paraId="7E1C84E1">
      <w:pPr>
        <w:pStyle w:val="12"/>
        <w:rPr>
          <w:rFonts w:ascii="仿宋" w:hAnsi="仿宋" w:eastAsia="仿宋" w:cs="仿宋"/>
          <w:color w:val="auto"/>
          <w:highlight w:val="none"/>
        </w:rPr>
      </w:pPr>
    </w:p>
    <w:p w14:paraId="1637E738">
      <w:pPr>
        <w:pStyle w:val="12"/>
        <w:rPr>
          <w:rFonts w:ascii="仿宋" w:hAnsi="仿宋" w:eastAsia="仿宋" w:cs="仿宋"/>
          <w:color w:val="auto"/>
          <w:highlight w:val="none"/>
        </w:rPr>
      </w:pPr>
    </w:p>
    <w:p w14:paraId="13D1C76B">
      <w:pPr>
        <w:pStyle w:val="12"/>
        <w:rPr>
          <w:rFonts w:ascii="仿宋" w:hAnsi="仿宋" w:eastAsia="仿宋" w:cs="仿宋"/>
          <w:color w:val="auto"/>
          <w:highlight w:val="none"/>
        </w:rPr>
      </w:pPr>
    </w:p>
    <w:p w14:paraId="7374E341">
      <w:pPr>
        <w:pStyle w:val="12"/>
        <w:rPr>
          <w:rFonts w:ascii="仿宋" w:hAnsi="仿宋" w:eastAsia="仿宋" w:cs="仿宋"/>
          <w:color w:val="auto"/>
          <w:highlight w:val="none"/>
        </w:rPr>
      </w:pPr>
    </w:p>
    <w:p w14:paraId="7570EC0B">
      <w:pPr>
        <w:pStyle w:val="12"/>
        <w:rPr>
          <w:rFonts w:ascii="仿宋" w:hAnsi="仿宋" w:eastAsia="仿宋" w:cs="仿宋"/>
          <w:color w:val="auto"/>
          <w:highlight w:val="none"/>
        </w:rPr>
      </w:pPr>
    </w:p>
    <w:p w14:paraId="104AAD19">
      <w:pPr>
        <w:pStyle w:val="12"/>
        <w:rPr>
          <w:rFonts w:ascii="仿宋" w:hAnsi="仿宋" w:eastAsia="仿宋" w:cs="仿宋"/>
          <w:color w:val="auto"/>
          <w:highlight w:val="none"/>
        </w:rPr>
      </w:pPr>
    </w:p>
    <w:p w14:paraId="47DCC204">
      <w:pPr>
        <w:pStyle w:val="12"/>
        <w:rPr>
          <w:rFonts w:ascii="仿宋" w:hAnsi="仿宋" w:eastAsia="仿宋" w:cs="仿宋"/>
          <w:color w:val="auto"/>
          <w:highlight w:val="none"/>
        </w:rPr>
      </w:pPr>
    </w:p>
    <w:p w14:paraId="22884B96">
      <w:pPr>
        <w:pStyle w:val="12"/>
        <w:rPr>
          <w:rFonts w:ascii="仿宋" w:hAnsi="仿宋" w:eastAsia="仿宋" w:cs="仿宋"/>
          <w:color w:val="auto"/>
          <w:highlight w:val="none"/>
        </w:rPr>
      </w:pPr>
    </w:p>
    <w:p w14:paraId="74A9AE4C">
      <w:pPr>
        <w:pStyle w:val="12"/>
        <w:rPr>
          <w:rFonts w:ascii="仿宋" w:hAnsi="仿宋" w:eastAsia="仿宋" w:cs="仿宋"/>
          <w:color w:val="auto"/>
          <w:highlight w:val="none"/>
        </w:rPr>
      </w:pPr>
    </w:p>
    <w:p w14:paraId="7774924B">
      <w:pPr>
        <w:pStyle w:val="12"/>
        <w:rPr>
          <w:rFonts w:ascii="仿宋" w:hAnsi="仿宋" w:eastAsia="仿宋" w:cs="仿宋"/>
          <w:color w:val="auto"/>
          <w:highlight w:val="none"/>
        </w:rPr>
      </w:pPr>
    </w:p>
    <w:p w14:paraId="0444BBE2">
      <w:pPr>
        <w:pStyle w:val="12"/>
        <w:rPr>
          <w:rFonts w:ascii="仿宋" w:hAnsi="仿宋" w:eastAsia="仿宋" w:cs="仿宋"/>
          <w:color w:val="auto"/>
          <w:highlight w:val="none"/>
        </w:rPr>
      </w:pPr>
    </w:p>
    <w:p w14:paraId="527683FC">
      <w:pPr>
        <w:snapToGrid w:val="0"/>
        <w:spacing w:beforeLines="50" w:after="50" w:line="400" w:lineRule="exact"/>
        <w:jc w:val="center"/>
        <w:outlineLvl w:val="1"/>
        <w:rPr>
          <w:rFonts w:ascii="仿宋" w:hAnsi="仿宋" w:eastAsia="仿宋" w:cs="仿宋"/>
          <w:b/>
          <w:color w:val="auto"/>
          <w:sz w:val="28"/>
          <w:szCs w:val="28"/>
          <w:highlight w:val="none"/>
        </w:rPr>
      </w:pPr>
      <w:bookmarkStart w:id="65" w:name="_Toc5113"/>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二）法定代表人授权委托书</w:t>
      </w:r>
      <w:bookmarkEnd w:id="65"/>
    </w:p>
    <w:p w14:paraId="4B46DDAF">
      <w:pPr>
        <w:snapToGrid w:val="0"/>
        <w:spacing w:beforeLines="50" w:after="50" w:line="400" w:lineRule="exact"/>
        <w:rPr>
          <w:rFonts w:ascii="仿宋" w:hAnsi="仿宋" w:eastAsia="仿宋" w:cs="仿宋"/>
          <w:b/>
          <w:bCs/>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6541F4EA">
      <w:pPr>
        <w:snapToGrid w:val="0"/>
        <w:spacing w:beforeLines="50" w:after="50" w:line="460" w:lineRule="exact"/>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 xml:space="preserve">我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投标人名称）</w:t>
      </w:r>
      <w:r>
        <w:rPr>
          <w:rFonts w:hint="eastAsia" w:ascii="仿宋" w:hAnsi="仿宋" w:eastAsia="仿宋" w:cs="仿宋"/>
          <w:color w:val="auto"/>
          <w:sz w:val="24"/>
          <w:highlight w:val="none"/>
        </w:rPr>
        <w:t>的法定代表人，现授权委托本单位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以我方的名义参加项目的招标活动，并代表我方全权办理针对上述项目的投标、签约等具体事务和签署相关文件。</w:t>
      </w:r>
    </w:p>
    <w:p w14:paraId="100A751A">
      <w:pPr>
        <w:snapToGrid w:val="0"/>
        <w:spacing w:beforeLines="50" w:after="50"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我方对授权代理人的签名事项负全部责任。</w:t>
      </w:r>
    </w:p>
    <w:p w14:paraId="00F79084">
      <w:pPr>
        <w:snapToGrid w:val="0"/>
        <w:spacing w:beforeLines="50" w:after="50" w:line="46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在撤销授权的书面通知以前，本授权书一直有效。授权代理人在授权书有效期内签署的所有文件不因授权的撤销而失效。</w:t>
      </w:r>
    </w:p>
    <w:p w14:paraId="7F8B6AB7">
      <w:pPr>
        <w:snapToGrid w:val="0"/>
        <w:spacing w:beforeLines="50" w:after="50" w:line="4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授权代理人无转委托权，特此委托。</w:t>
      </w:r>
    </w:p>
    <w:p w14:paraId="400A901C">
      <w:pPr>
        <w:snapToGrid w:val="0"/>
        <w:spacing w:beforeLines="50" w:after="50" w:line="400" w:lineRule="exact"/>
        <w:rPr>
          <w:rFonts w:ascii="仿宋" w:hAnsi="仿宋" w:eastAsia="仿宋" w:cs="仿宋"/>
          <w:color w:val="auto"/>
          <w:sz w:val="24"/>
          <w:highlight w:val="none"/>
        </w:rPr>
      </w:pPr>
    </w:p>
    <w:p w14:paraId="7E7F800F">
      <w:pPr>
        <w:snapToGrid w:val="0"/>
        <w:spacing w:beforeLines="50" w:after="50" w:line="40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授权代理人签名：         法定代表人签名：</w:t>
      </w:r>
    </w:p>
    <w:p w14:paraId="22FDC217">
      <w:pPr>
        <w:snapToGrid w:val="0"/>
        <w:spacing w:beforeLines="50" w:after="50" w:line="400" w:lineRule="exact"/>
        <w:rPr>
          <w:rFonts w:ascii="仿宋" w:hAnsi="仿宋" w:eastAsia="仿宋" w:cs="仿宋"/>
          <w:color w:val="auto"/>
          <w:sz w:val="24"/>
          <w:highlight w:val="none"/>
          <w:u w:val="single"/>
        </w:rPr>
      </w:pPr>
    </w:p>
    <w:p w14:paraId="42C150F4">
      <w:pPr>
        <w:snapToGrid w:val="0"/>
        <w:spacing w:beforeLines="50" w:after="50" w:line="40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职务：                    职务：</w:t>
      </w:r>
    </w:p>
    <w:p w14:paraId="0FE69D9A">
      <w:pPr>
        <w:snapToGrid w:val="0"/>
        <w:spacing w:beforeLines="50" w:after="50" w:line="400" w:lineRule="exact"/>
        <w:ind w:firstLine="960" w:firstLineChars="400"/>
        <w:rPr>
          <w:rFonts w:ascii="仿宋" w:hAnsi="仿宋" w:eastAsia="仿宋" w:cs="仿宋"/>
          <w:color w:val="auto"/>
          <w:sz w:val="24"/>
          <w:highlight w:val="none"/>
        </w:rPr>
      </w:pPr>
    </w:p>
    <w:p w14:paraId="7212CD84">
      <w:pPr>
        <w:snapToGrid w:val="0"/>
        <w:spacing w:beforeLines="50" w:after="50"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授权代理人身份证号码：</w:t>
      </w:r>
    </w:p>
    <w:p w14:paraId="43544FF9">
      <w:pPr>
        <w:snapToGrid w:val="0"/>
        <w:spacing w:beforeLines="50" w:after="50" w:line="400" w:lineRule="exact"/>
        <w:rPr>
          <w:rFonts w:ascii="仿宋" w:hAnsi="仿宋" w:eastAsia="仿宋" w:cs="仿宋"/>
          <w:color w:val="auto"/>
          <w:sz w:val="24"/>
          <w:highlight w:val="none"/>
        </w:rPr>
      </w:pPr>
    </w:p>
    <w:p w14:paraId="600577CE">
      <w:pPr>
        <w:snapToGrid w:val="0"/>
        <w:spacing w:beforeLines="50" w:after="50"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投标人公章：</w:t>
      </w:r>
    </w:p>
    <w:p w14:paraId="60F27F7D">
      <w:pPr>
        <w:snapToGrid w:val="0"/>
        <w:spacing w:beforeLines="50" w:after="50"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2CF7DF7D">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32567930">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授权代理人有效身份证明复印件粘贴处</w:t>
      </w:r>
    </w:p>
    <w:p w14:paraId="7152C48B">
      <w:pPr>
        <w:jc w:val="center"/>
        <w:rPr>
          <w:rFonts w:ascii="仿宋" w:hAnsi="仿宋" w:eastAsia="仿宋" w:cs="仿宋"/>
          <w:color w:val="auto"/>
          <w:kern w:val="0"/>
          <w:sz w:val="28"/>
          <w:szCs w:val="28"/>
          <w:highlight w:val="none"/>
        </w:rPr>
      </w:pPr>
    </w:p>
    <w:p w14:paraId="78EB60EC">
      <w:pPr>
        <w:pStyle w:val="33"/>
        <w:rPr>
          <w:rFonts w:ascii="仿宋" w:hAnsi="仿宋" w:eastAsia="仿宋" w:cs="仿宋"/>
          <w:color w:val="auto"/>
          <w:highlight w:val="none"/>
        </w:rPr>
      </w:pPr>
    </w:p>
    <w:p w14:paraId="7AB8AF26">
      <w:pPr>
        <w:pStyle w:val="33"/>
        <w:rPr>
          <w:rFonts w:ascii="仿宋" w:hAnsi="仿宋" w:eastAsia="仿宋" w:cs="仿宋"/>
          <w:color w:val="auto"/>
          <w:highlight w:val="none"/>
        </w:rPr>
      </w:pPr>
    </w:p>
    <w:p w14:paraId="127DF758">
      <w:pPr>
        <w:pStyle w:val="33"/>
        <w:rPr>
          <w:rFonts w:ascii="仿宋" w:hAnsi="仿宋" w:eastAsia="仿宋" w:cs="仿宋"/>
          <w:color w:val="auto"/>
          <w:highlight w:val="none"/>
        </w:rPr>
      </w:pPr>
    </w:p>
    <w:p w14:paraId="77447D70">
      <w:pPr>
        <w:pStyle w:val="33"/>
        <w:rPr>
          <w:rFonts w:ascii="仿宋" w:hAnsi="仿宋" w:eastAsia="仿宋" w:cs="仿宋"/>
          <w:color w:val="auto"/>
          <w:highlight w:val="none"/>
        </w:rPr>
      </w:pPr>
    </w:p>
    <w:p w14:paraId="32BA7779">
      <w:pPr>
        <w:pStyle w:val="33"/>
        <w:rPr>
          <w:rFonts w:ascii="仿宋" w:hAnsi="仿宋" w:eastAsia="仿宋" w:cs="仿宋"/>
          <w:color w:val="auto"/>
          <w:highlight w:val="none"/>
        </w:rPr>
      </w:pPr>
    </w:p>
    <w:p w14:paraId="0F876EAF">
      <w:pPr>
        <w:pStyle w:val="33"/>
        <w:rPr>
          <w:rFonts w:ascii="仿宋" w:hAnsi="仿宋" w:eastAsia="仿宋" w:cs="仿宋"/>
          <w:color w:val="auto"/>
          <w:highlight w:val="none"/>
        </w:rPr>
      </w:pPr>
    </w:p>
    <w:p w14:paraId="714FB174">
      <w:pPr>
        <w:widowControl/>
        <w:jc w:val="left"/>
        <w:rPr>
          <w:rFonts w:ascii="仿宋" w:hAnsi="仿宋" w:eastAsia="仿宋" w:cs="仿宋"/>
          <w:color w:val="auto"/>
          <w:highlight w:val="none"/>
        </w:rPr>
      </w:pPr>
      <w:r>
        <w:rPr>
          <w:rFonts w:ascii="仿宋" w:hAnsi="仿宋" w:eastAsia="仿宋" w:cs="仿宋"/>
          <w:color w:val="auto"/>
          <w:highlight w:val="none"/>
        </w:rPr>
        <w:br w:type="page"/>
      </w:r>
    </w:p>
    <w:p w14:paraId="55FD858D">
      <w:pPr>
        <w:snapToGrid w:val="0"/>
        <w:spacing w:line="560" w:lineRule="exact"/>
        <w:jc w:val="center"/>
        <w:rPr>
          <w:rFonts w:hint="eastAsia" w:ascii="仿宋" w:hAnsi="仿宋" w:eastAsia="仿宋" w:cs="仿宋"/>
          <w:b/>
          <w:color w:val="auto"/>
          <w:sz w:val="28"/>
          <w:szCs w:val="28"/>
          <w:highlight w:val="none"/>
        </w:rPr>
      </w:pPr>
    </w:p>
    <w:p w14:paraId="5374C4EA">
      <w:pPr>
        <w:keepNext w:val="0"/>
        <w:keepLines w:val="0"/>
        <w:pageBreakBefore w:val="0"/>
        <w:widowControl w:val="0"/>
        <w:kinsoku/>
        <w:wordWrap/>
        <w:overflowPunct/>
        <w:topLinePunct w:val="0"/>
        <w:autoSpaceDE/>
        <w:autoSpaceDN/>
        <w:bidi w:val="0"/>
        <w:adjustRightInd/>
        <w:snapToGrid w:val="0"/>
        <w:spacing w:beforeLines="50" w:after="50" w:line="600" w:lineRule="exact"/>
        <w:jc w:val="center"/>
        <w:textAlignment w:val="auto"/>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三、授权代理人最近三个月中任意一个月个人社保缴纳证明文件；</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资格审查条款）</w:t>
      </w:r>
    </w:p>
    <w:p w14:paraId="69BA61E8">
      <w:pPr>
        <w:widowControl/>
        <w:jc w:val="left"/>
        <w:rPr>
          <w:rFonts w:ascii="仿宋" w:hAnsi="仿宋" w:eastAsia="仿宋" w:cs="仿宋"/>
          <w:b/>
          <w:color w:val="auto"/>
          <w:sz w:val="28"/>
          <w:szCs w:val="28"/>
          <w:highlight w:val="none"/>
        </w:rPr>
      </w:pPr>
    </w:p>
    <w:p w14:paraId="50550526">
      <w:pPr>
        <w:widowControl/>
        <w:jc w:val="left"/>
        <w:rPr>
          <w:rFonts w:ascii="仿宋" w:hAnsi="仿宋" w:eastAsia="仿宋" w:cs="仿宋"/>
          <w:b/>
          <w:color w:val="auto"/>
          <w:sz w:val="28"/>
          <w:szCs w:val="28"/>
          <w:highlight w:val="none"/>
        </w:rPr>
      </w:pPr>
    </w:p>
    <w:p w14:paraId="2DA87EF8">
      <w:pPr>
        <w:widowControl/>
        <w:jc w:val="left"/>
        <w:rPr>
          <w:rFonts w:ascii="仿宋" w:hAnsi="仿宋" w:eastAsia="仿宋" w:cs="仿宋"/>
          <w:b/>
          <w:color w:val="auto"/>
          <w:sz w:val="28"/>
          <w:szCs w:val="28"/>
          <w:highlight w:val="none"/>
        </w:rPr>
      </w:pPr>
    </w:p>
    <w:p w14:paraId="6CEBC2EF">
      <w:pPr>
        <w:widowControl/>
        <w:jc w:val="left"/>
        <w:rPr>
          <w:rFonts w:ascii="仿宋" w:hAnsi="仿宋" w:eastAsia="仿宋" w:cs="仿宋"/>
          <w:b/>
          <w:color w:val="auto"/>
          <w:sz w:val="28"/>
          <w:szCs w:val="28"/>
          <w:highlight w:val="none"/>
        </w:rPr>
      </w:pPr>
    </w:p>
    <w:p w14:paraId="4998CD5D">
      <w:pPr>
        <w:widowControl/>
        <w:jc w:val="left"/>
        <w:rPr>
          <w:rFonts w:ascii="仿宋" w:hAnsi="仿宋" w:eastAsia="仿宋" w:cs="仿宋"/>
          <w:b/>
          <w:color w:val="auto"/>
          <w:sz w:val="28"/>
          <w:szCs w:val="28"/>
          <w:highlight w:val="none"/>
        </w:rPr>
      </w:pPr>
    </w:p>
    <w:p w14:paraId="006086FC">
      <w:pPr>
        <w:widowControl/>
        <w:jc w:val="left"/>
        <w:rPr>
          <w:rFonts w:ascii="仿宋" w:hAnsi="仿宋" w:eastAsia="仿宋" w:cs="仿宋"/>
          <w:b/>
          <w:color w:val="auto"/>
          <w:sz w:val="28"/>
          <w:szCs w:val="28"/>
          <w:highlight w:val="none"/>
        </w:rPr>
      </w:pPr>
    </w:p>
    <w:p w14:paraId="1F27834C">
      <w:pPr>
        <w:widowControl/>
        <w:jc w:val="left"/>
        <w:rPr>
          <w:rFonts w:ascii="仿宋" w:hAnsi="仿宋" w:eastAsia="仿宋" w:cs="仿宋"/>
          <w:b/>
          <w:color w:val="auto"/>
          <w:sz w:val="28"/>
          <w:szCs w:val="28"/>
          <w:highlight w:val="none"/>
        </w:rPr>
      </w:pPr>
    </w:p>
    <w:p w14:paraId="6E7E3AFD">
      <w:pPr>
        <w:tabs>
          <w:tab w:val="left" w:pos="2996"/>
        </w:tabs>
        <w:spacing w:line="600" w:lineRule="exact"/>
        <w:ind w:right="480"/>
        <w:rPr>
          <w:rFonts w:ascii="仿宋" w:hAnsi="仿宋" w:eastAsia="仿宋" w:cs="仿宋"/>
          <w:color w:val="auto"/>
          <w:sz w:val="24"/>
          <w:highlight w:val="none"/>
        </w:rPr>
      </w:pPr>
    </w:p>
    <w:p w14:paraId="173C796A">
      <w:pPr>
        <w:tabs>
          <w:tab w:val="left" w:pos="2996"/>
        </w:tabs>
        <w:spacing w:line="600" w:lineRule="exact"/>
        <w:ind w:right="480"/>
        <w:rPr>
          <w:rFonts w:ascii="仿宋" w:hAnsi="仿宋" w:eastAsia="仿宋" w:cs="仿宋"/>
          <w:color w:val="auto"/>
          <w:sz w:val="24"/>
          <w:highlight w:val="none"/>
        </w:rPr>
      </w:pPr>
    </w:p>
    <w:p w14:paraId="3696F9FE">
      <w:pPr>
        <w:tabs>
          <w:tab w:val="left" w:pos="2996"/>
        </w:tabs>
        <w:spacing w:line="600" w:lineRule="exact"/>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盖章）：</w:t>
      </w:r>
    </w:p>
    <w:p w14:paraId="4EB331BA">
      <w:pPr>
        <w:tabs>
          <w:tab w:val="left" w:pos="2996"/>
        </w:tabs>
        <w:spacing w:line="600" w:lineRule="exact"/>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51EC81BB">
      <w:pPr>
        <w:tabs>
          <w:tab w:val="left" w:pos="2996"/>
        </w:tabs>
        <w:spacing w:line="600" w:lineRule="exact"/>
        <w:ind w:right="480"/>
        <w:rPr>
          <w:rFonts w:ascii="仿宋" w:hAnsi="仿宋" w:eastAsia="仿宋" w:cs="仿宋"/>
          <w:color w:val="auto"/>
          <w:sz w:val="24"/>
          <w:highlight w:val="none"/>
        </w:rPr>
      </w:pPr>
      <w:r>
        <w:rPr>
          <w:rFonts w:ascii="仿宋" w:hAnsi="仿宋" w:eastAsia="仿宋" w:cs="仿宋"/>
          <w:b/>
          <w:color w:val="auto"/>
          <w:sz w:val="28"/>
          <w:szCs w:val="28"/>
          <w:highlight w:val="none"/>
        </w:rPr>
        <w:br w:type="page"/>
      </w:r>
    </w:p>
    <w:p w14:paraId="1B3FE281">
      <w:pPr>
        <w:snapToGrid w:val="0"/>
        <w:spacing w:line="560" w:lineRule="exact"/>
        <w:jc w:val="center"/>
        <w:outlineLvl w:val="1"/>
        <w:rPr>
          <w:rFonts w:hint="eastAsia" w:ascii="仿宋" w:hAnsi="仿宋" w:eastAsia="仿宋" w:cs="仿宋"/>
          <w:b/>
          <w:color w:val="auto"/>
          <w:sz w:val="28"/>
          <w:szCs w:val="28"/>
          <w:highlight w:val="none"/>
        </w:rPr>
      </w:pPr>
      <w:bookmarkStart w:id="66" w:name="_Toc19263"/>
    </w:p>
    <w:p w14:paraId="3A29B886">
      <w:pPr>
        <w:snapToGrid w:val="0"/>
        <w:spacing w:line="56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四、资格承诺书</w:t>
      </w:r>
      <w:bookmarkEnd w:id="66"/>
    </w:p>
    <w:p w14:paraId="583D05BE">
      <w:pPr>
        <w:snapToGrid w:val="0"/>
        <w:spacing w:line="560" w:lineRule="exact"/>
        <w:jc w:val="center"/>
        <w:rPr>
          <w:rFonts w:ascii="仿宋" w:hAnsi="仿宋" w:eastAsia="仿宋" w:cs="仿宋"/>
          <w:b/>
          <w:color w:val="auto"/>
          <w:sz w:val="28"/>
          <w:szCs w:val="28"/>
          <w:highlight w:val="none"/>
        </w:rPr>
      </w:pPr>
    </w:p>
    <w:p w14:paraId="5B6837EE">
      <w:pPr>
        <w:tabs>
          <w:tab w:val="left" w:pos="1650"/>
        </w:tabs>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投标人）</w:t>
      </w:r>
      <w:r>
        <w:rPr>
          <w:rFonts w:hint="eastAsia" w:ascii="仿宋" w:hAnsi="仿宋" w:eastAsia="仿宋" w:cs="仿宋"/>
          <w:color w:val="auto"/>
          <w:sz w:val="24"/>
          <w:highlight w:val="none"/>
        </w:rPr>
        <w:t>现参加</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政府采购活动，郑重承诺如下：</w:t>
      </w:r>
    </w:p>
    <w:p w14:paraId="4045CD21">
      <w:pPr>
        <w:tabs>
          <w:tab w:val="left" w:pos="1650"/>
        </w:tabs>
        <w:jc w:val="left"/>
        <w:rPr>
          <w:rFonts w:ascii="仿宋" w:hAnsi="仿宋" w:eastAsia="仿宋" w:cs="仿宋"/>
          <w:color w:val="auto"/>
          <w:sz w:val="24"/>
          <w:highlight w:val="none"/>
          <w:u w:val="single"/>
        </w:rPr>
      </w:pPr>
    </w:p>
    <w:p w14:paraId="0D1D68F7">
      <w:pPr>
        <w:pStyle w:val="7"/>
        <w:ind w:firstLine="480" w:firstLineChars="200"/>
        <w:rPr>
          <w:rFonts w:ascii="仿宋" w:hAnsi="仿宋" w:eastAsia="仿宋" w:cs="仿宋"/>
          <w:color w:val="auto"/>
          <w:highlight w:val="none"/>
        </w:rPr>
      </w:pPr>
      <w:r>
        <w:rPr>
          <w:rFonts w:hint="eastAsia" w:ascii="仿宋" w:hAnsi="仿宋" w:eastAsia="仿宋" w:cs="仿宋"/>
          <w:color w:val="auto"/>
          <w:highlight w:val="none"/>
        </w:rPr>
        <w:t>1、符合参与政府采购活动的资格条件</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符合《中华人民共和国政府采购法》第二十二条规定和浙财采监【2013】24号《关于规范政府采购响应人资格设定及资格审查的通知》第六条规定，且未被</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信用中国</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www.creditchina.gov.cn</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中国政府采购网</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www.ccgp.gov.cn</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列入失信被执行人、重大税收违法案件当事人名单、政府采购严重违法失信行为记录名单）。</w:t>
      </w:r>
    </w:p>
    <w:p w14:paraId="356054E0">
      <w:pPr>
        <w:pStyle w:val="7"/>
        <w:ind w:firstLine="480" w:firstLineChars="200"/>
        <w:outlineLvl w:val="1"/>
        <w:rPr>
          <w:rFonts w:ascii="仿宋" w:hAnsi="仿宋" w:eastAsia="仿宋" w:cs="仿宋"/>
          <w:color w:val="auto"/>
          <w:highlight w:val="none"/>
        </w:rPr>
      </w:pPr>
      <w:bookmarkStart w:id="67" w:name="_Toc242"/>
      <w:r>
        <w:rPr>
          <w:rFonts w:hint="eastAsia" w:ascii="仿宋" w:hAnsi="仿宋" w:eastAsia="仿宋" w:cs="仿宋"/>
          <w:color w:val="auto"/>
          <w:highlight w:val="none"/>
        </w:rPr>
        <w:t>2、没有税收缴纳、社会保障等方面的失信记录。</w:t>
      </w:r>
      <w:bookmarkEnd w:id="67"/>
    </w:p>
    <w:p w14:paraId="645B458A">
      <w:pPr>
        <w:pStyle w:val="7"/>
        <w:rPr>
          <w:rFonts w:ascii="仿宋" w:hAnsi="仿宋" w:eastAsia="仿宋" w:cs="仿宋"/>
          <w:color w:val="auto"/>
          <w:highlight w:val="none"/>
        </w:rPr>
      </w:pPr>
    </w:p>
    <w:p w14:paraId="38B3E85D">
      <w:pPr>
        <w:pStyle w:val="7"/>
        <w:rPr>
          <w:rFonts w:ascii="仿宋" w:hAnsi="仿宋" w:eastAsia="仿宋" w:cs="仿宋"/>
          <w:b/>
          <w:color w:val="auto"/>
          <w:sz w:val="28"/>
          <w:szCs w:val="28"/>
          <w:highlight w:val="none"/>
        </w:rPr>
      </w:pPr>
      <w:r>
        <w:rPr>
          <w:rFonts w:hint="eastAsia" w:ascii="仿宋" w:hAnsi="仿宋" w:eastAsia="仿宋" w:cs="仿宋"/>
          <w:color w:val="auto"/>
          <w:highlight w:val="none"/>
        </w:rPr>
        <w:t>若违背以上承诺的，我单位愿意承担相应法律后果和责任，不再寻求任何旨在减轻或免除法律责任的辩解，并依法列入严重失信名单。</w:t>
      </w:r>
    </w:p>
    <w:p w14:paraId="1801393D">
      <w:pPr>
        <w:pStyle w:val="35"/>
        <w:spacing w:before="0" w:beforeAutospacing="0" w:after="0" w:afterAutospacing="0" w:line="560" w:lineRule="exact"/>
        <w:ind w:firstLine="5160" w:firstLineChars="2150"/>
        <w:rPr>
          <w:rFonts w:ascii="仿宋" w:hAnsi="仿宋" w:eastAsia="仿宋" w:cs="仿宋"/>
          <w:color w:val="auto"/>
          <w:kern w:val="2"/>
          <w:highlight w:val="none"/>
        </w:rPr>
      </w:pPr>
    </w:p>
    <w:p w14:paraId="7C66B420">
      <w:pPr>
        <w:pStyle w:val="35"/>
        <w:spacing w:before="0" w:beforeAutospacing="0" w:after="0" w:afterAutospacing="0" w:line="560" w:lineRule="exact"/>
        <w:ind w:firstLine="5160" w:firstLineChars="2150"/>
        <w:rPr>
          <w:rFonts w:ascii="仿宋" w:hAnsi="仿宋" w:eastAsia="仿宋" w:cs="仿宋"/>
          <w:color w:val="auto"/>
          <w:kern w:val="2"/>
          <w:highlight w:val="none"/>
        </w:rPr>
      </w:pPr>
      <w:r>
        <w:rPr>
          <w:rFonts w:hint="eastAsia" w:ascii="仿宋" w:hAnsi="仿宋" w:eastAsia="仿宋" w:cs="仿宋"/>
          <w:color w:val="auto"/>
          <w:kern w:val="2"/>
          <w:highlight w:val="none"/>
        </w:rPr>
        <w:t>承诺单位/个人</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rPr>
        <w:t>盖章/签名）</w:t>
      </w:r>
    </w:p>
    <w:p w14:paraId="702BDE41">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时间：20**年*月*日</w:t>
      </w:r>
    </w:p>
    <w:p w14:paraId="5260E6F0">
      <w:pPr>
        <w:snapToGrid w:val="0"/>
        <w:spacing w:line="560" w:lineRule="exact"/>
        <w:rPr>
          <w:rFonts w:ascii="仿宋" w:hAnsi="仿宋" w:eastAsia="仿宋" w:cs="仿宋"/>
          <w:b/>
          <w:color w:val="auto"/>
          <w:sz w:val="28"/>
          <w:szCs w:val="28"/>
          <w:highlight w:val="none"/>
        </w:rPr>
      </w:pPr>
    </w:p>
    <w:p w14:paraId="3BFF1713">
      <w:pPr>
        <w:widowControl/>
        <w:jc w:val="left"/>
        <w:rPr>
          <w:rFonts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p>
    <w:p w14:paraId="5CAB132C">
      <w:pPr>
        <w:pStyle w:val="2"/>
        <w:ind w:firstLine="2797" w:firstLineChars="995"/>
        <w:outlineLvl w:val="1"/>
        <w:rPr>
          <w:rFonts w:hint="eastAsia" w:ascii="仿宋" w:hAnsi="仿宋" w:eastAsia="仿宋" w:cs="仿宋"/>
          <w:b/>
          <w:color w:val="auto"/>
          <w:sz w:val="28"/>
          <w:szCs w:val="28"/>
          <w:highlight w:val="none"/>
        </w:rPr>
      </w:pPr>
      <w:bookmarkStart w:id="68" w:name="_Toc21238"/>
    </w:p>
    <w:p w14:paraId="5DBB92AB">
      <w:pPr>
        <w:pStyle w:val="2"/>
        <w:ind w:firstLine="2797" w:firstLineChars="995"/>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五、信用承诺书</w:t>
      </w:r>
      <w:bookmarkEnd w:id="68"/>
    </w:p>
    <w:p w14:paraId="70836C62">
      <w:pPr>
        <w:pStyle w:val="2"/>
        <w:ind w:firstLine="562"/>
        <w:jc w:val="center"/>
        <w:rPr>
          <w:rFonts w:ascii="仿宋" w:hAnsi="仿宋" w:eastAsia="仿宋" w:cs="仿宋"/>
          <w:b/>
          <w:bCs/>
          <w:color w:val="auto"/>
          <w:sz w:val="28"/>
          <w:szCs w:val="28"/>
          <w:highlight w:val="none"/>
        </w:rPr>
      </w:pPr>
    </w:p>
    <w:p w14:paraId="397172F0">
      <w:pPr>
        <w:tabs>
          <w:tab w:val="left" w:pos="1650"/>
        </w:tabs>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投标人）</w:t>
      </w:r>
      <w:r>
        <w:rPr>
          <w:rFonts w:hint="eastAsia" w:ascii="仿宋" w:hAnsi="仿宋" w:eastAsia="仿宋" w:cs="仿宋"/>
          <w:color w:val="auto"/>
          <w:sz w:val="24"/>
          <w:highlight w:val="none"/>
        </w:rPr>
        <w:t>现参加</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政府采购活动，郑重承诺如下：</w:t>
      </w:r>
    </w:p>
    <w:p w14:paraId="184E3408">
      <w:pPr>
        <w:tabs>
          <w:tab w:val="left" w:pos="1650"/>
        </w:tabs>
        <w:spacing w:line="56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对所提供的资料合法性、真实性、准确性和有效性负责；</w:t>
      </w:r>
    </w:p>
    <w:p w14:paraId="66608F4C">
      <w:pPr>
        <w:tabs>
          <w:tab w:val="left" w:pos="1650"/>
        </w:tabs>
        <w:spacing w:line="56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严格按照国家法律、法规和规章，依法开展相关经济活动，全面履行应尽的责任和义务；</w:t>
      </w:r>
    </w:p>
    <w:p w14:paraId="43DA43A3">
      <w:pPr>
        <w:tabs>
          <w:tab w:val="left" w:pos="1650"/>
        </w:tabs>
        <w:spacing w:line="56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加强自我约束、自我规范、自我管理，不制假售假、不虚假宣传、不违约毁约、不恶意逃债、不偷税漏税，诚信依法经营；</w:t>
      </w:r>
    </w:p>
    <w:p w14:paraId="052DBB8B">
      <w:pPr>
        <w:tabs>
          <w:tab w:val="left" w:pos="1650"/>
        </w:tabs>
        <w:spacing w:line="56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自愿接受行政主管部门的依法检查、违背承诺约定将自愿承担违约责任，并接受法律法规和相关部门规章制度的惩戒和约束；</w:t>
      </w:r>
    </w:p>
    <w:p w14:paraId="7C2CE959">
      <w:pPr>
        <w:tabs>
          <w:tab w:val="left" w:pos="1650"/>
        </w:tabs>
        <w:spacing w:line="560" w:lineRule="exact"/>
        <w:ind w:firstLine="630"/>
        <w:rPr>
          <w:rFonts w:ascii="仿宋" w:hAnsi="仿宋" w:eastAsia="仿宋" w:cs="仿宋"/>
          <w:color w:val="auto"/>
          <w:sz w:val="24"/>
          <w:highlight w:val="none"/>
        </w:rPr>
      </w:pPr>
      <w:r>
        <w:rPr>
          <w:rFonts w:hint="eastAsia" w:ascii="仿宋" w:hAnsi="仿宋" w:eastAsia="仿宋" w:cs="仿宋"/>
          <w:color w:val="auto"/>
          <w:kern w:val="0"/>
          <w:sz w:val="24"/>
          <w:highlight w:val="none"/>
        </w:rPr>
        <w:t>按照信用信息管理有关要求，本单位</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个人）同意将以上承诺在信用湖州网站公示，若违背以上承诺，依据相关规定记入企业</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个人）信用档案；性质严重的，承担相应法律后果和责任，并依法依规列入严重失信名单。</w:t>
      </w:r>
    </w:p>
    <w:p w14:paraId="2F17A75A">
      <w:pPr>
        <w:tabs>
          <w:tab w:val="left" w:pos="1650"/>
        </w:tabs>
        <w:spacing w:line="560" w:lineRule="exact"/>
        <w:rPr>
          <w:rFonts w:ascii="仿宋" w:hAnsi="仿宋" w:eastAsia="仿宋" w:cs="仿宋"/>
          <w:color w:val="auto"/>
          <w:sz w:val="24"/>
          <w:highlight w:val="none"/>
          <w:u w:val="single"/>
        </w:rPr>
      </w:pPr>
    </w:p>
    <w:p w14:paraId="4097B641">
      <w:pPr>
        <w:tabs>
          <w:tab w:val="left" w:pos="1650"/>
        </w:tabs>
        <w:spacing w:line="560" w:lineRule="exact"/>
        <w:rPr>
          <w:rFonts w:ascii="仿宋" w:hAnsi="仿宋" w:eastAsia="仿宋" w:cs="仿宋"/>
          <w:color w:val="auto"/>
          <w:sz w:val="24"/>
          <w:highlight w:val="none"/>
          <w:u w:val="single"/>
        </w:rPr>
      </w:pPr>
    </w:p>
    <w:p w14:paraId="4216BE34">
      <w:pPr>
        <w:pStyle w:val="35"/>
        <w:spacing w:before="0" w:beforeAutospacing="0" w:after="0" w:afterAutospacing="0" w:line="560" w:lineRule="exact"/>
        <w:ind w:firstLine="600" w:firstLineChars="250"/>
        <w:rPr>
          <w:rFonts w:ascii="仿宋" w:hAnsi="仿宋" w:eastAsia="仿宋" w:cs="仿宋"/>
          <w:color w:val="auto"/>
          <w:spacing w:val="-7"/>
          <w:highlight w:val="none"/>
        </w:rPr>
      </w:pPr>
      <w:r>
        <w:rPr>
          <w:rFonts w:hint="eastAsia" w:ascii="仿宋" w:hAnsi="仿宋" w:eastAsia="仿宋" w:cs="仿宋"/>
          <w:color w:val="auto"/>
          <w:kern w:val="2"/>
          <w:highlight w:val="none"/>
        </w:rPr>
        <w:t>统一社会信用代码：</w:t>
      </w:r>
    </w:p>
    <w:p w14:paraId="1C4FAF2D">
      <w:pPr>
        <w:pStyle w:val="35"/>
        <w:spacing w:before="0" w:beforeAutospacing="0" w:after="0" w:afterAutospacing="0" w:line="560" w:lineRule="exact"/>
        <w:rPr>
          <w:rFonts w:ascii="仿宋" w:hAnsi="仿宋" w:eastAsia="仿宋" w:cs="仿宋"/>
          <w:color w:val="auto"/>
          <w:highlight w:val="none"/>
        </w:rPr>
      </w:pPr>
    </w:p>
    <w:p w14:paraId="3EAC47AA">
      <w:pPr>
        <w:pStyle w:val="35"/>
        <w:spacing w:before="0" w:beforeAutospacing="0" w:after="0" w:afterAutospacing="0" w:line="560" w:lineRule="exact"/>
        <w:ind w:firstLine="3240" w:firstLineChars="1350"/>
        <w:jc w:val="right"/>
        <w:rPr>
          <w:rFonts w:ascii="仿宋" w:hAnsi="仿宋" w:eastAsia="仿宋" w:cs="仿宋"/>
          <w:color w:val="auto"/>
          <w:kern w:val="2"/>
          <w:highlight w:val="none"/>
        </w:rPr>
      </w:pPr>
      <w:r>
        <w:rPr>
          <w:rFonts w:hint="eastAsia" w:ascii="仿宋" w:hAnsi="仿宋" w:eastAsia="仿宋" w:cs="仿宋"/>
          <w:color w:val="auto"/>
          <w:kern w:val="2"/>
          <w:highlight w:val="none"/>
        </w:rPr>
        <w:t>承诺单位/个人</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rPr>
        <w:t>盖章/签名）</w:t>
      </w:r>
    </w:p>
    <w:p w14:paraId="7756A4AC">
      <w:pPr>
        <w:spacing w:line="560" w:lineRule="exact"/>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                               时间：20**年*月*日</w:t>
      </w:r>
    </w:p>
    <w:p w14:paraId="60E9B2D0">
      <w:pPr>
        <w:widowControl/>
        <w:jc w:val="left"/>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br w:type="page"/>
      </w:r>
    </w:p>
    <w:p w14:paraId="48EFBBC1">
      <w:pPr>
        <w:numPr>
          <w:ilvl w:val="0"/>
          <w:numId w:val="0"/>
        </w:numPr>
        <w:spacing w:line="360" w:lineRule="auto"/>
        <w:jc w:val="left"/>
        <w:outlineLvl w:val="1"/>
        <w:rPr>
          <w:rFonts w:ascii="仿宋" w:hAnsi="仿宋" w:eastAsia="仿宋" w:cs="仿宋"/>
          <w:b/>
          <w:bCs/>
          <w:color w:val="auto"/>
          <w:sz w:val="28"/>
          <w:szCs w:val="28"/>
          <w:highlight w:val="none"/>
        </w:rPr>
      </w:pPr>
    </w:p>
    <w:p w14:paraId="618C220E">
      <w:pPr>
        <w:numPr>
          <w:ilvl w:val="0"/>
          <w:numId w:val="6"/>
        </w:numPr>
        <w:spacing w:line="360" w:lineRule="auto"/>
        <w:jc w:val="center"/>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企业资质证书【市政公用工程施工总承包三级及以上资质</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浙江省外企业须提供有效的进浙备案证明）、具备完成地下管道检测修复服务的能力</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提供相应的证书或证明材料并加盖公章</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w:t>
      </w:r>
    </w:p>
    <w:p w14:paraId="2F3B2CA8">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420DDAC3">
      <w:pPr>
        <w:spacing w:line="360" w:lineRule="auto"/>
        <w:jc w:val="center"/>
        <w:outlineLvl w:val="1"/>
        <w:rPr>
          <w:rFonts w:hint="eastAsia" w:ascii="仿宋" w:hAnsi="仿宋" w:eastAsia="仿宋" w:cs="仿宋"/>
          <w:b/>
          <w:bCs/>
          <w:color w:val="auto"/>
          <w:sz w:val="28"/>
          <w:szCs w:val="28"/>
          <w:highlight w:val="none"/>
        </w:rPr>
      </w:pPr>
      <w:bookmarkStart w:id="69" w:name="_Toc18010"/>
    </w:p>
    <w:p w14:paraId="71A0B31B">
      <w:pPr>
        <w:spacing w:line="360" w:lineRule="auto"/>
        <w:jc w:val="center"/>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七、联合体协议</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如为联合体需提供）</w:t>
      </w:r>
    </w:p>
    <w:p w14:paraId="6DE6CB4C">
      <w:pPr>
        <w:spacing w:line="360" w:lineRule="auto"/>
        <w:jc w:val="center"/>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格式自拟</w:t>
      </w:r>
    </w:p>
    <w:p w14:paraId="6AEC30B3">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395D228D">
      <w:pPr>
        <w:spacing w:line="360" w:lineRule="auto"/>
        <w:jc w:val="center"/>
        <w:outlineLvl w:val="1"/>
        <w:rPr>
          <w:rFonts w:hint="eastAsia" w:ascii="仿宋" w:hAnsi="仿宋" w:eastAsia="仿宋" w:cs="仿宋"/>
          <w:b/>
          <w:bCs/>
          <w:color w:val="auto"/>
          <w:sz w:val="28"/>
          <w:szCs w:val="28"/>
          <w:highlight w:val="none"/>
        </w:rPr>
      </w:pPr>
    </w:p>
    <w:p w14:paraId="491F1D58">
      <w:pPr>
        <w:spacing w:line="360" w:lineRule="auto"/>
        <w:jc w:val="center"/>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八、中小企业声明函</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工程、 服务）</w:t>
      </w:r>
      <w:bookmarkEnd w:id="69"/>
    </w:p>
    <w:p w14:paraId="25FAC3FB">
      <w:pPr>
        <w:spacing w:line="560" w:lineRule="exact"/>
        <w:ind w:firstLine="720" w:firstLineChars="300"/>
        <w:rPr>
          <w:rFonts w:ascii="仿宋" w:hAnsi="仿宋" w:eastAsia="仿宋" w:cs="仿宋"/>
          <w:color w:val="auto"/>
          <w:sz w:val="24"/>
          <w:highlight w:val="none"/>
          <w:u w:val="single"/>
        </w:rPr>
      </w:pPr>
      <w:r>
        <w:rPr>
          <w:rFonts w:hint="eastAsia" w:ascii="仿宋" w:hAnsi="仿宋" w:eastAsia="仿宋" w:cs="仿宋"/>
          <w:color w:val="auto"/>
          <w:sz w:val="24"/>
          <w:highlight w:val="none"/>
        </w:rPr>
        <w:t>本公司</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联合体）郑重声明，根据《政府采购促进中小企业发展管理办法》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财库﹝2020﹞46 号）的规定，本公司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联合体）参加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单位名称 ）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或者：服务全部由符合政策要求的中小企业承接）。相关企业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含联合体中的中小企业、签订分包意向协议的中小企业）的具体情况如下： </w:t>
      </w:r>
    </w:p>
    <w:p w14:paraId="6D603FEE">
      <w:pPr>
        <w:spacing w:line="56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标的名称 ）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采购文件中明确的所属行业 ）</w:t>
      </w:r>
      <w:r>
        <w:rPr>
          <w:rFonts w:hint="eastAsia" w:ascii="仿宋" w:hAnsi="仿宋" w:eastAsia="仿宋" w:cs="仿宋"/>
          <w:color w:val="auto"/>
          <w:sz w:val="24"/>
          <w:highlight w:val="none"/>
        </w:rPr>
        <w:t xml:space="preserve"> ； 承建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，从业人员人，营业收入为万元，资产总额为万元，属于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中型企业 、小型企业 、微型企业 ） </w:t>
      </w:r>
      <w:r>
        <w:rPr>
          <w:rFonts w:hint="eastAsia" w:ascii="仿宋" w:hAnsi="仿宋" w:eastAsia="仿宋" w:cs="仿宋"/>
          <w:color w:val="auto"/>
          <w:sz w:val="24"/>
          <w:highlight w:val="none"/>
        </w:rPr>
        <w:t xml:space="preserve">； </w:t>
      </w:r>
    </w:p>
    <w:p w14:paraId="3FB0E63E">
      <w:pPr>
        <w:spacing w:line="56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标的名称 ）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采购文件中明确的所属行业 ）</w:t>
      </w:r>
      <w:r>
        <w:rPr>
          <w:rFonts w:hint="eastAsia" w:ascii="仿宋" w:hAnsi="仿宋" w:eastAsia="仿宋" w:cs="仿宋"/>
          <w:color w:val="auto"/>
          <w:sz w:val="24"/>
          <w:highlight w:val="none"/>
        </w:rPr>
        <w:t xml:space="preserve"> ； 承建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，从业人员人，营业收入为万元，资产总额为万元，属于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中型企业 、小型企业 、微型企业 ） </w:t>
      </w:r>
      <w:r>
        <w:rPr>
          <w:rFonts w:hint="eastAsia" w:ascii="仿宋" w:hAnsi="仿宋" w:eastAsia="仿宋" w:cs="仿宋"/>
          <w:color w:val="auto"/>
          <w:sz w:val="24"/>
          <w:highlight w:val="none"/>
        </w:rPr>
        <w:t>；</w:t>
      </w:r>
    </w:p>
    <w:p w14:paraId="6F5A39D3">
      <w:pPr>
        <w:spacing w:line="56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3D1FDBE">
      <w:pPr>
        <w:spacing w:line="56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58B8B61E">
      <w:pPr>
        <w:tabs>
          <w:tab w:val="left" w:pos="2996"/>
        </w:tabs>
        <w:spacing w:line="600" w:lineRule="exact"/>
        <w:ind w:firstLine="480" w:firstLineChars="200"/>
        <w:rPr>
          <w:rFonts w:ascii="仿宋" w:hAnsi="仿宋" w:eastAsia="仿宋" w:cs="仿宋"/>
          <w:color w:val="auto"/>
          <w:sz w:val="24"/>
          <w:highlight w:val="none"/>
        </w:rPr>
      </w:pPr>
    </w:p>
    <w:p w14:paraId="21146BCA">
      <w:pPr>
        <w:tabs>
          <w:tab w:val="left" w:pos="2996"/>
        </w:tabs>
        <w:spacing w:line="600" w:lineRule="exact"/>
        <w:ind w:firstLine="480" w:firstLineChars="200"/>
        <w:rPr>
          <w:rFonts w:ascii="仿宋" w:hAnsi="仿宋" w:eastAsia="仿宋" w:cs="仿宋"/>
          <w:color w:val="auto"/>
          <w:sz w:val="24"/>
          <w:highlight w:val="none"/>
        </w:rPr>
      </w:pPr>
    </w:p>
    <w:p w14:paraId="4A763EAB">
      <w:pPr>
        <w:pStyle w:val="30"/>
        <w:rPr>
          <w:color w:val="auto"/>
          <w:highlight w:val="none"/>
        </w:rPr>
      </w:pPr>
    </w:p>
    <w:p w14:paraId="6A1C33C6">
      <w:pPr>
        <w:tabs>
          <w:tab w:val="left" w:pos="2996"/>
        </w:tabs>
        <w:spacing w:line="600" w:lineRule="exact"/>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盖章）：</w:t>
      </w:r>
    </w:p>
    <w:p w14:paraId="3D4B0E7A">
      <w:pPr>
        <w:tabs>
          <w:tab w:val="left" w:pos="2996"/>
        </w:tabs>
        <w:spacing w:line="600" w:lineRule="exact"/>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406E0211">
      <w:pPr>
        <w:snapToGrid w:val="0"/>
        <w:spacing w:before="50" w:after="50" w:line="360" w:lineRule="auto"/>
        <w:jc w:val="center"/>
        <w:rPr>
          <w:rFonts w:ascii="仿宋" w:hAnsi="仿宋" w:eastAsia="仿宋" w:cs="仿宋"/>
          <w:b/>
          <w:color w:val="auto"/>
          <w:sz w:val="28"/>
          <w:szCs w:val="28"/>
          <w:highlight w:val="none"/>
        </w:rPr>
      </w:pPr>
    </w:p>
    <w:p w14:paraId="4DCDE6EE">
      <w:pPr>
        <w:widowControl/>
        <w:jc w:val="left"/>
        <w:rPr>
          <w:rFonts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p>
    <w:p w14:paraId="0D13ACF6">
      <w:pPr>
        <w:snapToGrid w:val="0"/>
        <w:spacing w:before="50" w:after="50" w:line="360" w:lineRule="auto"/>
        <w:jc w:val="center"/>
        <w:outlineLvl w:val="1"/>
        <w:rPr>
          <w:rFonts w:hint="eastAsia" w:ascii="仿宋" w:hAnsi="仿宋" w:eastAsia="仿宋" w:cs="仿宋"/>
          <w:b/>
          <w:color w:val="auto"/>
          <w:sz w:val="28"/>
          <w:szCs w:val="28"/>
          <w:highlight w:val="none"/>
        </w:rPr>
      </w:pPr>
      <w:bookmarkStart w:id="70" w:name="_Toc6611"/>
    </w:p>
    <w:p w14:paraId="64404966">
      <w:pPr>
        <w:snapToGrid w:val="0"/>
        <w:spacing w:before="50" w:after="50"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九、监狱企业声明函</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如有）</w:t>
      </w:r>
      <w:bookmarkEnd w:id="70"/>
    </w:p>
    <w:p w14:paraId="672830E9">
      <w:pPr>
        <w:pStyle w:val="33"/>
        <w:spacing w:line="460" w:lineRule="exact"/>
        <w:jc w:val="center"/>
        <w:rPr>
          <w:rFonts w:ascii="仿宋" w:hAnsi="仿宋" w:eastAsia="仿宋" w:cs="仿宋"/>
          <w:color w:val="auto"/>
          <w:highlight w:val="none"/>
        </w:rPr>
      </w:pPr>
      <w:r>
        <w:rPr>
          <w:rFonts w:hint="eastAsia" w:ascii="仿宋" w:hAnsi="仿宋" w:eastAsia="仿宋" w:cs="仿宋"/>
          <w:color w:val="auto"/>
          <w:highlight w:val="none"/>
        </w:rPr>
        <w:t>【非监狱企业的不用提供】</w:t>
      </w:r>
    </w:p>
    <w:p w14:paraId="0964FB09">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本企业郑重声明，根据《关于政府采购支持监狱企业发展有关问题的通知》</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财库[2014]68号）的规定，本企业为监狱企业。 </w:t>
      </w:r>
    </w:p>
    <w:p w14:paraId="625DFB06">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根据上述标准，我企业属于监狱企业的理由为: </w:t>
      </w:r>
    </w:p>
    <w:p w14:paraId="29FFF9BC">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本企业为参加</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rPr>
        <w:t xml:space="preserve">项目名称: </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rPr>
        <w:t xml:space="preserve">项目编号: </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rPr>
        <w:t xml:space="preserve">采购活动提供本企业的产品。 </w:t>
      </w:r>
    </w:p>
    <w:p w14:paraId="6932F68D">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本企业对上述声明的真实性负责。如有虚假，将依法承担相应责任。 </w:t>
      </w:r>
    </w:p>
    <w:p w14:paraId="688471FB">
      <w:pPr>
        <w:pStyle w:val="33"/>
        <w:spacing w:line="460" w:lineRule="exact"/>
        <w:ind w:firstLine="480" w:firstLineChars="200"/>
        <w:rPr>
          <w:rFonts w:ascii="仿宋" w:hAnsi="仿宋" w:eastAsia="仿宋" w:cs="仿宋"/>
          <w:color w:val="auto"/>
          <w:highlight w:val="none"/>
        </w:rPr>
      </w:pPr>
    </w:p>
    <w:p w14:paraId="6B409B7D">
      <w:pPr>
        <w:pStyle w:val="33"/>
        <w:spacing w:line="460" w:lineRule="exact"/>
        <w:ind w:firstLine="480" w:firstLineChars="200"/>
        <w:rPr>
          <w:rFonts w:ascii="仿宋" w:hAnsi="仿宋" w:eastAsia="仿宋" w:cs="仿宋"/>
          <w:color w:val="auto"/>
          <w:highlight w:val="none"/>
        </w:rPr>
      </w:pPr>
    </w:p>
    <w:p w14:paraId="53F22495">
      <w:pPr>
        <w:pStyle w:val="33"/>
        <w:spacing w:line="460" w:lineRule="exact"/>
        <w:rPr>
          <w:rFonts w:ascii="仿宋" w:hAnsi="仿宋" w:eastAsia="仿宋" w:cs="仿宋"/>
          <w:color w:val="auto"/>
          <w:highlight w:val="none"/>
        </w:rPr>
      </w:pPr>
      <w:r>
        <w:rPr>
          <w:rFonts w:hint="eastAsia" w:ascii="仿宋" w:hAnsi="仿宋" w:eastAsia="仿宋" w:cs="仿宋"/>
          <w:color w:val="auto"/>
          <w:highlight w:val="none"/>
        </w:rPr>
        <w:t>投标人名称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盖章</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 </w:t>
      </w:r>
    </w:p>
    <w:p w14:paraId="469B178B">
      <w:pPr>
        <w:pStyle w:val="33"/>
        <w:spacing w:line="460" w:lineRule="exact"/>
        <w:rPr>
          <w:rFonts w:ascii="仿宋" w:hAnsi="仿宋" w:eastAsia="仿宋" w:cs="仿宋"/>
          <w:color w:val="auto"/>
          <w:highlight w:val="none"/>
        </w:rPr>
      </w:pPr>
    </w:p>
    <w:p w14:paraId="24B09756">
      <w:pPr>
        <w:pStyle w:val="33"/>
        <w:spacing w:line="460" w:lineRule="exact"/>
        <w:rPr>
          <w:rFonts w:ascii="仿宋" w:hAnsi="仿宋" w:eastAsia="仿宋" w:cs="仿宋"/>
          <w:color w:val="auto"/>
          <w:highlight w:val="none"/>
        </w:rPr>
      </w:pPr>
      <w:r>
        <w:rPr>
          <w:rFonts w:hint="eastAsia" w:ascii="仿宋" w:hAnsi="仿宋" w:eastAsia="仿宋" w:cs="仿宋"/>
          <w:color w:val="auto"/>
          <w:highlight w:val="none"/>
        </w:rPr>
        <w:t xml:space="preserve">日期: 年 月 日 </w:t>
      </w:r>
    </w:p>
    <w:p w14:paraId="1B6BAC80">
      <w:pPr>
        <w:pStyle w:val="33"/>
        <w:spacing w:line="460" w:lineRule="exact"/>
        <w:rPr>
          <w:rFonts w:ascii="仿宋" w:hAnsi="仿宋" w:eastAsia="仿宋" w:cs="仿宋"/>
          <w:color w:val="auto"/>
          <w:highlight w:val="none"/>
        </w:rPr>
      </w:pPr>
    </w:p>
    <w:p w14:paraId="4C9E2749">
      <w:pPr>
        <w:snapToGrid w:val="0"/>
        <w:spacing w:beforeLines="50" w:after="50" w:line="4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监狱企业参加政府采购活动时，应当提供由省级以上监狱管理局、戒毒管理局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含新疆生产建设兵团</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出具的属于监狱企业的证明文件。</w:t>
      </w:r>
    </w:p>
    <w:p w14:paraId="5C9960F9">
      <w:pPr>
        <w:snapToGrid w:val="0"/>
        <w:spacing w:beforeLines="50" w:after="50" w:line="4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设区的市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监狱、强制隔离戒毒所、戒毒康复所，以及新疆生产建设兵团监狱管理局、戒毒管理局的企业。</w:t>
      </w:r>
    </w:p>
    <w:p w14:paraId="1932F580">
      <w:pPr>
        <w:pStyle w:val="33"/>
        <w:spacing w:line="460" w:lineRule="exact"/>
        <w:rPr>
          <w:rFonts w:ascii="仿宋" w:hAnsi="仿宋" w:eastAsia="仿宋" w:cs="仿宋"/>
          <w:color w:val="auto"/>
          <w:highlight w:val="none"/>
        </w:rPr>
      </w:pPr>
    </w:p>
    <w:p w14:paraId="7E9FE9E5">
      <w:pPr>
        <w:widowControl/>
        <w:jc w:val="left"/>
        <w:rPr>
          <w:rFonts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p>
    <w:p w14:paraId="3E14AC3E">
      <w:pPr>
        <w:snapToGrid w:val="0"/>
        <w:spacing w:before="50" w:after="50" w:line="360" w:lineRule="auto"/>
        <w:jc w:val="center"/>
        <w:outlineLvl w:val="1"/>
        <w:rPr>
          <w:rFonts w:hint="eastAsia" w:ascii="仿宋" w:hAnsi="仿宋" w:eastAsia="仿宋" w:cs="仿宋"/>
          <w:b/>
          <w:color w:val="auto"/>
          <w:sz w:val="28"/>
          <w:szCs w:val="28"/>
          <w:highlight w:val="none"/>
        </w:rPr>
      </w:pPr>
      <w:bookmarkStart w:id="71" w:name="_Toc16119"/>
    </w:p>
    <w:p w14:paraId="5ECB7BFC">
      <w:pPr>
        <w:snapToGrid w:val="0"/>
        <w:spacing w:before="50" w:after="50"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十、残疾人福利性单位声明函</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如有）</w:t>
      </w:r>
      <w:bookmarkEnd w:id="71"/>
    </w:p>
    <w:p w14:paraId="7C00BC5F">
      <w:pPr>
        <w:pStyle w:val="33"/>
        <w:spacing w:line="460" w:lineRule="exact"/>
        <w:jc w:val="center"/>
        <w:rPr>
          <w:rFonts w:ascii="仿宋" w:hAnsi="仿宋" w:eastAsia="仿宋" w:cs="仿宋"/>
          <w:color w:val="auto"/>
          <w:highlight w:val="none"/>
        </w:rPr>
      </w:pPr>
      <w:r>
        <w:rPr>
          <w:rFonts w:hint="eastAsia" w:ascii="仿宋" w:hAnsi="仿宋" w:eastAsia="仿宋" w:cs="仿宋"/>
          <w:color w:val="auto"/>
          <w:highlight w:val="none"/>
        </w:rPr>
        <w:t>【非残疾人福利性单位不用提供】</w:t>
      </w:r>
    </w:p>
    <w:p w14:paraId="5756E785">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本单位郑重声明，根据《财政部民政部中国残疾人联合会关于促进残疾人就业政府采购政策的通知》</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财库</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2017</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141号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的规定。本单位为符合条件的残疾人福利性单位，且本单位参加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rPr>
        <w:t>采购人名称</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rPr>
        <w:t>单位的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rPr>
        <w:t>项目采购活动提供本单位制造的货物</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由本单位承担工程/提供服务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，成者提供其他残疾人福利性单位制造的货物</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不包括使用非残疾人福利性单位</w:t>
      </w:r>
      <w:r>
        <w:rPr>
          <w:rFonts w:hint="eastAsia" w:ascii="仿宋" w:hAnsi="仿宋" w:eastAsia="仿宋" w:cs="仿宋"/>
          <w:color w:val="auto"/>
          <w:highlight w:val="none"/>
          <w:lang w:eastAsia="zh-CN"/>
        </w:rPr>
        <w:t>注册商标</w:t>
      </w:r>
      <w:r>
        <w:rPr>
          <w:rFonts w:hint="eastAsia" w:ascii="仿宋" w:hAnsi="仿宋" w:eastAsia="仿宋" w:cs="仿宋"/>
          <w:color w:val="auto"/>
          <w:highlight w:val="none"/>
        </w:rPr>
        <w:t>的货物</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w:t>
      </w:r>
    </w:p>
    <w:p w14:paraId="32BCD061">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本单位对上述声明的真实性负责，如有虚假，将依法</w:t>
      </w:r>
      <w:r>
        <w:rPr>
          <w:rFonts w:hint="eastAsia" w:ascii="仿宋" w:hAnsi="仿宋" w:eastAsia="仿宋" w:cs="仿宋"/>
          <w:color w:val="auto"/>
          <w:highlight w:val="none"/>
          <w:lang w:eastAsia="zh-CN"/>
        </w:rPr>
        <w:t>承担</w:t>
      </w:r>
      <w:r>
        <w:rPr>
          <w:rFonts w:hint="eastAsia" w:ascii="仿宋" w:hAnsi="仿宋" w:eastAsia="仿宋" w:cs="仿宋"/>
          <w:color w:val="auto"/>
          <w:highlight w:val="none"/>
        </w:rPr>
        <w:t xml:space="preserve">相应责任。 </w:t>
      </w:r>
    </w:p>
    <w:p w14:paraId="06A029EF">
      <w:pPr>
        <w:pStyle w:val="33"/>
        <w:spacing w:line="460" w:lineRule="exact"/>
        <w:ind w:firstLine="480" w:firstLineChars="200"/>
        <w:rPr>
          <w:rFonts w:ascii="仿宋" w:hAnsi="仿宋" w:eastAsia="仿宋" w:cs="仿宋"/>
          <w:color w:val="auto"/>
          <w:highlight w:val="none"/>
        </w:rPr>
      </w:pPr>
    </w:p>
    <w:p w14:paraId="59C5E83E">
      <w:pPr>
        <w:pStyle w:val="33"/>
        <w:spacing w:line="460" w:lineRule="exact"/>
        <w:rPr>
          <w:rFonts w:ascii="仿宋" w:hAnsi="仿宋" w:eastAsia="仿宋" w:cs="仿宋"/>
          <w:color w:val="auto"/>
          <w:highlight w:val="none"/>
        </w:rPr>
      </w:pPr>
      <w:r>
        <w:rPr>
          <w:rFonts w:hint="eastAsia" w:ascii="仿宋" w:hAnsi="仿宋" w:eastAsia="仿宋" w:cs="仿宋"/>
          <w:color w:val="auto"/>
          <w:highlight w:val="none"/>
        </w:rPr>
        <w:t>投标人名称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盖章</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w:t>
      </w:r>
    </w:p>
    <w:p w14:paraId="1535F2F1">
      <w:pPr>
        <w:pStyle w:val="33"/>
        <w:spacing w:line="460" w:lineRule="exact"/>
        <w:rPr>
          <w:rFonts w:ascii="仿宋" w:hAnsi="仿宋" w:eastAsia="仿宋" w:cs="仿宋"/>
          <w:color w:val="auto"/>
          <w:highlight w:val="none"/>
        </w:rPr>
      </w:pPr>
    </w:p>
    <w:p w14:paraId="74CB431F">
      <w:pPr>
        <w:snapToGrid w:val="0"/>
        <w:spacing w:beforeLines="50" w:after="50"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501413B">
      <w:pPr>
        <w:pStyle w:val="33"/>
        <w:spacing w:line="460" w:lineRule="exact"/>
        <w:jc w:val="center"/>
        <w:rPr>
          <w:rFonts w:ascii="仿宋" w:hAnsi="仿宋" w:eastAsia="仿宋" w:cs="仿宋"/>
          <w:b/>
          <w:bCs/>
          <w:color w:val="auto"/>
          <w:highlight w:val="none"/>
        </w:rPr>
      </w:pPr>
    </w:p>
    <w:p w14:paraId="5C4C5260">
      <w:pPr>
        <w:widowControl/>
        <w:jc w:val="left"/>
        <w:rPr>
          <w:rFonts w:ascii="仿宋" w:hAnsi="仿宋" w:eastAsia="仿宋" w:cs="仿宋"/>
          <w:b/>
          <w:bCs/>
          <w:color w:val="auto"/>
          <w:kern w:val="0"/>
          <w:sz w:val="24"/>
          <w:highlight w:val="none"/>
        </w:rPr>
      </w:pPr>
      <w:r>
        <w:rPr>
          <w:rFonts w:ascii="仿宋" w:hAnsi="仿宋" w:eastAsia="仿宋" w:cs="仿宋"/>
          <w:b/>
          <w:bCs/>
          <w:color w:val="auto"/>
          <w:highlight w:val="none"/>
        </w:rPr>
        <w:br w:type="page"/>
      </w:r>
    </w:p>
    <w:p w14:paraId="0874000B">
      <w:pPr>
        <w:snapToGrid w:val="0"/>
        <w:spacing w:before="50" w:after="50" w:line="360" w:lineRule="auto"/>
        <w:jc w:val="center"/>
        <w:outlineLvl w:val="1"/>
        <w:rPr>
          <w:rFonts w:hint="eastAsia" w:ascii="仿宋" w:hAnsi="仿宋" w:eastAsia="仿宋" w:cs="仿宋"/>
          <w:b/>
          <w:color w:val="auto"/>
          <w:sz w:val="28"/>
          <w:szCs w:val="28"/>
          <w:highlight w:val="none"/>
        </w:rPr>
      </w:pPr>
      <w:bookmarkStart w:id="72" w:name="_Toc19155"/>
      <w:bookmarkStart w:id="73" w:name="_Toc12096"/>
      <w:bookmarkStart w:id="74" w:name="_Toc10370"/>
    </w:p>
    <w:p w14:paraId="3124ADC5">
      <w:pPr>
        <w:snapToGrid w:val="0"/>
        <w:spacing w:before="50" w:after="50"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十一、</w:t>
      </w:r>
      <w:r>
        <w:rPr>
          <w:rFonts w:hint="eastAsia" w:ascii="仿宋" w:hAnsi="仿宋" w:eastAsia="仿宋" w:cs="仿宋"/>
          <w:b/>
          <w:color w:val="auto"/>
          <w:sz w:val="28"/>
          <w:szCs w:val="28"/>
          <w:highlight w:val="none"/>
        </w:rPr>
        <w:t>投标人自评分索引表</w:t>
      </w:r>
      <w:bookmarkEnd w:id="72"/>
      <w:bookmarkEnd w:id="73"/>
      <w:bookmarkEnd w:id="74"/>
    </w:p>
    <w:p w14:paraId="273CDC2A">
      <w:pPr>
        <w:snapToGrid w:val="0"/>
        <w:spacing w:beforeLines="50" w:after="50"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投标人全称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公章）：</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835"/>
        <w:gridCol w:w="1329"/>
        <w:gridCol w:w="2181"/>
      </w:tblGrid>
      <w:tr w14:paraId="5B3F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E1D6AD9">
            <w:pPr>
              <w:snapToGrid w:val="0"/>
              <w:spacing w:beforeLines="50" w:after="50"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评分项目</w:t>
            </w:r>
          </w:p>
        </w:tc>
        <w:tc>
          <w:tcPr>
            <w:tcW w:w="2835" w:type="dxa"/>
            <w:vAlign w:val="center"/>
          </w:tcPr>
          <w:p w14:paraId="5712C2DA">
            <w:pPr>
              <w:snapToGrid w:val="0"/>
              <w:spacing w:beforeLines="50" w:after="50"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投标文件对应资料</w:t>
            </w:r>
          </w:p>
        </w:tc>
        <w:tc>
          <w:tcPr>
            <w:tcW w:w="1329" w:type="dxa"/>
            <w:vAlign w:val="center"/>
          </w:tcPr>
          <w:p w14:paraId="0ADE21F6">
            <w:pPr>
              <w:snapToGrid w:val="0"/>
              <w:spacing w:beforeLines="50" w:after="50"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自评分</w:t>
            </w:r>
          </w:p>
        </w:tc>
        <w:tc>
          <w:tcPr>
            <w:tcW w:w="2181" w:type="dxa"/>
            <w:vAlign w:val="center"/>
          </w:tcPr>
          <w:p w14:paraId="4FF9BE6F">
            <w:pPr>
              <w:snapToGrid w:val="0"/>
              <w:spacing w:beforeLines="50" w:after="50"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投标文件页码</w:t>
            </w:r>
          </w:p>
        </w:tc>
      </w:tr>
      <w:tr w14:paraId="253F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DEA5F15">
            <w:pPr>
              <w:snapToGrid w:val="0"/>
              <w:spacing w:beforeLines="50" w:after="50"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对应第四章评分办法及评分标准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报价除外）</w:t>
            </w:r>
          </w:p>
        </w:tc>
        <w:tc>
          <w:tcPr>
            <w:tcW w:w="2835" w:type="dxa"/>
            <w:vAlign w:val="center"/>
          </w:tcPr>
          <w:p w14:paraId="3E511E01">
            <w:pPr>
              <w:snapToGrid w:val="0"/>
              <w:spacing w:beforeLines="50" w:after="50" w:line="460" w:lineRule="exact"/>
              <w:jc w:val="center"/>
              <w:rPr>
                <w:rFonts w:ascii="仿宋" w:hAnsi="仿宋" w:eastAsia="仿宋" w:cs="仿宋"/>
                <w:color w:val="auto"/>
                <w:sz w:val="24"/>
                <w:highlight w:val="none"/>
              </w:rPr>
            </w:pPr>
          </w:p>
        </w:tc>
        <w:tc>
          <w:tcPr>
            <w:tcW w:w="1329" w:type="dxa"/>
            <w:vAlign w:val="center"/>
          </w:tcPr>
          <w:p w14:paraId="4A873EA7">
            <w:pPr>
              <w:snapToGrid w:val="0"/>
              <w:spacing w:beforeLines="50" w:after="50" w:line="460" w:lineRule="exact"/>
              <w:jc w:val="center"/>
              <w:rPr>
                <w:rFonts w:ascii="仿宋" w:hAnsi="仿宋" w:eastAsia="仿宋" w:cs="仿宋"/>
                <w:color w:val="auto"/>
                <w:sz w:val="24"/>
                <w:highlight w:val="none"/>
              </w:rPr>
            </w:pPr>
          </w:p>
        </w:tc>
        <w:tc>
          <w:tcPr>
            <w:tcW w:w="2181" w:type="dxa"/>
            <w:vAlign w:val="center"/>
          </w:tcPr>
          <w:p w14:paraId="07776AE8">
            <w:pPr>
              <w:snapToGrid w:val="0"/>
              <w:spacing w:beforeLines="50" w:after="50" w:line="460" w:lineRule="exact"/>
              <w:jc w:val="center"/>
              <w:rPr>
                <w:rFonts w:ascii="仿宋" w:hAnsi="仿宋" w:eastAsia="仿宋" w:cs="仿宋"/>
                <w:color w:val="auto"/>
                <w:sz w:val="24"/>
                <w:highlight w:val="none"/>
              </w:rPr>
            </w:pPr>
          </w:p>
        </w:tc>
      </w:tr>
      <w:tr w14:paraId="124B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34813965">
            <w:pPr>
              <w:snapToGrid w:val="0"/>
              <w:spacing w:beforeLines="50" w:after="50"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835" w:type="dxa"/>
            <w:vAlign w:val="center"/>
          </w:tcPr>
          <w:p w14:paraId="4AC46C15">
            <w:pPr>
              <w:snapToGrid w:val="0"/>
              <w:spacing w:beforeLines="50" w:after="50" w:line="460" w:lineRule="exact"/>
              <w:jc w:val="center"/>
              <w:rPr>
                <w:rFonts w:ascii="仿宋" w:hAnsi="仿宋" w:eastAsia="仿宋" w:cs="仿宋"/>
                <w:color w:val="auto"/>
                <w:sz w:val="24"/>
                <w:highlight w:val="none"/>
              </w:rPr>
            </w:pPr>
          </w:p>
        </w:tc>
        <w:tc>
          <w:tcPr>
            <w:tcW w:w="1329" w:type="dxa"/>
            <w:vAlign w:val="center"/>
          </w:tcPr>
          <w:p w14:paraId="3B8B9F97">
            <w:pPr>
              <w:snapToGrid w:val="0"/>
              <w:spacing w:beforeLines="50" w:after="50" w:line="460" w:lineRule="exact"/>
              <w:jc w:val="center"/>
              <w:rPr>
                <w:rFonts w:ascii="仿宋" w:hAnsi="仿宋" w:eastAsia="仿宋" w:cs="仿宋"/>
                <w:color w:val="auto"/>
                <w:sz w:val="24"/>
                <w:highlight w:val="none"/>
              </w:rPr>
            </w:pPr>
          </w:p>
        </w:tc>
        <w:tc>
          <w:tcPr>
            <w:tcW w:w="2181" w:type="dxa"/>
            <w:vAlign w:val="center"/>
          </w:tcPr>
          <w:p w14:paraId="698FF7D2">
            <w:pPr>
              <w:snapToGrid w:val="0"/>
              <w:spacing w:beforeLines="50" w:after="50" w:line="460" w:lineRule="exact"/>
              <w:jc w:val="center"/>
              <w:rPr>
                <w:rFonts w:ascii="仿宋" w:hAnsi="仿宋" w:eastAsia="仿宋" w:cs="仿宋"/>
                <w:color w:val="auto"/>
                <w:sz w:val="24"/>
                <w:highlight w:val="none"/>
              </w:rPr>
            </w:pPr>
          </w:p>
        </w:tc>
      </w:tr>
      <w:tr w14:paraId="0FA6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168F3FF3">
            <w:pPr>
              <w:snapToGrid w:val="0"/>
              <w:spacing w:beforeLines="50" w:after="50" w:line="460" w:lineRule="exact"/>
              <w:jc w:val="center"/>
              <w:rPr>
                <w:rFonts w:ascii="仿宋" w:hAnsi="仿宋" w:eastAsia="仿宋" w:cs="仿宋"/>
                <w:color w:val="auto"/>
                <w:sz w:val="24"/>
                <w:highlight w:val="none"/>
              </w:rPr>
            </w:pPr>
          </w:p>
        </w:tc>
        <w:tc>
          <w:tcPr>
            <w:tcW w:w="2835" w:type="dxa"/>
            <w:vAlign w:val="center"/>
          </w:tcPr>
          <w:p w14:paraId="1D7872B7">
            <w:pPr>
              <w:snapToGrid w:val="0"/>
              <w:spacing w:beforeLines="50" w:after="50" w:line="460" w:lineRule="exact"/>
              <w:jc w:val="center"/>
              <w:rPr>
                <w:rFonts w:ascii="仿宋" w:hAnsi="仿宋" w:eastAsia="仿宋" w:cs="仿宋"/>
                <w:color w:val="auto"/>
                <w:sz w:val="24"/>
                <w:highlight w:val="none"/>
              </w:rPr>
            </w:pPr>
          </w:p>
        </w:tc>
        <w:tc>
          <w:tcPr>
            <w:tcW w:w="1329" w:type="dxa"/>
            <w:vAlign w:val="center"/>
          </w:tcPr>
          <w:p w14:paraId="341B4418">
            <w:pPr>
              <w:snapToGrid w:val="0"/>
              <w:spacing w:beforeLines="50" w:after="50" w:line="460" w:lineRule="exact"/>
              <w:jc w:val="center"/>
              <w:rPr>
                <w:rFonts w:ascii="仿宋" w:hAnsi="仿宋" w:eastAsia="仿宋" w:cs="仿宋"/>
                <w:color w:val="auto"/>
                <w:sz w:val="24"/>
                <w:highlight w:val="none"/>
              </w:rPr>
            </w:pPr>
          </w:p>
        </w:tc>
        <w:tc>
          <w:tcPr>
            <w:tcW w:w="2181" w:type="dxa"/>
            <w:vAlign w:val="center"/>
          </w:tcPr>
          <w:p w14:paraId="1FA43334">
            <w:pPr>
              <w:snapToGrid w:val="0"/>
              <w:spacing w:beforeLines="50" w:after="50" w:line="460" w:lineRule="exact"/>
              <w:jc w:val="center"/>
              <w:rPr>
                <w:rFonts w:ascii="仿宋" w:hAnsi="仿宋" w:eastAsia="仿宋" w:cs="仿宋"/>
                <w:color w:val="auto"/>
                <w:sz w:val="24"/>
                <w:highlight w:val="none"/>
              </w:rPr>
            </w:pPr>
          </w:p>
        </w:tc>
      </w:tr>
      <w:tr w14:paraId="71A0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A672446">
            <w:pPr>
              <w:snapToGrid w:val="0"/>
              <w:spacing w:beforeLines="50" w:after="50" w:line="460" w:lineRule="exact"/>
              <w:jc w:val="center"/>
              <w:rPr>
                <w:rFonts w:ascii="仿宋" w:hAnsi="仿宋" w:eastAsia="仿宋" w:cs="仿宋"/>
                <w:color w:val="auto"/>
                <w:sz w:val="24"/>
                <w:highlight w:val="none"/>
              </w:rPr>
            </w:pPr>
          </w:p>
        </w:tc>
        <w:tc>
          <w:tcPr>
            <w:tcW w:w="2835" w:type="dxa"/>
            <w:vAlign w:val="center"/>
          </w:tcPr>
          <w:p w14:paraId="6D357E0B">
            <w:pPr>
              <w:snapToGrid w:val="0"/>
              <w:spacing w:beforeLines="50" w:after="50" w:line="460" w:lineRule="exact"/>
              <w:jc w:val="center"/>
              <w:rPr>
                <w:rFonts w:ascii="仿宋" w:hAnsi="仿宋" w:eastAsia="仿宋" w:cs="仿宋"/>
                <w:color w:val="auto"/>
                <w:sz w:val="24"/>
                <w:highlight w:val="none"/>
              </w:rPr>
            </w:pPr>
          </w:p>
        </w:tc>
        <w:tc>
          <w:tcPr>
            <w:tcW w:w="1329" w:type="dxa"/>
            <w:vAlign w:val="center"/>
          </w:tcPr>
          <w:p w14:paraId="41EC36C5">
            <w:pPr>
              <w:snapToGrid w:val="0"/>
              <w:spacing w:beforeLines="50" w:after="50" w:line="460" w:lineRule="exact"/>
              <w:jc w:val="center"/>
              <w:rPr>
                <w:rFonts w:ascii="仿宋" w:hAnsi="仿宋" w:eastAsia="仿宋" w:cs="仿宋"/>
                <w:color w:val="auto"/>
                <w:sz w:val="24"/>
                <w:highlight w:val="none"/>
              </w:rPr>
            </w:pPr>
          </w:p>
        </w:tc>
        <w:tc>
          <w:tcPr>
            <w:tcW w:w="2181" w:type="dxa"/>
            <w:vAlign w:val="center"/>
          </w:tcPr>
          <w:p w14:paraId="73364AD6">
            <w:pPr>
              <w:snapToGrid w:val="0"/>
              <w:spacing w:beforeLines="50" w:after="50" w:line="460" w:lineRule="exact"/>
              <w:jc w:val="center"/>
              <w:rPr>
                <w:rFonts w:ascii="仿宋" w:hAnsi="仿宋" w:eastAsia="仿宋" w:cs="仿宋"/>
                <w:color w:val="auto"/>
                <w:sz w:val="24"/>
                <w:highlight w:val="none"/>
              </w:rPr>
            </w:pPr>
          </w:p>
        </w:tc>
      </w:tr>
      <w:tr w14:paraId="0717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7503898D">
            <w:pPr>
              <w:snapToGrid w:val="0"/>
              <w:spacing w:beforeLines="50" w:after="50" w:line="460" w:lineRule="exact"/>
              <w:jc w:val="center"/>
              <w:rPr>
                <w:rFonts w:ascii="仿宋" w:hAnsi="仿宋" w:eastAsia="仿宋" w:cs="仿宋"/>
                <w:color w:val="auto"/>
                <w:sz w:val="24"/>
                <w:highlight w:val="none"/>
              </w:rPr>
            </w:pPr>
          </w:p>
        </w:tc>
        <w:tc>
          <w:tcPr>
            <w:tcW w:w="2835" w:type="dxa"/>
            <w:vAlign w:val="center"/>
          </w:tcPr>
          <w:p w14:paraId="02B798DB">
            <w:pPr>
              <w:snapToGrid w:val="0"/>
              <w:spacing w:beforeLines="50" w:after="50" w:line="460" w:lineRule="exact"/>
              <w:jc w:val="center"/>
              <w:rPr>
                <w:rFonts w:ascii="仿宋" w:hAnsi="仿宋" w:eastAsia="仿宋" w:cs="仿宋"/>
                <w:color w:val="auto"/>
                <w:sz w:val="24"/>
                <w:highlight w:val="none"/>
              </w:rPr>
            </w:pPr>
          </w:p>
        </w:tc>
        <w:tc>
          <w:tcPr>
            <w:tcW w:w="1329" w:type="dxa"/>
            <w:vAlign w:val="center"/>
          </w:tcPr>
          <w:p w14:paraId="55BAB282">
            <w:pPr>
              <w:snapToGrid w:val="0"/>
              <w:spacing w:beforeLines="50" w:after="50" w:line="460" w:lineRule="exact"/>
              <w:jc w:val="center"/>
              <w:rPr>
                <w:rFonts w:ascii="仿宋" w:hAnsi="仿宋" w:eastAsia="仿宋" w:cs="仿宋"/>
                <w:color w:val="auto"/>
                <w:sz w:val="24"/>
                <w:highlight w:val="none"/>
              </w:rPr>
            </w:pPr>
          </w:p>
        </w:tc>
        <w:tc>
          <w:tcPr>
            <w:tcW w:w="2181" w:type="dxa"/>
            <w:vAlign w:val="center"/>
          </w:tcPr>
          <w:p w14:paraId="0E49EF3F">
            <w:pPr>
              <w:snapToGrid w:val="0"/>
              <w:spacing w:beforeLines="50" w:after="50" w:line="460" w:lineRule="exact"/>
              <w:jc w:val="center"/>
              <w:rPr>
                <w:rFonts w:ascii="仿宋" w:hAnsi="仿宋" w:eastAsia="仿宋" w:cs="仿宋"/>
                <w:color w:val="auto"/>
                <w:sz w:val="24"/>
                <w:highlight w:val="none"/>
              </w:rPr>
            </w:pPr>
          </w:p>
        </w:tc>
      </w:tr>
      <w:tr w14:paraId="61B4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A95055A">
            <w:pPr>
              <w:snapToGrid w:val="0"/>
              <w:spacing w:beforeLines="50" w:after="50" w:line="460" w:lineRule="exact"/>
              <w:jc w:val="center"/>
              <w:rPr>
                <w:rFonts w:ascii="仿宋" w:hAnsi="仿宋" w:eastAsia="仿宋" w:cs="仿宋"/>
                <w:color w:val="auto"/>
                <w:sz w:val="24"/>
                <w:highlight w:val="none"/>
              </w:rPr>
            </w:pPr>
          </w:p>
        </w:tc>
        <w:tc>
          <w:tcPr>
            <w:tcW w:w="2835" w:type="dxa"/>
            <w:vAlign w:val="center"/>
          </w:tcPr>
          <w:p w14:paraId="6118B3CC">
            <w:pPr>
              <w:snapToGrid w:val="0"/>
              <w:spacing w:beforeLines="50" w:after="50" w:line="460" w:lineRule="exact"/>
              <w:jc w:val="center"/>
              <w:rPr>
                <w:rFonts w:ascii="仿宋" w:hAnsi="仿宋" w:eastAsia="仿宋" w:cs="仿宋"/>
                <w:color w:val="auto"/>
                <w:sz w:val="24"/>
                <w:highlight w:val="none"/>
              </w:rPr>
            </w:pPr>
          </w:p>
        </w:tc>
        <w:tc>
          <w:tcPr>
            <w:tcW w:w="1329" w:type="dxa"/>
            <w:vAlign w:val="center"/>
          </w:tcPr>
          <w:p w14:paraId="69C8903E">
            <w:pPr>
              <w:snapToGrid w:val="0"/>
              <w:spacing w:beforeLines="50" w:after="50" w:line="460" w:lineRule="exact"/>
              <w:jc w:val="center"/>
              <w:rPr>
                <w:rFonts w:ascii="仿宋" w:hAnsi="仿宋" w:eastAsia="仿宋" w:cs="仿宋"/>
                <w:color w:val="auto"/>
                <w:sz w:val="24"/>
                <w:highlight w:val="none"/>
              </w:rPr>
            </w:pPr>
          </w:p>
        </w:tc>
        <w:tc>
          <w:tcPr>
            <w:tcW w:w="2181" w:type="dxa"/>
            <w:vAlign w:val="center"/>
          </w:tcPr>
          <w:p w14:paraId="1B73A710">
            <w:pPr>
              <w:snapToGrid w:val="0"/>
              <w:spacing w:beforeLines="50" w:after="50" w:line="460" w:lineRule="exact"/>
              <w:jc w:val="center"/>
              <w:rPr>
                <w:rFonts w:ascii="仿宋" w:hAnsi="仿宋" w:eastAsia="仿宋" w:cs="仿宋"/>
                <w:color w:val="auto"/>
                <w:sz w:val="24"/>
                <w:highlight w:val="none"/>
              </w:rPr>
            </w:pPr>
          </w:p>
        </w:tc>
      </w:tr>
    </w:tbl>
    <w:p w14:paraId="367A3C20">
      <w:pPr>
        <w:snapToGrid w:val="0"/>
        <w:spacing w:beforeLines="50" w:after="50" w:line="460" w:lineRule="exact"/>
        <w:jc w:val="left"/>
        <w:rPr>
          <w:rFonts w:ascii="仿宋" w:hAnsi="仿宋" w:eastAsia="仿宋" w:cs="仿宋"/>
          <w:color w:val="auto"/>
          <w:sz w:val="24"/>
          <w:highlight w:val="none"/>
        </w:rPr>
      </w:pPr>
    </w:p>
    <w:p w14:paraId="78F80C84">
      <w:pPr>
        <w:snapToGrid w:val="0"/>
        <w:spacing w:beforeLines="50" w:after="50" w:line="460" w:lineRule="exact"/>
        <w:jc w:val="left"/>
        <w:rPr>
          <w:rFonts w:ascii="仿宋" w:hAnsi="仿宋" w:eastAsia="仿宋" w:cs="仿宋"/>
          <w:color w:val="auto"/>
          <w:sz w:val="24"/>
          <w:highlight w:val="none"/>
        </w:rPr>
      </w:pPr>
    </w:p>
    <w:p w14:paraId="1FAF1FAF">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法定代表人或其授权代理人签字：</w:t>
      </w:r>
    </w:p>
    <w:p w14:paraId="5883000C">
      <w:pPr>
        <w:snapToGrid w:val="0"/>
        <w:spacing w:beforeLines="50" w:after="50" w:line="460" w:lineRule="exact"/>
        <w:jc w:val="left"/>
        <w:rPr>
          <w:rFonts w:ascii="仿宋" w:hAnsi="仿宋" w:eastAsia="仿宋" w:cs="仿宋"/>
          <w:color w:val="auto"/>
          <w:sz w:val="24"/>
          <w:highlight w:val="none"/>
        </w:rPr>
      </w:pPr>
    </w:p>
    <w:p w14:paraId="5C4BBB9D">
      <w:pPr>
        <w:snapToGrid w:val="0"/>
        <w:spacing w:beforeLines="50" w:after="50"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2085D565">
      <w:pPr>
        <w:pStyle w:val="12"/>
        <w:ind w:left="0"/>
        <w:jc w:val="left"/>
        <w:rPr>
          <w:rFonts w:ascii="仿宋" w:hAnsi="仿宋" w:eastAsia="仿宋" w:cs="仿宋"/>
          <w:color w:val="auto"/>
          <w:highlight w:val="none"/>
        </w:rPr>
      </w:pPr>
      <w:r>
        <w:rPr>
          <w:rFonts w:hint="eastAsia" w:ascii="仿宋" w:hAnsi="仿宋" w:eastAsia="仿宋" w:cs="仿宋"/>
          <w:color w:val="auto"/>
          <w:highlight w:val="none"/>
        </w:rPr>
        <w:br w:type="page"/>
      </w:r>
    </w:p>
    <w:p w14:paraId="58BAA102">
      <w:pPr>
        <w:snapToGrid w:val="0"/>
        <w:spacing w:before="50" w:after="50" w:line="360" w:lineRule="auto"/>
        <w:jc w:val="center"/>
        <w:outlineLvl w:val="1"/>
        <w:rPr>
          <w:rFonts w:hint="eastAsia" w:ascii="仿宋" w:hAnsi="仿宋" w:eastAsia="仿宋" w:cs="仿宋"/>
          <w:b/>
          <w:color w:val="auto"/>
          <w:sz w:val="28"/>
          <w:szCs w:val="28"/>
          <w:highlight w:val="none"/>
        </w:rPr>
      </w:pPr>
      <w:bookmarkStart w:id="75" w:name="_Toc26523"/>
      <w:bookmarkStart w:id="76" w:name="_Toc14063"/>
      <w:bookmarkStart w:id="77" w:name="_Toc28758"/>
    </w:p>
    <w:p w14:paraId="303D4955">
      <w:pPr>
        <w:snapToGrid w:val="0"/>
        <w:spacing w:before="50" w:after="50"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十二、</w:t>
      </w:r>
      <w:r>
        <w:rPr>
          <w:rFonts w:hint="eastAsia" w:ascii="仿宋" w:hAnsi="仿宋" w:eastAsia="仿宋" w:cs="仿宋"/>
          <w:b/>
          <w:color w:val="auto"/>
          <w:sz w:val="28"/>
          <w:szCs w:val="28"/>
          <w:highlight w:val="none"/>
        </w:rPr>
        <w:t>企业业绩</w:t>
      </w:r>
      <w:bookmarkEnd w:id="75"/>
      <w:bookmarkEnd w:id="76"/>
      <w:bookmarkEnd w:id="77"/>
    </w:p>
    <w:p w14:paraId="7D545CD1">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投</w:t>
      </w:r>
      <w:r>
        <w:rPr>
          <w:rFonts w:hint="eastAsia" w:ascii="仿宋" w:hAnsi="仿宋" w:eastAsia="仿宋" w:cs="仿宋"/>
          <w:color w:val="auto"/>
          <w:kern w:val="0"/>
          <w:sz w:val="24"/>
          <w:highlight w:val="none"/>
        </w:rPr>
        <w:t>标人全称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加盖公章）：</w:t>
      </w:r>
    </w:p>
    <w:p w14:paraId="3AC086C3">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项目名称：                       </w:t>
      </w:r>
    </w:p>
    <w:p w14:paraId="4669194D">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项目编号：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276"/>
        <w:gridCol w:w="1701"/>
        <w:gridCol w:w="1302"/>
      </w:tblGrid>
      <w:tr w14:paraId="08BB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14:paraId="6B25321E">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417" w:type="dxa"/>
            <w:vAlign w:val="center"/>
          </w:tcPr>
          <w:p w14:paraId="0F2A80DC">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项目名称</w:t>
            </w:r>
          </w:p>
        </w:tc>
        <w:tc>
          <w:tcPr>
            <w:tcW w:w="1701" w:type="dxa"/>
            <w:vAlign w:val="center"/>
          </w:tcPr>
          <w:p w14:paraId="7655757A">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采购人</w:t>
            </w:r>
          </w:p>
        </w:tc>
        <w:tc>
          <w:tcPr>
            <w:tcW w:w="1276" w:type="dxa"/>
            <w:vAlign w:val="center"/>
          </w:tcPr>
          <w:p w14:paraId="61C23C21">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签订时间</w:t>
            </w:r>
          </w:p>
        </w:tc>
        <w:tc>
          <w:tcPr>
            <w:tcW w:w="1701" w:type="dxa"/>
            <w:vAlign w:val="center"/>
          </w:tcPr>
          <w:p w14:paraId="76B18B34">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使用方联系人</w:t>
            </w:r>
          </w:p>
        </w:tc>
        <w:tc>
          <w:tcPr>
            <w:tcW w:w="1302" w:type="dxa"/>
            <w:vAlign w:val="center"/>
          </w:tcPr>
          <w:p w14:paraId="368D52C8">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联系方式</w:t>
            </w:r>
          </w:p>
        </w:tc>
      </w:tr>
      <w:tr w14:paraId="7325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02106C5F">
            <w:pPr>
              <w:spacing w:line="460" w:lineRule="exact"/>
              <w:jc w:val="left"/>
              <w:rPr>
                <w:rFonts w:ascii="仿宋" w:hAnsi="仿宋" w:eastAsia="仿宋" w:cs="仿宋"/>
                <w:color w:val="auto"/>
                <w:kern w:val="0"/>
                <w:sz w:val="24"/>
                <w:highlight w:val="none"/>
              </w:rPr>
            </w:pPr>
          </w:p>
        </w:tc>
        <w:tc>
          <w:tcPr>
            <w:tcW w:w="1417" w:type="dxa"/>
            <w:vAlign w:val="center"/>
          </w:tcPr>
          <w:p w14:paraId="0867EB65">
            <w:pPr>
              <w:spacing w:line="460" w:lineRule="exact"/>
              <w:jc w:val="left"/>
              <w:rPr>
                <w:rFonts w:ascii="仿宋" w:hAnsi="仿宋" w:eastAsia="仿宋" w:cs="仿宋"/>
                <w:color w:val="auto"/>
                <w:kern w:val="0"/>
                <w:sz w:val="24"/>
                <w:highlight w:val="none"/>
              </w:rPr>
            </w:pPr>
          </w:p>
        </w:tc>
        <w:tc>
          <w:tcPr>
            <w:tcW w:w="1701" w:type="dxa"/>
            <w:vAlign w:val="center"/>
          </w:tcPr>
          <w:p w14:paraId="7F2F96AD">
            <w:pPr>
              <w:spacing w:line="460" w:lineRule="exact"/>
              <w:jc w:val="left"/>
              <w:rPr>
                <w:rFonts w:ascii="仿宋" w:hAnsi="仿宋" w:eastAsia="仿宋" w:cs="仿宋"/>
                <w:color w:val="auto"/>
                <w:kern w:val="0"/>
                <w:sz w:val="24"/>
                <w:highlight w:val="none"/>
              </w:rPr>
            </w:pPr>
          </w:p>
        </w:tc>
        <w:tc>
          <w:tcPr>
            <w:tcW w:w="1276" w:type="dxa"/>
            <w:vAlign w:val="center"/>
          </w:tcPr>
          <w:p w14:paraId="3AAEB1AF">
            <w:pPr>
              <w:spacing w:line="460" w:lineRule="exact"/>
              <w:jc w:val="left"/>
              <w:rPr>
                <w:rFonts w:ascii="仿宋" w:hAnsi="仿宋" w:eastAsia="仿宋" w:cs="仿宋"/>
                <w:color w:val="auto"/>
                <w:kern w:val="0"/>
                <w:sz w:val="24"/>
                <w:highlight w:val="none"/>
              </w:rPr>
            </w:pPr>
          </w:p>
        </w:tc>
        <w:tc>
          <w:tcPr>
            <w:tcW w:w="1701" w:type="dxa"/>
            <w:vAlign w:val="center"/>
          </w:tcPr>
          <w:p w14:paraId="45780E02">
            <w:pPr>
              <w:spacing w:line="460" w:lineRule="exact"/>
              <w:jc w:val="left"/>
              <w:rPr>
                <w:rFonts w:ascii="仿宋" w:hAnsi="仿宋" w:eastAsia="仿宋" w:cs="仿宋"/>
                <w:color w:val="auto"/>
                <w:kern w:val="0"/>
                <w:sz w:val="24"/>
                <w:highlight w:val="none"/>
              </w:rPr>
            </w:pPr>
          </w:p>
        </w:tc>
        <w:tc>
          <w:tcPr>
            <w:tcW w:w="1302" w:type="dxa"/>
            <w:vAlign w:val="center"/>
          </w:tcPr>
          <w:p w14:paraId="05E426DE">
            <w:pPr>
              <w:spacing w:line="460" w:lineRule="exact"/>
              <w:jc w:val="left"/>
              <w:rPr>
                <w:rFonts w:ascii="仿宋" w:hAnsi="仿宋" w:eastAsia="仿宋" w:cs="仿宋"/>
                <w:color w:val="auto"/>
                <w:kern w:val="0"/>
                <w:sz w:val="24"/>
                <w:highlight w:val="none"/>
              </w:rPr>
            </w:pPr>
          </w:p>
        </w:tc>
      </w:tr>
      <w:tr w14:paraId="2505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70B3CA3C">
            <w:pPr>
              <w:spacing w:line="460" w:lineRule="exact"/>
              <w:jc w:val="left"/>
              <w:rPr>
                <w:rFonts w:ascii="仿宋" w:hAnsi="仿宋" w:eastAsia="仿宋" w:cs="仿宋"/>
                <w:color w:val="auto"/>
                <w:kern w:val="0"/>
                <w:sz w:val="24"/>
                <w:highlight w:val="none"/>
              </w:rPr>
            </w:pPr>
          </w:p>
        </w:tc>
        <w:tc>
          <w:tcPr>
            <w:tcW w:w="1417" w:type="dxa"/>
            <w:vAlign w:val="center"/>
          </w:tcPr>
          <w:p w14:paraId="69F7D7D2">
            <w:pPr>
              <w:spacing w:line="460" w:lineRule="exact"/>
              <w:jc w:val="left"/>
              <w:rPr>
                <w:rFonts w:ascii="仿宋" w:hAnsi="仿宋" w:eastAsia="仿宋" w:cs="仿宋"/>
                <w:color w:val="auto"/>
                <w:kern w:val="0"/>
                <w:sz w:val="24"/>
                <w:highlight w:val="none"/>
              </w:rPr>
            </w:pPr>
          </w:p>
        </w:tc>
        <w:tc>
          <w:tcPr>
            <w:tcW w:w="1701" w:type="dxa"/>
            <w:vAlign w:val="center"/>
          </w:tcPr>
          <w:p w14:paraId="118411D8">
            <w:pPr>
              <w:spacing w:line="460" w:lineRule="exact"/>
              <w:jc w:val="left"/>
              <w:rPr>
                <w:rFonts w:ascii="仿宋" w:hAnsi="仿宋" w:eastAsia="仿宋" w:cs="仿宋"/>
                <w:color w:val="auto"/>
                <w:kern w:val="0"/>
                <w:sz w:val="24"/>
                <w:highlight w:val="none"/>
              </w:rPr>
            </w:pPr>
          </w:p>
        </w:tc>
        <w:tc>
          <w:tcPr>
            <w:tcW w:w="1276" w:type="dxa"/>
            <w:vAlign w:val="center"/>
          </w:tcPr>
          <w:p w14:paraId="750AD5D8">
            <w:pPr>
              <w:spacing w:line="460" w:lineRule="exact"/>
              <w:jc w:val="left"/>
              <w:rPr>
                <w:rFonts w:ascii="仿宋" w:hAnsi="仿宋" w:eastAsia="仿宋" w:cs="仿宋"/>
                <w:color w:val="auto"/>
                <w:kern w:val="0"/>
                <w:sz w:val="24"/>
                <w:highlight w:val="none"/>
              </w:rPr>
            </w:pPr>
          </w:p>
        </w:tc>
        <w:tc>
          <w:tcPr>
            <w:tcW w:w="1701" w:type="dxa"/>
            <w:vAlign w:val="center"/>
          </w:tcPr>
          <w:p w14:paraId="2767B069">
            <w:pPr>
              <w:spacing w:line="460" w:lineRule="exact"/>
              <w:jc w:val="left"/>
              <w:rPr>
                <w:rFonts w:ascii="仿宋" w:hAnsi="仿宋" w:eastAsia="仿宋" w:cs="仿宋"/>
                <w:color w:val="auto"/>
                <w:kern w:val="0"/>
                <w:sz w:val="24"/>
                <w:highlight w:val="none"/>
              </w:rPr>
            </w:pPr>
          </w:p>
        </w:tc>
        <w:tc>
          <w:tcPr>
            <w:tcW w:w="1302" w:type="dxa"/>
            <w:vAlign w:val="center"/>
          </w:tcPr>
          <w:p w14:paraId="27D82F9E">
            <w:pPr>
              <w:spacing w:line="460" w:lineRule="exact"/>
              <w:jc w:val="left"/>
              <w:rPr>
                <w:rFonts w:ascii="仿宋" w:hAnsi="仿宋" w:eastAsia="仿宋" w:cs="仿宋"/>
                <w:color w:val="auto"/>
                <w:kern w:val="0"/>
                <w:sz w:val="24"/>
                <w:highlight w:val="none"/>
              </w:rPr>
            </w:pPr>
          </w:p>
        </w:tc>
      </w:tr>
      <w:tr w14:paraId="3F37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1A9727C5">
            <w:pPr>
              <w:spacing w:line="460" w:lineRule="exact"/>
              <w:jc w:val="left"/>
              <w:rPr>
                <w:rFonts w:ascii="仿宋" w:hAnsi="仿宋" w:eastAsia="仿宋" w:cs="仿宋"/>
                <w:color w:val="auto"/>
                <w:kern w:val="0"/>
                <w:sz w:val="24"/>
                <w:highlight w:val="none"/>
              </w:rPr>
            </w:pPr>
          </w:p>
        </w:tc>
        <w:tc>
          <w:tcPr>
            <w:tcW w:w="1417" w:type="dxa"/>
            <w:vAlign w:val="center"/>
          </w:tcPr>
          <w:p w14:paraId="297C3C91">
            <w:pPr>
              <w:spacing w:line="460" w:lineRule="exact"/>
              <w:jc w:val="left"/>
              <w:rPr>
                <w:rFonts w:ascii="仿宋" w:hAnsi="仿宋" w:eastAsia="仿宋" w:cs="仿宋"/>
                <w:color w:val="auto"/>
                <w:kern w:val="0"/>
                <w:sz w:val="24"/>
                <w:highlight w:val="none"/>
              </w:rPr>
            </w:pPr>
          </w:p>
        </w:tc>
        <w:tc>
          <w:tcPr>
            <w:tcW w:w="1701" w:type="dxa"/>
            <w:vAlign w:val="center"/>
          </w:tcPr>
          <w:p w14:paraId="50CCC1DD">
            <w:pPr>
              <w:spacing w:line="460" w:lineRule="exact"/>
              <w:jc w:val="left"/>
              <w:rPr>
                <w:rFonts w:ascii="仿宋" w:hAnsi="仿宋" w:eastAsia="仿宋" w:cs="仿宋"/>
                <w:color w:val="auto"/>
                <w:kern w:val="0"/>
                <w:sz w:val="24"/>
                <w:highlight w:val="none"/>
              </w:rPr>
            </w:pPr>
          </w:p>
        </w:tc>
        <w:tc>
          <w:tcPr>
            <w:tcW w:w="1276" w:type="dxa"/>
            <w:vAlign w:val="center"/>
          </w:tcPr>
          <w:p w14:paraId="6D61F7D4">
            <w:pPr>
              <w:spacing w:line="460" w:lineRule="exact"/>
              <w:jc w:val="left"/>
              <w:rPr>
                <w:rFonts w:ascii="仿宋" w:hAnsi="仿宋" w:eastAsia="仿宋" w:cs="仿宋"/>
                <w:color w:val="auto"/>
                <w:kern w:val="0"/>
                <w:sz w:val="24"/>
                <w:highlight w:val="none"/>
              </w:rPr>
            </w:pPr>
          </w:p>
        </w:tc>
        <w:tc>
          <w:tcPr>
            <w:tcW w:w="1701" w:type="dxa"/>
            <w:vAlign w:val="center"/>
          </w:tcPr>
          <w:p w14:paraId="07B802F3">
            <w:pPr>
              <w:spacing w:line="460" w:lineRule="exact"/>
              <w:jc w:val="left"/>
              <w:rPr>
                <w:rFonts w:ascii="仿宋" w:hAnsi="仿宋" w:eastAsia="仿宋" w:cs="仿宋"/>
                <w:color w:val="auto"/>
                <w:kern w:val="0"/>
                <w:sz w:val="24"/>
                <w:highlight w:val="none"/>
              </w:rPr>
            </w:pPr>
          </w:p>
        </w:tc>
        <w:tc>
          <w:tcPr>
            <w:tcW w:w="1302" w:type="dxa"/>
            <w:vAlign w:val="center"/>
          </w:tcPr>
          <w:p w14:paraId="694823A1">
            <w:pPr>
              <w:spacing w:line="460" w:lineRule="exact"/>
              <w:jc w:val="left"/>
              <w:rPr>
                <w:rFonts w:ascii="仿宋" w:hAnsi="仿宋" w:eastAsia="仿宋" w:cs="仿宋"/>
                <w:color w:val="auto"/>
                <w:kern w:val="0"/>
                <w:sz w:val="24"/>
                <w:highlight w:val="none"/>
              </w:rPr>
            </w:pPr>
          </w:p>
        </w:tc>
      </w:tr>
      <w:tr w14:paraId="6D32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0412583A">
            <w:pPr>
              <w:spacing w:line="460" w:lineRule="exact"/>
              <w:jc w:val="left"/>
              <w:rPr>
                <w:rFonts w:ascii="仿宋" w:hAnsi="仿宋" w:eastAsia="仿宋" w:cs="仿宋"/>
                <w:color w:val="auto"/>
                <w:kern w:val="0"/>
                <w:sz w:val="24"/>
                <w:highlight w:val="none"/>
              </w:rPr>
            </w:pPr>
          </w:p>
        </w:tc>
        <w:tc>
          <w:tcPr>
            <w:tcW w:w="1417" w:type="dxa"/>
            <w:vAlign w:val="center"/>
          </w:tcPr>
          <w:p w14:paraId="7C24D8E1">
            <w:pPr>
              <w:spacing w:line="460" w:lineRule="exact"/>
              <w:jc w:val="left"/>
              <w:rPr>
                <w:rFonts w:ascii="仿宋" w:hAnsi="仿宋" w:eastAsia="仿宋" w:cs="仿宋"/>
                <w:color w:val="auto"/>
                <w:kern w:val="0"/>
                <w:sz w:val="24"/>
                <w:highlight w:val="none"/>
              </w:rPr>
            </w:pPr>
          </w:p>
        </w:tc>
        <w:tc>
          <w:tcPr>
            <w:tcW w:w="1701" w:type="dxa"/>
            <w:vAlign w:val="center"/>
          </w:tcPr>
          <w:p w14:paraId="7213267B">
            <w:pPr>
              <w:spacing w:line="460" w:lineRule="exact"/>
              <w:jc w:val="left"/>
              <w:rPr>
                <w:rFonts w:ascii="仿宋" w:hAnsi="仿宋" w:eastAsia="仿宋" w:cs="仿宋"/>
                <w:color w:val="auto"/>
                <w:kern w:val="0"/>
                <w:sz w:val="24"/>
                <w:highlight w:val="none"/>
              </w:rPr>
            </w:pPr>
          </w:p>
        </w:tc>
        <w:tc>
          <w:tcPr>
            <w:tcW w:w="1276" w:type="dxa"/>
            <w:vAlign w:val="center"/>
          </w:tcPr>
          <w:p w14:paraId="6727CD2D">
            <w:pPr>
              <w:spacing w:line="460" w:lineRule="exact"/>
              <w:jc w:val="left"/>
              <w:rPr>
                <w:rFonts w:ascii="仿宋" w:hAnsi="仿宋" w:eastAsia="仿宋" w:cs="仿宋"/>
                <w:color w:val="auto"/>
                <w:kern w:val="0"/>
                <w:sz w:val="24"/>
                <w:highlight w:val="none"/>
              </w:rPr>
            </w:pPr>
          </w:p>
        </w:tc>
        <w:tc>
          <w:tcPr>
            <w:tcW w:w="1701" w:type="dxa"/>
            <w:vAlign w:val="center"/>
          </w:tcPr>
          <w:p w14:paraId="796357E2">
            <w:pPr>
              <w:spacing w:line="460" w:lineRule="exact"/>
              <w:jc w:val="left"/>
              <w:rPr>
                <w:rFonts w:ascii="仿宋" w:hAnsi="仿宋" w:eastAsia="仿宋" w:cs="仿宋"/>
                <w:color w:val="auto"/>
                <w:kern w:val="0"/>
                <w:sz w:val="24"/>
                <w:highlight w:val="none"/>
              </w:rPr>
            </w:pPr>
          </w:p>
        </w:tc>
        <w:tc>
          <w:tcPr>
            <w:tcW w:w="1302" w:type="dxa"/>
            <w:vAlign w:val="center"/>
          </w:tcPr>
          <w:p w14:paraId="4C86B4B5">
            <w:pPr>
              <w:spacing w:line="460" w:lineRule="exact"/>
              <w:jc w:val="left"/>
              <w:rPr>
                <w:rFonts w:ascii="仿宋" w:hAnsi="仿宋" w:eastAsia="仿宋" w:cs="仿宋"/>
                <w:color w:val="auto"/>
                <w:kern w:val="0"/>
                <w:sz w:val="24"/>
                <w:highlight w:val="none"/>
              </w:rPr>
            </w:pPr>
          </w:p>
        </w:tc>
      </w:tr>
      <w:tr w14:paraId="7201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0CF8A1F7">
            <w:pPr>
              <w:spacing w:line="460" w:lineRule="exact"/>
              <w:jc w:val="left"/>
              <w:rPr>
                <w:rFonts w:ascii="仿宋" w:hAnsi="仿宋" w:eastAsia="仿宋" w:cs="仿宋"/>
                <w:color w:val="auto"/>
                <w:kern w:val="0"/>
                <w:sz w:val="24"/>
                <w:highlight w:val="none"/>
              </w:rPr>
            </w:pPr>
          </w:p>
        </w:tc>
        <w:tc>
          <w:tcPr>
            <w:tcW w:w="1417" w:type="dxa"/>
            <w:vAlign w:val="center"/>
          </w:tcPr>
          <w:p w14:paraId="75C87E7D">
            <w:pPr>
              <w:spacing w:line="460" w:lineRule="exact"/>
              <w:jc w:val="left"/>
              <w:rPr>
                <w:rFonts w:ascii="仿宋" w:hAnsi="仿宋" w:eastAsia="仿宋" w:cs="仿宋"/>
                <w:color w:val="auto"/>
                <w:kern w:val="0"/>
                <w:sz w:val="24"/>
                <w:highlight w:val="none"/>
              </w:rPr>
            </w:pPr>
          </w:p>
        </w:tc>
        <w:tc>
          <w:tcPr>
            <w:tcW w:w="1701" w:type="dxa"/>
            <w:vAlign w:val="center"/>
          </w:tcPr>
          <w:p w14:paraId="1DA7237E">
            <w:pPr>
              <w:spacing w:line="460" w:lineRule="exact"/>
              <w:jc w:val="left"/>
              <w:rPr>
                <w:rFonts w:ascii="仿宋" w:hAnsi="仿宋" w:eastAsia="仿宋" w:cs="仿宋"/>
                <w:color w:val="auto"/>
                <w:kern w:val="0"/>
                <w:sz w:val="24"/>
                <w:highlight w:val="none"/>
              </w:rPr>
            </w:pPr>
          </w:p>
        </w:tc>
        <w:tc>
          <w:tcPr>
            <w:tcW w:w="1276" w:type="dxa"/>
            <w:vAlign w:val="center"/>
          </w:tcPr>
          <w:p w14:paraId="7D2DCE55">
            <w:pPr>
              <w:spacing w:line="460" w:lineRule="exact"/>
              <w:jc w:val="left"/>
              <w:rPr>
                <w:rFonts w:ascii="仿宋" w:hAnsi="仿宋" w:eastAsia="仿宋" w:cs="仿宋"/>
                <w:color w:val="auto"/>
                <w:kern w:val="0"/>
                <w:sz w:val="24"/>
                <w:highlight w:val="none"/>
              </w:rPr>
            </w:pPr>
          </w:p>
        </w:tc>
        <w:tc>
          <w:tcPr>
            <w:tcW w:w="1701" w:type="dxa"/>
            <w:vAlign w:val="center"/>
          </w:tcPr>
          <w:p w14:paraId="62FF2D07">
            <w:pPr>
              <w:spacing w:line="460" w:lineRule="exact"/>
              <w:jc w:val="left"/>
              <w:rPr>
                <w:rFonts w:ascii="仿宋" w:hAnsi="仿宋" w:eastAsia="仿宋" w:cs="仿宋"/>
                <w:color w:val="auto"/>
                <w:kern w:val="0"/>
                <w:sz w:val="24"/>
                <w:highlight w:val="none"/>
              </w:rPr>
            </w:pPr>
          </w:p>
        </w:tc>
        <w:tc>
          <w:tcPr>
            <w:tcW w:w="1302" w:type="dxa"/>
            <w:vAlign w:val="center"/>
          </w:tcPr>
          <w:p w14:paraId="0BEB1084">
            <w:pPr>
              <w:spacing w:line="460" w:lineRule="exact"/>
              <w:jc w:val="left"/>
              <w:rPr>
                <w:rFonts w:ascii="仿宋" w:hAnsi="仿宋" w:eastAsia="仿宋" w:cs="仿宋"/>
                <w:color w:val="auto"/>
                <w:kern w:val="0"/>
                <w:sz w:val="24"/>
                <w:highlight w:val="none"/>
              </w:rPr>
            </w:pPr>
          </w:p>
        </w:tc>
      </w:tr>
      <w:tr w14:paraId="333A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A50F021">
            <w:pPr>
              <w:spacing w:line="460" w:lineRule="exact"/>
              <w:jc w:val="left"/>
              <w:rPr>
                <w:rFonts w:ascii="仿宋" w:hAnsi="仿宋" w:eastAsia="仿宋" w:cs="仿宋"/>
                <w:color w:val="auto"/>
                <w:kern w:val="0"/>
                <w:sz w:val="24"/>
                <w:highlight w:val="none"/>
              </w:rPr>
            </w:pPr>
          </w:p>
        </w:tc>
        <w:tc>
          <w:tcPr>
            <w:tcW w:w="1417" w:type="dxa"/>
            <w:vAlign w:val="center"/>
          </w:tcPr>
          <w:p w14:paraId="2F3A24A9">
            <w:pPr>
              <w:spacing w:line="460" w:lineRule="exact"/>
              <w:jc w:val="left"/>
              <w:rPr>
                <w:rFonts w:ascii="仿宋" w:hAnsi="仿宋" w:eastAsia="仿宋" w:cs="仿宋"/>
                <w:color w:val="auto"/>
                <w:kern w:val="0"/>
                <w:sz w:val="24"/>
                <w:highlight w:val="none"/>
              </w:rPr>
            </w:pPr>
          </w:p>
        </w:tc>
        <w:tc>
          <w:tcPr>
            <w:tcW w:w="1701" w:type="dxa"/>
            <w:vAlign w:val="center"/>
          </w:tcPr>
          <w:p w14:paraId="438655E0">
            <w:pPr>
              <w:spacing w:line="460" w:lineRule="exact"/>
              <w:jc w:val="left"/>
              <w:rPr>
                <w:rFonts w:ascii="仿宋" w:hAnsi="仿宋" w:eastAsia="仿宋" w:cs="仿宋"/>
                <w:color w:val="auto"/>
                <w:kern w:val="0"/>
                <w:sz w:val="24"/>
                <w:highlight w:val="none"/>
              </w:rPr>
            </w:pPr>
          </w:p>
        </w:tc>
        <w:tc>
          <w:tcPr>
            <w:tcW w:w="1276" w:type="dxa"/>
            <w:vAlign w:val="center"/>
          </w:tcPr>
          <w:p w14:paraId="18769A33">
            <w:pPr>
              <w:spacing w:line="460" w:lineRule="exact"/>
              <w:jc w:val="left"/>
              <w:rPr>
                <w:rFonts w:ascii="仿宋" w:hAnsi="仿宋" w:eastAsia="仿宋" w:cs="仿宋"/>
                <w:color w:val="auto"/>
                <w:kern w:val="0"/>
                <w:sz w:val="24"/>
                <w:highlight w:val="none"/>
              </w:rPr>
            </w:pPr>
          </w:p>
        </w:tc>
        <w:tc>
          <w:tcPr>
            <w:tcW w:w="1701" w:type="dxa"/>
            <w:vAlign w:val="center"/>
          </w:tcPr>
          <w:p w14:paraId="28990CDB">
            <w:pPr>
              <w:spacing w:line="460" w:lineRule="exact"/>
              <w:jc w:val="left"/>
              <w:rPr>
                <w:rFonts w:ascii="仿宋" w:hAnsi="仿宋" w:eastAsia="仿宋" w:cs="仿宋"/>
                <w:color w:val="auto"/>
                <w:kern w:val="0"/>
                <w:sz w:val="24"/>
                <w:highlight w:val="none"/>
              </w:rPr>
            </w:pPr>
          </w:p>
        </w:tc>
        <w:tc>
          <w:tcPr>
            <w:tcW w:w="1302" w:type="dxa"/>
            <w:vAlign w:val="center"/>
          </w:tcPr>
          <w:p w14:paraId="500E5181">
            <w:pPr>
              <w:spacing w:line="460" w:lineRule="exact"/>
              <w:jc w:val="left"/>
              <w:rPr>
                <w:rFonts w:ascii="仿宋" w:hAnsi="仿宋" w:eastAsia="仿宋" w:cs="仿宋"/>
                <w:color w:val="auto"/>
                <w:kern w:val="0"/>
                <w:sz w:val="24"/>
                <w:highlight w:val="none"/>
              </w:rPr>
            </w:pPr>
          </w:p>
        </w:tc>
      </w:tr>
      <w:tr w14:paraId="41F6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7DA8137A">
            <w:pPr>
              <w:spacing w:line="460" w:lineRule="exact"/>
              <w:jc w:val="left"/>
              <w:rPr>
                <w:rFonts w:ascii="仿宋" w:hAnsi="仿宋" w:eastAsia="仿宋" w:cs="仿宋"/>
                <w:color w:val="auto"/>
                <w:kern w:val="0"/>
                <w:sz w:val="24"/>
                <w:highlight w:val="none"/>
              </w:rPr>
            </w:pPr>
          </w:p>
        </w:tc>
        <w:tc>
          <w:tcPr>
            <w:tcW w:w="1417" w:type="dxa"/>
            <w:vAlign w:val="center"/>
          </w:tcPr>
          <w:p w14:paraId="12583849">
            <w:pPr>
              <w:spacing w:line="460" w:lineRule="exact"/>
              <w:jc w:val="left"/>
              <w:rPr>
                <w:rFonts w:ascii="仿宋" w:hAnsi="仿宋" w:eastAsia="仿宋" w:cs="仿宋"/>
                <w:color w:val="auto"/>
                <w:kern w:val="0"/>
                <w:sz w:val="24"/>
                <w:highlight w:val="none"/>
              </w:rPr>
            </w:pPr>
          </w:p>
        </w:tc>
        <w:tc>
          <w:tcPr>
            <w:tcW w:w="1701" w:type="dxa"/>
            <w:vAlign w:val="center"/>
          </w:tcPr>
          <w:p w14:paraId="7DBC7760">
            <w:pPr>
              <w:spacing w:line="460" w:lineRule="exact"/>
              <w:jc w:val="left"/>
              <w:rPr>
                <w:rFonts w:ascii="仿宋" w:hAnsi="仿宋" w:eastAsia="仿宋" w:cs="仿宋"/>
                <w:color w:val="auto"/>
                <w:kern w:val="0"/>
                <w:sz w:val="24"/>
                <w:highlight w:val="none"/>
              </w:rPr>
            </w:pPr>
          </w:p>
        </w:tc>
        <w:tc>
          <w:tcPr>
            <w:tcW w:w="1276" w:type="dxa"/>
            <w:vAlign w:val="center"/>
          </w:tcPr>
          <w:p w14:paraId="15D1E311">
            <w:pPr>
              <w:spacing w:line="460" w:lineRule="exact"/>
              <w:jc w:val="left"/>
              <w:rPr>
                <w:rFonts w:ascii="仿宋" w:hAnsi="仿宋" w:eastAsia="仿宋" w:cs="仿宋"/>
                <w:color w:val="auto"/>
                <w:kern w:val="0"/>
                <w:sz w:val="24"/>
                <w:highlight w:val="none"/>
              </w:rPr>
            </w:pPr>
          </w:p>
        </w:tc>
        <w:tc>
          <w:tcPr>
            <w:tcW w:w="1701" w:type="dxa"/>
            <w:vAlign w:val="center"/>
          </w:tcPr>
          <w:p w14:paraId="3574B11C">
            <w:pPr>
              <w:spacing w:line="460" w:lineRule="exact"/>
              <w:jc w:val="left"/>
              <w:rPr>
                <w:rFonts w:ascii="仿宋" w:hAnsi="仿宋" w:eastAsia="仿宋" w:cs="仿宋"/>
                <w:color w:val="auto"/>
                <w:kern w:val="0"/>
                <w:sz w:val="24"/>
                <w:highlight w:val="none"/>
              </w:rPr>
            </w:pPr>
          </w:p>
        </w:tc>
        <w:tc>
          <w:tcPr>
            <w:tcW w:w="1302" w:type="dxa"/>
            <w:vAlign w:val="center"/>
          </w:tcPr>
          <w:p w14:paraId="514C81A7">
            <w:pPr>
              <w:spacing w:line="460" w:lineRule="exact"/>
              <w:jc w:val="left"/>
              <w:rPr>
                <w:rFonts w:ascii="仿宋" w:hAnsi="仿宋" w:eastAsia="仿宋" w:cs="仿宋"/>
                <w:color w:val="auto"/>
                <w:kern w:val="0"/>
                <w:sz w:val="24"/>
                <w:highlight w:val="none"/>
              </w:rPr>
            </w:pPr>
          </w:p>
        </w:tc>
      </w:tr>
      <w:tr w14:paraId="1583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77B0F20C">
            <w:pPr>
              <w:spacing w:line="460" w:lineRule="exact"/>
              <w:jc w:val="left"/>
              <w:rPr>
                <w:rFonts w:ascii="仿宋" w:hAnsi="仿宋" w:eastAsia="仿宋" w:cs="仿宋"/>
                <w:color w:val="auto"/>
                <w:kern w:val="0"/>
                <w:sz w:val="24"/>
                <w:highlight w:val="none"/>
              </w:rPr>
            </w:pPr>
          </w:p>
        </w:tc>
        <w:tc>
          <w:tcPr>
            <w:tcW w:w="1417" w:type="dxa"/>
            <w:vAlign w:val="center"/>
          </w:tcPr>
          <w:p w14:paraId="33E89387">
            <w:pPr>
              <w:spacing w:line="460" w:lineRule="exact"/>
              <w:jc w:val="left"/>
              <w:rPr>
                <w:rFonts w:ascii="仿宋" w:hAnsi="仿宋" w:eastAsia="仿宋" w:cs="仿宋"/>
                <w:color w:val="auto"/>
                <w:kern w:val="0"/>
                <w:sz w:val="24"/>
                <w:highlight w:val="none"/>
              </w:rPr>
            </w:pPr>
          </w:p>
        </w:tc>
        <w:tc>
          <w:tcPr>
            <w:tcW w:w="1701" w:type="dxa"/>
            <w:vAlign w:val="center"/>
          </w:tcPr>
          <w:p w14:paraId="0C4EA774">
            <w:pPr>
              <w:spacing w:line="460" w:lineRule="exact"/>
              <w:jc w:val="left"/>
              <w:rPr>
                <w:rFonts w:ascii="仿宋" w:hAnsi="仿宋" w:eastAsia="仿宋" w:cs="仿宋"/>
                <w:color w:val="auto"/>
                <w:kern w:val="0"/>
                <w:sz w:val="24"/>
                <w:highlight w:val="none"/>
              </w:rPr>
            </w:pPr>
          </w:p>
        </w:tc>
        <w:tc>
          <w:tcPr>
            <w:tcW w:w="1276" w:type="dxa"/>
            <w:vAlign w:val="center"/>
          </w:tcPr>
          <w:p w14:paraId="227D0397">
            <w:pPr>
              <w:spacing w:line="460" w:lineRule="exact"/>
              <w:jc w:val="left"/>
              <w:rPr>
                <w:rFonts w:ascii="仿宋" w:hAnsi="仿宋" w:eastAsia="仿宋" w:cs="仿宋"/>
                <w:color w:val="auto"/>
                <w:kern w:val="0"/>
                <w:sz w:val="24"/>
                <w:highlight w:val="none"/>
              </w:rPr>
            </w:pPr>
          </w:p>
        </w:tc>
        <w:tc>
          <w:tcPr>
            <w:tcW w:w="1701" w:type="dxa"/>
            <w:vAlign w:val="center"/>
          </w:tcPr>
          <w:p w14:paraId="24381AB4">
            <w:pPr>
              <w:spacing w:line="460" w:lineRule="exact"/>
              <w:jc w:val="left"/>
              <w:rPr>
                <w:rFonts w:ascii="仿宋" w:hAnsi="仿宋" w:eastAsia="仿宋" w:cs="仿宋"/>
                <w:color w:val="auto"/>
                <w:kern w:val="0"/>
                <w:sz w:val="24"/>
                <w:highlight w:val="none"/>
              </w:rPr>
            </w:pPr>
          </w:p>
        </w:tc>
        <w:tc>
          <w:tcPr>
            <w:tcW w:w="1302" w:type="dxa"/>
            <w:vAlign w:val="center"/>
          </w:tcPr>
          <w:p w14:paraId="36E2499A">
            <w:pPr>
              <w:spacing w:line="460" w:lineRule="exact"/>
              <w:jc w:val="left"/>
              <w:rPr>
                <w:rFonts w:ascii="仿宋" w:hAnsi="仿宋" w:eastAsia="仿宋" w:cs="仿宋"/>
                <w:color w:val="auto"/>
                <w:kern w:val="0"/>
                <w:sz w:val="24"/>
                <w:highlight w:val="none"/>
              </w:rPr>
            </w:pPr>
          </w:p>
        </w:tc>
      </w:tr>
      <w:tr w14:paraId="6767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4227209C">
            <w:pPr>
              <w:spacing w:line="460" w:lineRule="exact"/>
              <w:jc w:val="left"/>
              <w:rPr>
                <w:rFonts w:ascii="仿宋" w:hAnsi="仿宋" w:eastAsia="仿宋" w:cs="仿宋"/>
                <w:color w:val="auto"/>
                <w:kern w:val="0"/>
                <w:sz w:val="24"/>
                <w:highlight w:val="none"/>
              </w:rPr>
            </w:pPr>
          </w:p>
        </w:tc>
        <w:tc>
          <w:tcPr>
            <w:tcW w:w="1417" w:type="dxa"/>
            <w:vAlign w:val="center"/>
          </w:tcPr>
          <w:p w14:paraId="54285171">
            <w:pPr>
              <w:spacing w:line="460" w:lineRule="exact"/>
              <w:jc w:val="left"/>
              <w:rPr>
                <w:rFonts w:ascii="仿宋" w:hAnsi="仿宋" w:eastAsia="仿宋" w:cs="仿宋"/>
                <w:color w:val="auto"/>
                <w:kern w:val="0"/>
                <w:sz w:val="24"/>
                <w:highlight w:val="none"/>
              </w:rPr>
            </w:pPr>
          </w:p>
        </w:tc>
        <w:tc>
          <w:tcPr>
            <w:tcW w:w="1701" w:type="dxa"/>
            <w:vAlign w:val="center"/>
          </w:tcPr>
          <w:p w14:paraId="7D6FEAA1">
            <w:pPr>
              <w:spacing w:line="460" w:lineRule="exact"/>
              <w:jc w:val="left"/>
              <w:rPr>
                <w:rFonts w:ascii="仿宋" w:hAnsi="仿宋" w:eastAsia="仿宋" w:cs="仿宋"/>
                <w:color w:val="auto"/>
                <w:kern w:val="0"/>
                <w:sz w:val="24"/>
                <w:highlight w:val="none"/>
              </w:rPr>
            </w:pPr>
          </w:p>
        </w:tc>
        <w:tc>
          <w:tcPr>
            <w:tcW w:w="1276" w:type="dxa"/>
            <w:vAlign w:val="center"/>
          </w:tcPr>
          <w:p w14:paraId="73A9602F">
            <w:pPr>
              <w:spacing w:line="460" w:lineRule="exact"/>
              <w:jc w:val="left"/>
              <w:rPr>
                <w:rFonts w:ascii="仿宋" w:hAnsi="仿宋" w:eastAsia="仿宋" w:cs="仿宋"/>
                <w:color w:val="auto"/>
                <w:kern w:val="0"/>
                <w:sz w:val="24"/>
                <w:highlight w:val="none"/>
              </w:rPr>
            </w:pPr>
          </w:p>
        </w:tc>
        <w:tc>
          <w:tcPr>
            <w:tcW w:w="1701" w:type="dxa"/>
            <w:vAlign w:val="center"/>
          </w:tcPr>
          <w:p w14:paraId="5B1F9A3C">
            <w:pPr>
              <w:spacing w:line="460" w:lineRule="exact"/>
              <w:jc w:val="left"/>
              <w:rPr>
                <w:rFonts w:ascii="仿宋" w:hAnsi="仿宋" w:eastAsia="仿宋" w:cs="仿宋"/>
                <w:color w:val="auto"/>
                <w:kern w:val="0"/>
                <w:sz w:val="24"/>
                <w:highlight w:val="none"/>
              </w:rPr>
            </w:pPr>
          </w:p>
        </w:tc>
        <w:tc>
          <w:tcPr>
            <w:tcW w:w="1302" w:type="dxa"/>
            <w:vAlign w:val="center"/>
          </w:tcPr>
          <w:p w14:paraId="43DC7B8B">
            <w:pPr>
              <w:spacing w:line="460" w:lineRule="exact"/>
              <w:jc w:val="left"/>
              <w:rPr>
                <w:rFonts w:ascii="仿宋" w:hAnsi="仿宋" w:eastAsia="仿宋" w:cs="仿宋"/>
                <w:color w:val="auto"/>
                <w:kern w:val="0"/>
                <w:sz w:val="24"/>
                <w:highlight w:val="none"/>
              </w:rPr>
            </w:pPr>
          </w:p>
        </w:tc>
      </w:tr>
    </w:tbl>
    <w:p w14:paraId="53773C45">
      <w:pPr>
        <w:spacing w:line="460" w:lineRule="exact"/>
        <w:jc w:val="left"/>
        <w:rPr>
          <w:rFonts w:ascii="仿宋" w:hAnsi="仿宋" w:eastAsia="仿宋" w:cs="仿宋"/>
          <w:color w:val="auto"/>
          <w:kern w:val="0"/>
          <w:sz w:val="24"/>
          <w:highlight w:val="none"/>
        </w:rPr>
      </w:pPr>
    </w:p>
    <w:p w14:paraId="6849C61C">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法定代表人或其授权代理人签名或盖章：</w:t>
      </w:r>
    </w:p>
    <w:p w14:paraId="3B83EE20">
      <w:pPr>
        <w:spacing w:line="460" w:lineRule="exact"/>
        <w:jc w:val="left"/>
        <w:rPr>
          <w:rFonts w:ascii="仿宋" w:hAnsi="仿宋" w:eastAsia="仿宋" w:cs="仿宋"/>
          <w:color w:val="auto"/>
          <w:kern w:val="0"/>
          <w:sz w:val="24"/>
          <w:highlight w:val="none"/>
        </w:rPr>
      </w:pPr>
    </w:p>
    <w:p w14:paraId="6FB9C802">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3F96DEFC">
      <w:pPr>
        <w:snapToGrid w:val="0"/>
        <w:spacing w:beforeLines="50" w:after="50"/>
        <w:rPr>
          <w:rFonts w:ascii="仿宋" w:hAnsi="仿宋" w:eastAsia="仿宋" w:cs="仿宋"/>
          <w:b/>
          <w:color w:val="auto"/>
          <w:szCs w:val="28"/>
          <w:highlight w:val="none"/>
        </w:rPr>
      </w:pPr>
    </w:p>
    <w:p w14:paraId="5618F5D4">
      <w:pPr>
        <w:pStyle w:val="33"/>
        <w:pageBreakBefore/>
        <w:jc w:val="center"/>
        <w:outlineLvl w:val="0"/>
        <w:rPr>
          <w:rFonts w:ascii="仿宋" w:hAnsi="仿宋" w:eastAsia="仿宋" w:cs="仿宋"/>
          <w:b/>
          <w:color w:val="auto"/>
          <w:highlight w:val="none"/>
        </w:rPr>
      </w:pPr>
      <w:bookmarkStart w:id="78" w:name="_Toc10034"/>
      <w:bookmarkStart w:id="79" w:name="_Toc9504"/>
      <w:bookmarkStart w:id="80" w:name="_Toc31135"/>
      <w:r>
        <w:rPr>
          <w:rFonts w:hint="eastAsia" w:ascii="仿宋" w:hAnsi="仿宋" w:eastAsia="仿宋" w:cs="仿宋"/>
          <w:b/>
          <w:color w:val="auto"/>
          <w:kern w:val="2"/>
          <w:sz w:val="28"/>
          <w:szCs w:val="28"/>
          <w:highlight w:val="none"/>
          <w:lang w:val="en-US" w:eastAsia="zh-CN" w:bidi="ar-SA"/>
        </w:rPr>
        <w:t>十三、商务响应表</w:t>
      </w:r>
      <w:bookmarkEnd w:id="78"/>
      <w:bookmarkEnd w:id="79"/>
      <w:bookmarkEnd w:id="80"/>
    </w:p>
    <w:p w14:paraId="3512A06A">
      <w:pPr>
        <w:pStyle w:val="33"/>
        <w:spacing w:line="460" w:lineRule="exact"/>
        <w:rPr>
          <w:rFonts w:ascii="仿宋" w:hAnsi="仿宋" w:eastAsia="仿宋" w:cs="仿宋"/>
          <w:color w:val="auto"/>
          <w:highlight w:val="none"/>
        </w:rPr>
      </w:pPr>
      <w:r>
        <w:rPr>
          <w:rFonts w:hint="eastAsia" w:ascii="仿宋" w:hAnsi="仿宋" w:eastAsia="仿宋" w:cs="仿宋"/>
          <w:color w:val="auto"/>
          <w:highlight w:val="none"/>
        </w:rPr>
        <w:t>投标人全称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加盖公章）： </w:t>
      </w:r>
    </w:p>
    <w:p w14:paraId="0B4042C4">
      <w:pPr>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项目编号：</w:t>
      </w:r>
    </w:p>
    <w:p w14:paraId="5138008F">
      <w:pPr>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9"/>
        <w:gridCol w:w="4896"/>
        <w:gridCol w:w="1220"/>
        <w:gridCol w:w="1703"/>
      </w:tblGrid>
      <w:tr w14:paraId="1663D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14:paraId="4DB94891">
            <w:pPr>
              <w:snapToGrid w:val="0"/>
              <w:spacing w:beforeLines="5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4896" w:type="dxa"/>
            <w:tcBorders>
              <w:top w:val="single" w:color="auto" w:sz="4" w:space="0"/>
              <w:left w:val="single" w:color="auto" w:sz="4" w:space="0"/>
              <w:bottom w:val="single" w:color="auto" w:sz="4" w:space="0"/>
              <w:right w:val="single" w:color="auto" w:sz="4" w:space="0"/>
            </w:tcBorders>
            <w:vAlign w:val="center"/>
          </w:tcPr>
          <w:p w14:paraId="0FD18378">
            <w:pPr>
              <w:snapToGrid w:val="0"/>
              <w:spacing w:beforeLines="5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采购文件要求</w:t>
            </w:r>
          </w:p>
        </w:tc>
        <w:tc>
          <w:tcPr>
            <w:tcW w:w="1220" w:type="dxa"/>
            <w:tcBorders>
              <w:top w:val="single" w:color="auto" w:sz="4" w:space="0"/>
              <w:left w:val="single" w:color="auto" w:sz="4" w:space="0"/>
              <w:bottom w:val="single" w:color="auto" w:sz="4" w:space="0"/>
              <w:right w:val="single" w:color="auto" w:sz="4" w:space="0"/>
            </w:tcBorders>
          </w:tcPr>
          <w:p w14:paraId="64BA7575">
            <w:pPr>
              <w:snapToGrid w:val="0"/>
              <w:spacing w:beforeLines="5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是否响应</w:t>
            </w:r>
          </w:p>
        </w:tc>
        <w:tc>
          <w:tcPr>
            <w:tcW w:w="1703" w:type="dxa"/>
            <w:tcBorders>
              <w:top w:val="single" w:color="auto" w:sz="4" w:space="0"/>
              <w:left w:val="single" w:color="auto" w:sz="4" w:space="0"/>
              <w:bottom w:val="single" w:color="auto" w:sz="4" w:space="0"/>
              <w:right w:val="single" w:color="auto" w:sz="4" w:space="0"/>
            </w:tcBorders>
          </w:tcPr>
          <w:p w14:paraId="5B588E3E">
            <w:pPr>
              <w:snapToGrid w:val="0"/>
              <w:spacing w:beforeLines="5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投标供应商的承诺或说明</w:t>
            </w:r>
          </w:p>
        </w:tc>
      </w:tr>
      <w:tr w14:paraId="6F0B4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14:paraId="566ABF31">
            <w:pPr>
              <w:snapToGrid w:val="0"/>
              <w:spacing w:beforeLines="5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服务期</w:t>
            </w:r>
          </w:p>
        </w:tc>
        <w:tc>
          <w:tcPr>
            <w:tcW w:w="4896" w:type="dxa"/>
            <w:tcBorders>
              <w:top w:val="single" w:color="auto" w:sz="4" w:space="0"/>
              <w:left w:val="single" w:color="auto" w:sz="4" w:space="0"/>
              <w:bottom w:val="single" w:color="auto" w:sz="4" w:space="0"/>
              <w:right w:val="single" w:color="auto" w:sz="4" w:space="0"/>
            </w:tcBorders>
            <w:vAlign w:val="center"/>
          </w:tcPr>
          <w:p w14:paraId="154BE873">
            <w:pPr>
              <w:spacing w:line="360" w:lineRule="auto"/>
              <w:jc w:val="center"/>
              <w:rPr>
                <w:rFonts w:ascii="仿宋" w:hAnsi="仿宋" w:eastAsia="仿宋" w:cs="仿宋"/>
                <w:b/>
                <w:color w:val="auto"/>
                <w:sz w:val="24"/>
                <w:highlight w:val="none"/>
              </w:rPr>
            </w:pPr>
          </w:p>
        </w:tc>
        <w:tc>
          <w:tcPr>
            <w:tcW w:w="1220" w:type="dxa"/>
            <w:tcBorders>
              <w:top w:val="single" w:color="auto" w:sz="4" w:space="0"/>
              <w:left w:val="single" w:color="auto" w:sz="4" w:space="0"/>
              <w:bottom w:val="single" w:color="auto" w:sz="4" w:space="0"/>
              <w:right w:val="single" w:color="auto" w:sz="4" w:space="0"/>
            </w:tcBorders>
          </w:tcPr>
          <w:p w14:paraId="0A9260A2">
            <w:pPr>
              <w:snapToGrid w:val="0"/>
              <w:spacing w:beforeLines="50" w:line="360" w:lineRule="auto"/>
              <w:rPr>
                <w:rFonts w:ascii="仿宋" w:hAnsi="仿宋" w:eastAsia="仿宋" w:cs="仿宋"/>
                <w:color w:val="auto"/>
                <w:sz w:val="24"/>
                <w:highlight w:val="none"/>
              </w:rPr>
            </w:pPr>
          </w:p>
        </w:tc>
        <w:tc>
          <w:tcPr>
            <w:tcW w:w="1703" w:type="dxa"/>
            <w:tcBorders>
              <w:top w:val="single" w:color="auto" w:sz="4" w:space="0"/>
              <w:left w:val="single" w:color="auto" w:sz="4" w:space="0"/>
              <w:bottom w:val="single" w:color="auto" w:sz="4" w:space="0"/>
              <w:right w:val="single" w:color="auto" w:sz="4" w:space="0"/>
            </w:tcBorders>
          </w:tcPr>
          <w:p w14:paraId="128F8FCE">
            <w:pPr>
              <w:snapToGrid w:val="0"/>
              <w:spacing w:beforeLines="50" w:line="360" w:lineRule="auto"/>
              <w:rPr>
                <w:rFonts w:ascii="仿宋" w:hAnsi="仿宋" w:eastAsia="仿宋" w:cs="仿宋"/>
                <w:color w:val="auto"/>
                <w:sz w:val="24"/>
                <w:highlight w:val="none"/>
              </w:rPr>
            </w:pPr>
          </w:p>
        </w:tc>
      </w:tr>
      <w:tr w14:paraId="1A7E2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14:paraId="448B03AF">
            <w:pPr>
              <w:snapToGrid w:val="0"/>
              <w:spacing w:beforeLines="5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付款条件</w:t>
            </w:r>
          </w:p>
        </w:tc>
        <w:tc>
          <w:tcPr>
            <w:tcW w:w="4896" w:type="dxa"/>
            <w:tcBorders>
              <w:top w:val="single" w:color="auto" w:sz="4" w:space="0"/>
              <w:left w:val="single" w:color="auto" w:sz="4" w:space="0"/>
              <w:bottom w:val="single" w:color="auto" w:sz="4" w:space="0"/>
              <w:right w:val="single" w:color="auto" w:sz="4" w:space="0"/>
            </w:tcBorders>
          </w:tcPr>
          <w:p w14:paraId="5BB8FC00">
            <w:pPr>
              <w:spacing w:line="360" w:lineRule="auto"/>
              <w:ind w:firstLine="480" w:firstLineChars="200"/>
              <w:rPr>
                <w:rFonts w:ascii="仿宋" w:hAnsi="仿宋" w:eastAsia="仿宋" w:cs="仿宋"/>
                <w:color w:val="auto"/>
                <w:sz w:val="24"/>
                <w:highlight w:val="none"/>
              </w:rPr>
            </w:pPr>
          </w:p>
        </w:tc>
        <w:tc>
          <w:tcPr>
            <w:tcW w:w="1220" w:type="dxa"/>
            <w:tcBorders>
              <w:top w:val="single" w:color="auto" w:sz="4" w:space="0"/>
              <w:left w:val="single" w:color="auto" w:sz="4" w:space="0"/>
              <w:bottom w:val="single" w:color="auto" w:sz="4" w:space="0"/>
              <w:right w:val="single" w:color="auto" w:sz="4" w:space="0"/>
            </w:tcBorders>
          </w:tcPr>
          <w:p w14:paraId="0FEAE286">
            <w:pPr>
              <w:snapToGrid w:val="0"/>
              <w:spacing w:beforeLines="50" w:line="360" w:lineRule="auto"/>
              <w:rPr>
                <w:rFonts w:ascii="仿宋" w:hAnsi="仿宋" w:eastAsia="仿宋" w:cs="仿宋"/>
                <w:color w:val="auto"/>
                <w:sz w:val="24"/>
                <w:highlight w:val="none"/>
              </w:rPr>
            </w:pPr>
          </w:p>
        </w:tc>
        <w:tc>
          <w:tcPr>
            <w:tcW w:w="1703" w:type="dxa"/>
            <w:tcBorders>
              <w:top w:val="single" w:color="auto" w:sz="4" w:space="0"/>
              <w:left w:val="single" w:color="auto" w:sz="4" w:space="0"/>
              <w:bottom w:val="single" w:color="auto" w:sz="4" w:space="0"/>
              <w:right w:val="single" w:color="auto" w:sz="4" w:space="0"/>
            </w:tcBorders>
          </w:tcPr>
          <w:p w14:paraId="5EF1660F">
            <w:pPr>
              <w:snapToGrid w:val="0"/>
              <w:spacing w:beforeLines="50" w:line="360" w:lineRule="auto"/>
              <w:rPr>
                <w:rFonts w:ascii="仿宋" w:hAnsi="仿宋" w:eastAsia="仿宋" w:cs="仿宋"/>
                <w:color w:val="auto"/>
                <w:sz w:val="24"/>
                <w:highlight w:val="none"/>
              </w:rPr>
            </w:pPr>
          </w:p>
        </w:tc>
      </w:tr>
      <w:tr w14:paraId="6DBCD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14:paraId="7224BED7">
            <w:pPr>
              <w:snapToGrid w:val="0"/>
              <w:spacing w:beforeLines="5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w:t>
            </w:r>
          </w:p>
        </w:tc>
        <w:tc>
          <w:tcPr>
            <w:tcW w:w="4896" w:type="dxa"/>
            <w:tcBorders>
              <w:top w:val="single" w:color="auto" w:sz="4" w:space="0"/>
              <w:left w:val="single" w:color="auto" w:sz="4" w:space="0"/>
              <w:bottom w:val="single" w:color="auto" w:sz="4" w:space="0"/>
              <w:right w:val="single" w:color="auto" w:sz="4" w:space="0"/>
            </w:tcBorders>
          </w:tcPr>
          <w:p w14:paraId="2E0A2E38">
            <w:pPr>
              <w:snapToGrid w:val="0"/>
              <w:spacing w:beforeLines="50" w:line="360" w:lineRule="auto"/>
              <w:rPr>
                <w:rFonts w:ascii="仿宋" w:hAnsi="仿宋" w:eastAsia="仿宋" w:cs="仿宋"/>
                <w:color w:val="auto"/>
                <w:sz w:val="24"/>
                <w:highlight w:val="none"/>
              </w:rPr>
            </w:pPr>
          </w:p>
        </w:tc>
        <w:tc>
          <w:tcPr>
            <w:tcW w:w="1220" w:type="dxa"/>
            <w:tcBorders>
              <w:top w:val="single" w:color="auto" w:sz="4" w:space="0"/>
              <w:left w:val="single" w:color="auto" w:sz="4" w:space="0"/>
              <w:bottom w:val="single" w:color="auto" w:sz="4" w:space="0"/>
              <w:right w:val="single" w:color="auto" w:sz="4" w:space="0"/>
            </w:tcBorders>
          </w:tcPr>
          <w:p w14:paraId="13A4FA5E">
            <w:pPr>
              <w:snapToGrid w:val="0"/>
              <w:spacing w:beforeLines="50" w:line="360" w:lineRule="auto"/>
              <w:rPr>
                <w:rFonts w:ascii="仿宋" w:hAnsi="仿宋" w:eastAsia="仿宋" w:cs="仿宋"/>
                <w:color w:val="auto"/>
                <w:sz w:val="24"/>
                <w:highlight w:val="none"/>
              </w:rPr>
            </w:pPr>
          </w:p>
        </w:tc>
        <w:tc>
          <w:tcPr>
            <w:tcW w:w="1703" w:type="dxa"/>
            <w:tcBorders>
              <w:top w:val="single" w:color="auto" w:sz="4" w:space="0"/>
              <w:left w:val="single" w:color="auto" w:sz="4" w:space="0"/>
              <w:bottom w:val="single" w:color="auto" w:sz="4" w:space="0"/>
              <w:right w:val="single" w:color="auto" w:sz="4" w:space="0"/>
            </w:tcBorders>
          </w:tcPr>
          <w:p w14:paraId="11E99124">
            <w:pPr>
              <w:snapToGrid w:val="0"/>
              <w:spacing w:beforeLines="50" w:line="360" w:lineRule="auto"/>
              <w:rPr>
                <w:rFonts w:ascii="仿宋" w:hAnsi="仿宋" w:eastAsia="仿宋" w:cs="仿宋"/>
                <w:color w:val="auto"/>
                <w:sz w:val="24"/>
                <w:highlight w:val="none"/>
              </w:rPr>
            </w:pPr>
          </w:p>
        </w:tc>
      </w:tr>
      <w:tr w14:paraId="0412E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14:paraId="4DA16F3A">
            <w:pPr>
              <w:snapToGrid w:val="0"/>
              <w:spacing w:beforeLines="5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4896" w:type="dxa"/>
            <w:tcBorders>
              <w:top w:val="single" w:color="auto" w:sz="4" w:space="0"/>
              <w:left w:val="single" w:color="auto" w:sz="4" w:space="0"/>
              <w:bottom w:val="single" w:color="auto" w:sz="4" w:space="0"/>
              <w:right w:val="single" w:color="auto" w:sz="4" w:space="0"/>
            </w:tcBorders>
          </w:tcPr>
          <w:p w14:paraId="22CD83D0">
            <w:pPr>
              <w:snapToGrid w:val="0"/>
              <w:spacing w:beforeLines="50" w:line="360" w:lineRule="auto"/>
              <w:rPr>
                <w:rFonts w:ascii="仿宋" w:hAnsi="仿宋" w:eastAsia="仿宋" w:cs="仿宋"/>
                <w:color w:val="auto"/>
                <w:sz w:val="24"/>
                <w:highlight w:val="none"/>
              </w:rPr>
            </w:pPr>
          </w:p>
        </w:tc>
        <w:tc>
          <w:tcPr>
            <w:tcW w:w="1220" w:type="dxa"/>
            <w:tcBorders>
              <w:top w:val="single" w:color="auto" w:sz="4" w:space="0"/>
              <w:left w:val="single" w:color="auto" w:sz="4" w:space="0"/>
              <w:bottom w:val="single" w:color="auto" w:sz="4" w:space="0"/>
              <w:right w:val="single" w:color="auto" w:sz="4" w:space="0"/>
            </w:tcBorders>
          </w:tcPr>
          <w:p w14:paraId="7C461C0F">
            <w:pPr>
              <w:snapToGrid w:val="0"/>
              <w:spacing w:beforeLines="50" w:line="360" w:lineRule="auto"/>
              <w:rPr>
                <w:rFonts w:ascii="仿宋" w:hAnsi="仿宋" w:eastAsia="仿宋" w:cs="仿宋"/>
                <w:color w:val="auto"/>
                <w:sz w:val="24"/>
                <w:highlight w:val="none"/>
              </w:rPr>
            </w:pPr>
          </w:p>
        </w:tc>
        <w:tc>
          <w:tcPr>
            <w:tcW w:w="1703" w:type="dxa"/>
            <w:tcBorders>
              <w:top w:val="single" w:color="auto" w:sz="4" w:space="0"/>
              <w:left w:val="single" w:color="auto" w:sz="4" w:space="0"/>
              <w:bottom w:val="single" w:color="auto" w:sz="4" w:space="0"/>
              <w:right w:val="single" w:color="auto" w:sz="4" w:space="0"/>
            </w:tcBorders>
          </w:tcPr>
          <w:p w14:paraId="1651E8E6">
            <w:pPr>
              <w:snapToGrid w:val="0"/>
              <w:spacing w:beforeLines="50" w:line="360" w:lineRule="auto"/>
              <w:rPr>
                <w:rFonts w:ascii="仿宋" w:hAnsi="仿宋" w:eastAsia="仿宋" w:cs="仿宋"/>
                <w:color w:val="auto"/>
                <w:sz w:val="24"/>
                <w:highlight w:val="none"/>
              </w:rPr>
            </w:pPr>
          </w:p>
        </w:tc>
      </w:tr>
    </w:tbl>
    <w:p w14:paraId="45A1572C">
      <w:pPr>
        <w:spacing w:line="460" w:lineRule="exact"/>
        <w:jc w:val="left"/>
        <w:rPr>
          <w:rFonts w:ascii="仿宋" w:hAnsi="仿宋" w:eastAsia="仿宋" w:cs="仿宋"/>
          <w:color w:val="auto"/>
          <w:kern w:val="0"/>
          <w:sz w:val="24"/>
          <w:highlight w:val="none"/>
        </w:rPr>
      </w:pPr>
    </w:p>
    <w:p w14:paraId="5C961404">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法定代表人或其授权代理人</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盖章）：</w:t>
      </w:r>
    </w:p>
    <w:p w14:paraId="3BEC4B18">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307DABA4">
      <w:pPr>
        <w:rPr>
          <w:rFonts w:ascii="仿宋" w:hAnsi="仿宋" w:eastAsia="仿宋" w:cs="仿宋"/>
          <w:bCs/>
          <w:color w:val="auto"/>
          <w:sz w:val="28"/>
          <w:szCs w:val="28"/>
          <w:highlight w:val="none"/>
        </w:rPr>
      </w:pPr>
    </w:p>
    <w:p w14:paraId="15D74216">
      <w:pPr>
        <w:rPr>
          <w:color w:val="auto"/>
          <w:highlight w:val="none"/>
        </w:rPr>
      </w:pPr>
      <w:r>
        <w:rPr>
          <w:rFonts w:hint="eastAsia" w:ascii="仿宋" w:hAnsi="仿宋" w:eastAsia="仿宋" w:cs="仿宋"/>
          <w:b/>
          <w:color w:val="auto"/>
          <w:sz w:val="28"/>
          <w:szCs w:val="28"/>
          <w:highlight w:val="none"/>
        </w:rPr>
        <w:br w:type="page"/>
      </w:r>
    </w:p>
    <w:p w14:paraId="56908783">
      <w:pPr>
        <w:snapToGrid w:val="0"/>
        <w:spacing w:before="50" w:after="50"/>
        <w:jc w:val="center"/>
        <w:rPr>
          <w:rFonts w:ascii="仿宋" w:hAnsi="仿宋" w:eastAsia="仿宋" w:cs="宋体"/>
          <w:b/>
          <w:bCs/>
          <w:color w:val="auto"/>
          <w:sz w:val="32"/>
          <w:szCs w:val="32"/>
          <w:highlight w:val="none"/>
        </w:rPr>
      </w:pPr>
    </w:p>
    <w:p w14:paraId="489807F9">
      <w:pPr>
        <w:snapToGrid w:val="0"/>
        <w:spacing w:before="50" w:after="50"/>
        <w:jc w:val="center"/>
        <w:outlineLvl w:val="0"/>
        <w:rPr>
          <w:rFonts w:ascii="仿宋" w:hAnsi="仿宋" w:eastAsia="仿宋" w:cs="宋体"/>
          <w:b/>
          <w:bCs/>
          <w:color w:val="auto"/>
          <w:sz w:val="32"/>
          <w:szCs w:val="32"/>
          <w:highlight w:val="none"/>
        </w:rPr>
      </w:pPr>
      <w:bookmarkStart w:id="81" w:name="_Toc20010"/>
      <w:bookmarkStart w:id="82" w:name="_Toc26305"/>
      <w:bookmarkStart w:id="83" w:name="_Toc4416"/>
      <w:r>
        <w:rPr>
          <w:rFonts w:hint="eastAsia" w:ascii="仿宋" w:hAnsi="仿宋" w:eastAsia="仿宋" w:cs="宋体"/>
          <w:b/>
          <w:bCs/>
          <w:color w:val="auto"/>
          <w:sz w:val="32"/>
          <w:szCs w:val="32"/>
          <w:highlight w:val="none"/>
          <w:lang w:val="en-US" w:eastAsia="zh-CN"/>
        </w:rPr>
        <w:t>十四、</w:t>
      </w:r>
      <w:r>
        <w:rPr>
          <w:rFonts w:hint="eastAsia" w:ascii="仿宋" w:hAnsi="仿宋" w:eastAsia="仿宋" w:cs="宋体"/>
          <w:b/>
          <w:bCs/>
          <w:color w:val="auto"/>
          <w:sz w:val="32"/>
          <w:szCs w:val="32"/>
          <w:highlight w:val="none"/>
        </w:rPr>
        <w:t>开标一览表</w:t>
      </w:r>
      <w:bookmarkEnd w:id="81"/>
      <w:bookmarkEnd w:id="82"/>
      <w:bookmarkEnd w:id="83"/>
    </w:p>
    <w:p w14:paraId="3C43B0ED">
      <w:pPr>
        <w:snapToGrid w:val="0"/>
        <w:spacing w:before="50" w:after="50" w:line="360" w:lineRule="auto"/>
        <w:jc w:val="left"/>
        <w:rPr>
          <w:rFonts w:ascii="仿宋" w:hAnsi="仿宋" w:eastAsia="仿宋" w:cs="宋体"/>
          <w:color w:val="auto"/>
          <w:sz w:val="24"/>
          <w:highlight w:val="none"/>
        </w:rPr>
      </w:pPr>
    </w:p>
    <w:p w14:paraId="02B755FD">
      <w:pPr>
        <w:snapToGrid w:val="0"/>
        <w:spacing w:before="50" w:after="50"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投标人全称</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 xml:space="preserve">加盖公章）：                                      </w:t>
      </w:r>
    </w:p>
    <w:p w14:paraId="66396183">
      <w:pPr>
        <w:snapToGrid w:val="0"/>
        <w:spacing w:before="50" w:after="50"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项目编号：</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7"/>
        <w:gridCol w:w="1294"/>
        <w:gridCol w:w="4632"/>
      </w:tblGrid>
      <w:tr w14:paraId="06BF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808" w:type="pct"/>
            <w:vAlign w:val="center"/>
          </w:tcPr>
          <w:p w14:paraId="37E8F95F">
            <w:pPr>
              <w:adjustRightInd w:val="0"/>
              <w:snapToGrid w:val="0"/>
              <w:spacing w:line="440" w:lineRule="exact"/>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项目名称</w:t>
            </w:r>
          </w:p>
        </w:tc>
        <w:tc>
          <w:tcPr>
            <w:tcW w:w="3191" w:type="pct"/>
            <w:gridSpan w:val="2"/>
            <w:vAlign w:val="center"/>
          </w:tcPr>
          <w:p w14:paraId="415BEBFE">
            <w:pPr>
              <w:adjustRightInd w:val="0"/>
              <w:snapToGrid w:val="0"/>
              <w:spacing w:line="440" w:lineRule="exact"/>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投标报价</w:t>
            </w:r>
          </w:p>
        </w:tc>
      </w:tr>
      <w:tr w14:paraId="3FD1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08" w:type="pct"/>
            <w:vMerge w:val="restart"/>
            <w:vAlign w:val="center"/>
          </w:tcPr>
          <w:p w14:paraId="4ABD789C">
            <w:pPr>
              <w:adjustRightInd w:val="0"/>
              <w:snapToGrid w:val="0"/>
              <w:spacing w:line="440" w:lineRule="exact"/>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湖州市吴兴区公用事业管理中心2025-2027年度雨污水管网维护及应急处置采购项目</w:t>
            </w:r>
          </w:p>
        </w:tc>
        <w:tc>
          <w:tcPr>
            <w:tcW w:w="697" w:type="pct"/>
            <w:vAlign w:val="center"/>
          </w:tcPr>
          <w:p w14:paraId="2DC9B04C">
            <w:pPr>
              <w:adjustRightInd w:val="0"/>
              <w:snapToGrid w:val="0"/>
              <w:spacing w:line="440" w:lineRule="exact"/>
              <w:rPr>
                <w:rFonts w:ascii="仿宋" w:hAnsi="仿宋" w:eastAsia="仿宋"/>
                <w:color w:val="auto"/>
                <w:sz w:val="24"/>
                <w:highlight w:val="none"/>
              </w:rPr>
            </w:pPr>
            <w:r>
              <w:rPr>
                <w:rFonts w:hint="eastAsia" w:ascii="仿宋" w:hAnsi="仿宋" w:eastAsia="仿宋"/>
                <w:color w:val="auto"/>
                <w:sz w:val="24"/>
                <w:highlight w:val="none"/>
              </w:rPr>
              <w:t>常规巡查</w:t>
            </w:r>
          </w:p>
        </w:tc>
        <w:tc>
          <w:tcPr>
            <w:tcW w:w="2493" w:type="pct"/>
            <w:vAlign w:val="center"/>
          </w:tcPr>
          <w:p w14:paraId="769651B2">
            <w:pPr>
              <w:adjustRightInd w:val="0"/>
              <w:snapToGrid w:val="0"/>
              <w:spacing w:line="440" w:lineRule="exact"/>
              <w:rPr>
                <w:rFonts w:ascii="仿宋" w:hAnsi="仿宋" w:eastAsia="仿宋"/>
                <w:color w:val="auto"/>
                <w:sz w:val="24"/>
                <w:highlight w:val="none"/>
              </w:rPr>
            </w:pPr>
            <w:r>
              <w:rPr>
                <w:rFonts w:hint="eastAsia" w:ascii="仿宋" w:hAnsi="仿宋" w:eastAsia="仿宋"/>
                <w:color w:val="auto"/>
                <w:sz w:val="24"/>
                <w:highlight w:val="none"/>
              </w:rPr>
              <w:t>人民币大写：壹拾贰万伍仟元整/年</w:t>
            </w:r>
          </w:p>
          <w:p w14:paraId="000F13D4">
            <w:pPr>
              <w:adjustRightInd w:val="0"/>
              <w:snapToGrid w:val="0"/>
              <w:spacing w:line="440" w:lineRule="exact"/>
              <w:rPr>
                <w:rFonts w:ascii="仿宋" w:hAnsi="仿宋" w:eastAsia="仿宋"/>
                <w:color w:val="auto"/>
                <w:sz w:val="24"/>
                <w:highlight w:val="none"/>
              </w:rPr>
            </w:pPr>
            <w:r>
              <w:rPr>
                <w:rFonts w:hint="eastAsia" w:ascii="仿宋" w:hAnsi="仿宋" w:eastAsia="仿宋"/>
                <w:color w:val="auto"/>
                <w:sz w:val="24"/>
                <w:highlight w:val="none"/>
                <w:lang w:eastAsia="zh-CN"/>
              </w:rPr>
              <w:t>（</w:t>
            </w:r>
            <w:r>
              <w:rPr>
                <w:rFonts w:ascii="仿宋" w:hAnsi="仿宋" w:eastAsia="仿宋"/>
                <w:color w:val="auto"/>
                <w:sz w:val="24"/>
                <w:highlight w:val="none"/>
              </w:rPr>
              <w:t>¥</w:t>
            </w:r>
            <w:r>
              <w:rPr>
                <w:rFonts w:hint="eastAsia" w:ascii="仿宋" w:hAnsi="仿宋" w:eastAsia="仿宋"/>
                <w:color w:val="auto"/>
                <w:sz w:val="24"/>
                <w:highlight w:val="none"/>
              </w:rPr>
              <w:t>：125000元/年）</w:t>
            </w:r>
          </w:p>
        </w:tc>
      </w:tr>
      <w:tr w14:paraId="3C16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08" w:type="pct"/>
            <w:vMerge w:val="continue"/>
            <w:vAlign w:val="center"/>
          </w:tcPr>
          <w:p w14:paraId="76255BA8">
            <w:pPr>
              <w:adjustRightInd w:val="0"/>
              <w:snapToGrid w:val="0"/>
              <w:spacing w:line="440" w:lineRule="exact"/>
              <w:rPr>
                <w:color w:val="auto"/>
                <w:highlight w:val="none"/>
              </w:rPr>
            </w:pPr>
          </w:p>
        </w:tc>
        <w:tc>
          <w:tcPr>
            <w:tcW w:w="697" w:type="pct"/>
            <w:vAlign w:val="center"/>
          </w:tcPr>
          <w:p w14:paraId="479F4D39">
            <w:pPr>
              <w:adjustRightInd w:val="0"/>
              <w:snapToGrid w:val="0"/>
              <w:spacing w:line="440" w:lineRule="exact"/>
              <w:rPr>
                <w:rFonts w:ascii="仿宋" w:hAnsi="仿宋" w:eastAsia="仿宋"/>
                <w:color w:val="auto"/>
                <w:sz w:val="24"/>
                <w:highlight w:val="none"/>
              </w:rPr>
            </w:pPr>
            <w:r>
              <w:rPr>
                <w:rFonts w:hint="eastAsia" w:ascii="仿宋" w:hAnsi="仿宋" w:eastAsia="仿宋"/>
                <w:color w:val="auto"/>
                <w:sz w:val="24"/>
                <w:highlight w:val="none"/>
              </w:rPr>
              <w:t>维修处置</w:t>
            </w:r>
          </w:p>
        </w:tc>
        <w:tc>
          <w:tcPr>
            <w:tcW w:w="2493" w:type="pct"/>
            <w:vMerge w:val="restart"/>
            <w:vAlign w:val="center"/>
          </w:tcPr>
          <w:p w14:paraId="7E0339CB">
            <w:pPr>
              <w:adjustRightInd w:val="0"/>
              <w:snapToGrid w:val="0"/>
              <w:spacing w:line="440" w:lineRule="exact"/>
              <w:rPr>
                <w:rFonts w:ascii="仿宋" w:hAnsi="仿宋" w:eastAsia="仿宋"/>
                <w:color w:val="auto"/>
                <w:sz w:val="24"/>
                <w:highlight w:val="none"/>
              </w:rPr>
            </w:pPr>
            <w:r>
              <w:rPr>
                <w:rFonts w:hint="eastAsia" w:ascii="仿宋" w:hAnsi="仿宋" w:eastAsia="仿宋"/>
                <w:color w:val="auto"/>
                <w:sz w:val="24"/>
                <w:highlight w:val="none"/>
              </w:rPr>
              <w:t>折扣：</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w:t>
            </w:r>
          </w:p>
        </w:tc>
      </w:tr>
      <w:tr w14:paraId="035B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08" w:type="pct"/>
            <w:vMerge w:val="continue"/>
            <w:vAlign w:val="center"/>
          </w:tcPr>
          <w:p w14:paraId="690F725B">
            <w:pPr>
              <w:adjustRightInd w:val="0"/>
              <w:snapToGrid w:val="0"/>
              <w:spacing w:line="440" w:lineRule="exact"/>
              <w:rPr>
                <w:rFonts w:ascii="仿宋" w:hAnsi="仿宋" w:eastAsia="仿宋"/>
                <w:color w:val="auto"/>
                <w:sz w:val="24"/>
                <w:highlight w:val="none"/>
              </w:rPr>
            </w:pPr>
          </w:p>
        </w:tc>
        <w:tc>
          <w:tcPr>
            <w:tcW w:w="697" w:type="pct"/>
            <w:vAlign w:val="center"/>
          </w:tcPr>
          <w:p w14:paraId="518D30BD">
            <w:pPr>
              <w:adjustRightInd w:val="0"/>
              <w:snapToGrid w:val="0"/>
              <w:spacing w:line="440" w:lineRule="exact"/>
              <w:rPr>
                <w:rFonts w:ascii="仿宋" w:hAnsi="仿宋" w:eastAsia="仿宋"/>
                <w:color w:val="auto"/>
                <w:sz w:val="24"/>
                <w:highlight w:val="none"/>
              </w:rPr>
            </w:pPr>
            <w:r>
              <w:rPr>
                <w:rFonts w:hint="eastAsia" w:ascii="仿宋" w:hAnsi="仿宋" w:eastAsia="仿宋"/>
                <w:color w:val="auto"/>
                <w:sz w:val="24"/>
                <w:highlight w:val="none"/>
              </w:rPr>
              <w:t>检测服务</w:t>
            </w:r>
          </w:p>
        </w:tc>
        <w:tc>
          <w:tcPr>
            <w:tcW w:w="2493" w:type="pct"/>
            <w:vMerge w:val="continue"/>
            <w:vAlign w:val="center"/>
          </w:tcPr>
          <w:p w14:paraId="6D3BC8CB">
            <w:pPr>
              <w:adjustRightInd w:val="0"/>
              <w:snapToGrid w:val="0"/>
              <w:spacing w:line="440" w:lineRule="exact"/>
              <w:rPr>
                <w:rFonts w:ascii="仿宋" w:hAnsi="仿宋" w:eastAsia="仿宋"/>
                <w:color w:val="auto"/>
                <w:sz w:val="24"/>
                <w:highlight w:val="none"/>
              </w:rPr>
            </w:pPr>
          </w:p>
        </w:tc>
      </w:tr>
      <w:tr w14:paraId="404F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000" w:type="pct"/>
            <w:gridSpan w:val="3"/>
            <w:vAlign w:val="center"/>
          </w:tcPr>
          <w:p w14:paraId="0787E0C2">
            <w:pPr>
              <w:adjustRightInd w:val="0"/>
              <w:snapToGrid w:val="0"/>
              <w:spacing w:line="440" w:lineRule="exact"/>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备注：</w:t>
            </w:r>
          </w:p>
        </w:tc>
      </w:tr>
    </w:tbl>
    <w:p w14:paraId="483A1DDF">
      <w:pPr>
        <w:pStyle w:val="13"/>
        <w:spacing w:line="480" w:lineRule="exac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▲注：1、报价一经涂改，应在涂改处加盖单位公章或者由法定代表人或授权委托人签字或盖章，否则其投标作无效标处理。</w:t>
      </w:r>
    </w:p>
    <w:p w14:paraId="086AB311">
      <w:pPr>
        <w:pStyle w:val="13"/>
        <w:spacing w:line="48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应包含本项目所发生的费用及供应商认为完成本采购文件规定内容所需发生的其它费用，凡未列入的，将被视为均已包含在投标总报价中。只允许有一个报价，任何有选择的或有条件的报价将不予接受，凡未列入的，将被视为均已包含在投标总报价中。</w:t>
      </w:r>
    </w:p>
    <w:p w14:paraId="04098B27">
      <w:pPr>
        <w:pStyle w:val="13"/>
        <w:spacing w:line="48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3、不提供此表格的将视为没有实质性响应采购文件。</w:t>
      </w:r>
    </w:p>
    <w:p w14:paraId="500C0773">
      <w:pPr>
        <w:pStyle w:val="13"/>
        <w:spacing w:line="48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4、投标报价不得超过采购预算，否则为无效报价。</w:t>
      </w:r>
    </w:p>
    <w:p w14:paraId="1722B4FD">
      <w:pPr>
        <w:pStyle w:val="13"/>
        <w:spacing w:line="480" w:lineRule="exact"/>
        <w:ind w:firstLine="480" w:firstLineChars="200"/>
        <w:rPr>
          <w:rFonts w:eastAsia="仿宋"/>
          <w:color w:val="auto"/>
          <w:highlight w:val="none"/>
        </w:rPr>
      </w:pPr>
      <w:r>
        <w:rPr>
          <w:rFonts w:hint="eastAsia" w:ascii="仿宋" w:hAnsi="仿宋" w:eastAsia="仿宋" w:cs="仿宋"/>
          <w:bCs/>
          <w:color w:val="auto"/>
          <w:sz w:val="24"/>
          <w:szCs w:val="24"/>
          <w:highlight w:val="none"/>
        </w:rPr>
        <w:t>5、折扣报价应充分考虑拆除物残值回收费、夜间及冬雨季施工增加费、极端恶劣天气抢险救灾人员及设备保障增加费、定额及信息价水平等一切因素，发生时不另计。</w:t>
      </w:r>
    </w:p>
    <w:p w14:paraId="68EF13C1">
      <w:pPr>
        <w:rPr>
          <w:rFonts w:ascii="仿宋" w:hAnsi="仿宋" w:eastAsia="仿宋" w:cs="宋体"/>
          <w:color w:val="auto"/>
          <w:sz w:val="24"/>
          <w:highlight w:val="none"/>
        </w:rPr>
      </w:pPr>
    </w:p>
    <w:p w14:paraId="05ACA077">
      <w:pPr>
        <w:rPr>
          <w:rFonts w:ascii="仿宋" w:hAnsi="仿宋" w:eastAsia="仿宋" w:cs="宋体"/>
          <w:color w:val="auto"/>
          <w:sz w:val="24"/>
          <w:highlight w:val="none"/>
        </w:rPr>
      </w:pPr>
    </w:p>
    <w:p w14:paraId="2991FA36">
      <w:pPr>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法定代表人或授权代理人签字：</w:t>
      </w:r>
    </w:p>
    <w:p w14:paraId="133D75CA">
      <w:pPr>
        <w:jc w:val="left"/>
        <w:rPr>
          <w:rFonts w:ascii="仿宋" w:hAnsi="仿宋" w:eastAsia="仿宋" w:cs="宋体"/>
          <w:color w:val="auto"/>
          <w:sz w:val="24"/>
          <w:highlight w:val="none"/>
        </w:rPr>
      </w:pPr>
    </w:p>
    <w:p w14:paraId="68F3CF2B">
      <w:pPr>
        <w:tabs>
          <w:tab w:val="left" w:pos="3654"/>
        </w:tabs>
        <w:jc w:val="left"/>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DABC1FD">
      <w:pPr>
        <w:pStyle w:val="2"/>
        <w:ind w:firstLine="480"/>
        <w:rPr>
          <w:rFonts w:ascii="仿宋" w:hAnsi="仿宋" w:eastAsia="仿宋" w:cs="宋体"/>
          <w:color w:val="auto"/>
          <w:sz w:val="24"/>
          <w:highlight w:val="none"/>
        </w:rPr>
      </w:pPr>
    </w:p>
    <w:p w14:paraId="2412FD2D">
      <w:pPr>
        <w:pStyle w:val="10"/>
        <w:rPr>
          <w:rFonts w:ascii="仿宋" w:hAnsi="仿宋" w:eastAsia="仿宋" w:cs="宋体"/>
          <w:color w:val="auto"/>
          <w:sz w:val="24"/>
          <w:highlight w:val="none"/>
        </w:rPr>
      </w:pPr>
    </w:p>
    <w:p w14:paraId="75CA5297">
      <w:pPr>
        <w:rPr>
          <w:rFonts w:ascii="仿宋" w:hAnsi="仿宋" w:eastAsia="仿宋" w:cs="宋体"/>
          <w:color w:val="auto"/>
          <w:sz w:val="24"/>
          <w:highlight w:val="none"/>
        </w:rPr>
      </w:pPr>
    </w:p>
    <w:p w14:paraId="56A18F9F">
      <w:pPr>
        <w:pStyle w:val="2"/>
        <w:ind w:left="0" w:leftChars="0" w:firstLine="0" w:firstLineChars="0"/>
        <w:rPr>
          <w:rFonts w:ascii="仿宋" w:hAnsi="仿宋" w:eastAsia="仿宋" w:cs="宋体"/>
          <w:color w:val="auto"/>
          <w:sz w:val="24"/>
          <w:highlight w:val="none"/>
        </w:rPr>
      </w:pPr>
    </w:p>
    <w:p w14:paraId="7D758289">
      <w:pPr>
        <w:pStyle w:val="2"/>
        <w:ind w:left="0" w:leftChars="0" w:firstLine="0" w:firstLineChars="0"/>
        <w:rPr>
          <w:color w:val="auto"/>
          <w:highlight w:val="none"/>
        </w:rPr>
      </w:pPr>
    </w:p>
    <w:p w14:paraId="56219E20">
      <w:pPr>
        <w:pStyle w:val="10"/>
        <w:rPr>
          <w:rFonts w:ascii="仿宋" w:hAnsi="仿宋" w:eastAsia="仿宋" w:cs="宋体"/>
          <w:color w:val="auto"/>
          <w:sz w:val="24"/>
          <w:highlight w:val="none"/>
        </w:rPr>
      </w:pPr>
    </w:p>
    <w:p w14:paraId="2599B2ED">
      <w:pPr>
        <w:rPr>
          <w:rFonts w:ascii="仿宋" w:hAnsi="仿宋" w:eastAsia="仿宋" w:cs="宋体"/>
          <w:color w:val="auto"/>
          <w:sz w:val="24"/>
          <w:highlight w:val="none"/>
        </w:rPr>
      </w:pPr>
    </w:p>
    <w:p w14:paraId="4A70B522">
      <w:pPr>
        <w:spacing w:line="360" w:lineRule="auto"/>
        <w:jc w:val="center"/>
        <w:outlineLvl w:val="0"/>
        <w:rPr>
          <w:rFonts w:ascii="仿宋" w:hAnsi="仿宋" w:eastAsia="仿宋" w:cs="宋体"/>
          <w:b/>
          <w:bCs/>
          <w:color w:val="auto"/>
          <w:sz w:val="28"/>
          <w:szCs w:val="28"/>
          <w:highlight w:val="none"/>
        </w:rPr>
      </w:pPr>
      <w:bookmarkStart w:id="84" w:name="_Toc9648"/>
      <w:bookmarkStart w:id="85" w:name="_Toc5495"/>
      <w:bookmarkStart w:id="86" w:name="_Toc3614"/>
      <w:r>
        <w:rPr>
          <w:rFonts w:hint="eastAsia" w:ascii="仿宋" w:hAnsi="仿宋" w:eastAsia="仿宋" w:cs="宋体"/>
          <w:b/>
          <w:bCs/>
          <w:color w:val="auto"/>
          <w:sz w:val="28"/>
          <w:szCs w:val="28"/>
          <w:highlight w:val="none"/>
          <w:lang w:val="en-US" w:eastAsia="zh-CN"/>
        </w:rPr>
        <w:t>十五、</w:t>
      </w:r>
      <w:r>
        <w:rPr>
          <w:rFonts w:hint="eastAsia" w:ascii="仿宋" w:hAnsi="仿宋" w:eastAsia="仿宋" w:cs="宋体"/>
          <w:b/>
          <w:bCs/>
          <w:color w:val="auto"/>
          <w:sz w:val="28"/>
          <w:szCs w:val="28"/>
          <w:highlight w:val="none"/>
        </w:rPr>
        <w:t>招标代理服务费承诺函</w:t>
      </w:r>
      <w:bookmarkEnd w:id="84"/>
      <w:bookmarkEnd w:id="85"/>
      <w:bookmarkEnd w:id="86"/>
    </w:p>
    <w:p w14:paraId="21C6E642">
      <w:pPr>
        <w:snapToGrid w:val="0"/>
        <w:spacing w:beforeLines="50" w:after="50" w:line="460" w:lineRule="exact"/>
        <w:jc w:val="left"/>
        <w:rPr>
          <w:rFonts w:ascii="仿宋" w:hAnsi="仿宋" w:eastAsia="仿宋" w:cs="宋体"/>
          <w:color w:val="auto"/>
          <w:sz w:val="24"/>
          <w:highlight w:val="none"/>
        </w:rPr>
      </w:pPr>
    </w:p>
    <w:p w14:paraId="7D090645">
      <w:pPr>
        <w:snapToGrid w:val="0"/>
        <w:spacing w:beforeLines="50" w:after="50" w:line="46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lang w:eastAsia="zh-CN"/>
        </w:rPr>
        <w:t>中纬工程管理咨询有限公司</w:t>
      </w:r>
      <w:r>
        <w:rPr>
          <w:rFonts w:hint="eastAsia" w:ascii="仿宋" w:hAnsi="仿宋" w:eastAsia="仿宋" w:cs="宋体"/>
          <w:color w:val="auto"/>
          <w:sz w:val="24"/>
          <w:highlight w:val="none"/>
        </w:rPr>
        <w:t>：</w:t>
      </w:r>
    </w:p>
    <w:p w14:paraId="315F13D6">
      <w:pPr>
        <w:snapToGrid w:val="0"/>
        <w:spacing w:beforeLines="50" w:after="50" w:line="460" w:lineRule="exact"/>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根据招标文件的规定，一旦我公司中标，我公司同意按招标文件规定金额向贵公司交纳中标标项的招标代理服务费，在收到中标通知书后的当天一次性结清。</w:t>
      </w:r>
    </w:p>
    <w:p w14:paraId="429CDA25">
      <w:pPr>
        <w:snapToGrid w:val="0"/>
        <w:spacing w:beforeLines="50" w:after="50" w:line="460" w:lineRule="exact"/>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本承诺函自开标之日起至本次采购期满有效。</w:t>
      </w:r>
    </w:p>
    <w:p w14:paraId="54A997E8">
      <w:pPr>
        <w:pStyle w:val="2"/>
        <w:rPr>
          <w:color w:val="auto"/>
          <w:highlight w:val="none"/>
        </w:rPr>
      </w:pPr>
    </w:p>
    <w:p w14:paraId="6D58D8FB">
      <w:pPr>
        <w:rPr>
          <w:color w:val="auto"/>
          <w:highlight w:val="none"/>
        </w:rPr>
      </w:pPr>
    </w:p>
    <w:p w14:paraId="245D4D01">
      <w:pPr>
        <w:spacing w:line="440" w:lineRule="exact"/>
        <w:rPr>
          <w:rFonts w:ascii="仿宋" w:hAnsi="仿宋" w:eastAsia="仿宋"/>
          <w:color w:val="auto"/>
          <w:sz w:val="24"/>
          <w:highlight w:val="none"/>
          <w:u w:val="single"/>
        </w:rPr>
      </w:pPr>
      <w:r>
        <w:rPr>
          <w:rFonts w:hint="eastAsia" w:ascii="仿宋" w:hAnsi="仿宋" w:eastAsia="仿宋"/>
          <w:color w:val="auto"/>
          <w:sz w:val="24"/>
          <w:highlight w:val="none"/>
          <w:u w:val="single"/>
        </w:rPr>
        <w:t>代理费汇款账号：</w:t>
      </w:r>
    </w:p>
    <w:p w14:paraId="31B46810">
      <w:pPr>
        <w:snapToGrid w:val="0"/>
        <w:spacing w:beforeLines="50" w:after="50" w:line="460" w:lineRule="exact"/>
        <w:ind w:firstLine="482" w:firstLineChars="200"/>
        <w:jc w:val="left"/>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单位名称：中纬工程管理咨询有限公司湖州分公司</w:t>
      </w:r>
    </w:p>
    <w:p w14:paraId="0A2C278C">
      <w:pPr>
        <w:snapToGrid w:val="0"/>
        <w:spacing w:beforeLines="50" w:after="50" w:line="460" w:lineRule="exact"/>
        <w:ind w:firstLine="482" w:firstLineChars="200"/>
        <w:jc w:val="left"/>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开户银行：湖州银行日月城支行</w:t>
      </w:r>
    </w:p>
    <w:p w14:paraId="5530649A">
      <w:pPr>
        <w:snapToGrid w:val="0"/>
        <w:spacing w:beforeLines="50" w:after="50" w:line="460" w:lineRule="exact"/>
        <w:ind w:firstLine="482" w:firstLineChars="200"/>
        <w:jc w:val="left"/>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银行账号：800025382000238</w:t>
      </w:r>
    </w:p>
    <w:p w14:paraId="6848C6F4">
      <w:pPr>
        <w:pStyle w:val="2"/>
        <w:rPr>
          <w:color w:val="auto"/>
          <w:highlight w:val="none"/>
        </w:rPr>
      </w:pPr>
    </w:p>
    <w:p w14:paraId="0E67C6B1">
      <w:pPr>
        <w:rPr>
          <w:color w:val="auto"/>
          <w:highlight w:val="none"/>
        </w:rPr>
      </w:pPr>
    </w:p>
    <w:p w14:paraId="0F056211">
      <w:pPr>
        <w:snapToGrid w:val="0"/>
        <w:spacing w:beforeLines="50" w:after="50" w:line="46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法定代表人或授权代理人签字：</w:t>
      </w:r>
    </w:p>
    <w:p w14:paraId="014CC787">
      <w:pPr>
        <w:snapToGrid w:val="0"/>
        <w:spacing w:beforeLines="50" w:after="50" w:line="46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投标人公章：</w:t>
      </w:r>
    </w:p>
    <w:p w14:paraId="0B878827">
      <w:pPr>
        <w:snapToGrid w:val="0"/>
        <w:spacing w:beforeLines="50" w:after="50" w:line="46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日期：   年   月   日</w:t>
      </w:r>
    </w:p>
    <w:p w14:paraId="36BC3186">
      <w:pPr>
        <w:snapToGrid w:val="0"/>
        <w:spacing w:beforeLines="50" w:after="50" w:line="460" w:lineRule="exact"/>
        <w:jc w:val="left"/>
        <w:rPr>
          <w:rFonts w:ascii="仿宋" w:hAnsi="仿宋" w:eastAsia="仿宋" w:cs="宋体"/>
          <w:color w:val="auto"/>
          <w:sz w:val="24"/>
          <w:highlight w:val="none"/>
        </w:rPr>
      </w:pPr>
    </w:p>
    <w:p w14:paraId="1B550273">
      <w:pPr>
        <w:snapToGrid w:val="0"/>
        <w:spacing w:beforeLines="50" w:after="50" w:line="460" w:lineRule="exact"/>
        <w:jc w:val="left"/>
        <w:rPr>
          <w:rFonts w:ascii="仿宋" w:hAnsi="仿宋" w:eastAsia="仿宋" w:cs="宋体"/>
          <w:color w:val="auto"/>
          <w:sz w:val="24"/>
          <w:highlight w:val="none"/>
        </w:rPr>
      </w:pPr>
    </w:p>
    <w:p w14:paraId="65D488EB">
      <w:pPr>
        <w:rPr>
          <w:rFonts w:ascii="仿宋" w:hAnsi="仿宋" w:eastAsia="仿宋"/>
          <w:color w:val="auto"/>
          <w:highlight w:val="none"/>
        </w:rPr>
      </w:pPr>
    </w:p>
    <w:p w14:paraId="4DA7C7AB">
      <w:pPr>
        <w:pStyle w:val="6"/>
        <w:rPr>
          <w:rFonts w:ascii="仿宋" w:hAnsi="仿宋" w:eastAsia="仿宋"/>
          <w:color w:val="auto"/>
          <w:highlight w:val="none"/>
        </w:rPr>
      </w:pPr>
    </w:p>
    <w:p w14:paraId="2D7EA91A">
      <w:pPr>
        <w:pStyle w:val="6"/>
        <w:rPr>
          <w:rFonts w:ascii="仿宋" w:hAnsi="仿宋" w:eastAsia="仿宋"/>
          <w:color w:val="auto"/>
          <w:highlight w:val="none"/>
        </w:rPr>
      </w:pPr>
    </w:p>
    <w:p w14:paraId="7C139501">
      <w:pPr>
        <w:pStyle w:val="6"/>
        <w:rPr>
          <w:rFonts w:ascii="仿宋" w:hAnsi="仿宋" w:eastAsia="仿宋"/>
          <w:color w:val="auto"/>
          <w:highlight w:val="none"/>
        </w:rPr>
      </w:pPr>
    </w:p>
    <w:p w14:paraId="1A3477DD">
      <w:pPr>
        <w:pStyle w:val="6"/>
        <w:rPr>
          <w:rFonts w:ascii="仿宋" w:hAnsi="仿宋" w:eastAsia="仿宋"/>
          <w:color w:val="auto"/>
          <w:highlight w:val="none"/>
        </w:rPr>
      </w:pPr>
    </w:p>
    <w:p w14:paraId="6525F24C">
      <w:pPr>
        <w:pStyle w:val="6"/>
        <w:rPr>
          <w:rFonts w:ascii="仿宋" w:hAnsi="仿宋" w:eastAsia="仿宋"/>
          <w:color w:val="auto"/>
          <w:highlight w:val="none"/>
        </w:rPr>
      </w:pPr>
    </w:p>
    <w:p w14:paraId="6163EE84">
      <w:pPr>
        <w:pStyle w:val="4"/>
        <w:keepNext w:val="0"/>
        <w:spacing w:line="360" w:lineRule="auto"/>
        <w:jc w:val="both"/>
        <w:rPr>
          <w:color w:val="auto"/>
          <w:highlight w:val="none"/>
        </w:rPr>
      </w:pPr>
    </w:p>
    <w:sectPr>
      <w:footerReference r:id="rId8" w:type="default"/>
      <w:type w:val="continuous"/>
      <w:pgSz w:w="11905" w:h="16838"/>
      <w:pgMar w:top="1417" w:right="1417" w:bottom="1417" w:left="1417" w:header="850"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宋体;SimSun">
    <w:altName w:val="宋体"/>
    <w:panose1 w:val="00000000000000000000"/>
    <w:charset w:val="86"/>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210D2">
    <w:pPr>
      <w:pStyle w:val="15"/>
      <w:jc w:val="center"/>
      <w:rPr>
        <w:rFonts w:ascii="仿宋" w:hAnsi="仿宋" w:eastAsia="仿宋" w:cs="仿宋"/>
        <w:sz w:val="21"/>
        <w:szCs w:val="21"/>
      </w:rPr>
    </w:pPr>
  </w:p>
  <w:p w14:paraId="52FA61D5">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6550F">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BCA1CF">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5FBCA1CF">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8395A">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9ACEC0">
                          <w:pPr>
                            <w:pStyle w:val="15"/>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1</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579ACEC0">
                    <w:pPr>
                      <w:pStyle w:val="15"/>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1</w:t>
                    </w:r>
                    <w:r>
                      <w:rPr>
                        <w:rFonts w:hint="eastAsia" w:ascii="仿宋" w:hAnsi="仿宋" w:eastAsia="仿宋" w:cs="仿宋"/>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CC2CB">
    <w:pPr>
      <w:pStyle w:val="15"/>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896F31">
                          <w:pPr>
                            <w:pStyle w:val="1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26896F31">
                    <w:pPr>
                      <w:pStyle w:val="15"/>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5BAFE">
    <w:pPr>
      <w:pStyle w:val="17"/>
      <w:pBdr>
        <w:bottom w:val="single" w:color="auto" w:sz="4" w:space="1"/>
      </w:pBdr>
      <w:jc w:val="both"/>
      <w:rPr>
        <w:rFonts w:ascii="仿宋" w:hAnsi="仿宋" w:eastAsia="仿宋" w:cs="仿宋"/>
        <w:sz w:val="21"/>
        <w:szCs w:val="21"/>
      </w:rPr>
    </w:pPr>
    <w:r>
      <w:rPr>
        <w:rFonts w:hint="eastAsia" w:ascii="仿宋" w:hAnsi="仿宋" w:eastAsia="仿宋" w:cs="仿宋"/>
        <w:sz w:val="21"/>
        <w:szCs w:val="21"/>
        <w:lang w:eastAsia="zh-CN"/>
      </w:rPr>
      <w:t>湖州市吴兴区公用事业管理中心2025-2027年度雨污水管网维护及应急处置采购项目</w:t>
    </w:r>
    <w:r>
      <w:rPr>
        <w:rFonts w:hint="eastAsia" w:ascii="仿宋" w:hAnsi="仿宋" w:eastAsia="仿宋" w:cs="仿宋"/>
        <w:sz w:val="21"/>
        <w:szCs w:val="21"/>
        <w:lang w:val="en-US" w:eastAsia="zh-CN"/>
      </w:rPr>
      <w:t xml:space="preserve">    </w:t>
    </w:r>
    <w:r>
      <w:rPr>
        <w:rFonts w:hint="eastAsia" w:ascii="仿宋" w:hAnsi="仿宋" w:eastAsia="仿宋" w:cs="仿宋"/>
        <w:b/>
        <w:bCs/>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126D8">
    <w:pPr>
      <w:pStyle w:val="1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751E5"/>
    <w:multiLevelType w:val="multilevel"/>
    <w:tmpl w:val="A6E751E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b w:val="0"/>
        <w:bCs w:val="0"/>
        <w:sz w:val="24"/>
        <w:szCs w:val="24"/>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B269BE89"/>
    <w:multiLevelType w:val="singleLevel"/>
    <w:tmpl w:val="B269BE89"/>
    <w:lvl w:ilvl="0" w:tentative="0">
      <w:start w:val="1"/>
      <w:numFmt w:val="decimal"/>
      <w:suff w:val="nothing"/>
      <w:lvlText w:val="（%1）"/>
      <w:lvlJc w:val="left"/>
    </w:lvl>
  </w:abstractNum>
  <w:abstractNum w:abstractNumId="2">
    <w:nsid w:val="C9966540"/>
    <w:multiLevelType w:val="singleLevel"/>
    <w:tmpl w:val="C9966540"/>
    <w:lvl w:ilvl="0" w:tentative="0">
      <w:start w:val="6"/>
      <w:numFmt w:val="chineseCounting"/>
      <w:suff w:val="nothing"/>
      <w:lvlText w:val="%1、"/>
      <w:lvlJc w:val="left"/>
      <w:rPr>
        <w:rFonts w:hint="eastAsia"/>
      </w:rPr>
    </w:lvl>
  </w:abstractNum>
  <w:abstractNum w:abstractNumId="3">
    <w:nsid w:val="1E4E382C"/>
    <w:multiLevelType w:val="singleLevel"/>
    <w:tmpl w:val="1E4E382C"/>
    <w:lvl w:ilvl="0" w:tentative="0">
      <w:start w:val="1"/>
      <w:numFmt w:val="decimal"/>
      <w:suff w:val="nothing"/>
      <w:lvlText w:val="%1、"/>
      <w:lvlJc w:val="left"/>
    </w:lvl>
  </w:abstractNum>
  <w:abstractNum w:abstractNumId="4">
    <w:nsid w:val="67D07EB1"/>
    <w:multiLevelType w:val="singleLevel"/>
    <w:tmpl w:val="67D07EB1"/>
    <w:lvl w:ilvl="0" w:tentative="0">
      <w:start w:val="1"/>
      <w:numFmt w:val="chineseCounting"/>
      <w:suff w:val="nothing"/>
      <w:lvlText w:val="%1、"/>
      <w:lvlJc w:val="left"/>
      <w:rPr>
        <w:rFonts w:hint="eastAsia"/>
      </w:rPr>
    </w:lvl>
  </w:abstractNum>
  <w:abstractNum w:abstractNumId="5">
    <w:nsid w:val="7C265820"/>
    <w:multiLevelType w:val="singleLevel"/>
    <w:tmpl w:val="7C265820"/>
    <w:lvl w:ilvl="0" w:tentative="0">
      <w:start w:val="1"/>
      <w:numFmt w:val="decimal"/>
      <w:suff w:val="nothing"/>
      <w:lvlText w:val="%1、"/>
      <w:lvlJc w:val="left"/>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NmJlNjVjZjE5ZjgyZjliY2MxZGI5YWU1YTA4YjkifQ=="/>
  </w:docVars>
  <w:rsids>
    <w:rsidRoot w:val="002D64F6"/>
    <w:rsid w:val="000232EC"/>
    <w:rsid w:val="00041F7B"/>
    <w:rsid w:val="00061840"/>
    <w:rsid w:val="000755E1"/>
    <w:rsid w:val="0008635F"/>
    <w:rsid w:val="000B6FB5"/>
    <w:rsid w:val="000D38BA"/>
    <w:rsid w:val="000D51E6"/>
    <w:rsid w:val="000E1D56"/>
    <w:rsid w:val="000E5412"/>
    <w:rsid w:val="00100FDE"/>
    <w:rsid w:val="00106D77"/>
    <w:rsid w:val="001439C6"/>
    <w:rsid w:val="00145B5B"/>
    <w:rsid w:val="0015640C"/>
    <w:rsid w:val="0016347D"/>
    <w:rsid w:val="00176184"/>
    <w:rsid w:val="001B077E"/>
    <w:rsid w:val="001C4BA0"/>
    <w:rsid w:val="001E1713"/>
    <w:rsid w:val="001E35D7"/>
    <w:rsid w:val="001E7811"/>
    <w:rsid w:val="001E7C71"/>
    <w:rsid w:val="001F37BD"/>
    <w:rsid w:val="001F6651"/>
    <w:rsid w:val="00200D79"/>
    <w:rsid w:val="002013D1"/>
    <w:rsid w:val="00201C3A"/>
    <w:rsid w:val="00214172"/>
    <w:rsid w:val="00243932"/>
    <w:rsid w:val="00252D7D"/>
    <w:rsid w:val="00270975"/>
    <w:rsid w:val="002B18E8"/>
    <w:rsid w:val="002C17B6"/>
    <w:rsid w:val="002D2EBE"/>
    <w:rsid w:val="002D44C0"/>
    <w:rsid w:val="002D64F6"/>
    <w:rsid w:val="002D6E03"/>
    <w:rsid w:val="002F3DCF"/>
    <w:rsid w:val="00317A84"/>
    <w:rsid w:val="00331024"/>
    <w:rsid w:val="003412FA"/>
    <w:rsid w:val="003513E9"/>
    <w:rsid w:val="00374EB9"/>
    <w:rsid w:val="00386ADF"/>
    <w:rsid w:val="003B2078"/>
    <w:rsid w:val="003B710A"/>
    <w:rsid w:val="00426D46"/>
    <w:rsid w:val="00436EAD"/>
    <w:rsid w:val="00441982"/>
    <w:rsid w:val="0044732C"/>
    <w:rsid w:val="00457A6E"/>
    <w:rsid w:val="004A136B"/>
    <w:rsid w:val="004A1974"/>
    <w:rsid w:val="004C3726"/>
    <w:rsid w:val="004D0CB0"/>
    <w:rsid w:val="004D2414"/>
    <w:rsid w:val="004D5022"/>
    <w:rsid w:val="004D7C6A"/>
    <w:rsid w:val="004E19CE"/>
    <w:rsid w:val="004F16B7"/>
    <w:rsid w:val="00507427"/>
    <w:rsid w:val="00525B0C"/>
    <w:rsid w:val="00535BB4"/>
    <w:rsid w:val="00593845"/>
    <w:rsid w:val="00593881"/>
    <w:rsid w:val="005C706C"/>
    <w:rsid w:val="005E3A4A"/>
    <w:rsid w:val="005E59E2"/>
    <w:rsid w:val="005F3070"/>
    <w:rsid w:val="005F3869"/>
    <w:rsid w:val="0060357E"/>
    <w:rsid w:val="00615E11"/>
    <w:rsid w:val="00661883"/>
    <w:rsid w:val="00676A61"/>
    <w:rsid w:val="00695ED9"/>
    <w:rsid w:val="006C2E83"/>
    <w:rsid w:val="006D1B09"/>
    <w:rsid w:val="006D69B2"/>
    <w:rsid w:val="006E1BC8"/>
    <w:rsid w:val="006E1FE0"/>
    <w:rsid w:val="006E6359"/>
    <w:rsid w:val="006E6D18"/>
    <w:rsid w:val="006E7437"/>
    <w:rsid w:val="006F50AF"/>
    <w:rsid w:val="006F6AE1"/>
    <w:rsid w:val="00706380"/>
    <w:rsid w:val="007432FE"/>
    <w:rsid w:val="007603B8"/>
    <w:rsid w:val="00764213"/>
    <w:rsid w:val="007A248A"/>
    <w:rsid w:val="007B2329"/>
    <w:rsid w:val="007C2C76"/>
    <w:rsid w:val="007C7D83"/>
    <w:rsid w:val="007D072F"/>
    <w:rsid w:val="007E0D71"/>
    <w:rsid w:val="00823AF9"/>
    <w:rsid w:val="00831A74"/>
    <w:rsid w:val="00844DC6"/>
    <w:rsid w:val="00847654"/>
    <w:rsid w:val="00874139"/>
    <w:rsid w:val="00883551"/>
    <w:rsid w:val="008F5EEB"/>
    <w:rsid w:val="009061ED"/>
    <w:rsid w:val="00941E4E"/>
    <w:rsid w:val="009459CF"/>
    <w:rsid w:val="00981993"/>
    <w:rsid w:val="009C6AC9"/>
    <w:rsid w:val="009E77A1"/>
    <w:rsid w:val="009F636E"/>
    <w:rsid w:val="00A03199"/>
    <w:rsid w:val="00A34301"/>
    <w:rsid w:val="00A4700D"/>
    <w:rsid w:val="00A717C0"/>
    <w:rsid w:val="00A91494"/>
    <w:rsid w:val="00AA175A"/>
    <w:rsid w:val="00AB1174"/>
    <w:rsid w:val="00AC7BD1"/>
    <w:rsid w:val="00AD6774"/>
    <w:rsid w:val="00AD7B5C"/>
    <w:rsid w:val="00AE00E2"/>
    <w:rsid w:val="00AE4C8C"/>
    <w:rsid w:val="00B1032B"/>
    <w:rsid w:val="00B11284"/>
    <w:rsid w:val="00B114D2"/>
    <w:rsid w:val="00B40BDC"/>
    <w:rsid w:val="00B41CBB"/>
    <w:rsid w:val="00B42195"/>
    <w:rsid w:val="00B67E56"/>
    <w:rsid w:val="00B7320A"/>
    <w:rsid w:val="00B93860"/>
    <w:rsid w:val="00B9793F"/>
    <w:rsid w:val="00BA258E"/>
    <w:rsid w:val="00BA3106"/>
    <w:rsid w:val="00BB6056"/>
    <w:rsid w:val="00BD79A5"/>
    <w:rsid w:val="00BE47A9"/>
    <w:rsid w:val="00BF11CD"/>
    <w:rsid w:val="00C056CC"/>
    <w:rsid w:val="00C17FC5"/>
    <w:rsid w:val="00C23457"/>
    <w:rsid w:val="00C5765D"/>
    <w:rsid w:val="00C81544"/>
    <w:rsid w:val="00C91E3B"/>
    <w:rsid w:val="00CC59D0"/>
    <w:rsid w:val="00CE1E88"/>
    <w:rsid w:val="00CE2493"/>
    <w:rsid w:val="00CF6553"/>
    <w:rsid w:val="00CF7537"/>
    <w:rsid w:val="00D020DD"/>
    <w:rsid w:val="00D15308"/>
    <w:rsid w:val="00D17414"/>
    <w:rsid w:val="00D17EE3"/>
    <w:rsid w:val="00D24819"/>
    <w:rsid w:val="00D359CE"/>
    <w:rsid w:val="00D47A96"/>
    <w:rsid w:val="00D54F39"/>
    <w:rsid w:val="00D636CE"/>
    <w:rsid w:val="00D751D5"/>
    <w:rsid w:val="00E224C2"/>
    <w:rsid w:val="00E23BC2"/>
    <w:rsid w:val="00E30325"/>
    <w:rsid w:val="00E345E2"/>
    <w:rsid w:val="00E40C07"/>
    <w:rsid w:val="00E82C7C"/>
    <w:rsid w:val="00E8513C"/>
    <w:rsid w:val="00E8589B"/>
    <w:rsid w:val="00EA6DA9"/>
    <w:rsid w:val="00EB4531"/>
    <w:rsid w:val="00EB5000"/>
    <w:rsid w:val="00EB51BA"/>
    <w:rsid w:val="00EB528E"/>
    <w:rsid w:val="00ED010C"/>
    <w:rsid w:val="00EE5D45"/>
    <w:rsid w:val="00F2286C"/>
    <w:rsid w:val="00F36D7F"/>
    <w:rsid w:val="00F41362"/>
    <w:rsid w:val="00F424DF"/>
    <w:rsid w:val="00F552B1"/>
    <w:rsid w:val="00F67D56"/>
    <w:rsid w:val="00F71FE9"/>
    <w:rsid w:val="00F861F7"/>
    <w:rsid w:val="00F95738"/>
    <w:rsid w:val="00FE123A"/>
    <w:rsid w:val="00FF0C8D"/>
    <w:rsid w:val="0100126B"/>
    <w:rsid w:val="01FB29D2"/>
    <w:rsid w:val="02360D91"/>
    <w:rsid w:val="0237167C"/>
    <w:rsid w:val="02963F39"/>
    <w:rsid w:val="02F56BD5"/>
    <w:rsid w:val="03065425"/>
    <w:rsid w:val="03AC773F"/>
    <w:rsid w:val="041C3669"/>
    <w:rsid w:val="04325BBA"/>
    <w:rsid w:val="047B3AAC"/>
    <w:rsid w:val="04B24699"/>
    <w:rsid w:val="04B9335B"/>
    <w:rsid w:val="04F63E0B"/>
    <w:rsid w:val="0510720E"/>
    <w:rsid w:val="05226BC9"/>
    <w:rsid w:val="0547120A"/>
    <w:rsid w:val="0576424C"/>
    <w:rsid w:val="057B4C2B"/>
    <w:rsid w:val="059E2A04"/>
    <w:rsid w:val="05AC22B4"/>
    <w:rsid w:val="05D610DF"/>
    <w:rsid w:val="06301746"/>
    <w:rsid w:val="065B5E61"/>
    <w:rsid w:val="06A6157E"/>
    <w:rsid w:val="06B31420"/>
    <w:rsid w:val="073C04EF"/>
    <w:rsid w:val="07F860D3"/>
    <w:rsid w:val="08C93EE6"/>
    <w:rsid w:val="0944625E"/>
    <w:rsid w:val="097035F9"/>
    <w:rsid w:val="09926FE8"/>
    <w:rsid w:val="09BC6D43"/>
    <w:rsid w:val="09CA0F5B"/>
    <w:rsid w:val="0A1D1E9D"/>
    <w:rsid w:val="0A562C0B"/>
    <w:rsid w:val="0A7D5FCD"/>
    <w:rsid w:val="0B100CBA"/>
    <w:rsid w:val="0BBF1FCF"/>
    <w:rsid w:val="0CA44091"/>
    <w:rsid w:val="0CBA0B62"/>
    <w:rsid w:val="0CC55140"/>
    <w:rsid w:val="0DAC1A94"/>
    <w:rsid w:val="0DE46889"/>
    <w:rsid w:val="0E796AAB"/>
    <w:rsid w:val="0ED66BF9"/>
    <w:rsid w:val="0EDF667F"/>
    <w:rsid w:val="0F9D2C6D"/>
    <w:rsid w:val="10DE6738"/>
    <w:rsid w:val="11292A0B"/>
    <w:rsid w:val="115630D4"/>
    <w:rsid w:val="11F424B1"/>
    <w:rsid w:val="12202156"/>
    <w:rsid w:val="124715B6"/>
    <w:rsid w:val="12CC1C47"/>
    <w:rsid w:val="12EF3359"/>
    <w:rsid w:val="12FC58B1"/>
    <w:rsid w:val="131B45D5"/>
    <w:rsid w:val="13211947"/>
    <w:rsid w:val="14193114"/>
    <w:rsid w:val="14626ECD"/>
    <w:rsid w:val="147C10A3"/>
    <w:rsid w:val="151F5AD7"/>
    <w:rsid w:val="157E0E4B"/>
    <w:rsid w:val="160817AA"/>
    <w:rsid w:val="17290FC2"/>
    <w:rsid w:val="17451F4D"/>
    <w:rsid w:val="17926F0C"/>
    <w:rsid w:val="18294277"/>
    <w:rsid w:val="185C36C6"/>
    <w:rsid w:val="186C2B66"/>
    <w:rsid w:val="188C741B"/>
    <w:rsid w:val="18E31223"/>
    <w:rsid w:val="19BB789B"/>
    <w:rsid w:val="1A052DAB"/>
    <w:rsid w:val="1AEB3CC6"/>
    <w:rsid w:val="1B8B031B"/>
    <w:rsid w:val="1BD856A2"/>
    <w:rsid w:val="1D372D13"/>
    <w:rsid w:val="1D8D2F6A"/>
    <w:rsid w:val="1DB227B2"/>
    <w:rsid w:val="1DE911D6"/>
    <w:rsid w:val="1E2458FF"/>
    <w:rsid w:val="1E691EA7"/>
    <w:rsid w:val="2072476E"/>
    <w:rsid w:val="20923024"/>
    <w:rsid w:val="20F43CAB"/>
    <w:rsid w:val="21157A31"/>
    <w:rsid w:val="211F7962"/>
    <w:rsid w:val="21645399"/>
    <w:rsid w:val="21FE57EE"/>
    <w:rsid w:val="223E068F"/>
    <w:rsid w:val="22620E43"/>
    <w:rsid w:val="226268AF"/>
    <w:rsid w:val="22B145EA"/>
    <w:rsid w:val="22CD699F"/>
    <w:rsid w:val="22F12AE5"/>
    <w:rsid w:val="23002D0E"/>
    <w:rsid w:val="2309061F"/>
    <w:rsid w:val="2312609E"/>
    <w:rsid w:val="235346C9"/>
    <w:rsid w:val="23783A0B"/>
    <w:rsid w:val="237F6ED9"/>
    <w:rsid w:val="23DF208E"/>
    <w:rsid w:val="23E27848"/>
    <w:rsid w:val="24561F7E"/>
    <w:rsid w:val="24CD3FFF"/>
    <w:rsid w:val="250125E8"/>
    <w:rsid w:val="25110D48"/>
    <w:rsid w:val="25930A73"/>
    <w:rsid w:val="25CA70EC"/>
    <w:rsid w:val="266013C0"/>
    <w:rsid w:val="278B4E77"/>
    <w:rsid w:val="28A7738A"/>
    <w:rsid w:val="28CD6B22"/>
    <w:rsid w:val="296F1A40"/>
    <w:rsid w:val="298C2693"/>
    <w:rsid w:val="2A0475B6"/>
    <w:rsid w:val="2A217CA7"/>
    <w:rsid w:val="2A4B5348"/>
    <w:rsid w:val="2A507293"/>
    <w:rsid w:val="2A64465C"/>
    <w:rsid w:val="2AA82274"/>
    <w:rsid w:val="2AE05B9B"/>
    <w:rsid w:val="2AFF3560"/>
    <w:rsid w:val="2B311CFB"/>
    <w:rsid w:val="2BA03472"/>
    <w:rsid w:val="2BA70373"/>
    <w:rsid w:val="2BC33F17"/>
    <w:rsid w:val="2BE35A76"/>
    <w:rsid w:val="2CA806C6"/>
    <w:rsid w:val="2CDC014C"/>
    <w:rsid w:val="2D3C33B8"/>
    <w:rsid w:val="2D687FBF"/>
    <w:rsid w:val="2E186BCF"/>
    <w:rsid w:val="2E26378A"/>
    <w:rsid w:val="2E295633"/>
    <w:rsid w:val="2E740DF4"/>
    <w:rsid w:val="2E7E3ADC"/>
    <w:rsid w:val="2E8B0409"/>
    <w:rsid w:val="2E935BE3"/>
    <w:rsid w:val="2EE865DD"/>
    <w:rsid w:val="2F063844"/>
    <w:rsid w:val="2F1601C7"/>
    <w:rsid w:val="2F537131"/>
    <w:rsid w:val="307F73AF"/>
    <w:rsid w:val="3102072B"/>
    <w:rsid w:val="31067C7F"/>
    <w:rsid w:val="31241FB1"/>
    <w:rsid w:val="31491507"/>
    <w:rsid w:val="315B44C9"/>
    <w:rsid w:val="31AA709D"/>
    <w:rsid w:val="31EF1AAC"/>
    <w:rsid w:val="3288543B"/>
    <w:rsid w:val="32F26CA9"/>
    <w:rsid w:val="33CD3272"/>
    <w:rsid w:val="33F425AD"/>
    <w:rsid w:val="34297E70"/>
    <w:rsid w:val="34B51CB3"/>
    <w:rsid w:val="35320F9E"/>
    <w:rsid w:val="35C84228"/>
    <w:rsid w:val="35E015EE"/>
    <w:rsid w:val="35EB0709"/>
    <w:rsid w:val="36EB133F"/>
    <w:rsid w:val="377432D3"/>
    <w:rsid w:val="379322B1"/>
    <w:rsid w:val="37A6411A"/>
    <w:rsid w:val="386429F0"/>
    <w:rsid w:val="386F0D30"/>
    <w:rsid w:val="388E5944"/>
    <w:rsid w:val="38EC4D9D"/>
    <w:rsid w:val="38EF5C61"/>
    <w:rsid w:val="3908775A"/>
    <w:rsid w:val="39273996"/>
    <w:rsid w:val="39361B96"/>
    <w:rsid w:val="396C4414"/>
    <w:rsid w:val="399A59A4"/>
    <w:rsid w:val="3AED7D19"/>
    <w:rsid w:val="3B2179CF"/>
    <w:rsid w:val="3B411CF6"/>
    <w:rsid w:val="3B49244B"/>
    <w:rsid w:val="3BD43F26"/>
    <w:rsid w:val="3BE66DDA"/>
    <w:rsid w:val="3C5E0F0B"/>
    <w:rsid w:val="3C77306C"/>
    <w:rsid w:val="3CAC5EC5"/>
    <w:rsid w:val="3CF11AE7"/>
    <w:rsid w:val="3D8C6A1B"/>
    <w:rsid w:val="3D913146"/>
    <w:rsid w:val="3D9978B1"/>
    <w:rsid w:val="3DA308D9"/>
    <w:rsid w:val="3DA70690"/>
    <w:rsid w:val="3DF82725"/>
    <w:rsid w:val="3E9A366A"/>
    <w:rsid w:val="3EB94D37"/>
    <w:rsid w:val="3EDD1F70"/>
    <w:rsid w:val="3F2D2CE4"/>
    <w:rsid w:val="3F601FBF"/>
    <w:rsid w:val="3FFF47B3"/>
    <w:rsid w:val="40396369"/>
    <w:rsid w:val="40A0686C"/>
    <w:rsid w:val="41254309"/>
    <w:rsid w:val="413A5559"/>
    <w:rsid w:val="423641A3"/>
    <w:rsid w:val="42DF267A"/>
    <w:rsid w:val="430116F2"/>
    <w:rsid w:val="432A5783"/>
    <w:rsid w:val="436A31F1"/>
    <w:rsid w:val="43943548"/>
    <w:rsid w:val="4462158A"/>
    <w:rsid w:val="44885402"/>
    <w:rsid w:val="44AC58E0"/>
    <w:rsid w:val="44BD43B6"/>
    <w:rsid w:val="44E5320C"/>
    <w:rsid w:val="45194B62"/>
    <w:rsid w:val="455273CF"/>
    <w:rsid w:val="45E201CD"/>
    <w:rsid w:val="462A5C78"/>
    <w:rsid w:val="4666134F"/>
    <w:rsid w:val="46827F17"/>
    <w:rsid w:val="469C6ED8"/>
    <w:rsid w:val="47207C4E"/>
    <w:rsid w:val="487E3F1B"/>
    <w:rsid w:val="48A74F3C"/>
    <w:rsid w:val="490C14BE"/>
    <w:rsid w:val="491313D0"/>
    <w:rsid w:val="49DE35AE"/>
    <w:rsid w:val="49F8668C"/>
    <w:rsid w:val="4A545D24"/>
    <w:rsid w:val="4B144E19"/>
    <w:rsid w:val="4B5E3D87"/>
    <w:rsid w:val="4BEE1E73"/>
    <w:rsid w:val="4D50762E"/>
    <w:rsid w:val="4D695962"/>
    <w:rsid w:val="4DC95283"/>
    <w:rsid w:val="4E5C0735"/>
    <w:rsid w:val="4E962786"/>
    <w:rsid w:val="4E9B5FEF"/>
    <w:rsid w:val="4EC14B6C"/>
    <w:rsid w:val="4EC30082"/>
    <w:rsid w:val="4F0429BC"/>
    <w:rsid w:val="4F92533F"/>
    <w:rsid w:val="4FAA73B2"/>
    <w:rsid w:val="4FC40731"/>
    <w:rsid w:val="4FD317B8"/>
    <w:rsid w:val="4FE23AF9"/>
    <w:rsid w:val="500F0A42"/>
    <w:rsid w:val="50836D3A"/>
    <w:rsid w:val="508A00C9"/>
    <w:rsid w:val="508F56DF"/>
    <w:rsid w:val="50FE57F9"/>
    <w:rsid w:val="51145BE4"/>
    <w:rsid w:val="51626424"/>
    <w:rsid w:val="51850890"/>
    <w:rsid w:val="51A97D89"/>
    <w:rsid w:val="51B96E26"/>
    <w:rsid w:val="538A47BB"/>
    <w:rsid w:val="54550544"/>
    <w:rsid w:val="54DC760F"/>
    <w:rsid w:val="565755FF"/>
    <w:rsid w:val="56910FA0"/>
    <w:rsid w:val="56D91A42"/>
    <w:rsid w:val="5765317B"/>
    <w:rsid w:val="57B43C7D"/>
    <w:rsid w:val="57D07180"/>
    <w:rsid w:val="581B1F4E"/>
    <w:rsid w:val="58C056D6"/>
    <w:rsid w:val="592317A2"/>
    <w:rsid w:val="597B1719"/>
    <w:rsid w:val="59E16A65"/>
    <w:rsid w:val="5A5F03CE"/>
    <w:rsid w:val="5A6D6DF4"/>
    <w:rsid w:val="5ABB7731"/>
    <w:rsid w:val="5AC24903"/>
    <w:rsid w:val="5ACC17B6"/>
    <w:rsid w:val="5B155928"/>
    <w:rsid w:val="5B8228C3"/>
    <w:rsid w:val="5BB61A1E"/>
    <w:rsid w:val="5BD60666"/>
    <w:rsid w:val="5C17764C"/>
    <w:rsid w:val="5C3D06E5"/>
    <w:rsid w:val="5CE04386"/>
    <w:rsid w:val="5D591219"/>
    <w:rsid w:val="5D9A3290"/>
    <w:rsid w:val="5DED7FE2"/>
    <w:rsid w:val="5DFA147B"/>
    <w:rsid w:val="5E2C47E2"/>
    <w:rsid w:val="5E522377"/>
    <w:rsid w:val="5EEE4907"/>
    <w:rsid w:val="5F0E6369"/>
    <w:rsid w:val="5F17346F"/>
    <w:rsid w:val="5F7F41DA"/>
    <w:rsid w:val="6030400C"/>
    <w:rsid w:val="604745DC"/>
    <w:rsid w:val="605574B0"/>
    <w:rsid w:val="60964868"/>
    <w:rsid w:val="60A407D7"/>
    <w:rsid w:val="60A73659"/>
    <w:rsid w:val="60C93163"/>
    <w:rsid w:val="610E2DAD"/>
    <w:rsid w:val="619C5EAE"/>
    <w:rsid w:val="61BD7BD2"/>
    <w:rsid w:val="61C1056C"/>
    <w:rsid w:val="61DE787E"/>
    <w:rsid w:val="62683678"/>
    <w:rsid w:val="629F4EFE"/>
    <w:rsid w:val="62CD29FE"/>
    <w:rsid w:val="62CE02E9"/>
    <w:rsid w:val="631235CB"/>
    <w:rsid w:val="635B21A1"/>
    <w:rsid w:val="63673845"/>
    <w:rsid w:val="63924E8B"/>
    <w:rsid w:val="63CF4B37"/>
    <w:rsid w:val="63F975E8"/>
    <w:rsid w:val="64205E96"/>
    <w:rsid w:val="644261BF"/>
    <w:rsid w:val="644C725D"/>
    <w:rsid w:val="64B82FFF"/>
    <w:rsid w:val="64EA5643"/>
    <w:rsid w:val="65030F58"/>
    <w:rsid w:val="65131E9C"/>
    <w:rsid w:val="652E6EAE"/>
    <w:rsid w:val="655D7702"/>
    <w:rsid w:val="658E69CC"/>
    <w:rsid w:val="65C854C3"/>
    <w:rsid w:val="65CB63BA"/>
    <w:rsid w:val="65D972F5"/>
    <w:rsid w:val="65FC3286"/>
    <w:rsid w:val="663A5DB1"/>
    <w:rsid w:val="668F7D8F"/>
    <w:rsid w:val="66A94114"/>
    <w:rsid w:val="66C043ED"/>
    <w:rsid w:val="66F651EE"/>
    <w:rsid w:val="67937328"/>
    <w:rsid w:val="68AF6CFE"/>
    <w:rsid w:val="69A31AC6"/>
    <w:rsid w:val="69D312A0"/>
    <w:rsid w:val="69D8268C"/>
    <w:rsid w:val="6A3550F2"/>
    <w:rsid w:val="6A3F73B1"/>
    <w:rsid w:val="6AA3499E"/>
    <w:rsid w:val="6ADF6E0B"/>
    <w:rsid w:val="6AEA1A38"/>
    <w:rsid w:val="6B41704B"/>
    <w:rsid w:val="6B4D3737"/>
    <w:rsid w:val="6B5415A7"/>
    <w:rsid w:val="6B563F29"/>
    <w:rsid w:val="6BA73681"/>
    <w:rsid w:val="6BB359E5"/>
    <w:rsid w:val="6BE92B6B"/>
    <w:rsid w:val="6C476772"/>
    <w:rsid w:val="6C900AA4"/>
    <w:rsid w:val="6CA74D3B"/>
    <w:rsid w:val="6CD503E9"/>
    <w:rsid w:val="6D853C9A"/>
    <w:rsid w:val="6DDE498D"/>
    <w:rsid w:val="6DE4072E"/>
    <w:rsid w:val="6E236AEA"/>
    <w:rsid w:val="6E3855F9"/>
    <w:rsid w:val="6EE00EE5"/>
    <w:rsid w:val="6F2458C7"/>
    <w:rsid w:val="6F753B6B"/>
    <w:rsid w:val="6FF31AE1"/>
    <w:rsid w:val="705028DA"/>
    <w:rsid w:val="708B1B86"/>
    <w:rsid w:val="70CC2E54"/>
    <w:rsid w:val="70DD5B9B"/>
    <w:rsid w:val="70EF25D3"/>
    <w:rsid w:val="71154A7F"/>
    <w:rsid w:val="71472472"/>
    <w:rsid w:val="7166670A"/>
    <w:rsid w:val="71B0505E"/>
    <w:rsid w:val="71DD153E"/>
    <w:rsid w:val="71FB09CF"/>
    <w:rsid w:val="72255FF3"/>
    <w:rsid w:val="72534367"/>
    <w:rsid w:val="72594E42"/>
    <w:rsid w:val="734775FF"/>
    <w:rsid w:val="73F46CD3"/>
    <w:rsid w:val="74296F20"/>
    <w:rsid w:val="74461AA1"/>
    <w:rsid w:val="745421BF"/>
    <w:rsid w:val="7499002B"/>
    <w:rsid w:val="74F24F39"/>
    <w:rsid w:val="75206410"/>
    <w:rsid w:val="752B5AA1"/>
    <w:rsid w:val="753C5586"/>
    <w:rsid w:val="75BA578A"/>
    <w:rsid w:val="75D37C3C"/>
    <w:rsid w:val="7613196C"/>
    <w:rsid w:val="76424E1E"/>
    <w:rsid w:val="767542D1"/>
    <w:rsid w:val="76BC4718"/>
    <w:rsid w:val="771D00F4"/>
    <w:rsid w:val="77364257"/>
    <w:rsid w:val="773A4665"/>
    <w:rsid w:val="77951CAC"/>
    <w:rsid w:val="77D832C9"/>
    <w:rsid w:val="787F60D3"/>
    <w:rsid w:val="78A3591C"/>
    <w:rsid w:val="78F80068"/>
    <w:rsid w:val="7A0B5A56"/>
    <w:rsid w:val="7A2F6FE3"/>
    <w:rsid w:val="7ADD2314"/>
    <w:rsid w:val="7B1B6B86"/>
    <w:rsid w:val="7B614DCE"/>
    <w:rsid w:val="7B781635"/>
    <w:rsid w:val="7BE55029"/>
    <w:rsid w:val="7C140FCB"/>
    <w:rsid w:val="7CFB15CD"/>
    <w:rsid w:val="7D140F6A"/>
    <w:rsid w:val="7D2808C2"/>
    <w:rsid w:val="7DA0242A"/>
    <w:rsid w:val="7DD96084"/>
    <w:rsid w:val="7DDA3B8E"/>
    <w:rsid w:val="7DE22A43"/>
    <w:rsid w:val="7E130EBF"/>
    <w:rsid w:val="7E5F290D"/>
    <w:rsid w:val="7EFFDB5C"/>
    <w:rsid w:val="7F8F3195"/>
    <w:rsid w:val="7FAC155A"/>
    <w:rsid w:val="7FBA412F"/>
    <w:rsid w:val="7FDF9623"/>
    <w:rsid w:val="7FED00ED"/>
    <w:rsid w:val="D7B86A17"/>
    <w:rsid w:val="FDCE89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nhideWhenUsed="0" w:uiPriority="9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spacing w:line="216" w:lineRule="auto"/>
      <w:jc w:val="center"/>
      <w:outlineLvl w:val="0"/>
    </w:pPr>
    <w:rPr>
      <w:rFonts w:ascii="宋体" w:hAnsi="宋体"/>
      <w:b/>
      <w:sz w:val="30"/>
      <w:szCs w:val="20"/>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ascii="Times New Roman" w:hAnsi="Times New Roman" w:eastAsia="楷体_GB2312"/>
      <w:sz w:val="21"/>
    </w:rPr>
  </w:style>
  <w:style w:type="paragraph" w:styleId="3">
    <w:name w:val="Body Text Indent"/>
    <w:basedOn w:val="1"/>
    <w:next w:val="2"/>
    <w:qFormat/>
    <w:uiPriority w:val="0"/>
    <w:pPr>
      <w:spacing w:line="360" w:lineRule="auto"/>
      <w:ind w:firstLine="600" w:firstLineChars="200"/>
    </w:pPr>
    <w:rPr>
      <w:rFonts w:ascii="仿宋_GB2312" w:hAnsi="宋体" w:eastAsia="仿宋_GB2312"/>
      <w:sz w:val="30"/>
    </w:rPr>
  </w:style>
  <w:style w:type="paragraph" w:styleId="6">
    <w:name w:val="Normal Indent"/>
    <w:basedOn w:val="1"/>
    <w:link w:val="47"/>
    <w:qFormat/>
    <w:uiPriority w:val="0"/>
    <w:pPr>
      <w:ind w:firstLine="420"/>
    </w:pPr>
    <w:rPr>
      <w:szCs w:val="20"/>
    </w:r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qFormat/>
    <w:uiPriority w:val="0"/>
    <w:pPr>
      <w:jc w:val="left"/>
    </w:pPr>
  </w:style>
  <w:style w:type="paragraph" w:styleId="9">
    <w:name w:val="Body Text"/>
    <w:basedOn w:val="1"/>
    <w:next w:val="10"/>
    <w:qFormat/>
    <w:uiPriority w:val="0"/>
    <w:rPr>
      <w:rFonts w:ascii="宋体" w:hAnsi="宋体"/>
      <w:sz w:val="28"/>
    </w:rPr>
  </w:style>
  <w:style w:type="paragraph" w:styleId="10">
    <w:name w:val="Body Text First Indent"/>
    <w:basedOn w:val="9"/>
    <w:next w:val="11"/>
    <w:qFormat/>
    <w:uiPriority w:val="0"/>
    <w:pPr>
      <w:spacing w:line="312" w:lineRule="auto"/>
      <w:ind w:firstLine="420"/>
    </w:pPr>
  </w:style>
  <w:style w:type="paragraph" w:styleId="11">
    <w:name w:val="toc 6"/>
    <w:basedOn w:val="1"/>
    <w:next w:val="1"/>
    <w:qFormat/>
    <w:uiPriority w:val="99"/>
    <w:pPr>
      <w:ind w:left="2100" w:leftChars="1000"/>
    </w:pPr>
    <w:rPr>
      <w:szCs w:val="22"/>
    </w:rPr>
  </w:style>
  <w:style w:type="paragraph" w:styleId="12">
    <w:name w:val="Block Text"/>
    <w:basedOn w:val="1"/>
    <w:qFormat/>
    <w:uiPriority w:val="0"/>
    <w:pPr>
      <w:spacing w:line="390" w:lineRule="exact"/>
      <w:ind w:left="735" w:right="-296" w:rightChars="-141"/>
    </w:pPr>
    <w:rPr>
      <w:rFonts w:ascii="宋体"/>
    </w:rPr>
  </w:style>
  <w:style w:type="paragraph" w:styleId="13">
    <w:name w:val="Plain Text"/>
    <w:basedOn w:val="1"/>
    <w:next w:val="1"/>
    <w:link w:val="48"/>
    <w:qFormat/>
    <w:uiPriority w:val="0"/>
    <w:rPr>
      <w:rFonts w:ascii="宋体" w:hAnsi="Courier New" w:cs="Courier New"/>
      <w:szCs w:val="21"/>
    </w:rPr>
  </w:style>
  <w:style w:type="paragraph" w:styleId="14">
    <w:name w:val="Balloon Text"/>
    <w:basedOn w:val="1"/>
    <w:link w:val="46"/>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17">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8">
    <w:name w:val="List"/>
    <w:basedOn w:val="1"/>
    <w:next w:val="1"/>
    <w:qFormat/>
    <w:uiPriority w:val="0"/>
    <w:pPr>
      <w:ind w:left="200" w:hanging="200" w:hangingChars="200"/>
    </w:pPr>
    <w:rPr>
      <w:szCs w:val="20"/>
    </w:rPr>
  </w:style>
  <w:style w:type="paragraph" w:styleId="19">
    <w:name w:val="Body Text Indent 3"/>
    <w:basedOn w:val="1"/>
    <w:qFormat/>
    <w:uiPriority w:val="99"/>
    <w:pPr>
      <w:spacing w:after="120"/>
      <w:ind w:left="420" w:leftChars="200"/>
    </w:pPr>
    <w:rPr>
      <w:sz w:val="16"/>
      <w:szCs w:val="16"/>
    </w:rPr>
  </w:style>
  <w:style w:type="paragraph" w:styleId="20">
    <w:name w:val="index 1"/>
    <w:basedOn w:val="1"/>
    <w:next w:val="1"/>
    <w:qFormat/>
    <w:uiPriority w:val="0"/>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Emphasis"/>
    <w:basedOn w:val="23"/>
    <w:qFormat/>
    <w:uiPriority w:val="0"/>
    <w:rPr>
      <w:i/>
    </w:rPr>
  </w:style>
  <w:style w:type="character" w:styleId="26">
    <w:name w:val="line number"/>
    <w:basedOn w:val="23"/>
    <w:qFormat/>
    <w:uiPriority w:val="0"/>
  </w:style>
  <w:style w:type="character" w:styleId="27">
    <w:name w:val="Hyperlink"/>
    <w:qFormat/>
    <w:uiPriority w:val="0"/>
    <w:rPr>
      <w:color w:val="0000FF"/>
      <w:u w:val="single"/>
    </w:rPr>
  </w:style>
  <w:style w:type="character" w:styleId="28">
    <w:name w:val="annotation reference"/>
    <w:semiHidden/>
    <w:qFormat/>
    <w:uiPriority w:val="0"/>
    <w:rPr>
      <w:sz w:val="21"/>
      <w:szCs w:val="21"/>
    </w:rPr>
  </w:style>
  <w:style w:type="paragraph" w:customStyle="1" w:styleId="29">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30">
    <w:name w:val="_Style 1"/>
    <w:qFormat/>
    <w:uiPriority w:val="99"/>
    <w:rPr>
      <w:rFonts w:ascii="Calibri" w:hAnsi="Calibri" w:eastAsia="宋体" w:cs="Times New Roman"/>
      <w:kern w:val="2"/>
      <w:sz w:val="28"/>
      <w:szCs w:val="22"/>
      <w:lang w:val="en-US" w:eastAsia="zh-CN" w:bidi="ar-SA"/>
    </w:rPr>
  </w:style>
  <w:style w:type="paragraph" w:customStyle="1" w:styleId="31">
    <w:name w:val="Normal Indent1"/>
    <w:basedOn w:val="1"/>
    <w:qFormat/>
    <w:uiPriority w:val="0"/>
    <w:pPr>
      <w:ind w:firstLine="420" w:firstLineChars="200"/>
    </w:pPr>
    <w:rPr>
      <w:szCs w:val="20"/>
    </w:rPr>
  </w:style>
  <w:style w:type="paragraph" w:customStyle="1" w:styleId="32">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纯文本2"/>
    <w:basedOn w:val="1"/>
    <w:qFormat/>
    <w:uiPriority w:val="0"/>
    <w:pPr>
      <w:adjustRightInd w:val="0"/>
      <w:textAlignment w:val="baseline"/>
    </w:pPr>
    <w:rPr>
      <w:rFonts w:ascii="宋体" w:hAnsi="Courier New" w:eastAsia="楷体_GB2312"/>
      <w:sz w:val="26"/>
      <w:szCs w:val="20"/>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font51"/>
    <w:basedOn w:val="23"/>
    <w:qFormat/>
    <w:uiPriority w:val="0"/>
    <w:rPr>
      <w:rFonts w:hint="eastAsia" w:ascii="宋体" w:hAnsi="宋体" w:eastAsia="宋体" w:cs="宋体"/>
      <w:color w:val="000000"/>
      <w:sz w:val="20"/>
      <w:szCs w:val="20"/>
      <w:u w:val="none"/>
    </w:rPr>
  </w:style>
  <w:style w:type="character" w:customStyle="1" w:styleId="38">
    <w:name w:val="font61"/>
    <w:basedOn w:val="23"/>
    <w:qFormat/>
    <w:uiPriority w:val="0"/>
    <w:rPr>
      <w:rFonts w:hint="eastAsia" w:ascii="宋体" w:hAnsi="宋体" w:eastAsia="宋体" w:cs="宋体"/>
      <w:b/>
      <w:color w:val="FF0000"/>
      <w:sz w:val="20"/>
      <w:szCs w:val="20"/>
      <w:u w:val="none"/>
    </w:rPr>
  </w:style>
  <w:style w:type="paragraph" w:customStyle="1" w:styleId="39">
    <w:name w:val="正文文字2"/>
    <w:basedOn w:val="9"/>
    <w:qFormat/>
    <w:uiPriority w:val="0"/>
    <w:pPr>
      <w:adjustRightInd w:val="0"/>
      <w:spacing w:after="60" w:line="360" w:lineRule="atLeast"/>
      <w:ind w:left="72" w:leftChars="30" w:right="72" w:rightChars="30"/>
      <w:jc w:val="center"/>
    </w:pPr>
    <w:rPr>
      <w:rFonts w:ascii="Arial" w:eastAsia="黑体"/>
      <w:kern w:val="0"/>
      <w:sz w:val="21"/>
      <w:szCs w:val="20"/>
    </w:rPr>
  </w:style>
  <w:style w:type="paragraph" w:customStyle="1" w:styleId="40">
    <w:name w:val="正文1"/>
    <w:qFormat/>
    <w:uiPriority w:val="0"/>
    <w:pPr>
      <w:widowControl w:val="0"/>
      <w:adjustRightInd w:val="0"/>
      <w:spacing w:line="312" w:lineRule="atLeast"/>
      <w:jc w:val="both"/>
      <w:textAlignment w:val="baseline"/>
    </w:pPr>
    <w:rPr>
      <w:rFonts w:ascii="宋体" w:hAnsi="宋体" w:eastAsia="宋体" w:cs="Times New Roman"/>
      <w:sz w:val="24"/>
      <w:lang w:val="en-US" w:eastAsia="zh-CN" w:bidi="ar-SA"/>
    </w:rPr>
  </w:style>
  <w:style w:type="paragraph" w:styleId="41">
    <w:name w:val="List Paragraph"/>
    <w:basedOn w:val="1"/>
    <w:qFormat/>
    <w:uiPriority w:val="34"/>
    <w:pPr>
      <w:widowControl/>
      <w:spacing w:before="100" w:beforeAutospacing="1" w:after="100" w:afterAutospacing="1"/>
      <w:jc w:val="left"/>
    </w:pPr>
    <w:rPr>
      <w:rFonts w:ascii="黑体" w:hAnsi="黑体" w:eastAsia="黑体" w:cs="宋体"/>
      <w:color w:val="000000"/>
      <w:kern w:val="0"/>
      <w:sz w:val="24"/>
    </w:rPr>
  </w:style>
  <w:style w:type="paragraph" w:customStyle="1" w:styleId="42">
    <w:name w:val="BodyText1I"/>
    <w:basedOn w:val="43"/>
    <w:qFormat/>
    <w:uiPriority w:val="0"/>
    <w:pPr>
      <w:tabs>
        <w:tab w:val="left" w:pos="3380"/>
      </w:tabs>
      <w:ind w:firstLine="420" w:firstLineChars="100"/>
    </w:pPr>
    <w:rPr>
      <w:rFonts w:ascii="宋体" w:hAnsi="宋体"/>
      <w:sz w:val="28"/>
      <w:szCs w:val="28"/>
    </w:rPr>
  </w:style>
  <w:style w:type="paragraph" w:customStyle="1" w:styleId="43">
    <w:name w:val="BodyText"/>
    <w:basedOn w:val="1"/>
    <w:next w:val="1"/>
    <w:qFormat/>
    <w:uiPriority w:val="0"/>
    <w:pPr>
      <w:tabs>
        <w:tab w:val="left" w:pos="3380"/>
      </w:tabs>
      <w:jc w:val="center"/>
      <w:textAlignment w:val="baseline"/>
    </w:pPr>
    <w:rPr>
      <w:rFonts w:ascii="Times New Roman"/>
      <w:b/>
      <w:bCs/>
      <w:spacing w:val="-20"/>
      <w:kern w:val="0"/>
      <w:sz w:val="36"/>
    </w:rPr>
  </w:style>
  <w:style w:type="paragraph" w:customStyle="1" w:styleId="44">
    <w:name w:val="Table Paragraph"/>
    <w:basedOn w:val="1"/>
    <w:qFormat/>
    <w:uiPriority w:val="1"/>
    <w:rPr>
      <w:rFonts w:ascii="宋体" w:hAnsi="宋体" w:cs="宋体"/>
      <w:lang w:val="zh-CN" w:bidi="zh-CN"/>
    </w:rPr>
  </w:style>
  <w:style w:type="paragraph" w:customStyle="1" w:styleId="45">
    <w:name w:val="章正文"/>
    <w:qFormat/>
    <w:uiPriority w:val="0"/>
    <w:pPr>
      <w:widowControl w:val="0"/>
      <w:spacing w:beforeLines="65" w:afterLines="50" w:line="300" w:lineRule="auto"/>
      <w:ind w:firstLine="480"/>
      <w:jc w:val="both"/>
    </w:pPr>
    <w:rPr>
      <w:rFonts w:ascii="Helvetica" w:hAnsi="Helvetica" w:eastAsia="宋体;SimSun" w:cs="Calibri"/>
      <w:sz w:val="24"/>
      <w:szCs w:val="24"/>
      <w:lang w:val="en-US" w:eastAsia="zh-CN" w:bidi="ar-SA"/>
    </w:rPr>
  </w:style>
  <w:style w:type="character" w:customStyle="1" w:styleId="46">
    <w:name w:val="批注框文本 Char"/>
    <w:basedOn w:val="23"/>
    <w:link w:val="14"/>
    <w:qFormat/>
    <w:uiPriority w:val="0"/>
    <w:rPr>
      <w:rFonts w:ascii="Calibri" w:hAnsi="Calibri"/>
      <w:kern w:val="2"/>
      <w:sz w:val="18"/>
      <w:szCs w:val="18"/>
    </w:rPr>
  </w:style>
  <w:style w:type="character" w:customStyle="1" w:styleId="47">
    <w:name w:val="正文缩进 Char"/>
    <w:link w:val="6"/>
    <w:qFormat/>
    <w:uiPriority w:val="0"/>
    <w:rPr>
      <w:rFonts w:ascii="Calibri" w:hAnsi="Calibri"/>
      <w:kern w:val="2"/>
      <w:sz w:val="21"/>
    </w:rPr>
  </w:style>
  <w:style w:type="character" w:customStyle="1" w:styleId="48">
    <w:name w:val="纯文本 Char"/>
    <w:link w:val="13"/>
    <w:qFormat/>
    <w:uiPriority w:val="0"/>
    <w:rPr>
      <w:rFonts w:ascii="宋体" w:hAnsi="Courier New" w:cs="Courier New"/>
      <w:kern w:val="2"/>
      <w:sz w:val="21"/>
      <w:szCs w:val="21"/>
    </w:rPr>
  </w:style>
  <w:style w:type="character" w:customStyle="1" w:styleId="49">
    <w:name w:val="font11"/>
    <w:basedOn w:val="23"/>
    <w:qFormat/>
    <w:uiPriority w:val="0"/>
    <w:rPr>
      <w:rFonts w:ascii="Calibri" w:hAnsi="Calibri" w:cs="Calibri"/>
      <w:color w:val="000000"/>
      <w:sz w:val="24"/>
      <w:szCs w:val="24"/>
      <w:u w:val="none"/>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2">
    <w:name w:val="_Style 41"/>
    <w:basedOn w:val="9"/>
    <w:next w:val="10"/>
    <w:unhideWhenUsed/>
    <w:qFormat/>
    <w:uiPriority w:val="99"/>
    <w:pPr>
      <w:ind w:firstLine="420" w:firstLineChars="100"/>
    </w:pPr>
    <w:rPr>
      <w:szCs w:val="20"/>
    </w:rPr>
  </w:style>
  <w:style w:type="paragraph" w:customStyle="1" w:styleId="53">
    <w:name w:val="DAS正文"/>
    <w:basedOn w:val="1"/>
    <w:qFormat/>
    <w:uiPriority w:val="0"/>
    <w:pPr>
      <w:spacing w:line="360" w:lineRule="auto"/>
      <w:ind w:right="181" w:firstLine="480" w:firstLineChars="200"/>
    </w:pPr>
    <w:rPr>
      <w:rFonts w:ascii="Verdana" w:hAnsi="Verdana" w:cs="Verdan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62</Pages>
  <Words>25792</Words>
  <Characters>27323</Characters>
  <Lines>259</Lines>
  <Paragraphs>73</Paragraphs>
  <TotalTime>3</TotalTime>
  <ScaleCrop>false</ScaleCrop>
  <LinksUpToDate>false</LinksUpToDate>
  <CharactersWithSpaces>27650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2022-07-30T10:19:00Z</dcterms:created>
  <dc:creator>Administrator.PC-20160716QTOZ</dc:creator>
  <cp:lastModifiedBy>小金小金三百多斤。</cp:lastModifiedBy>
  <dcterms:modified xsi:type="dcterms:W3CDTF">2025-02-07T04:20:01Z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18BE4550595A42758D663B9BA6AEFE2F_13</vt:lpwstr>
  </property>
  <property fmtid="{D5CDD505-2E9C-101B-9397-08002B2CF9AE}" pid="4" name="KSOTemplateDocerSaveRecord">
    <vt:lpwstr>eyJoZGlkIjoiODk2NDEzNWRjMGQyMzVjZjg0N2M4YjQwMTEwNWVkNGUiLCJ1c2VySWQiOiIxMTU1OTI2NjM0In0=</vt:lpwstr>
  </property>
</Properties>
</file>