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adjustRightInd/>
        <w:spacing w:line="360" w:lineRule="auto"/>
        <w:jc w:val="both"/>
        <w:rPr>
          <w:rFonts w:ascii="宋体" w:hAnsi="宋体" w:cs="宋体"/>
          <w:b/>
          <w:sz w:val="48"/>
          <w:szCs w:val="48"/>
        </w:rPr>
      </w:pP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仁和街道云会农民多高层公寓安置房风管防火板采购安装项目（电子招投标）</w:t>
      </w:r>
    </w:p>
    <w:p>
      <w:pPr>
        <w:adjustRightInd/>
        <w:spacing w:line="360" w:lineRule="auto"/>
        <w:jc w:val="center"/>
        <w:rPr>
          <w:rFonts w:ascii="仿宋" w:hAnsi="仿宋" w:eastAsia="仿宋" w:cs="仿宋_GB2312"/>
          <w:sz w:val="28"/>
          <w:szCs w:val="20"/>
        </w:rPr>
      </w:pPr>
      <w:r>
        <w:rPr>
          <w:rFonts w:hint="eastAsia" w:ascii="仿宋" w:hAnsi="仿宋" w:eastAsia="仿宋" w:cs="仿宋_GB2312"/>
          <w:b/>
          <w:sz w:val="44"/>
          <w:szCs w:val="44"/>
        </w:rPr>
        <w:t>编号</w:t>
      </w:r>
      <w:r>
        <w:rPr>
          <w:rFonts w:ascii="仿宋" w:hAnsi="仿宋" w:eastAsia="仿宋" w:cs="仿宋_GB2312"/>
          <w:b/>
          <w:sz w:val="44"/>
          <w:szCs w:val="44"/>
        </w:rPr>
        <w:t>:</w:t>
      </w:r>
      <w:r>
        <w:rPr>
          <w:rFonts w:hint="eastAsia" w:ascii="仿宋" w:hAnsi="仿宋" w:eastAsia="仿宋" w:cs="仿宋_GB2312"/>
          <w:b/>
          <w:sz w:val="44"/>
          <w:szCs w:val="44"/>
        </w:rPr>
        <w:t>JSCG</w:t>
      </w:r>
      <w:r>
        <w:rPr>
          <w:rFonts w:hint="eastAsia" w:ascii="仿宋" w:hAnsi="仿宋" w:eastAsia="仿宋" w:cs="仿宋_GB2312"/>
          <w:b/>
          <w:sz w:val="44"/>
          <w:szCs w:val="44"/>
          <w:lang w:val="en-US" w:eastAsia="zh-CN"/>
        </w:rPr>
        <w:t>JJ</w:t>
      </w:r>
      <w:r>
        <w:rPr>
          <w:rFonts w:hint="eastAsia" w:ascii="仿宋" w:hAnsi="仿宋" w:eastAsia="仿宋" w:cs="仿宋_GB2312"/>
          <w:b/>
          <w:sz w:val="44"/>
          <w:szCs w:val="44"/>
        </w:rPr>
        <w:t>-202</w:t>
      </w:r>
      <w:r>
        <w:rPr>
          <w:rFonts w:hint="eastAsia" w:ascii="仿宋" w:hAnsi="仿宋" w:eastAsia="仿宋" w:cs="仿宋_GB2312"/>
          <w:b/>
          <w:sz w:val="44"/>
          <w:szCs w:val="44"/>
          <w:lang w:val="en-US" w:eastAsia="zh-CN"/>
        </w:rPr>
        <w:t>4</w:t>
      </w:r>
      <w:r>
        <w:rPr>
          <w:rFonts w:hint="eastAsia" w:ascii="仿宋" w:hAnsi="仿宋" w:eastAsia="仿宋" w:cs="仿宋_GB2312"/>
          <w:b/>
          <w:sz w:val="44"/>
          <w:szCs w:val="44"/>
        </w:rPr>
        <w:t>-0</w:t>
      </w:r>
      <w:r>
        <w:rPr>
          <w:rFonts w:hint="eastAsia" w:ascii="仿宋" w:hAnsi="仿宋" w:eastAsia="仿宋" w:cs="仿宋_GB2312"/>
          <w:b/>
          <w:sz w:val="44"/>
          <w:szCs w:val="44"/>
          <w:lang w:val="en-US" w:eastAsia="zh-CN"/>
        </w:rPr>
        <w:t xml:space="preserve">08 </w:t>
      </w: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pStyle w:val="5"/>
        <w:rPr>
          <w:rFonts w:ascii="仿宋" w:hAnsi="仿宋" w:eastAsia="仿宋" w:cs="仿宋_GB2312"/>
          <w:b/>
          <w:sz w:val="44"/>
          <w:szCs w:val="44"/>
        </w:rPr>
      </w:pPr>
    </w:p>
    <w:p>
      <w:pPr>
        <w:rPr>
          <w:rFonts w:ascii="仿宋" w:hAnsi="仿宋" w:eastAsia="仿宋" w:cs="仿宋_GB2312"/>
          <w:b/>
          <w:sz w:val="44"/>
          <w:szCs w:val="44"/>
        </w:rPr>
      </w:pPr>
    </w:p>
    <w:p>
      <w:pPr>
        <w:pStyle w:val="5"/>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hd w:val="clear" w:color="auto" w:fill="FFFFFF"/>
        <w:snapToGrid w:val="0"/>
        <w:spacing w:line="360" w:lineRule="auto"/>
        <w:ind w:firstLine="425"/>
        <w:jc w:val="center"/>
        <w:textAlignment w:val="bottom"/>
        <w:rPr>
          <w:rFonts w:hint="eastAsia" w:ascii="宋体" w:hAnsi="宋体" w:eastAsia="宋体" w:cs="宋体"/>
          <w:b/>
          <w:bCs/>
          <w:color w:val="000000"/>
          <w:sz w:val="36"/>
          <w:szCs w:val="36"/>
          <w:lang w:val="en-US" w:eastAsia="zh-CN"/>
        </w:rPr>
      </w:pPr>
      <w:r>
        <w:rPr>
          <w:rFonts w:hint="eastAsia" w:ascii="宋体" w:hAnsi="宋体" w:cs="宋体"/>
          <w:b/>
          <w:bCs/>
          <w:color w:val="000000"/>
          <w:sz w:val="36"/>
          <w:szCs w:val="36"/>
          <w:lang w:eastAsia="zh-CN"/>
        </w:rPr>
        <w:t>采购</w:t>
      </w:r>
      <w:r>
        <w:rPr>
          <w:rFonts w:hint="eastAsia" w:ascii="宋体" w:hAnsi="宋体" w:cs="宋体"/>
          <w:b/>
          <w:bCs/>
          <w:color w:val="000000"/>
          <w:sz w:val="36"/>
          <w:szCs w:val="36"/>
        </w:rPr>
        <w:t>人：</w:t>
      </w:r>
      <w:r>
        <w:rPr>
          <w:rFonts w:hint="eastAsia" w:ascii="宋体" w:hAnsi="宋体" w:eastAsia="宋体" w:cs="宋体"/>
          <w:b/>
          <w:bCs/>
          <w:color w:val="000000"/>
          <w:sz w:val="36"/>
          <w:szCs w:val="36"/>
          <w:lang w:val="en-US" w:eastAsia="zh-CN"/>
        </w:rPr>
        <w:t>杭州市余杭区人民政府仁和街道办事处</w:t>
      </w:r>
    </w:p>
    <w:p>
      <w:pPr>
        <w:pStyle w:val="5"/>
        <w:rPr>
          <w:rFonts w:hint="default"/>
          <w:lang w:val="en-US"/>
        </w:rPr>
      </w:pPr>
    </w:p>
    <w:p>
      <w:pPr>
        <w:shd w:val="clear" w:color="auto" w:fill="FFFFFF"/>
        <w:snapToGrid w:val="0"/>
        <w:spacing w:line="360" w:lineRule="auto"/>
        <w:ind w:firstLine="425"/>
        <w:jc w:val="center"/>
        <w:textAlignment w:val="bottom"/>
        <w:rPr>
          <w:rFonts w:hint="eastAsia" w:ascii="宋体" w:hAnsi="宋体" w:cs="宋体"/>
          <w:b/>
          <w:bCs/>
          <w:color w:val="000000"/>
          <w:sz w:val="36"/>
          <w:szCs w:val="36"/>
        </w:rPr>
      </w:pPr>
      <w:r>
        <w:rPr>
          <w:rFonts w:hint="eastAsia" w:ascii="宋体" w:hAnsi="宋体" w:cs="宋体"/>
          <w:b/>
          <w:bCs/>
          <w:color w:val="000000"/>
          <w:sz w:val="36"/>
          <w:szCs w:val="36"/>
          <w:lang w:eastAsia="zh-CN"/>
        </w:rPr>
        <w:t>采购</w:t>
      </w:r>
      <w:r>
        <w:rPr>
          <w:rFonts w:hint="eastAsia" w:ascii="宋体" w:hAnsi="宋体" w:cs="宋体"/>
          <w:b/>
          <w:bCs/>
          <w:color w:val="000000"/>
          <w:sz w:val="36"/>
          <w:szCs w:val="36"/>
        </w:rPr>
        <w:t>代理机构：杭州市建设工程管理集团有限公司</w:t>
      </w:r>
    </w:p>
    <w:p>
      <w:pPr>
        <w:pStyle w:val="5"/>
      </w:pPr>
    </w:p>
    <w:p>
      <w:pPr>
        <w:spacing w:line="360" w:lineRule="auto"/>
        <w:jc w:val="center"/>
        <w:rPr>
          <w:rFonts w:ascii="宋体" w:hAnsi="宋体" w:cs="宋体"/>
          <w:sz w:val="24"/>
        </w:rPr>
      </w:pPr>
      <w:r>
        <w:rPr>
          <w:rFonts w:hint="eastAsia" w:ascii="宋体" w:hAnsi="宋体" w:cs="宋体"/>
          <w:b/>
          <w:bCs/>
          <w:color w:val="auto"/>
          <w:sz w:val="36"/>
          <w:szCs w:val="36"/>
          <w:highlight w:val="none"/>
        </w:rPr>
        <w:t>日  期：二O二</w:t>
      </w:r>
      <w:r>
        <w:rPr>
          <w:rFonts w:hint="eastAsia" w:ascii="宋体" w:hAnsi="宋体" w:cs="宋体"/>
          <w:b/>
          <w:bCs/>
          <w:color w:val="auto"/>
          <w:sz w:val="36"/>
          <w:szCs w:val="36"/>
          <w:highlight w:val="none"/>
          <w:lang w:val="en-US" w:eastAsia="zh-CN"/>
        </w:rPr>
        <w:t>四</w:t>
      </w:r>
      <w:r>
        <w:rPr>
          <w:rFonts w:hint="eastAsia" w:ascii="宋体" w:hAnsi="宋体" w:cs="宋体"/>
          <w:b/>
          <w:bCs/>
          <w:color w:val="auto"/>
          <w:sz w:val="36"/>
          <w:szCs w:val="36"/>
          <w:highlight w:val="none"/>
        </w:rPr>
        <w:t>年</w:t>
      </w:r>
      <w:r>
        <w:rPr>
          <w:rFonts w:hint="eastAsia" w:ascii="宋体" w:hAnsi="宋体" w:cs="宋体"/>
          <w:b/>
          <w:bCs/>
          <w:color w:val="auto"/>
          <w:sz w:val="36"/>
          <w:szCs w:val="36"/>
          <w:highlight w:val="none"/>
          <w:lang w:val="en-US" w:eastAsia="zh-CN"/>
        </w:rPr>
        <w:t>六</w:t>
      </w:r>
      <w:r>
        <w:rPr>
          <w:rFonts w:hint="eastAsia" w:ascii="宋体" w:hAnsi="宋体" w:cs="宋体"/>
          <w:b/>
          <w:bCs/>
          <w:color w:val="auto"/>
          <w:sz w:val="36"/>
          <w:szCs w:val="36"/>
          <w:highlight w:val="none"/>
          <w:lang w:eastAsia="zh-CN"/>
        </w:rPr>
        <w:t>月</w:t>
      </w:r>
      <w:r>
        <w:rPr>
          <w:rFonts w:hint="eastAsia" w:ascii="宋体" w:hAnsi="宋体" w:cs="宋体"/>
          <w:b/>
          <w:bCs/>
          <w:color w:val="auto"/>
          <w:sz w:val="36"/>
          <w:szCs w:val="36"/>
          <w:highlight w:val="none"/>
          <w:lang w:val="en-US" w:eastAsia="zh-CN"/>
        </w:rPr>
        <w:t>十一</w:t>
      </w:r>
      <w:r>
        <w:rPr>
          <w:rFonts w:hint="eastAsia" w:ascii="宋体" w:hAnsi="宋体" w:cs="宋体"/>
          <w:b/>
          <w:bCs/>
          <w:color w:val="auto"/>
          <w:sz w:val="36"/>
          <w:szCs w:val="36"/>
          <w:highlight w:val="none"/>
        </w:rPr>
        <w:t>日</w:t>
      </w: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sz w:val="24"/>
        </w:rPr>
      </w:pPr>
      <w:r>
        <w:rPr>
          <w:rFonts w:hint="eastAsia" w:ascii="宋体" w:hAnsi="宋体" w:eastAsia="宋体"/>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sz w:val="24"/>
          <w:highlight w:val="none"/>
          <w:u w:val="single"/>
        </w:rPr>
      </w:pPr>
      <w:r>
        <w:rPr>
          <w:rStyle w:val="76"/>
          <w:rFonts w:ascii="宋体" w:hAnsi="宋体" w:eastAsia="宋体" w:cs="Times New Roman"/>
          <w:snapToGrid/>
          <w:color w:val="auto"/>
          <w:kern w:val="2"/>
          <w:sz w:val="24"/>
          <w:szCs w:val="24"/>
        </w:rPr>
        <w:t>仁和街道云会农民多高层公寓安置房风管防火板采购安装项目</w:t>
      </w:r>
      <w:r>
        <w:rPr>
          <w:rFonts w:hint="eastAsia" w:ascii="宋体" w:hAnsi="宋体" w:eastAsia="宋体"/>
          <w:sz w:val="24"/>
        </w:rPr>
        <w:t>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6"/>
          <w:rFonts w:ascii="宋体" w:hAnsi="宋体" w:eastAsia="宋体" w:cs="Times New Roman"/>
          <w:snapToGrid/>
          <w:color w:val="auto"/>
          <w:kern w:val="2"/>
          <w:sz w:val="24"/>
          <w:szCs w:val="24"/>
          <w:highlight w:val="none"/>
        </w:rPr>
        <w:t>https://www.zcygov.cn/）获取（下载）招标文件，并于</w:t>
      </w:r>
      <w:r>
        <w:rPr>
          <w:rStyle w:val="76"/>
          <w:rFonts w:hint="eastAsia" w:ascii="宋体" w:hAnsi="宋体" w:eastAsia="宋体" w:cs="Times New Roman"/>
          <w:snapToGrid/>
          <w:color w:val="auto"/>
          <w:kern w:val="2"/>
          <w:sz w:val="24"/>
          <w:szCs w:val="24"/>
          <w:highlight w:val="none"/>
        </w:rPr>
        <w:t>202</w:t>
      </w:r>
      <w:r>
        <w:rPr>
          <w:rStyle w:val="76"/>
          <w:rFonts w:hint="eastAsia" w:ascii="宋体" w:hAnsi="宋体" w:cs="Times New Roman"/>
          <w:snapToGrid/>
          <w:color w:val="auto"/>
          <w:kern w:val="2"/>
          <w:sz w:val="24"/>
          <w:szCs w:val="24"/>
          <w:highlight w:val="none"/>
          <w:lang w:val="en-US" w:eastAsia="zh-CN"/>
        </w:rPr>
        <w:t>4</w:t>
      </w:r>
      <w:r>
        <w:rPr>
          <w:rStyle w:val="76"/>
          <w:rFonts w:ascii="宋体" w:hAnsi="宋体" w:eastAsia="宋体" w:cs="Times New Roman"/>
          <w:snapToGrid/>
          <w:color w:val="auto"/>
          <w:kern w:val="2"/>
          <w:sz w:val="24"/>
          <w:szCs w:val="24"/>
          <w:highlight w:val="none"/>
        </w:rPr>
        <w:t>年</w:t>
      </w:r>
      <w:r>
        <w:rPr>
          <w:rStyle w:val="76"/>
          <w:rFonts w:hint="eastAsia" w:ascii="宋体" w:hAnsi="宋体" w:cs="Times New Roman"/>
          <w:snapToGrid/>
          <w:color w:val="auto"/>
          <w:kern w:val="2"/>
          <w:sz w:val="24"/>
          <w:szCs w:val="24"/>
          <w:highlight w:val="none"/>
          <w:lang w:val="en-US" w:eastAsia="zh-CN"/>
        </w:rPr>
        <w:t>7</w:t>
      </w:r>
      <w:r>
        <w:rPr>
          <w:rStyle w:val="76"/>
          <w:rFonts w:hint="eastAsia" w:ascii="宋体" w:hAnsi="宋体" w:eastAsia="宋体" w:cs="Times New Roman"/>
          <w:snapToGrid/>
          <w:color w:val="auto"/>
          <w:kern w:val="2"/>
          <w:sz w:val="24"/>
          <w:szCs w:val="24"/>
          <w:highlight w:val="none"/>
        </w:rPr>
        <w:t>月</w:t>
      </w:r>
      <w:r>
        <w:rPr>
          <w:rStyle w:val="76"/>
          <w:rFonts w:hint="eastAsia" w:ascii="宋体" w:hAnsi="宋体" w:cs="Times New Roman"/>
          <w:snapToGrid/>
          <w:color w:val="auto"/>
          <w:kern w:val="2"/>
          <w:sz w:val="24"/>
          <w:szCs w:val="24"/>
          <w:highlight w:val="none"/>
          <w:lang w:val="en-US" w:eastAsia="zh-CN"/>
        </w:rPr>
        <w:t>2</w:t>
      </w:r>
      <w:r>
        <w:rPr>
          <w:rStyle w:val="76"/>
          <w:rFonts w:hint="eastAsia" w:ascii="宋体" w:hAnsi="宋体" w:eastAsia="宋体" w:cs="Times New Roman"/>
          <w:snapToGrid/>
          <w:color w:val="auto"/>
          <w:kern w:val="2"/>
          <w:sz w:val="24"/>
          <w:szCs w:val="24"/>
          <w:highlight w:val="none"/>
        </w:rPr>
        <w:t>日</w:t>
      </w:r>
      <w:r>
        <w:rPr>
          <w:rStyle w:val="76"/>
          <w:rFonts w:hint="eastAsia" w:ascii="宋体" w:hAnsi="宋体" w:cs="Times New Roman"/>
          <w:snapToGrid/>
          <w:color w:val="auto"/>
          <w:kern w:val="2"/>
          <w:sz w:val="24"/>
          <w:szCs w:val="24"/>
          <w:highlight w:val="none"/>
          <w:lang w:val="en-US" w:eastAsia="zh-CN"/>
        </w:rPr>
        <w:t>09</w:t>
      </w:r>
      <w:r>
        <w:rPr>
          <w:rStyle w:val="76"/>
          <w:rFonts w:hint="eastAsia" w:ascii="宋体" w:hAnsi="宋体" w:eastAsia="宋体" w:cs="Times New Roman"/>
          <w:snapToGrid/>
          <w:color w:val="auto"/>
          <w:kern w:val="2"/>
          <w:sz w:val="24"/>
          <w:szCs w:val="24"/>
          <w:highlight w:val="none"/>
        </w:rPr>
        <w:t>点</w:t>
      </w:r>
      <w:r>
        <w:rPr>
          <w:rStyle w:val="76"/>
          <w:rFonts w:hint="eastAsia" w:ascii="宋体" w:hAnsi="宋体" w:cs="Times New Roman"/>
          <w:snapToGrid/>
          <w:color w:val="auto"/>
          <w:kern w:val="2"/>
          <w:sz w:val="24"/>
          <w:szCs w:val="24"/>
          <w:highlight w:val="none"/>
          <w:lang w:val="en-US" w:eastAsia="zh-CN"/>
        </w:rPr>
        <w:t>30</w:t>
      </w:r>
      <w:r>
        <w:rPr>
          <w:rStyle w:val="76"/>
          <w:rFonts w:hint="eastAsia" w:ascii="宋体" w:hAnsi="宋体" w:eastAsia="宋体" w:cs="Times New Roman"/>
          <w:snapToGrid/>
          <w:color w:val="auto"/>
          <w:kern w:val="2"/>
          <w:sz w:val="24"/>
          <w:szCs w:val="24"/>
          <w:highlight w:val="none"/>
        </w:rPr>
        <w:t>分</w:t>
      </w:r>
      <w:r>
        <w:rPr>
          <w:rStyle w:val="76"/>
          <w:rFonts w:hint="eastAsia" w:ascii="宋体" w:hAnsi="宋体" w:eastAsia="宋体" w:cs="Times New Roman"/>
          <w:bCs/>
          <w:snapToGrid/>
          <w:color w:val="auto"/>
          <w:kern w:val="2"/>
          <w:sz w:val="24"/>
          <w:szCs w:val="24"/>
          <w:highlight w:val="none"/>
        </w:rPr>
        <w:t>00秒</w:t>
      </w:r>
      <w:r>
        <w:rPr>
          <w:rStyle w:val="76"/>
          <w:rFonts w:hint="eastAsia" w:ascii="宋体" w:hAnsi="宋体" w:eastAsia="宋体" w:cs="Times New Roman"/>
          <w:bCs/>
          <w:snapToGrid/>
          <w:color w:val="auto"/>
          <w:kern w:val="2"/>
          <w:sz w:val="24"/>
          <w:szCs w:val="24"/>
          <w:highlight w:val="none"/>
        </w:rPr>
        <w:fldChar w:fldCharType="end"/>
      </w:r>
      <w:r>
        <w:rPr>
          <w:rFonts w:hint="eastAsia" w:ascii="宋体" w:hAnsi="宋体" w:eastAsia="宋体"/>
          <w:bCs/>
          <w:sz w:val="24"/>
          <w:highlight w:val="none"/>
        </w:rPr>
        <w:t>（北京时间）前</w:t>
      </w:r>
      <w:r>
        <w:rPr>
          <w:rFonts w:hint="eastAsia" w:ascii="宋体" w:hAnsi="宋体" w:eastAsia="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eastAsia="宋体" w:cs="Times New Roman"/>
          <w:color w:val="auto"/>
          <w:kern w:val="2"/>
          <w:sz w:val="24"/>
          <w:szCs w:val="24"/>
          <w:lang w:val="en-US" w:eastAsia="zh-CN" w:bidi="ar-SA"/>
        </w:rPr>
        <w:t>JSCGJJ-202</w:t>
      </w:r>
      <w:r>
        <w:rPr>
          <w:rFonts w:hint="eastAsia" w:ascii="宋体" w:hAnsi="宋体" w:cs="Times New Roman"/>
          <w:color w:val="auto"/>
          <w:kern w:val="2"/>
          <w:sz w:val="24"/>
          <w:szCs w:val="24"/>
          <w:lang w:val="en-US" w:eastAsia="zh-CN" w:bidi="ar-SA"/>
        </w:rPr>
        <w:t>4</w:t>
      </w:r>
      <w:r>
        <w:rPr>
          <w:rFonts w:hint="eastAsia" w:ascii="宋体" w:hAnsi="宋体" w:eastAsia="宋体" w:cs="Times New Roman"/>
          <w:color w:val="auto"/>
          <w:kern w:val="2"/>
          <w:sz w:val="24"/>
          <w:szCs w:val="24"/>
          <w:lang w:val="en-US" w:eastAsia="zh-CN" w:bidi="ar-SA"/>
        </w:rPr>
        <w:t>-00</w:t>
      </w:r>
      <w:r>
        <w:rPr>
          <w:rFonts w:hint="eastAsia" w:ascii="宋体" w:hAnsi="宋体" w:cs="Times New Roman"/>
          <w:color w:val="auto"/>
          <w:kern w:val="2"/>
          <w:sz w:val="24"/>
          <w:szCs w:val="24"/>
          <w:lang w:val="en-US" w:eastAsia="zh-CN" w:bidi="ar-SA"/>
        </w:rPr>
        <w:t>8</w:t>
      </w:r>
    </w:p>
    <w:p>
      <w:pPr>
        <w:spacing w:line="360" w:lineRule="auto"/>
        <w:rPr>
          <w:rFonts w:hint="eastAsia" w:ascii="宋体" w:hAnsi="宋体" w:eastAsia="宋体" w:cs="Times New Roman"/>
          <w:color w:val="auto"/>
          <w:kern w:val="2"/>
          <w:sz w:val="24"/>
          <w:szCs w:val="24"/>
          <w:lang w:val="en-US" w:eastAsia="zh-CN" w:bidi="ar-SA"/>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eastAsia="宋体" w:cs="Times New Roman"/>
          <w:color w:val="auto"/>
          <w:kern w:val="2"/>
          <w:sz w:val="24"/>
          <w:szCs w:val="24"/>
          <w:lang w:val="en-US" w:eastAsia="zh-CN" w:bidi="ar-SA"/>
        </w:rPr>
        <w:t>仁和街道云会农民多高层公寓安置房风管防火板采购安装项目</w:t>
      </w:r>
    </w:p>
    <w:p>
      <w:pPr>
        <w:spacing w:line="360" w:lineRule="auto"/>
        <w:rPr>
          <w:rFonts w:hint="eastAsia" w:ascii="宋体" w:hAnsi="宋体" w:eastAsia="宋体" w:cs="宋体"/>
          <w:b/>
          <w:sz w:val="24"/>
          <w:highlight w:val="none"/>
          <w:lang w:val="en-US" w:eastAsia="zh-CN"/>
        </w:rPr>
      </w:pPr>
      <w:r>
        <w:rPr>
          <w:rFonts w:hint="eastAsia" w:ascii="宋体" w:hAnsi="宋体" w:eastAsia="宋体" w:cs="宋体"/>
          <w:b/>
          <w:sz w:val="24"/>
          <w:highlight w:val="none"/>
          <w:lang w:val="en-US" w:eastAsia="zh-CN"/>
        </w:rPr>
        <w:t xml:space="preserve">    预算金额（元）：2300000 </w:t>
      </w:r>
    </w:p>
    <w:p>
      <w:pPr>
        <w:spacing w:line="360" w:lineRule="auto"/>
        <w:ind w:firstLine="482" w:firstLineChars="200"/>
        <w:rPr>
          <w:rFonts w:hint="default" w:ascii="宋体" w:hAnsi="宋体" w:eastAsia="宋体" w:cs="宋体"/>
          <w:b/>
          <w:sz w:val="24"/>
          <w:highlight w:val="none"/>
          <w:lang w:val="en-US" w:eastAsia="zh-CN"/>
        </w:rPr>
      </w:pPr>
      <w:r>
        <w:rPr>
          <w:rFonts w:hint="eastAsia" w:ascii="宋体" w:hAnsi="宋体" w:eastAsia="宋体" w:cs="宋体"/>
          <w:b/>
          <w:sz w:val="24"/>
          <w:highlight w:val="none"/>
          <w:lang w:val="en-US" w:eastAsia="zh-CN"/>
        </w:rPr>
        <w:t xml:space="preserve">最高限价（元）：1850705  </w:t>
      </w:r>
    </w:p>
    <w:p>
      <w:pPr>
        <w:pStyle w:val="7"/>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eastAsia="宋体" w:cs="Times New Roman"/>
          <w:color w:val="auto"/>
          <w:kern w:val="2"/>
          <w:sz w:val="24"/>
          <w:szCs w:val="24"/>
          <w:highlight w:val="none"/>
          <w:lang w:val="en-US" w:eastAsia="zh-CN" w:bidi="ar-SA"/>
        </w:rPr>
        <w:t>仁和街道云会农民多高层公寓安置房风管防火板采购安装项目</w:t>
      </w:r>
      <w:r>
        <w:rPr>
          <w:rFonts w:hint="eastAsia" w:hAnsi="宋体" w:cs="Times New Roman"/>
          <w:color w:val="auto"/>
          <w:kern w:val="2"/>
          <w:sz w:val="24"/>
          <w:szCs w:val="24"/>
          <w:highlight w:val="none"/>
          <w:lang w:val="en-US" w:eastAsia="zh-CN" w:bidi="ar-SA"/>
        </w:rPr>
        <w:t>主要内容：</w:t>
      </w:r>
      <w:r>
        <w:rPr>
          <w:rFonts w:hint="eastAsia" w:ascii="宋体" w:hAnsi="宋体" w:cs="宋体"/>
          <w:sz w:val="24"/>
          <w:highlight w:val="none"/>
        </w:rPr>
        <w:t>货物供货、安装调试、货物验收、培训、质保期内的售后服务等</w:t>
      </w:r>
      <w:r>
        <w:rPr>
          <w:rFonts w:hint="eastAsia" w:hAnsi="宋体" w:cs="Times New Roman"/>
          <w:color w:val="auto"/>
          <w:kern w:val="2"/>
          <w:sz w:val="24"/>
          <w:szCs w:val="24"/>
          <w:highlight w:val="none"/>
          <w:u w:val="none"/>
          <w:lang w:eastAsia="zh-CN"/>
        </w:rPr>
        <w:t>，</w:t>
      </w:r>
      <w:r>
        <w:rPr>
          <w:rFonts w:hint="eastAsia" w:ascii="宋体" w:hAnsi="宋体" w:eastAsia="宋体" w:cs="Times New Roman"/>
          <w:color w:val="auto"/>
          <w:kern w:val="2"/>
          <w:sz w:val="24"/>
          <w:szCs w:val="24"/>
          <w:highlight w:val="none"/>
          <w:u w:val="none"/>
        </w:rPr>
        <w:t>具体以招标文件第三部分采购需求为准，供应商可点击本公告下方“浏览采购文件”查看采购需求。</w:t>
      </w:r>
    </w:p>
    <w:p>
      <w:pPr>
        <w:pStyle w:val="130"/>
        <w:ind w:firstLine="482"/>
        <w:outlineLvl w:val="2"/>
        <w:rPr>
          <w:rFonts w:ascii="宋体" w:hAnsi="宋体" w:cs="宋体"/>
          <w:highlight w:val="none"/>
        </w:rPr>
      </w:pPr>
      <w:r>
        <w:rPr>
          <w:rFonts w:hint="eastAsia" w:ascii="宋体" w:hAnsi="宋体" w:cs="宋体"/>
          <w:b/>
          <w:highlight w:val="none"/>
        </w:rPr>
        <w:t>合同履约期限：</w:t>
      </w:r>
      <w:r>
        <w:rPr>
          <w:rFonts w:hint="eastAsia" w:ascii="宋体" w:hAnsi="宋体" w:cs="宋体"/>
          <w:b/>
          <w:highlight w:val="none"/>
          <w:lang w:val="en-US" w:eastAsia="zh-CN"/>
        </w:rPr>
        <w:t>45</w:t>
      </w:r>
      <w:r>
        <w:rPr>
          <w:rFonts w:hint="eastAsia" w:ascii="宋体" w:hAnsi="宋体" w:cs="宋体"/>
          <w:b/>
          <w:highlight w:val="none"/>
        </w:rPr>
        <w:t xml:space="preserve">日历天 </w:t>
      </w:r>
    </w:p>
    <w:p>
      <w:pPr>
        <w:pStyle w:val="7"/>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r>
        <w:rPr>
          <w:rFonts w:hint="eastAsia" w:ascii="Wingdings" w:hAnsi="Wingdings" w:eastAsia="宋体" w:cs="宋体"/>
          <w:snapToGrid w:val="0"/>
          <w:color w:val="auto"/>
          <w:kern w:val="0"/>
          <w:sz w:val="24"/>
          <w:szCs w:val="20"/>
          <w:highlight w:val="none"/>
          <w:lang w:val="en-US" w:eastAsia="zh-CN" w:bidi="ar-SA"/>
        </w:rPr>
        <w:t>þ</w:t>
      </w:r>
      <w:r>
        <w:rPr>
          <w:rFonts w:hint="eastAsia" w:hAnsi="宋体" w:cs="宋体"/>
          <w:b/>
          <w:color w:val="auto"/>
          <w:sz w:val="24"/>
          <w:highlight w:val="none"/>
        </w:rPr>
        <w:t>是</w:t>
      </w:r>
      <w:r>
        <w:rPr>
          <w:rFonts w:hint="eastAsia" w:hAnsi="宋体" w:cs="宋体"/>
          <w:b/>
          <w:snapToGrid/>
          <w:color w:val="auto"/>
          <w:kern w:val="2"/>
          <w:sz w:val="24"/>
          <w:highlight w:val="none"/>
        </w:rPr>
        <w:t>；</w:t>
      </w:r>
      <w:r>
        <w:rPr>
          <w:rFonts w:hint="eastAsia" w:ascii="MS Gothic" w:hAnsi="MS Gothic" w:eastAsia="宋体" w:cs="宋体"/>
          <w:snapToGrid w:val="0"/>
          <w:color w:val="auto"/>
          <w:kern w:val="0"/>
          <w:sz w:val="24"/>
          <w:szCs w:val="20"/>
          <w:highlight w:val="none"/>
          <w:lang w:val="en-US" w:eastAsia="zh-CN" w:bidi="ar-SA"/>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sz w:val="24"/>
        </w:rPr>
      </w:pPr>
      <w:r>
        <w:rPr>
          <w:rFonts w:hint="eastAsia" w:ascii="MS Gothic" w:hAnsi="MS Gothic" w:cs="宋体"/>
          <w:kern w:val="0"/>
          <w:sz w:val="24"/>
        </w:rPr>
        <w:t>☐</w:t>
      </w:r>
      <w:r>
        <w:rPr>
          <w:rFonts w:hint="eastAsia" w:ascii="宋体" w:hAnsi="宋体" w:cs="宋体"/>
          <w:sz w:val="24"/>
        </w:rPr>
        <w:t>无</w:t>
      </w:r>
      <w:r>
        <w:rPr>
          <w:rFonts w:hint="eastAsia" w:ascii="宋体" w:hAnsi="宋体" w:cs="宋体"/>
          <w:snapToGrid w:val="0"/>
          <w:kern w:val="28"/>
          <w:sz w:val="24"/>
          <w:szCs w:val="20"/>
        </w:rPr>
        <w:t>（注：不得限制大中型企业与小微企业组成联合体参与投标）</w:t>
      </w:r>
      <w:r>
        <w:rPr>
          <w:rFonts w:hint="eastAsia" w:ascii="宋体" w:hAnsi="宋体" w:cs="宋体"/>
          <w:sz w:val="24"/>
        </w:rPr>
        <w:t>；</w:t>
      </w:r>
    </w:p>
    <w:p>
      <w:pPr>
        <w:spacing w:line="360" w:lineRule="auto"/>
        <w:ind w:firstLine="480" w:firstLineChars="200"/>
        <w:rPr>
          <w:rFonts w:ascii="宋体" w:hAnsi="宋体" w:cs="宋体"/>
          <w:sz w:val="24"/>
          <w:highlight w:val="none"/>
        </w:rPr>
      </w:pPr>
      <w:r>
        <w:rPr>
          <w:rFonts w:hint="eastAsia" w:ascii="Wingdings" w:hAnsi="Wingdings" w:eastAsia="宋体" w:cs="宋体"/>
          <w:kern w:val="0"/>
          <w:sz w:val="24"/>
          <w:szCs w:val="24"/>
          <w:lang w:val="en-US" w:eastAsia="zh-CN" w:bidi="ar-SA"/>
        </w:rPr>
        <w:sym w:font="Wingdings" w:char="00FE"/>
      </w:r>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u w:val="single"/>
        </w:rPr>
      </w:pPr>
      <w:r>
        <w:rPr>
          <w:rFonts w:hint="eastAsia" w:ascii="Wingdings" w:hAnsi="Wingdings" w:eastAsia="宋体" w:cs="宋体"/>
          <w:kern w:val="0"/>
          <w:sz w:val="24"/>
          <w:szCs w:val="24"/>
          <w:lang w:val="en-US" w:eastAsia="zh-CN" w:bidi="ar-SA"/>
        </w:rPr>
        <w:sym w:font="Wingdings" w:char="00FE"/>
      </w:r>
      <w:r>
        <w:rPr>
          <w:rFonts w:hint="eastAsia" w:ascii="宋体" w:hAnsi="宋体" w:cs="宋体"/>
          <w:sz w:val="24"/>
          <w:highlight w:val="none"/>
        </w:rPr>
        <w:t>货物全部由符合政策要求的中小企业制造，提供中小企业声明函；</w:t>
      </w:r>
    </w:p>
    <w:p>
      <w:pPr>
        <w:spacing w:line="360" w:lineRule="auto"/>
        <w:ind w:firstLine="897" w:firstLineChars="374"/>
        <w:rPr>
          <w:rFonts w:ascii="宋体" w:hAnsi="宋体" w:cs="宋体"/>
          <w:sz w:val="24"/>
          <w:highlight w:val="none"/>
        </w:rPr>
      </w:pPr>
      <w:r>
        <w:rPr>
          <w:rFonts w:hint="eastAsia" w:ascii="Wingdings" w:hAnsi="Wingdings" w:eastAsia="宋体" w:cs="宋体"/>
          <w:kern w:val="0"/>
          <w:sz w:val="24"/>
          <w:szCs w:val="24"/>
          <w:lang w:val="en-US" w:eastAsia="zh-CN" w:bidi="ar-SA"/>
        </w:rPr>
        <w:sym w:font="Wingdings" w:char="00FE"/>
      </w:r>
      <w:r>
        <w:rPr>
          <w:rFonts w:hint="eastAsia" w:ascii="宋体" w:hAnsi="宋体" w:cs="宋体"/>
          <w:sz w:val="24"/>
          <w:highlight w:val="none"/>
        </w:rPr>
        <w:t>货物全部由符合政策要求的小微企业制造，提供中小企业声明函；</w:t>
      </w:r>
    </w:p>
    <w:p>
      <w:pPr>
        <w:spacing w:line="360" w:lineRule="auto"/>
        <w:ind w:firstLine="480" w:firstLineChars="200"/>
        <w:rPr>
          <w:rFonts w:ascii="宋体" w:hAnsi="宋体" w:cs="宋体"/>
          <w:sz w:val="24"/>
        </w:rPr>
      </w:pPr>
      <w:bookmarkStart w:id="12" w:name="_Hlk101132524"/>
      <w:r>
        <w:rPr>
          <w:rFonts w:hint="eastAsia" w:ascii="Wingdings" w:hAnsi="Wingdings" w:eastAsia="宋体" w:cs="宋体"/>
          <w:kern w:val="0"/>
          <w:sz w:val="24"/>
          <w:szCs w:val="24"/>
          <w:lang w:val="en-US" w:eastAsia="zh-CN" w:bidi="ar-SA"/>
        </w:rPr>
        <w:sym w:font="Wingdings" w:char="00A8"/>
      </w:r>
      <w:r>
        <w:rPr>
          <w:rFonts w:hint="eastAsia" w:ascii="宋体" w:hAnsi="宋体" w:cs="宋体"/>
          <w:sz w:val="24"/>
        </w:rPr>
        <w:t>要求以联合体形式参加，提供联合协议和中小企业声明函</w:t>
      </w:r>
      <w:r>
        <w:rPr>
          <w:rFonts w:hint="eastAsia" w:ascii="宋体" w:hAnsi="宋体" w:cs="宋体"/>
          <w:sz w:val="24"/>
          <w:highlight w:val="none"/>
        </w:rPr>
        <w:t>，联合协议中中小企业合同金额应当达到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%，其中小微企业合同金额应当达到</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w:t>
      </w:r>
      <w:r>
        <w:rPr>
          <w:rFonts w:hint="eastAsia" w:ascii="宋体" w:hAnsi="宋体" w:cs="宋体"/>
          <w:spacing w:val="8"/>
          <w:kern w:val="0"/>
          <w:sz w:val="24"/>
          <w:highlight w:val="none"/>
        </w:rPr>
        <w:t>如</w:t>
      </w:r>
      <w:r>
        <w:rPr>
          <w:rFonts w:hint="eastAsia" w:ascii="宋体" w:hAnsi="宋体" w:cs="宋体"/>
          <w:spacing w:val="8"/>
          <w:kern w:val="0"/>
          <w:sz w:val="24"/>
        </w:rPr>
        <w:t>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 w:val="24"/>
        </w:rPr>
        <w:t>；</w:t>
      </w:r>
    </w:p>
    <w:bookmarkEnd w:id="12"/>
    <w:p>
      <w:pPr>
        <w:spacing w:line="360" w:lineRule="auto"/>
        <w:ind w:firstLine="480" w:firstLineChars="200"/>
        <w:rPr>
          <w:rFonts w:ascii="宋体" w:hAnsi="宋体" w:cs="宋体"/>
          <w:sz w:val="24"/>
        </w:rPr>
      </w:pPr>
      <w:r>
        <w:rPr>
          <w:rFonts w:hint="eastAsia" w:ascii="MS Gothic" w:hAnsi="MS Gothic" w:eastAsia="宋体" w:cs="宋体"/>
          <w:kern w:val="0"/>
          <w:sz w:val="24"/>
          <w:szCs w:val="24"/>
          <w:lang w:val="en-US" w:eastAsia="zh-CN" w:bidi="ar-SA"/>
        </w:rPr>
        <w:t>☐</w:t>
      </w:r>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，其中小微企业合同金额应当</w:t>
      </w:r>
      <w:r>
        <w:rPr>
          <w:rFonts w:hint="eastAsia" w:ascii="宋体" w:hAnsi="宋体" w:cs="宋体"/>
          <w:sz w:val="24"/>
          <w:highlight w:val="none"/>
        </w:rPr>
        <w:t>达到</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w:t>
      </w:r>
      <w:r>
        <w:rPr>
          <w:rFonts w:hint="eastAsia" w:ascii="宋体" w:hAnsi="宋体" w:cs="宋体"/>
          <w:spacing w:val="8"/>
          <w:kern w:val="0"/>
          <w:sz w:val="24"/>
        </w:rPr>
        <w:t>供应商本身提供所有标的均由中小企业制造、承建或承接，并相应达到了前述比例要求，视同符合了资格条件，无需再向中小企业分包，无需提供分包意向协议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7</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7</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3</w:t>
      </w:r>
      <w:r>
        <w:rPr>
          <w:rFonts w:hint="eastAsia" w:ascii="宋体" w:hAnsi="宋体" w:cs="宋体"/>
          <w:sz w:val="24"/>
          <w:highlight w:val="none"/>
          <w:u w:val="single"/>
        </w:rPr>
        <w:t>0分00秒</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7</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09</w:t>
      </w:r>
      <w:r>
        <w:rPr>
          <w:rFonts w:hint="eastAsia" w:ascii="宋体" w:hAnsi="宋体" w:cs="宋体"/>
          <w:sz w:val="24"/>
          <w:highlight w:val="none"/>
          <w:u w:val="single"/>
        </w:rPr>
        <w:t>点</w:t>
      </w:r>
      <w:r>
        <w:rPr>
          <w:rFonts w:hint="eastAsia" w:ascii="宋体" w:hAnsi="宋体" w:cs="宋体"/>
          <w:sz w:val="24"/>
          <w:highlight w:val="none"/>
          <w:u w:val="single"/>
          <w:lang w:val="en-US" w:eastAsia="zh-CN"/>
        </w:rPr>
        <w:t>30</w:t>
      </w:r>
      <w:r>
        <w:rPr>
          <w:rFonts w:hint="eastAsia" w:ascii="宋体" w:hAnsi="宋体" w:cs="宋体"/>
          <w:sz w:val="24"/>
          <w:highlight w:val="none"/>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hint="eastAsia" w:ascii="宋体" w:hAnsi="宋体" w:eastAsia="宋体" w:cs="宋体"/>
          <w:b/>
          <w:sz w:val="24"/>
        </w:rPr>
      </w:pPr>
      <w:r>
        <w:rPr>
          <w:rFonts w:hint="eastAsia" w:ascii="宋体" w:hAnsi="宋体" w:eastAsia="宋体" w:cs="宋体"/>
          <w:b/>
          <w:sz w:val="24"/>
        </w:rPr>
        <w:t>五、采购意向公开链接：</w:t>
      </w:r>
    </w:p>
    <w:p>
      <w:pPr>
        <w:spacing w:line="360" w:lineRule="auto"/>
        <w:rPr>
          <w:rFonts w:hint="eastAsia" w:ascii="宋体" w:hAnsi="宋体" w:eastAsia="宋体" w:cs="宋体"/>
          <w:b/>
          <w:sz w:val="24"/>
          <w:lang w:eastAsia="zh-CN"/>
        </w:rPr>
      </w:pPr>
      <w:r>
        <w:rPr>
          <w:rFonts w:hint="eastAsia" w:ascii="仿宋" w:hAnsi="仿宋" w:eastAsia="仿宋" w:cs="仿宋"/>
          <w:b/>
          <w:color w:val="auto"/>
          <w:sz w:val="24"/>
          <w:highlight w:val="none"/>
          <w:lang w:val="en-US" w:eastAsia="zh-CN"/>
        </w:rPr>
        <w:t>https://zfcg.czt.zj.gov.cn/site/detail?parentId=600233&amp;articleId=6JPWNWANn6KscfUD%2FjtyLA%3D%3D&amp;utm=site.site-PC-37000.979-pc-websitegroup-zhejiang-secondPage-front.4.2d8d619002d311efb85649bd36a25a7f</w:t>
      </w:r>
    </w:p>
    <w:p>
      <w:pPr>
        <w:spacing w:line="360" w:lineRule="auto"/>
        <w:rPr>
          <w:rFonts w:ascii="宋体" w:hAnsi="宋体" w:cs="宋体"/>
          <w:sz w:val="24"/>
        </w:rPr>
      </w:pPr>
      <w:r>
        <w:rPr>
          <w:rFonts w:hint="eastAsia" w:ascii="宋体" w:hAnsi="宋体" w:cs="宋体"/>
          <w:b/>
          <w:sz w:val="24"/>
          <w:lang w:eastAsia="zh-CN"/>
        </w:rPr>
        <w:t>六</w:t>
      </w:r>
      <w:r>
        <w:rPr>
          <w:rFonts w:hint="eastAsia" w:ascii="宋体" w:hAnsi="宋体" w:cs="宋体"/>
          <w:b/>
          <w:sz w:val="24"/>
        </w:rPr>
        <w:t xml:space="preserve">、公告期限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lang w:eastAsia="zh-CN"/>
        </w:rPr>
        <w:t>七</w:t>
      </w:r>
      <w:r>
        <w:rPr>
          <w:rFonts w:hint="eastAsia" w:ascii="宋体" w:hAnsi="宋体" w:cs="宋体"/>
          <w:b/>
          <w:sz w:val="24"/>
        </w:rPr>
        <w:t>、其他补充事宜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lang w:eastAsia="zh-CN"/>
        </w:rPr>
        <w:t>八</w:t>
      </w:r>
      <w:r>
        <w:rPr>
          <w:rFonts w:hint="eastAsia" w:ascii="宋体" w:hAnsi="宋体" w:cs="宋体"/>
          <w:b/>
          <w:sz w:val="24"/>
        </w:rPr>
        <w:t>、对本次采购提出询问、质疑、投诉，请按以下方式联系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称：杭州市余杭区人民政府仁和街道办事处   </w:t>
      </w:r>
    </w:p>
    <w:p>
      <w:pPr>
        <w:spacing w:line="360" w:lineRule="auto"/>
        <w:rPr>
          <w:rFonts w:ascii="宋体" w:hAnsi="宋体" w:cs="宋体"/>
          <w:sz w:val="24"/>
        </w:rPr>
      </w:pPr>
      <w:r>
        <w:rPr>
          <w:rFonts w:hint="eastAsia" w:ascii="宋体" w:hAnsi="宋体" w:cs="宋体"/>
          <w:sz w:val="24"/>
        </w:rPr>
        <w:t xml:space="preserve">    地    址：</w:t>
      </w:r>
      <w:r>
        <w:rPr>
          <w:rFonts w:hint="eastAsia" w:ascii="宋体" w:hAnsi="宋体" w:cs="宋体"/>
          <w:sz w:val="24"/>
          <w:lang w:eastAsia="zh-CN"/>
        </w:rPr>
        <w:t>仁和街道办事处</w:t>
      </w:r>
      <w:r>
        <w:rPr>
          <w:rFonts w:hint="eastAsia" w:ascii="宋体" w:hAnsi="宋体" w:cs="宋体"/>
          <w:sz w:val="24"/>
        </w:rPr>
        <w:t xml:space="preserve">       </w:t>
      </w:r>
    </w:p>
    <w:p>
      <w:pPr>
        <w:spacing w:line="360" w:lineRule="auto"/>
        <w:ind w:firstLine="480"/>
        <w:rPr>
          <w:rFonts w:ascii="宋体" w:hAnsi="宋体" w:cs="宋体"/>
          <w:sz w:val="24"/>
          <w:highlight w:val="none"/>
        </w:rPr>
      </w:pPr>
      <w:r>
        <w:rPr>
          <w:rFonts w:hint="eastAsia" w:ascii="宋体" w:hAnsi="宋体" w:cs="宋体"/>
          <w:sz w:val="24"/>
          <w:highlight w:val="none"/>
        </w:rPr>
        <w:t>传    真： /</w:t>
      </w:r>
    </w:p>
    <w:p>
      <w:pPr>
        <w:spacing w:line="360" w:lineRule="auto"/>
        <w:ind w:firstLine="480"/>
        <w:rPr>
          <w:rFonts w:ascii="宋体" w:hAnsi="宋体" w:cs="宋体"/>
          <w:sz w:val="24"/>
          <w:highlight w:val="none"/>
        </w:rPr>
      </w:pPr>
      <w:r>
        <w:rPr>
          <w:rFonts w:hint="eastAsia" w:ascii="宋体" w:hAnsi="宋体" w:cs="宋体"/>
          <w:sz w:val="24"/>
          <w:highlight w:val="none"/>
        </w:rPr>
        <w:t xml:space="preserve">项目联系人（询问）： </w:t>
      </w:r>
      <w:r>
        <w:rPr>
          <w:rFonts w:hint="eastAsia" w:ascii="宋体" w:hAnsi="宋体" w:cs="宋体"/>
          <w:sz w:val="24"/>
          <w:highlight w:val="none"/>
          <w:lang w:val="en-US" w:eastAsia="zh-CN"/>
        </w:rPr>
        <w:t>韩</w:t>
      </w:r>
      <w:r>
        <w:rPr>
          <w:rFonts w:hint="eastAsia" w:ascii="宋体" w:hAnsi="宋体" w:cs="宋体"/>
          <w:sz w:val="24"/>
          <w:highlight w:val="none"/>
          <w:lang w:eastAsia="zh-CN"/>
        </w:rPr>
        <w:t>工</w:t>
      </w:r>
      <w:r>
        <w:rPr>
          <w:rFonts w:hint="eastAsia" w:ascii="宋体" w:hAnsi="宋体" w:cs="宋体"/>
          <w:sz w:val="24"/>
          <w:highlight w:val="none"/>
        </w:rPr>
        <w:t xml:space="preserve">  </w:t>
      </w:r>
    </w:p>
    <w:p>
      <w:pPr>
        <w:spacing w:line="360" w:lineRule="auto"/>
        <w:ind w:firstLine="480"/>
        <w:rPr>
          <w:rFonts w:hint="eastAsia" w:ascii="宋体" w:hAnsi="宋体" w:cs="宋体"/>
          <w:sz w:val="24"/>
          <w:highlight w:val="none"/>
          <w:lang w:val="en-US" w:eastAsia="zh-CN"/>
        </w:rPr>
      </w:pPr>
      <w:r>
        <w:rPr>
          <w:rFonts w:hint="eastAsia" w:ascii="宋体" w:hAnsi="宋体" w:cs="宋体"/>
          <w:sz w:val="24"/>
          <w:highlight w:val="none"/>
        </w:rPr>
        <w:t>项目联系方式（询问）：</w:t>
      </w:r>
      <w:r>
        <w:rPr>
          <w:rFonts w:hint="eastAsia" w:ascii="宋体" w:hAnsi="宋体" w:cs="宋体"/>
          <w:sz w:val="24"/>
          <w:highlight w:val="none"/>
          <w:lang w:val="en-US" w:eastAsia="zh-CN"/>
        </w:rPr>
        <w:t>15857163130</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 xml:space="preserve">质疑联系人： </w:t>
      </w:r>
      <w:r>
        <w:rPr>
          <w:rFonts w:hint="eastAsia" w:ascii="宋体" w:hAnsi="宋体" w:cs="宋体"/>
          <w:sz w:val="24"/>
          <w:highlight w:val="none"/>
          <w:lang w:eastAsia="zh-CN"/>
        </w:rPr>
        <w:t>沈工</w:t>
      </w:r>
    </w:p>
    <w:p>
      <w:pPr>
        <w:spacing w:line="360" w:lineRule="auto"/>
        <w:rPr>
          <w:rFonts w:ascii="宋体" w:hAnsi="宋体" w:cs="宋体"/>
          <w:sz w:val="24"/>
          <w:highlight w:val="none"/>
        </w:rPr>
      </w:pPr>
      <w:r>
        <w:rPr>
          <w:rFonts w:hint="eastAsia" w:ascii="宋体" w:hAnsi="宋体" w:cs="宋体"/>
          <w:sz w:val="24"/>
          <w:highlight w:val="none"/>
        </w:rPr>
        <w:t xml:space="preserve">    质疑联系方式：</w:t>
      </w:r>
      <w:r>
        <w:rPr>
          <w:rFonts w:hint="eastAsia" w:ascii="宋体" w:hAnsi="宋体" w:cs="宋体"/>
          <w:sz w:val="24"/>
          <w:highlight w:val="none"/>
          <w:lang w:val="en-US" w:eastAsia="zh-CN"/>
        </w:rPr>
        <w:t>19558180336</w:t>
      </w:r>
      <w:r>
        <w:rPr>
          <w:rFonts w:hint="eastAsia" w:ascii="宋体" w:hAnsi="宋体" w:cs="宋体"/>
          <w:sz w:val="24"/>
          <w:highlight w:val="none"/>
        </w:rPr>
        <w:t xml:space="preserve">  </w:t>
      </w:r>
    </w:p>
    <w:p>
      <w:pPr>
        <w:spacing w:line="360" w:lineRule="auto"/>
        <w:rPr>
          <w:rFonts w:hint="eastAsia" w:ascii="宋体" w:hAnsi="宋体" w:cs="宋体"/>
          <w:sz w:val="24"/>
        </w:rPr>
      </w:pPr>
      <w:r>
        <w:rPr>
          <w:rFonts w:hint="eastAsia" w:ascii="宋体" w:hAnsi="宋体" w:cs="宋体"/>
          <w:sz w:val="24"/>
        </w:rPr>
        <w:t xml:space="preserve">    2.采购代理机构信息            </w:t>
      </w:r>
    </w:p>
    <w:p>
      <w:pPr>
        <w:spacing w:line="36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名    称：杭州市建设工程管理集团有限公司</w:t>
      </w:r>
    </w:p>
    <w:p>
      <w:pPr>
        <w:spacing w:line="36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地    址：杭州市临平区临平北沙东路7号兄弟实业1#（里面那幢）三楼 </w:t>
      </w:r>
    </w:p>
    <w:p>
      <w:pPr>
        <w:spacing w:line="360" w:lineRule="auto"/>
        <w:rPr>
          <w:rFonts w:hint="eastAsia" w:ascii="宋体" w:hAnsi="宋体" w:cs="宋体"/>
          <w:sz w:val="24"/>
        </w:rPr>
      </w:pPr>
      <w:r>
        <w:rPr>
          <w:rFonts w:hint="eastAsia" w:ascii="宋体" w:hAnsi="宋体" w:cs="宋体"/>
          <w:sz w:val="24"/>
        </w:rPr>
        <w:t xml:space="preserve">    传    真：/             </w:t>
      </w:r>
    </w:p>
    <w:p>
      <w:pPr>
        <w:spacing w:line="360" w:lineRule="auto"/>
        <w:rPr>
          <w:rFonts w:hint="eastAsia" w:ascii="宋体" w:hAnsi="宋体" w:cs="宋体"/>
          <w:sz w:val="24"/>
        </w:rPr>
      </w:pPr>
      <w:r>
        <w:rPr>
          <w:rFonts w:hint="eastAsia" w:ascii="宋体" w:hAnsi="宋体" w:cs="宋体"/>
          <w:sz w:val="24"/>
        </w:rPr>
        <w:t xml:space="preserve">    项目联系人（询问）：</w:t>
      </w:r>
      <w:r>
        <w:rPr>
          <w:rFonts w:hint="eastAsia" w:ascii="宋体" w:hAnsi="宋体" w:cs="宋体"/>
          <w:sz w:val="24"/>
          <w:lang w:val="en-US" w:eastAsia="zh-CN"/>
        </w:rPr>
        <w:t>姜君</w:t>
      </w:r>
      <w:r>
        <w:rPr>
          <w:rFonts w:hint="eastAsia" w:ascii="宋体" w:hAnsi="宋体" w:cs="宋体"/>
          <w:sz w:val="24"/>
        </w:rPr>
        <w:t xml:space="preserve">        </w:t>
      </w:r>
    </w:p>
    <w:p>
      <w:pPr>
        <w:spacing w:line="360" w:lineRule="auto"/>
        <w:rPr>
          <w:rFonts w:hint="default" w:ascii="宋体" w:hAnsi="宋体" w:cs="宋体"/>
          <w:sz w:val="24"/>
          <w:lang w:val="en-US"/>
        </w:rPr>
      </w:pPr>
      <w:r>
        <w:rPr>
          <w:rFonts w:hint="eastAsia" w:ascii="宋体" w:hAnsi="宋体" w:cs="宋体"/>
          <w:sz w:val="24"/>
        </w:rPr>
        <w:t xml:space="preserve">    项目联系方式（询问）：</w:t>
      </w:r>
      <w:r>
        <w:rPr>
          <w:rFonts w:hint="eastAsia" w:ascii="宋体" w:hAnsi="宋体" w:cs="宋体"/>
          <w:sz w:val="24"/>
          <w:lang w:val="en-US" w:eastAsia="zh-CN"/>
        </w:rPr>
        <w:t>18968070007</w:t>
      </w:r>
    </w:p>
    <w:p>
      <w:pPr>
        <w:spacing w:line="360" w:lineRule="auto"/>
        <w:rPr>
          <w:rFonts w:hint="eastAsia" w:ascii="宋体" w:hAnsi="宋体" w:cs="宋体"/>
          <w:sz w:val="24"/>
        </w:rPr>
      </w:pPr>
      <w:r>
        <w:rPr>
          <w:rFonts w:hint="eastAsia" w:ascii="宋体" w:hAnsi="宋体" w:cs="宋体"/>
          <w:sz w:val="24"/>
        </w:rPr>
        <w:t xml:space="preserve">    质疑联系人：</w:t>
      </w:r>
      <w:r>
        <w:rPr>
          <w:rFonts w:hint="eastAsia" w:ascii="宋体" w:hAnsi="宋体" w:cs="宋体"/>
          <w:sz w:val="24"/>
          <w:lang w:val="en-US" w:eastAsia="zh-CN"/>
        </w:rPr>
        <w:t>王肖艳</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质疑联系方式：</w:t>
      </w:r>
      <w:r>
        <w:rPr>
          <w:rFonts w:hint="eastAsia" w:ascii="宋体" w:hAnsi="宋体" w:cs="宋体"/>
          <w:sz w:val="24"/>
          <w:lang w:val="en-US" w:eastAsia="zh-CN"/>
        </w:rPr>
        <w:t>18968070007</w:t>
      </w:r>
      <w:r>
        <w:rPr>
          <w:rFonts w:hint="eastAsia" w:ascii="宋体" w:hAnsi="宋体" w:cs="宋体"/>
          <w:sz w:val="24"/>
        </w:rPr>
        <w:t xml:space="preserve">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rPr>
          <w:rFonts w:hint="eastAsia" w:ascii="宋体" w:hAnsi="宋体" w:cs="宋体"/>
          <w:sz w:val="24"/>
        </w:rPr>
      </w:pPr>
      <w:r>
        <w:rPr>
          <w:rFonts w:hint="eastAsia" w:ascii="宋体" w:hAnsi="宋体" w:cs="宋体"/>
          <w:sz w:val="24"/>
        </w:rPr>
        <w:t xml:space="preserve">    名    称：杭州市余杭区财政局、浙江省政府采购行政裁决服务中心（杭州）</w:t>
      </w:r>
    </w:p>
    <w:p>
      <w:pPr>
        <w:spacing w:line="360" w:lineRule="auto"/>
        <w:rPr>
          <w:rFonts w:hint="eastAsia" w:ascii="宋体" w:hAnsi="宋体" w:cs="宋体"/>
          <w:sz w:val="24"/>
        </w:rPr>
      </w:pPr>
      <w:r>
        <w:rPr>
          <w:rFonts w:hint="eastAsia" w:ascii="宋体" w:hAnsi="宋体" w:cs="宋体"/>
          <w:sz w:val="24"/>
        </w:rPr>
        <w:t xml:space="preserve">    地    址：杭州市上城区四季青街道新业路市民之家G03办公室（快递仅限ems或顺丰） </w:t>
      </w:r>
    </w:p>
    <w:p>
      <w:pPr>
        <w:spacing w:line="360" w:lineRule="auto"/>
        <w:rPr>
          <w:rFonts w:hint="eastAsia" w:ascii="宋体" w:hAnsi="宋体" w:cs="宋体"/>
          <w:sz w:val="24"/>
        </w:rPr>
      </w:pPr>
      <w:r>
        <w:rPr>
          <w:rFonts w:hint="eastAsia" w:ascii="宋体" w:hAnsi="宋体" w:cs="宋体"/>
          <w:sz w:val="24"/>
        </w:rPr>
        <w:t xml:space="preserve">    传    真： /</w:t>
      </w:r>
    </w:p>
    <w:p>
      <w:pPr>
        <w:spacing w:line="360" w:lineRule="auto"/>
        <w:rPr>
          <w:rFonts w:hint="eastAsia" w:ascii="宋体" w:hAnsi="宋体" w:cs="宋体"/>
          <w:sz w:val="24"/>
        </w:rPr>
      </w:pPr>
      <w:r>
        <w:rPr>
          <w:rFonts w:hint="eastAsia" w:ascii="宋体" w:hAnsi="宋体" w:cs="宋体"/>
          <w:sz w:val="24"/>
        </w:rPr>
        <w:t xml:space="preserve">    联系人 ：朱女士、王女士</w:t>
      </w:r>
    </w:p>
    <w:p>
      <w:pPr>
        <w:spacing w:line="360" w:lineRule="auto"/>
        <w:rPr>
          <w:rFonts w:ascii="宋体" w:hAnsi="宋体" w:cs="宋体"/>
          <w:sz w:val="24"/>
        </w:rPr>
      </w:pPr>
      <w:r>
        <w:rPr>
          <w:rFonts w:hint="eastAsia" w:ascii="宋体" w:hAnsi="宋体" w:cs="宋体"/>
          <w:sz w:val="24"/>
        </w:rPr>
        <w:t xml:space="preserve">监督投诉电话：0571-85252453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pStyle w:val="33"/>
        <w:spacing w:line="360" w:lineRule="auto"/>
        <w:rPr>
          <w:rFonts w:hAnsi="宋体" w:cs="宋体"/>
          <w:b/>
          <w:sz w:val="36"/>
          <w:szCs w:val="20"/>
        </w:r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sz w:val="24"/>
                <w:highlight w:val="none"/>
                <w:u w:val="single"/>
                <w:lang w:val="en-US" w:eastAsia="zh-CN"/>
              </w:rPr>
              <w:t>/</w:t>
            </w:r>
            <w:r>
              <w:rPr>
                <w:rFonts w:hint="eastAsia" w:ascii="宋体" w:hAnsi="宋体" w:cs="宋体"/>
                <w:sz w:val="24"/>
                <w:highlight w:val="none"/>
              </w:rPr>
              <w:t>。</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z w:val="24"/>
              </w:rPr>
            </w:pPr>
            <w:r>
              <w:rPr>
                <w:rFonts w:hint="eastAsia" w:ascii="宋体" w:hAnsi="宋体" w:cs="宋体"/>
                <w:sz w:val="24"/>
              </w:rPr>
              <w:t>（1）标的：</w:t>
            </w:r>
            <w:r>
              <w:rPr>
                <w:rFonts w:hint="eastAsia" w:ascii="宋体" w:hAnsi="宋体" w:cs="宋体"/>
                <w:sz w:val="24"/>
                <w:u w:val="single"/>
                <w:lang w:val="en-US" w:eastAsia="zh-CN"/>
              </w:rPr>
              <w:t>风管防火板</w:t>
            </w:r>
            <w:r>
              <w:rPr>
                <w:rFonts w:hint="eastAsia" w:ascii="宋体" w:hAnsi="宋体" w:eastAsia="宋体" w:cs="宋体"/>
                <w:sz w:val="24"/>
                <w:u w:val="single"/>
                <w:lang w:val="en-US" w:eastAsia="zh-CN"/>
              </w:rPr>
              <w:t>采购</w:t>
            </w:r>
            <w:r>
              <w:rPr>
                <w:rFonts w:hint="default" w:ascii="宋体" w:hAnsi="宋体" w:eastAsia="宋体" w:cs="宋体"/>
                <w:sz w:val="24"/>
                <w:u w:val="single"/>
                <w:lang w:val="en-US"/>
              </w:rPr>
              <w:t xml:space="preserve"> </w:t>
            </w:r>
            <w:r>
              <w:rPr>
                <w:rFonts w:hint="eastAsia" w:ascii="宋体" w:hAnsi="宋体" w:cs="宋体"/>
                <w:sz w:val="24"/>
                <w:lang w:val="zh-CN"/>
              </w:rPr>
              <w:t>，</w:t>
            </w:r>
            <w:r>
              <w:rPr>
                <w:rFonts w:hint="eastAsia" w:ascii="宋体" w:hAnsi="宋体" w:cs="宋体"/>
                <w:sz w:val="24"/>
                <w:highlight w:val="none"/>
                <w:lang w:val="zh-CN"/>
              </w:rPr>
              <w:t>属于</w:t>
            </w:r>
            <w:r>
              <w:rPr>
                <w:rFonts w:hint="eastAsia" w:ascii="宋体" w:hAnsi="宋体" w:cs="宋体"/>
                <w:sz w:val="24"/>
                <w:highlight w:val="none"/>
                <w:u w:val="single"/>
                <w:lang w:val="en-US" w:eastAsia="zh-CN"/>
              </w:rPr>
              <w:t>建筑业</w:t>
            </w:r>
            <w:r>
              <w:rPr>
                <w:rFonts w:hint="eastAsia" w:ascii="宋体" w:hAnsi="宋体" w:cs="宋体"/>
                <w:sz w:val="24"/>
                <w:highlight w:val="none"/>
                <w:u w:val="none"/>
                <w:lang w:val="zh-CN"/>
              </w:rPr>
              <w:t>行业</w:t>
            </w:r>
            <w:r>
              <w:rPr>
                <w:rFonts w:hint="eastAsia" w:ascii="宋体" w:hAnsi="宋体" w:cs="宋体"/>
                <w:sz w:val="24"/>
              </w:rPr>
              <w:t>；</w:t>
            </w:r>
          </w:p>
          <w:p>
            <w:pPr>
              <w:spacing w:line="360" w:lineRule="auto"/>
              <w:rPr>
                <w:rFonts w:ascii="宋体" w:hAnsi="宋体" w:eastAsia="宋体" w:cs="宋体"/>
                <w:lang w:val="en-US"/>
              </w:rPr>
            </w:pPr>
            <w:r>
              <w:rPr>
                <w:rFonts w:hint="eastAsia" w:ascii="宋体" w:hAnsi="宋体" w:cs="宋体"/>
                <w:sz w:val="24"/>
                <w:lang w:val="en-US"/>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hd w:val="clear" w:color="auto" w:fill="auto"/>
              </w:rPr>
            </w:pPr>
            <w:r>
              <w:rPr>
                <w:rFonts w:hint="eastAsia" w:ascii="宋体" w:hAnsi="宋体" w:cs="宋体"/>
                <w:sz w:val="24"/>
                <w:lang w:val="en-US" w:eastAsia="zh-CN"/>
              </w:rPr>
              <w:t>☐</w:t>
            </w:r>
            <w:r>
              <w:rPr>
                <w:rFonts w:hint="eastAsia" w:ascii="宋体" w:hAnsi="宋体" w:cs="宋体"/>
                <w:sz w:val="24"/>
              </w:rPr>
              <w:t xml:space="preserve"> A同意将非主体、非关键性的硬件采购等工作分包。</w:t>
            </w:r>
          </w:p>
          <w:p>
            <w:pPr>
              <w:spacing w:line="360" w:lineRule="auto"/>
              <w:rPr>
                <w:rFonts w:ascii="宋体" w:hAnsi="宋体" w:cs="宋体"/>
                <w:sz w:val="24"/>
              </w:rPr>
            </w:pPr>
            <w:r>
              <w:rPr>
                <w:rFonts w:hint="eastAsia" w:ascii="Wingdings" w:hAnsi="Wingdings" w:eastAsia="宋体" w:cs="宋体"/>
                <w:kern w:val="0"/>
                <w:sz w:val="24"/>
                <w:szCs w:val="24"/>
                <w:lang w:val="en-US" w:eastAsia="zh-CN" w:bidi="ar-SA"/>
              </w:rPr>
              <w:t>þ</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Wingdings" w:hAnsi="Wingdings" w:cs="宋体"/>
                <w:kern w:val="0"/>
                <w:sz w:val="24"/>
                <w:highlight w:val="none"/>
              </w:rPr>
              <w:sym w:font="Wingdings" w:char="00A8"/>
            </w:r>
            <w:r>
              <w:rPr>
                <w:rFonts w:hint="eastAsia" w:ascii="宋体" w:hAnsi="宋体" w:cs="宋体"/>
                <w:kern w:val="0"/>
                <w:sz w:val="24"/>
                <w:highlight w:val="none"/>
              </w:rPr>
              <w:t>A</w:t>
            </w:r>
            <w:r>
              <w:rPr>
                <w:rFonts w:hint="eastAsia" w:ascii="宋体" w:hAnsi="宋体" w:cs="宋体"/>
                <w:sz w:val="24"/>
                <w:highlight w:val="none"/>
              </w:rPr>
              <w:t>不要求提供。</w:t>
            </w:r>
          </w:p>
          <w:p>
            <w:pPr>
              <w:spacing w:line="360" w:lineRule="auto"/>
              <w:rPr>
                <w:rFonts w:ascii="宋体" w:hAnsi="宋体" w:cs="宋体"/>
                <w:kern w:val="0"/>
                <w:sz w:val="24"/>
                <w:highlight w:val="none"/>
              </w:rPr>
            </w:pPr>
            <w:r>
              <w:rPr>
                <w:rFonts w:hint="eastAsia" w:ascii="Wingdings" w:hAnsi="Wingdings" w:cs="宋体"/>
                <w:kern w:val="0"/>
                <w:sz w:val="24"/>
                <w:highlight w:val="none"/>
              </w:rPr>
              <w:sym w:font="Wingdings" w:char="00FE"/>
            </w:r>
            <w:r>
              <w:rPr>
                <w:rFonts w:hint="eastAsia" w:ascii="宋体" w:hAnsi="宋体" w:cs="宋体"/>
                <w:kern w:val="0"/>
                <w:sz w:val="24"/>
                <w:highlight w:val="none"/>
              </w:rPr>
              <w:t>B要求提供，</w:t>
            </w:r>
          </w:p>
          <w:p>
            <w:pPr>
              <w:spacing w:line="360" w:lineRule="auto"/>
              <w:rPr>
                <w:rFonts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eastAsia="宋体" w:cs="宋体"/>
                <w:sz w:val="24"/>
                <w:highlight w:val="none"/>
                <w:u w:val="single"/>
              </w:rPr>
              <w:t xml:space="preserve"> 项目采购清单中-项目名称</w:t>
            </w:r>
            <w:r>
              <w:rPr>
                <w:rFonts w:hint="eastAsia" w:ascii="宋体" w:hAnsi="宋体" w:eastAsia="宋体" w:cs="宋体"/>
                <w:sz w:val="24"/>
                <w:highlight w:val="none"/>
                <w:u w:val="single"/>
                <w:lang w:val="en-US" w:eastAsia="zh-CN"/>
              </w:rPr>
              <w:t>-风管防火板包封</w:t>
            </w:r>
            <w:r>
              <w:rPr>
                <w:rFonts w:hint="eastAsia" w:ascii="宋体" w:hAnsi="宋体" w:eastAsia="宋体" w:cs="宋体"/>
                <w:sz w:val="24"/>
                <w:highlight w:val="none"/>
                <w:u w:val="single"/>
              </w:rPr>
              <w:t xml:space="preserve"> ；</w:t>
            </w:r>
          </w:p>
          <w:p>
            <w:pPr>
              <w:spacing w:line="360" w:lineRule="auto"/>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100cm一段，至少有一面截断面</w:t>
            </w:r>
            <w:r>
              <w:rPr>
                <w:rFonts w:hint="eastAsia" w:ascii="宋体" w:hAnsi="宋体" w:eastAsia="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spacing w:line="360" w:lineRule="auto"/>
              <w:rPr>
                <w:rFonts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eastAsia="MS Gothic" w:cs="宋体"/>
                    <w:kern w:val="0"/>
                    <w:sz w:val="24"/>
                    <w:highlight w:val="none"/>
                  </w:rPr>
                  <w:t></w:t>
                </w:r>
              </w:sdtContent>
            </w:sdt>
            <w:r>
              <w:rPr>
                <w:rFonts w:hint="eastAsia" w:ascii="宋体" w:hAnsi="宋体" w:cs="宋体"/>
                <w:kern w:val="0"/>
                <w:sz w:val="24"/>
                <w:highlight w:val="none"/>
              </w:rPr>
              <w:t>否；☐是，检测机构的要求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bookmarkStart w:id="566" w:name="_GoBack"/>
            <w:bookmarkEnd w:id="566"/>
            <w:r>
              <w:rPr>
                <w:rFonts w:hint="eastAsia" w:ascii="宋体" w:hAnsi="宋体" w:cs="宋体"/>
                <w:sz w:val="24"/>
                <w:highlight w:val="none"/>
                <w:u w:val="single"/>
              </w:rPr>
              <w:t xml:space="preserve">  </w:t>
            </w:r>
            <w:r>
              <w:rPr>
                <w:rFonts w:hint="eastAsia" w:ascii="宋体" w:hAnsi="宋体" w:cs="宋体"/>
                <w:kern w:val="0"/>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（5）提供样品的时间：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年</w:t>
            </w:r>
            <w:r>
              <w:rPr>
                <w:rFonts w:hint="eastAsia" w:ascii="宋体" w:hAnsi="宋体" w:cs="宋体"/>
                <w:sz w:val="24"/>
                <w:highlight w:val="none"/>
                <w:u w:val="single"/>
                <w:lang w:val="en-US" w:eastAsia="zh-CN"/>
              </w:rPr>
              <w:t>7</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w:t>
            </w:r>
            <w:r>
              <w:rPr>
                <w:rFonts w:hint="eastAsia" w:ascii="宋体" w:hAnsi="宋体" w:cs="宋体"/>
                <w:sz w:val="24"/>
                <w:highlight w:val="none"/>
                <w:u w:val="single"/>
                <w:lang w:val="en-US" w:eastAsia="zh-CN"/>
              </w:rPr>
              <w:t>3</w:t>
            </w:r>
            <w:r>
              <w:rPr>
                <w:rFonts w:hint="eastAsia" w:ascii="宋体" w:hAnsi="宋体" w:cs="宋体"/>
                <w:sz w:val="24"/>
                <w:highlight w:val="none"/>
                <w:u w:val="single"/>
              </w:rPr>
              <w:t>0-1</w:t>
            </w:r>
            <w:r>
              <w:rPr>
                <w:rFonts w:hint="eastAsia" w:ascii="宋体" w:hAnsi="宋体" w:cs="宋体"/>
                <w:sz w:val="24"/>
                <w:highlight w:val="none"/>
                <w:u w:val="single"/>
                <w:lang w:val="en-US" w:eastAsia="zh-CN"/>
              </w:rPr>
              <w:t>5</w:t>
            </w:r>
            <w:r>
              <w:rPr>
                <w:rFonts w:hint="eastAsia" w:ascii="宋体" w:hAnsi="宋体" w:cs="宋体"/>
                <w:sz w:val="24"/>
                <w:highlight w:val="none"/>
                <w:u w:val="single"/>
              </w:rPr>
              <w:t>：</w:t>
            </w:r>
            <w:r>
              <w:rPr>
                <w:rFonts w:hint="eastAsia" w:ascii="宋体" w:hAnsi="宋体" w:cs="宋体"/>
                <w:sz w:val="24"/>
                <w:highlight w:val="none"/>
                <w:u w:val="single"/>
                <w:lang w:val="en-US" w:eastAsia="zh-CN"/>
              </w:rPr>
              <w:t>3</w:t>
            </w:r>
            <w:r>
              <w:rPr>
                <w:rFonts w:hint="eastAsia" w:ascii="宋体" w:hAnsi="宋体" w:cs="宋体"/>
                <w:sz w:val="24"/>
                <w:highlight w:val="none"/>
                <w:u w:val="single"/>
              </w:rPr>
              <w:t>0</w:t>
            </w:r>
            <w:r>
              <w:rPr>
                <w:rFonts w:hint="eastAsia" w:ascii="宋体" w:hAnsi="宋体" w:cs="宋体"/>
                <w:kern w:val="0"/>
                <w:sz w:val="24"/>
                <w:highlight w:val="none"/>
              </w:rPr>
              <w:t>；地点：</w:t>
            </w:r>
            <w:r>
              <w:rPr>
                <w:rFonts w:hint="eastAsia" w:ascii="宋体" w:hAnsi="宋体" w:cs="宋体"/>
                <w:sz w:val="24"/>
                <w:highlight w:val="none"/>
                <w:u w:val="single"/>
              </w:rPr>
              <w:t xml:space="preserve">  </w:t>
            </w:r>
            <w:r>
              <w:rPr>
                <w:rFonts w:hint="eastAsia" w:ascii="宋体" w:hAnsi="宋体" w:eastAsia="宋体" w:cs="宋体"/>
                <w:sz w:val="24"/>
                <w:highlight w:val="none"/>
                <w:u w:val="single"/>
              </w:rPr>
              <w:t>仁和街道便民服务中心二楼</w:t>
            </w:r>
            <w:r>
              <w:rPr>
                <w:rFonts w:hint="eastAsia" w:ascii="宋体" w:hAnsi="宋体" w:cs="宋体"/>
                <w:sz w:val="24"/>
                <w:highlight w:val="none"/>
                <w:u w:val="single"/>
                <w:lang w:val="en-US" w:eastAsia="zh-CN"/>
              </w:rPr>
              <w:t>评</w:t>
            </w:r>
            <w:r>
              <w:rPr>
                <w:rFonts w:hint="eastAsia" w:ascii="宋体" w:hAnsi="宋体" w:eastAsia="宋体" w:cs="宋体"/>
                <w:sz w:val="24"/>
                <w:highlight w:val="none"/>
                <w:u w:val="single"/>
              </w:rPr>
              <w:t xml:space="preserve">标室（奉欣路80号） </w:t>
            </w:r>
            <w:r>
              <w:rPr>
                <w:rFonts w:hint="eastAsia" w:ascii="宋体" w:hAnsi="宋体" w:cs="宋体"/>
                <w:sz w:val="24"/>
                <w:highlight w:val="none"/>
                <w:u w:val="single"/>
              </w:rPr>
              <w:t xml:space="preserve"> </w:t>
            </w:r>
            <w:r>
              <w:rPr>
                <w:rFonts w:hint="eastAsia" w:ascii="宋体" w:hAnsi="宋体" w:cs="宋体"/>
                <w:kern w:val="0"/>
                <w:sz w:val="24"/>
                <w:highlight w:val="none"/>
              </w:rPr>
              <w:t>；联系人</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姜君</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18968070007</w:t>
            </w:r>
            <w:r>
              <w:rPr>
                <w:rFonts w:hint="eastAsia"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highlight w:val="none"/>
              </w:rPr>
            </w:pPr>
            <w:r>
              <w:rPr>
                <w:rFonts w:hint="eastAsia" w:ascii="宋体" w:hAnsi="宋体" w:cs="宋体"/>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highlight w:val="none"/>
              </w:rPr>
            </w:pPr>
            <w:r>
              <w:rPr>
                <w:rFonts w:hint="eastAsia" w:ascii="宋体" w:hAnsi="宋体" w:cs="宋体"/>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Wingdings" w:hAnsi="Wingdings" w:cs="宋体"/>
                <w:kern w:val="0"/>
                <w:sz w:val="24"/>
              </w:rPr>
              <w:sym w:font="Wingdings" w:char="00FE"/>
            </w:r>
            <w:r>
              <w:rPr>
                <w:rFonts w:hint="eastAsia" w:ascii="宋体" w:hAnsi="宋体" w:cs="宋体"/>
                <w:kern w:val="0"/>
                <w:sz w:val="24"/>
                <w:highlight w:val="none"/>
              </w:rPr>
              <w:t>A</w:t>
            </w:r>
            <w:r>
              <w:rPr>
                <w:rFonts w:hint="eastAsia" w:ascii="宋体" w:hAnsi="宋体" w:cs="宋体"/>
                <w:sz w:val="24"/>
                <w:highlight w:val="none"/>
              </w:rPr>
              <w:t>不组织。</w:t>
            </w:r>
          </w:p>
          <w:p>
            <w:pPr>
              <w:spacing w:line="360" w:lineRule="auto"/>
              <w:rPr>
                <w:rFonts w:ascii="宋体" w:hAnsi="宋体" w:cs="宋体"/>
                <w:kern w:val="0"/>
                <w:sz w:val="24"/>
                <w:highlight w:val="none"/>
              </w:rPr>
            </w:pPr>
            <w:r>
              <w:rPr>
                <w:rFonts w:hint="eastAsia" w:ascii="Wingdings" w:hAnsi="Wingdings" w:eastAsia="宋体" w:cs="宋体"/>
                <w:kern w:val="0"/>
                <w:sz w:val="24"/>
                <w:szCs w:val="24"/>
                <w:highlight w:val="none"/>
                <w:lang w:val="en-US" w:eastAsia="zh-CN" w:bidi="ar-SA"/>
              </w:rPr>
              <w:sym w:font="Wingdings" w:char="00A8"/>
            </w:r>
            <w:r>
              <w:rPr>
                <w:rFonts w:hint="eastAsia" w:ascii="宋体" w:hAnsi="宋体" w:cs="宋体"/>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分钟，讲解次序以投标文件解密时间先后次序为准，讲解演示人员不超过</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rPr>
              <w:t>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（2）方案讲解演示可选择以下其中一种方式：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方式二：现场讲解演示。现场讲解</w:t>
            </w:r>
            <w:r>
              <w:rPr>
                <w:rFonts w:hint="eastAsia" w:ascii="宋体" w:hAnsi="宋体" w:cs="宋体"/>
                <w:kern w:val="0"/>
                <w:sz w:val="24"/>
                <w:highlight w:val="none"/>
                <w:lang w:val="en-US" w:eastAsia="zh-CN"/>
              </w:rPr>
              <w:t>时间及</w:t>
            </w:r>
            <w:r>
              <w:rPr>
                <w:rFonts w:hint="eastAsia" w:ascii="宋体" w:hAnsi="宋体" w:cs="宋体"/>
                <w:kern w:val="0"/>
                <w:sz w:val="24"/>
                <w:highlight w:val="none"/>
              </w:rPr>
              <w:t>地点为</w:t>
            </w:r>
            <w:r>
              <w:rPr>
                <w:rFonts w:hint="eastAsia" w:ascii="宋体" w:hAnsi="宋体" w:eastAsia="宋体" w:cs="宋体"/>
                <w:kern w:val="0"/>
                <w:sz w:val="24"/>
                <w:highlight w:val="none"/>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highlight w:val="none"/>
                <w:lang w:val="zh-CN"/>
              </w:rPr>
            </w:pPr>
            <w:r>
              <w:rPr>
                <w:rFonts w:hint="eastAsia" w:ascii="宋体" w:hAnsi="宋体" w:cs="宋体"/>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ascii="仿宋" w:hAnsi="仿宋" w:eastAsia="仿宋" w:cs="仿宋"/>
                <w:b/>
                <w:bCs/>
                <w:sz w:val="24"/>
                <w:szCs w:val="24"/>
                <w:highlight w:val="none"/>
                <w:u w:val="single"/>
                <w:lang w:val="en-US" w:eastAsia="zh-CN"/>
              </w:rPr>
              <w:t>杭州市临平区临平北沙东路7号兄弟实业1#（里面那幢）三楼代理部</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w:t>
            </w:r>
            <w:r>
              <w:rPr>
                <w:rFonts w:hint="eastAsia" w:ascii="仿宋" w:hAnsi="仿宋" w:eastAsia="仿宋" w:cs="仿宋"/>
                <w:b/>
                <w:bCs/>
                <w:sz w:val="24"/>
                <w:szCs w:val="24"/>
                <w:highlight w:val="none"/>
                <w:u w:val="single"/>
                <w:lang w:val="en-US" w:eastAsia="zh-CN"/>
              </w:rPr>
              <w:t>姜君</w:t>
            </w:r>
            <w:r>
              <w:rPr>
                <w:rFonts w:hint="eastAsia" w:ascii="仿宋" w:hAnsi="仿宋" w:eastAsia="仿宋" w:cs="仿宋"/>
                <w:b/>
                <w:bCs/>
                <w:sz w:val="24"/>
                <w:szCs w:val="24"/>
                <w:highlight w:val="none"/>
                <w:u w:val="single"/>
                <w:lang w:eastAsia="zh-CN"/>
              </w:rPr>
              <w:t>、</w:t>
            </w:r>
            <w:r>
              <w:rPr>
                <w:rFonts w:hint="eastAsia" w:ascii="仿宋" w:hAnsi="仿宋" w:eastAsia="仿宋" w:cs="仿宋"/>
                <w:b/>
                <w:bCs/>
                <w:sz w:val="24"/>
                <w:szCs w:val="24"/>
                <w:highlight w:val="none"/>
                <w:u w:val="single"/>
                <w:lang w:val="en-US" w:eastAsia="zh-CN"/>
              </w:rPr>
              <w:t>18968070007</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6"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napToGrid w:val="0"/>
                <w:kern w:val="28"/>
                <w:sz w:val="24"/>
                <w:lang w:eastAsia="zh-CN"/>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0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仿宋_GB2312"/>
                <w:b/>
                <w:sz w:val="24"/>
              </w:rPr>
            </w:pP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MS Mincho" w:hAnsi="MS Mincho" w:eastAsia="MS Mincho" w:cs="MS Mincho"/>
                <w:color w:val="auto"/>
                <w:kern w:val="0"/>
                <w:sz w:val="24"/>
              </w:rPr>
              <w:t>☐</w:t>
            </w:r>
            <w:r>
              <w:rPr>
                <w:rFonts w:hint="eastAsia" w:ascii="宋体" w:hAnsi="宋体" w:cs="宋体"/>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kern w:val="28"/>
                <w:sz w:val="24"/>
                <w:lang w:eastAsia="zh-CN"/>
              </w:rPr>
            </w:pPr>
            <w:r>
              <w:rPr>
                <w:rFonts w:hint="eastAsia" w:ascii="宋体" w:hAnsi="宋体" w:eastAsia="宋体" w:cs="Arial"/>
                <w:color w:val="auto"/>
                <w:kern w:val="0"/>
                <w:sz w:val="24"/>
              </w:rPr>
              <w:sym w:font="Wingdings" w:char="F0FE"/>
            </w:r>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2"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仿宋_GB2312"/>
                <w:b/>
                <w:sz w:val="24"/>
              </w:rPr>
            </w:pPr>
          </w:p>
        </w:tc>
        <w:tc>
          <w:tcPr>
            <w:tcW w:w="6095"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▲供应商以联合体形式投标的：在按招标文件要求提供联合协议，联合体投标的联合体各方承担连带责任。</w:t>
            </w:r>
          </w:p>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hint="eastAsia" w:ascii="宋体" w:hAnsi="宋体" w:eastAsia="宋体" w:cs="Arial"/>
                <w:color w:val="auto"/>
                <w:kern w:val="0"/>
                <w:sz w:val="24"/>
              </w:rPr>
            </w:pPr>
            <w:r>
              <w:rPr>
                <w:rFonts w:hint="eastAsia" w:ascii="宋体" w:hAnsi="宋体" w:eastAsia="宋体" w:cs="宋体"/>
                <w:snapToGrid w:val="0"/>
                <w:color w:val="auto"/>
                <w:kern w:val="28"/>
                <w:sz w:val="24"/>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pacing w:line="360" w:lineRule="auto"/>
              <w:rPr>
                <w:rFonts w:hint="default" w:ascii="宋体" w:hAnsi="宋体" w:eastAsia="宋体" w:cs="宋体"/>
                <w:snapToGrid w:val="0"/>
                <w:color w:val="auto"/>
                <w:kern w:val="28"/>
                <w:sz w:val="24"/>
                <w:lang w:val="en-US" w:eastAsia="zh-CN"/>
              </w:rPr>
            </w:pPr>
            <w:r>
              <w:rPr>
                <w:rFonts w:hint="eastAsia" w:ascii="宋体" w:hAnsi="宋体" w:eastAsia="宋体" w:cs="宋体"/>
                <w:snapToGrid w:val="0"/>
                <w:color w:val="auto"/>
                <w:kern w:val="28"/>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招标</w:t>
            </w:r>
            <w:r>
              <w:rPr>
                <w:rFonts w:hint="eastAsia" w:ascii="宋体" w:hAnsi="宋体" w:eastAsia="宋体" w:cs="宋体"/>
                <w:snapToGrid w:val="0"/>
                <w:color w:val="auto"/>
                <w:kern w:val="28"/>
                <w:sz w:val="24"/>
                <w:lang w:eastAsia="zh-CN"/>
              </w:rPr>
              <w:t>代理</w:t>
            </w:r>
            <w:r>
              <w:rPr>
                <w:rFonts w:hint="eastAsia" w:ascii="宋体" w:hAnsi="宋体" w:eastAsia="宋体" w:cs="宋体"/>
                <w:snapToGrid w:val="0"/>
                <w:color w:val="auto"/>
                <w:kern w:val="28"/>
                <w:sz w:val="24"/>
              </w:rPr>
              <w:t>服务费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本项目的招标代理费用</w:t>
            </w:r>
            <w:r>
              <w:rPr>
                <w:rFonts w:hint="eastAsia" w:ascii="宋体" w:hAnsi="宋体" w:eastAsia="宋体" w:cs="宋体"/>
                <w:snapToGrid w:val="0"/>
                <w:color w:val="auto"/>
                <w:kern w:val="28"/>
                <w:sz w:val="24"/>
                <w:lang w:eastAsia="zh-CN"/>
              </w:rPr>
              <w:t>（</w:t>
            </w:r>
            <w:r>
              <w:rPr>
                <w:rFonts w:hint="eastAsia" w:ascii="宋体" w:hAnsi="宋体" w:eastAsia="宋体" w:cs="宋体"/>
                <w:snapToGrid w:val="0"/>
                <w:color w:val="auto"/>
                <w:kern w:val="28"/>
                <w:sz w:val="24"/>
                <w:lang w:val="en-US" w:eastAsia="zh-CN"/>
              </w:rPr>
              <w:t>含评标费</w:t>
            </w:r>
            <w:r>
              <w:rPr>
                <w:rFonts w:hint="eastAsia" w:ascii="宋体" w:hAnsi="宋体" w:eastAsia="宋体" w:cs="宋体"/>
                <w:snapToGrid w:val="0"/>
                <w:color w:val="auto"/>
                <w:kern w:val="28"/>
                <w:sz w:val="24"/>
                <w:lang w:eastAsia="zh-CN"/>
              </w:rPr>
              <w:t>）</w:t>
            </w:r>
            <w:r>
              <w:rPr>
                <w:rFonts w:hint="eastAsia" w:ascii="宋体" w:hAnsi="宋体" w:eastAsia="宋体" w:cs="宋体"/>
                <w:snapToGrid w:val="0"/>
                <w:color w:val="auto"/>
                <w:kern w:val="28"/>
                <w:sz w:val="24"/>
              </w:rPr>
              <w:t>由中标服务单位支付，代理费用付款按《招标代理服务收费管理暂行办法》的通知（计价格[2002]1980号）文件直接支付给分散采购招标代理单位。投标人在报价时应综合考虑该笔费用，但不单列进投标总价。</w:t>
            </w:r>
          </w:p>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收款单位（户名）:杭州市建设工程管理</w:t>
            </w:r>
            <w:r>
              <w:rPr>
                <w:rFonts w:hint="eastAsia" w:ascii="宋体" w:hAnsi="宋体" w:eastAsia="宋体" w:cs="宋体"/>
                <w:snapToGrid w:val="0"/>
                <w:color w:val="auto"/>
                <w:kern w:val="28"/>
                <w:sz w:val="24"/>
                <w:lang w:eastAsia="zh-CN"/>
              </w:rPr>
              <w:t>集团</w:t>
            </w:r>
            <w:r>
              <w:rPr>
                <w:rFonts w:hint="eastAsia" w:ascii="宋体" w:hAnsi="宋体" w:eastAsia="宋体" w:cs="宋体"/>
                <w:snapToGrid w:val="0"/>
                <w:color w:val="auto"/>
                <w:kern w:val="28"/>
                <w:sz w:val="24"/>
              </w:rPr>
              <w:t>有限公司余杭分公司</w:t>
            </w:r>
          </w:p>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开户银行：浙商银行</w:t>
            </w:r>
            <w:r>
              <w:rPr>
                <w:rFonts w:hint="eastAsia" w:ascii="宋体" w:hAnsi="宋体" w:eastAsia="宋体" w:cs="宋体"/>
                <w:snapToGrid w:val="0"/>
                <w:color w:val="auto"/>
                <w:kern w:val="28"/>
                <w:sz w:val="24"/>
                <w:lang w:eastAsia="zh-CN"/>
              </w:rPr>
              <w:t>临平</w:t>
            </w:r>
            <w:r>
              <w:rPr>
                <w:rFonts w:hint="eastAsia" w:ascii="宋体" w:hAnsi="宋体" w:eastAsia="宋体" w:cs="宋体"/>
                <w:snapToGrid w:val="0"/>
                <w:color w:val="auto"/>
                <w:kern w:val="28"/>
                <w:sz w:val="24"/>
              </w:rPr>
              <w:t xml:space="preserve">支行    </w:t>
            </w:r>
          </w:p>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银行账号：3310010210120100062318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pacing w:line="360" w:lineRule="auto"/>
              <w:rPr>
                <w:rFonts w:hint="default" w:ascii="宋体" w:hAnsi="宋体" w:eastAsia="宋体" w:cs="宋体"/>
                <w:snapToGrid w:val="0"/>
                <w:color w:val="auto"/>
                <w:kern w:val="28"/>
                <w:sz w:val="24"/>
                <w:lang w:val="en-US" w:eastAsia="zh-CN"/>
              </w:rPr>
            </w:pPr>
            <w:r>
              <w:rPr>
                <w:rFonts w:hint="eastAsia" w:ascii="宋体" w:hAnsi="宋体" w:eastAsia="宋体" w:cs="宋体"/>
                <w:snapToGrid w:val="0"/>
                <w:color w:val="auto"/>
                <w:kern w:val="28"/>
                <w:sz w:val="24"/>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lang w:eastAsia="zh-CN"/>
              </w:rPr>
              <w:t>其他</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中标单位需在领取中标通知书时，提供本项目纸质投标文件（资格文件”、“报价文件”和“商务技术文件”）四份（正本一份，副本三份）并提供电子投标文件与纸质投标文件内容一致承诺书三份。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napToGrid w:val="0"/>
                <w:color w:val="auto"/>
                <w:kern w:val="28"/>
                <w:sz w:val="24"/>
                <w:lang w:val="en-US" w:eastAsia="zh-CN"/>
              </w:rPr>
            </w:pPr>
            <w:r>
              <w:rPr>
                <w:rFonts w:hint="eastAsia" w:ascii="宋体" w:hAnsi="宋体" w:eastAsia="宋体" w:cs="宋体"/>
                <w:snapToGrid w:val="0"/>
                <w:color w:val="auto"/>
                <w:kern w:val="28"/>
                <w:sz w:val="24"/>
              </w:rPr>
              <w:t>16</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napToGrid w:val="0"/>
                <w:color w:val="auto"/>
                <w:kern w:val="28"/>
                <w:sz w:val="24"/>
                <w:lang w:eastAsia="zh-CN"/>
              </w:rPr>
            </w:pPr>
            <w:r>
              <w:rPr>
                <w:rFonts w:hint="eastAsia" w:ascii="宋体" w:hAnsi="宋体" w:eastAsia="宋体" w:cs="宋体"/>
                <w:snapToGrid w:val="0"/>
                <w:color w:val="auto"/>
                <w:kern w:val="28"/>
                <w:sz w:val="24"/>
              </w:rPr>
              <w:t>评标委员会推荐中标候选人的人数</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napToGrid w:val="0"/>
                <w:color w:val="auto"/>
                <w:kern w:val="28"/>
                <w:sz w:val="24"/>
              </w:rPr>
            </w:pPr>
            <w:r>
              <w:rPr>
                <w:rFonts w:hint="eastAsia" w:ascii="宋体" w:hAnsi="宋体" w:eastAsia="宋体" w:cs="宋体"/>
                <w:snapToGrid w:val="0"/>
                <w:color w:val="auto"/>
                <w:kern w:val="28"/>
                <w:sz w:val="24"/>
              </w:rPr>
              <w:t>1个；排名第一的中标候选人放弃中标、因不可抗力不能履行合同、不按照招标文件要求提交履约保证金担保，或者被查实存在影响中标结果的违法行为等情形，不符合中标条件的，招标人将：（</w:t>
            </w:r>
            <w:r>
              <w:rPr>
                <w:rFonts w:hint="eastAsia" w:ascii="宋体" w:hAnsi="宋体" w:eastAsia="宋体" w:cs="宋体"/>
                <w:snapToGrid w:val="0"/>
                <w:color w:val="auto"/>
                <w:kern w:val="28"/>
                <w:sz w:val="24"/>
              </w:rPr>
              <w:sym w:font="Wingdings" w:char="F0FE"/>
            </w:r>
            <w:r>
              <w:rPr>
                <w:rFonts w:hint="eastAsia" w:ascii="宋体" w:hAnsi="宋体" w:eastAsia="宋体" w:cs="宋体"/>
                <w:snapToGrid w:val="0"/>
                <w:color w:val="auto"/>
                <w:kern w:val="28"/>
                <w:sz w:val="24"/>
              </w:rPr>
              <w:t>重新招标 □按中标候选人名单排序依次确定其他中标候选人为中标人）</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_Toc91899903"/>
      <w:bookmarkStart w:id="14" w:name="_Toc164416483"/>
      <w:bookmarkStart w:id="15"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sz w:val="24"/>
        </w:rPr>
      </w:pPr>
      <w:r>
        <w:rPr>
          <w:rFonts w:hint="eastAsia" w:ascii="宋体" w:hAnsi="宋体" w:eastAsia="宋体" w:cs="宋体"/>
          <w:sz w:val="24"/>
        </w:rPr>
        <w:t>3.2.3</w:t>
      </w:r>
      <w:bookmarkStart w:id="16" w:name="_Hlk107568539"/>
      <w:r>
        <w:rPr>
          <w:rFonts w:hint="eastAsia" w:ascii="宋体" w:hAnsi="宋体" w:eastAsia="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bookmarkEnd w:id="16"/>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sz w:val="24"/>
        </w:rPr>
        <w:t>联合协议或者分包意向协议约定小微企业的合同份额占到合同总金额30%以上的</w:t>
      </w:r>
      <w:bookmarkEnd w:id="17"/>
      <w:r>
        <w:rPr>
          <w:rFonts w:hint="eastAsia" w:ascii="宋体" w:hAnsi="宋体" w:cs="宋体"/>
          <w:sz w:val="24"/>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p>
    <w:p>
      <w:pPr>
        <w:pStyle w:val="887"/>
        <w:shd w:val="clear" w:color="auto" w:fill="FFFFFF"/>
        <w:snapToGrid w:val="0"/>
        <w:spacing w:after="240" w:afterAutospacing="0" w:line="360" w:lineRule="auto"/>
        <w:ind w:firstLine="400"/>
        <w:contextualSpacing/>
        <w:rPr>
          <w:lang w:val="zh-CN"/>
        </w:rPr>
      </w:pPr>
      <w:r>
        <w:rPr>
          <w:rFonts w:hint="eastAsia"/>
          <w:lang w:val="zh-CN"/>
        </w:rPr>
        <w:t>4.1在线询问、质疑、投诉</w:t>
      </w:r>
    </w:p>
    <w:p>
      <w:pPr>
        <w:pStyle w:val="887"/>
        <w:shd w:val="clear" w:color="auto" w:fill="FFFFFF"/>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pPr>
      <w:r>
        <w:rPr>
          <w:rFonts w:hint="eastAsia"/>
        </w:rPr>
        <w:t>投诉书范本及制作说明详见附件3。</w:t>
      </w:r>
    </w:p>
    <w:p>
      <w:pPr>
        <w:pStyle w:val="130"/>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0"/>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8" w:name="_Hlk101259339"/>
      <w:r>
        <w:rPr>
          <w:rFonts w:hint="eastAsia" w:ascii="宋体" w:hAnsi="宋体" w:cs="宋体"/>
          <w:snapToGrid w:val="0"/>
          <w:kern w:val="28"/>
          <w:sz w:val="24"/>
          <w:szCs w:val="20"/>
        </w:rPr>
        <w:t>联合协议</w:t>
      </w:r>
      <w:bookmarkEnd w:id="18"/>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FF0000"/>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kern w:val="0"/>
          <w:sz w:val="24"/>
          <w:lang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r>
        <w:rPr>
          <w:rFonts w:hint="eastAsia" w:ascii="宋体" w:hAnsi="宋体" w:cs="宋体"/>
          <w:kern w:val="0"/>
          <w:sz w:val="24"/>
          <w:lang w:eastAsia="zh-CN"/>
        </w:rPr>
        <w:t>。</w:t>
      </w:r>
    </w:p>
    <w:bookmarkEnd w:id="13"/>
    <w:bookmarkEnd w:id="14"/>
    <w:bookmarkEnd w:id="15"/>
    <w:p>
      <w:pPr>
        <w:spacing w:line="360" w:lineRule="auto"/>
        <w:jc w:val="center"/>
        <w:outlineLvl w:val="0"/>
        <w:rPr>
          <w:rFonts w:ascii="宋体" w:hAnsi="宋体" w:cs="宋体"/>
          <w:b/>
          <w:sz w:val="36"/>
          <w:szCs w:val="36"/>
        </w:rPr>
      </w:pPr>
      <w:bookmarkStart w:id="19" w:name="_Hlt75236290"/>
      <w:bookmarkEnd w:id="19"/>
      <w:bookmarkStart w:id="20" w:name="_Hlt74714665"/>
      <w:bookmarkEnd w:id="20"/>
      <w:bookmarkStart w:id="21" w:name="_Hlt68403820"/>
      <w:bookmarkEnd w:id="21"/>
      <w:bookmarkStart w:id="22" w:name="_Hlt74707468"/>
      <w:bookmarkEnd w:id="22"/>
      <w:bookmarkStart w:id="23" w:name="_Hlt68073093"/>
      <w:bookmarkEnd w:id="23"/>
      <w:bookmarkStart w:id="24" w:name="_Hlt74730295"/>
      <w:bookmarkEnd w:id="24"/>
      <w:bookmarkStart w:id="25" w:name="_Hlt68057669"/>
      <w:bookmarkEnd w:id="25"/>
      <w:bookmarkStart w:id="26" w:name="_Hlt75236101"/>
      <w:bookmarkEnd w:id="26"/>
      <w:bookmarkStart w:id="27" w:name="_Hlt74729768"/>
      <w:bookmarkEnd w:id="27"/>
      <w:bookmarkStart w:id="28" w:name="_Hlt75236011"/>
      <w:bookmarkEnd w:id="28"/>
      <w:bookmarkStart w:id="29" w:name="_Hlt68072990"/>
      <w:bookmarkEnd w:id="29"/>
      <w:bookmarkStart w:id="30" w:name="_Hlt68072998"/>
      <w:bookmarkEnd w:id="30"/>
      <w:bookmarkStart w:id="31" w:name="第四部分"/>
      <w:r>
        <w:rPr>
          <w:rFonts w:hint="eastAsia" w:ascii="宋体" w:hAnsi="宋体" w:cs="宋体"/>
          <w:b/>
          <w:sz w:val="36"/>
          <w:szCs w:val="36"/>
        </w:rPr>
        <w:t>第三部分   采购需求</w:t>
      </w:r>
    </w:p>
    <w:p>
      <w:pPr>
        <w:snapToGrid w:val="0"/>
        <w:spacing w:line="360" w:lineRule="auto"/>
        <w:rPr>
          <w:rFonts w:ascii="宋体" w:hAnsi="宋体"/>
          <w:b/>
          <w:bCs/>
          <w:sz w:val="24"/>
        </w:rPr>
      </w:pPr>
      <w:r>
        <w:rPr>
          <w:rFonts w:hint="eastAsia" w:ascii="宋体" w:hAnsi="宋体"/>
          <w:b/>
          <w:bCs/>
          <w:sz w:val="24"/>
        </w:rPr>
        <w:t>一、项目概述：</w:t>
      </w:r>
    </w:p>
    <w:p>
      <w:pPr>
        <w:spacing w:line="360" w:lineRule="auto"/>
        <w:ind w:firstLine="120" w:firstLineChars="50"/>
        <w:rPr>
          <w:rFonts w:ascii="宋体" w:hAnsi="宋体" w:cs="宋体"/>
          <w:sz w:val="24"/>
        </w:rPr>
      </w:pPr>
      <w:r>
        <w:rPr>
          <w:rFonts w:hint="eastAsia" w:ascii="宋体" w:hAnsi="宋体" w:cs="宋体"/>
          <w:sz w:val="24"/>
        </w:rPr>
        <w:t>本项目为“交钥匙”项目，采购内容包括采购清单中货物供货、安装调试、货物验收、培训、质保期内的售后服务等。投标报价应包括设备费、产品演示产生的费用、材料费、保管费、运费、安装调试费、培训、货物验收、税收、售后服务、采购需求中未提到但在实际采购和安装过程中需要配置的各种设备、材料及其他费用等须由投标单位支付的所有费用。</w:t>
      </w:r>
    </w:p>
    <w:p>
      <w:pPr>
        <w:pStyle w:val="701"/>
        <w:numPr>
          <w:ilvl w:val="0"/>
          <w:numId w:val="1"/>
        </w:numPr>
        <w:ind w:left="0" w:leftChars="0" w:firstLine="0" w:firstLineChars="0"/>
        <w:rPr>
          <w:rFonts w:ascii="宋体" w:hAnsi="宋体" w:cs="宋体"/>
          <w:b/>
          <w:szCs w:val="24"/>
          <w:highlight w:val="none"/>
        </w:rPr>
      </w:pPr>
      <w:r>
        <w:rPr>
          <w:rFonts w:hint="eastAsia" w:ascii="宋体" w:hAnsi="宋体" w:cs="宋体"/>
          <w:b/>
          <w:szCs w:val="24"/>
          <w:highlight w:val="none"/>
        </w:rPr>
        <w:t>采购清单：</w:t>
      </w:r>
    </w:p>
    <w:p>
      <w:pPr>
        <w:pStyle w:val="26"/>
        <w:rPr>
          <w:rFonts w:hint="eastAsia" w:ascii="宋体" w:hAnsi="宋体" w:cs="宋体"/>
          <w:b/>
          <w:szCs w:val="24"/>
          <w:highlight w:val="yellow"/>
        </w:rPr>
      </w:pPr>
    </w:p>
    <w:p>
      <w:pPr>
        <w:pStyle w:val="79"/>
        <w:rPr>
          <w:rFonts w:hint="eastAsia" w:ascii="宋体" w:hAnsi="宋体" w:cs="宋体"/>
          <w:b/>
          <w:szCs w:val="24"/>
          <w:highlight w:val="yellow"/>
        </w:rPr>
      </w:pPr>
    </w:p>
    <w:p>
      <w:pPr>
        <w:pStyle w:val="79"/>
        <w:rPr>
          <w:rFonts w:hint="eastAsia" w:ascii="宋体" w:hAnsi="宋体" w:cs="宋体"/>
          <w:b/>
          <w:szCs w:val="24"/>
          <w:highlight w:val="yellow"/>
        </w:rPr>
      </w:pPr>
    </w:p>
    <w:p>
      <w:pPr>
        <w:pStyle w:val="79"/>
        <w:rPr>
          <w:rFonts w:hint="eastAsia" w:ascii="宋体" w:hAnsi="宋体" w:cs="宋体"/>
          <w:b/>
          <w:szCs w:val="24"/>
          <w:highlight w:val="yellow"/>
        </w:rPr>
        <w:sectPr>
          <w:pgSz w:w="11907" w:h="16840"/>
          <w:pgMar w:top="1474" w:right="1814" w:bottom="1474" w:left="1814" w:header="851" w:footer="851" w:gutter="0"/>
          <w:cols w:space="720" w:num="1"/>
        </w:sectPr>
      </w:pPr>
    </w:p>
    <w:tbl>
      <w:tblPr>
        <w:tblStyle w:val="62"/>
        <w:tblW w:w="13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1965"/>
        <w:gridCol w:w="4256"/>
        <w:gridCol w:w="1533"/>
        <w:gridCol w:w="1200"/>
        <w:gridCol w:w="817"/>
        <w:gridCol w:w="1116"/>
        <w:gridCol w:w="1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569" w:type="dxa"/>
            <w:gridSpan w:val="5"/>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项目名称:余杭区仁和街道云会农民多高层公寓安置房风管防火板采购安装项目</w:t>
            </w:r>
          </w:p>
        </w:tc>
        <w:tc>
          <w:tcPr>
            <w:tcW w:w="817" w:type="dxa"/>
            <w:tcBorders>
              <w:top w:val="nil"/>
              <w:left w:val="nil"/>
              <w:bottom w:val="nil"/>
              <w:right w:val="nil"/>
            </w:tcBorders>
            <w:shd w:val="clear" w:color="auto" w:fill="FFFFFF"/>
            <w:vAlign w:val="bottom"/>
          </w:tcPr>
          <w:p>
            <w:pPr>
              <w:jc w:val="left"/>
              <w:rPr>
                <w:rFonts w:hint="eastAsia" w:ascii="宋体" w:hAnsi="宋体" w:eastAsia="宋体" w:cs="宋体"/>
                <w:i w:val="0"/>
                <w:iCs w:val="0"/>
                <w:color w:val="000000"/>
                <w:sz w:val="21"/>
                <w:szCs w:val="21"/>
                <w:u w:val="none"/>
              </w:rPr>
            </w:pPr>
          </w:p>
        </w:tc>
        <w:tc>
          <w:tcPr>
            <w:tcW w:w="1116" w:type="dxa"/>
            <w:tcBorders>
              <w:top w:val="nil"/>
              <w:left w:val="nil"/>
              <w:bottom w:val="nil"/>
              <w:right w:val="nil"/>
            </w:tcBorders>
            <w:shd w:val="clear" w:color="auto" w:fill="FFFFFF"/>
            <w:vAlign w:val="bottom"/>
          </w:tcPr>
          <w:p>
            <w:pPr>
              <w:jc w:val="right"/>
              <w:rPr>
                <w:rFonts w:hint="eastAsia" w:ascii="宋体" w:hAnsi="宋体" w:eastAsia="宋体" w:cs="宋体"/>
                <w:i w:val="0"/>
                <w:iCs w:val="0"/>
                <w:color w:val="000000"/>
                <w:sz w:val="21"/>
                <w:szCs w:val="21"/>
                <w:u w:val="none"/>
              </w:rPr>
            </w:pPr>
          </w:p>
        </w:tc>
        <w:tc>
          <w:tcPr>
            <w:tcW w:w="1934" w:type="dxa"/>
            <w:tcBorders>
              <w:top w:val="nil"/>
              <w:left w:val="nil"/>
              <w:bottom w:val="nil"/>
              <w:right w:val="nil"/>
            </w:tcBorders>
            <w:shd w:val="clear" w:color="auto" w:fill="auto"/>
            <w:noWrap/>
            <w:vAlign w:val="bottom"/>
          </w:tcPr>
          <w:p>
            <w:pPr>
              <w:rPr>
                <w:rFonts w:hint="eastAsia"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4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主要特征</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1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安装工程</w:t>
            </w:r>
          </w:p>
        </w:tc>
        <w:tc>
          <w:tcPr>
            <w:tcW w:w="4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1"/>
                <w:szCs w:val="21"/>
                <w:u w:val="none"/>
              </w:rPr>
            </w:pPr>
          </w:p>
        </w:tc>
        <w:tc>
          <w:tcPr>
            <w:tcW w:w="1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6"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风管防火板包封</w:t>
            </w:r>
          </w:p>
        </w:tc>
        <w:tc>
          <w:tcPr>
            <w:tcW w:w="42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1、金属(镀锌钢板)风管为满足GB 51251-2017《建筑防烟排烟系统技术标准》对风管耐火极限的要求；做法可参考国际标准图集22K311-5《防排烟系统设备及部件选用与安装》73页75页中做法。                                                                                                                                                                     2、管道的耐火极限的判定应按照现行国家标准《通风管道耐火试验方法》GB/T1</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428及《耐火材料耐火度试验方法》GB/T7322-2017的测试方法，当耐火完整性和隔热性同时达到，方能视作符合要求。                                                                                                                                                                          3、防火板和岩棉的厚度按国际标准图集22K311-5《防排烟系统设备及部件选用与安装》86页，耐火极限不小于60分钟的包裹构造：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镀锌钢板风管(按GB50243-2016)（不在本次采购范围内）,岩棉板≥30mm(密度100kg/m3)+防火板≥9mm(密度800kg 1500/m3)。                                                                                    4、本次消防用风管的防火包裹安装完毕后必须同时满足地下室净高不低于2.2米要求。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10886.5</w:t>
            </w:r>
          </w:p>
        </w:tc>
        <w:tc>
          <w:tcPr>
            <w:tcW w:w="8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p>
        </w:tc>
        <w:tc>
          <w:tcPr>
            <w:tcW w:w="19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425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1"/>
                <w:szCs w:val="21"/>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1"/>
                <w:szCs w:val="21"/>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1"/>
                <w:szCs w:val="21"/>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p>
        </w:tc>
        <w:tc>
          <w:tcPr>
            <w:tcW w:w="193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1"/>
                <w:szCs w:val="21"/>
                <w:u w:val="none"/>
              </w:rPr>
            </w:pPr>
          </w:p>
        </w:tc>
      </w:tr>
    </w:tbl>
    <w:p>
      <w:pPr>
        <w:pStyle w:val="79"/>
        <w:ind w:left="0" w:leftChars="0" w:firstLine="0" w:firstLineChars="0"/>
        <w:rPr>
          <w:rFonts w:hint="eastAsia" w:ascii="宋体" w:hAnsi="宋体" w:cs="宋体"/>
          <w:b/>
          <w:szCs w:val="24"/>
          <w:highlight w:val="yellow"/>
        </w:rPr>
        <w:sectPr>
          <w:pgSz w:w="16840" w:h="11907" w:orient="landscape"/>
          <w:pgMar w:top="1814" w:right="1474" w:bottom="1814" w:left="1474" w:header="851" w:footer="851" w:gutter="0"/>
          <w:cols w:space="720" w:num="1"/>
        </w:sectPr>
      </w:pPr>
    </w:p>
    <w:p>
      <w:pPr>
        <w:pStyle w:val="79"/>
        <w:rPr>
          <w:rFonts w:hint="eastAsia" w:ascii="宋体" w:hAnsi="宋体" w:cs="宋体"/>
          <w:b/>
          <w:szCs w:val="24"/>
          <w:highlight w:val="yellow"/>
        </w:rPr>
      </w:pPr>
    </w:p>
    <w:p>
      <w:pPr>
        <w:widowControl/>
        <w:adjustRightInd/>
        <w:jc w:val="left"/>
        <w:rPr>
          <w:rFonts w:hint="eastAsia" w:ascii="宋体" w:hAnsi="宋体" w:cs="宋体"/>
          <w:b/>
          <w:kern w:val="0"/>
          <w:sz w:val="24"/>
        </w:rPr>
      </w:pPr>
    </w:p>
    <w:p>
      <w:pPr>
        <w:widowControl/>
        <w:adjustRightInd/>
        <w:jc w:val="left"/>
        <w:rPr>
          <w:rFonts w:ascii="宋体" w:hAnsi="宋体" w:cs="宋体"/>
          <w:b/>
          <w:kern w:val="0"/>
          <w:sz w:val="24"/>
        </w:rPr>
      </w:pPr>
      <w:r>
        <w:rPr>
          <w:rFonts w:hint="eastAsia" w:ascii="宋体" w:hAnsi="宋体" w:cs="宋体"/>
          <w:b/>
          <w:kern w:val="0"/>
          <w:sz w:val="24"/>
        </w:rPr>
        <w:t>三、供货要求：</w:t>
      </w:r>
    </w:p>
    <w:p>
      <w:pPr>
        <w:spacing w:line="600" w:lineRule="exact"/>
        <w:ind w:firstLine="480" w:firstLineChars="200"/>
        <w:rPr>
          <w:rFonts w:ascii="宋体" w:hAnsi="宋体" w:cs="宋体"/>
          <w:sz w:val="24"/>
        </w:rPr>
      </w:pPr>
      <w:r>
        <w:rPr>
          <w:rFonts w:hint="eastAsia" w:ascii="宋体" w:hAnsi="宋体" w:cs="宋体"/>
          <w:sz w:val="24"/>
        </w:rPr>
        <w:t>1、供方所供的货物必须为全新的，符合国家标准的合格产品；</w:t>
      </w:r>
    </w:p>
    <w:p>
      <w:pPr>
        <w:spacing w:line="600" w:lineRule="exact"/>
        <w:ind w:firstLine="480" w:firstLineChars="200"/>
        <w:rPr>
          <w:rFonts w:ascii="宋体" w:hAnsi="宋体" w:cs="宋体"/>
          <w:sz w:val="24"/>
        </w:rPr>
      </w:pPr>
      <w:r>
        <w:rPr>
          <w:rFonts w:hint="eastAsia" w:ascii="宋体" w:hAnsi="宋体" w:cs="宋体"/>
          <w:sz w:val="24"/>
        </w:rPr>
        <w:t>2、必所供货物不会侵犯任何第三方知识产权；</w:t>
      </w:r>
    </w:p>
    <w:p>
      <w:pPr>
        <w:spacing w:line="600" w:lineRule="exact"/>
        <w:ind w:firstLine="480" w:firstLineChars="200"/>
        <w:rPr>
          <w:rFonts w:ascii="宋体" w:hAnsi="宋体" w:cs="宋体"/>
          <w:sz w:val="24"/>
        </w:rPr>
      </w:pPr>
      <w:r>
        <w:rPr>
          <w:rFonts w:hint="eastAsia" w:ascii="宋体" w:hAnsi="宋体" w:cs="宋体"/>
          <w:sz w:val="24"/>
        </w:rPr>
        <w:t>3、送货地址：采购人指定地点。</w:t>
      </w:r>
    </w:p>
    <w:p>
      <w:pPr>
        <w:spacing w:line="600" w:lineRule="exact"/>
        <w:rPr>
          <w:rFonts w:ascii="宋体" w:hAnsi="宋体" w:cs="宋体"/>
          <w:b/>
          <w:bCs/>
          <w:sz w:val="24"/>
        </w:rPr>
      </w:pPr>
      <w:r>
        <w:rPr>
          <w:rFonts w:hint="eastAsia" w:ascii="宋体" w:hAnsi="宋体" w:cs="宋体"/>
          <w:b/>
          <w:bCs/>
          <w:sz w:val="24"/>
        </w:rPr>
        <w:t>四、售后服务要求：</w:t>
      </w:r>
    </w:p>
    <w:p>
      <w:pPr>
        <w:spacing w:line="600" w:lineRule="exact"/>
        <w:ind w:firstLine="482" w:firstLineChars="200"/>
        <w:rPr>
          <w:rFonts w:ascii="宋体" w:hAnsi="宋体" w:cs="宋体"/>
          <w:sz w:val="24"/>
          <w:highlight w:val="none"/>
        </w:rPr>
      </w:pPr>
      <w:r>
        <w:rPr>
          <w:rFonts w:hint="eastAsia" w:ascii="宋体" w:hAnsi="宋体" w:cs="宋体"/>
          <w:b/>
          <w:bCs/>
          <w:sz w:val="24"/>
          <w:highlight w:val="none"/>
        </w:rPr>
        <w:t>▲</w:t>
      </w:r>
      <w:r>
        <w:rPr>
          <w:rFonts w:hint="eastAsia" w:ascii="宋体" w:hAnsi="宋体" w:cs="宋体"/>
          <w:sz w:val="24"/>
        </w:rPr>
        <w:t>1、质保期要求：</w:t>
      </w:r>
      <w:r>
        <w:rPr>
          <w:rFonts w:hint="eastAsia" w:ascii="宋体" w:hAnsi="宋体" w:cs="宋体"/>
          <w:sz w:val="24"/>
          <w:highlight w:val="none"/>
        </w:rPr>
        <w:t>质保期不少于2年，超过质保期维修时只收取部件成本费。</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2、技术支持要求：质保期内出现问题，7×24小时的电话技术支持和5×12小时的免费上门现场技术服务；质保期内提供免费上门维护、对故障1小时内技术响应，2小时以内到现场；4小时以内解决问题。</w:t>
      </w:r>
    </w:p>
    <w:p>
      <w:pPr>
        <w:spacing w:line="600" w:lineRule="exact"/>
        <w:rPr>
          <w:rFonts w:ascii="宋体" w:hAnsi="宋体" w:cs="宋体"/>
          <w:b/>
          <w:bCs/>
          <w:sz w:val="24"/>
          <w:highlight w:val="none"/>
        </w:rPr>
      </w:pPr>
      <w:r>
        <w:rPr>
          <w:rFonts w:hint="eastAsia" w:ascii="宋体" w:hAnsi="宋体" w:cs="宋体"/>
          <w:b/>
          <w:bCs/>
          <w:sz w:val="24"/>
          <w:highlight w:val="none"/>
        </w:rPr>
        <w:t>▲五、合同履约期限：</w:t>
      </w:r>
    </w:p>
    <w:p>
      <w:pPr>
        <w:pStyle w:val="130"/>
        <w:spacing w:before="0" w:line="600" w:lineRule="exact"/>
        <w:ind w:firstLine="480"/>
        <w:outlineLvl w:val="2"/>
        <w:rPr>
          <w:rFonts w:ascii="宋体" w:hAnsi="宋体" w:cs="宋体"/>
          <w:szCs w:val="24"/>
          <w:lang w:val="zh-CN"/>
        </w:rPr>
      </w:pPr>
      <w:r>
        <w:rPr>
          <w:rFonts w:hint="eastAsia" w:ascii="宋体" w:hAnsi="宋体" w:cs="宋体"/>
          <w:szCs w:val="24"/>
          <w:highlight w:val="none"/>
          <w:lang w:val="zh-CN"/>
        </w:rPr>
        <w:t>合同签订之日起</w:t>
      </w:r>
      <w:r>
        <w:rPr>
          <w:rFonts w:hint="eastAsia" w:ascii="宋体" w:hAnsi="宋体" w:cs="宋体"/>
          <w:szCs w:val="24"/>
          <w:highlight w:val="none"/>
          <w:lang w:val="en-US" w:eastAsia="zh-CN"/>
        </w:rPr>
        <w:t>45</w:t>
      </w:r>
      <w:r>
        <w:rPr>
          <w:rFonts w:hint="eastAsia" w:ascii="宋体" w:hAnsi="宋体" w:cs="宋体"/>
          <w:szCs w:val="24"/>
          <w:highlight w:val="none"/>
          <w:lang w:val="zh-CN"/>
        </w:rPr>
        <w:t>日历天内完成安装调试工作</w:t>
      </w:r>
      <w:r>
        <w:rPr>
          <w:rFonts w:hint="eastAsia" w:ascii="宋体" w:hAnsi="宋体" w:cs="宋体"/>
          <w:szCs w:val="24"/>
          <w:lang w:val="zh-CN"/>
        </w:rPr>
        <w:t>；</w:t>
      </w:r>
    </w:p>
    <w:p>
      <w:pPr>
        <w:pStyle w:val="130"/>
        <w:spacing w:before="0" w:line="600" w:lineRule="exact"/>
        <w:ind w:firstLine="0" w:firstLineChars="0"/>
        <w:outlineLvl w:val="2"/>
        <w:rPr>
          <w:rFonts w:ascii="宋体" w:hAnsi="宋体" w:cs="宋体"/>
          <w:b/>
          <w:bCs/>
        </w:rPr>
      </w:pPr>
      <w:r>
        <w:rPr>
          <w:rFonts w:hint="eastAsia" w:ascii="宋体" w:hAnsi="宋体" w:cs="宋体"/>
          <w:b/>
          <w:bCs/>
          <w:sz w:val="24"/>
          <w:highlight w:val="none"/>
        </w:rPr>
        <w:t>▲</w:t>
      </w:r>
      <w:r>
        <w:rPr>
          <w:rFonts w:hint="eastAsia" w:ascii="宋体" w:hAnsi="宋体" w:cs="宋体"/>
          <w:b/>
          <w:bCs/>
        </w:rPr>
        <w:t>六、履约保证金：</w:t>
      </w:r>
    </w:p>
    <w:p>
      <w:pPr>
        <w:spacing w:line="600" w:lineRule="exact"/>
        <w:ind w:firstLine="470" w:firstLineChars="196"/>
        <w:rPr>
          <w:rFonts w:ascii="宋体" w:hAnsi="宋体" w:cs="宋体"/>
          <w:sz w:val="24"/>
        </w:rPr>
      </w:pPr>
      <w:r>
        <w:rPr>
          <w:rFonts w:hint="eastAsia" w:ascii="宋体" w:hAnsi="宋体" w:cs="宋体"/>
          <w:bCs/>
          <w:sz w:val="24"/>
        </w:rPr>
        <w:t>在签订合同后向采购人缴纳合同价1%的履约保证金（以支票、汇票、本票或者金融机构、担保机构出具的保函等非现金形式提交），</w:t>
      </w:r>
      <w:r>
        <w:rPr>
          <w:rFonts w:hint="eastAsia" w:ascii="宋体" w:hAnsi="宋体" w:cs="宋体"/>
          <w:sz w:val="24"/>
        </w:rPr>
        <w:t>验收通过</w:t>
      </w:r>
      <w:r>
        <w:rPr>
          <w:rFonts w:hint="eastAsia" w:ascii="宋体" w:hAnsi="宋体" w:cs="宋体"/>
          <w:bCs/>
          <w:sz w:val="24"/>
        </w:rPr>
        <w:t>后采购人予以无息退还。</w:t>
      </w:r>
    </w:p>
    <w:p>
      <w:pPr>
        <w:spacing w:line="600" w:lineRule="exact"/>
        <w:rPr>
          <w:rFonts w:ascii="宋体" w:hAnsi="宋体" w:cs="宋体"/>
          <w:b/>
          <w:bCs/>
          <w:sz w:val="24"/>
        </w:rPr>
      </w:pPr>
      <w:r>
        <w:rPr>
          <w:rFonts w:hint="eastAsia" w:ascii="宋体" w:hAnsi="宋体" w:cs="宋体"/>
          <w:b/>
          <w:bCs/>
          <w:sz w:val="24"/>
          <w:highlight w:val="none"/>
        </w:rPr>
        <w:t>▲</w:t>
      </w:r>
      <w:r>
        <w:rPr>
          <w:rFonts w:hint="eastAsia" w:ascii="宋体" w:hAnsi="宋体" w:cs="宋体"/>
          <w:b/>
          <w:sz w:val="24"/>
        </w:rPr>
        <w:t>七</w:t>
      </w:r>
      <w:r>
        <w:rPr>
          <w:rFonts w:hint="eastAsia" w:ascii="宋体" w:hAnsi="宋体" w:cs="宋体"/>
          <w:b/>
          <w:bCs/>
          <w:sz w:val="24"/>
        </w:rPr>
        <w:t>、货款支付：</w:t>
      </w:r>
    </w:p>
    <w:p>
      <w:pPr>
        <w:spacing w:line="600" w:lineRule="exact"/>
        <w:ind w:firstLine="480" w:firstLineChars="200"/>
        <w:rPr>
          <w:rFonts w:ascii="宋体" w:hAnsi="宋体" w:cs="宋体"/>
          <w:sz w:val="24"/>
        </w:rPr>
      </w:pPr>
      <w:r>
        <w:rPr>
          <w:rFonts w:hint="eastAsia" w:ascii="宋体" w:hAnsi="宋体" w:cs="宋体"/>
          <w:sz w:val="24"/>
        </w:rPr>
        <w:t>合同签订生效以及具备实施条件后10个工作日内，采购人向中标方支付合同金额50％的预付款。</w:t>
      </w:r>
    </w:p>
    <w:p>
      <w:pPr>
        <w:spacing w:line="600" w:lineRule="exact"/>
        <w:ind w:firstLine="480" w:firstLineChars="200"/>
        <w:rPr>
          <w:rFonts w:ascii="宋体" w:hAnsi="宋体" w:cs="宋体"/>
          <w:sz w:val="24"/>
          <w:highlight w:val="magenta"/>
        </w:rPr>
      </w:pPr>
      <w:r>
        <w:rPr>
          <w:rFonts w:hint="eastAsia" w:ascii="宋体" w:hAnsi="宋体" w:cs="宋体"/>
          <w:sz w:val="24"/>
        </w:rPr>
        <w:t>采购人在供应商根据合同规定将项目交付、验收通过后，供应商提供发票，采购人凭发票、确认单以及合同上报区财政，区财政审批下拨款到位后，立即支付剩余合同价款；</w:t>
      </w:r>
    </w:p>
    <w:p>
      <w:pPr>
        <w:tabs>
          <w:tab w:val="left" w:pos="630"/>
        </w:tabs>
        <w:spacing w:line="600" w:lineRule="exact"/>
        <w:rPr>
          <w:rFonts w:ascii="宋体" w:hAnsi="宋体" w:cs="宋体"/>
          <w:b/>
          <w:sz w:val="24"/>
        </w:rPr>
      </w:pPr>
      <w:r>
        <w:rPr>
          <w:rFonts w:hint="eastAsia" w:ascii="宋体" w:hAnsi="宋体" w:cs="宋体"/>
          <w:b/>
          <w:sz w:val="24"/>
        </w:rPr>
        <w:t>八、验收：</w:t>
      </w:r>
    </w:p>
    <w:p>
      <w:pPr>
        <w:pStyle w:val="33"/>
        <w:snapToGrid w:val="0"/>
        <w:spacing w:line="600" w:lineRule="exact"/>
        <w:ind w:firstLine="410" w:firstLineChars="171"/>
        <w:rPr>
          <w:rFonts w:hAnsi="宋体" w:cs="宋体"/>
          <w:sz w:val="24"/>
          <w:szCs w:val="24"/>
        </w:rPr>
      </w:pPr>
      <w:r>
        <w:rPr>
          <w:rFonts w:hint="eastAsia" w:hAnsi="宋体" w:cs="宋体"/>
          <w:sz w:val="24"/>
          <w:szCs w:val="24"/>
        </w:rPr>
        <w:t>1、根据《杭州市政府采购履约验收暂行办法》（杭财采监〔2019〕10号）规定，采购人应当根据采购项目的具体情况，自行组织项目验收或者委托采购代理机构验收，验收费用由中标人承担。</w:t>
      </w:r>
    </w:p>
    <w:p>
      <w:pPr>
        <w:spacing w:line="600" w:lineRule="exact"/>
        <w:ind w:firstLine="480" w:firstLineChars="200"/>
        <w:rPr>
          <w:rFonts w:ascii="宋体" w:hAnsi="宋体" w:cs="宋体"/>
          <w:sz w:val="24"/>
        </w:rPr>
      </w:pPr>
      <w:r>
        <w:rPr>
          <w:rFonts w:hint="eastAsia" w:ascii="宋体" w:hAnsi="宋体" w:cs="宋体"/>
          <w:sz w:val="24"/>
        </w:rPr>
        <w:t>2、经验收不合格且无法整改的，不付款不退货，所产生的所有损失由乙方承担。</w:t>
      </w:r>
    </w:p>
    <w:p>
      <w:pPr>
        <w:spacing w:line="600" w:lineRule="exact"/>
        <w:rPr>
          <w:rFonts w:ascii="宋体" w:hAnsi="宋体" w:cs="宋体"/>
          <w:b/>
          <w:bCs/>
          <w:sz w:val="24"/>
        </w:rPr>
      </w:pPr>
      <w:r>
        <w:rPr>
          <w:rFonts w:hint="eastAsia" w:ascii="宋体" w:hAnsi="宋体" w:cs="宋体"/>
          <w:b/>
          <w:bCs/>
          <w:sz w:val="24"/>
        </w:rPr>
        <w:t>九、其他：</w:t>
      </w:r>
    </w:p>
    <w:p>
      <w:pPr>
        <w:spacing w:line="600" w:lineRule="exact"/>
        <w:ind w:firstLine="480" w:firstLineChars="200"/>
        <w:rPr>
          <w:rFonts w:ascii="宋体" w:hAnsi="宋体" w:cs="宋体"/>
          <w:sz w:val="24"/>
        </w:rPr>
      </w:pPr>
      <w:r>
        <w:rPr>
          <w:rFonts w:hint="eastAsia" w:ascii="宋体" w:hAnsi="宋体" w:cs="宋体"/>
          <w:sz w:val="24"/>
        </w:rPr>
        <w:t>1、本项目提供的产品及服务无相关纠纷。</w:t>
      </w:r>
    </w:p>
    <w:p>
      <w:pPr>
        <w:spacing w:line="600" w:lineRule="exact"/>
        <w:ind w:firstLine="480" w:firstLineChars="200"/>
        <w:rPr>
          <w:rFonts w:ascii="宋体" w:hAnsi="宋体" w:cs="宋体"/>
          <w:sz w:val="24"/>
        </w:rPr>
      </w:pPr>
      <w:r>
        <w:rPr>
          <w:rFonts w:hint="eastAsia" w:ascii="宋体" w:hAnsi="宋体" w:cs="宋体"/>
          <w:sz w:val="24"/>
        </w:rPr>
        <w:t>2、本项目项目实施过程中发生的死亡、人身伤害、财产损失、损害以及任何其它损失、损害和引起的费用和开支，由供应商承担全部责任。</w:t>
      </w:r>
    </w:p>
    <w:p>
      <w:pPr>
        <w:pStyle w:val="26"/>
        <w:ind w:firstLine="0" w:firstLineChars="0"/>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2" w:name="_Toc184310301"/>
      <w:bookmarkEnd w:id="32"/>
      <w:bookmarkStart w:id="33" w:name="_Toc184313261"/>
      <w:bookmarkEnd w:id="33"/>
      <w:bookmarkStart w:id="34" w:name="_Toc184312131"/>
      <w:bookmarkEnd w:id="34"/>
      <w:bookmarkStart w:id="35" w:name="_Toc184314460"/>
      <w:bookmarkEnd w:id="35"/>
      <w:bookmarkStart w:id="36" w:name="_Toc184312124"/>
      <w:bookmarkEnd w:id="36"/>
      <w:bookmarkStart w:id="37" w:name="_Toc184313273"/>
      <w:bookmarkEnd w:id="37"/>
      <w:bookmarkStart w:id="38" w:name="_Toc184310295"/>
      <w:bookmarkEnd w:id="38"/>
      <w:bookmarkStart w:id="39" w:name="_Toc184313290"/>
      <w:bookmarkEnd w:id="39"/>
      <w:bookmarkStart w:id="40" w:name="_Toc184310323"/>
      <w:bookmarkEnd w:id="40"/>
      <w:bookmarkStart w:id="41" w:name="_Toc184308053"/>
      <w:bookmarkEnd w:id="41"/>
      <w:bookmarkStart w:id="42" w:name="_Toc184312109"/>
      <w:bookmarkEnd w:id="42"/>
      <w:bookmarkStart w:id="43" w:name="_Toc184310336"/>
      <w:bookmarkEnd w:id="43"/>
      <w:bookmarkStart w:id="44" w:name="_Toc184308057"/>
      <w:bookmarkEnd w:id="44"/>
      <w:bookmarkStart w:id="45" w:name="_Toc184312102"/>
      <w:bookmarkEnd w:id="45"/>
      <w:bookmarkStart w:id="46" w:name="_Toc184312133"/>
      <w:bookmarkEnd w:id="46"/>
      <w:bookmarkStart w:id="47" w:name="_Toc184313243"/>
      <w:bookmarkEnd w:id="47"/>
      <w:bookmarkStart w:id="48" w:name="_Toc184314420"/>
      <w:bookmarkEnd w:id="48"/>
      <w:bookmarkStart w:id="49" w:name="_Toc184308105"/>
      <w:bookmarkEnd w:id="49"/>
      <w:bookmarkStart w:id="50" w:name="_Toc184313285"/>
      <w:bookmarkEnd w:id="50"/>
      <w:bookmarkStart w:id="51" w:name="_Toc184312069"/>
      <w:bookmarkEnd w:id="51"/>
      <w:bookmarkStart w:id="52" w:name="_Toc184310290"/>
      <w:bookmarkEnd w:id="52"/>
      <w:bookmarkStart w:id="53" w:name="_Toc184312098"/>
      <w:bookmarkEnd w:id="53"/>
      <w:bookmarkStart w:id="54" w:name="_Toc184312082"/>
      <w:bookmarkEnd w:id="54"/>
      <w:bookmarkStart w:id="55" w:name="_Toc184314436"/>
      <w:bookmarkEnd w:id="55"/>
      <w:bookmarkStart w:id="56" w:name="_Toc184308092"/>
      <w:bookmarkEnd w:id="56"/>
      <w:bookmarkStart w:id="57" w:name="_Toc184313279"/>
      <w:bookmarkEnd w:id="57"/>
      <w:bookmarkStart w:id="58" w:name="_Toc184314448"/>
      <w:bookmarkEnd w:id="58"/>
      <w:bookmarkStart w:id="59" w:name="_Toc184312130"/>
      <w:bookmarkEnd w:id="59"/>
      <w:bookmarkStart w:id="60" w:name="_Toc184308065"/>
      <w:bookmarkEnd w:id="60"/>
      <w:bookmarkStart w:id="61" w:name="_Toc184314442"/>
      <w:bookmarkEnd w:id="61"/>
      <w:bookmarkStart w:id="62" w:name="_Toc184312078"/>
      <w:bookmarkEnd w:id="62"/>
      <w:bookmarkStart w:id="63" w:name="_Toc184310327"/>
      <w:bookmarkEnd w:id="63"/>
      <w:bookmarkStart w:id="64" w:name="_Toc184312072"/>
      <w:bookmarkEnd w:id="64"/>
      <w:bookmarkStart w:id="65" w:name="_Toc184313291"/>
      <w:bookmarkEnd w:id="65"/>
      <w:bookmarkStart w:id="66" w:name="_Toc184313288"/>
      <w:bookmarkEnd w:id="66"/>
      <w:bookmarkStart w:id="67" w:name="_Toc184313281"/>
      <w:bookmarkEnd w:id="67"/>
      <w:bookmarkStart w:id="68" w:name="_Toc184314425"/>
      <w:bookmarkEnd w:id="68"/>
      <w:bookmarkStart w:id="69" w:name="_Toc184314477"/>
      <w:bookmarkEnd w:id="69"/>
      <w:bookmarkStart w:id="70" w:name="_Toc184314441"/>
      <w:bookmarkEnd w:id="70"/>
      <w:bookmarkStart w:id="71" w:name="_Toc184314450"/>
      <w:bookmarkEnd w:id="71"/>
      <w:bookmarkStart w:id="72" w:name="_Toc184314430"/>
      <w:bookmarkEnd w:id="72"/>
      <w:bookmarkStart w:id="73" w:name="_Toc184314465"/>
      <w:bookmarkEnd w:id="73"/>
      <w:bookmarkStart w:id="74" w:name="_Toc184313304"/>
      <w:bookmarkEnd w:id="74"/>
      <w:bookmarkStart w:id="75" w:name="_Toc184313299"/>
      <w:bookmarkEnd w:id="75"/>
      <w:bookmarkStart w:id="76" w:name="_Toc184308086"/>
      <w:bookmarkEnd w:id="76"/>
      <w:bookmarkStart w:id="77" w:name="_Toc184313244"/>
      <w:bookmarkEnd w:id="77"/>
      <w:bookmarkStart w:id="78" w:name="_Toc184308080"/>
      <w:bookmarkEnd w:id="78"/>
      <w:bookmarkStart w:id="79" w:name="_Toc184314421"/>
      <w:bookmarkEnd w:id="79"/>
      <w:bookmarkStart w:id="80" w:name="_Toc184312125"/>
      <w:bookmarkEnd w:id="80"/>
      <w:bookmarkStart w:id="81" w:name="_Toc184313270"/>
      <w:bookmarkEnd w:id="81"/>
      <w:bookmarkStart w:id="82" w:name="_Toc184313252"/>
      <w:bookmarkEnd w:id="82"/>
      <w:bookmarkStart w:id="83" w:name="_Toc184312092"/>
      <w:bookmarkEnd w:id="83"/>
      <w:bookmarkStart w:id="84" w:name="_Toc184314472"/>
      <w:bookmarkEnd w:id="84"/>
      <w:bookmarkStart w:id="85" w:name="_Toc184312110"/>
      <w:bookmarkEnd w:id="85"/>
      <w:bookmarkStart w:id="86" w:name="_Toc184314422"/>
      <w:bookmarkEnd w:id="86"/>
      <w:bookmarkStart w:id="87" w:name="_Toc184310281"/>
      <w:bookmarkEnd w:id="87"/>
      <w:bookmarkStart w:id="88" w:name="_Toc184312093"/>
      <w:bookmarkEnd w:id="88"/>
      <w:bookmarkStart w:id="89" w:name="_Toc184314468"/>
      <w:bookmarkEnd w:id="89"/>
      <w:bookmarkStart w:id="90" w:name="_Toc184313262"/>
      <w:bookmarkEnd w:id="90"/>
      <w:bookmarkStart w:id="91" w:name="_Toc184308037"/>
      <w:bookmarkEnd w:id="91"/>
      <w:bookmarkStart w:id="92" w:name="_Toc184310289"/>
      <w:bookmarkEnd w:id="92"/>
      <w:bookmarkStart w:id="93" w:name="_Toc184310293"/>
      <w:bookmarkEnd w:id="93"/>
      <w:bookmarkStart w:id="94" w:name="_Toc184308093"/>
      <w:bookmarkEnd w:id="94"/>
      <w:bookmarkStart w:id="95" w:name="_Toc184314428"/>
      <w:bookmarkEnd w:id="95"/>
      <w:bookmarkStart w:id="96" w:name="_Toc184312118"/>
      <w:bookmarkEnd w:id="96"/>
      <w:bookmarkStart w:id="97" w:name="_Toc184308043"/>
      <w:bookmarkEnd w:id="97"/>
      <w:bookmarkStart w:id="98" w:name="_Toc184312083"/>
      <w:bookmarkEnd w:id="98"/>
      <w:bookmarkStart w:id="99" w:name="_Toc184310278"/>
      <w:bookmarkEnd w:id="99"/>
      <w:bookmarkStart w:id="100" w:name="_Toc184314429"/>
      <w:bookmarkEnd w:id="100"/>
      <w:bookmarkStart w:id="101" w:name="_Toc184313308"/>
      <w:bookmarkEnd w:id="101"/>
      <w:bookmarkStart w:id="102" w:name="_Toc184314418"/>
      <w:bookmarkEnd w:id="102"/>
      <w:bookmarkStart w:id="103" w:name="_Toc184308097"/>
      <w:bookmarkEnd w:id="103"/>
      <w:bookmarkStart w:id="104" w:name="_Toc184308106"/>
      <w:bookmarkEnd w:id="104"/>
      <w:bookmarkStart w:id="105" w:name="_Toc184308047"/>
      <w:bookmarkEnd w:id="105"/>
      <w:bookmarkStart w:id="106" w:name="_Toc184310314"/>
      <w:bookmarkEnd w:id="106"/>
      <w:bookmarkStart w:id="107" w:name="_Toc184310324"/>
      <w:bookmarkEnd w:id="107"/>
      <w:bookmarkStart w:id="108" w:name="_Toc184312104"/>
      <w:bookmarkEnd w:id="108"/>
      <w:bookmarkStart w:id="109" w:name="_Toc184310311"/>
      <w:bookmarkEnd w:id="109"/>
      <w:bookmarkStart w:id="110" w:name="_Toc184313249"/>
      <w:bookmarkEnd w:id="110"/>
      <w:bookmarkStart w:id="111" w:name="_Toc184314464"/>
      <w:bookmarkEnd w:id="111"/>
      <w:bookmarkStart w:id="112" w:name="_Toc184314474"/>
      <w:bookmarkEnd w:id="112"/>
      <w:bookmarkStart w:id="113" w:name="_Toc184308100"/>
      <w:bookmarkEnd w:id="113"/>
      <w:bookmarkStart w:id="114" w:name="_Toc184313298"/>
      <w:bookmarkEnd w:id="114"/>
      <w:bookmarkStart w:id="115" w:name="_Toc184312085"/>
      <w:bookmarkEnd w:id="115"/>
      <w:bookmarkStart w:id="116" w:name="_Toc184310296"/>
      <w:bookmarkEnd w:id="116"/>
      <w:bookmarkStart w:id="117" w:name="_Toc184308054"/>
      <w:bookmarkEnd w:id="117"/>
      <w:bookmarkStart w:id="118" w:name="_Toc184314471"/>
      <w:bookmarkEnd w:id="118"/>
      <w:bookmarkStart w:id="119" w:name="_Toc184313274"/>
      <w:bookmarkEnd w:id="119"/>
      <w:bookmarkStart w:id="120" w:name="_Toc184310315"/>
      <w:bookmarkEnd w:id="120"/>
      <w:bookmarkStart w:id="121" w:name="_Toc184308099"/>
      <w:bookmarkEnd w:id="121"/>
      <w:bookmarkStart w:id="122" w:name="_Toc184308044"/>
      <w:bookmarkEnd w:id="122"/>
      <w:bookmarkStart w:id="123" w:name="_Toc184310338"/>
      <w:bookmarkEnd w:id="123"/>
      <w:bookmarkStart w:id="124" w:name="_Toc184308073"/>
      <w:bookmarkEnd w:id="124"/>
      <w:bookmarkStart w:id="125" w:name="_Toc184312101"/>
      <w:bookmarkEnd w:id="125"/>
      <w:bookmarkStart w:id="126" w:name="_Toc184312067"/>
      <w:bookmarkEnd w:id="126"/>
      <w:bookmarkStart w:id="127" w:name="_Toc184310330"/>
      <w:bookmarkEnd w:id="127"/>
      <w:bookmarkStart w:id="128" w:name="_Toc184310318"/>
      <w:bookmarkEnd w:id="128"/>
      <w:bookmarkStart w:id="129" w:name="_Toc184313302"/>
      <w:bookmarkEnd w:id="129"/>
      <w:bookmarkStart w:id="130" w:name="_Toc184314432"/>
      <w:bookmarkEnd w:id="130"/>
      <w:bookmarkStart w:id="131" w:name="_Toc184308081"/>
      <w:bookmarkEnd w:id="131"/>
      <w:bookmarkStart w:id="132" w:name="_Toc184313268"/>
      <w:bookmarkEnd w:id="132"/>
      <w:bookmarkStart w:id="133" w:name="_Toc184313266"/>
      <w:bookmarkEnd w:id="133"/>
      <w:bookmarkStart w:id="134" w:name="_Toc184314427"/>
      <w:bookmarkEnd w:id="134"/>
      <w:bookmarkStart w:id="135" w:name="_Toc184313238"/>
      <w:bookmarkEnd w:id="135"/>
      <w:bookmarkStart w:id="136" w:name="_Toc184314478"/>
      <w:bookmarkEnd w:id="136"/>
      <w:bookmarkStart w:id="137" w:name="_Toc184310299"/>
      <w:bookmarkEnd w:id="137"/>
      <w:bookmarkStart w:id="138" w:name="_Toc184314417"/>
      <w:bookmarkEnd w:id="138"/>
      <w:bookmarkStart w:id="139" w:name="_Toc184313260"/>
      <w:bookmarkEnd w:id="139"/>
      <w:bookmarkStart w:id="140" w:name="_Toc184313271"/>
      <w:bookmarkEnd w:id="140"/>
      <w:bookmarkStart w:id="141" w:name="_Toc184308063"/>
      <w:bookmarkEnd w:id="141"/>
      <w:bookmarkStart w:id="142" w:name="_Toc184310307"/>
      <w:bookmarkEnd w:id="142"/>
      <w:bookmarkStart w:id="143" w:name="_Toc184310300"/>
      <w:bookmarkEnd w:id="143"/>
      <w:bookmarkStart w:id="144" w:name="_Toc184310275"/>
      <w:bookmarkEnd w:id="144"/>
      <w:bookmarkStart w:id="145" w:name="_Toc184313241"/>
      <w:bookmarkEnd w:id="145"/>
      <w:bookmarkStart w:id="146" w:name="_Toc184313277"/>
      <w:bookmarkEnd w:id="146"/>
      <w:bookmarkStart w:id="147" w:name="_Toc184314470"/>
      <w:bookmarkEnd w:id="147"/>
      <w:bookmarkStart w:id="148" w:name="_Toc184314423"/>
      <w:bookmarkEnd w:id="148"/>
      <w:bookmarkStart w:id="149" w:name="_Toc184308052"/>
      <w:bookmarkEnd w:id="149"/>
      <w:bookmarkStart w:id="150" w:name="_Toc184310325"/>
      <w:bookmarkEnd w:id="150"/>
      <w:bookmarkStart w:id="151" w:name="_Toc184310282"/>
      <w:bookmarkEnd w:id="151"/>
      <w:bookmarkStart w:id="152" w:name="_Toc184310334"/>
      <w:bookmarkEnd w:id="152"/>
      <w:bookmarkStart w:id="153" w:name="_Toc184308066"/>
      <w:bookmarkEnd w:id="153"/>
      <w:bookmarkStart w:id="154" w:name="_Toc184310297"/>
      <w:bookmarkEnd w:id="154"/>
      <w:bookmarkStart w:id="155" w:name="_Toc184308095"/>
      <w:bookmarkEnd w:id="155"/>
      <w:bookmarkStart w:id="156" w:name="_Toc184310329"/>
      <w:bookmarkEnd w:id="156"/>
      <w:bookmarkStart w:id="157" w:name="_Toc184310341"/>
      <w:bookmarkEnd w:id="157"/>
      <w:bookmarkStart w:id="158" w:name="_Toc184313310"/>
      <w:bookmarkEnd w:id="158"/>
      <w:bookmarkStart w:id="159" w:name="_Toc184314459"/>
      <w:bookmarkEnd w:id="159"/>
      <w:bookmarkStart w:id="160" w:name="_Toc184313289"/>
      <w:bookmarkEnd w:id="160"/>
      <w:bookmarkStart w:id="161" w:name="_Toc184314410"/>
      <w:bookmarkEnd w:id="161"/>
      <w:bookmarkStart w:id="162" w:name="_Toc184308064"/>
      <w:bookmarkEnd w:id="162"/>
      <w:bookmarkStart w:id="163" w:name="_Toc184308036"/>
      <w:bookmarkEnd w:id="163"/>
      <w:bookmarkStart w:id="164" w:name="_Toc184313296"/>
      <w:bookmarkEnd w:id="164"/>
      <w:bookmarkStart w:id="165" w:name="_Toc184312071"/>
      <w:bookmarkEnd w:id="165"/>
      <w:bookmarkStart w:id="166" w:name="_Toc184310298"/>
      <w:bookmarkEnd w:id="166"/>
      <w:bookmarkStart w:id="167" w:name="_Toc184313307"/>
      <w:bookmarkEnd w:id="167"/>
      <w:bookmarkStart w:id="168" w:name="_Toc184310288"/>
      <w:bookmarkEnd w:id="168"/>
      <w:bookmarkStart w:id="169" w:name="_Toc184314479"/>
      <w:bookmarkEnd w:id="169"/>
      <w:bookmarkStart w:id="170" w:name="_Toc184308068"/>
      <w:bookmarkEnd w:id="170"/>
      <w:bookmarkStart w:id="171" w:name="_Toc184310304"/>
      <w:bookmarkEnd w:id="171"/>
      <w:bookmarkStart w:id="172" w:name="_Toc184308083"/>
      <w:bookmarkEnd w:id="172"/>
      <w:bookmarkStart w:id="173" w:name="_Toc184308050"/>
      <w:bookmarkEnd w:id="173"/>
      <w:bookmarkStart w:id="174" w:name="_Toc184308098"/>
      <w:bookmarkEnd w:id="174"/>
      <w:bookmarkStart w:id="175" w:name="_Toc184312138"/>
      <w:bookmarkEnd w:id="175"/>
      <w:bookmarkStart w:id="176" w:name="_Toc184308041"/>
      <w:bookmarkEnd w:id="176"/>
      <w:bookmarkStart w:id="177" w:name="_Toc184312121"/>
      <w:bookmarkEnd w:id="177"/>
      <w:bookmarkStart w:id="178" w:name="_Toc184308056"/>
      <w:bookmarkEnd w:id="178"/>
      <w:bookmarkStart w:id="179" w:name="_Toc184310283"/>
      <w:bookmarkEnd w:id="179"/>
      <w:bookmarkStart w:id="180" w:name="_Toc184308039"/>
      <w:bookmarkEnd w:id="180"/>
      <w:bookmarkStart w:id="181" w:name="_Toc184310286"/>
      <w:bookmarkEnd w:id="181"/>
      <w:bookmarkStart w:id="182" w:name="_Toc184312080"/>
      <w:bookmarkEnd w:id="182"/>
      <w:bookmarkStart w:id="183" w:name="_Toc184312097"/>
      <w:bookmarkEnd w:id="183"/>
      <w:bookmarkStart w:id="184" w:name="_Toc184310291"/>
      <w:bookmarkEnd w:id="184"/>
      <w:bookmarkStart w:id="185" w:name="_Toc184313293"/>
      <w:bookmarkEnd w:id="185"/>
      <w:bookmarkStart w:id="186" w:name="_Toc184308042"/>
      <w:bookmarkEnd w:id="186"/>
      <w:bookmarkStart w:id="187" w:name="_Toc184314467"/>
      <w:bookmarkEnd w:id="187"/>
      <w:bookmarkStart w:id="188" w:name="_Toc184308051"/>
      <w:bookmarkEnd w:id="188"/>
      <w:bookmarkStart w:id="189" w:name="_Toc184308087"/>
      <w:bookmarkEnd w:id="189"/>
      <w:bookmarkStart w:id="190" w:name="_Toc184308045"/>
      <w:bookmarkEnd w:id="190"/>
      <w:bookmarkStart w:id="191" w:name="_Toc184314469"/>
      <w:bookmarkEnd w:id="191"/>
      <w:bookmarkStart w:id="192" w:name="_Toc184312100"/>
      <w:bookmarkEnd w:id="192"/>
      <w:bookmarkStart w:id="193" w:name="_Toc184313300"/>
      <w:bookmarkEnd w:id="193"/>
      <w:bookmarkStart w:id="194" w:name="_Toc184313294"/>
      <w:bookmarkEnd w:id="194"/>
      <w:bookmarkStart w:id="195" w:name="_Toc184308060"/>
      <w:bookmarkEnd w:id="195"/>
      <w:bookmarkStart w:id="196" w:name="_Toc184314446"/>
      <w:bookmarkEnd w:id="196"/>
      <w:bookmarkStart w:id="197" w:name="_Toc184312088"/>
      <w:bookmarkEnd w:id="197"/>
      <w:bookmarkStart w:id="198" w:name="_Toc184313284"/>
      <w:bookmarkEnd w:id="198"/>
      <w:bookmarkStart w:id="199" w:name="_Toc184308071"/>
      <w:bookmarkEnd w:id="199"/>
      <w:bookmarkStart w:id="200" w:name="_Toc184308078"/>
      <w:bookmarkEnd w:id="200"/>
      <w:bookmarkStart w:id="201" w:name="_Toc184310277"/>
      <w:bookmarkEnd w:id="201"/>
      <w:bookmarkStart w:id="202" w:name="_Toc184314480"/>
      <w:bookmarkEnd w:id="202"/>
      <w:bookmarkStart w:id="203" w:name="_Toc184313254"/>
      <w:bookmarkEnd w:id="203"/>
      <w:bookmarkStart w:id="204" w:name="_Toc184310337"/>
      <w:bookmarkEnd w:id="204"/>
      <w:bookmarkStart w:id="205" w:name="_Toc184308070"/>
      <w:bookmarkEnd w:id="205"/>
      <w:bookmarkStart w:id="206" w:name="_Toc184312099"/>
      <w:bookmarkEnd w:id="206"/>
      <w:bookmarkStart w:id="207" w:name="_Toc184312081"/>
      <w:bookmarkEnd w:id="207"/>
      <w:bookmarkStart w:id="208" w:name="_Toc184308067"/>
      <w:bookmarkEnd w:id="208"/>
      <w:bookmarkStart w:id="209" w:name="_Toc184308055"/>
      <w:bookmarkEnd w:id="209"/>
      <w:bookmarkStart w:id="210" w:name="_Toc184313269"/>
      <w:bookmarkEnd w:id="210"/>
      <w:bookmarkStart w:id="211" w:name="_Toc184310272"/>
      <w:bookmarkEnd w:id="211"/>
      <w:bookmarkStart w:id="212" w:name="_Toc184310273"/>
      <w:bookmarkEnd w:id="212"/>
      <w:bookmarkStart w:id="213" w:name="_Toc184314435"/>
      <w:bookmarkEnd w:id="213"/>
      <w:bookmarkStart w:id="214" w:name="_Toc184314444"/>
      <w:bookmarkEnd w:id="214"/>
      <w:bookmarkStart w:id="215" w:name="_Toc184310274"/>
      <w:bookmarkEnd w:id="215"/>
      <w:bookmarkStart w:id="216" w:name="_Toc184312096"/>
      <w:bookmarkEnd w:id="216"/>
      <w:bookmarkStart w:id="217" w:name="_Toc184312132"/>
      <w:bookmarkEnd w:id="217"/>
      <w:bookmarkStart w:id="218" w:name="_Toc184312134"/>
      <w:bookmarkEnd w:id="218"/>
      <w:bookmarkStart w:id="219" w:name="_Toc184310276"/>
      <w:bookmarkEnd w:id="219"/>
      <w:bookmarkStart w:id="220" w:name="_Toc184310310"/>
      <w:bookmarkEnd w:id="220"/>
      <w:bookmarkStart w:id="221" w:name="_Toc184308072"/>
      <w:bookmarkEnd w:id="221"/>
      <w:bookmarkStart w:id="222" w:name="_Toc184310306"/>
      <w:bookmarkEnd w:id="222"/>
      <w:bookmarkStart w:id="223" w:name="_Toc184312084"/>
      <w:bookmarkEnd w:id="223"/>
      <w:bookmarkStart w:id="224" w:name="_Toc184308079"/>
      <w:bookmarkEnd w:id="224"/>
      <w:bookmarkStart w:id="225" w:name="_Toc184313297"/>
      <w:bookmarkEnd w:id="225"/>
      <w:bookmarkStart w:id="226" w:name="_Toc184312122"/>
      <w:bookmarkEnd w:id="226"/>
      <w:bookmarkStart w:id="227" w:name="_Toc184312070"/>
      <w:bookmarkEnd w:id="227"/>
      <w:bookmarkStart w:id="228" w:name="_Toc184313242"/>
      <w:bookmarkEnd w:id="228"/>
      <w:bookmarkStart w:id="229" w:name="_Toc184310303"/>
      <w:bookmarkEnd w:id="229"/>
      <w:bookmarkStart w:id="230" w:name="_Toc184308046"/>
      <w:bookmarkEnd w:id="230"/>
      <w:bookmarkStart w:id="231" w:name="_Toc184314463"/>
      <w:bookmarkEnd w:id="231"/>
      <w:bookmarkStart w:id="232" w:name="_Toc184314456"/>
      <w:bookmarkEnd w:id="232"/>
      <w:bookmarkStart w:id="233" w:name="_Toc184310312"/>
      <w:bookmarkEnd w:id="233"/>
      <w:bookmarkStart w:id="234" w:name="_Toc184310279"/>
      <w:bookmarkEnd w:id="234"/>
      <w:bookmarkStart w:id="235" w:name="_Toc184313272"/>
      <w:bookmarkEnd w:id="235"/>
      <w:bookmarkStart w:id="236" w:name="_Toc184314412"/>
      <w:bookmarkEnd w:id="236"/>
      <w:bookmarkStart w:id="237" w:name="_Toc184312114"/>
      <w:bookmarkEnd w:id="237"/>
      <w:bookmarkStart w:id="238" w:name="_Toc184313287"/>
      <w:bookmarkEnd w:id="238"/>
      <w:bookmarkStart w:id="239" w:name="_Toc184314415"/>
      <w:bookmarkEnd w:id="239"/>
      <w:bookmarkStart w:id="240" w:name="_Toc184310333"/>
      <w:bookmarkEnd w:id="240"/>
      <w:bookmarkStart w:id="241" w:name="_Toc184312075"/>
      <w:bookmarkEnd w:id="241"/>
      <w:bookmarkStart w:id="242" w:name="_Toc184313276"/>
      <w:bookmarkEnd w:id="242"/>
      <w:bookmarkStart w:id="243" w:name="_Toc184312139"/>
      <w:bookmarkEnd w:id="243"/>
      <w:bookmarkStart w:id="244" w:name="_Toc184313309"/>
      <w:bookmarkEnd w:id="244"/>
      <w:bookmarkStart w:id="245" w:name="_Toc184314475"/>
      <w:bookmarkEnd w:id="245"/>
      <w:bookmarkStart w:id="246" w:name="_Toc184312068"/>
      <w:bookmarkEnd w:id="246"/>
      <w:bookmarkStart w:id="247" w:name="_Toc184308101"/>
      <w:bookmarkEnd w:id="247"/>
      <w:bookmarkStart w:id="248" w:name="_Toc184314453"/>
      <w:bookmarkEnd w:id="248"/>
      <w:bookmarkStart w:id="249" w:name="_Toc184312137"/>
      <w:bookmarkEnd w:id="249"/>
      <w:bookmarkStart w:id="250" w:name="_Toc184310292"/>
      <w:bookmarkEnd w:id="250"/>
      <w:bookmarkStart w:id="251" w:name="_Toc184310332"/>
      <w:bookmarkEnd w:id="251"/>
      <w:bookmarkStart w:id="252" w:name="_Toc184314437"/>
      <w:bookmarkEnd w:id="252"/>
      <w:bookmarkStart w:id="253" w:name="_Toc184308104"/>
      <w:bookmarkEnd w:id="253"/>
      <w:bookmarkStart w:id="254" w:name="_Toc184312112"/>
      <w:bookmarkEnd w:id="254"/>
      <w:bookmarkStart w:id="255" w:name="_Toc184314414"/>
      <w:bookmarkEnd w:id="255"/>
      <w:bookmarkStart w:id="256" w:name="_Toc184313250"/>
      <w:bookmarkEnd w:id="256"/>
      <w:bookmarkStart w:id="257" w:name="_Toc184308091"/>
      <w:bookmarkEnd w:id="257"/>
      <w:bookmarkStart w:id="258" w:name="_Toc184314440"/>
      <w:bookmarkEnd w:id="258"/>
      <w:bookmarkStart w:id="259" w:name="_Toc184308085"/>
      <w:bookmarkEnd w:id="259"/>
      <w:bookmarkStart w:id="260" w:name="_Toc184313263"/>
      <w:bookmarkEnd w:id="260"/>
      <w:bookmarkStart w:id="261" w:name="_Toc184308107"/>
      <w:bookmarkEnd w:id="261"/>
      <w:bookmarkStart w:id="262" w:name="_Toc184313280"/>
      <w:bookmarkEnd w:id="262"/>
      <w:bookmarkStart w:id="263" w:name="_Toc184312117"/>
      <w:bookmarkEnd w:id="263"/>
      <w:bookmarkStart w:id="264" w:name="_Toc184310343"/>
      <w:bookmarkEnd w:id="264"/>
      <w:bookmarkStart w:id="265" w:name="_Toc184314443"/>
      <w:bookmarkEnd w:id="265"/>
      <w:bookmarkStart w:id="266" w:name="_Toc184310328"/>
      <w:bookmarkEnd w:id="266"/>
      <w:bookmarkStart w:id="267" w:name="_Toc184312129"/>
      <w:bookmarkEnd w:id="267"/>
      <w:bookmarkStart w:id="268" w:name="_Toc184310320"/>
      <w:bookmarkEnd w:id="268"/>
      <w:bookmarkStart w:id="269" w:name="_Toc184314413"/>
      <w:bookmarkEnd w:id="269"/>
      <w:bookmarkStart w:id="270" w:name="_Toc184308074"/>
      <w:bookmarkEnd w:id="270"/>
      <w:bookmarkStart w:id="271" w:name="_Toc184312077"/>
      <w:bookmarkEnd w:id="271"/>
      <w:bookmarkStart w:id="272" w:name="_Toc184312091"/>
      <w:bookmarkEnd w:id="272"/>
      <w:bookmarkStart w:id="273" w:name="_Toc184313258"/>
      <w:bookmarkEnd w:id="273"/>
      <w:bookmarkStart w:id="274" w:name="_Toc184308059"/>
      <w:bookmarkEnd w:id="274"/>
      <w:bookmarkStart w:id="275" w:name="_Toc184310305"/>
      <w:bookmarkEnd w:id="275"/>
      <w:bookmarkStart w:id="276" w:name="_Toc184310316"/>
      <w:bookmarkEnd w:id="276"/>
      <w:bookmarkStart w:id="277" w:name="_Toc184308082"/>
      <w:bookmarkEnd w:id="277"/>
      <w:bookmarkStart w:id="278" w:name="_Toc184313282"/>
      <w:bookmarkEnd w:id="278"/>
      <w:bookmarkStart w:id="279" w:name="_Toc184314434"/>
      <w:bookmarkEnd w:id="279"/>
      <w:bookmarkStart w:id="280" w:name="_Toc184313292"/>
      <w:bookmarkEnd w:id="280"/>
      <w:bookmarkStart w:id="281" w:name="_Toc184313256"/>
      <w:bookmarkEnd w:id="281"/>
      <w:bookmarkStart w:id="282" w:name="_Toc184314447"/>
      <w:bookmarkEnd w:id="282"/>
      <w:bookmarkStart w:id="283" w:name="_Toc184310344"/>
      <w:bookmarkEnd w:id="283"/>
      <w:bookmarkStart w:id="284" w:name="_Toc184312094"/>
      <w:bookmarkEnd w:id="284"/>
      <w:bookmarkStart w:id="285" w:name="_Toc184314431"/>
      <w:bookmarkEnd w:id="285"/>
      <w:bookmarkStart w:id="286" w:name="_Toc184312128"/>
      <w:bookmarkEnd w:id="286"/>
      <w:bookmarkStart w:id="287" w:name="_Toc184314476"/>
      <w:bookmarkEnd w:id="287"/>
      <w:bookmarkStart w:id="288" w:name="_Toc184312136"/>
      <w:bookmarkEnd w:id="288"/>
      <w:bookmarkStart w:id="289" w:name="_Toc184312086"/>
      <w:bookmarkEnd w:id="289"/>
      <w:bookmarkStart w:id="290" w:name="_Toc184314454"/>
      <w:bookmarkEnd w:id="290"/>
      <w:bookmarkStart w:id="291" w:name="_Toc184312116"/>
      <w:bookmarkEnd w:id="291"/>
      <w:bookmarkStart w:id="292" w:name="_Toc184314426"/>
      <w:bookmarkEnd w:id="292"/>
      <w:bookmarkStart w:id="293" w:name="_Toc184312089"/>
      <w:bookmarkEnd w:id="293"/>
      <w:bookmarkStart w:id="294" w:name="_Toc184310335"/>
      <w:bookmarkEnd w:id="294"/>
      <w:bookmarkStart w:id="295" w:name="_Toc184313265"/>
      <w:bookmarkEnd w:id="295"/>
      <w:bookmarkStart w:id="296" w:name="_Toc184310321"/>
      <w:bookmarkEnd w:id="296"/>
      <w:bookmarkStart w:id="297" w:name="_Toc184310294"/>
      <w:bookmarkEnd w:id="297"/>
      <w:bookmarkStart w:id="298" w:name="_Toc184310287"/>
      <w:bookmarkEnd w:id="298"/>
      <w:bookmarkStart w:id="299" w:name="_Toc184313257"/>
      <w:bookmarkEnd w:id="299"/>
      <w:bookmarkStart w:id="300" w:name="_Toc184308038"/>
      <w:bookmarkEnd w:id="300"/>
      <w:bookmarkStart w:id="301" w:name="_Toc184310340"/>
      <w:bookmarkEnd w:id="301"/>
      <w:bookmarkStart w:id="302" w:name="_Toc184313301"/>
      <w:bookmarkEnd w:id="302"/>
      <w:bookmarkStart w:id="303" w:name="_Toc184314416"/>
      <w:bookmarkEnd w:id="303"/>
      <w:bookmarkStart w:id="304" w:name="_Toc184308096"/>
      <w:bookmarkEnd w:id="304"/>
      <w:bookmarkStart w:id="305" w:name="_Toc184308058"/>
      <w:bookmarkEnd w:id="305"/>
      <w:bookmarkStart w:id="306" w:name="_Toc184312090"/>
      <w:bookmarkEnd w:id="306"/>
      <w:bookmarkStart w:id="307" w:name="_Toc184308088"/>
      <w:bookmarkEnd w:id="307"/>
      <w:bookmarkStart w:id="308" w:name="_Toc184313259"/>
      <w:bookmarkEnd w:id="308"/>
      <w:bookmarkStart w:id="309" w:name="_Toc184308048"/>
      <w:bookmarkEnd w:id="309"/>
      <w:bookmarkStart w:id="310" w:name="_Toc184312115"/>
      <w:bookmarkEnd w:id="310"/>
      <w:bookmarkStart w:id="311" w:name="_Toc184314439"/>
      <w:bookmarkEnd w:id="311"/>
      <w:bookmarkStart w:id="312" w:name="_Toc184313248"/>
      <w:bookmarkEnd w:id="312"/>
      <w:bookmarkStart w:id="313" w:name="_Toc184313306"/>
      <w:bookmarkEnd w:id="313"/>
      <w:bookmarkStart w:id="314" w:name="_Toc184313264"/>
      <w:bookmarkEnd w:id="314"/>
      <w:bookmarkStart w:id="315" w:name="_Toc184314451"/>
      <w:bookmarkEnd w:id="315"/>
      <w:bookmarkStart w:id="316" w:name="_Toc184310317"/>
      <w:bookmarkEnd w:id="316"/>
      <w:bookmarkStart w:id="317" w:name="_Toc184312103"/>
      <w:bookmarkEnd w:id="317"/>
      <w:bookmarkStart w:id="318" w:name="_Toc184314438"/>
      <w:bookmarkEnd w:id="318"/>
      <w:bookmarkStart w:id="319" w:name="_Toc184310302"/>
      <w:bookmarkEnd w:id="319"/>
      <w:bookmarkStart w:id="320" w:name="_Toc184314424"/>
      <w:bookmarkEnd w:id="320"/>
      <w:bookmarkStart w:id="321" w:name="_Toc184310326"/>
      <w:bookmarkEnd w:id="321"/>
      <w:bookmarkStart w:id="322" w:name="_Toc184308077"/>
      <w:bookmarkEnd w:id="322"/>
      <w:bookmarkStart w:id="323" w:name="_Toc184310308"/>
      <w:bookmarkEnd w:id="323"/>
      <w:bookmarkStart w:id="324" w:name="_Toc184308069"/>
      <w:bookmarkEnd w:id="324"/>
      <w:bookmarkStart w:id="325" w:name="_Toc184310284"/>
      <w:bookmarkEnd w:id="325"/>
      <w:bookmarkStart w:id="326" w:name="_Toc184310322"/>
      <w:bookmarkEnd w:id="326"/>
      <w:bookmarkStart w:id="327" w:name="_Toc184310319"/>
      <w:bookmarkEnd w:id="327"/>
      <w:bookmarkStart w:id="328" w:name="_Toc184313283"/>
      <w:bookmarkEnd w:id="328"/>
      <w:bookmarkStart w:id="329" w:name="_Toc184314473"/>
      <w:bookmarkEnd w:id="329"/>
      <w:bookmarkStart w:id="330" w:name="_Toc184308049"/>
      <w:bookmarkEnd w:id="330"/>
      <w:bookmarkStart w:id="331" w:name="_Toc184312127"/>
      <w:bookmarkEnd w:id="331"/>
      <w:bookmarkStart w:id="332" w:name="_Toc184308103"/>
      <w:bookmarkEnd w:id="332"/>
      <w:bookmarkStart w:id="333" w:name="_Toc184312126"/>
      <w:bookmarkEnd w:id="333"/>
      <w:bookmarkStart w:id="334" w:name="_Toc184313295"/>
      <w:bookmarkEnd w:id="334"/>
      <w:bookmarkStart w:id="335" w:name="_Toc184312135"/>
      <w:bookmarkEnd w:id="335"/>
      <w:bookmarkStart w:id="336" w:name="_Toc184313278"/>
      <w:bookmarkEnd w:id="336"/>
      <w:bookmarkStart w:id="337" w:name="_Toc184308094"/>
      <w:bookmarkEnd w:id="337"/>
      <w:bookmarkStart w:id="338" w:name="_Toc184314481"/>
      <w:bookmarkEnd w:id="338"/>
      <w:bookmarkStart w:id="339" w:name="_Toc184312111"/>
      <w:bookmarkEnd w:id="339"/>
      <w:bookmarkStart w:id="340" w:name="_Toc184312095"/>
      <w:bookmarkEnd w:id="340"/>
      <w:bookmarkStart w:id="341" w:name="_Toc184314462"/>
      <w:bookmarkEnd w:id="341"/>
      <w:bookmarkStart w:id="342" w:name="_Toc184312123"/>
      <w:bookmarkEnd w:id="342"/>
      <w:bookmarkStart w:id="343" w:name="_Toc184308102"/>
      <w:bookmarkEnd w:id="343"/>
      <w:bookmarkStart w:id="344" w:name="_Toc184314482"/>
      <w:bookmarkEnd w:id="344"/>
      <w:bookmarkStart w:id="345" w:name="_Toc184312106"/>
      <w:bookmarkEnd w:id="345"/>
      <w:bookmarkStart w:id="346" w:name="_Toc184314419"/>
      <w:bookmarkEnd w:id="346"/>
      <w:bookmarkStart w:id="347" w:name="_Toc184313305"/>
      <w:bookmarkEnd w:id="347"/>
      <w:bookmarkStart w:id="348" w:name="_Toc184314445"/>
      <w:bookmarkEnd w:id="348"/>
      <w:bookmarkStart w:id="349" w:name="_Toc184308062"/>
      <w:bookmarkEnd w:id="349"/>
      <w:bookmarkStart w:id="350" w:name="_Toc184314449"/>
      <w:bookmarkEnd w:id="350"/>
      <w:bookmarkStart w:id="351" w:name="_Toc184314458"/>
      <w:bookmarkEnd w:id="351"/>
      <w:bookmarkStart w:id="352" w:name="_Toc184314466"/>
      <w:bookmarkEnd w:id="352"/>
      <w:bookmarkStart w:id="353" w:name="_Toc184314455"/>
      <w:bookmarkEnd w:id="353"/>
      <w:bookmarkStart w:id="354" w:name="_Toc184310342"/>
      <w:bookmarkEnd w:id="354"/>
      <w:bookmarkStart w:id="355" w:name="_Toc184313275"/>
      <w:bookmarkEnd w:id="355"/>
      <w:bookmarkStart w:id="356" w:name="_Toc184312073"/>
      <w:bookmarkEnd w:id="356"/>
      <w:bookmarkStart w:id="357" w:name="_Toc184308076"/>
      <w:bookmarkEnd w:id="357"/>
      <w:bookmarkStart w:id="358" w:name="_Toc184314433"/>
      <w:bookmarkEnd w:id="358"/>
      <w:bookmarkStart w:id="359" w:name="_Toc184310313"/>
      <w:bookmarkEnd w:id="359"/>
      <w:bookmarkStart w:id="360" w:name="_Toc184314457"/>
      <w:bookmarkEnd w:id="360"/>
      <w:bookmarkStart w:id="361" w:name="_Toc184313245"/>
      <w:bookmarkEnd w:id="361"/>
      <w:bookmarkStart w:id="362" w:name="_Toc184312113"/>
      <w:bookmarkEnd w:id="362"/>
      <w:bookmarkStart w:id="363" w:name="_Toc184314411"/>
      <w:bookmarkEnd w:id="363"/>
      <w:bookmarkStart w:id="364" w:name="_Toc184308090"/>
      <w:bookmarkEnd w:id="364"/>
      <w:bookmarkStart w:id="365" w:name="_Toc184308075"/>
      <w:bookmarkEnd w:id="365"/>
      <w:bookmarkStart w:id="366" w:name="_Toc184310331"/>
      <w:bookmarkEnd w:id="366"/>
      <w:bookmarkStart w:id="367" w:name="_Toc184312107"/>
      <w:bookmarkEnd w:id="367"/>
      <w:bookmarkStart w:id="368" w:name="_Toc184308089"/>
      <w:bookmarkEnd w:id="368"/>
      <w:bookmarkStart w:id="369" w:name="_Toc184313239"/>
      <w:bookmarkEnd w:id="369"/>
      <w:bookmarkStart w:id="370" w:name="_Toc184312079"/>
      <w:bookmarkEnd w:id="370"/>
      <w:bookmarkStart w:id="371" w:name="_Toc184308084"/>
      <w:bookmarkEnd w:id="371"/>
      <w:bookmarkStart w:id="372" w:name="_Toc184313255"/>
      <w:bookmarkEnd w:id="372"/>
      <w:bookmarkStart w:id="373" w:name="_Toc184312076"/>
      <w:bookmarkEnd w:id="373"/>
      <w:bookmarkStart w:id="374" w:name="_Toc184313286"/>
      <w:bookmarkEnd w:id="374"/>
      <w:bookmarkStart w:id="375" w:name="_Toc184314452"/>
      <w:bookmarkEnd w:id="375"/>
      <w:bookmarkStart w:id="376" w:name="_Toc184313251"/>
      <w:bookmarkEnd w:id="376"/>
      <w:bookmarkStart w:id="377" w:name="_Toc184308061"/>
      <w:bookmarkEnd w:id="377"/>
      <w:bookmarkStart w:id="378" w:name="_Toc184310339"/>
      <w:bookmarkEnd w:id="378"/>
      <w:bookmarkStart w:id="379" w:name="_Toc184308108"/>
      <w:bookmarkEnd w:id="379"/>
      <w:bookmarkStart w:id="380" w:name="_Toc184310280"/>
      <w:bookmarkEnd w:id="380"/>
      <w:bookmarkStart w:id="381" w:name="_Toc184310309"/>
      <w:bookmarkEnd w:id="381"/>
      <w:bookmarkStart w:id="382" w:name="_Toc184308040"/>
      <w:bookmarkEnd w:id="382"/>
      <w:bookmarkStart w:id="383" w:name="_Toc184313267"/>
      <w:bookmarkEnd w:id="383"/>
      <w:bookmarkStart w:id="384" w:name="_Toc184314461"/>
      <w:bookmarkEnd w:id="384"/>
      <w:bookmarkStart w:id="385" w:name="_Toc184313253"/>
      <w:bookmarkEnd w:id="385"/>
      <w:bookmarkStart w:id="386" w:name="_Toc184310285"/>
      <w:bookmarkEnd w:id="386"/>
      <w:bookmarkStart w:id="387" w:name="_Toc184313246"/>
      <w:bookmarkEnd w:id="387"/>
      <w:bookmarkStart w:id="388" w:name="_Toc184313303"/>
      <w:bookmarkEnd w:id="388"/>
      <w:bookmarkStart w:id="389" w:name="_Toc184313247"/>
      <w:bookmarkEnd w:id="389"/>
      <w:bookmarkStart w:id="390" w:name="_Toc184312108"/>
      <w:bookmarkEnd w:id="390"/>
      <w:bookmarkStart w:id="391" w:name="_Toc184313240"/>
      <w:bookmarkEnd w:id="391"/>
      <w:bookmarkStart w:id="392" w:name="_Toc184312120"/>
      <w:bookmarkEnd w:id="392"/>
      <w:bookmarkStart w:id="393" w:name="_Toc184312074"/>
      <w:bookmarkEnd w:id="393"/>
      <w:bookmarkStart w:id="394" w:name="_Toc184312105"/>
      <w:bookmarkEnd w:id="394"/>
      <w:bookmarkStart w:id="395" w:name="_Toc184312087"/>
      <w:bookmarkEnd w:id="395"/>
      <w:bookmarkStart w:id="396" w:name="_Toc184312119"/>
      <w:bookmarkEnd w:id="396"/>
      <w:r>
        <w:rPr>
          <w:rFonts w:hint="eastAsia" w:ascii="宋体" w:hAnsi="宋体" w:cs="宋体"/>
          <w:b/>
          <w:sz w:val="36"/>
          <w:szCs w:val="36"/>
        </w:rPr>
        <w:t>评标办法</w:t>
      </w:r>
    </w:p>
    <w:p>
      <w:pPr>
        <w:snapToGrid w:val="0"/>
        <w:spacing w:line="360" w:lineRule="auto"/>
        <w:jc w:val="center"/>
        <w:rPr>
          <w:rFonts w:hint="eastAsia" w:ascii="宋体" w:hAnsi="宋体" w:cs="宋体"/>
          <w:b/>
          <w:sz w:val="32"/>
          <w:szCs w:val="20"/>
        </w:rPr>
      </w:pPr>
      <w:r>
        <w:rPr>
          <w:rFonts w:hint="eastAsia" w:ascii="宋体" w:hAnsi="宋体" w:cs="宋体"/>
          <w:b/>
          <w:sz w:val="32"/>
          <w:szCs w:val="20"/>
        </w:rPr>
        <w:t>评标办法前附表</w:t>
      </w:r>
    </w:p>
    <w:tbl>
      <w:tblPr>
        <w:tblStyle w:val="63"/>
        <w:tblW w:w="9200"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832"/>
        <w:gridCol w:w="4769"/>
        <w:gridCol w:w="859"/>
        <w:gridCol w:w="1132"/>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bCs/>
                <w:color w:val="000000"/>
                <w:sz w:val="24"/>
                <w:szCs w:val="24"/>
              </w:rPr>
              <w:t>序号</w:t>
            </w:r>
          </w:p>
        </w:tc>
        <w:tc>
          <w:tcPr>
            <w:tcW w:w="5601" w:type="dxa"/>
            <w:gridSpan w:val="2"/>
            <w:noWrap w:val="0"/>
            <w:vAlign w:val="center"/>
          </w:tcPr>
          <w:p>
            <w:pPr>
              <w:widowControl w:val="0"/>
              <w:wordWrap w:val="0"/>
              <w:adjustRightInd w:val="0"/>
              <w:snapToGrid/>
              <w:spacing w:line="360" w:lineRule="auto"/>
              <w:ind w:firstLine="1560" w:firstLineChars="650"/>
              <w:outlineLvl w:val="0"/>
              <w:rPr>
                <w:rFonts w:hint="eastAsia" w:ascii="宋体" w:hAnsi="宋体" w:eastAsia="宋体" w:cs="宋体"/>
                <w:color w:val="auto"/>
                <w:sz w:val="24"/>
                <w:szCs w:val="24"/>
                <w:highlight w:val="none"/>
              </w:rPr>
            </w:pPr>
            <w:r>
              <w:rPr>
                <w:rFonts w:hint="eastAsia" w:ascii="宋体" w:hAnsi="宋体" w:eastAsia="宋体" w:cs="宋体"/>
                <w:bCs/>
                <w:color w:val="000000"/>
                <w:sz w:val="24"/>
                <w:szCs w:val="24"/>
              </w:rPr>
              <w:t>评标标准</w:t>
            </w:r>
          </w:p>
        </w:tc>
        <w:tc>
          <w:tcPr>
            <w:tcW w:w="859" w:type="dxa"/>
            <w:noWrap w:val="0"/>
            <w:vAlign w:val="center"/>
          </w:tcPr>
          <w:p>
            <w:pPr>
              <w:widowControl w:val="0"/>
              <w:wordWrap w:val="0"/>
              <w:adjustRightInd w:val="0"/>
              <w:snapToGrid/>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bCs/>
                <w:color w:val="000000"/>
                <w:sz w:val="24"/>
                <w:szCs w:val="24"/>
              </w:rPr>
              <w:t>权重</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bCs/>
                <w:color w:val="000000"/>
                <w:sz w:val="24"/>
                <w:szCs w:val="24"/>
              </w:rPr>
              <w:t>主观分/客观分属性</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bCs/>
                <w:color w:val="000000"/>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sz w:val="24"/>
                <w:szCs w:val="24"/>
                <w:highlight w:val="none"/>
                <w:lang w:val="en-US" w:eastAsia="zh-CN"/>
              </w:rPr>
            </w:pPr>
            <w:r>
              <w:rPr>
                <w:rFonts w:hint="eastAsia"/>
              </w:rPr>
              <w:t>一</w:t>
            </w:r>
          </w:p>
        </w:tc>
        <w:tc>
          <w:tcPr>
            <w:tcW w:w="5601" w:type="dxa"/>
            <w:gridSpan w:val="2"/>
            <w:noWrap w:val="0"/>
            <w:vAlign w:val="center"/>
          </w:tcPr>
          <w:p>
            <w:pPr>
              <w:widowControl w:val="0"/>
              <w:wordWrap w:val="0"/>
              <w:adjustRightInd w:val="0"/>
              <w:snapToGrid/>
              <w:spacing w:line="360" w:lineRule="auto"/>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样品评分细则（样品要求风管</w:t>
            </w:r>
            <w:r>
              <w:rPr>
                <w:rFonts w:hint="eastAsia" w:ascii="宋体" w:hAnsi="宋体" w:cs="宋体"/>
                <w:color w:val="auto"/>
                <w:kern w:val="2"/>
                <w:sz w:val="24"/>
                <w:szCs w:val="24"/>
                <w:highlight w:val="none"/>
                <w:lang w:val="en-US" w:eastAsia="zh-CN" w:bidi="ar-SA"/>
              </w:rPr>
              <w:t>防火板</w:t>
            </w:r>
            <w:r>
              <w:rPr>
                <w:rFonts w:hint="eastAsia" w:ascii="宋体" w:hAnsi="宋体" w:eastAsia="宋体" w:cs="宋体"/>
                <w:color w:val="auto"/>
                <w:kern w:val="2"/>
                <w:sz w:val="24"/>
                <w:szCs w:val="24"/>
                <w:highlight w:val="none"/>
                <w:lang w:val="en-US" w:eastAsia="zh-CN" w:bidi="ar-SA"/>
              </w:rPr>
              <w:t>的成品样品</w:t>
            </w:r>
            <w:r>
              <w:rPr>
                <w:rFonts w:hint="eastAsia" w:ascii="宋体" w:hAnsi="宋体" w:cs="宋体"/>
                <w:color w:val="auto"/>
                <w:kern w:val="2"/>
                <w:sz w:val="24"/>
                <w:szCs w:val="24"/>
                <w:highlight w:val="none"/>
                <w:lang w:val="en-US" w:eastAsia="zh-CN" w:bidi="ar-SA"/>
              </w:rPr>
              <w:t>100</w:t>
            </w:r>
            <w:r>
              <w:rPr>
                <w:rFonts w:hint="eastAsia" w:ascii="宋体" w:hAnsi="宋体" w:eastAsia="宋体" w:cs="宋体"/>
                <w:color w:val="auto"/>
                <w:kern w:val="2"/>
                <w:sz w:val="24"/>
                <w:szCs w:val="24"/>
                <w:highlight w:val="none"/>
                <w:lang w:val="en-US" w:eastAsia="zh-CN" w:bidi="ar-SA"/>
              </w:rPr>
              <w:t>cm 一段，至少有一面截断面）：</w:t>
            </w:r>
          </w:p>
          <w:p>
            <w:pPr>
              <w:widowControl w:val="0"/>
              <w:numPr>
                <w:ilvl w:val="0"/>
                <w:numId w:val="2"/>
              </w:numPr>
              <w:wordWrap w:val="0"/>
              <w:adjustRightInd w:val="0"/>
              <w:snapToGrid/>
              <w:spacing w:line="360" w:lineRule="auto"/>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产品的制作质量、工艺水平（0-4分）；</w:t>
            </w:r>
          </w:p>
          <w:p>
            <w:pPr>
              <w:widowControl w:val="0"/>
              <w:numPr>
                <w:ilvl w:val="0"/>
                <w:numId w:val="2"/>
              </w:numPr>
              <w:wordWrap w:val="0"/>
              <w:adjustRightInd w:val="0"/>
              <w:snapToGrid/>
              <w:spacing w:line="360" w:lineRule="auto"/>
              <w:ind w:left="0" w:leftChars="0"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款式是否符合招标文件的要求，外观式样，美观情况（0-3分）；</w:t>
            </w:r>
          </w:p>
          <w:p>
            <w:pPr>
              <w:widowControl w:val="0"/>
              <w:numPr>
                <w:ilvl w:val="0"/>
                <w:numId w:val="2"/>
              </w:numPr>
              <w:wordWrap w:val="0"/>
              <w:adjustRightInd w:val="0"/>
              <w:snapToGrid/>
              <w:spacing w:line="360" w:lineRule="auto"/>
              <w:ind w:left="0" w:leftChars="0"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投标产品选用的主要材料等（0-3分）；</w:t>
            </w:r>
          </w:p>
          <w:p>
            <w:pPr>
              <w:widowControl w:val="0"/>
              <w:numPr>
                <w:ilvl w:val="0"/>
                <w:numId w:val="2"/>
              </w:numPr>
              <w:wordWrap w:val="0"/>
              <w:adjustRightInd w:val="0"/>
              <w:snapToGrid/>
              <w:spacing w:line="360" w:lineRule="auto"/>
              <w:ind w:left="0" w:leftChars="0" w:firstLine="0" w:firstLineChars="0"/>
              <w:jc w:val="both"/>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投标产品其它性能的比较，如成熟性、舒适性、安全性、可维护性（0-4分）。</w:t>
            </w:r>
          </w:p>
          <w:p>
            <w:pPr>
              <w:widowControl w:val="0"/>
              <w:numPr>
                <w:ilvl w:val="0"/>
                <w:numId w:val="0"/>
              </w:numPr>
              <w:wordWrap w:val="0"/>
              <w:adjustRightInd w:val="0"/>
              <w:snapToGrid/>
              <w:spacing w:line="360" w:lineRule="auto"/>
              <w:ind w:leftChars="0"/>
              <w:jc w:val="both"/>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（样品提供不全、外观不符合要求、或技术参数明显不符合招标文件要求的则样品分为0分。）</w:t>
            </w:r>
          </w:p>
        </w:tc>
        <w:tc>
          <w:tcPr>
            <w:tcW w:w="859" w:type="dxa"/>
            <w:noWrap w:val="0"/>
            <w:vAlign w:val="center"/>
          </w:tcPr>
          <w:p>
            <w:pPr>
              <w:widowControl w:val="0"/>
              <w:wordWrap w:val="0"/>
              <w:adjustRightInd w:val="0"/>
              <w:snapToGrid/>
              <w:spacing w:line="360" w:lineRule="auto"/>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color w:val="000000"/>
                <w:sz w:val="24"/>
                <w:szCs w:val="24"/>
              </w:rPr>
              <w:t>主观分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sz w:val="24"/>
                <w:szCs w:val="24"/>
                <w:highlight w:val="none"/>
                <w:lang w:val="en-US" w:eastAsia="zh-CN"/>
              </w:rPr>
            </w:pPr>
            <w:r>
              <w:rPr>
                <w:rFonts w:hint="eastAsia"/>
              </w:rPr>
              <w:t>二</w:t>
            </w:r>
          </w:p>
        </w:tc>
        <w:tc>
          <w:tcPr>
            <w:tcW w:w="5601" w:type="dxa"/>
            <w:gridSpan w:val="2"/>
            <w:noWrap w:val="0"/>
            <w:vAlign w:val="center"/>
          </w:tcPr>
          <w:p>
            <w:pPr>
              <w:widowControl w:val="0"/>
              <w:wordWrap w:val="0"/>
              <w:adjustRightInd w:val="0"/>
              <w:snapToGrid/>
              <w:spacing w:line="360" w:lineRule="auto"/>
              <w:jc w:val="both"/>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产品性能要求：耐火极限不小于1个小时，</w:t>
            </w:r>
            <w:r>
              <w:rPr>
                <w:rFonts w:hint="eastAsia" w:ascii="宋体" w:hAnsi="宋体" w:cs="宋体"/>
                <w:color w:val="auto"/>
                <w:sz w:val="24"/>
                <w:szCs w:val="24"/>
                <w:highlight w:val="none"/>
                <w:lang w:val="en-US" w:eastAsia="zh-CN"/>
              </w:rPr>
              <w:t>防火板</w:t>
            </w:r>
            <w:r>
              <w:rPr>
                <w:rFonts w:hint="eastAsia" w:ascii="宋体" w:hAnsi="宋体" w:eastAsia="宋体" w:cs="宋体"/>
                <w:color w:val="auto"/>
                <w:sz w:val="24"/>
                <w:szCs w:val="24"/>
                <w:highlight w:val="none"/>
              </w:rPr>
              <w:t>厚度不小于</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MM。投标人需提供满足以上产品性能要求的承诺函（格式自拟），提供得5分，不提供不得分。</w:t>
            </w:r>
          </w:p>
        </w:tc>
        <w:tc>
          <w:tcPr>
            <w:tcW w:w="859" w:type="dxa"/>
            <w:noWrap w:val="0"/>
            <w:vAlign w:val="center"/>
          </w:tcPr>
          <w:p>
            <w:pPr>
              <w:widowControl w:val="0"/>
              <w:wordWrap w:val="0"/>
              <w:adjustRightInd w:val="0"/>
              <w:snapToGrid/>
              <w:spacing w:line="360" w:lineRule="auto"/>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cs="宋体"/>
                <w:color w:val="000000"/>
                <w:sz w:val="24"/>
                <w:szCs w:val="24"/>
                <w:highlight w:val="none"/>
                <w:lang w:val="en-US" w:eastAsia="zh-CN"/>
              </w:rPr>
              <w:t>客</w:t>
            </w:r>
            <w:r>
              <w:rPr>
                <w:rFonts w:hint="eastAsia" w:ascii="宋体" w:hAnsi="宋体" w:eastAsia="宋体" w:cs="宋体"/>
                <w:color w:val="000000"/>
                <w:sz w:val="24"/>
                <w:szCs w:val="24"/>
                <w:highlight w:val="none"/>
              </w:rPr>
              <w:t>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sz w:val="24"/>
                <w:szCs w:val="24"/>
                <w:highlight w:val="none"/>
                <w:lang w:val="en-US" w:eastAsia="zh-CN"/>
              </w:rPr>
            </w:pPr>
            <w:r>
              <w:rPr>
                <w:rFonts w:hint="eastAsia"/>
              </w:rPr>
              <w:t>三</w:t>
            </w:r>
          </w:p>
        </w:tc>
        <w:tc>
          <w:tcPr>
            <w:tcW w:w="5601" w:type="dxa"/>
            <w:gridSpan w:val="2"/>
            <w:noWrap w:val="0"/>
            <w:vAlign w:val="center"/>
          </w:tcPr>
          <w:p>
            <w:pPr>
              <w:widowControl w:val="0"/>
              <w:wordWrap w:val="0"/>
              <w:adjustRightInd w:val="0"/>
              <w:snapToGrid/>
              <w:spacing w:line="360" w:lineRule="auto"/>
              <w:jc w:val="both"/>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投标人或生产商提供有效期内的1、国家建筑防火产品安全质量检验检测中心出具的耐火性能检验检测报告（判定依据为：GB/T 17428-2009 《通风管道耐火试验方法》）</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2、国家建筑防火产品安全质量检验检测中心出具的燃烧性能检验检测报告（判定依据为：GB</w:t>
            </w:r>
            <w:r>
              <w:rPr>
                <w:rFonts w:hint="eastAsia" w:ascii="宋体" w:hAnsi="宋体" w:cs="宋体"/>
                <w:color w:val="auto"/>
                <w:sz w:val="24"/>
                <w:szCs w:val="24"/>
                <w:highlight w:val="none"/>
                <w:lang w:val="en-US" w:eastAsia="zh-CN"/>
              </w:rPr>
              <w:t xml:space="preserve"> 6566-2010</w:t>
            </w:r>
            <w:r>
              <w:rPr>
                <w:rFonts w:hint="eastAsia" w:ascii="宋体" w:hAnsi="宋体" w:eastAsia="宋体" w:cs="宋体"/>
                <w:color w:val="auto"/>
                <w:sz w:val="24"/>
                <w:szCs w:val="24"/>
                <w:highlight w:val="none"/>
              </w:rPr>
              <w:t>、GB 8624-2012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HJ/T 223-2005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3、国家建筑防火产品安全质量检验检测中心出具的物理性能检验检测报告（</w:t>
            </w:r>
            <w:r>
              <w:rPr>
                <w:rFonts w:hint="eastAsia" w:ascii="宋体" w:hAnsi="宋体" w:cs="宋体"/>
                <w:color w:val="auto"/>
                <w:sz w:val="24"/>
                <w:szCs w:val="24"/>
                <w:highlight w:val="none"/>
                <w:lang w:val="en-US" w:eastAsia="zh-CN"/>
              </w:rPr>
              <w:t>判定</w:t>
            </w:r>
            <w:r>
              <w:rPr>
                <w:rFonts w:hint="eastAsia" w:ascii="宋体" w:hAnsi="宋体" w:eastAsia="宋体" w:cs="宋体"/>
                <w:color w:val="auto"/>
                <w:sz w:val="24"/>
                <w:szCs w:val="24"/>
                <w:highlight w:val="none"/>
              </w:rPr>
              <w:t>依据为：</w:t>
            </w:r>
            <w:r>
              <w:rPr>
                <w:rFonts w:hint="eastAsia" w:ascii="宋体" w:hAnsi="宋体" w:cs="宋体"/>
                <w:color w:val="auto"/>
                <w:sz w:val="24"/>
                <w:szCs w:val="24"/>
                <w:highlight w:val="none"/>
                <w:lang w:val="en-US" w:eastAsia="zh-CN"/>
              </w:rPr>
              <w:t>JC/T 564.1-2018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每提供一份得3分，最高得9分。提供检测报告复印件或扫描件加盖公章</w:t>
            </w:r>
            <w:r>
              <w:rPr>
                <w:rFonts w:hint="eastAsia" w:ascii="宋体" w:hAnsi="宋体" w:cs="宋体"/>
                <w:color w:val="auto"/>
                <w:sz w:val="24"/>
                <w:szCs w:val="24"/>
                <w:highlight w:val="none"/>
                <w:lang w:eastAsia="zh-CN"/>
              </w:rPr>
              <w:t>。</w:t>
            </w:r>
          </w:p>
        </w:tc>
        <w:tc>
          <w:tcPr>
            <w:tcW w:w="859" w:type="dxa"/>
            <w:noWrap w:val="0"/>
            <w:vAlign w:val="center"/>
          </w:tcPr>
          <w:p>
            <w:pPr>
              <w:widowControl w:val="0"/>
              <w:wordWrap w:val="0"/>
              <w:adjustRightInd w:val="0"/>
              <w:snapToGrid/>
              <w:spacing w:line="360" w:lineRule="auto"/>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cs="宋体"/>
                <w:color w:val="000000"/>
                <w:sz w:val="24"/>
                <w:szCs w:val="24"/>
                <w:highlight w:val="none"/>
                <w:lang w:val="en-US" w:eastAsia="zh-CN"/>
              </w:rPr>
              <w:t>客</w:t>
            </w:r>
            <w:r>
              <w:rPr>
                <w:rFonts w:hint="eastAsia" w:ascii="宋体" w:hAnsi="宋体" w:eastAsia="宋体" w:cs="宋体"/>
                <w:color w:val="000000"/>
                <w:sz w:val="24"/>
                <w:szCs w:val="24"/>
                <w:highlight w:val="none"/>
              </w:rPr>
              <w:t>观分</w:t>
            </w:r>
          </w:p>
        </w:tc>
        <w:tc>
          <w:tcPr>
            <w:tcW w:w="1118" w:type="dxa"/>
            <w:noWrap w:val="0"/>
            <w:vAlign w:val="top"/>
          </w:tcPr>
          <w:p>
            <w:pPr>
              <w:widowControl w:val="0"/>
              <w:wordWrap w:val="0"/>
              <w:adjustRightInd w:val="0"/>
              <w:snapToGrid/>
              <w:spacing w:line="360" w:lineRule="auto"/>
              <w:outlineLvl w:val="0"/>
              <w:rPr>
                <w:rFonts w:hint="default" w:ascii="宋体" w:hAnsi="宋体" w:eastAsia="宋体" w:cs="宋体"/>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rPr>
              <w:t>四</w:t>
            </w:r>
          </w:p>
        </w:tc>
        <w:tc>
          <w:tcPr>
            <w:tcW w:w="5601" w:type="dxa"/>
            <w:gridSpan w:val="2"/>
            <w:noWrap w:val="0"/>
            <w:vAlign w:val="center"/>
          </w:tcPr>
          <w:p>
            <w:pPr>
              <w:widowControl w:val="0"/>
              <w:wordWrap w:val="0"/>
              <w:adjustRightInd w:val="0"/>
              <w:snapToGrid/>
              <w:spacing w:line="360" w:lineRule="auto"/>
              <w:jc w:val="both"/>
              <w:textAlignment w:val="center"/>
              <w:rPr>
                <w:rFonts w:hint="eastAsia" w:ascii="宋体" w:hAnsi="宋体" w:eastAsia="宋体" w:cs="宋体"/>
                <w:b/>
                <w:bCs/>
                <w:color w:val="auto"/>
                <w:sz w:val="24"/>
                <w:szCs w:val="24"/>
                <w:highlight w:val="none"/>
                <w:lang w:val="en-US" w:eastAsia="zh-CN"/>
              </w:rPr>
            </w:pPr>
            <w:r>
              <w:rPr>
                <w:rFonts w:hint="eastAsia" w:ascii="宋体" w:hAnsi="宋体" w:cs="宋体"/>
                <w:color w:val="auto"/>
                <w:kern w:val="0"/>
                <w:sz w:val="24"/>
                <w:szCs w:val="24"/>
                <w:highlight w:val="none"/>
                <w:lang w:val="en-US" w:eastAsia="zh-CN"/>
              </w:rPr>
              <w:t>合理化建议：</w:t>
            </w:r>
            <w:r>
              <w:rPr>
                <w:rFonts w:hint="eastAsia" w:ascii="宋体" w:hAnsi="宋体" w:cs="Times New Roman"/>
                <w:kern w:val="2"/>
                <w:sz w:val="24"/>
                <w:szCs w:val="24"/>
                <w:highlight w:val="none"/>
                <w:lang w:val="en-US" w:eastAsia="zh-CN"/>
              </w:rPr>
              <w:t>针对实施现场的了解程度、项目实施对现场的影响等、项目实施对现场的协调等提出合理化建议，</w:t>
            </w:r>
            <w:r>
              <w:rPr>
                <w:rFonts w:hint="eastAsia" w:ascii="宋体" w:hAnsi="宋体" w:eastAsia="宋体" w:cs="宋体"/>
                <w:color w:val="auto"/>
                <w:kern w:val="0"/>
                <w:sz w:val="24"/>
                <w:szCs w:val="24"/>
                <w:highlight w:val="none"/>
              </w:rPr>
              <w:t xml:space="preserve">方案抓住重点要点，全面、详细、合理，具有针对性得 </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分；方案较为全面、详细、合理，针对性较好得 3</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分；方案针对性一般，重点要点表述一般得 </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分；方案有缺项或不合理或未提供方案不得分。</w:t>
            </w:r>
          </w:p>
        </w:tc>
        <w:tc>
          <w:tcPr>
            <w:tcW w:w="859" w:type="dxa"/>
            <w:noWrap w:val="0"/>
            <w:vAlign w:val="center"/>
          </w:tcPr>
          <w:p>
            <w:pPr>
              <w:widowControl w:val="0"/>
              <w:wordWrap w:val="0"/>
              <w:adjustRightInd w:val="0"/>
              <w:snapToGrid/>
              <w:spacing w:line="360" w:lineRule="auto"/>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color w:val="000000"/>
                <w:sz w:val="24"/>
                <w:szCs w:val="24"/>
              </w:rPr>
              <w:t>主观分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rPr>
              <w:t>五</w:t>
            </w:r>
          </w:p>
        </w:tc>
        <w:tc>
          <w:tcPr>
            <w:tcW w:w="5601" w:type="dxa"/>
            <w:gridSpan w:val="2"/>
            <w:noWrap w:val="0"/>
            <w:vAlign w:val="center"/>
          </w:tcPr>
          <w:p>
            <w:pPr>
              <w:widowControl w:val="0"/>
              <w:wordWrap w:val="0"/>
              <w:adjustRightInd w:val="0"/>
              <w:snapToGrid/>
              <w:spacing w:line="360" w:lineRule="auto"/>
              <w:jc w:val="both"/>
              <w:textAlignment w:val="center"/>
              <w:rPr>
                <w:rFonts w:hint="eastAsia" w:ascii="宋体" w:hAnsi="宋体" w:eastAsia="宋体" w:cs="宋体"/>
                <w:color w:val="auto"/>
                <w:sz w:val="24"/>
                <w:szCs w:val="24"/>
                <w:highlight w:val="none"/>
              </w:rPr>
            </w:pPr>
            <w:r>
              <w:rPr>
                <w:rFonts w:hint="eastAsia" w:ascii="宋体" w:hAnsi="宋体" w:eastAsia="宋体" w:cs="Times New Roman"/>
                <w:kern w:val="2"/>
                <w:sz w:val="24"/>
                <w:szCs w:val="24"/>
              </w:rPr>
              <w:t>项目实施方案</w:t>
            </w:r>
            <w:r>
              <w:rPr>
                <w:rFonts w:hint="eastAsia" w:hAnsi="宋体" w:cs="Times New Roman"/>
                <w:kern w:val="2"/>
                <w:sz w:val="24"/>
                <w:szCs w:val="24"/>
                <w:lang w:eastAsia="zh-CN"/>
              </w:rPr>
              <w:t>：</w:t>
            </w:r>
            <w:r>
              <w:rPr>
                <w:rFonts w:hint="eastAsia" w:ascii="宋体" w:hAnsi="宋体" w:eastAsia="宋体" w:cs="Times New Roman"/>
                <w:kern w:val="2"/>
                <w:sz w:val="24"/>
                <w:szCs w:val="24"/>
              </w:rPr>
              <w:t>包括但不限于总体施工部署、工期供货措施、施工时间进度、运输计划安排、现场安装管理计划是否合理、是否全面、是否可执行等，完全符合得</w:t>
            </w:r>
            <w:r>
              <w:rPr>
                <w:rFonts w:hint="eastAsia" w:hAnsi="宋体" w:cs="Times New Roman"/>
                <w:kern w:val="2"/>
                <w:sz w:val="24"/>
                <w:szCs w:val="24"/>
                <w:lang w:val="en-US" w:eastAsia="zh-CN"/>
              </w:rPr>
              <w:t>5</w:t>
            </w:r>
            <w:r>
              <w:rPr>
                <w:rFonts w:hint="eastAsia" w:ascii="宋体" w:hAnsi="宋体" w:eastAsia="宋体" w:cs="Times New Roman"/>
                <w:kern w:val="2"/>
                <w:sz w:val="24"/>
                <w:szCs w:val="24"/>
              </w:rPr>
              <w:t>分，基本符合得3分，部分符合得1分，不符合得0分；</w:t>
            </w:r>
          </w:p>
        </w:tc>
        <w:tc>
          <w:tcPr>
            <w:tcW w:w="859" w:type="dxa"/>
            <w:noWrap w:val="0"/>
            <w:vAlign w:val="center"/>
          </w:tcPr>
          <w:p>
            <w:pPr>
              <w:widowControl w:val="0"/>
              <w:wordWrap w:val="0"/>
              <w:adjustRightInd w:val="0"/>
              <w:snapToGrid/>
              <w:spacing w:line="360" w:lineRule="auto"/>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color w:val="000000"/>
                <w:sz w:val="24"/>
                <w:szCs w:val="24"/>
              </w:rPr>
              <w:t>主观分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rPr>
              <w:t>六</w:t>
            </w:r>
          </w:p>
        </w:tc>
        <w:tc>
          <w:tcPr>
            <w:tcW w:w="5601" w:type="dxa"/>
            <w:gridSpan w:val="2"/>
            <w:noWrap w:val="0"/>
            <w:vAlign w:val="top"/>
          </w:tcPr>
          <w:p>
            <w:pPr>
              <w:widowControl w:val="0"/>
              <w:wordWrap w:val="0"/>
              <w:adjustRightInd w:val="0"/>
              <w:snapToGrid/>
              <w:spacing w:line="360" w:lineRule="auto"/>
              <w:jc w:val="left"/>
              <w:textAlignment w:val="top"/>
              <w:rPr>
                <w:rFonts w:hint="eastAsia" w:ascii="宋体" w:hAnsi="宋体" w:eastAsia="宋体" w:cs="宋体"/>
                <w:b/>
                <w:bCs/>
                <w:color w:val="auto"/>
                <w:sz w:val="24"/>
                <w:szCs w:val="24"/>
                <w:highlight w:val="none"/>
                <w:lang w:eastAsia="zh-CN"/>
              </w:rPr>
            </w:pPr>
            <w:r>
              <w:rPr>
                <w:rFonts w:hint="eastAsia" w:ascii="宋体" w:hAnsi="宋体" w:eastAsia="宋体" w:cs="Times New Roman"/>
                <w:kern w:val="2"/>
                <w:sz w:val="24"/>
                <w:szCs w:val="24"/>
              </w:rPr>
              <w:t>质量保障</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根据各投标人人员安排、质量保证目标、质量保证措施是否科学性、合理性等，完全符合得</w:t>
            </w:r>
            <w:r>
              <w:rPr>
                <w:rFonts w:hint="eastAsia" w:ascii="宋体" w:hAnsi="宋体" w:cs="Times New Roman"/>
                <w:kern w:val="2"/>
                <w:sz w:val="24"/>
                <w:szCs w:val="24"/>
                <w:lang w:val="en-US" w:eastAsia="zh-CN"/>
              </w:rPr>
              <w:t>5</w:t>
            </w:r>
            <w:r>
              <w:rPr>
                <w:rFonts w:hint="eastAsia" w:ascii="宋体" w:hAnsi="宋体" w:eastAsia="宋体" w:cs="Times New Roman"/>
                <w:kern w:val="2"/>
                <w:sz w:val="24"/>
                <w:szCs w:val="24"/>
              </w:rPr>
              <w:t>分，基本符合得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分，部分符合得1分，不符合得0分；</w:t>
            </w:r>
          </w:p>
        </w:tc>
        <w:tc>
          <w:tcPr>
            <w:tcW w:w="859" w:type="dxa"/>
            <w:noWrap w:val="0"/>
            <w:vAlign w:val="center"/>
          </w:tcPr>
          <w:p>
            <w:pPr>
              <w:widowControl w:val="0"/>
              <w:wordWrap w:val="0"/>
              <w:adjustRightInd w:val="0"/>
              <w:snapToGrid/>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color w:val="000000"/>
                <w:sz w:val="24"/>
                <w:szCs w:val="24"/>
              </w:rPr>
              <w:t>主观分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rPr>
              <w:t>七</w:t>
            </w:r>
          </w:p>
        </w:tc>
        <w:tc>
          <w:tcPr>
            <w:tcW w:w="5601" w:type="dxa"/>
            <w:gridSpan w:val="2"/>
            <w:noWrap w:val="0"/>
            <w:vAlign w:val="top"/>
          </w:tcPr>
          <w:p>
            <w:pPr>
              <w:widowControl w:val="0"/>
              <w:wordWrap w:val="0"/>
              <w:adjustRightInd w:val="0"/>
              <w:snapToGrid/>
              <w:spacing w:line="360" w:lineRule="auto"/>
              <w:outlineLvl w:val="0"/>
              <w:rPr>
                <w:rFonts w:hint="eastAsia" w:ascii="宋体" w:hAnsi="宋体" w:eastAsia="宋体" w:cs="宋体"/>
                <w:color w:val="auto"/>
                <w:sz w:val="24"/>
                <w:szCs w:val="24"/>
                <w:highlight w:val="none"/>
              </w:rPr>
            </w:pPr>
            <w:r>
              <w:rPr>
                <w:rFonts w:hint="eastAsia" w:ascii="宋体" w:hAnsi="宋体" w:eastAsia="宋体" w:cs="Times New Roman"/>
                <w:kern w:val="2"/>
                <w:sz w:val="24"/>
                <w:szCs w:val="24"/>
              </w:rPr>
              <w:t>安全保障</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是否具有明确可行的安全文明保证措施，是否有详细可行的实施计划安排等，完全符合得</w:t>
            </w:r>
            <w:r>
              <w:rPr>
                <w:rFonts w:hint="eastAsia" w:ascii="宋体" w:hAnsi="宋体" w:cs="Times New Roman"/>
                <w:kern w:val="2"/>
                <w:sz w:val="24"/>
                <w:szCs w:val="24"/>
                <w:lang w:val="en-US" w:eastAsia="zh-CN"/>
              </w:rPr>
              <w:t>5</w:t>
            </w:r>
            <w:r>
              <w:rPr>
                <w:rFonts w:hint="eastAsia" w:ascii="宋体" w:hAnsi="宋体" w:eastAsia="宋体" w:cs="Times New Roman"/>
                <w:kern w:val="2"/>
                <w:sz w:val="24"/>
                <w:szCs w:val="24"/>
              </w:rPr>
              <w:t>分，基本符合得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分，部分符合得1分，不符合得0分；</w:t>
            </w:r>
          </w:p>
        </w:tc>
        <w:tc>
          <w:tcPr>
            <w:tcW w:w="859" w:type="dxa"/>
            <w:noWrap w:val="0"/>
            <w:vAlign w:val="center"/>
          </w:tcPr>
          <w:p>
            <w:pPr>
              <w:widowControl w:val="0"/>
              <w:wordWrap w:val="0"/>
              <w:adjustRightInd w:val="0"/>
              <w:snapToGrid/>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32" w:type="dxa"/>
            <w:noWrap w:val="0"/>
            <w:vAlign w:val="center"/>
          </w:tcPr>
          <w:p>
            <w:pPr>
              <w:widowControl w:val="0"/>
              <w:wordWrap w:val="0"/>
              <w:adjustRightInd w:val="0"/>
              <w:snapToGrid/>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color w:val="000000"/>
                <w:sz w:val="24"/>
                <w:szCs w:val="24"/>
              </w:rPr>
              <w:t>主观分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rPr>
              <w:t>八</w:t>
            </w:r>
          </w:p>
        </w:tc>
        <w:tc>
          <w:tcPr>
            <w:tcW w:w="5601" w:type="dxa"/>
            <w:gridSpan w:val="2"/>
            <w:noWrap w:val="0"/>
            <w:vAlign w:val="top"/>
          </w:tcPr>
          <w:p>
            <w:pPr>
              <w:widowControl w:val="0"/>
              <w:wordWrap w:val="0"/>
              <w:adjustRightInd w:val="0"/>
              <w:snapToGrid/>
              <w:spacing w:line="360" w:lineRule="auto"/>
              <w:rPr>
                <w:rFonts w:hint="eastAsia" w:ascii="宋体" w:hAnsi="宋体" w:eastAsia="宋体" w:cs="宋体"/>
                <w:color w:val="auto"/>
                <w:sz w:val="24"/>
                <w:szCs w:val="24"/>
                <w:highlight w:val="none"/>
              </w:rPr>
            </w:pPr>
            <w:r>
              <w:rPr>
                <w:rFonts w:hint="eastAsia" w:ascii="宋体" w:hAnsi="宋体" w:eastAsia="宋体" w:cs="Times New Roman"/>
                <w:kern w:val="2"/>
                <w:sz w:val="24"/>
                <w:szCs w:val="24"/>
              </w:rPr>
              <w:t>性能保证</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根据对投标产品或材料的适用性及结构安全稳定性保证及说明，完全符合得</w:t>
            </w:r>
            <w:r>
              <w:rPr>
                <w:rFonts w:hint="eastAsia" w:ascii="宋体" w:hAnsi="宋体" w:cs="Times New Roman"/>
                <w:kern w:val="2"/>
                <w:sz w:val="24"/>
                <w:szCs w:val="24"/>
                <w:lang w:val="en-US" w:eastAsia="zh-CN"/>
              </w:rPr>
              <w:t>5</w:t>
            </w:r>
            <w:r>
              <w:rPr>
                <w:rFonts w:hint="eastAsia" w:ascii="宋体" w:hAnsi="宋体" w:eastAsia="宋体" w:cs="Times New Roman"/>
                <w:kern w:val="2"/>
                <w:sz w:val="24"/>
                <w:szCs w:val="24"/>
              </w:rPr>
              <w:t>分，基本符合得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分，部分符合得1分，不符合得0分；</w:t>
            </w:r>
          </w:p>
        </w:tc>
        <w:tc>
          <w:tcPr>
            <w:tcW w:w="859" w:type="dxa"/>
            <w:noWrap w:val="0"/>
            <w:vAlign w:val="center"/>
          </w:tcPr>
          <w:p>
            <w:pPr>
              <w:widowControl w:val="0"/>
              <w:wordWrap w:val="0"/>
              <w:adjustRightInd w:val="0"/>
              <w:snapToGrid/>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color w:val="000000"/>
                <w:sz w:val="24"/>
                <w:szCs w:val="24"/>
              </w:rPr>
              <w:t>主观分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490" w:type="dxa"/>
            <w:noWrap w:val="0"/>
            <w:vAlign w:val="center"/>
          </w:tcPr>
          <w:p>
            <w:pPr>
              <w:widowControl w:val="0"/>
              <w:wordWrap w:val="0"/>
              <w:adjustRightInd w:val="0"/>
              <w:snapToGrid/>
              <w:spacing w:line="360" w:lineRule="auto"/>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bCs/>
                <w:color w:val="000000"/>
                <w:sz w:val="24"/>
                <w:szCs w:val="24"/>
                <w:lang w:val="en-US" w:eastAsia="zh-CN"/>
              </w:rPr>
              <w:t>九</w:t>
            </w:r>
          </w:p>
        </w:tc>
        <w:tc>
          <w:tcPr>
            <w:tcW w:w="5601" w:type="dxa"/>
            <w:gridSpan w:val="2"/>
            <w:noWrap w:val="0"/>
            <w:vAlign w:val="top"/>
          </w:tcPr>
          <w:p>
            <w:pPr>
              <w:widowControl w:val="0"/>
              <w:wordWrap w:val="0"/>
              <w:adjustRightInd w:val="0"/>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Times New Roman"/>
                <w:kern w:val="2"/>
                <w:sz w:val="24"/>
                <w:szCs w:val="24"/>
              </w:rPr>
              <w:t>售后服务方案</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服务承诺是否可行性、完整性；服务承诺落实的保障措施；质保期内外的后续技术支持；维护能力是否合理性、全面性、可执行性。完全符合得</w:t>
            </w:r>
            <w:r>
              <w:rPr>
                <w:rFonts w:hint="eastAsia" w:ascii="宋体" w:hAnsi="宋体" w:cs="Times New Roman"/>
                <w:kern w:val="2"/>
                <w:sz w:val="24"/>
                <w:szCs w:val="24"/>
                <w:lang w:val="en-US" w:eastAsia="zh-CN"/>
              </w:rPr>
              <w:t>5</w:t>
            </w:r>
            <w:r>
              <w:rPr>
                <w:rFonts w:hint="eastAsia" w:ascii="宋体" w:hAnsi="宋体" w:eastAsia="宋体" w:cs="Times New Roman"/>
                <w:kern w:val="2"/>
                <w:sz w:val="24"/>
                <w:szCs w:val="24"/>
              </w:rPr>
              <w:t>分，基本符合得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分，部分符合得1分，不符合得0分；</w:t>
            </w:r>
          </w:p>
        </w:tc>
        <w:tc>
          <w:tcPr>
            <w:tcW w:w="859" w:type="dxa"/>
            <w:noWrap w:val="0"/>
            <w:vAlign w:val="center"/>
          </w:tcPr>
          <w:p>
            <w:pPr>
              <w:widowControl w:val="0"/>
              <w:wordWrap w:val="0"/>
              <w:adjustRightInd w:val="0"/>
              <w:snapToGrid/>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color w:val="000000"/>
                <w:sz w:val="24"/>
                <w:szCs w:val="24"/>
              </w:rPr>
              <w:t>主观分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490" w:type="dxa"/>
            <w:noWrap w:val="0"/>
            <w:vAlign w:val="center"/>
          </w:tcPr>
          <w:p>
            <w:pPr>
              <w:widowControl w:val="0"/>
              <w:wordWrap w:val="0"/>
              <w:adjustRightInd w:val="0"/>
              <w:snapToGrid/>
              <w:spacing w:line="360" w:lineRule="auto"/>
              <w:jc w:val="center"/>
              <w:outlineLvl w:val="0"/>
              <w:rPr>
                <w:rFonts w:hint="default" w:ascii="宋体" w:hAnsi="宋体" w:cs="宋体"/>
                <w:bCs/>
                <w:color w:val="000000"/>
                <w:sz w:val="24"/>
                <w:szCs w:val="24"/>
                <w:lang w:val="en-US" w:eastAsia="zh-CN"/>
              </w:rPr>
            </w:pPr>
            <w:r>
              <w:rPr>
                <w:rFonts w:hint="eastAsia" w:ascii="宋体" w:hAnsi="宋体" w:cs="宋体"/>
                <w:bCs/>
                <w:color w:val="000000"/>
                <w:sz w:val="24"/>
                <w:szCs w:val="24"/>
                <w:lang w:val="en-US" w:eastAsia="zh-CN"/>
              </w:rPr>
              <w:t>十</w:t>
            </w:r>
          </w:p>
        </w:tc>
        <w:tc>
          <w:tcPr>
            <w:tcW w:w="5601" w:type="dxa"/>
            <w:gridSpan w:val="2"/>
            <w:noWrap w:val="0"/>
            <w:vAlign w:val="top"/>
          </w:tcPr>
          <w:p>
            <w:pPr>
              <w:widowControl w:val="0"/>
              <w:wordWrap w:val="0"/>
              <w:adjustRightInd w:val="0"/>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Times New Roman"/>
                <w:kern w:val="2"/>
                <w:sz w:val="24"/>
                <w:szCs w:val="24"/>
              </w:rPr>
              <w:t>投标人或生产商</w:t>
            </w:r>
            <w:r>
              <w:rPr>
                <w:rFonts w:hint="eastAsia" w:ascii="宋体" w:hAnsi="宋体" w:cs="宋体"/>
                <w:sz w:val="24"/>
                <w:highlight w:val="none"/>
                <w:lang w:val="en-US" w:eastAsia="zh-CN"/>
              </w:rPr>
              <w:t>通过ISO系列的质量管理体系认证、职业健康安全管理体系认证、环境管理体系认证。每有一个得3分，</w:t>
            </w:r>
            <w:r>
              <w:rPr>
                <w:rFonts w:hint="eastAsia" w:ascii="宋体" w:hAnsi="宋体" w:cs="宋体"/>
                <w:sz w:val="24"/>
                <w:highlight w:val="none"/>
              </w:rPr>
              <w:t>此项最高得</w:t>
            </w:r>
            <w:r>
              <w:rPr>
                <w:rFonts w:hint="eastAsia" w:ascii="宋体" w:hAnsi="宋体" w:cs="宋体"/>
                <w:sz w:val="24"/>
                <w:highlight w:val="none"/>
                <w:lang w:val="en-US" w:eastAsia="zh-CN"/>
              </w:rPr>
              <w:t>9</w:t>
            </w:r>
            <w:r>
              <w:rPr>
                <w:rFonts w:hint="eastAsia" w:ascii="宋体" w:hAnsi="宋体" w:cs="宋体"/>
                <w:sz w:val="24"/>
                <w:highlight w:val="none"/>
              </w:rPr>
              <w:t>分。（提供有效期内的证书复印件加盖公章）</w:t>
            </w:r>
          </w:p>
        </w:tc>
        <w:tc>
          <w:tcPr>
            <w:tcW w:w="859" w:type="dxa"/>
            <w:noWrap w:val="0"/>
            <w:vAlign w:val="center"/>
          </w:tcPr>
          <w:p>
            <w:pPr>
              <w:widowControl w:val="0"/>
              <w:wordWrap w:val="0"/>
              <w:adjustRightInd w:val="0"/>
              <w:snapToGrid/>
              <w:spacing w:line="360" w:lineRule="auto"/>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color w:val="000000"/>
                <w:sz w:val="24"/>
                <w:szCs w:val="24"/>
                <w:highlight w:val="none"/>
                <w:lang w:val="en-US" w:eastAsia="zh-CN"/>
              </w:rPr>
              <w:t>客</w:t>
            </w:r>
            <w:r>
              <w:rPr>
                <w:rFonts w:hint="eastAsia" w:ascii="宋体" w:hAnsi="宋体" w:eastAsia="宋体" w:cs="宋体"/>
                <w:color w:val="000000"/>
                <w:sz w:val="24"/>
                <w:szCs w:val="24"/>
                <w:highlight w:val="none"/>
              </w:rPr>
              <w:t>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490" w:type="dxa"/>
            <w:noWrap w:val="0"/>
            <w:vAlign w:val="center"/>
          </w:tcPr>
          <w:p>
            <w:pPr>
              <w:widowControl w:val="0"/>
              <w:wordWrap w:val="0"/>
              <w:adjustRightInd w:val="0"/>
              <w:snapToGrid/>
              <w:spacing w:line="360" w:lineRule="auto"/>
              <w:jc w:val="center"/>
              <w:outlineLvl w:val="0"/>
              <w:rPr>
                <w:rFonts w:hint="default" w:ascii="宋体" w:hAnsi="宋体" w:cs="宋体"/>
                <w:bCs/>
                <w:color w:val="000000"/>
                <w:sz w:val="24"/>
                <w:szCs w:val="24"/>
                <w:lang w:val="en-US" w:eastAsia="zh-CN"/>
              </w:rPr>
            </w:pPr>
            <w:r>
              <w:rPr>
                <w:rFonts w:hint="eastAsia" w:ascii="宋体" w:hAnsi="宋体" w:cs="宋体"/>
                <w:bCs/>
                <w:color w:val="000000"/>
                <w:sz w:val="24"/>
                <w:szCs w:val="24"/>
                <w:lang w:val="en-US" w:eastAsia="zh-CN"/>
              </w:rPr>
              <w:t>十一</w:t>
            </w:r>
          </w:p>
        </w:tc>
        <w:tc>
          <w:tcPr>
            <w:tcW w:w="5601" w:type="dxa"/>
            <w:gridSpan w:val="2"/>
            <w:noWrap w:val="0"/>
            <w:vAlign w:val="top"/>
          </w:tcPr>
          <w:p>
            <w:pPr>
              <w:widowControl w:val="0"/>
              <w:wordWrap w:val="0"/>
              <w:adjustRightInd w:val="0"/>
              <w:snapToGrid/>
              <w:spacing w:line="360" w:lineRule="auto"/>
              <w:jc w:val="left"/>
              <w:rPr>
                <w:rFonts w:hint="eastAsia" w:ascii="宋体" w:hAnsi="宋体" w:eastAsia="宋体" w:cs="宋体"/>
                <w:color w:val="auto"/>
                <w:sz w:val="24"/>
                <w:szCs w:val="24"/>
                <w:highlight w:val="none"/>
              </w:rPr>
            </w:pPr>
            <w:r>
              <w:rPr>
                <w:rFonts w:hint="eastAsia" w:ascii="宋体" w:hAnsi="宋体" w:eastAsia="宋体" w:cs="Times New Roman"/>
                <w:kern w:val="2"/>
                <w:sz w:val="24"/>
                <w:szCs w:val="24"/>
              </w:rPr>
              <w:t>投标人业绩案例</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20</w:t>
            </w:r>
            <w:r>
              <w:rPr>
                <w:rFonts w:hint="eastAsia" w:ascii="宋体" w:hAnsi="宋体" w:cs="Times New Roman"/>
                <w:kern w:val="2"/>
                <w:sz w:val="24"/>
                <w:szCs w:val="24"/>
                <w:lang w:val="en-US" w:eastAsia="zh-CN"/>
              </w:rPr>
              <w:t>19</w:t>
            </w:r>
            <w:r>
              <w:rPr>
                <w:rFonts w:hint="eastAsia" w:ascii="宋体" w:hAnsi="宋体" w:eastAsia="宋体" w:cs="Times New Roman"/>
                <w:kern w:val="2"/>
                <w:sz w:val="24"/>
                <w:szCs w:val="24"/>
              </w:rPr>
              <w:t>年</w:t>
            </w:r>
            <w:r>
              <w:rPr>
                <w:rFonts w:hint="eastAsia" w:ascii="宋体" w:hAnsi="宋体" w:cs="Times New Roman"/>
                <w:kern w:val="2"/>
                <w:sz w:val="24"/>
                <w:szCs w:val="24"/>
                <w:lang w:val="en-US" w:eastAsia="zh-CN"/>
              </w:rPr>
              <w:t>1</w:t>
            </w:r>
            <w:r>
              <w:rPr>
                <w:rFonts w:hint="eastAsia" w:ascii="宋体" w:hAnsi="宋体" w:eastAsia="宋体" w:cs="Times New Roman"/>
                <w:kern w:val="2"/>
                <w:sz w:val="24"/>
                <w:szCs w:val="24"/>
              </w:rPr>
              <w:t>月1日（含）以来，完成类似</w:t>
            </w:r>
            <w:r>
              <w:rPr>
                <w:rFonts w:hint="eastAsia" w:ascii="宋体" w:hAnsi="宋体" w:cs="Times New Roman"/>
                <w:kern w:val="2"/>
                <w:sz w:val="24"/>
                <w:szCs w:val="24"/>
                <w:lang w:val="en-US" w:eastAsia="zh-CN"/>
              </w:rPr>
              <w:t>耐火材料销售施工</w:t>
            </w:r>
            <w:r>
              <w:rPr>
                <w:rFonts w:hint="eastAsia" w:ascii="宋体" w:hAnsi="宋体" w:eastAsia="宋体" w:cs="Times New Roman"/>
                <w:kern w:val="2"/>
                <w:sz w:val="24"/>
                <w:szCs w:val="24"/>
              </w:rPr>
              <w:t>项目的合同，有1个得</w:t>
            </w:r>
            <w:r>
              <w:rPr>
                <w:rFonts w:hint="eastAsia" w:ascii="宋体" w:hAnsi="宋体" w:cs="Times New Roman"/>
                <w:kern w:val="2"/>
                <w:sz w:val="24"/>
                <w:szCs w:val="24"/>
                <w:lang w:val="en-US" w:eastAsia="zh-CN"/>
              </w:rPr>
              <w:t>1</w:t>
            </w:r>
            <w:r>
              <w:rPr>
                <w:rFonts w:hint="eastAsia" w:ascii="宋体" w:hAnsi="宋体" w:eastAsia="宋体" w:cs="Times New Roman"/>
                <w:kern w:val="2"/>
                <w:sz w:val="24"/>
                <w:szCs w:val="24"/>
              </w:rPr>
              <w:t>分，最高得</w:t>
            </w:r>
            <w:r>
              <w:rPr>
                <w:rFonts w:hint="eastAsia" w:ascii="宋体" w:hAnsi="宋体" w:cs="Times New Roman"/>
                <w:kern w:val="2"/>
                <w:sz w:val="24"/>
                <w:szCs w:val="24"/>
                <w:lang w:val="en-US" w:eastAsia="zh-CN"/>
              </w:rPr>
              <w:t>3</w:t>
            </w:r>
            <w:r>
              <w:rPr>
                <w:rFonts w:hint="eastAsia" w:ascii="宋体" w:hAnsi="宋体" w:eastAsia="宋体" w:cs="Times New Roman"/>
                <w:kern w:val="2"/>
                <w:sz w:val="24"/>
                <w:szCs w:val="24"/>
              </w:rPr>
              <w:t>分。（以合同签订时间为准，投标文件中提供合同扫描件加盖投标人公章</w:t>
            </w:r>
            <w:r>
              <w:rPr>
                <w:rFonts w:hint="eastAsia" w:ascii="宋体" w:hAnsi="宋体" w:cs="Times New Roman"/>
                <w:kern w:val="2"/>
                <w:sz w:val="24"/>
                <w:szCs w:val="24"/>
                <w:lang w:eastAsia="zh-CN"/>
              </w:rPr>
              <w:t>。</w:t>
            </w:r>
            <w:r>
              <w:rPr>
                <w:rFonts w:hint="eastAsia" w:ascii="宋体" w:hAnsi="宋体" w:eastAsia="宋体" w:cs="Times New Roman"/>
                <w:kern w:val="2"/>
                <w:sz w:val="24"/>
                <w:szCs w:val="24"/>
              </w:rPr>
              <w:t>）</w:t>
            </w:r>
          </w:p>
        </w:tc>
        <w:tc>
          <w:tcPr>
            <w:tcW w:w="859" w:type="dxa"/>
            <w:noWrap w:val="0"/>
            <w:vAlign w:val="center"/>
          </w:tcPr>
          <w:p>
            <w:pPr>
              <w:widowControl w:val="0"/>
              <w:wordWrap w:val="0"/>
              <w:adjustRightInd w:val="0"/>
              <w:snapToGrid/>
              <w:spacing w:line="360" w:lineRule="auto"/>
              <w:jc w:val="center"/>
              <w:textAlignment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p>
        </w:tc>
        <w:tc>
          <w:tcPr>
            <w:tcW w:w="1132" w:type="dxa"/>
            <w:noWrap w:val="0"/>
            <w:vAlign w:val="center"/>
          </w:tcPr>
          <w:p>
            <w:pPr>
              <w:widowControl w:val="0"/>
              <w:wordWrap w:val="0"/>
              <w:adjustRightInd w:val="0"/>
              <w:snapToGrid/>
              <w:spacing w:line="360" w:lineRule="auto"/>
              <w:jc w:val="center"/>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color w:val="000000"/>
                <w:sz w:val="24"/>
                <w:szCs w:val="24"/>
                <w:highlight w:val="none"/>
                <w:lang w:val="en-US" w:eastAsia="zh-CN"/>
              </w:rPr>
              <w:t>客</w:t>
            </w:r>
            <w:r>
              <w:rPr>
                <w:rFonts w:hint="eastAsia" w:ascii="宋体" w:hAnsi="宋体" w:eastAsia="宋体" w:cs="宋体"/>
                <w:color w:val="000000"/>
                <w:sz w:val="24"/>
                <w:szCs w:val="24"/>
                <w:highlight w:val="none"/>
              </w:rPr>
              <w:t>观分</w:t>
            </w:r>
          </w:p>
        </w:tc>
        <w:tc>
          <w:tcPr>
            <w:tcW w:w="1118" w:type="dxa"/>
            <w:noWrap w:val="0"/>
            <w:vAlign w:val="top"/>
          </w:tcPr>
          <w:p>
            <w:pPr>
              <w:widowControl w:val="0"/>
              <w:wordWrap w:val="0"/>
              <w:adjustRightInd w:val="0"/>
              <w:snapToGrid/>
              <w:spacing w:line="360" w:lineRule="auto"/>
              <w:outlineLvl w:val="0"/>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noWrap w:val="0"/>
            <w:vAlign w:val="center"/>
          </w:tcPr>
          <w:p>
            <w:pPr>
              <w:widowControl w:val="0"/>
              <w:wordWrap/>
              <w:snapToGrid w:val="0"/>
              <w:spacing w:line="400" w:lineRule="exact"/>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十二</w:t>
            </w:r>
          </w:p>
        </w:tc>
        <w:tc>
          <w:tcPr>
            <w:tcW w:w="832" w:type="dxa"/>
            <w:noWrap w:val="0"/>
            <w:vAlign w:val="top"/>
          </w:tcPr>
          <w:p>
            <w:pPr>
              <w:widowControl w:val="0"/>
              <w:wordWrap/>
              <w:spacing w:line="400" w:lineRule="exact"/>
              <w:jc w:val="center"/>
              <w:textAlignment w:val="auto"/>
              <w:outlineLvl w:val="0"/>
              <w:rPr>
                <w:rFonts w:hint="eastAsia" w:ascii="宋体" w:hAnsi="宋体" w:eastAsia="宋体" w:cs="宋体"/>
                <w:color w:val="auto"/>
                <w:sz w:val="24"/>
                <w:szCs w:val="24"/>
                <w:highlight w:val="none"/>
                <w:lang w:val="en-US" w:eastAsia="zh-CN"/>
              </w:rPr>
            </w:pPr>
          </w:p>
          <w:p>
            <w:pPr>
              <w:widowControl w:val="0"/>
              <w:wordWrap/>
              <w:spacing w:line="400" w:lineRule="exact"/>
              <w:jc w:val="center"/>
              <w:textAlignment w:val="auto"/>
              <w:outlineLvl w:val="0"/>
              <w:rPr>
                <w:rFonts w:hint="eastAsia" w:ascii="宋体" w:hAnsi="宋体" w:eastAsia="宋体" w:cs="宋体"/>
                <w:color w:val="auto"/>
                <w:sz w:val="24"/>
                <w:szCs w:val="24"/>
                <w:highlight w:val="none"/>
                <w:lang w:val="en-US" w:eastAsia="zh-CN"/>
              </w:rPr>
            </w:pPr>
          </w:p>
          <w:p>
            <w:pPr>
              <w:widowControl w:val="0"/>
              <w:wordWrap/>
              <w:spacing w:line="400" w:lineRule="exact"/>
              <w:jc w:val="center"/>
              <w:textAlignment w:val="auto"/>
              <w:outlineLvl w:val="0"/>
              <w:rPr>
                <w:rFonts w:hint="eastAsia" w:ascii="宋体" w:hAnsi="宋体" w:eastAsia="宋体" w:cs="宋体"/>
                <w:color w:val="auto"/>
                <w:sz w:val="24"/>
                <w:szCs w:val="24"/>
                <w:highlight w:val="none"/>
                <w:lang w:val="en-US" w:eastAsia="zh-CN"/>
              </w:rPr>
            </w:pPr>
          </w:p>
          <w:p>
            <w:pPr>
              <w:widowControl w:val="0"/>
              <w:wordWrap/>
              <w:spacing w:line="40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报价</w:t>
            </w:r>
          </w:p>
        </w:tc>
        <w:tc>
          <w:tcPr>
            <w:tcW w:w="4769" w:type="dxa"/>
            <w:noWrap w:val="0"/>
            <w:vAlign w:val="top"/>
          </w:tcPr>
          <w:p>
            <w:pPr>
              <w:widowControl w:val="0"/>
              <w:wordWrap/>
              <w:snapToGrid/>
              <w:spacing w:line="4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0］的计算公式计算。</w:t>
            </w:r>
          </w:p>
          <w:p>
            <w:pPr>
              <w:widowControl w:val="0"/>
              <w:wordWrap/>
              <w:snapToGrid/>
              <w:spacing w:line="400" w:lineRule="exact"/>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widowControl w:val="0"/>
              <w:wordWrap/>
              <w:spacing w:line="400" w:lineRule="exact"/>
              <w:jc w:val="left"/>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因落实政府采购政策需要进行价格调整的，以调整后的价格计算评标基准价和投标报价。</w:t>
            </w:r>
          </w:p>
        </w:tc>
        <w:tc>
          <w:tcPr>
            <w:tcW w:w="859" w:type="dxa"/>
            <w:noWrap w:val="0"/>
            <w:vAlign w:val="center"/>
          </w:tcPr>
          <w:p>
            <w:pPr>
              <w:pStyle w:val="5"/>
              <w:widowControl w:val="0"/>
              <w:wordWrap/>
              <w:spacing w:line="400" w:lineRule="exact"/>
              <w:ind w:left="0" w:leftChars="0" w:firstLine="0" w:firstLineChars="0"/>
              <w:jc w:val="center"/>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30</w:t>
            </w:r>
          </w:p>
        </w:tc>
        <w:tc>
          <w:tcPr>
            <w:tcW w:w="1132" w:type="dxa"/>
            <w:noWrap w:val="0"/>
            <w:vAlign w:val="center"/>
          </w:tcPr>
          <w:p>
            <w:pPr>
              <w:widowControl w:val="0"/>
              <w:wordWrap/>
              <w:spacing w:line="400" w:lineRule="exact"/>
              <w:jc w:val="center"/>
              <w:textAlignment w:val="auto"/>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c>
          <w:tcPr>
            <w:tcW w:w="1118" w:type="dxa"/>
            <w:noWrap w:val="0"/>
            <w:vAlign w:val="center"/>
          </w:tcPr>
          <w:p>
            <w:pPr>
              <w:widowControl w:val="0"/>
              <w:wordWrap/>
              <w:spacing w:line="400" w:lineRule="exact"/>
              <w:jc w:val="center"/>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rPr>
          <w:rFonts w:hint="eastAsia" w:ascii="宋体" w:hAnsi="宋体" w:cs="宋体"/>
          <w:b/>
          <w:sz w:val="32"/>
          <w:szCs w:val="20"/>
        </w:rPr>
      </w:pPr>
    </w:p>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w:t>
      </w:r>
      <w:r>
        <w:rPr>
          <w:rFonts w:hint="eastAsia" w:ascii="宋体" w:hAnsi="宋体" w:eastAsia="宋体" w:cs="宋体"/>
          <w:kern w:val="0"/>
          <w:sz w:val="24"/>
        </w:rPr>
        <w:t>员会各成员应当独立对每个投标人的商务和技术文件进行评价，并汇总商务技术得分情况</w:t>
      </w:r>
      <w:r>
        <w:rPr>
          <w:rFonts w:hint="eastAsia" w:ascii="宋体" w:hAnsi="宋体" w:eastAsia="宋体" w:cs="宋体"/>
          <w:b/>
          <w:bCs/>
          <w:kern w:val="0"/>
          <w:sz w:val="24"/>
        </w:rPr>
        <w:t>（评标委员会各成员评分的算术平均值，保留两位小数，后一位四舍五入）。</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31"/>
    <w:p>
      <w:pPr>
        <w:spacing w:line="360" w:lineRule="auto"/>
        <w:outlineLvl w:val="0"/>
        <w:rPr>
          <w:rFonts w:ascii="宋体" w:hAnsi="宋体" w:cs="宋体"/>
          <w:b/>
          <w:sz w:val="36"/>
          <w:szCs w:val="36"/>
        </w:rPr>
      </w:pPr>
      <w:bookmarkStart w:id="397" w:name="_Toc86217003"/>
      <w:bookmarkStart w:id="398" w:name="第五部分"/>
    </w:p>
    <w:p>
      <w:pPr>
        <w:pStyle w:val="5"/>
        <w:rPr>
          <w:rFonts w:ascii="宋体" w:hAnsi="宋体" w:cs="宋体"/>
          <w:b/>
          <w:sz w:val="36"/>
          <w:szCs w:val="36"/>
        </w:rPr>
      </w:pPr>
    </w:p>
    <w:p>
      <w:pPr>
        <w:rPr>
          <w:rFonts w:ascii="宋体" w:hAnsi="宋体" w:cs="宋体"/>
          <w:b/>
          <w:sz w:val="36"/>
          <w:szCs w:val="36"/>
        </w:rPr>
      </w:pPr>
    </w:p>
    <w:p>
      <w:pPr>
        <w:pStyle w:val="5"/>
        <w:rPr>
          <w:rFonts w:ascii="宋体" w:hAnsi="宋体" w:cs="宋体"/>
          <w:b/>
          <w:sz w:val="36"/>
          <w:szCs w:val="36"/>
        </w:rPr>
      </w:pPr>
    </w:p>
    <w:p>
      <w:pPr>
        <w:rPr>
          <w:rFonts w:ascii="宋体" w:hAnsi="宋体" w:cs="宋体"/>
          <w:b/>
          <w:sz w:val="36"/>
          <w:szCs w:val="36"/>
        </w:rPr>
      </w:pPr>
    </w:p>
    <w:p>
      <w:pPr>
        <w:pStyle w:val="5"/>
        <w:rPr>
          <w:rFonts w:ascii="宋体" w:hAnsi="宋体" w:cs="宋体"/>
          <w:b/>
          <w:sz w:val="36"/>
          <w:szCs w:val="36"/>
        </w:rPr>
      </w:pPr>
    </w:p>
    <w:p>
      <w:pPr>
        <w:rPr>
          <w:rFonts w:ascii="宋体" w:hAnsi="宋体" w:cs="宋体"/>
          <w:b/>
          <w:sz w:val="36"/>
          <w:szCs w:val="36"/>
        </w:rPr>
      </w:pPr>
    </w:p>
    <w:p>
      <w:pPr>
        <w:pStyle w:val="5"/>
        <w:rPr>
          <w:rFonts w:ascii="宋体" w:hAnsi="宋体" w:cs="宋体"/>
          <w:b/>
          <w:sz w:val="36"/>
          <w:szCs w:val="36"/>
        </w:rPr>
      </w:pPr>
    </w:p>
    <w:p>
      <w:pPr>
        <w:rPr>
          <w:rFonts w:ascii="宋体" w:hAnsi="宋体" w:cs="宋体"/>
          <w:b/>
          <w:sz w:val="36"/>
          <w:szCs w:val="36"/>
        </w:rPr>
      </w:pPr>
    </w:p>
    <w:p>
      <w:pPr>
        <w:pStyle w:val="5"/>
        <w:rPr>
          <w:rFonts w:ascii="宋体" w:hAnsi="宋体" w:cs="宋体"/>
          <w:b/>
          <w:sz w:val="36"/>
          <w:szCs w:val="36"/>
        </w:rPr>
      </w:pPr>
    </w:p>
    <w:p>
      <w:pPr>
        <w:rPr>
          <w:rFonts w:ascii="宋体" w:hAnsi="宋体" w:cs="宋体"/>
          <w:b/>
          <w:sz w:val="36"/>
          <w:szCs w:val="36"/>
        </w:rPr>
      </w:pPr>
    </w:p>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both"/>
        <w:rPr>
          <w:rFonts w:ascii="宋体" w:hAnsi="宋体" w:cs="宋体"/>
          <w:b/>
          <w:sz w:val="24"/>
        </w:rPr>
      </w:pPr>
    </w:p>
    <w:p>
      <w:pPr>
        <w:spacing w:line="480" w:lineRule="auto"/>
        <w:jc w:val="center"/>
        <w:rPr>
          <w:rFonts w:ascii="宋体" w:hAnsi="宋体" w:cs="宋体"/>
          <w:b/>
          <w:sz w:val="24"/>
        </w:rPr>
      </w:pPr>
    </w:p>
    <w:p>
      <w:pPr>
        <w:shd w:val="clear" w:color="000000" w:fill="auto"/>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hd w:val="clear" w:color="000000" w:fill="auto"/>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（货物类）</w:t>
      </w:r>
    </w:p>
    <w:p>
      <w:pPr>
        <w:pStyle w:val="701"/>
        <w:shd w:val="clear" w:color="010000" w:fill="auto"/>
        <w:ind w:left="0" w:leftChars="0" w:firstLine="0" w:firstLineChars="0"/>
        <w:rPr>
          <w:rFonts w:hint="eastAsia" w:ascii="仿宋" w:hAnsi="仿宋" w:eastAsia="仿宋" w:cs="仿宋"/>
          <w:color w:val="auto"/>
          <w:szCs w:val="24"/>
          <w:highlight w:val="none"/>
        </w:rPr>
      </w:pPr>
    </w:p>
    <w:p>
      <w:pPr>
        <w:pStyle w:val="701"/>
        <w:shd w:val="clear" w:color="010000" w:fill="auto"/>
        <w:jc w:val="center"/>
        <w:rPr>
          <w:rFonts w:hint="eastAsia" w:ascii="仿宋" w:hAnsi="仿宋" w:eastAsia="仿宋" w:cs="仿宋"/>
          <w:color w:val="auto"/>
          <w:szCs w:val="24"/>
          <w:highlight w:val="none"/>
        </w:rPr>
      </w:pPr>
    </w:p>
    <w:p>
      <w:pPr>
        <w:pStyle w:val="701"/>
        <w:shd w:val="clear" w:color="010000" w:fill="auto"/>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pStyle w:val="701"/>
        <w:shd w:val="clear" w:color="010000" w:fill="auto"/>
        <w:rPr>
          <w:rFonts w:hint="eastAsia" w:ascii="仿宋" w:hAnsi="仿宋" w:eastAsia="仿宋" w:cs="仿宋"/>
          <w:color w:val="auto"/>
          <w:szCs w:val="24"/>
          <w:highlight w:val="none"/>
        </w:rPr>
      </w:pPr>
    </w:p>
    <w:p>
      <w:pPr>
        <w:pStyle w:val="701"/>
        <w:shd w:val="clear" w:color="010000" w:fill="auto"/>
        <w:rPr>
          <w:rFonts w:hint="eastAsia" w:ascii="仿宋" w:hAnsi="仿宋" w:eastAsia="仿宋" w:cs="仿宋"/>
          <w:color w:val="auto"/>
          <w:szCs w:val="24"/>
          <w:highlight w:val="none"/>
        </w:rPr>
      </w:pPr>
    </w:p>
    <w:p>
      <w:pPr>
        <w:shd w:val="clear" w:color="000000" w:fill="auto"/>
        <w:spacing w:before="120" w:line="22" w:lineRule="atLeast"/>
        <w:rPr>
          <w:rFonts w:hint="eastAsia" w:ascii="仿宋" w:hAnsi="仿宋" w:eastAsia="仿宋" w:cs="仿宋"/>
          <w:color w:val="auto"/>
          <w:sz w:val="24"/>
          <w:highlight w:val="none"/>
        </w:rPr>
      </w:pPr>
    </w:p>
    <w:p>
      <w:pPr>
        <w:shd w:val="clear" w:color="000000" w:fill="auto"/>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598"/>
        <w:shd w:val="clear" w:color="010000" w:fill="auto"/>
        <w:spacing w:before="120" w:line="22" w:lineRule="atLeast"/>
        <w:rPr>
          <w:rFonts w:hint="eastAsia" w:ascii="仿宋" w:hAnsi="仿宋" w:eastAsia="仿宋" w:cs="仿宋"/>
          <w:color w:val="auto"/>
          <w:szCs w:val="24"/>
          <w:highlight w:val="none"/>
        </w:rPr>
      </w:pPr>
    </w:p>
    <w:p>
      <w:pPr>
        <w:pStyle w:val="598"/>
        <w:shd w:val="clear" w:color="010000" w:fill="auto"/>
        <w:spacing w:before="120" w:line="22" w:lineRule="atLeast"/>
        <w:rPr>
          <w:rFonts w:hint="eastAsia" w:ascii="仿宋" w:hAnsi="仿宋" w:eastAsia="仿宋" w:cs="仿宋"/>
          <w:color w:val="auto"/>
          <w:szCs w:val="24"/>
          <w:highlight w:val="none"/>
        </w:rPr>
      </w:pPr>
    </w:p>
    <w:p>
      <w:pPr>
        <w:shd w:val="clear" w:color="000000" w:fill="auto"/>
        <w:rPr>
          <w:rFonts w:hint="eastAsia" w:ascii="仿宋" w:hAnsi="仿宋" w:eastAsia="仿宋" w:cs="仿宋"/>
          <w:color w:val="auto"/>
          <w:sz w:val="24"/>
          <w:highlight w:val="none"/>
        </w:rPr>
      </w:pPr>
    </w:p>
    <w:p>
      <w:pPr>
        <w:shd w:val="clear" w:color="000000" w:fill="auto"/>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p>
    <w:p>
      <w:pPr>
        <w:shd w:val="clear" w:color="000000" w:fill="auto"/>
        <w:spacing w:before="120" w:line="22" w:lineRule="atLeast"/>
        <w:rPr>
          <w:rFonts w:hint="eastAsia" w:ascii="仿宋" w:hAnsi="仿宋" w:eastAsia="仿宋" w:cs="仿宋"/>
          <w:color w:val="auto"/>
          <w:sz w:val="24"/>
          <w:highlight w:val="none"/>
        </w:rPr>
      </w:pPr>
    </w:p>
    <w:p>
      <w:pPr>
        <w:shd w:val="clear" w:color="000000" w:fill="auto"/>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p>
    <w:p>
      <w:pPr>
        <w:shd w:val="clear" w:color="000000" w:fill="auto"/>
        <w:spacing w:before="120" w:line="22" w:lineRule="atLeast"/>
        <w:rPr>
          <w:rFonts w:hint="eastAsia" w:ascii="仿宋" w:hAnsi="仿宋" w:eastAsia="仿宋" w:cs="仿宋"/>
          <w:color w:val="auto"/>
          <w:sz w:val="24"/>
          <w:highlight w:val="none"/>
        </w:rPr>
      </w:pPr>
    </w:p>
    <w:p>
      <w:pPr>
        <w:shd w:val="clear" w:color="000000" w:fill="auto"/>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p>
    <w:p>
      <w:pPr>
        <w:shd w:val="clear" w:color="000000" w:fill="auto"/>
        <w:spacing w:before="120" w:line="22" w:lineRule="atLeast"/>
        <w:rPr>
          <w:rFonts w:hint="eastAsia" w:ascii="仿宋" w:hAnsi="仿宋" w:eastAsia="仿宋" w:cs="仿宋"/>
          <w:color w:val="auto"/>
          <w:sz w:val="24"/>
          <w:highlight w:val="none"/>
        </w:rPr>
      </w:pPr>
    </w:p>
    <w:p>
      <w:pPr>
        <w:shd w:val="clear" w:color="000000" w:fill="auto"/>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签订日期：年月日</w:t>
      </w:r>
    </w:p>
    <w:p>
      <w:pPr>
        <w:widowControl/>
        <w:shd w:val="clear" w:color="010000" w:fill="auto"/>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年月日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为该项目中标供应商。现于中标通知书发出之日起10个工作日内，按照采购文件确定的事项签订本合同。</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399" w:name="_Toc2232"/>
      <w:bookmarkStart w:id="400" w:name="_Toc24059"/>
      <w:bookmarkStart w:id="401" w:name="_Toc3029"/>
      <w:r>
        <w:rPr>
          <w:rFonts w:hint="eastAsia" w:ascii="仿宋" w:hAnsi="仿宋" w:eastAsia="仿宋" w:cs="仿宋"/>
          <w:b/>
          <w:color w:val="auto"/>
          <w:sz w:val="24"/>
          <w:highlight w:val="none"/>
        </w:rPr>
        <w:t>1.1 合同组成部分</w:t>
      </w:r>
      <w:bookmarkEnd w:id="399"/>
      <w:bookmarkEnd w:id="400"/>
      <w:bookmarkEnd w:id="401"/>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02" w:name="_Toc27126"/>
      <w:bookmarkStart w:id="403" w:name="_Toc21295"/>
      <w:bookmarkStart w:id="404" w:name="_Toc24300"/>
      <w:r>
        <w:rPr>
          <w:rFonts w:hint="eastAsia" w:ascii="仿宋" w:hAnsi="仿宋" w:eastAsia="仿宋" w:cs="仿宋"/>
          <w:b/>
          <w:color w:val="auto"/>
          <w:sz w:val="24"/>
          <w:highlight w:val="none"/>
        </w:rPr>
        <w:t>1.2 货物</w:t>
      </w:r>
      <w:bookmarkEnd w:id="402"/>
      <w:bookmarkEnd w:id="403"/>
      <w:bookmarkEnd w:id="404"/>
    </w:p>
    <w:p>
      <w:pPr>
        <w:shd w:val="clear" w:color="000000" w:fill="auto"/>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货物名称：；</w:t>
      </w:r>
    </w:p>
    <w:p>
      <w:pPr>
        <w:shd w:val="clear" w:color="000000" w:fill="auto"/>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货物数量：；</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1.2.3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05" w:name="_Toc21631"/>
      <w:bookmarkStart w:id="406" w:name="_Toc21551"/>
      <w:bookmarkStart w:id="407" w:name="_Toc23292"/>
      <w:r>
        <w:rPr>
          <w:rFonts w:hint="eastAsia" w:ascii="仿宋" w:hAnsi="仿宋" w:eastAsia="仿宋" w:cs="仿宋"/>
          <w:b/>
          <w:color w:val="auto"/>
          <w:sz w:val="24"/>
          <w:highlight w:val="none"/>
        </w:rPr>
        <w:t>1.3 价款</w:t>
      </w:r>
      <w:bookmarkEnd w:id="405"/>
      <w:bookmarkEnd w:id="406"/>
      <w:bookmarkEnd w:id="407"/>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本合同总价为：￥元（大写：元人民币）。</w:t>
      </w:r>
    </w:p>
    <w:p>
      <w:pPr>
        <w:shd w:val="clear" w:color="000000" w:fill="auto"/>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19"/>
              <w:shd w:val="clear" w:color="010000" w:fill="auto"/>
              <w:spacing w:line="560" w:lineRule="exact"/>
              <w:ind w:firstLine="200"/>
              <w:jc w:val="center"/>
              <w:rPr>
                <w:rFonts w:hint="eastAsia" w:ascii="仿宋" w:hAnsi="仿宋" w:eastAsia="仿宋" w:cs="仿宋"/>
                <w:color w:val="auto"/>
                <w:sz w:val="24"/>
                <w:szCs w:val="24"/>
                <w:highlight w:val="none"/>
              </w:rPr>
            </w:pPr>
          </w:p>
        </w:tc>
      </w:tr>
    </w:tbl>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08" w:name="_Toc22618"/>
      <w:bookmarkStart w:id="409" w:name="_Toc1814"/>
      <w:bookmarkStart w:id="410" w:name="_Toc10340"/>
      <w:r>
        <w:rPr>
          <w:rFonts w:hint="eastAsia" w:ascii="仿宋" w:hAnsi="仿宋" w:eastAsia="仿宋" w:cs="仿宋"/>
          <w:b/>
          <w:color w:val="auto"/>
          <w:sz w:val="24"/>
          <w:highlight w:val="none"/>
        </w:rPr>
        <w:t>1.4 付款</w:t>
      </w:r>
      <w:bookmarkEnd w:id="408"/>
      <w:bookmarkEnd w:id="409"/>
      <w:bookmarkEnd w:id="410"/>
      <w:r>
        <w:rPr>
          <w:rFonts w:hint="eastAsia" w:ascii="仿宋" w:hAnsi="仿宋" w:eastAsia="仿宋" w:cs="仿宋"/>
          <w:b/>
          <w:color w:val="auto"/>
          <w:sz w:val="24"/>
          <w:highlight w:val="none"/>
        </w:rPr>
        <w:t>方式、时间和条件</w:t>
      </w:r>
    </w:p>
    <w:p>
      <w:pPr>
        <w:pStyle w:val="958"/>
        <w:shd w:val="clear" w:color="010000" w:fill="auto"/>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1.4.2合同预付款比例为不低于合同金额的40％；项目分年安排预算的，每年预付款比例为不低于项目年度计划支付资金额的40％；采购项目实施以人工投入为主的，预付款比例为不低于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hd w:val="clear" w:color="000000" w:fill="auto"/>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1.4.4资金支付的方式、时间和条件详见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hd w:val="clear" w:color="000000" w:fill="auto"/>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11" w:name="_Toc19304"/>
      <w:bookmarkStart w:id="412" w:name="_Toc2846"/>
      <w:bookmarkStart w:id="413" w:name="_Toc32071"/>
      <w:r>
        <w:rPr>
          <w:rFonts w:hint="eastAsia" w:ascii="仿宋" w:hAnsi="仿宋" w:eastAsia="仿宋" w:cs="仿宋"/>
          <w:b/>
          <w:color w:val="auto"/>
          <w:sz w:val="24"/>
          <w:highlight w:val="none"/>
        </w:rPr>
        <w:t>1.5 货物交付期限、地点和方式</w:t>
      </w:r>
      <w:bookmarkEnd w:id="411"/>
      <w:bookmarkEnd w:id="412"/>
      <w:bookmarkEnd w:id="413"/>
    </w:p>
    <w:p>
      <w:pPr>
        <w:shd w:val="clear" w:color="000000" w:fill="auto"/>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1.5.1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1.5.3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14" w:name="_Toc27250"/>
      <w:bookmarkStart w:id="415" w:name="_Toc19554"/>
      <w:bookmarkStart w:id="416" w:name="_Toc21423"/>
      <w:r>
        <w:rPr>
          <w:rFonts w:hint="eastAsia" w:ascii="仿宋" w:hAnsi="仿宋" w:eastAsia="仿宋" w:cs="仿宋"/>
          <w:b/>
          <w:color w:val="auto"/>
          <w:sz w:val="24"/>
          <w:highlight w:val="none"/>
        </w:rPr>
        <w:t>1.6 违约责任</w:t>
      </w:r>
      <w:bookmarkEnd w:id="414"/>
      <w:bookmarkEnd w:id="415"/>
      <w:bookmarkEnd w:id="416"/>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hd w:val="clear" w:color="000000" w:fill="auto"/>
        <w:spacing w:line="560" w:lineRule="exact"/>
        <w:ind w:left="-420" w:leftChars="-200" w:right="-420" w:rightChars="-200" w:firstLine="960" w:firstLineChars="400"/>
        <w:rPr>
          <w:rFonts w:hint="eastAsia" w:ascii="仿宋" w:hAnsi="仿宋" w:eastAsia="仿宋" w:cs="仿宋"/>
          <w:color w:val="auto"/>
          <w:highlight w:val="none"/>
        </w:rPr>
      </w:pPr>
      <w:r>
        <w:rPr>
          <w:rFonts w:hint="eastAsia" w:ascii="仿宋" w:hAnsi="仿宋" w:eastAsia="仿宋" w:cs="仿宋"/>
          <w:color w:val="auto"/>
          <w:sz w:val="24"/>
          <w:highlight w:val="none"/>
        </w:rPr>
        <w:t>1.6.7违约责任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17" w:name="_Toc28375"/>
      <w:bookmarkStart w:id="418" w:name="_Toc15583"/>
      <w:bookmarkStart w:id="419" w:name="_Toc16021"/>
      <w:r>
        <w:rPr>
          <w:rFonts w:hint="eastAsia" w:ascii="仿宋" w:hAnsi="仿宋" w:eastAsia="仿宋" w:cs="仿宋"/>
          <w:b/>
          <w:color w:val="auto"/>
          <w:sz w:val="24"/>
          <w:highlight w:val="none"/>
        </w:rPr>
        <w:t>1.7 合同争议的解决</w:t>
      </w:r>
      <w:bookmarkEnd w:id="417"/>
      <w:bookmarkEnd w:id="418"/>
      <w:bookmarkEnd w:id="419"/>
    </w:p>
    <w:p>
      <w:pPr>
        <w:shd w:val="clear" w:color="000000" w:fill="auto"/>
        <w:spacing w:line="560" w:lineRule="exact"/>
        <w:ind w:left="-61" w:leftChars="-29" w:right="-420" w:rightChars="-200"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合同专用条款  </w:t>
      </w:r>
      <w:r>
        <w:rPr>
          <w:rFonts w:hint="eastAsia" w:ascii="仿宋" w:hAnsi="仿宋" w:eastAsia="仿宋" w:cs="仿宋"/>
          <w:color w:val="auto"/>
          <w:sz w:val="24"/>
          <w:highlight w:val="none"/>
        </w:rPr>
        <w:t>条款规定的方式解决：</w:t>
      </w:r>
    </w:p>
    <w:p>
      <w:pPr>
        <w:shd w:val="clear" w:color="000000" w:fill="auto"/>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1.7.1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hd w:val="clear" w:color="000000" w:fill="auto"/>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1.7.2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20" w:name="_Toc11173"/>
      <w:bookmarkStart w:id="421" w:name="_Toc7245"/>
      <w:bookmarkStart w:id="422" w:name="_Toc15322"/>
      <w:r>
        <w:rPr>
          <w:rFonts w:hint="eastAsia" w:ascii="仿宋" w:hAnsi="仿宋" w:eastAsia="仿宋" w:cs="仿宋"/>
          <w:b/>
          <w:color w:val="auto"/>
          <w:sz w:val="24"/>
          <w:highlight w:val="none"/>
        </w:rPr>
        <w:t>1.8 合同生效</w:t>
      </w:r>
      <w:bookmarkEnd w:id="420"/>
      <w:bookmarkEnd w:id="421"/>
      <w:bookmarkEnd w:id="422"/>
    </w:p>
    <w:p>
      <w:pPr>
        <w:shd w:val="clear" w:color="000000" w:fill="auto"/>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本合同自双方当事人盖章或者签字时生效。</w:t>
      </w:r>
    </w:p>
    <w:p>
      <w:pPr>
        <w:shd w:val="clear" w:color="000000" w:fill="auto"/>
        <w:autoSpaceDE w:val="0"/>
        <w:autoSpaceDN w:val="0"/>
        <w:spacing w:line="560" w:lineRule="exact"/>
        <w:rPr>
          <w:rFonts w:hint="eastAsia" w:ascii="仿宋" w:hAnsi="仿宋" w:eastAsia="仿宋" w:cs="仿宋"/>
          <w:color w:val="auto"/>
          <w:sz w:val="24"/>
          <w:highlight w:val="none"/>
          <w:lang w:val="zh-CN"/>
        </w:rPr>
      </w:pP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shd w:val="clear" w:color="000000" w:fill="auto"/>
        <w:autoSpaceDE w:val="0"/>
        <w:autoSpaceDN w:val="0"/>
        <w:spacing w:line="560" w:lineRule="exact"/>
        <w:rPr>
          <w:rFonts w:hint="eastAsia" w:ascii="仿宋" w:hAnsi="仿宋" w:eastAsia="仿宋" w:cs="仿宋"/>
          <w:color w:val="auto"/>
          <w:sz w:val="24"/>
          <w:highlight w:val="none"/>
          <w:lang w:val="zh-CN"/>
        </w:rPr>
      </w:pP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shd w:val="clear" w:color="000000" w:fill="auto"/>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shd w:val="clear" w:color="000000" w:fill="auto"/>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shd w:val="clear" w:color="000000" w:fill="auto"/>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shd w:val="clear" w:color="000000" w:fill="auto"/>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shd w:val="clear" w:color="000000" w:fill="auto"/>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开户账号：开户账号：</w:t>
      </w:r>
    </w:p>
    <w:p>
      <w:pPr>
        <w:widowControl/>
        <w:shd w:val="clear" w:color="010000" w:fill="auto"/>
        <w:spacing w:line="560" w:lineRule="exact"/>
        <w:jc w:val="left"/>
        <w:rPr>
          <w:rFonts w:hint="eastAsia" w:ascii="仿宋" w:hAnsi="仿宋" w:eastAsia="仿宋" w:cs="仿宋"/>
          <w:b/>
          <w:color w:val="auto"/>
          <w:sz w:val="24"/>
          <w:highlight w:val="none"/>
        </w:rPr>
      </w:pPr>
      <w:bookmarkStart w:id="423" w:name="_Toc331685783"/>
    </w:p>
    <w:p>
      <w:pPr>
        <w:widowControl/>
        <w:shd w:val="clear" w:color="010000" w:fill="auto"/>
        <w:adjustRightInd/>
        <w:jc w:val="left"/>
        <w:rPr>
          <w:rFonts w:hint="eastAsia" w:ascii="仿宋" w:hAnsi="仿宋" w:eastAsia="仿宋" w:cs="仿宋"/>
          <w:b/>
          <w:color w:val="auto"/>
          <w:sz w:val="24"/>
          <w:highlight w:val="none"/>
        </w:rPr>
      </w:pPr>
      <w:r>
        <w:rPr>
          <w:rFonts w:hint="eastAsia" w:ascii="仿宋" w:hAnsi="仿宋" w:eastAsia="仿宋" w:cs="仿宋"/>
          <w:b/>
          <w:color w:val="auto"/>
          <w:highlight w:val="none"/>
        </w:rPr>
        <w:br w:type="page"/>
      </w:r>
    </w:p>
    <w:p>
      <w:pPr>
        <w:pStyle w:val="701"/>
        <w:shd w:val="clear" w:color="010000" w:fill="auto"/>
        <w:spacing w:line="560" w:lineRule="exact"/>
        <w:ind w:firstLine="48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bookmarkEnd w:id="423"/>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24" w:name="_Toc28763"/>
      <w:bookmarkStart w:id="425" w:name="_Toc259093669"/>
      <w:bookmarkStart w:id="426" w:name="_Toc16917"/>
      <w:bookmarkStart w:id="427" w:name="_Ref467378404"/>
      <w:bookmarkStart w:id="428" w:name="_Ref467379205"/>
      <w:bookmarkStart w:id="429" w:name="_Ref467379214"/>
      <w:bookmarkStart w:id="430" w:name="_Toc19614"/>
      <w:bookmarkStart w:id="431" w:name="_Ref467379109"/>
      <w:bookmarkStart w:id="432" w:name="_Ref467379225"/>
      <w:bookmarkStart w:id="433" w:name="_Ref467378499"/>
      <w:bookmarkStart w:id="434" w:name="_Ref467379101"/>
      <w:bookmarkStart w:id="435" w:name="_Ref467378463"/>
      <w:bookmarkStart w:id="436" w:name="_Ref467379094"/>
      <w:bookmarkStart w:id="437" w:name="_Toc279701240"/>
      <w:bookmarkStart w:id="438" w:name="_Ref467379195"/>
      <w:bookmarkStart w:id="439" w:name="_Toc487900349"/>
      <w:r>
        <w:rPr>
          <w:rFonts w:hint="eastAsia" w:ascii="仿宋" w:hAnsi="仿宋" w:eastAsia="仿宋" w:cs="仿宋"/>
          <w:b/>
          <w:color w:val="auto"/>
          <w:sz w:val="24"/>
          <w:highlight w:val="none"/>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“合同”系指采购人和中标供应商签订的载明双方当事人所达成的协议，并包括所有的附件、附录和构成合同的其他文件。</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“合同价”系指根据合同约定，中标供应商在完全履行合同义务后，采购人应支付给中标供应商的价格。</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hd w:val="clear" w:color="000000" w:fill="auto"/>
        <w:spacing w:line="560" w:lineRule="exact"/>
        <w:ind w:firstLine="480" w:firstLineChars="200"/>
        <w:rPr>
          <w:rFonts w:hint="eastAsia" w:ascii="仿宋" w:hAnsi="仿宋" w:eastAsia="仿宋" w:cs="仿宋"/>
          <w:color w:val="auto"/>
          <w:sz w:val="24"/>
          <w:highlight w:val="none"/>
        </w:rPr>
      </w:pPr>
      <w:bookmarkStart w:id="440" w:name="_Ref467378840"/>
      <w:r>
        <w:rPr>
          <w:rFonts w:hint="eastAsia" w:ascii="仿宋" w:hAnsi="仿宋" w:eastAsia="仿宋" w:cs="仿宋"/>
          <w:color w:val="auto"/>
          <w:sz w:val="24"/>
          <w:highlight w:val="none"/>
        </w:rPr>
        <w:t>2.1.4 “甲方”系指与中标供应商签署合同的采购人</w:t>
      </w:r>
      <w:bookmarkEnd w:id="440"/>
      <w:r>
        <w:rPr>
          <w:rFonts w:hint="eastAsia" w:ascii="仿宋" w:hAnsi="仿宋" w:eastAsia="仿宋" w:cs="仿宋"/>
          <w:color w:val="auto"/>
          <w:sz w:val="24"/>
          <w:highlight w:val="none"/>
        </w:rPr>
        <w:t>；采购人委托采购代理机构代表其与乙方签订合同的，采购人的授权委托书作为合同附件。</w:t>
      </w:r>
    </w:p>
    <w:p>
      <w:pPr>
        <w:shd w:val="clear" w:color="000000" w:fill="auto"/>
        <w:spacing w:line="560" w:lineRule="exact"/>
        <w:ind w:firstLine="480" w:firstLineChars="200"/>
        <w:rPr>
          <w:rFonts w:hint="eastAsia" w:ascii="仿宋" w:hAnsi="仿宋" w:eastAsia="仿宋" w:cs="仿宋"/>
          <w:color w:val="auto"/>
          <w:sz w:val="24"/>
          <w:highlight w:val="none"/>
        </w:rPr>
      </w:pPr>
      <w:bookmarkStart w:id="441" w:name="_Ref467379400"/>
      <w:r>
        <w:rPr>
          <w:rFonts w:hint="eastAsia" w:ascii="仿宋" w:hAnsi="仿宋" w:eastAsia="仿宋" w:cs="仿宋"/>
          <w:color w:val="auto"/>
          <w:sz w:val="24"/>
          <w:highlight w:val="none"/>
        </w:rPr>
        <w:t>2.1.5 “乙方”系指根据合同约定交付货物的中标供应商</w:t>
      </w:r>
      <w:bookmarkEnd w:id="441"/>
      <w:r>
        <w:rPr>
          <w:rFonts w:hint="eastAsia" w:ascii="仿宋" w:hAnsi="仿宋" w:eastAsia="仿宋" w:cs="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hd w:val="clear" w:color="000000" w:fill="auto"/>
        <w:spacing w:line="560" w:lineRule="exact"/>
        <w:ind w:firstLine="480" w:firstLineChars="200"/>
        <w:rPr>
          <w:rFonts w:hint="eastAsia" w:ascii="仿宋" w:hAnsi="仿宋" w:eastAsia="仿宋" w:cs="仿宋"/>
          <w:color w:val="auto"/>
          <w:sz w:val="24"/>
          <w:highlight w:val="none"/>
        </w:rPr>
      </w:pPr>
      <w:bookmarkStart w:id="442" w:name="_Ref467379436"/>
      <w:r>
        <w:rPr>
          <w:rFonts w:hint="eastAsia" w:ascii="仿宋" w:hAnsi="仿宋" w:eastAsia="仿宋" w:cs="仿宋"/>
          <w:color w:val="auto"/>
          <w:sz w:val="24"/>
          <w:highlight w:val="none"/>
        </w:rPr>
        <w:t>2.1.6 “现场”系指合同约定货物将要运至或者安装的地点。</w:t>
      </w:r>
      <w:bookmarkEnd w:id="442"/>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43" w:name="_Toc32504"/>
      <w:bookmarkStart w:id="444" w:name="_Toc259093670"/>
      <w:bookmarkStart w:id="445" w:name="_Toc13336"/>
      <w:bookmarkStart w:id="446" w:name="_Toc279701241"/>
      <w:bookmarkStart w:id="447" w:name="_Toc487900350"/>
      <w:bookmarkStart w:id="448" w:name="_Toc27635"/>
      <w:r>
        <w:rPr>
          <w:rFonts w:hint="eastAsia" w:ascii="仿宋" w:hAnsi="仿宋" w:eastAsia="仿宋" w:cs="仿宋"/>
          <w:b/>
          <w:color w:val="auto"/>
          <w:sz w:val="24"/>
          <w:highlight w:val="none"/>
        </w:rPr>
        <w:t>2.2 技术规范</w:t>
      </w:r>
      <w:bookmarkEnd w:id="443"/>
      <w:bookmarkEnd w:id="444"/>
      <w:bookmarkEnd w:id="445"/>
      <w:bookmarkEnd w:id="446"/>
      <w:bookmarkEnd w:id="447"/>
      <w:bookmarkEnd w:id="448"/>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49" w:name="_Toc31634"/>
      <w:bookmarkStart w:id="450" w:name="_Toc487900351"/>
      <w:bookmarkStart w:id="451" w:name="_Toc259093671"/>
      <w:bookmarkStart w:id="452" w:name="_Toc279701242"/>
      <w:bookmarkStart w:id="453" w:name="_Toc27853"/>
      <w:bookmarkStart w:id="454" w:name="_Toc9829"/>
      <w:r>
        <w:rPr>
          <w:rFonts w:hint="eastAsia" w:ascii="仿宋" w:hAnsi="仿宋" w:eastAsia="仿宋" w:cs="仿宋"/>
          <w:b/>
          <w:color w:val="auto"/>
          <w:sz w:val="24"/>
          <w:highlight w:val="none"/>
        </w:rPr>
        <w:t>2.3 知识产权</w:t>
      </w:r>
      <w:bookmarkEnd w:id="449"/>
      <w:bookmarkEnd w:id="450"/>
      <w:bookmarkEnd w:id="451"/>
      <w:bookmarkEnd w:id="452"/>
      <w:bookmarkEnd w:id="453"/>
      <w:bookmarkEnd w:id="454"/>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2.3.2具有知识产权的计算机软件等货物的知识产权归属，详见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55" w:name="_Toc11932"/>
      <w:bookmarkStart w:id="456" w:name="_Toc29149"/>
      <w:bookmarkStart w:id="457" w:name="_Toc4194"/>
      <w:r>
        <w:rPr>
          <w:rFonts w:hint="eastAsia" w:ascii="仿宋" w:hAnsi="仿宋" w:eastAsia="仿宋" w:cs="仿宋"/>
          <w:b/>
          <w:color w:val="auto"/>
          <w:sz w:val="24"/>
          <w:highlight w:val="none"/>
        </w:rPr>
        <w:t>2.4 包装和装运</w:t>
      </w:r>
      <w:bookmarkEnd w:id="455"/>
      <w:bookmarkEnd w:id="456"/>
      <w:bookmarkEnd w:id="457"/>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2.4.3 装运货物的要求和通知，详见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58" w:name="_Ref467379542"/>
      <w:bookmarkStart w:id="459" w:name="_Toc279701245"/>
      <w:bookmarkStart w:id="460" w:name="_Ref467378591"/>
      <w:bookmarkStart w:id="461" w:name="_Ref467379536"/>
      <w:bookmarkStart w:id="462" w:name="_Ref467378541"/>
      <w:bookmarkStart w:id="463" w:name="_Toc487900354"/>
      <w:bookmarkStart w:id="464" w:name="_Toc259093674"/>
      <w:bookmarkStart w:id="465" w:name="_Ref467379527"/>
      <w:bookmarkStart w:id="466" w:name="_Toc26182"/>
      <w:bookmarkStart w:id="467" w:name="_Toc19074"/>
      <w:bookmarkStart w:id="468" w:name="_Toc30272"/>
      <w:r>
        <w:rPr>
          <w:rFonts w:hint="eastAsia" w:ascii="仿宋" w:hAnsi="仿宋" w:eastAsia="仿宋" w:cs="仿宋"/>
          <w:b/>
          <w:color w:val="auto"/>
          <w:sz w:val="24"/>
          <w:highlight w:val="none"/>
        </w:rPr>
        <w:t>2.</w:t>
      </w:r>
      <w:bookmarkEnd w:id="458"/>
      <w:bookmarkEnd w:id="459"/>
      <w:bookmarkEnd w:id="460"/>
      <w:bookmarkEnd w:id="461"/>
      <w:bookmarkEnd w:id="462"/>
      <w:bookmarkEnd w:id="463"/>
      <w:bookmarkEnd w:id="464"/>
      <w:bookmarkEnd w:id="465"/>
      <w:r>
        <w:rPr>
          <w:rFonts w:hint="eastAsia" w:ascii="仿宋" w:hAnsi="仿宋" w:eastAsia="仿宋" w:cs="仿宋"/>
          <w:b/>
          <w:color w:val="auto"/>
          <w:sz w:val="24"/>
          <w:highlight w:val="none"/>
        </w:rPr>
        <w:t>5 履约检查和问题反馈</w:t>
      </w:r>
      <w:bookmarkEnd w:id="466"/>
      <w:bookmarkEnd w:id="467"/>
      <w:bookmarkEnd w:id="468"/>
    </w:p>
    <w:p>
      <w:pPr>
        <w:shd w:val="clear" w:color="000000" w:fill="auto"/>
        <w:spacing w:line="560" w:lineRule="exact"/>
        <w:ind w:firstLine="480" w:firstLineChars="200"/>
        <w:rPr>
          <w:rFonts w:hint="eastAsia" w:ascii="仿宋" w:hAnsi="仿宋" w:eastAsia="仿宋" w:cs="仿宋"/>
          <w:color w:val="auto"/>
          <w:sz w:val="24"/>
          <w:highlight w:val="none"/>
        </w:rPr>
      </w:pPr>
      <w:bookmarkStart w:id="469" w:name="_Ref467379657"/>
      <w:r>
        <w:rPr>
          <w:rFonts w:hint="eastAsia" w:ascii="仿宋" w:hAnsi="仿宋" w:eastAsia="仿宋" w:cs="仿宋"/>
          <w:color w:val="auto"/>
          <w:sz w:val="24"/>
          <w:highlight w:val="none"/>
        </w:rPr>
        <w:t>2.5.1</w:t>
      </w:r>
      <w:bookmarkEnd w:id="469"/>
      <w:bookmarkStart w:id="470" w:name="_Toc186431854"/>
      <w:bookmarkStart w:id="471" w:name="_Toc279701247"/>
      <w:bookmarkStart w:id="472" w:name="_Toc487900357"/>
      <w:bookmarkStart w:id="473" w:name="_Ref467379793"/>
      <w:bookmarkStart w:id="474" w:name="_Toc259093676"/>
      <w:bookmarkStart w:id="475" w:name="_Ref467379807"/>
      <w:r>
        <w:rPr>
          <w:rFonts w:hint="eastAsia" w:ascii="仿宋" w:hAnsi="仿宋" w:eastAsia="仿宋" w:cs="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2.5.2 合同履行期间，甲方有权将履行过程中出现的问题反馈给乙方，双方当事人应以书面形式约定需要完善和改进的内容</w:t>
      </w:r>
      <w:bookmarkEnd w:id="470"/>
      <w:bookmarkStart w:id="476" w:name="_Toc186431855"/>
      <w:r>
        <w:rPr>
          <w:rFonts w:hint="eastAsia" w:ascii="仿宋" w:hAnsi="仿宋" w:eastAsia="仿宋" w:cs="仿宋"/>
          <w:color w:val="auto"/>
          <w:sz w:val="24"/>
          <w:highlight w:val="none"/>
        </w:rPr>
        <w:t>。</w:t>
      </w:r>
    </w:p>
    <w:bookmarkEnd w:id="471"/>
    <w:bookmarkEnd w:id="472"/>
    <w:bookmarkEnd w:id="473"/>
    <w:bookmarkEnd w:id="474"/>
    <w:bookmarkEnd w:id="475"/>
    <w:bookmarkEnd w:id="476"/>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77" w:name="_Ref467379852"/>
      <w:bookmarkStart w:id="478" w:name="_Toc259093677"/>
      <w:bookmarkStart w:id="479" w:name="_Toc279701248"/>
      <w:bookmarkStart w:id="480" w:name="_Ref467379863"/>
      <w:bookmarkStart w:id="481" w:name="_Ref467379923"/>
      <w:bookmarkStart w:id="482" w:name="_Toc487900358"/>
      <w:bookmarkStart w:id="483" w:name="_Toc774"/>
      <w:bookmarkStart w:id="484" w:name="_Toc16110"/>
      <w:bookmarkStart w:id="485" w:name="_Toc3225"/>
      <w:r>
        <w:rPr>
          <w:rFonts w:hint="eastAsia" w:ascii="仿宋" w:hAnsi="仿宋" w:eastAsia="仿宋" w:cs="仿宋"/>
          <w:b/>
          <w:color w:val="auto"/>
          <w:sz w:val="24"/>
          <w:highlight w:val="none"/>
        </w:rPr>
        <w:t>2.6 技术资料</w:t>
      </w:r>
      <w:bookmarkEnd w:id="477"/>
      <w:bookmarkEnd w:id="478"/>
      <w:bookmarkEnd w:id="479"/>
      <w:bookmarkEnd w:id="480"/>
      <w:bookmarkEnd w:id="481"/>
      <w:bookmarkEnd w:id="482"/>
      <w:r>
        <w:rPr>
          <w:rFonts w:hint="eastAsia" w:ascii="仿宋" w:hAnsi="仿宋" w:eastAsia="仿宋" w:cs="仿宋"/>
          <w:b/>
          <w:color w:val="auto"/>
          <w:sz w:val="24"/>
          <w:highlight w:val="none"/>
        </w:rPr>
        <w:t>和保密义务</w:t>
      </w:r>
      <w:bookmarkEnd w:id="483"/>
      <w:bookmarkEnd w:id="484"/>
      <w:bookmarkEnd w:id="485"/>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86" w:name="_Toc7860"/>
      <w:r>
        <w:rPr>
          <w:rFonts w:hint="eastAsia" w:ascii="仿宋" w:hAnsi="仿宋" w:eastAsia="仿宋" w:cs="仿宋"/>
          <w:b/>
          <w:color w:val="auto"/>
          <w:sz w:val="24"/>
          <w:highlight w:val="none"/>
        </w:rPr>
        <w:t>2.7 质量保证</w:t>
      </w:r>
      <w:bookmarkEnd w:id="486"/>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87" w:name="_Toc17244"/>
      <w:bookmarkStart w:id="488" w:name="_Toc279701252"/>
      <w:bookmarkStart w:id="489" w:name="_Toc259093681"/>
      <w:bookmarkStart w:id="490" w:name="_Toc487900362"/>
      <w:r>
        <w:rPr>
          <w:rFonts w:hint="eastAsia" w:ascii="仿宋" w:hAnsi="仿宋" w:eastAsia="仿宋" w:cs="仿宋"/>
          <w:b/>
          <w:color w:val="auto"/>
          <w:sz w:val="24"/>
          <w:highlight w:val="none"/>
        </w:rPr>
        <w:t>2.8 货物的风险负担</w:t>
      </w:r>
      <w:bookmarkEnd w:id="487"/>
    </w:p>
    <w:p>
      <w:pPr>
        <w:shd w:val="clear" w:color="000000" w:fill="auto"/>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91" w:name="_Toc14055"/>
      <w:r>
        <w:rPr>
          <w:rFonts w:hint="eastAsia" w:ascii="仿宋" w:hAnsi="仿宋" w:eastAsia="仿宋" w:cs="仿宋"/>
          <w:b/>
          <w:color w:val="auto"/>
          <w:sz w:val="24"/>
          <w:highlight w:val="none"/>
        </w:rPr>
        <w:t>2.9 延迟交货</w:t>
      </w:r>
      <w:bookmarkEnd w:id="488"/>
      <w:bookmarkEnd w:id="489"/>
      <w:bookmarkEnd w:id="490"/>
      <w:bookmarkEnd w:id="491"/>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492" w:name="_Toc7502"/>
      <w:bookmarkStart w:id="493" w:name="_Toc487900364"/>
      <w:bookmarkStart w:id="494" w:name="_Toc259093683"/>
      <w:bookmarkStart w:id="495" w:name="_Toc279701254"/>
      <w:bookmarkStart w:id="496" w:name="_Ref467378121"/>
      <w:r>
        <w:rPr>
          <w:rFonts w:hint="eastAsia" w:ascii="仿宋" w:hAnsi="仿宋" w:eastAsia="仿宋" w:cs="仿宋"/>
          <w:b/>
          <w:color w:val="auto"/>
          <w:sz w:val="24"/>
          <w:highlight w:val="none"/>
        </w:rPr>
        <w:t>2.10 合同变更</w:t>
      </w:r>
      <w:bookmarkEnd w:id="492"/>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7" w:name="_Toc259093688"/>
      <w:bookmarkStart w:id="498" w:name="_Toc487900369"/>
      <w:bookmarkStart w:id="499" w:name="_Toc279701259"/>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00" w:name="_Toc15237"/>
      <w:bookmarkStart w:id="501" w:name="_Toc10366"/>
      <w:bookmarkStart w:id="502" w:name="_Toc22955"/>
      <w:r>
        <w:rPr>
          <w:rFonts w:hint="eastAsia" w:ascii="仿宋" w:hAnsi="仿宋" w:eastAsia="仿宋" w:cs="仿宋"/>
          <w:b/>
          <w:color w:val="auto"/>
          <w:sz w:val="24"/>
          <w:highlight w:val="none"/>
        </w:rPr>
        <w:t>2.11 合同转让</w:t>
      </w:r>
      <w:bookmarkEnd w:id="497"/>
      <w:bookmarkEnd w:id="498"/>
      <w:bookmarkEnd w:id="499"/>
      <w:r>
        <w:rPr>
          <w:rFonts w:hint="eastAsia" w:ascii="仿宋" w:hAnsi="仿宋" w:eastAsia="仿宋" w:cs="仿宋"/>
          <w:b/>
          <w:color w:val="auto"/>
          <w:sz w:val="24"/>
          <w:highlight w:val="none"/>
        </w:rPr>
        <w:t>和分包</w:t>
      </w:r>
      <w:bookmarkEnd w:id="500"/>
      <w:bookmarkEnd w:id="501"/>
      <w:bookmarkEnd w:id="502"/>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2.11.2乙方采取分包方式履行合同的，甲方可直接向分包供应商支付款项。</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03" w:name="_Toc14066"/>
      <w:bookmarkStart w:id="504" w:name="_Toc16508"/>
      <w:bookmarkStart w:id="505" w:name="_Toc13566"/>
      <w:r>
        <w:rPr>
          <w:rFonts w:hint="eastAsia" w:ascii="仿宋" w:hAnsi="仿宋" w:eastAsia="仿宋" w:cs="仿宋"/>
          <w:b/>
          <w:color w:val="auto"/>
          <w:sz w:val="24"/>
          <w:highlight w:val="none"/>
        </w:rPr>
        <w:t>2.12 不可抗力</w:t>
      </w:r>
      <w:bookmarkEnd w:id="503"/>
      <w:bookmarkEnd w:id="504"/>
      <w:bookmarkEnd w:id="505"/>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2.12.1如果任何一方遭遇法律规定的不可抗力，致使合同履行受阻时，履行合同的期限应予延长，延长的期限应相当于不可抗力所影响的时间；</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2.12.2 因不可抗力致使不能实现合同目的的，当事人可以解除合同；</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06" w:name="_Toc6969"/>
      <w:bookmarkStart w:id="507" w:name="_Toc487900365"/>
      <w:bookmarkStart w:id="508" w:name="_Toc259093684"/>
      <w:bookmarkStart w:id="509" w:name="_Toc689"/>
      <w:bookmarkStart w:id="510" w:name="_Toc279701255"/>
      <w:bookmarkStart w:id="511" w:name="_Toc30676"/>
      <w:r>
        <w:rPr>
          <w:rFonts w:hint="eastAsia" w:ascii="仿宋" w:hAnsi="仿宋" w:eastAsia="仿宋" w:cs="仿宋"/>
          <w:b/>
          <w:color w:val="auto"/>
          <w:sz w:val="24"/>
          <w:highlight w:val="none"/>
        </w:rPr>
        <w:t>2.13 税费</w:t>
      </w:r>
      <w:bookmarkEnd w:id="506"/>
      <w:bookmarkEnd w:id="507"/>
      <w:bookmarkEnd w:id="508"/>
      <w:bookmarkEnd w:id="509"/>
      <w:bookmarkEnd w:id="510"/>
      <w:bookmarkEnd w:id="511"/>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12" w:name="_Toc16959"/>
      <w:bookmarkStart w:id="513" w:name="_Toc8298"/>
      <w:bookmarkStart w:id="514" w:name="_Toc7102"/>
      <w:bookmarkStart w:id="515" w:name="_Toc487900368"/>
      <w:bookmarkStart w:id="516" w:name="_Toc259093687"/>
      <w:bookmarkStart w:id="517" w:name="_Toc279701258"/>
      <w:r>
        <w:rPr>
          <w:rFonts w:hint="eastAsia" w:ascii="仿宋" w:hAnsi="仿宋" w:eastAsia="仿宋" w:cs="仿宋"/>
          <w:b/>
          <w:color w:val="auto"/>
          <w:sz w:val="24"/>
          <w:highlight w:val="none"/>
        </w:rPr>
        <w:t>2.14乙方破产</w:t>
      </w:r>
      <w:bookmarkEnd w:id="512"/>
      <w:bookmarkEnd w:id="513"/>
      <w:bookmarkEnd w:id="514"/>
      <w:bookmarkEnd w:id="515"/>
      <w:bookmarkEnd w:id="516"/>
      <w:bookmarkEnd w:id="517"/>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18" w:name="_Toc15387"/>
      <w:bookmarkStart w:id="519" w:name="_Toc6134"/>
      <w:bookmarkStart w:id="520" w:name="_Toc29333"/>
      <w:r>
        <w:rPr>
          <w:rFonts w:hint="eastAsia" w:ascii="仿宋" w:hAnsi="仿宋" w:eastAsia="仿宋" w:cs="仿宋"/>
          <w:b/>
          <w:color w:val="auto"/>
          <w:sz w:val="24"/>
          <w:highlight w:val="none"/>
        </w:rPr>
        <w:t>2.15 合同中止、终止</w:t>
      </w:r>
      <w:bookmarkEnd w:id="518"/>
      <w:bookmarkEnd w:id="519"/>
      <w:bookmarkEnd w:id="520"/>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2.15.1 双方当事人不得擅自中止或者终止合同；</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21" w:name="_Toc6596"/>
      <w:bookmarkStart w:id="522" w:name="_Toc14563"/>
      <w:bookmarkStart w:id="523" w:name="_Toc1125"/>
      <w:r>
        <w:rPr>
          <w:rFonts w:hint="eastAsia" w:ascii="仿宋" w:hAnsi="仿宋" w:eastAsia="仿宋" w:cs="仿宋"/>
          <w:b/>
          <w:color w:val="auto"/>
          <w:sz w:val="24"/>
          <w:highlight w:val="none"/>
        </w:rPr>
        <w:t>2.16检验和验收</w:t>
      </w:r>
      <w:bookmarkEnd w:id="521"/>
      <w:bookmarkEnd w:id="522"/>
      <w:bookmarkEnd w:id="523"/>
    </w:p>
    <w:p>
      <w:pPr>
        <w:shd w:val="clear" w:color="000000" w:fill="auto"/>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2.16.1货物交付前，乙方应对货物的质量、数量等方面进行详细、全面的检验，并向甲方出具证明货物符合合同约定的文件；货物交付时，甲方在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shd w:val="clear" w:color="000000" w:fill="auto"/>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hd w:val="clear" w:color="000000" w:fill="auto"/>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bookmarkEnd w:id="493"/>
    <w:bookmarkEnd w:id="494"/>
    <w:bookmarkEnd w:id="495"/>
    <w:bookmarkEnd w:id="496"/>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24" w:name="_Toc279701261"/>
      <w:bookmarkStart w:id="525" w:name="_Toc487900371"/>
      <w:bookmarkStart w:id="526" w:name="_Toc259093690"/>
      <w:bookmarkStart w:id="527" w:name="_Toc19604"/>
      <w:bookmarkStart w:id="528" w:name="_Toc25182"/>
      <w:bookmarkStart w:id="529" w:name="_Toc11284"/>
      <w:r>
        <w:rPr>
          <w:rFonts w:hint="eastAsia" w:ascii="仿宋" w:hAnsi="仿宋" w:eastAsia="仿宋" w:cs="仿宋"/>
          <w:b/>
          <w:color w:val="auto"/>
          <w:sz w:val="24"/>
          <w:highlight w:val="none"/>
        </w:rPr>
        <w:t>2.17 通知</w:t>
      </w:r>
      <w:bookmarkEnd w:id="524"/>
      <w:bookmarkEnd w:id="525"/>
      <w:bookmarkEnd w:id="526"/>
      <w:r>
        <w:rPr>
          <w:rFonts w:hint="eastAsia" w:ascii="仿宋" w:hAnsi="仿宋" w:eastAsia="仿宋" w:cs="仿宋"/>
          <w:b/>
          <w:color w:val="auto"/>
          <w:sz w:val="24"/>
          <w:highlight w:val="none"/>
        </w:rPr>
        <w:t>和送达</w:t>
      </w:r>
      <w:bookmarkEnd w:id="527"/>
      <w:bookmarkEnd w:id="528"/>
      <w:bookmarkEnd w:id="529"/>
    </w:p>
    <w:p>
      <w:pPr>
        <w:shd w:val="clear" w:color="000000" w:fill="auto"/>
        <w:spacing w:line="560" w:lineRule="exact"/>
        <w:ind w:firstLine="480" w:firstLineChars="200"/>
        <w:rPr>
          <w:rFonts w:hint="eastAsia" w:ascii="仿宋" w:hAnsi="仿宋" w:eastAsia="仿宋" w:cs="仿宋"/>
          <w:color w:val="auto"/>
          <w:sz w:val="24"/>
          <w:highlight w:val="none"/>
        </w:rPr>
      </w:pPr>
      <w:bookmarkStart w:id="530" w:name="_Toc3135"/>
      <w:bookmarkStart w:id="531" w:name="_Toc6698"/>
      <w:bookmarkStart w:id="532" w:name="_Toc279701262"/>
      <w:bookmarkStart w:id="533" w:name="_Toc487900372"/>
      <w:bookmarkStart w:id="534" w:name="_Toc259093691"/>
      <w:r>
        <w:rPr>
          <w:rFonts w:hint="eastAsia" w:ascii="仿宋" w:hAnsi="仿宋" w:eastAsia="仿宋" w:cs="仿宋"/>
          <w:color w:val="auto"/>
          <w:sz w:val="24"/>
          <w:highlight w:val="none"/>
        </w:rPr>
        <w:t>2.17.1任何一方因履行合同而以合同第一部分尾部所列明的传真或电子邮件 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bookmarkEnd w:id="530"/>
      <w:bookmarkEnd w:id="531"/>
    </w:p>
    <w:p>
      <w:pPr>
        <w:shd w:val="clear" w:color="000000" w:fill="auto"/>
        <w:spacing w:line="560" w:lineRule="exact"/>
        <w:ind w:firstLine="480" w:firstLineChars="200"/>
        <w:rPr>
          <w:rFonts w:hint="eastAsia" w:ascii="仿宋" w:hAnsi="仿宋" w:eastAsia="仿宋" w:cs="仿宋"/>
          <w:color w:val="auto"/>
          <w:sz w:val="24"/>
          <w:highlight w:val="none"/>
        </w:rPr>
      </w:pPr>
      <w:bookmarkStart w:id="535" w:name="_Toc23128"/>
      <w:bookmarkStart w:id="536" w:name="_Toc23294"/>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37" w:name="_Toc18540"/>
      <w:bookmarkStart w:id="538" w:name="_Toc4355"/>
      <w:bookmarkStart w:id="539" w:name="_Toc30599"/>
      <w:r>
        <w:rPr>
          <w:rFonts w:hint="eastAsia" w:ascii="仿宋" w:hAnsi="仿宋" w:eastAsia="仿宋" w:cs="仿宋"/>
          <w:b/>
          <w:color w:val="auto"/>
          <w:sz w:val="24"/>
          <w:highlight w:val="none"/>
        </w:rPr>
        <w:t>2.18 计量单位</w:t>
      </w:r>
      <w:bookmarkEnd w:id="532"/>
      <w:bookmarkEnd w:id="533"/>
      <w:bookmarkEnd w:id="534"/>
      <w:bookmarkEnd w:id="537"/>
      <w:bookmarkEnd w:id="538"/>
      <w:bookmarkEnd w:id="539"/>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40" w:name="_Toc18567"/>
      <w:bookmarkStart w:id="541" w:name="_Toc259093692"/>
      <w:bookmarkStart w:id="542" w:name="_Toc487900373"/>
      <w:bookmarkStart w:id="543" w:name="_Toc12773"/>
      <w:bookmarkStart w:id="544" w:name="_Toc10330"/>
      <w:bookmarkStart w:id="545" w:name="_Toc279701263"/>
      <w:r>
        <w:rPr>
          <w:rFonts w:hint="eastAsia" w:ascii="仿宋" w:hAnsi="仿宋" w:eastAsia="仿宋" w:cs="仿宋"/>
          <w:b/>
          <w:color w:val="auto"/>
          <w:sz w:val="24"/>
          <w:highlight w:val="none"/>
        </w:rPr>
        <w:t>2.19 合同使用的文字和适用的法律</w:t>
      </w:r>
      <w:bookmarkEnd w:id="540"/>
      <w:bookmarkEnd w:id="541"/>
      <w:bookmarkEnd w:id="542"/>
      <w:bookmarkEnd w:id="543"/>
      <w:bookmarkEnd w:id="544"/>
      <w:bookmarkEnd w:id="545"/>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2.19.1 合同使用汉语书就、变更和解释；</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2.19.2 合同适用中华人民共和国法律。</w:t>
      </w:r>
    </w:p>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46" w:name="_Toc259093693"/>
      <w:bookmarkStart w:id="547" w:name="_Toc16673"/>
      <w:bookmarkStart w:id="548" w:name="_Toc279701264"/>
      <w:bookmarkStart w:id="549" w:name="_Toc3148"/>
      <w:bookmarkStart w:id="550" w:name="_Toc12004"/>
      <w:bookmarkStart w:id="551" w:name="_Toc487900374"/>
      <w:r>
        <w:rPr>
          <w:rFonts w:hint="eastAsia" w:ascii="仿宋" w:hAnsi="仿宋" w:eastAsia="仿宋" w:cs="仿宋"/>
          <w:b/>
          <w:color w:val="auto"/>
          <w:sz w:val="24"/>
          <w:highlight w:val="none"/>
        </w:rPr>
        <w:t>2.20 履约保证金</w:t>
      </w:r>
      <w:bookmarkEnd w:id="546"/>
      <w:bookmarkEnd w:id="547"/>
      <w:bookmarkEnd w:id="548"/>
      <w:bookmarkEnd w:id="549"/>
      <w:bookmarkEnd w:id="550"/>
    </w:p>
    <w:p>
      <w:pPr>
        <w:pStyle w:val="958"/>
        <w:shd w:val="clear" w:color="010000" w:fill="auto"/>
        <w:spacing w:before="0" w:beforeAutospacing="0" w:after="0" w:afterAutospacing="0"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2.20.1 采购文件要求乙方提交履约保证金的，乙方应按</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2.20.2  甲方在项目验收结束后及时退还履约保证金。甲方在项目通过验收之日起</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个工作日内将履约保证金退还乙方，逾期退还的，乙方可要求甲方支付违约金，违约金按每迟延退还一日的应退还而未退还金额的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 xml:space="preserve">%； </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hd w:val="clear" w:color="000000" w:fill="auto"/>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2.20.4甲方在乙方履行完合同约定义务事项后及时退还，延迟退还的，应当按照合同约定和法律规定承担相应的赔偿责任。</w:t>
      </w:r>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2.21对于因甲方原因导致变更、中止或者终止政府采购合同的，甲方应当依照合同约定对供应商受到的损失予以赔偿或者补偿。</w:t>
      </w:r>
    </w:p>
    <w:bookmarkEnd w:id="551"/>
    <w:p>
      <w:pPr>
        <w:shd w:val="clear" w:color="000000" w:fill="auto"/>
        <w:spacing w:line="560" w:lineRule="exact"/>
        <w:ind w:firstLine="482" w:firstLineChars="200"/>
        <w:outlineLvl w:val="0"/>
        <w:rPr>
          <w:rFonts w:hint="eastAsia" w:ascii="仿宋" w:hAnsi="仿宋" w:eastAsia="仿宋" w:cs="仿宋"/>
          <w:b/>
          <w:color w:val="auto"/>
          <w:sz w:val="24"/>
          <w:highlight w:val="none"/>
        </w:rPr>
      </w:pPr>
      <w:bookmarkStart w:id="552" w:name="_Toc19890"/>
      <w:bookmarkStart w:id="553" w:name="_Toc14001"/>
      <w:bookmarkStart w:id="554" w:name="_Toc6885"/>
      <w:r>
        <w:rPr>
          <w:rFonts w:hint="eastAsia" w:ascii="仿宋" w:hAnsi="仿宋" w:eastAsia="仿宋" w:cs="仿宋"/>
          <w:b/>
          <w:color w:val="auto"/>
          <w:sz w:val="24"/>
          <w:highlight w:val="none"/>
        </w:rPr>
        <w:t>2.22合同份数</w:t>
      </w:r>
      <w:bookmarkEnd w:id="552"/>
      <w:bookmarkEnd w:id="553"/>
      <w:bookmarkEnd w:id="554"/>
    </w:p>
    <w:p>
      <w:pPr>
        <w:shd w:val="clear" w:color="000000" w:fill="auto"/>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hd w:val="clear" w:color="000000" w:fill="auto"/>
        <w:adjustRightInd/>
        <w:spacing w:line="360" w:lineRule="auto"/>
        <w:ind w:firstLine="2513" w:firstLineChars="1197"/>
        <w:outlineLvl w:val="0"/>
        <w:rPr>
          <w:rFonts w:hint="eastAsia" w:ascii="仿宋" w:hAnsi="仿宋" w:eastAsia="仿宋" w:cs="仿宋"/>
          <w:b/>
          <w:color w:val="auto"/>
          <w:highlight w:val="none"/>
        </w:rPr>
      </w:pPr>
      <w:r>
        <w:rPr>
          <w:rFonts w:hint="eastAsia" w:ascii="仿宋" w:hAnsi="仿宋" w:eastAsia="仿宋" w:cs="仿宋"/>
          <w:color w:val="auto"/>
          <w:kern w:val="0"/>
          <w:highlight w:val="none"/>
        </w:rPr>
        <w:br w:type="page"/>
      </w:r>
      <w:r>
        <w:rPr>
          <w:rFonts w:hint="eastAsia" w:ascii="仿宋" w:hAnsi="仿宋" w:eastAsia="仿宋" w:cs="仿宋"/>
          <w:b/>
          <w:color w:val="auto"/>
          <w:sz w:val="32"/>
          <w:szCs w:val="20"/>
          <w:highlight w:val="none"/>
        </w:rPr>
        <w:t>第三部分  合同专用条款</w:t>
      </w:r>
    </w:p>
    <w:p>
      <w:pPr>
        <w:shd w:val="clear" w:color="000000" w:fill="auto"/>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noWrap w:val="0"/>
            <w:vAlign w:val="center"/>
          </w:tcPr>
          <w:p>
            <w:pPr>
              <w:shd w:val="clear" w:color="000000" w:fill="auto"/>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条款号</w:t>
            </w:r>
          </w:p>
        </w:tc>
        <w:tc>
          <w:tcPr>
            <w:tcW w:w="8275" w:type="dxa"/>
            <w:noWrap w:val="0"/>
            <w:vAlign w:val="center"/>
          </w:tcPr>
          <w:p>
            <w:pPr>
              <w:shd w:val="clear" w:color="000000" w:fill="auto"/>
              <w:spacing w:line="360" w:lineRule="auto"/>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1.4.4</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1.5.1 </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1.5.2</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1.5.3 </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1.6.7</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1.7</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1.7.1</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1.7.2</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2.3.2</w:t>
            </w:r>
          </w:p>
        </w:tc>
        <w:tc>
          <w:tcPr>
            <w:tcW w:w="8275" w:type="dxa"/>
            <w:noWrap w:val="0"/>
            <w:vAlign w:val="center"/>
          </w:tcPr>
          <w:p>
            <w:pPr>
              <w:shd w:val="clear" w:color="000000" w:fill="auto"/>
              <w:spacing w:line="360" w:lineRule="auto"/>
              <w:ind w:left="-420" w:leftChars="-200" w:right="-420" w:rightChars="-200" w:firstLine="480" w:firstLineChars="200"/>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2.4.1</w:t>
            </w:r>
          </w:p>
        </w:tc>
        <w:tc>
          <w:tcPr>
            <w:tcW w:w="8275" w:type="dxa"/>
            <w:noWrap w:val="0"/>
            <w:vAlign w:val="center"/>
          </w:tcPr>
          <w:p>
            <w:pPr>
              <w:shd w:val="clear" w:color="000000" w:fill="auto"/>
              <w:spacing w:line="360" w:lineRule="auto"/>
              <w:ind w:left="-420" w:leftChars="-200" w:right="-420" w:rightChars="-200" w:firstLine="480" w:firstLineChars="200"/>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2.4.3</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top"/>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2.8 </w:t>
            </w:r>
          </w:p>
        </w:tc>
        <w:tc>
          <w:tcPr>
            <w:tcW w:w="8275" w:type="dxa"/>
            <w:noWrap w:val="0"/>
            <w:vAlign w:val="top"/>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2.12.3</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2.12.4</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2.16.1</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2.16.3</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noWrap w:val="0"/>
            <w:vAlign w:val="top"/>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2.20.1</w:t>
            </w:r>
          </w:p>
        </w:tc>
        <w:tc>
          <w:tcPr>
            <w:tcW w:w="8275" w:type="dxa"/>
            <w:noWrap w:val="0"/>
            <w:vAlign w:val="top"/>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noWrap w:val="0"/>
            <w:vAlign w:val="center"/>
          </w:tcPr>
          <w:p>
            <w:pPr>
              <w:shd w:val="clear" w:color="000000" w:fill="auto"/>
              <w:spacing w:line="360"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2.20.2 </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noWrap w:val="0"/>
            <w:vAlign w:val="center"/>
          </w:tcPr>
          <w:p>
            <w:pPr>
              <w:shd w:val="clear" w:color="000000" w:fill="auto"/>
              <w:spacing w:line="360" w:lineRule="auto"/>
              <w:ind w:left="-420" w:leftChars="-200" w:right="-420" w:rightChars="-200" w:firstLine="480" w:firstLineChars="20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2.22 </w:t>
            </w:r>
          </w:p>
        </w:tc>
        <w:tc>
          <w:tcPr>
            <w:tcW w:w="8275" w:type="dxa"/>
            <w:noWrap w:val="0"/>
            <w:vAlign w:val="center"/>
          </w:tcPr>
          <w:p>
            <w:pPr>
              <w:shd w:val="clear" w:color="000000" w:fill="auto"/>
              <w:spacing w:line="360" w:lineRule="auto"/>
              <w:rPr>
                <w:rFonts w:hint="eastAsia" w:ascii="仿宋" w:hAnsi="仿宋" w:eastAsia="仿宋" w:cs="仿宋"/>
                <w:color w:val="auto"/>
                <w:sz w:val="24"/>
                <w:szCs w:val="20"/>
                <w:highlight w:val="none"/>
              </w:rPr>
            </w:pPr>
          </w:p>
        </w:tc>
      </w:tr>
    </w:tbl>
    <w:p>
      <w:pPr>
        <w:shd w:val="clear" w:color="000000" w:fill="auto"/>
        <w:spacing w:line="360" w:lineRule="auto"/>
        <w:ind w:left="-420" w:leftChars="-200" w:right="-420" w:righ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此仅为合同书样本，中标单位需根据实际情况和采购人签订相应的合同！</w:t>
      </w:r>
    </w:p>
    <w:p>
      <w:pPr>
        <w:spacing w:line="360" w:lineRule="auto"/>
        <w:ind w:left="-420" w:leftChars="-200" w:right="-420" w:rightChars="-200"/>
        <w:rPr>
          <w:rFonts w:ascii="宋体" w:hAnsi="宋体" w:cs="宋体"/>
          <w:sz w:val="24"/>
        </w:rPr>
      </w:pPr>
    </w:p>
    <w:p>
      <w:pPr>
        <w:pStyle w:val="5"/>
      </w:pPr>
    </w:p>
    <w:p/>
    <w:p>
      <w:pPr>
        <w:spacing w:line="360" w:lineRule="auto"/>
        <w:ind w:left="-420" w:leftChars="-200" w:right="-420" w:rightChars="-200"/>
        <w:rPr>
          <w:rFonts w:ascii="宋体" w:hAnsi="宋体" w:cs="宋体"/>
          <w:sz w:val="24"/>
        </w:rPr>
      </w:pPr>
    </w:p>
    <w:p>
      <w:pPr>
        <w:pStyle w:val="5"/>
      </w:pPr>
    </w:p>
    <w:p/>
    <w:bookmarkEnd w:id="397"/>
    <w:bookmarkEnd w:id="398"/>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 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480" w:firstLineChars="200"/>
        <w:jc w:val="right"/>
        <w:rPr>
          <w:rFonts w:hint="eastAsia" w:ascii="宋体" w:hAnsi="宋体" w:eastAsia="宋体" w:cs="宋体"/>
          <w:sz w:val="24"/>
          <w:lang w:val="zh-CN"/>
        </w:rPr>
      </w:pPr>
    </w:p>
    <w:p>
      <w:pPr>
        <w:snapToGrid w:val="0"/>
        <w:spacing w:line="360" w:lineRule="auto"/>
        <w:ind w:firstLine="480" w:firstLineChars="200"/>
        <w:jc w:val="right"/>
        <w:rPr>
          <w:rFonts w:hint="eastAsia" w:ascii="宋体" w:hAnsi="宋体" w:eastAsia="宋体" w:cs="宋体"/>
          <w:sz w:val="24"/>
          <w:lang w:val="zh-CN"/>
        </w:rPr>
      </w:pP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5"/>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napToGrid w:val="0"/>
        <w:spacing w:line="360" w:lineRule="auto"/>
        <w:ind w:firstLine="480" w:firstLineChars="200"/>
        <w:jc w:val="right"/>
        <w:rPr>
          <w:rFonts w:hint="eastAsia" w:ascii="宋体" w:hAnsi="宋体" w:eastAsia="宋体" w:cs="宋体"/>
          <w:sz w:val="24"/>
          <w:lang w:val="zh-CN"/>
        </w:rPr>
      </w:pP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spacing w:line="360" w:lineRule="auto"/>
        <w:jc w:val="center"/>
        <w:rPr>
          <w:rFonts w:ascii="宋体" w:hAnsi="宋体" w:cs="宋体"/>
          <w:sz w:val="24"/>
        </w:rPr>
      </w:pP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ind w:firstLine="480" w:firstLineChars="200"/>
        <w:jc w:val="right"/>
        <w:rPr>
          <w:rFonts w:ascii="宋体" w:hAnsi="宋体" w:cs="宋体"/>
          <w:kern w:val="0"/>
          <w:sz w:val="24"/>
        </w:rPr>
      </w:pPr>
      <w:r>
        <w:rPr>
          <w:rFonts w:hint="eastAsia" w:ascii="宋体" w:hAnsi="宋体" w:cs="宋体"/>
          <w:kern w:val="0"/>
          <w:sz w:val="24"/>
          <w:lang w:val="zh-CN"/>
        </w:rPr>
        <w:t xml:space="preserve">                                  </w:t>
      </w:r>
      <w:r>
        <w:rPr>
          <w:rFonts w:hint="eastAsia" w:ascii="宋体" w:hAnsi="宋体" w:eastAsia="宋体" w:cs="宋体"/>
          <w:sz w:val="24"/>
          <w:lang w:val="zh-CN"/>
        </w:rPr>
        <w:t>投标人（或联合体牵头人）名称(电子签名)：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480" w:firstLineChars="200"/>
        <w:jc w:val="right"/>
        <w:rPr>
          <w:rFonts w:ascii="宋体" w:hAnsi="宋体" w:cs="宋体"/>
          <w:kern w:val="0"/>
          <w:sz w:val="24"/>
          <w:lang w:val="zh-CN"/>
        </w:rPr>
      </w:pPr>
      <w:r>
        <w:rPr>
          <w:rFonts w:hint="eastAsia" w:ascii="宋体" w:hAnsi="宋体" w:cs="宋体"/>
          <w:kern w:val="0"/>
          <w:sz w:val="24"/>
          <w:lang w:val="zh-CN"/>
        </w:rPr>
        <w:t xml:space="preserve">                  </w:t>
      </w:r>
      <w:r>
        <w:rPr>
          <w:rFonts w:hint="eastAsia" w:ascii="宋体" w:hAnsi="宋体" w:eastAsia="宋体" w:cs="宋体"/>
          <w:sz w:val="24"/>
          <w:lang w:val="zh-CN"/>
        </w:rPr>
        <w:t>投标人（或联合体牵头人）名称(电子签名)：</w:t>
      </w:r>
      <w:r>
        <w:rPr>
          <w:rFonts w:hint="eastAsia" w:ascii="宋体" w:hAnsi="宋体" w:cs="宋体"/>
          <w:kern w:val="0"/>
          <w:sz w:val="24"/>
          <w:lang w:val="zh-CN"/>
        </w:rPr>
        <w:t xml:space="preserve">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bookmarkStart w:id="555"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55"/>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5"/>
        <w:rPr>
          <w:lang w:val="en-US"/>
        </w:rPr>
      </w:pPr>
    </w:p>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项目主要特征</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w:t>
      </w:r>
      <w:bookmarkStart w:id="556" w:name="_Hlk101259491"/>
      <w:r>
        <w:rPr>
          <w:rFonts w:hint="eastAsia" w:ascii="宋体" w:hAnsi="宋体" w:eastAsia="宋体" w:cs="宋体"/>
          <w:color w:val="FF0000"/>
          <w:sz w:val="32"/>
          <w:szCs w:val="32"/>
        </w:rPr>
        <w:t>（如果有）</w:t>
      </w:r>
      <w:bookmarkEnd w:id="556"/>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7" w:name="_Toc465665161"/>
      <w:r>
        <w:rPr>
          <w:rFonts w:hint="eastAsia" w:ascii="宋体" w:hAnsi="宋体" w:cs="宋体"/>
        </w:rPr>
        <w:t>附件</w:t>
      </w:r>
      <w:bookmarkEnd w:id="557"/>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8" w:name="OLE_LINK14"/>
      <w:bookmarkStart w:id="559" w:name="OLE_LINK13"/>
      <w:r>
        <w:rPr>
          <w:rFonts w:hint="eastAsia" w:ascii="宋体" w:hAnsi="宋体" w:cs="宋体"/>
          <w:b/>
          <w:spacing w:val="6"/>
          <w:sz w:val="32"/>
          <w:szCs w:val="32"/>
        </w:rPr>
        <w:t>残疾人福利性单位声明函</w:t>
      </w:r>
    </w:p>
    <w:bookmarkEnd w:id="558"/>
    <w:bookmarkEnd w:id="559"/>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cs="宋体"/>
          <w:sz w:val="24"/>
        </w:rPr>
        <w:t xml:space="preserve">              </w:t>
      </w:r>
      <w:r>
        <w:rPr>
          <w:rFonts w:hint="eastAsia" w:ascii="宋体" w:hAnsi="宋体" w:eastAsia="宋体" w:cs="宋体"/>
          <w:sz w:val="24"/>
          <w:lang w:val="zh-CN"/>
        </w:rPr>
        <w:t>投标人（或联合体牵头人）名称(电子签名)：</w:t>
      </w:r>
    </w:p>
    <w:p>
      <w:pPr>
        <w:snapToGrid w:val="0"/>
        <w:spacing w:line="360" w:lineRule="auto"/>
        <w:ind w:firstLine="480" w:firstLineChars="200"/>
        <w:jc w:val="right"/>
        <w:rPr>
          <w:rFonts w:hint="eastAsia" w:ascii="宋体" w:hAnsi="宋体" w:eastAsia="宋体" w:cs="宋体"/>
          <w:sz w:val="24"/>
          <w:lang w:val="zh-CN"/>
        </w:rPr>
      </w:pPr>
      <w:r>
        <w:rPr>
          <w:rFonts w:hint="eastAsia" w:ascii="宋体" w:hAnsi="宋体" w:eastAsia="宋体" w:cs="宋体"/>
          <w:sz w:val="24"/>
          <w:lang w:val="zh-CN"/>
        </w:rPr>
        <w:t>日期：</w:t>
      </w:r>
      <w:r>
        <w:rPr>
          <w:rFonts w:hint="eastAsia" w:ascii="宋体" w:hAnsi="宋体" w:eastAsia="宋体" w:cs="宋体"/>
          <w:sz w:val="24"/>
          <w:lang w:val="en-US" w:eastAsia="zh-CN"/>
        </w:rPr>
        <w:t xml:space="preserve">  </w:t>
      </w:r>
      <w:r>
        <w:rPr>
          <w:rFonts w:hint="eastAsia" w:ascii="宋体" w:hAnsi="宋体" w:eastAsia="宋体" w:cs="宋体"/>
          <w:sz w:val="24"/>
          <w:lang w:val="zh-CN"/>
        </w:rPr>
        <w:t>年</w:t>
      </w:r>
      <w:r>
        <w:rPr>
          <w:rFonts w:hint="eastAsia" w:ascii="宋体" w:hAnsi="宋体" w:eastAsia="宋体" w:cs="宋体"/>
          <w:sz w:val="24"/>
          <w:lang w:val="en-US" w:eastAsia="zh-CN"/>
        </w:rPr>
        <w:t xml:space="preserve">  </w:t>
      </w:r>
      <w:r>
        <w:rPr>
          <w:rFonts w:hint="eastAsia" w:ascii="宋体" w:hAnsi="宋体" w:eastAsia="宋体" w:cs="宋体"/>
          <w:sz w:val="24"/>
          <w:lang w:val="zh-CN"/>
        </w:rPr>
        <w:t>月</w:t>
      </w:r>
      <w:r>
        <w:rPr>
          <w:rFonts w:hint="eastAsia" w:ascii="宋体" w:hAnsi="宋体" w:eastAsia="宋体" w:cs="宋体"/>
          <w:sz w:val="24"/>
          <w:lang w:val="en-US" w:eastAsia="zh-CN"/>
        </w:rPr>
        <w:t xml:space="preserve">  </w:t>
      </w:r>
      <w:r>
        <w:rPr>
          <w:rFonts w:hint="eastAsia" w:ascii="宋体" w:hAnsi="宋体" w:eastAsia="宋体" w:cs="宋体"/>
          <w:sz w:val="24"/>
          <w:lang w:val="zh-CN"/>
        </w:rPr>
        <w:t>日</w:t>
      </w:r>
    </w:p>
    <w:p>
      <w:pPr>
        <w:tabs>
          <w:tab w:val="left" w:pos="4860"/>
        </w:tabs>
        <w:spacing w:line="360" w:lineRule="auto"/>
        <w:ind w:right="1560" w:firstLine="480" w:firstLineChars="200"/>
        <w:jc w:val="center"/>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ln>
                      </wps:spPr>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&#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z/jB2AAAAAoBAAAPAAAAAAAAAAEAIAAAACIAAABk&#10;cnMvZG93bnJldi54bWxQSwECFAAUAAAACACHTuJAC9UheM0BAADGAwAADgAAAAAAAAABACAAAAAn&#10;AQAAZHJzL2Uyb0RvYy54bWxQSwUGAAAAAAYABgBZAQAAZgUAAAAA&#10;">
                <v:fill on="t" focussize="0,0"/>
                <v:stroke color="#000000" joinstyle="miter"/>
                <v:imagedata o:title=""/>
                <o:lock v:ext="edit" aspectratio="f"/>
              </v:rect>
            </w:pict>
          </mc:Fallback>
        </mc:AlternateContent>
      </w:r>
      <w:r>
        <w:rPr>
          <w:rFonts w:hint="eastAsia" w:ascii="宋体" w:hAnsi="宋体" w:cs="宋体"/>
          <w:b/>
          <w:bCs/>
          <w:sz w:val="24"/>
        </w:rPr>
        <mc:AlternateContent>
          <mc:Choice Requires="wps">
            <w:drawing>
              <wp:anchor distT="0" distB="0" distL="0" distR="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ln>
                      </wps:spPr>
                      <wps:bodyPr/>
                    </wps:wsp>
                  </a:graphicData>
                </a:graphic>
              </wp:anchor>
            </w:drawing>
          </mc:Choice>
          <mc:Fallback>
            <w:pict>
              <v:rect id="Rectangle 1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&#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07BY2AAAAAoBAAAPAAAAAAAAAAEAIAAAACIAAABk&#10;cnMvZG93bnJldi54bWxQSwECFAAUAAAACACHTuJAD8HNp80BAADGAwAADgAAAAAAAAABACAAAAAn&#10;AQAAZHJzL2Uyb0RvYy54bWxQSwUGAAAAAAYABgBZAQAAZgUAAAAA&#10;">
                <v:fill on="t" focussize="0,0"/>
                <v:stroke color="#000000"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60"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60"/>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6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6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pStyle w:val="5"/>
        <w:rPr>
          <w:rFonts w:ascii="宋体" w:hAnsi="宋体" w:cs="宋体"/>
          <w:b/>
          <w:sz w:val="32"/>
          <w:szCs w:val="32"/>
        </w:rPr>
      </w:pPr>
    </w:p>
    <w:p>
      <w:pPr>
        <w:rPr>
          <w:rFonts w:ascii="宋体" w:hAnsi="宋体" w:cs="宋体"/>
          <w:b/>
          <w:sz w:val="32"/>
          <w:szCs w:val="32"/>
        </w:rPr>
      </w:pPr>
    </w:p>
    <w:p>
      <w:pPr>
        <w:pStyle w:val="5"/>
        <w:rPr>
          <w:rFonts w:ascii="宋体" w:hAnsi="宋体" w:cs="宋体"/>
          <w:b/>
          <w:sz w:val="32"/>
          <w:szCs w:val="32"/>
        </w:rPr>
      </w:pPr>
    </w:p>
    <w:p>
      <w:pPr>
        <w:rPr>
          <w:rFonts w:ascii="宋体" w:hAnsi="宋体" w:cs="宋体"/>
          <w:b/>
          <w:sz w:val="32"/>
          <w:szCs w:val="32"/>
        </w:rPr>
      </w:pPr>
    </w:p>
    <w:p>
      <w:pPr>
        <w:pStyle w:val="25"/>
        <w:shd w:val="clear" w:color="010000" w:fill="auto"/>
        <w:ind w:firstLine="0"/>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附件8：</w:t>
      </w:r>
    </w:p>
    <w:p>
      <w:pPr>
        <w:pStyle w:val="25"/>
        <w:shd w:val="clear" w:color="010000" w:fill="auto"/>
        <w:ind w:firstLine="0"/>
        <w:jc w:val="center"/>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中小企业划型标准规定</w:t>
      </w:r>
    </w:p>
    <w:p>
      <w:pPr>
        <w:pStyle w:val="970"/>
        <w:shd w:val="clear" w:color="010000" w:fill="auto"/>
        <w:spacing w:line="360" w:lineRule="auto"/>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)，制定本规定。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四、各行业划型标准为：</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5"/>
        <w:shd w:val="clear" w:color="010000" w:fill="auto"/>
        <w:rPr>
          <w:rFonts w:hint="eastAsia" w:ascii="仿宋" w:hAnsi="仿宋" w:eastAsia="仿宋" w:cs="仿宋"/>
          <w:b/>
          <w:color w:val="auto"/>
          <w:sz w:val="21"/>
          <w:szCs w:val="21"/>
          <w:highlight w:val="none"/>
        </w:rPr>
      </w:pPr>
      <w:r>
        <w:rPr>
          <w:rFonts w:hint="eastAsia" w:ascii="仿宋" w:hAnsi="仿宋" w:eastAsia="仿宋" w:cs="仿宋"/>
          <w:color w:val="auto"/>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970"/>
        <w:shd w:val="clear" w:color="010000" w:fill="auto"/>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同时废止。</w:t>
      </w:r>
    </w:p>
    <w:p>
      <w:pPr>
        <w:pStyle w:val="712"/>
        <w:shd w:val="clear" w:color="010000" w:fill="auto"/>
        <w:ind w:firstLine="480"/>
        <w:rPr>
          <w:rFonts w:hint="eastAsia" w:ascii="仿宋" w:hAnsi="仿宋" w:eastAsia="仿宋" w:cs="仿宋"/>
          <w:color w:val="auto"/>
          <w:highlight w:val="none"/>
        </w:rPr>
      </w:pPr>
    </w:p>
    <w:p>
      <w:pPr>
        <w:pStyle w:val="712"/>
        <w:shd w:val="clear" w:color="010000" w:fill="auto"/>
        <w:ind w:firstLine="480"/>
        <w:rPr>
          <w:rFonts w:hint="eastAsia" w:ascii="仿宋" w:hAnsi="仿宋" w:eastAsia="仿宋" w:cs="仿宋"/>
          <w:color w:val="auto"/>
          <w:highlight w:val="none"/>
        </w:rPr>
      </w:pPr>
    </w:p>
    <w:p>
      <w:pPr>
        <w:pStyle w:val="712"/>
        <w:shd w:val="clear" w:color="010000" w:fill="auto"/>
        <w:ind w:firstLine="480"/>
        <w:rPr>
          <w:rFonts w:hint="eastAsia" w:ascii="仿宋" w:hAnsi="仿宋" w:eastAsia="仿宋" w:cs="仿宋"/>
          <w:color w:val="auto"/>
          <w:highlight w:val="none"/>
        </w:rPr>
      </w:pPr>
    </w:p>
    <w:p>
      <w:pPr>
        <w:pStyle w:val="5"/>
      </w:pPr>
    </w:p>
    <w:p>
      <w:pPr>
        <w:spacing w:line="360" w:lineRule="auto"/>
        <w:jc w:val="center"/>
        <w:rPr>
          <w:rFonts w:ascii="宋体" w:hAnsi="宋体" w:cs="宋体"/>
          <w:b/>
          <w:sz w:val="32"/>
          <w:szCs w:val="32"/>
        </w:rPr>
      </w:pPr>
    </w:p>
    <w:p>
      <w:pPr>
        <w:spacing w:line="360" w:lineRule="auto"/>
        <w:rPr>
          <w:rFonts w:ascii="宋体" w:hAnsi="宋体" w:cs="宋体"/>
          <w:bCs/>
          <w:sz w:val="24"/>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7F" w:usb3="00000000" w:csb0="203F01FF" w:csb1="DFFF0000"/>
  </w:font>
  <w:font w:name="Helvetica">
    <w:altName w:val="Arial"/>
    <w:panose1 w:val="020B05040200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62" w:name="_Toc131845147"/>
    <w:bookmarkStart w:id="563" w:name="_Toc164085800"/>
    <w:bookmarkStart w:id="564" w:name="_Toc91899912"/>
    <w:bookmarkStart w:id="565" w:name="_Toc36110187"/>
    <w:r>
      <w:rPr>
        <w:rFonts w:hint="eastAsia" w:ascii="仿宋_GB2312" w:eastAsia="仿宋_GB2312"/>
        <w:kern w:val="0"/>
        <w:szCs w:val="21"/>
      </w:rPr>
      <w:t xml:space="preserve"> 页</w:t>
    </w:r>
    <w:bookmarkEnd w:id="562"/>
    <w:bookmarkEnd w:id="563"/>
    <w:bookmarkEnd w:id="564"/>
    <w:bookmarkEnd w:id="56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223169"/>
    <w:multiLevelType w:val="singleLevel"/>
    <w:tmpl w:val="A1223169"/>
    <w:lvl w:ilvl="0" w:tentative="0">
      <w:start w:val="1"/>
      <w:numFmt w:val="decimal"/>
      <w:suff w:val="nothing"/>
      <w:lvlText w:val="%1）"/>
      <w:lvlJc w:val="left"/>
    </w:lvl>
  </w:abstractNum>
  <w:abstractNum w:abstractNumId="1">
    <w:nsid w:val="0000000A"/>
    <w:multiLevelType w:val="singleLevel"/>
    <w:tmpl w:val="0000000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ZmVlZTcxNDM2NThlZTMzM2NlZTllN2YxMTI0YTIifQ=="/>
  </w:docVars>
  <w:rsids>
    <w:rsidRoot w:val="00000000"/>
    <w:rsid w:val="02353A89"/>
    <w:rsid w:val="02713650"/>
    <w:rsid w:val="04222540"/>
    <w:rsid w:val="05127BD7"/>
    <w:rsid w:val="056D1AA6"/>
    <w:rsid w:val="05A76A4C"/>
    <w:rsid w:val="05B65FB8"/>
    <w:rsid w:val="06F832D7"/>
    <w:rsid w:val="07683FB9"/>
    <w:rsid w:val="08647FA3"/>
    <w:rsid w:val="087F780C"/>
    <w:rsid w:val="098D5F59"/>
    <w:rsid w:val="09BA4874"/>
    <w:rsid w:val="0AB96545"/>
    <w:rsid w:val="0B573616"/>
    <w:rsid w:val="0C191D25"/>
    <w:rsid w:val="0C6200B4"/>
    <w:rsid w:val="0CAC3831"/>
    <w:rsid w:val="0DDC6A48"/>
    <w:rsid w:val="0EBD2E3C"/>
    <w:rsid w:val="0EF14571"/>
    <w:rsid w:val="11485192"/>
    <w:rsid w:val="11E07A17"/>
    <w:rsid w:val="12321D8C"/>
    <w:rsid w:val="13FF3EF7"/>
    <w:rsid w:val="14FC60B6"/>
    <w:rsid w:val="16223ECC"/>
    <w:rsid w:val="16C84A74"/>
    <w:rsid w:val="17252FEC"/>
    <w:rsid w:val="18BF6FB2"/>
    <w:rsid w:val="191E6BCD"/>
    <w:rsid w:val="1B375D24"/>
    <w:rsid w:val="1E206F43"/>
    <w:rsid w:val="20C0056A"/>
    <w:rsid w:val="20E1453F"/>
    <w:rsid w:val="22244B28"/>
    <w:rsid w:val="241906BD"/>
    <w:rsid w:val="24C24E10"/>
    <w:rsid w:val="24E51061"/>
    <w:rsid w:val="25DE564B"/>
    <w:rsid w:val="26541E80"/>
    <w:rsid w:val="26652B28"/>
    <w:rsid w:val="27A02EA3"/>
    <w:rsid w:val="296044C8"/>
    <w:rsid w:val="2A2C072E"/>
    <w:rsid w:val="2AF235EC"/>
    <w:rsid w:val="2B801021"/>
    <w:rsid w:val="2C662167"/>
    <w:rsid w:val="2D0068BE"/>
    <w:rsid w:val="2DCF162E"/>
    <w:rsid w:val="2F516105"/>
    <w:rsid w:val="2F58784D"/>
    <w:rsid w:val="2F6F3887"/>
    <w:rsid w:val="2FA84FEB"/>
    <w:rsid w:val="304545E8"/>
    <w:rsid w:val="30DF3FEC"/>
    <w:rsid w:val="31A46513"/>
    <w:rsid w:val="33321433"/>
    <w:rsid w:val="341C0AF9"/>
    <w:rsid w:val="365C268B"/>
    <w:rsid w:val="36962971"/>
    <w:rsid w:val="37AC7A5E"/>
    <w:rsid w:val="3A485AF8"/>
    <w:rsid w:val="3DAE1A1E"/>
    <w:rsid w:val="407C608B"/>
    <w:rsid w:val="41EC520B"/>
    <w:rsid w:val="42B70508"/>
    <w:rsid w:val="43946AF4"/>
    <w:rsid w:val="43CD6976"/>
    <w:rsid w:val="446D195D"/>
    <w:rsid w:val="44E3275E"/>
    <w:rsid w:val="45062140"/>
    <w:rsid w:val="45DB181E"/>
    <w:rsid w:val="46AC4F69"/>
    <w:rsid w:val="47E763B3"/>
    <w:rsid w:val="47FA4909"/>
    <w:rsid w:val="4856518C"/>
    <w:rsid w:val="48B11D7B"/>
    <w:rsid w:val="49216413"/>
    <w:rsid w:val="4A5D2F1F"/>
    <w:rsid w:val="4CF213BF"/>
    <w:rsid w:val="4D7560B4"/>
    <w:rsid w:val="4E75659A"/>
    <w:rsid w:val="500F0A42"/>
    <w:rsid w:val="527A5F1B"/>
    <w:rsid w:val="52DC3B27"/>
    <w:rsid w:val="54CA02A1"/>
    <w:rsid w:val="55AB358C"/>
    <w:rsid w:val="5601493E"/>
    <w:rsid w:val="569D3CC6"/>
    <w:rsid w:val="56F25A7F"/>
    <w:rsid w:val="57B123DF"/>
    <w:rsid w:val="59054688"/>
    <w:rsid w:val="599975CF"/>
    <w:rsid w:val="59C81C62"/>
    <w:rsid w:val="5C5B368F"/>
    <w:rsid w:val="5CF16723"/>
    <w:rsid w:val="5E343D6A"/>
    <w:rsid w:val="5E6E2B1D"/>
    <w:rsid w:val="61EA496C"/>
    <w:rsid w:val="627911EF"/>
    <w:rsid w:val="63532507"/>
    <w:rsid w:val="63AD6150"/>
    <w:rsid w:val="660D1128"/>
    <w:rsid w:val="69711EC9"/>
    <w:rsid w:val="6E067237"/>
    <w:rsid w:val="6F8D32DA"/>
    <w:rsid w:val="70052E70"/>
    <w:rsid w:val="710C022E"/>
    <w:rsid w:val="71797903"/>
    <w:rsid w:val="74777E8B"/>
    <w:rsid w:val="76395437"/>
    <w:rsid w:val="76CA4E14"/>
    <w:rsid w:val="773E493C"/>
    <w:rsid w:val="77AE0291"/>
    <w:rsid w:val="78C25DA2"/>
    <w:rsid w:val="78DB53C4"/>
    <w:rsid w:val="7AFC584B"/>
    <w:rsid w:val="7B3B62E0"/>
    <w:rsid w:val="7BC462D5"/>
    <w:rsid w:val="7C374CF9"/>
    <w:rsid w:val="7F0A04A3"/>
    <w:rsid w:val="7FD52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3">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qFormat/>
    <w:uiPriority w:val="1"/>
  </w:style>
  <w:style w:type="table" w:default="1" w:styleId="62">
    <w:name w:val="Normal Table"/>
    <w:qFormat/>
    <w:uiPriority w:val="99"/>
    <w:tblPr>
      <w:tblCellMar>
        <w:top w:w="0" w:type="dxa"/>
        <w:left w:w="108" w:type="dxa"/>
        <w:bottom w:w="0" w:type="dxa"/>
        <w:right w:w="108" w:type="dxa"/>
      </w:tblCellMar>
    </w:tblPr>
  </w:style>
  <w:style w:type="paragraph" w:styleId="2">
    <w:name w:val="Block Text"/>
    <w:basedOn w:val="1"/>
    <w:next w:val="3"/>
    <w:autoRedefine/>
    <w:qFormat/>
    <w:uiPriority w:val="0"/>
    <w:pPr>
      <w:ind w:left="-359" w:leftChars="-171" w:right="-244" w:rightChars="-244" w:firstLine="501" w:firstLineChars="239"/>
    </w:pPr>
    <w:rPr>
      <w:rFonts w:ascii="仿宋_GB2312" w:eastAsia="仿宋_GB2312"/>
      <w:sz w:val="30"/>
      <w:szCs w:val="20"/>
    </w:rPr>
  </w:style>
  <w:style w:type="paragraph" w:styleId="7">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autoRedefine/>
    <w:qFormat/>
    <w:uiPriority w:val="0"/>
    <w:pPr>
      <w:snapToGrid w:val="0"/>
      <w:spacing w:line="360" w:lineRule="auto"/>
      <w:ind w:left="360" w:right="238" w:hanging="360"/>
      <w:contextualSpacing/>
    </w:pPr>
    <w:rPr>
      <w:sz w:val="24"/>
    </w:rPr>
  </w:style>
  <w:style w:type="paragraph" w:styleId="24">
    <w:name w:val="Body Text"/>
    <w:basedOn w:val="1"/>
    <w:next w:val="25"/>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20"/>
    <w:autoRedefine/>
    <w:qFormat/>
    <w:uiPriority w:val="0"/>
    <w:pPr>
      <w:ind w:firstLine="420"/>
    </w:pPr>
    <w:rPr>
      <w:rFonts w:hAnsi="Calibri" w:cs="Times New Roman"/>
      <w:snapToGrid/>
      <w:szCs w:val="20"/>
    </w:rPr>
  </w:style>
  <w:style w:type="paragraph" w:styleId="26">
    <w:name w:val="Body Text Indent"/>
    <w:basedOn w:val="1"/>
    <w:next w:val="1"/>
    <w:link w:val="264"/>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autoRedefine/>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autoRedefine/>
    <w:qFormat/>
    <w:uiPriority w:val="0"/>
    <w:pPr>
      <w:ind w:left="100" w:leftChars="2500"/>
    </w:pPr>
    <w:rPr>
      <w:rFonts w:ascii="宋体"/>
      <w:sz w:val="24"/>
      <w:szCs w:val="21"/>
      <w:lang w:val="zh-CN"/>
    </w:rPr>
  </w:style>
  <w:style w:type="paragraph" w:styleId="37">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0"/>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2"/>
    <w:autoRedefine/>
    <w:qFormat/>
    <w:uiPriority w:val="99"/>
    <w:pPr>
      <w:tabs>
        <w:tab w:val="center" w:pos="4153"/>
        <w:tab w:val="right" w:pos="8306"/>
      </w:tabs>
      <w:snapToGrid w:val="0"/>
      <w:jc w:val="left"/>
    </w:pPr>
    <w:rPr>
      <w:sz w:val="18"/>
      <w:szCs w:val="18"/>
    </w:rPr>
  </w:style>
  <w:style w:type="paragraph" w:styleId="41">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7"/>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4"/>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1"/>
    <w:autoRedefine/>
    <w:qFormat/>
    <w:uiPriority w:val="0"/>
    <w:pPr>
      <w:spacing w:after="120" w:line="480" w:lineRule="auto"/>
    </w:pPr>
  </w:style>
  <w:style w:type="paragraph" w:styleId="57">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5"/>
    <w:autoRedefine/>
    <w:qFormat/>
    <w:uiPriority w:val="0"/>
    <w:rPr>
      <w:b/>
      <w:bCs/>
    </w:rPr>
  </w:style>
  <w:style w:type="paragraph" w:styleId="61">
    <w:name w:val="Body Text First Indent 2"/>
    <w:basedOn w:val="26"/>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文本首行缩进 2"/>
    <w:basedOn w:val="26"/>
    <w:autoRedefine/>
    <w:qFormat/>
    <w:uiPriority w:val="99"/>
    <w:pPr>
      <w:spacing w:line="200" w:lineRule="atLeast"/>
      <w:ind w:firstLine="420"/>
    </w:pPr>
    <w:rPr>
      <w:rFonts w:ascii="宋体" w:hAnsi="Courier New"/>
      <w:spacing w:val="-4"/>
      <w:sz w:val="18"/>
    </w:rPr>
  </w:style>
  <w:style w:type="paragraph" w:customStyle="1" w:styleId="80">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_217f8025-5240-42c1-936e-237fa0eaa19d"/>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60"/>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qFormat/>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_4ff777b3-873d-4f80-bbfb-abc312188364"/>
    <w:qFormat/>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7"/>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uiPriority w:val="0"/>
    <w:rPr>
      <w:rFonts w:eastAsia="宋体"/>
      <w:kern w:val="2"/>
      <w:sz w:val="21"/>
      <w:szCs w:val="24"/>
      <w:lang w:val="en-US" w:eastAsia="zh-CN" w:bidi="ar-SA"/>
    </w:rPr>
  </w:style>
  <w:style w:type="character" w:customStyle="1" w:styleId="145">
    <w:name w:val="font41"/>
    <w:basedOn w:val="69"/>
    <w:autoRedefine/>
    <w:qFormat/>
    <w:uiPriority w:val="0"/>
    <w:rPr>
      <w:rFonts w:hint="eastAsia" w:ascii="仿宋_GB2312" w:eastAsia="仿宋_GB2312" w:cs="仿宋_GB2312"/>
      <w:color w:val="000000"/>
      <w:sz w:val="22"/>
      <w:szCs w:val="22"/>
      <w:u w:val="none"/>
    </w:rPr>
  </w:style>
  <w:style w:type="character" w:customStyle="1" w:styleId="146">
    <w:name w:val="标题 6 字符"/>
    <w:link w:val="9"/>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5"/>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autoRedefine/>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6"/>
    <w:qFormat/>
    <w:uiPriority w:val="0"/>
    <w:rPr>
      <w:rFonts w:ascii="宋体"/>
      <w:kern w:val="2"/>
      <w:sz w:val="24"/>
      <w:szCs w:val="21"/>
      <w:lang w:val="zh-CN"/>
    </w:rPr>
  </w:style>
  <w:style w:type="character" w:customStyle="1" w:styleId="181">
    <w:name w:val="标题 9 字符"/>
    <w:link w:val="12"/>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0"/>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qFormat/>
    <w:uiPriority w:val="99"/>
    <w:rPr>
      <w:rFonts w:ascii="Times New Roman" w:hAnsi="Times New Roman" w:eastAsia="宋体" w:cs="Times New Roman"/>
      <w:szCs w:val="24"/>
    </w:rPr>
  </w:style>
  <w:style w:type="character" w:customStyle="1" w:styleId="187">
    <w:name w:val="批注框文本 字符1"/>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qFormat/>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7"/>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3"/>
    <w:link w:val="221"/>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_ded76fcb-1f21-4588-939e-fe86f0e990b4"/>
    <w:qFormat/>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7"/>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_c3682195-2123-465a-a18e-7322b93cef9a"/>
    <w:qFormat/>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4"/>
    <w:autoRedefine/>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9"/>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1"/>
    <w:qFormat/>
    <w:uiPriority w:val="0"/>
    <w:rPr>
      <w:rFonts w:ascii="仿宋_GB2312" w:eastAsia="仿宋_GB2312"/>
      <w:kern w:val="2"/>
      <w:sz w:val="28"/>
    </w:rPr>
  </w:style>
  <w:style w:type="character" w:customStyle="1" w:styleId="298">
    <w:name w:val="文本正文 Char Char"/>
    <w:qFormat/>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7"/>
    <w:qFormat/>
    <w:uiPriority w:val="0"/>
    <w:rPr>
      <w:rFonts w:ascii="黑体" w:hAnsi="Courier New" w:eastAsia="黑体"/>
    </w:rPr>
  </w:style>
  <w:style w:type="character" w:customStyle="1" w:styleId="301">
    <w:name w:val="正文文本 2 字符1"/>
    <w:link w:val="56"/>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3"/>
    <w:link w:val="412"/>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10"/>
    <w:autoRedefine/>
    <w:qFormat/>
    <w:uiPriority w:val="0"/>
    <w:rPr>
      <w:b/>
      <w:bCs/>
      <w:kern w:val="2"/>
      <w:sz w:val="24"/>
      <w:szCs w:val="24"/>
    </w:rPr>
  </w:style>
  <w:style w:type="character" w:customStyle="1" w:styleId="307">
    <w:name w:val="正文文本缩进 2 字符"/>
    <w:link w:val="37"/>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basedOn w:val="69"/>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5"/>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3"/>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qFormat/>
    <w:uiPriority w:val="0"/>
    <w:rPr>
      <w:kern w:val="2"/>
      <w:sz w:val="21"/>
      <w:szCs w:val="24"/>
    </w:rPr>
  </w:style>
  <w:style w:type="character" w:customStyle="1" w:styleId="344">
    <w:name w:val="签名 字符"/>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0"/>
    <w:autoRedefine/>
    <w:qFormat/>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1"/>
    <w:autoRedefine/>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7"/>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3"/>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5"/>
    <w:qFormat/>
    <w:uiPriority w:val="0"/>
    <w:pPr>
      <w:keepLines w:val="0"/>
      <w:widowControl/>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5"/>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6"/>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6"/>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3"/>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5"/>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5"/>
    <w:next w:val="1"/>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4"/>
    <w:qFormat/>
    <w:uiPriority w:val="0"/>
    <w:pPr>
      <w:tabs>
        <w:tab w:val="left" w:pos="840"/>
      </w:tabs>
      <w:adjustRightInd/>
      <w:ind w:left="840" w:hanging="420"/>
    </w:pPr>
  </w:style>
  <w:style w:type="paragraph" w:customStyle="1" w:styleId="625">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3"/>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after="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3"/>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6"/>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3"/>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9"/>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7"/>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8"/>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8"/>
    <w:qFormat/>
    <w:uiPriority w:val="0"/>
    <w:rPr>
      <w:kern w:val="2"/>
      <w:sz w:val="21"/>
      <w:szCs w:val="24"/>
      <w:lang w:val="zh-CN"/>
    </w:rPr>
  </w:style>
  <w:style w:type="character" w:customStyle="1" w:styleId="931">
    <w:name w:val="无间隔 字符"/>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qFormat/>
    <w:uiPriority w:val="99"/>
    <w:rPr>
      <w:rFonts w:ascii="Times New Roman" w:hAnsi="Times New Roman" w:eastAsia="宋体" w:cs="Times New Roman"/>
      <w:kern w:val="2"/>
      <w:sz w:val="21"/>
      <w:szCs w:val="24"/>
      <w:lang w:val="en-US" w:eastAsia="zh-CN" w:bidi="ar-SA"/>
    </w:rPr>
  </w:style>
  <w:style w:type="character" w:customStyle="1" w:styleId="963">
    <w:name w:val="font101"/>
    <w:basedOn w:val="69"/>
    <w:qFormat/>
    <w:uiPriority w:val="0"/>
    <w:rPr>
      <w:rFonts w:hint="eastAsia" w:ascii="宋体" w:hAnsi="宋体" w:eastAsia="宋体" w:cs="宋体"/>
      <w:color w:val="FF0000"/>
      <w:sz w:val="18"/>
      <w:szCs w:val="18"/>
      <w:u w:val="none"/>
    </w:rPr>
  </w:style>
  <w:style w:type="character" w:customStyle="1" w:styleId="964">
    <w:name w:val="font111"/>
    <w:basedOn w:val="69"/>
    <w:qFormat/>
    <w:uiPriority w:val="0"/>
    <w:rPr>
      <w:rFonts w:hint="eastAsia" w:ascii="宋体" w:hAnsi="宋体" w:eastAsia="宋体" w:cs="宋体"/>
      <w:color w:val="000000"/>
      <w:sz w:val="18"/>
      <w:szCs w:val="18"/>
      <w:u w:val="none"/>
    </w:rPr>
  </w:style>
  <w:style w:type="character" w:customStyle="1" w:styleId="965">
    <w:name w:val="font112"/>
    <w:basedOn w:val="69"/>
    <w:qFormat/>
    <w:uiPriority w:val="0"/>
    <w:rPr>
      <w:rFonts w:hint="eastAsia" w:ascii="宋体" w:hAnsi="宋体" w:eastAsia="宋体" w:cs="宋体"/>
      <w:color w:val="FF0000"/>
      <w:sz w:val="18"/>
      <w:szCs w:val="18"/>
      <w:u w:val="none"/>
    </w:rPr>
  </w:style>
  <w:style w:type="character" w:customStyle="1" w:styleId="966">
    <w:name w:val="font181"/>
    <w:basedOn w:val="69"/>
    <w:qFormat/>
    <w:uiPriority w:val="0"/>
    <w:rPr>
      <w:rFonts w:ascii="微软雅黑" w:hAnsi="微软雅黑" w:eastAsia="微软雅黑" w:cs="微软雅黑"/>
      <w:color w:val="000000"/>
      <w:sz w:val="20"/>
      <w:szCs w:val="20"/>
      <w:u w:val="none"/>
    </w:rPr>
  </w:style>
  <w:style w:type="character" w:customStyle="1" w:styleId="967">
    <w:name w:val="font171"/>
    <w:basedOn w:val="69"/>
    <w:qFormat/>
    <w:uiPriority w:val="0"/>
    <w:rPr>
      <w:rFonts w:ascii="微软雅黑" w:hAnsi="微软雅黑" w:eastAsia="微软雅黑" w:cs="微软雅黑"/>
      <w:color w:val="000000"/>
      <w:sz w:val="20"/>
      <w:szCs w:val="20"/>
      <w:u w:val="none"/>
    </w:rPr>
  </w:style>
  <w:style w:type="paragraph" w:customStyle="1" w:styleId="968">
    <w:name w:val="Revision_22c0e538-bed0-47f7-a16b-fb6771285864"/>
    <w:qFormat/>
    <w:uiPriority w:val="99"/>
    <w:rPr>
      <w:rFonts w:ascii="Times New Roman" w:hAnsi="Times New Roman" w:eastAsia="宋体" w:cs="Times New Roman"/>
      <w:kern w:val="2"/>
      <w:sz w:val="21"/>
      <w:szCs w:val="24"/>
      <w:lang w:val="en-US" w:eastAsia="zh-CN" w:bidi="ar-SA"/>
    </w:rPr>
  </w:style>
  <w:style w:type="character" w:customStyle="1" w:styleId="969">
    <w:name w:val="font121"/>
    <w:basedOn w:val="69"/>
    <w:qFormat/>
    <w:uiPriority w:val="0"/>
    <w:rPr>
      <w:rFonts w:hint="default" w:ascii="Symbol" w:hAnsi="Symbol" w:cs="Symbol"/>
      <w:color w:val="000000"/>
      <w:sz w:val="18"/>
      <w:szCs w:val="18"/>
      <w:u w:val="none"/>
    </w:rPr>
  </w:style>
  <w:style w:type="paragraph" w:customStyle="1" w:styleId="970">
    <w:name w:val="纯文本3"/>
    <w:basedOn w:val="1"/>
    <w:autoRedefine/>
    <w:qFormat/>
    <w:uiPriority w:val="0"/>
    <w:pPr>
      <w:adjustRightInd/>
      <w:snapToGrid w:val="0"/>
      <w:jc w:val="left"/>
    </w:pPr>
    <w:rPr>
      <w:rFonts w:ascii="Century Gothic" w:hAnsi="楷体_GB2312" w:eastAsia="Century Gothic"/>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datastoreItem>
</file>

<file path=docProps/app.xml><?xml version="1.0" encoding="utf-8"?>
<Properties xmlns="http://schemas.openxmlformats.org/officeDocument/2006/extended-properties" xmlns:vt="http://schemas.openxmlformats.org/officeDocument/2006/docPropsVTypes">
  <Template>Normal.dotm</Template>
  <Pages>79</Pages>
  <Words>45410</Words>
  <Characters>49603</Characters>
  <Paragraphs>2497</Paragraphs>
  <TotalTime>54</TotalTime>
  <ScaleCrop>false</ScaleCrop>
  <LinksUpToDate>false</LinksUpToDate>
  <CharactersWithSpaces>55848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sdp</dc:creator>
  <cp:lastModifiedBy>JS</cp:lastModifiedBy>
  <cp:lastPrinted>2023-04-18T08:30:00Z</cp:lastPrinted>
  <dcterms:modified xsi:type="dcterms:W3CDTF">2024-06-11T01:36:43Z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8AAA4FD032DF4CDEA63422BBB3AB4914_13</vt:lpwstr>
  </property>
</Properties>
</file>