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color w:val="0000FF"/>
          <w:sz w:val="48"/>
          <w:szCs w:val="48"/>
        </w:rPr>
      </w:pPr>
      <w:r>
        <w:rPr>
          <w:rFonts w:hint="eastAsia" w:ascii="宋体" w:hAnsi="宋体" w:cs="宋体"/>
          <w:color w:val="0000FF"/>
          <w:sz w:val="48"/>
          <w:szCs w:val="48"/>
        </w:rPr>
        <w:t>宁围街道经济开发区(建设二路以北)小区生活垃圾分类第三方服务政府采购项目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w:t>
      </w:r>
      <w:r>
        <w:rPr>
          <w:rFonts w:hint="eastAsia" w:ascii="宋体" w:hAnsi="宋体" w:cs="宋体"/>
          <w:sz w:val="30"/>
          <w:szCs w:val="30"/>
          <w:lang w:val="en-US" w:eastAsia="zh-CN"/>
        </w:rPr>
        <w:t>ZFCG-NW20241102</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color w:val="0000FF"/>
          <w:sz w:val="32"/>
          <w:szCs w:val="32"/>
        </w:rPr>
      </w:pPr>
      <w:r>
        <w:rPr>
          <w:rFonts w:hint="eastAsia" w:ascii="宋体" w:hAnsi="宋体" w:cs="宋体"/>
          <w:color w:val="0000FF"/>
          <w:sz w:val="32"/>
          <w:szCs w:val="32"/>
        </w:rPr>
        <w:t>杭州市萧山区人民政府宁围街道办事处</w:t>
      </w:r>
    </w:p>
    <w:p>
      <w:pPr>
        <w:spacing w:line="360" w:lineRule="auto"/>
        <w:jc w:val="center"/>
        <w:rPr>
          <w:rFonts w:ascii="宋体" w:hAnsi="宋体" w:cs="宋体"/>
          <w:bCs/>
          <w:sz w:val="32"/>
          <w:szCs w:val="32"/>
        </w:rPr>
      </w:pPr>
      <w:r>
        <w:rPr>
          <w:rFonts w:hint="eastAsia" w:ascii="宋体" w:hAnsi="宋体" w:cs="宋体"/>
          <w:bCs/>
          <w:sz w:val="32"/>
          <w:szCs w:val="32"/>
        </w:rPr>
        <w:t>杭州市建设工程管理集团有限公司</w:t>
      </w:r>
    </w:p>
    <w:p>
      <w:pPr>
        <w:snapToGrid w:val="0"/>
        <w:spacing w:line="360" w:lineRule="auto"/>
        <w:jc w:val="center"/>
        <w:rPr>
          <w:rFonts w:hint="eastAsia" w:ascii="宋体" w:hAnsi="宋体" w:cs="宋体"/>
          <w:bCs/>
          <w:color w:val="FF0000"/>
          <w:sz w:val="32"/>
          <w:szCs w:val="32"/>
        </w:rPr>
      </w:pPr>
      <w:r>
        <w:rPr>
          <w:rFonts w:hint="eastAsia" w:ascii="宋体" w:hAnsi="宋体" w:cs="宋体"/>
          <w:bCs/>
          <w:color w:val="FF0000"/>
          <w:sz w:val="32"/>
          <w:szCs w:val="32"/>
          <w:lang w:val="en-US" w:eastAsia="zh-CN"/>
        </w:rPr>
        <w:t xml:space="preserve"> </w:t>
      </w:r>
      <w:r>
        <w:rPr>
          <w:rFonts w:hint="eastAsia" w:ascii="宋体" w:hAnsi="宋体" w:cs="宋体"/>
          <w:bCs/>
          <w:color w:val="FF0000"/>
          <w:sz w:val="32"/>
          <w:szCs w:val="32"/>
        </w:rPr>
        <w:t xml:space="preserve"> </w:t>
      </w:r>
      <w:r>
        <w:rPr>
          <w:rFonts w:hint="eastAsia" w:ascii="宋体" w:hAnsi="宋体" w:cs="宋体"/>
          <w:bCs/>
          <w:color w:val="FF0000"/>
          <w:sz w:val="32"/>
          <w:szCs w:val="32"/>
          <w:lang w:val="en-US" w:eastAsia="zh-CN"/>
        </w:rPr>
        <w:t>2024</w:t>
      </w:r>
      <w:r>
        <w:rPr>
          <w:rFonts w:hint="eastAsia" w:ascii="宋体" w:hAnsi="宋体" w:cs="宋体"/>
          <w:bCs/>
          <w:color w:val="FF0000"/>
          <w:sz w:val="32"/>
          <w:szCs w:val="32"/>
        </w:rPr>
        <w:t xml:space="preserve">年 </w:t>
      </w:r>
      <w:r>
        <w:rPr>
          <w:rFonts w:hint="eastAsia" w:ascii="宋体" w:hAnsi="宋体" w:cs="宋体"/>
          <w:bCs/>
          <w:color w:val="FF0000"/>
          <w:sz w:val="32"/>
          <w:szCs w:val="32"/>
          <w:lang w:val="en-US" w:eastAsia="zh-CN"/>
        </w:rPr>
        <w:t>11</w:t>
      </w:r>
      <w:r>
        <w:rPr>
          <w:rFonts w:hint="eastAsia" w:ascii="宋体" w:hAnsi="宋体" w:cs="宋体"/>
          <w:bCs/>
          <w:color w:val="FF0000"/>
          <w:sz w:val="32"/>
          <w:szCs w:val="32"/>
        </w:rPr>
        <w:t>月</w:t>
      </w:r>
      <w:r>
        <w:rPr>
          <w:rFonts w:hint="eastAsia" w:ascii="宋体" w:hAnsi="宋体" w:cs="宋体"/>
          <w:bCs/>
          <w:color w:val="FF0000"/>
          <w:sz w:val="32"/>
          <w:szCs w:val="32"/>
          <w:lang w:val="en-US" w:eastAsia="zh-CN"/>
        </w:rPr>
        <w:t>12</w:t>
      </w:r>
      <w:r>
        <w:rPr>
          <w:rFonts w:hint="eastAsia" w:ascii="宋体" w:hAnsi="宋体" w:cs="宋体"/>
          <w:bCs/>
          <w:color w:val="FF0000"/>
          <w:sz w:val="32"/>
          <w:szCs w:val="32"/>
        </w:rPr>
        <w:t xml:space="preserve"> 日</w:t>
      </w:r>
    </w:p>
    <w:p>
      <w:pPr>
        <w:jc w:val="center"/>
      </w:pPr>
      <w:r>
        <w:rPr>
          <w:rFonts w:hint="eastAsia"/>
        </w:rPr>
        <w:t>本招标文件为202</w:t>
      </w:r>
      <w:r>
        <w:rPr>
          <w:rFonts w:hint="eastAsia"/>
          <w:lang w:val="en-US" w:eastAsia="zh-CN"/>
        </w:rPr>
        <w:t>4年10月8日稿</w:t>
      </w:r>
      <w:r>
        <w:rPr>
          <w:rFonts w:hint="eastAsia"/>
        </w:rPr>
        <w:t>，请各位投标人详细阅读各项条款</w:t>
      </w:r>
    </w:p>
    <w:p>
      <w:pPr>
        <w:pStyle w:val="2"/>
      </w:pP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8"/>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0000FF"/>
          <w:sz w:val="24"/>
          <w:u w:val="single"/>
        </w:rPr>
        <w:t>宁围街道经济开发区(建设二路以北)小区生活垃圾分类第三方服务政府采购项目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kern w:val="2"/>
          <w:sz w:val="24"/>
          <w:szCs w:val="24"/>
        </w:rPr>
        <w:t>https://www.zcygov.cn/）获取（下载）招标文件，并于202</w:t>
      </w:r>
      <w:r>
        <w:rPr>
          <w:rStyle w:val="77"/>
          <w:rFonts w:hint="eastAsia" w:ascii="宋体" w:hAnsi="宋体" w:cs="宋体"/>
          <w:snapToGrid/>
          <w:kern w:val="2"/>
          <w:sz w:val="24"/>
          <w:szCs w:val="24"/>
          <w:lang w:val="en-US" w:eastAsia="zh-CN"/>
        </w:rPr>
        <w:t>4</w:t>
      </w:r>
      <w:r>
        <w:rPr>
          <w:rStyle w:val="77"/>
          <w:rFonts w:hint="eastAsia" w:ascii="宋体" w:hAnsi="宋体" w:eastAsia="宋体" w:cs="宋体"/>
          <w:snapToGrid/>
          <w:kern w:val="2"/>
          <w:sz w:val="24"/>
          <w:szCs w:val="24"/>
        </w:rPr>
        <w:t>年</w:t>
      </w:r>
      <w:r>
        <w:rPr>
          <w:rStyle w:val="77"/>
          <w:rFonts w:hint="eastAsia" w:ascii="宋体" w:hAnsi="宋体" w:cs="宋体"/>
          <w:snapToGrid/>
          <w:kern w:val="2"/>
          <w:sz w:val="24"/>
          <w:szCs w:val="24"/>
          <w:lang w:val="en-US" w:eastAsia="zh-CN"/>
        </w:rPr>
        <w:t xml:space="preserve"> 12</w:t>
      </w:r>
      <w:r>
        <w:rPr>
          <w:rStyle w:val="77"/>
          <w:rFonts w:hint="eastAsia" w:ascii="宋体" w:hAnsi="宋体" w:eastAsia="宋体" w:cs="宋体"/>
          <w:snapToGrid/>
          <w:kern w:val="2"/>
          <w:sz w:val="24"/>
          <w:szCs w:val="24"/>
        </w:rPr>
        <w:t xml:space="preserve"> 月</w:t>
      </w:r>
      <w:r>
        <w:rPr>
          <w:rStyle w:val="77"/>
          <w:rFonts w:hint="eastAsia" w:ascii="宋体" w:hAnsi="宋体" w:cs="宋体"/>
          <w:snapToGrid/>
          <w:kern w:val="2"/>
          <w:sz w:val="24"/>
          <w:szCs w:val="24"/>
          <w:lang w:val="en-US" w:eastAsia="zh-CN"/>
        </w:rPr>
        <w:t xml:space="preserve"> 3 </w:t>
      </w:r>
      <w:r>
        <w:rPr>
          <w:rStyle w:val="77"/>
          <w:rFonts w:hint="eastAsia" w:ascii="宋体" w:hAnsi="宋体" w:eastAsia="宋体" w:cs="宋体"/>
          <w:snapToGrid/>
          <w:kern w:val="2"/>
          <w:sz w:val="24"/>
          <w:szCs w:val="24"/>
        </w:rPr>
        <w:t>日</w:t>
      </w:r>
      <w:r>
        <w:rPr>
          <w:rStyle w:val="77"/>
          <w:rFonts w:hint="eastAsia" w:ascii="宋体" w:hAnsi="宋体" w:cs="宋体"/>
          <w:snapToGrid/>
          <w:kern w:val="2"/>
          <w:sz w:val="24"/>
          <w:szCs w:val="24"/>
          <w:lang w:val="en-US" w:eastAsia="zh-CN"/>
        </w:rPr>
        <w:t>9</w:t>
      </w:r>
      <w:r>
        <w:rPr>
          <w:rStyle w:val="77"/>
          <w:rFonts w:hint="eastAsia" w:ascii="宋体" w:hAnsi="宋体" w:eastAsia="宋体" w:cs="宋体"/>
          <w:snapToGrid/>
          <w:kern w:val="2"/>
          <w:sz w:val="24"/>
          <w:szCs w:val="24"/>
        </w:rPr>
        <w:t>点</w:t>
      </w:r>
      <w:r>
        <w:rPr>
          <w:rStyle w:val="77"/>
          <w:rFonts w:hint="eastAsia" w:ascii="宋体" w:hAnsi="宋体" w:cs="宋体"/>
          <w:snapToGrid/>
          <w:kern w:val="2"/>
          <w:sz w:val="24"/>
          <w:szCs w:val="24"/>
          <w:lang w:val="en-US" w:eastAsia="zh-CN"/>
        </w:rPr>
        <w:t>30</w:t>
      </w:r>
      <w:r>
        <w:rPr>
          <w:rStyle w:val="77"/>
          <w:rFonts w:hint="eastAsia" w:ascii="宋体" w:hAnsi="宋体" w:eastAsia="宋体" w:cs="宋体"/>
          <w:snapToGrid/>
          <w:kern w:val="2"/>
          <w:sz w:val="24"/>
          <w:szCs w:val="24"/>
        </w:rPr>
        <w:t>分</w:t>
      </w:r>
      <w:r>
        <w:rPr>
          <w:rStyle w:val="77"/>
          <w:rFonts w:hint="eastAsia" w:ascii="宋体" w:hAnsi="宋体" w:eastAsia="宋体" w:cs="宋体"/>
          <w:bCs/>
          <w:snapToGrid/>
          <w:kern w:val="2"/>
          <w:sz w:val="24"/>
          <w:szCs w:val="24"/>
        </w:rPr>
        <w:t>00秒</w:t>
      </w:r>
      <w:r>
        <w:rPr>
          <w:rStyle w:val="77"/>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项目编号：ZFCG-NW20241102</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color w:val="0000FF"/>
          <w:sz w:val="24"/>
        </w:rPr>
        <w:t>宁围街道经济开发区(建设二路以北)小区生活垃圾分类第三方服务政府采购项目</w:t>
      </w:r>
    </w:p>
    <w:p>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lang w:val="en-US" w:eastAsia="zh-CN"/>
        </w:rPr>
        <w:t>6600000</w:t>
      </w:r>
    </w:p>
    <w:p>
      <w:pPr>
        <w:spacing w:line="360" w:lineRule="auto"/>
        <w:ind w:firstLine="480"/>
        <w:rPr>
          <w:rFonts w:hint="default" w:ascii="宋体" w:hAnsi="宋体" w:cs="宋体"/>
          <w:sz w:val="24"/>
          <w:lang w:val="en-US"/>
        </w:rPr>
      </w:pPr>
      <w:r>
        <w:rPr>
          <w:rFonts w:hint="eastAsia" w:ascii="宋体" w:hAnsi="宋体" w:cs="宋体"/>
          <w:b/>
          <w:sz w:val="24"/>
        </w:rPr>
        <w:t>最高限价（元）：</w:t>
      </w:r>
      <w:bookmarkStart w:id="11" w:name="OLE_LINK6"/>
      <w:r>
        <w:rPr>
          <w:rFonts w:hint="eastAsia" w:ascii="宋体" w:hAnsi="宋体" w:cs="宋体"/>
          <w:sz w:val="24"/>
          <w:lang w:val="en-US" w:eastAsia="zh-CN"/>
        </w:rPr>
        <w:t>6546220</w:t>
      </w:r>
      <w:bookmarkEnd w:id="11"/>
    </w:p>
    <w:p>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0000FF"/>
          <w:kern w:val="2"/>
          <w:sz w:val="24"/>
          <w:szCs w:val="24"/>
        </w:rPr>
        <w:t>宁围街道经济开发区(建设二路以北)小区生活垃圾分类第三方服务政府采购项目</w:t>
      </w:r>
      <w:r>
        <w:rPr>
          <w:rFonts w:hint="eastAsia" w:hAnsi="宋体" w:cs="宋体"/>
          <w:bCs/>
          <w:snapToGrid/>
          <w:color w:val="0000FF"/>
          <w:kern w:val="2"/>
          <w:sz w:val="24"/>
          <w:szCs w:val="24"/>
          <w:lang w:eastAsia="zh-CN"/>
        </w:rPr>
        <w:t>，</w:t>
      </w:r>
      <w:r>
        <w:rPr>
          <w:rFonts w:hint="eastAsia" w:hAnsi="宋体" w:cs="宋体"/>
          <w:bCs/>
          <w:snapToGrid/>
          <w:color w:val="auto"/>
          <w:kern w:val="2"/>
          <w:sz w:val="24"/>
          <w:szCs w:val="24"/>
        </w:rPr>
        <w:t>主要内容：</w:t>
      </w:r>
      <w:bookmarkStart w:id="12" w:name="OLE_LINK11"/>
      <w:r>
        <w:rPr>
          <w:rFonts w:hint="eastAsia" w:hAnsi="宋体" w:cs="宋体"/>
          <w:bCs/>
          <w:snapToGrid/>
          <w:color w:val="auto"/>
          <w:kern w:val="2"/>
          <w:sz w:val="24"/>
          <w:szCs w:val="24"/>
        </w:rPr>
        <w:t>开发区建设二路以北共涉29个小区约19848户，按330元/户/年标准，服务期1年。</w:t>
      </w:r>
      <w:r>
        <w:rPr>
          <w:rFonts w:hint="eastAsia" w:asciiTheme="minorEastAsia" w:hAnsiTheme="minorEastAsia" w:eastAsiaTheme="minorEastAsia"/>
          <w:snapToGrid/>
          <w:color w:val="auto"/>
          <w:kern w:val="2"/>
          <w:sz w:val="24"/>
          <w:szCs w:val="24"/>
        </w:rPr>
        <w:t>具体以招标文件第三部分采购需求为准</w:t>
      </w:r>
      <w:bookmarkEnd w:id="12"/>
      <w:r>
        <w:rPr>
          <w:rFonts w:hint="eastAsia" w:asciiTheme="minorEastAsia" w:hAnsiTheme="minorEastAsia" w:eastAsiaTheme="minorEastAsia"/>
          <w:snapToGrid/>
          <w:color w:val="auto"/>
          <w:kern w:val="2"/>
          <w:sz w:val="24"/>
          <w:szCs w:val="24"/>
        </w:rPr>
        <w:t>，供应商可点击本公告下方“浏览采购文件”查看采购需求。</w:t>
      </w:r>
    </w:p>
    <w:p>
      <w:pPr>
        <w:pStyle w:val="133"/>
        <w:ind w:firstLine="482"/>
        <w:outlineLvl w:val="2"/>
        <w:rPr>
          <w:rFonts w:hint="eastAsia" w:ascii="宋体" w:hAnsi="宋体" w:eastAsia="宋体" w:cs="宋体"/>
          <w:lang w:val="en-US" w:eastAsia="zh-CN"/>
        </w:rPr>
      </w:pPr>
      <w:r>
        <w:rPr>
          <w:rFonts w:hint="eastAsia" w:ascii="宋体" w:hAnsi="宋体" w:cs="宋体"/>
          <w:b/>
        </w:rPr>
        <w:t>合同履约期限：</w:t>
      </w:r>
      <w:r>
        <w:rPr>
          <w:rFonts w:hint="eastAsia" w:ascii="宋体" w:hAnsi="宋体" w:cs="宋体"/>
        </w:rPr>
        <w:t>合同签订生效之日起一年</w:t>
      </w:r>
      <w:r>
        <w:rPr>
          <w:rFonts w:hint="eastAsia" w:ascii="宋体" w:hAnsi="宋体" w:cs="宋体"/>
          <w:lang w:eastAsia="zh-CN"/>
        </w:rPr>
        <w:t>。</w:t>
      </w:r>
    </w:p>
    <w:p>
      <w:pPr>
        <w:pStyle w:val="1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2"/>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 xml:space="preserve">1. </w:t>
      </w:r>
      <w:bookmarkStart w:id="13" w:name="OLE_LINK20"/>
      <w:r>
        <w:rPr>
          <w:rFonts w:hint="eastAsia" w:ascii="宋体" w:hAnsi="宋体" w:cs="宋体"/>
          <w:snapToGrid w:val="0"/>
          <w:kern w:val="28"/>
          <w:sz w:val="24"/>
          <w:szCs w:val="20"/>
        </w:rPr>
        <w:t>满足《中华人民共和国政府采购法》第二十二条规定</w:t>
      </w:r>
      <w:bookmarkEnd w:id="13"/>
      <w:r>
        <w:rPr>
          <w:rFonts w:hint="eastAsia" w:ascii="宋体" w:hAnsi="宋体" w:cs="宋体"/>
          <w:snapToGrid w:val="0"/>
          <w:kern w:val="28"/>
          <w:sz w:val="24"/>
          <w:szCs w:val="20"/>
        </w:rPr>
        <w:t>；</w:t>
      </w:r>
      <w:bookmarkStart w:id="14" w:name="OLE_LINK21"/>
      <w:r>
        <w:rPr>
          <w:rFonts w:hint="eastAsia" w:ascii="宋体" w:hAnsi="宋体" w:cs="宋体"/>
          <w:snapToGrid w:val="0"/>
          <w:kern w:val="28"/>
          <w:sz w:val="24"/>
          <w:szCs w:val="20"/>
        </w:rPr>
        <w:t>未被“信用中国”（www.creditchina.gov.cn)、中国政府采购网（www.ccgp.gov.cn）列入失信被执行人、重大税收违法案件当事人名单、政府采购严重违法失信行为记录名单</w:t>
      </w:r>
      <w:bookmarkEnd w:id="14"/>
      <w:r>
        <w:rPr>
          <w:rFonts w:hint="eastAsia" w:ascii="宋体" w:hAnsi="宋体" w:cs="宋体"/>
          <w:snapToGrid w:val="0"/>
          <w:kern w:val="28"/>
          <w:sz w:val="24"/>
          <w:szCs w:val="20"/>
        </w:rPr>
        <w:t>；</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szCs w:val="24"/>
              <w:lang w:val="en-US" w:eastAsia="zh-CN" w:bidi="ar-SA"/>
            </w:rPr>
            <w:t>☐</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4"/>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bookmarkStart w:id="15" w:name="OLE_LINK22"/>
          <w:bookmarkStart w:id="16" w:name="OLE_LINK12"/>
        </w:sdtContent>
      </w:sdt>
      <w:r>
        <w:rPr>
          <w:rFonts w:hint="eastAsia" w:ascii="宋体" w:hAnsi="宋体" w:cs="宋体"/>
          <w:color w:val="0000FF"/>
          <w:kern w:val="0"/>
          <w:sz w:val="24"/>
        </w:rPr>
        <w:t>专</w:t>
      </w:r>
      <w:r>
        <w:rPr>
          <w:rFonts w:hint="eastAsia" w:ascii="宋体" w:hAnsi="宋体" w:cs="宋体"/>
          <w:color w:val="0000FF"/>
          <w:sz w:val="24"/>
        </w:rPr>
        <w:t>门面向中小企业</w:t>
      </w:r>
      <w:bookmarkEnd w:id="15"/>
    </w:p>
    <w:p>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5"/>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bookmarkStart w:id="17" w:name="OLE_LINK23"/>
        </w:sdtContent>
      </w:sdt>
      <w:r>
        <w:rPr>
          <w:rFonts w:hint="eastAsia" w:ascii="宋体" w:hAnsi="宋体" w:cs="宋体"/>
          <w:color w:val="0000FF"/>
          <w:sz w:val="24"/>
        </w:rPr>
        <w:t>服务全部由符合政策要求的中小企业承接，提供中小企业声明函</w:t>
      </w:r>
      <w:bookmarkEnd w:id="16"/>
      <w:bookmarkEnd w:id="17"/>
      <w:r>
        <w:rPr>
          <w:rFonts w:hint="eastAsia" w:ascii="宋体" w:hAnsi="宋体" w:cs="宋体"/>
          <w:color w:val="0000FF"/>
          <w:sz w:val="24"/>
        </w:rPr>
        <w:t>；</w:t>
      </w:r>
    </w:p>
    <w:p>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6"/>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服务全部由符合政策要求的小微企业承接，提供中小企业声明函；</w:t>
      </w:r>
    </w:p>
    <w:p>
      <w:pPr>
        <w:rPr>
          <w:rFonts w:ascii="宋体" w:hAnsi="宋体" w:cs="宋体"/>
          <w:color w:val="0000FF"/>
        </w:rPr>
      </w:pP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7"/>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rPr>
        <w:t xml:space="preserve">  </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pPr>
        <w:snapToGrid w:val="0"/>
        <w:spacing w:line="360" w:lineRule="auto"/>
        <w:ind w:firstLine="480" w:firstLineChars="200"/>
        <w:rPr>
          <w:rFonts w:ascii="宋体" w:hAnsi="宋体" w:cs="宋体"/>
          <w:sz w:val="24"/>
          <w:highlight w:val="cyan"/>
        </w:rPr>
      </w:pPr>
      <w:r>
        <w:rPr>
          <w:rFonts w:ascii="宋体" w:hAnsi="宋体" w:cs="宋体"/>
          <w:sz w:val="24"/>
          <w:highlight w:val="cyan"/>
        </w:rPr>
        <w:t>4</w:t>
      </w:r>
      <w:r>
        <w:rPr>
          <w:rFonts w:hint="eastAsia" w:ascii="宋体" w:hAnsi="宋体" w:cs="宋体"/>
          <w:sz w:val="24"/>
          <w:highlight w:val="cyan"/>
        </w:rPr>
        <w:t>.本项目的特定资格要求：</w:t>
      </w:r>
    </w:p>
    <w:p>
      <w:pPr>
        <w:snapToGrid w:val="0"/>
        <w:spacing w:line="360" w:lineRule="auto"/>
        <w:ind w:firstLine="480" w:firstLineChars="200"/>
        <w:rPr>
          <w:rFonts w:ascii="宋体" w:hAnsi="宋体" w:cs="宋体"/>
          <w:color w:val="0000FF"/>
          <w:sz w:val="24"/>
          <w:highlight w:val="cyan"/>
        </w:rPr>
      </w:pPr>
      <w:sdt>
        <w:sdtPr>
          <w:rPr>
            <w:rFonts w:hint="eastAsia" w:ascii="宋体" w:hAnsi="宋体" w:cs="宋体"/>
            <w:color w:val="0000FF"/>
            <w:kern w:val="0"/>
            <w:sz w:val="24"/>
            <w:highlight w:val="cyan"/>
          </w:rPr>
          <w:id w:val="9"/>
          <w14:checkbox>
            <w14:checked w14:val="1"/>
            <w14:checkedState w14:val="00FE" w14:font="Wingdings"/>
            <w14:uncheckedState w14:val="2610" w14:font="MS Gothic"/>
          </w14:checkbox>
        </w:sdtPr>
        <w:sdtEndPr>
          <w:rPr>
            <w:rFonts w:hint="eastAsia" w:ascii="宋体" w:hAnsi="宋体" w:cs="宋体"/>
            <w:color w:val="0000FF"/>
            <w:kern w:val="0"/>
            <w:sz w:val="24"/>
            <w:highlight w:val="cyan"/>
          </w:rPr>
        </w:sdtEndPr>
        <w:sdtContent>
          <w:r>
            <w:rPr>
              <w:rFonts w:hint="eastAsia" w:ascii="Wingdings" w:hAnsi="Wingdings" w:eastAsia="MS Gothic" w:cs="宋体"/>
              <w:color w:val="0000FF"/>
              <w:kern w:val="0"/>
              <w:sz w:val="24"/>
              <w:szCs w:val="24"/>
              <w:highlight w:val="cyan"/>
              <w:lang w:val="en-US" w:eastAsia="zh-CN" w:bidi="ar-SA"/>
            </w:rPr>
            <w:t>þ</w:t>
          </w:r>
        </w:sdtContent>
      </w:sdt>
      <w:r>
        <w:rPr>
          <w:rFonts w:hint="eastAsia" w:ascii="宋体" w:hAnsi="宋体" w:cs="宋体"/>
          <w:color w:val="0000FF"/>
          <w:sz w:val="24"/>
          <w:highlight w:val="cyan"/>
        </w:rPr>
        <w:t>无</w:t>
      </w:r>
    </w:p>
    <w:p>
      <w:pPr>
        <w:snapToGrid w:val="0"/>
        <w:spacing w:line="360" w:lineRule="auto"/>
        <w:ind w:firstLine="480" w:firstLineChars="200"/>
        <w:rPr>
          <w:rFonts w:ascii="宋体" w:hAnsi="宋体" w:cs="宋体"/>
          <w:color w:val="0000FF"/>
          <w:sz w:val="24"/>
          <w:u w:val="single"/>
        </w:rPr>
      </w:pPr>
      <w:sdt>
        <w:sdtPr>
          <w:rPr>
            <w:rFonts w:hint="eastAsia" w:ascii="宋体" w:hAnsi="宋体" w:cs="宋体"/>
            <w:color w:val="0000FF"/>
            <w:kern w:val="0"/>
            <w:sz w:val="24"/>
            <w:highlight w:val="cyan"/>
          </w:rPr>
          <w:id w:val="10"/>
          <w14:checkbox>
            <w14:checked w14:val="0"/>
            <w14:checkedState w14:val="00FE" w14:font="Wingdings"/>
            <w14:uncheckedState w14:val="2610" w14:font="MS Gothic"/>
          </w14:checkbox>
        </w:sdtPr>
        <w:sdtEndPr>
          <w:rPr>
            <w:rFonts w:hint="eastAsia" w:ascii="宋体" w:hAnsi="宋体" w:cs="宋体"/>
            <w:color w:val="0000FF"/>
            <w:kern w:val="0"/>
            <w:sz w:val="24"/>
            <w:highlight w:val="cyan"/>
          </w:rPr>
        </w:sdtEndPr>
        <w:sdtContent>
          <w:r>
            <w:rPr>
              <w:rFonts w:hint="eastAsia" w:ascii="MS Gothic" w:hAnsi="MS Gothic" w:eastAsia="MS Gothic" w:cs="宋体"/>
              <w:color w:val="0000FF"/>
              <w:kern w:val="0"/>
              <w:sz w:val="24"/>
              <w:highlight w:val="cyan"/>
            </w:rPr>
            <w:t>☐</w:t>
          </w:r>
        </w:sdtContent>
      </w:sdt>
      <w:r>
        <w:rPr>
          <w:rFonts w:hint="eastAsia" w:ascii="宋体" w:hAnsi="宋体" w:cs="宋体"/>
          <w:color w:val="0000FF"/>
          <w:sz w:val="24"/>
          <w:highlight w:val="cyan"/>
        </w:rPr>
        <w:t>有特定资格要求：</w:t>
      </w:r>
      <w:r>
        <w:rPr>
          <w:rFonts w:hint="eastAsia" w:ascii="宋体" w:hAnsi="宋体" w:cs="宋体"/>
          <w:color w:val="0000FF"/>
          <w:sz w:val="24"/>
          <w:highlight w:val="cyan"/>
          <w:u w:val="single"/>
        </w:rPr>
        <w:t xml:space="preserve">                    </w:t>
      </w:r>
      <w:r>
        <w:rPr>
          <w:rFonts w:hint="eastAsia" w:ascii="宋体" w:hAnsi="宋体" w:cs="宋体"/>
          <w:color w:val="0000FF"/>
          <w:sz w:val="24"/>
          <w:highlight w:val="cyan"/>
        </w:rPr>
        <w:t>，该特定条件的法律法规依据：</w:t>
      </w:r>
      <w:r>
        <w:rPr>
          <w:rFonts w:hint="eastAsia" w:ascii="宋体" w:hAnsi="宋体" w:cs="宋体"/>
          <w:color w:val="0000FF"/>
          <w:sz w:val="24"/>
          <w:highlight w:val="cyan"/>
          <w:u w:val="single"/>
        </w:rPr>
        <w:t xml:space="preserve">                                                                      </w:t>
      </w:r>
      <w:r>
        <w:rPr>
          <w:rFonts w:hint="eastAsia" w:ascii="宋体" w:hAnsi="宋体" w:cs="宋体"/>
          <w:color w:val="0000FF"/>
          <w:sz w:val="24"/>
          <w:highlight w:val="cyan"/>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12</w:t>
      </w:r>
      <w:r>
        <w:rPr>
          <w:rFonts w:hint="eastAsia" w:ascii="宋体" w:hAnsi="宋体" w:cs="宋体"/>
          <w:color w:val="FF0000"/>
          <w:sz w:val="24"/>
          <w:u w:val="single"/>
        </w:rPr>
        <w:t xml:space="preserve"> 月</w:t>
      </w:r>
      <w:r>
        <w:rPr>
          <w:rFonts w:hint="eastAsia" w:ascii="宋体" w:hAnsi="宋体" w:cs="宋体"/>
          <w:color w:val="FF0000"/>
          <w:sz w:val="24"/>
          <w:u w:val="single"/>
          <w:lang w:val="en-US" w:eastAsia="zh-CN"/>
        </w:rPr>
        <w:t xml:space="preserve"> 3</w:t>
      </w:r>
      <w:r>
        <w:rPr>
          <w:rFonts w:hint="eastAsia" w:ascii="宋体" w:hAnsi="宋体" w:cs="宋体"/>
          <w:color w:val="FF0000"/>
          <w:sz w:val="24"/>
          <w:u w:val="single"/>
        </w:rPr>
        <w:t xml:space="preserve"> 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202</w:t>
      </w:r>
      <w:r>
        <w:rPr>
          <w:rFonts w:hint="eastAsia" w:ascii="宋体" w:hAnsi="宋体" w:cs="宋体"/>
          <w:color w:val="FF0000"/>
          <w:sz w:val="24"/>
          <w:u w:val="single"/>
          <w:lang w:val="en-US" w:eastAsia="zh-CN"/>
        </w:rPr>
        <w:t>4</w:t>
      </w:r>
      <w:r>
        <w:rPr>
          <w:rFonts w:hint="eastAsia" w:ascii="宋体" w:hAnsi="宋体" w:cs="宋体"/>
          <w:color w:val="FF0000"/>
          <w:sz w:val="24"/>
          <w:u w:val="single"/>
        </w:rPr>
        <w:t xml:space="preserve"> 年</w:t>
      </w:r>
      <w:r>
        <w:rPr>
          <w:rFonts w:hint="eastAsia" w:ascii="宋体" w:hAnsi="宋体" w:cs="宋体"/>
          <w:color w:val="FF0000"/>
          <w:sz w:val="24"/>
          <w:u w:val="single"/>
          <w:lang w:val="en-US" w:eastAsia="zh-CN"/>
        </w:rPr>
        <w:t>12</w:t>
      </w:r>
      <w:r>
        <w:rPr>
          <w:rFonts w:hint="eastAsia" w:ascii="宋体" w:hAnsi="宋体" w:cs="宋体"/>
          <w:color w:val="FF0000"/>
          <w:sz w:val="24"/>
          <w:u w:val="single"/>
        </w:rPr>
        <w:t xml:space="preserve"> 月</w:t>
      </w:r>
      <w:r>
        <w:rPr>
          <w:rFonts w:hint="eastAsia" w:ascii="宋体" w:hAnsi="宋体" w:cs="宋体"/>
          <w:color w:val="FF0000"/>
          <w:sz w:val="24"/>
          <w:u w:val="single"/>
          <w:lang w:val="en-US" w:eastAsia="zh-CN"/>
        </w:rPr>
        <w:t xml:space="preserve"> 3</w:t>
      </w:r>
      <w:r>
        <w:rPr>
          <w:rFonts w:hint="eastAsia" w:ascii="宋体" w:hAnsi="宋体" w:cs="宋体"/>
          <w:color w:val="FF0000"/>
          <w:sz w:val="24"/>
          <w:u w:val="single"/>
        </w:rPr>
        <w:t xml:space="preserve"> 日</w:t>
      </w:r>
      <w:r>
        <w:rPr>
          <w:rFonts w:hint="eastAsia" w:ascii="宋体" w:hAnsi="宋体" w:cs="宋体"/>
          <w:color w:val="FF0000"/>
          <w:sz w:val="24"/>
          <w:u w:val="single"/>
          <w:lang w:val="en-US" w:eastAsia="zh-CN"/>
        </w:rPr>
        <w:t>9</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12</w:t>
      </w:r>
      <w:r>
        <w:rPr>
          <w:rFonts w:hint="eastAsia" w:ascii="宋体" w:hAnsi="宋体" w:cs="宋体"/>
          <w:color w:val="FF0000"/>
          <w:sz w:val="24"/>
          <w:u w:val="single"/>
        </w:rPr>
        <w:t xml:space="preserve"> 月 </w:t>
      </w:r>
      <w:r>
        <w:rPr>
          <w:rFonts w:hint="eastAsia" w:ascii="宋体" w:hAnsi="宋体" w:cs="宋体"/>
          <w:color w:val="FF0000"/>
          <w:sz w:val="24"/>
          <w:u w:val="single"/>
          <w:lang w:val="en-US" w:eastAsia="zh-CN"/>
        </w:rPr>
        <w:t xml:space="preserve">3 </w:t>
      </w:r>
      <w:r>
        <w:rPr>
          <w:rFonts w:hint="eastAsia" w:ascii="宋体" w:hAnsi="宋体" w:cs="宋体"/>
          <w:color w:val="FF0000"/>
          <w:sz w:val="24"/>
          <w:u w:val="single"/>
        </w:rPr>
        <w:t>日</w:t>
      </w:r>
      <w:r>
        <w:rPr>
          <w:rFonts w:hint="eastAsia" w:ascii="宋体" w:hAnsi="宋体" w:cs="宋体"/>
          <w:color w:val="FF0000"/>
          <w:sz w:val="24"/>
          <w:u w:val="single"/>
          <w:lang w:val="en-US" w:eastAsia="zh-CN"/>
        </w:rPr>
        <w:t>9</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w:t>
      </w:r>
      <w:bookmarkStart w:id="18" w:name="OLE_LINK15"/>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sz w:val="24"/>
          <w:highlight w:val="none"/>
          <w:lang w:val="en-US" w:eastAsia="zh-CN"/>
        </w:rPr>
        <w:t>项目是否接收备份文件，以前附表说明为准。</w:t>
      </w:r>
      <w:r>
        <w:rPr>
          <w:rFonts w:hint="eastAsia" w:ascii="宋体" w:hAnsi="宋体" w:cs="宋体"/>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bookmarkEnd w:id="18"/>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cs="宋体"/>
          <w:color w:val="0000FF"/>
          <w:sz w:val="24"/>
        </w:rPr>
        <w:t xml:space="preserve">名    称：杭州市萧山区人民政府宁围街道办事处 </w:t>
      </w:r>
    </w:p>
    <w:p>
      <w:pPr>
        <w:spacing w:line="360" w:lineRule="auto"/>
        <w:rPr>
          <w:rFonts w:ascii="宋体" w:hAnsi="宋体" w:cs="宋体"/>
          <w:color w:val="0000FF"/>
          <w:sz w:val="24"/>
        </w:rPr>
      </w:pPr>
      <w:r>
        <w:rPr>
          <w:rFonts w:hint="eastAsia" w:ascii="宋体" w:hAnsi="宋体" w:cs="宋体"/>
          <w:color w:val="0000FF"/>
          <w:sz w:val="24"/>
        </w:rPr>
        <w:t xml:space="preserve">    地    址： 杭州市萧山区宁围街道振宁路228号      </w:t>
      </w:r>
    </w:p>
    <w:p>
      <w:pPr>
        <w:spacing w:line="360" w:lineRule="auto"/>
        <w:ind w:firstLine="480"/>
        <w:rPr>
          <w:rFonts w:ascii="宋体" w:hAnsi="宋体" w:cs="宋体"/>
          <w:color w:val="0000FF"/>
          <w:sz w:val="24"/>
        </w:rPr>
      </w:pPr>
      <w:r>
        <w:rPr>
          <w:rFonts w:hint="eastAsia" w:ascii="宋体" w:hAnsi="宋体" w:cs="宋体"/>
          <w:color w:val="0000FF"/>
          <w:sz w:val="24"/>
        </w:rPr>
        <w:t>传    真： /</w:t>
      </w:r>
    </w:p>
    <w:p>
      <w:pPr>
        <w:spacing w:line="360" w:lineRule="auto"/>
        <w:ind w:firstLine="480"/>
        <w:rPr>
          <w:rFonts w:ascii="宋体" w:hAnsi="宋体" w:cs="宋体"/>
          <w:color w:val="0000FF"/>
          <w:sz w:val="24"/>
        </w:rPr>
      </w:pPr>
      <w:r>
        <w:rPr>
          <w:rFonts w:hint="eastAsia" w:ascii="宋体" w:hAnsi="宋体" w:cs="宋体"/>
          <w:color w:val="0000FF"/>
          <w:sz w:val="24"/>
        </w:rPr>
        <w:t>项目联系人（询问）：</w:t>
      </w:r>
      <w:r>
        <w:rPr>
          <w:rFonts w:hint="eastAsia" w:ascii="宋体" w:hAnsi="宋体" w:cs="宋体"/>
          <w:color w:val="0000FF"/>
          <w:sz w:val="24"/>
          <w:lang w:val="en-US" w:eastAsia="zh-CN"/>
        </w:rPr>
        <w:t>陈国</w:t>
      </w:r>
      <w:r>
        <w:rPr>
          <w:rFonts w:hint="eastAsia" w:ascii="宋体" w:hAnsi="宋体" w:cs="宋体"/>
          <w:color w:val="0000FF"/>
          <w:sz w:val="24"/>
        </w:rPr>
        <w:t xml:space="preserve">  </w:t>
      </w:r>
    </w:p>
    <w:p>
      <w:pPr>
        <w:spacing w:line="360" w:lineRule="auto"/>
        <w:rPr>
          <w:rFonts w:ascii="宋体" w:hAnsi="宋体" w:cs="宋体"/>
          <w:color w:val="0000FF"/>
          <w:sz w:val="24"/>
        </w:rPr>
      </w:pPr>
      <w:r>
        <w:rPr>
          <w:rFonts w:hint="eastAsia" w:ascii="宋体" w:hAnsi="宋体" w:cs="宋体"/>
          <w:color w:val="0000FF"/>
          <w:sz w:val="24"/>
        </w:rPr>
        <w:t xml:space="preserve">    项目联系方式（询问）：</w:t>
      </w:r>
      <w:r>
        <w:rPr>
          <w:rFonts w:hint="eastAsia" w:ascii="宋体" w:hAnsi="宋体" w:cs="宋体"/>
          <w:color w:val="0000FF"/>
          <w:sz w:val="24"/>
          <w:lang w:val="en-US" w:eastAsia="zh-CN"/>
        </w:rPr>
        <w:t>0571-82560156</w:t>
      </w:r>
    </w:p>
    <w:p>
      <w:pPr>
        <w:spacing w:line="360" w:lineRule="auto"/>
        <w:rPr>
          <w:rFonts w:ascii="宋体" w:hAnsi="宋体" w:cs="宋体"/>
          <w:color w:val="0000FF"/>
          <w:sz w:val="24"/>
        </w:rPr>
      </w:pPr>
      <w:r>
        <w:rPr>
          <w:rFonts w:hint="eastAsia" w:ascii="宋体" w:hAnsi="宋体" w:cs="宋体"/>
          <w:color w:val="0000FF"/>
          <w:sz w:val="24"/>
        </w:rPr>
        <w:t xml:space="preserve">    质疑联系人：倪陆扬 </w:t>
      </w:r>
    </w:p>
    <w:p>
      <w:pPr>
        <w:spacing w:line="360" w:lineRule="auto"/>
        <w:rPr>
          <w:rFonts w:ascii="宋体" w:hAnsi="宋体" w:cs="宋体"/>
          <w:color w:val="0000FF"/>
          <w:sz w:val="24"/>
        </w:rPr>
      </w:pPr>
      <w:r>
        <w:rPr>
          <w:rFonts w:hint="eastAsia" w:ascii="宋体" w:hAnsi="宋体" w:cs="宋体"/>
          <w:color w:val="0000FF"/>
          <w:sz w:val="24"/>
        </w:rPr>
        <w:t xml:space="preserve">    质疑联系方式：</w:t>
      </w:r>
      <w:bookmarkStart w:id="19" w:name="OLE_LINK17"/>
      <w:r>
        <w:rPr>
          <w:rFonts w:hint="eastAsia" w:ascii="宋体" w:hAnsi="宋体" w:cs="宋体"/>
          <w:color w:val="0000FF"/>
          <w:sz w:val="24"/>
        </w:rPr>
        <w:t>0571-82863812</w:t>
      </w:r>
      <w:bookmarkEnd w:id="19"/>
      <w:r>
        <w:rPr>
          <w:rFonts w:hint="eastAsia" w:ascii="宋体" w:hAnsi="宋体" w:cs="宋体"/>
          <w:color w:val="0000FF"/>
          <w:sz w:val="24"/>
        </w:rPr>
        <w:t xml:space="preserve">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lang w:val="en-US" w:eastAsia="zh-CN"/>
        </w:rPr>
        <w:t>杭州市建设工程管理集团有限公司</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萧山区金城路银通大厦西单元703室</w:t>
      </w:r>
    </w:p>
    <w:p>
      <w:pPr>
        <w:spacing w:line="360" w:lineRule="auto"/>
        <w:rPr>
          <w:rFonts w:ascii="宋体" w:hAnsi="宋体" w:cs="宋体"/>
          <w:sz w:val="24"/>
        </w:rPr>
      </w:pPr>
      <w:r>
        <w:rPr>
          <w:rFonts w:hint="eastAsia" w:ascii="宋体" w:hAnsi="宋体" w:cs="宋体"/>
          <w:sz w:val="24"/>
        </w:rPr>
        <w:t xml:space="preserve">    传    真： </w:t>
      </w:r>
      <w:r>
        <w:rPr>
          <w:rFonts w:hint="eastAsia" w:ascii="宋体" w:hAnsi="宋体" w:cs="宋体"/>
          <w:color w:val="0000FF"/>
          <w:sz w:val="24"/>
        </w:rPr>
        <w:t>/</w:t>
      </w:r>
    </w:p>
    <w:p>
      <w:pPr>
        <w:spacing w:line="360" w:lineRule="auto"/>
        <w:rPr>
          <w:rFonts w:hint="eastAsia" w:ascii="宋体" w:hAnsi="宋体" w:eastAsia="宋体" w:cs="宋体"/>
          <w:sz w:val="24"/>
          <w:lang w:val="en-US" w:eastAsia="zh-CN"/>
        </w:rPr>
      </w:pPr>
      <w:r>
        <w:rPr>
          <w:rFonts w:hint="eastAsia" w:ascii="宋体" w:hAnsi="宋体" w:cs="宋体"/>
          <w:sz w:val="24"/>
        </w:rPr>
        <w:t xml:space="preserve">    项目联系人（询问）： </w:t>
      </w:r>
      <w:r>
        <w:rPr>
          <w:rFonts w:hint="eastAsia" w:ascii="宋体" w:hAnsi="宋体" w:cs="宋体"/>
          <w:sz w:val="24"/>
          <w:lang w:val="en-US" w:eastAsia="zh-CN"/>
        </w:rPr>
        <w:t>王佳苹</w:t>
      </w:r>
    </w:p>
    <w:p>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15858121247</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王肖艳</w:t>
      </w:r>
      <w:r>
        <w:rPr>
          <w:rFonts w:hint="eastAsia" w:ascii="宋体" w:hAnsi="宋体" w:cs="宋体"/>
          <w:sz w:val="24"/>
        </w:rPr>
        <w:t xml:space="preserve">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bookmarkStart w:id="20" w:name="OLE_LINK18"/>
      <w:r>
        <w:rPr>
          <w:rFonts w:hint="eastAsia" w:ascii="宋体" w:hAnsi="宋体" w:cs="宋体"/>
          <w:sz w:val="24"/>
          <w:lang w:val="en-US" w:eastAsia="zh-CN"/>
        </w:rPr>
        <w:t>0571-82827622</w:t>
      </w:r>
      <w:bookmarkEnd w:id="20"/>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名    称：萧山区财政局、浙江省政府采购行政裁决服务中心（杭州）</w:t>
      </w:r>
    </w:p>
    <w:p>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eastAsia="zh-CN"/>
        </w:rPr>
        <w:t>杭州市上城区清泰街549号城建综合大楼11楼</w:t>
      </w:r>
      <w:r>
        <w:rPr>
          <w:rFonts w:hint="eastAsia" w:ascii="宋体" w:hAnsi="宋体" w:cs="宋体"/>
          <w:color w:val="auto"/>
          <w:sz w:val="24"/>
        </w:rPr>
        <w:t>（快递仅限ems或顺丰）</w:t>
      </w:r>
    </w:p>
    <w:p>
      <w:pPr>
        <w:spacing w:line="360" w:lineRule="auto"/>
        <w:ind w:left="237" w:leftChars="113" w:firstLine="180" w:firstLineChars="75"/>
        <w:rPr>
          <w:rFonts w:hint="eastAsia" w:ascii="宋体" w:hAnsi="宋体" w:eastAsia="宋体" w:cs="宋体"/>
          <w:sz w:val="24"/>
          <w:lang w:eastAsia="zh-CN"/>
        </w:rPr>
      </w:pPr>
      <w:r>
        <w:rPr>
          <w:rFonts w:hint="eastAsia" w:ascii="宋体" w:hAnsi="宋体" w:cs="宋体"/>
          <w:color w:val="auto"/>
          <w:sz w:val="24"/>
        </w:rPr>
        <w:t>传    真：/</w:t>
      </w:r>
    </w:p>
    <w:p>
      <w:pPr>
        <w:spacing w:line="360" w:lineRule="auto"/>
        <w:ind w:left="237" w:leftChars="113" w:firstLine="180" w:firstLineChars="75"/>
        <w:rPr>
          <w:rFonts w:hint="eastAsia" w:ascii="宋体" w:hAnsi="宋体" w:cs="宋体"/>
          <w:sz w:val="24"/>
        </w:rPr>
      </w:pPr>
      <w:r>
        <w:rPr>
          <w:rFonts w:hint="eastAsia" w:ascii="宋体" w:hAnsi="宋体" w:cs="宋体"/>
          <w:sz w:val="24"/>
        </w:rPr>
        <w:t>联系人 ：</w:t>
      </w:r>
      <w:r>
        <w:rPr>
          <w:rFonts w:hint="eastAsia" w:ascii="宋体" w:hAnsi="宋体" w:cs="宋体"/>
          <w:sz w:val="24"/>
          <w:lang w:val="en-US" w:eastAsia="zh-CN"/>
        </w:rPr>
        <w:t>朱女士/王女士</w:t>
      </w:r>
    </w:p>
    <w:p>
      <w:pPr>
        <w:spacing w:line="360" w:lineRule="auto"/>
        <w:ind w:left="237" w:leftChars="113" w:firstLine="180" w:firstLineChars="75"/>
        <w:rPr>
          <w:rFonts w:hint="eastAsia" w:ascii="宋体" w:hAnsi="宋体" w:cs="宋体"/>
          <w:sz w:val="24"/>
          <w:lang w:val="en-US" w:eastAsia="zh-CN"/>
        </w:rPr>
      </w:pPr>
      <w:r>
        <w:rPr>
          <w:rFonts w:hint="eastAsia" w:ascii="宋体" w:hAnsi="宋体" w:cs="宋体"/>
          <w:sz w:val="24"/>
        </w:rPr>
        <w:t>监督投诉电话：</w:t>
      </w:r>
      <w:bookmarkStart w:id="21" w:name="OLE_LINK19"/>
      <w:r>
        <w:rPr>
          <w:rFonts w:hint="eastAsia" w:ascii="宋体" w:hAnsi="宋体" w:cs="宋体"/>
          <w:sz w:val="24"/>
          <w:lang w:val="en-US" w:eastAsia="zh-CN"/>
        </w:rPr>
        <w:t>0571-85252453</w:t>
      </w:r>
      <w:bookmarkEnd w:id="21"/>
      <w:r>
        <w:rPr>
          <w:rFonts w:hint="eastAsia" w:ascii="宋体" w:hAnsi="宋体" w:cs="宋体"/>
          <w:sz w:val="24"/>
        </w:rPr>
        <w:t xml:space="preserve"> </w:t>
      </w:r>
    </w:p>
    <w:p>
      <w:pPr>
        <w:spacing w:line="360" w:lineRule="auto"/>
        <w:ind w:firstLine="420" w:firstLineChars="0"/>
        <w:rPr>
          <w:rFonts w:hint="eastAsia" w:ascii="宋体" w:hAnsi="宋体" w:eastAsia="宋体" w:cs="宋体"/>
          <w:sz w:val="24"/>
          <w:lang w:eastAsia="zh-CN"/>
        </w:rPr>
      </w:pPr>
      <w:r>
        <w:rPr>
          <w:rFonts w:hint="eastAsia" w:ascii="宋体" w:hAnsi="宋体" w:cs="宋体"/>
          <w:sz w:val="24"/>
          <w:lang w:eastAsia="zh-CN"/>
        </w:rPr>
        <w:t>政策咨询电话：</w:t>
      </w:r>
      <w:r>
        <w:rPr>
          <w:rFonts w:hint="eastAsia" w:ascii="宋体" w:hAnsi="宋体" w:cs="宋体"/>
          <w:sz w:val="24"/>
        </w:rPr>
        <w:t>0571-82756122</w:t>
      </w:r>
      <w:r>
        <w:rPr>
          <w:rFonts w:hint="eastAsia" w:ascii="宋体" w:hAnsi="宋体" w:eastAsia="宋体" w:cs="宋体"/>
          <w:sz w:val="24"/>
        </w:rPr>
        <w:t>  </w:t>
      </w:r>
      <w:r>
        <w:rPr>
          <w:rFonts w:hint="eastAsia" w:ascii="宋体" w:hAnsi="宋体" w:eastAsia="宋体" w:cs="宋体"/>
          <w:sz w:val="24"/>
          <w:lang w:eastAsia="zh-CN"/>
        </w:rPr>
        <w:t>（汤先生）</w:t>
      </w:r>
    </w:p>
    <w:p>
      <w:pPr>
        <w:spacing w:line="360" w:lineRule="auto"/>
        <w:rPr>
          <w:rFonts w:hint="eastAsia" w:ascii="宋体" w:hAnsi="宋体" w:cs="宋体"/>
          <w:sz w:val="24"/>
          <w:lang w:val="en-US" w:eastAsia="zh-CN"/>
        </w:rPr>
      </w:pPr>
    </w:p>
    <w:p>
      <w:pPr>
        <w:spacing w:line="360" w:lineRule="auto"/>
        <w:ind w:firstLine="480"/>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rPr>
                <w:rFonts w:hint="eastAsia" w:ascii="宋体" w:hAnsi="宋体" w:eastAsia="宋体" w:cs="宋体"/>
                <w:b/>
                <w:sz w:val="24"/>
                <w:szCs w:val="24"/>
              </w:rPr>
            </w:pPr>
            <w:r>
              <w:rPr>
                <w:rFonts w:hint="eastAsia" w:ascii="宋体" w:hAnsi="宋体" w:eastAsia="宋体" w:cs="宋体"/>
                <w:b/>
                <w:sz w:val="24"/>
                <w:szCs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（1）标的：</w:t>
            </w:r>
            <w:r>
              <w:rPr>
                <w:rFonts w:hint="eastAsia" w:ascii="宋体" w:hAnsi="宋体" w:eastAsia="宋体" w:cs="宋体"/>
                <w:kern w:val="0"/>
                <w:sz w:val="24"/>
                <w:szCs w:val="24"/>
                <w:u w:val="single"/>
              </w:rPr>
              <w:t>宁围街道经济开发区(建设二路以北)小区生活垃圾分类第三方服务政府采购项目</w:t>
            </w:r>
            <w:r>
              <w:rPr>
                <w:rFonts w:hint="eastAsia" w:ascii="宋体" w:hAnsi="宋体" w:eastAsia="宋体" w:cs="宋体"/>
                <w:kern w:val="0"/>
                <w:sz w:val="24"/>
                <w:szCs w:val="24"/>
              </w:rPr>
              <w:t xml:space="preserve"> ，属于</w:t>
            </w:r>
            <w:r>
              <w:rPr>
                <w:rFonts w:hint="eastAsia" w:ascii="宋体" w:hAnsi="宋体" w:cs="宋体"/>
                <w:kern w:val="0"/>
                <w:sz w:val="24"/>
                <w:szCs w:val="24"/>
                <w:u w:val="single"/>
                <w:lang w:val="en-US" w:eastAsia="zh-CN"/>
              </w:rPr>
              <w:t>其他未列明行业</w:t>
            </w:r>
            <w:r>
              <w:rPr>
                <w:rFonts w:hint="eastAsia" w:ascii="宋体" w:hAnsi="宋体" w:eastAsia="宋体" w:cs="宋体"/>
                <w:kern w:val="0"/>
                <w:sz w:val="24"/>
                <w:szCs w:val="24"/>
              </w:rPr>
              <w:t>；</w:t>
            </w:r>
          </w:p>
          <w:p>
            <w:pPr>
              <w:snapToGrid w:val="0"/>
              <w:spacing w:line="240" w:lineRule="auto"/>
              <w:rPr>
                <w:rFonts w:hint="eastAsia" w:ascii="宋体" w:hAnsi="宋体" w:eastAsia="宋体" w:cs="宋体"/>
                <w:kern w:val="0"/>
                <w:sz w:val="24"/>
                <w:szCs w:val="24"/>
                <w:lang w:val="en-US"/>
              </w:rPr>
            </w:pPr>
            <w:r>
              <w:rPr>
                <w:rFonts w:hint="eastAsia" w:ascii="宋体" w:hAnsi="宋体" w:eastAsia="宋体" w:cs="宋体"/>
                <w:kern w:val="0"/>
                <w:sz w:val="24"/>
                <w:szCs w:val="24"/>
                <w:lang w:val="en-US"/>
              </w:rPr>
              <w:t>行业划分标准：</w:t>
            </w:r>
          </w:p>
          <w:p>
            <w:pPr>
              <w:snapToGrid w:val="0"/>
              <w:spacing w:line="240" w:lineRule="auto"/>
              <w:rPr>
                <w:rFonts w:hint="eastAsia" w:ascii="宋体" w:hAnsi="宋体" w:eastAsia="宋体" w:cs="宋体"/>
                <w:sz w:val="24"/>
                <w:szCs w:val="24"/>
                <w:lang w:val="en-US"/>
              </w:rPr>
            </w:pPr>
            <w:r>
              <w:rPr>
                <w:rFonts w:hint="eastAsia" w:ascii="宋体" w:hAnsi="宋体" w:eastAsia="宋体" w:cs="宋体"/>
                <w:kern w:val="0"/>
                <w:sz w:val="24"/>
                <w:szCs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240" w:lineRule="auto"/>
              <w:jc w:val="center"/>
              <w:rPr>
                <w:rFonts w:hint="eastAsia" w:ascii="宋体" w:hAnsi="宋体" w:eastAsia="宋体" w:cs="宋体"/>
                <w:sz w:val="24"/>
                <w:szCs w:val="24"/>
              </w:rPr>
            </w:pPr>
          </w:p>
          <w:p>
            <w:pPr>
              <w:snapToGrid w:val="0"/>
              <w:spacing w:line="240" w:lineRule="auto"/>
              <w:jc w:val="center"/>
              <w:rPr>
                <w:rFonts w:hint="eastAsia" w:ascii="宋体" w:hAnsi="宋体" w:eastAsia="宋体" w:cs="宋体"/>
                <w:sz w:val="24"/>
                <w:szCs w:val="24"/>
              </w:rPr>
            </w:pPr>
          </w:p>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kern w:val="0"/>
                <w:sz w:val="24"/>
                <w:szCs w:val="24"/>
              </w:rPr>
            </w:pPr>
            <w:sdt>
              <w:sdtPr>
                <w:rPr>
                  <w:rFonts w:hint="eastAsia" w:ascii="宋体" w:hAnsi="宋体" w:eastAsia="宋体" w:cs="宋体"/>
                  <w:kern w:val="0"/>
                  <w:sz w:val="24"/>
                  <w:szCs w:val="24"/>
                </w:rPr>
                <w:id w:val="11"/>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本项目不允许采购进口产品。</w:t>
            </w:r>
          </w:p>
          <w:p>
            <w:pPr>
              <w:spacing w:line="240" w:lineRule="auto"/>
              <w:rPr>
                <w:rFonts w:hint="eastAsia" w:ascii="宋体" w:hAnsi="宋体" w:eastAsia="宋体" w:cs="宋体"/>
                <w:kern w:val="0"/>
                <w:sz w:val="24"/>
                <w:szCs w:val="24"/>
                <w:lang w:eastAsia="zh-CN"/>
              </w:rPr>
            </w:pPr>
            <w:sdt>
              <w:sdtPr>
                <w:rPr>
                  <w:rFonts w:hint="eastAsia" w:ascii="宋体" w:hAnsi="宋体" w:eastAsia="宋体" w:cs="宋体"/>
                  <w:kern w:val="0"/>
                  <w:sz w:val="24"/>
                  <w:szCs w:val="24"/>
                </w:rPr>
                <w:id w:val="12"/>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可以就</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采购进口产品。</w:t>
            </w:r>
          </w:p>
          <w:p>
            <w:pPr>
              <w:spacing w:line="240" w:lineRule="auto"/>
              <w:rPr>
                <w:rFonts w:hint="eastAsia" w:ascii="宋体" w:hAnsi="宋体" w:eastAsia="宋体" w:cs="宋体"/>
                <w:sz w:val="24"/>
                <w:szCs w:val="24"/>
              </w:rPr>
            </w:pPr>
            <w:r>
              <w:rPr>
                <w:rFonts w:hint="eastAsia" w:ascii="宋体" w:hAnsi="宋体" w:eastAsia="宋体" w:cs="宋体"/>
                <w:color w:val="FF0000"/>
                <w:kern w:val="0"/>
                <w:sz w:val="24"/>
                <w:szCs w:val="24"/>
                <w:highlight w:val="cyan"/>
              </w:rPr>
              <w:t>优先采购向我国企业转让技术、与我国企业签订消化吸收再创新方案的供应商的进口产品，详见</w:t>
            </w:r>
            <w:r>
              <w:rPr>
                <w:rFonts w:hint="eastAsia" w:ascii="宋体" w:hAnsi="宋体" w:eastAsia="宋体" w:cs="宋体"/>
                <w:color w:val="FF0000"/>
                <w:kern w:val="0"/>
                <w:sz w:val="24"/>
                <w:szCs w:val="24"/>
                <w:highlight w:val="cyan"/>
                <w:u w:val="single"/>
              </w:rPr>
              <w:t>评分标准</w:t>
            </w:r>
            <w:r>
              <w:rPr>
                <w:rFonts w:hint="eastAsia" w:ascii="宋体" w:hAnsi="宋体" w:eastAsia="宋体" w:cs="宋体"/>
                <w:color w:val="FF0000"/>
                <w:kern w:val="0"/>
                <w:sz w:val="24"/>
                <w:szCs w:val="24"/>
                <w:highlight w:val="cy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sz w:val="24"/>
                <w:szCs w:val="24"/>
              </w:rPr>
            </w:pPr>
            <w:sdt>
              <w:sdtPr>
                <w:rPr>
                  <w:rFonts w:hint="eastAsia" w:ascii="宋体" w:hAnsi="宋体" w:eastAsia="宋体" w:cs="宋体"/>
                  <w:kern w:val="0"/>
                  <w:sz w:val="24"/>
                  <w:szCs w:val="24"/>
                </w:rPr>
                <w:id w:val="13"/>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rPr>
              <w:t xml:space="preserve"> A</w:t>
            </w:r>
            <w:r>
              <w:rPr>
                <w:rFonts w:hint="eastAsia" w:ascii="宋体" w:hAnsi="宋体" w:eastAsia="宋体" w:cs="宋体"/>
                <w:sz w:val="24"/>
                <w:szCs w:val="24"/>
              </w:rPr>
              <w:t>同意将非主体、</w:t>
            </w:r>
            <w:r>
              <w:rPr>
                <w:rFonts w:hint="eastAsia" w:ascii="宋体" w:hAnsi="宋体" w:eastAsia="宋体" w:cs="宋体"/>
                <w:color w:val="0000FF"/>
                <w:sz w:val="24"/>
                <w:szCs w:val="24"/>
              </w:rPr>
              <w:t>非关键性的</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rPr>
              <w:t>工作分包</w:t>
            </w:r>
            <w:r>
              <w:rPr>
                <w:rFonts w:hint="eastAsia" w:ascii="宋体" w:hAnsi="宋体" w:eastAsia="宋体" w:cs="宋体"/>
                <w:sz w:val="24"/>
                <w:szCs w:val="24"/>
              </w:rPr>
              <w:t>。</w:t>
            </w:r>
            <w:sdt>
              <w:sdtPr>
                <w:rPr>
                  <w:rFonts w:hint="eastAsia" w:ascii="宋体" w:hAnsi="宋体" w:eastAsia="宋体" w:cs="宋体"/>
                  <w:kern w:val="0"/>
                  <w:sz w:val="24"/>
                  <w:szCs w:val="24"/>
                </w:rPr>
                <w:id w:val="14"/>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 xml:space="preserve"> B</w:t>
            </w:r>
            <w:r>
              <w:rPr>
                <w:rFonts w:hint="eastAsia" w:ascii="宋体" w:hAnsi="宋体" w:eastAsia="宋体" w:cs="宋体"/>
                <w:sz w:val="24"/>
                <w:szCs w:val="24"/>
              </w:rPr>
              <w:t>不同意分包。</w:t>
            </w:r>
          </w:p>
          <w:p>
            <w:pPr>
              <w:spacing w:line="240" w:lineRule="auto"/>
              <w:rPr>
                <w:rFonts w:hint="eastAsia" w:ascii="宋体" w:hAnsi="宋体" w:eastAsia="宋体" w:cs="宋体"/>
                <w:sz w:val="24"/>
                <w:szCs w:val="24"/>
              </w:rPr>
            </w:pPr>
            <w:r>
              <w:rPr>
                <w:rFonts w:hint="eastAsia" w:ascii="宋体" w:hAnsi="宋体" w:eastAsia="宋体" w:cs="宋体"/>
                <w:sz w:val="24"/>
                <w:szCs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240" w:lineRule="auto"/>
              <w:jc w:val="center"/>
              <w:rPr>
                <w:rFonts w:hint="eastAsia" w:ascii="宋体" w:hAnsi="宋体" w:eastAsia="宋体" w:cs="宋体"/>
                <w:sz w:val="24"/>
                <w:szCs w:val="24"/>
              </w:rPr>
            </w:pPr>
          </w:p>
          <w:p>
            <w:pPr>
              <w:snapToGrid w:val="0"/>
              <w:spacing w:line="240" w:lineRule="auto"/>
              <w:jc w:val="center"/>
              <w:rPr>
                <w:rFonts w:hint="eastAsia" w:ascii="宋体" w:hAnsi="宋体" w:eastAsia="宋体" w:cs="宋体"/>
                <w:sz w:val="24"/>
                <w:szCs w:val="24"/>
              </w:rPr>
            </w:pPr>
          </w:p>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sz w:val="24"/>
                <w:szCs w:val="24"/>
              </w:rPr>
            </w:pPr>
            <w:sdt>
              <w:sdtPr>
                <w:rPr>
                  <w:rFonts w:hint="eastAsia" w:ascii="宋体" w:hAnsi="宋体" w:eastAsia="宋体" w:cs="宋体"/>
                  <w:kern w:val="0"/>
                  <w:sz w:val="24"/>
                  <w:szCs w:val="24"/>
                </w:rPr>
                <w:id w:val="15"/>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A</w:t>
            </w:r>
            <w:r>
              <w:rPr>
                <w:rFonts w:hint="eastAsia" w:ascii="宋体" w:hAnsi="宋体" w:eastAsia="宋体" w:cs="宋体"/>
                <w:sz w:val="24"/>
                <w:szCs w:val="24"/>
              </w:rPr>
              <w:t>不组织。</w:t>
            </w:r>
          </w:p>
          <w:p>
            <w:pPr>
              <w:spacing w:line="240" w:lineRule="auto"/>
              <w:rPr>
                <w:rFonts w:hint="eastAsia" w:ascii="宋体" w:hAnsi="宋体" w:eastAsia="宋体" w:cs="宋体"/>
                <w:sz w:val="24"/>
                <w:szCs w:val="24"/>
              </w:rPr>
            </w:pPr>
            <w:sdt>
              <w:sdtPr>
                <w:rPr>
                  <w:rFonts w:hint="eastAsia" w:ascii="宋体" w:hAnsi="宋体" w:eastAsia="宋体" w:cs="宋体"/>
                  <w:kern w:val="0"/>
                  <w:sz w:val="24"/>
                  <w:szCs w:val="24"/>
                </w:rPr>
                <w:id w:val="16"/>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B组织，</w:t>
            </w:r>
            <w:r>
              <w:rPr>
                <w:rFonts w:hint="eastAsia" w:ascii="宋体" w:hAnsi="宋体" w:eastAsia="宋体" w:cs="宋体"/>
                <w:sz w:val="24"/>
                <w:szCs w:val="24"/>
              </w:rPr>
              <w:t>时间：</w:t>
            </w:r>
            <w:r>
              <w:rPr>
                <w:rFonts w:hint="eastAsia" w:ascii="宋体" w:hAnsi="宋体" w:eastAsia="宋体" w:cs="宋体"/>
                <w:sz w:val="24"/>
                <w:szCs w:val="24"/>
                <w:u w:val="single"/>
              </w:rPr>
              <w:t xml:space="preserve">      </w:t>
            </w:r>
            <w:r>
              <w:rPr>
                <w:rFonts w:hint="eastAsia" w:ascii="宋体" w:hAnsi="宋体" w:eastAsia="宋体" w:cs="宋体"/>
                <w:sz w:val="24"/>
                <w:szCs w:val="24"/>
              </w:rPr>
              <w:t>,地点：</w:t>
            </w:r>
            <w:r>
              <w:rPr>
                <w:rFonts w:hint="eastAsia" w:ascii="宋体" w:hAnsi="宋体" w:eastAsia="宋体" w:cs="宋体"/>
                <w:sz w:val="24"/>
                <w:szCs w:val="24"/>
                <w:u w:val="single"/>
              </w:rPr>
              <w:t xml:space="preserve">      </w:t>
            </w: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sz w:val="24"/>
                <w:szCs w:val="24"/>
              </w:rPr>
            </w:pPr>
            <w:sdt>
              <w:sdtPr>
                <w:rPr>
                  <w:rFonts w:hint="eastAsia" w:ascii="宋体" w:hAnsi="宋体" w:eastAsia="宋体" w:cs="宋体"/>
                  <w:kern w:val="0"/>
                  <w:sz w:val="24"/>
                  <w:szCs w:val="24"/>
                </w:rPr>
                <w:id w:val="17"/>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A</w:t>
            </w:r>
            <w:r>
              <w:rPr>
                <w:rFonts w:hint="eastAsia" w:ascii="宋体" w:hAnsi="宋体" w:eastAsia="宋体" w:cs="宋体"/>
                <w:sz w:val="24"/>
                <w:szCs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Cs/>
                <w:sz w:val="24"/>
                <w:szCs w:val="24"/>
              </w:rPr>
            </w:pPr>
            <w:r>
              <w:rPr>
                <w:rFonts w:hint="eastAsia" w:ascii="宋体" w:hAnsi="宋体" w:eastAsia="宋体" w:cs="宋体"/>
                <w:b/>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kern w:val="0"/>
                <w:sz w:val="24"/>
                <w:szCs w:val="24"/>
                <w:lang w:val="zh-CN"/>
              </w:rPr>
            </w:pPr>
            <w:sdt>
              <w:sdtPr>
                <w:rPr>
                  <w:rFonts w:hint="eastAsia" w:ascii="宋体" w:hAnsi="宋体" w:eastAsia="宋体" w:cs="宋体"/>
                  <w:kern w:val="0"/>
                  <w:sz w:val="24"/>
                  <w:szCs w:val="24"/>
                </w:rPr>
                <w:id w:val="21"/>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szCs w:val="24"/>
                <w:lang w:val="en-US" w:eastAsia="zh-CN"/>
              </w:rPr>
              <w:t>A不</w:t>
            </w:r>
            <w:r>
              <w:rPr>
                <w:rFonts w:hint="eastAsia" w:ascii="宋体" w:hAnsi="宋体" w:eastAsia="宋体" w:cs="宋体"/>
                <w:sz w:val="24"/>
                <w:szCs w:val="24"/>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240" w:lineRule="auto"/>
              <w:jc w:val="center"/>
              <w:rPr>
                <w:rFonts w:hint="eastAsia" w:ascii="宋体" w:hAnsi="宋体" w:eastAsia="宋体" w:cs="宋体"/>
                <w:sz w:val="24"/>
                <w:szCs w:val="24"/>
              </w:rPr>
            </w:pPr>
          </w:p>
          <w:p>
            <w:pPr>
              <w:snapToGrid w:val="0"/>
              <w:spacing w:line="240" w:lineRule="auto"/>
              <w:jc w:val="center"/>
              <w:rPr>
                <w:rFonts w:hint="eastAsia" w:ascii="宋体" w:hAnsi="宋体" w:eastAsia="宋体" w:cs="宋体"/>
                <w:sz w:val="24"/>
                <w:szCs w:val="24"/>
              </w:rPr>
            </w:pPr>
          </w:p>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（1）资格证明文件：见招标文件第二部分11.1。</w:t>
            </w:r>
          </w:p>
          <w:p>
            <w:pPr>
              <w:spacing w:line="240" w:lineRule="auto"/>
              <w:rPr>
                <w:rFonts w:hint="eastAsia" w:ascii="宋体" w:hAnsi="宋体" w:eastAsia="宋体" w:cs="宋体"/>
                <w:snapToGrid w:val="0"/>
                <w:kern w:val="0"/>
                <w:sz w:val="24"/>
                <w:szCs w:val="24"/>
              </w:rPr>
            </w:pPr>
            <w:r>
              <w:rPr>
                <w:rFonts w:hint="eastAsia" w:ascii="宋体" w:hAnsi="宋体" w:eastAsia="宋体" w:cs="宋体"/>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blHeader/>
        </w:trPr>
        <w:tc>
          <w:tcPr>
            <w:tcW w:w="629" w:type="dxa"/>
            <w:vMerge w:val="continue"/>
            <w:tcBorders>
              <w:left w:val="single" w:color="auto" w:sz="4" w:space="0"/>
              <w:bottom w:val="single" w:color="auto" w:sz="4" w:space="0"/>
              <w:right w:val="single" w:color="auto" w:sz="4" w:space="0"/>
            </w:tcBorders>
          </w:tcPr>
          <w:p>
            <w:pPr>
              <w:snapToGrid w:val="0"/>
              <w:spacing w:line="240" w:lineRule="auto"/>
              <w:jc w:val="center"/>
              <w:rPr>
                <w:rFonts w:hint="eastAsia" w:ascii="宋体" w:hAnsi="宋体" w:eastAsia="宋体" w:cs="宋体"/>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240" w:lineRule="auto"/>
              <w:jc w:val="center"/>
              <w:rPr>
                <w:rFonts w:hint="eastAsia" w:ascii="宋体" w:hAnsi="宋体" w:eastAsia="宋体" w:cs="宋体"/>
                <w:sz w:val="24"/>
                <w:szCs w:val="24"/>
              </w:rPr>
            </w:pPr>
          </w:p>
          <w:p>
            <w:pPr>
              <w:snapToGrid w:val="0"/>
              <w:spacing w:line="240" w:lineRule="auto"/>
              <w:jc w:val="center"/>
              <w:rPr>
                <w:rFonts w:hint="eastAsia" w:ascii="宋体" w:hAnsi="宋体" w:eastAsia="宋体" w:cs="宋体"/>
                <w:sz w:val="24"/>
                <w:szCs w:val="24"/>
              </w:rPr>
            </w:pPr>
          </w:p>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sz w:val="24"/>
                <w:szCs w:val="24"/>
              </w:rPr>
            </w:pPr>
            <w:r>
              <w:rPr>
                <w:rFonts w:hint="eastAsia" w:ascii="宋体" w:hAnsi="宋体" w:eastAsia="宋体" w:cs="宋体"/>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240" w:lineRule="auto"/>
              <w:jc w:val="center"/>
              <w:rPr>
                <w:rFonts w:hint="eastAsia" w:ascii="宋体" w:hAnsi="宋体" w:eastAsia="宋体" w:cs="宋体"/>
                <w:sz w:val="24"/>
                <w:szCs w:val="24"/>
              </w:rPr>
            </w:pPr>
          </w:p>
          <w:p>
            <w:pPr>
              <w:snapToGrid w:val="0"/>
              <w:spacing w:line="240" w:lineRule="auto"/>
              <w:jc w:val="center"/>
              <w:rPr>
                <w:rFonts w:hint="eastAsia" w:ascii="宋体" w:hAnsi="宋体" w:eastAsia="宋体" w:cs="宋体"/>
                <w:sz w:val="24"/>
                <w:szCs w:val="24"/>
              </w:rPr>
            </w:pPr>
          </w:p>
          <w:p>
            <w:pPr>
              <w:snapToGrid w:val="0"/>
              <w:spacing w:line="240" w:lineRule="auto"/>
              <w:jc w:val="center"/>
              <w:rPr>
                <w:rFonts w:hint="eastAsia" w:ascii="宋体" w:hAnsi="宋体" w:eastAsia="宋体" w:cs="宋体"/>
                <w:sz w:val="24"/>
                <w:szCs w:val="24"/>
              </w:rPr>
            </w:pPr>
          </w:p>
          <w:p>
            <w:pPr>
              <w:snapToGrid w:val="0"/>
              <w:spacing w:line="240" w:lineRule="auto"/>
              <w:jc w:val="center"/>
              <w:rPr>
                <w:rFonts w:hint="eastAsia" w:ascii="宋体" w:hAnsi="宋体" w:eastAsia="宋体" w:cs="宋体"/>
                <w:sz w:val="24"/>
                <w:szCs w:val="24"/>
              </w:rPr>
            </w:pPr>
          </w:p>
          <w:p>
            <w:pPr>
              <w:snapToGrid w:val="0"/>
              <w:spacing w:line="240" w:lineRule="auto"/>
              <w:jc w:val="center"/>
              <w:rPr>
                <w:rFonts w:hint="eastAsia" w:ascii="宋体" w:hAnsi="宋体" w:eastAsia="宋体" w:cs="宋体"/>
                <w:sz w:val="24"/>
                <w:szCs w:val="24"/>
              </w:rPr>
            </w:pPr>
          </w:p>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left"/>
              <w:rPr>
                <w:rFonts w:hint="eastAsia" w:ascii="宋体" w:hAnsi="宋体" w:eastAsia="宋体" w:cs="宋体"/>
                <w:b/>
                <w:kern w:val="0"/>
                <w:sz w:val="24"/>
                <w:szCs w:val="24"/>
                <w:lang w:val="zh-CN"/>
              </w:rPr>
            </w:pPr>
            <w:r>
              <w:rPr>
                <w:rFonts w:hint="eastAsia" w:ascii="宋体" w:hAnsi="宋体" w:eastAsia="宋体" w:cs="宋体"/>
                <w:kern w:val="0"/>
                <w:sz w:val="24"/>
                <w:szCs w:val="24"/>
                <w:lang w:val="zh-CN"/>
              </w:rPr>
              <w:t>有关本项目实施所需的所有费用（含税费）均计入报价。</w:t>
            </w:r>
            <w:r>
              <w:rPr>
                <w:rFonts w:hint="eastAsia" w:ascii="宋体" w:hAnsi="宋体" w:eastAsia="宋体" w:cs="宋体"/>
                <w:b/>
                <w:bCs/>
                <w:kern w:val="0"/>
                <w:sz w:val="24"/>
                <w:szCs w:val="24"/>
                <w:lang w:val="zh-CN"/>
              </w:rPr>
              <w:t>投标文件</w:t>
            </w:r>
            <w:r>
              <w:rPr>
                <w:rFonts w:hint="eastAsia" w:ascii="宋体" w:hAnsi="宋体" w:eastAsia="宋体" w:cs="宋体"/>
                <w:b/>
                <w:bCs/>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szCs w:val="24"/>
                <w:lang w:val="zh-CN"/>
              </w:rPr>
              <w:t>投标文件中价格全部采用人民币报价。招标文件未列明，而投标人认为必需的费用也需列入报价。</w:t>
            </w:r>
            <w:r>
              <w:rPr>
                <w:rFonts w:hint="eastAsia" w:ascii="宋体" w:hAnsi="宋体" w:eastAsia="宋体" w:cs="宋体"/>
                <w:b/>
                <w:kern w:val="0"/>
                <w:sz w:val="24"/>
                <w:szCs w:val="24"/>
                <w:lang w:val="zh-CN"/>
              </w:rPr>
              <w:t>提醒：验收时检测费用由采购人承担，不包含在投标总价中。</w:t>
            </w:r>
          </w:p>
          <w:p>
            <w:pPr>
              <w:snapToGrid w:val="0"/>
              <w:spacing w:line="240" w:lineRule="auto"/>
              <w:jc w:val="left"/>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投标报价出现下列情形的，投标无效：</w:t>
            </w:r>
          </w:p>
          <w:p>
            <w:pPr>
              <w:snapToGrid w:val="0"/>
              <w:spacing w:line="240" w:lineRule="auto"/>
              <w:ind w:firstLine="241" w:firstLineChars="100"/>
              <w:jc w:val="left"/>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投标文件出现不是唯一的、有选择性投标报价的；</w:t>
            </w:r>
          </w:p>
          <w:p>
            <w:pPr>
              <w:snapToGrid w:val="0"/>
              <w:spacing w:line="240" w:lineRule="auto"/>
              <w:ind w:firstLine="241" w:firstLineChars="100"/>
              <w:jc w:val="left"/>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t>投标报价超过招标文件中规定的预算金额或者最高限价的;</w:t>
            </w:r>
          </w:p>
          <w:p>
            <w:pPr>
              <w:spacing w:line="240" w:lineRule="auto"/>
              <w:ind w:firstLine="241" w:firstLineChars="100"/>
              <w:rPr>
                <w:rFonts w:hint="eastAsia" w:ascii="宋体" w:hAnsi="宋体" w:eastAsia="宋体" w:cs="宋体"/>
                <w:b/>
                <w:sz w:val="24"/>
                <w:szCs w:val="24"/>
              </w:rPr>
            </w:pPr>
            <w:r>
              <w:rPr>
                <w:rFonts w:hint="eastAsia" w:ascii="宋体" w:hAnsi="宋体" w:eastAsia="宋体" w:cs="宋体"/>
                <w:b/>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4"/>
              </w:rPr>
              <w:t>;</w:t>
            </w:r>
          </w:p>
          <w:p>
            <w:pPr>
              <w:spacing w:line="240" w:lineRule="auto"/>
              <w:ind w:firstLine="241" w:firstLineChars="100"/>
              <w:rPr>
                <w:rFonts w:hint="eastAsia" w:ascii="宋体" w:hAnsi="宋体" w:eastAsia="宋体" w:cs="宋体"/>
                <w:sz w:val="24"/>
                <w:szCs w:val="24"/>
              </w:rPr>
            </w:pPr>
            <w:r>
              <w:rPr>
                <w:rFonts w:hint="eastAsia" w:ascii="宋体" w:hAnsi="宋体" w:eastAsia="宋体" w:cs="宋体"/>
                <w:b/>
                <w:kern w:val="0"/>
                <w:sz w:val="24"/>
                <w:szCs w:val="24"/>
              </w:rPr>
              <w:t>投标人对根据修正原则修正后的报价不确认的</w:t>
            </w: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91" w:hRule="atLeast"/>
          <w:tblHeader/>
        </w:trPr>
        <w:tc>
          <w:tcPr>
            <w:tcW w:w="629" w:type="dxa"/>
            <w:tcBorders>
              <w:top w:val="single" w:color="auto" w:sz="4" w:space="0"/>
              <w:left w:val="single" w:color="000000" w:sz="8" w:space="0"/>
              <w:right w:val="single" w:color="000000" w:sz="2" w:space="0"/>
            </w:tcBorders>
          </w:tcPr>
          <w:p>
            <w:pPr>
              <w:snapToGrid w:val="0"/>
              <w:spacing w:line="240" w:lineRule="auto"/>
              <w:jc w:val="center"/>
              <w:rPr>
                <w:rFonts w:hint="eastAsia" w:ascii="宋体" w:hAnsi="宋体" w:eastAsia="宋体" w:cs="宋体"/>
                <w:sz w:val="24"/>
                <w:szCs w:val="24"/>
              </w:rPr>
            </w:pPr>
          </w:p>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843" w:type="dxa"/>
            <w:tcBorders>
              <w:top w:val="single" w:color="000000" w:sz="8" w:space="0"/>
              <w:left w:val="single" w:color="000000" w:sz="2"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240" w:lineRule="auto"/>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240" w:lineRule="auto"/>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本项目支持《杭州市萧山区政府采购支持中小企业信用融资暂行办法》。</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napToGrid w:val="0"/>
                <w:kern w:val="28"/>
                <w:sz w:val="24"/>
                <w:szCs w:val="24"/>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ind w:firstLine="480" w:firstLineChars="200"/>
              <w:rPr>
                <w:rFonts w:hint="eastAsia" w:ascii="宋体" w:hAnsi="宋体" w:eastAsia="宋体" w:cs="宋体"/>
                <w:snapToGrid w:val="0"/>
                <w:kern w:val="28"/>
                <w:sz w:val="24"/>
                <w:szCs w:val="24"/>
                <w:lang w:val="en-US" w:eastAsia="zh-CN"/>
              </w:rPr>
            </w:pPr>
            <w:r>
              <w:rPr>
                <w:rFonts w:hint="eastAsia" w:ascii="宋体" w:hAnsi="宋体" w:eastAsia="宋体" w:cs="宋体"/>
                <w:snapToGrid w:val="0"/>
                <w:kern w:val="28"/>
                <w:sz w:val="24"/>
                <w:szCs w:val="24"/>
                <w:lang w:val="en-US" w:eastAsia="zh-CN"/>
              </w:rPr>
              <w:t>投标单位应准备电子投标文件参与投标：</w:t>
            </w:r>
          </w:p>
          <w:p>
            <w:pPr>
              <w:spacing w:line="240" w:lineRule="auto"/>
              <w:ind w:firstLine="480" w:firstLineChars="200"/>
              <w:rPr>
                <w:rFonts w:hint="eastAsia" w:ascii="宋体" w:hAnsi="宋体" w:eastAsia="宋体" w:cs="宋体"/>
                <w:snapToGrid w:val="0"/>
                <w:kern w:val="28"/>
                <w:sz w:val="24"/>
                <w:szCs w:val="24"/>
                <w:lang w:val="en-US" w:eastAsia="zh-CN"/>
              </w:rPr>
            </w:pPr>
            <w:r>
              <w:rPr>
                <w:rFonts w:hint="eastAsia" w:ascii="宋体" w:hAnsi="宋体" w:eastAsia="宋体" w:cs="宋体"/>
                <w:snapToGrid w:val="0"/>
                <w:kern w:val="28"/>
                <w:sz w:val="24"/>
                <w:szCs w:val="24"/>
                <w:lang w:val="en-US" w:eastAsia="zh-CN"/>
              </w:rPr>
              <w:t>电子投标文件，按政采云平台项目采购-电子招投标操作指南及本招标文件要求递交。</w:t>
            </w:r>
          </w:p>
          <w:p>
            <w:pPr>
              <w:spacing w:line="240" w:lineRule="auto"/>
              <w:ind w:firstLine="480" w:firstLineChars="200"/>
              <w:rPr>
                <w:rFonts w:hint="eastAsia" w:ascii="宋体" w:hAnsi="宋体" w:eastAsia="宋体" w:cs="宋体"/>
                <w:snapToGrid w:val="0"/>
                <w:kern w:val="28"/>
                <w:sz w:val="24"/>
                <w:szCs w:val="24"/>
                <w:lang w:val="en-US" w:eastAsia="zh-CN"/>
              </w:rPr>
            </w:pPr>
            <w:r>
              <w:rPr>
                <w:rFonts w:hint="eastAsia" w:ascii="宋体" w:hAnsi="宋体" w:eastAsia="宋体" w:cs="宋体"/>
                <w:snapToGrid w:val="0"/>
                <w:kern w:val="28"/>
                <w:sz w:val="24"/>
                <w:szCs w:val="24"/>
                <w:lang w:val="en-US" w:eastAsia="zh-CN"/>
              </w:rPr>
              <w:t>▲未传输递交电子投标文件的，投标无效。</w:t>
            </w:r>
          </w:p>
          <w:p>
            <w:pPr>
              <w:spacing w:line="240" w:lineRule="auto"/>
              <w:ind w:firstLine="480" w:firstLineChars="200"/>
              <w:rPr>
                <w:rFonts w:hint="eastAsia" w:ascii="宋体" w:hAnsi="宋体" w:eastAsia="宋体" w:cs="宋体"/>
                <w:snapToGrid w:val="0"/>
                <w:kern w:val="28"/>
                <w:sz w:val="24"/>
                <w:szCs w:val="24"/>
                <w:lang w:val="en-US" w:eastAsia="zh-CN"/>
              </w:rPr>
            </w:pPr>
            <w:r>
              <w:rPr>
                <w:rFonts w:hint="eastAsia" w:ascii="宋体" w:hAnsi="宋体" w:eastAsia="宋体" w:cs="宋体"/>
                <w:snapToGrid w:val="0"/>
                <w:kern w:val="28"/>
                <w:sz w:val="24"/>
                <w:szCs w:val="24"/>
                <w:lang w:val="en-US" w:eastAsia="zh-CN"/>
              </w:rPr>
              <w:t>▲未在系统解密时间内完成解密的，视为投标人自行放弃交易投标无效。</w:t>
            </w:r>
          </w:p>
          <w:p>
            <w:pPr>
              <w:spacing w:line="240" w:lineRule="auto"/>
              <w:ind w:firstLine="480" w:firstLineChars="200"/>
              <w:rPr>
                <w:rFonts w:hint="eastAsia" w:ascii="宋体" w:hAnsi="宋体" w:eastAsia="宋体" w:cs="宋体"/>
                <w:snapToGrid w:val="0"/>
                <w:kern w:val="28"/>
                <w:sz w:val="24"/>
                <w:szCs w:val="24"/>
                <w:lang w:val="en-US" w:eastAsia="zh-CN"/>
              </w:rPr>
            </w:pPr>
            <w:r>
              <w:rPr>
                <w:rFonts w:hint="eastAsia" w:ascii="宋体" w:hAnsi="宋体" w:eastAsia="宋体" w:cs="宋体"/>
                <w:snapToGrid w:val="0"/>
                <w:kern w:val="28"/>
                <w:sz w:val="24"/>
                <w:szCs w:val="24"/>
                <w:lang w:val="en-US" w:eastAsia="zh-CN"/>
              </w:rPr>
              <w:t>本项目备份投标文件：可提交备份</w:t>
            </w:r>
          </w:p>
          <w:p>
            <w:pPr>
              <w:spacing w:line="240" w:lineRule="auto"/>
              <w:ind w:firstLine="480" w:firstLineChars="200"/>
              <w:rPr>
                <w:rFonts w:hint="eastAsia" w:ascii="宋体" w:hAnsi="宋体" w:eastAsia="宋体" w:cs="宋体"/>
                <w:snapToGrid w:val="0"/>
                <w:kern w:val="28"/>
                <w:sz w:val="24"/>
                <w:szCs w:val="24"/>
                <w:lang w:val="en-US" w:eastAsia="zh-CN"/>
              </w:rPr>
            </w:pPr>
            <w:r>
              <w:rPr>
                <w:rFonts w:hint="eastAsia" w:ascii="宋体" w:hAnsi="宋体" w:eastAsia="宋体" w:cs="宋体"/>
                <w:snapToGrid w:val="0"/>
                <w:kern w:val="28"/>
                <w:sz w:val="24"/>
                <w:szCs w:val="24"/>
                <w:lang w:val="en-US" w:eastAsia="zh-CN"/>
              </w:rPr>
              <w:t>备份投标文件送达地点：萧山区北干街道银通大厦西单元703室 ；备份投标文件签收人员联系电话：王佳苹15858121247。采购人、采购代理机构不强制或变相强制供应商提交备份投标文件。</w:t>
            </w:r>
          </w:p>
          <w:p>
            <w:pPr>
              <w:spacing w:line="240" w:lineRule="auto"/>
              <w:ind w:firstLine="482" w:firstLineChars="200"/>
              <w:rPr>
                <w:rFonts w:hint="eastAsia" w:ascii="宋体" w:hAnsi="宋体" w:eastAsia="宋体" w:cs="宋体"/>
                <w:kern w:val="28"/>
                <w:sz w:val="24"/>
                <w:szCs w:val="24"/>
              </w:rPr>
            </w:pPr>
            <w:r>
              <w:rPr>
                <w:rFonts w:hint="eastAsia" w:ascii="宋体" w:hAnsi="宋体" w:eastAsia="宋体" w:cs="宋体"/>
                <w:b/>
                <w:bCs/>
                <w:snapToGrid w:val="0"/>
                <w:kern w:val="28"/>
                <w:sz w:val="24"/>
                <w:szCs w:val="24"/>
                <w:lang w:val="en-US" w:eastAsia="zh-CN"/>
              </w:rPr>
              <w:t>中标</w:t>
            </w:r>
            <w:r>
              <w:rPr>
                <w:rFonts w:hint="eastAsia" w:ascii="宋体" w:hAnsi="宋体" w:eastAsia="宋体" w:cs="宋体"/>
                <w:b/>
                <w:bCs/>
                <w:snapToGrid w:val="0"/>
                <w:kern w:val="28"/>
                <w:sz w:val="24"/>
                <w:szCs w:val="24"/>
              </w:rPr>
              <w:t>单位领取</w:t>
            </w:r>
            <w:r>
              <w:rPr>
                <w:rFonts w:hint="eastAsia" w:ascii="宋体" w:hAnsi="宋体" w:eastAsia="宋体" w:cs="宋体"/>
                <w:b/>
                <w:bCs/>
                <w:snapToGrid w:val="0"/>
                <w:kern w:val="28"/>
                <w:sz w:val="24"/>
                <w:szCs w:val="24"/>
                <w:lang w:val="en-US" w:eastAsia="zh-CN"/>
              </w:rPr>
              <w:t>中标</w:t>
            </w:r>
            <w:r>
              <w:rPr>
                <w:rFonts w:hint="eastAsia" w:ascii="宋体" w:hAnsi="宋体" w:eastAsia="宋体" w:cs="宋体"/>
                <w:b/>
                <w:bCs/>
                <w:snapToGrid w:val="0"/>
                <w:kern w:val="28"/>
                <w:sz w:val="24"/>
                <w:szCs w:val="24"/>
              </w:rPr>
              <w:t>通知书同时需提供纸质</w:t>
            </w:r>
            <w:r>
              <w:rPr>
                <w:rFonts w:hint="eastAsia" w:ascii="宋体" w:hAnsi="宋体" w:eastAsia="宋体" w:cs="宋体"/>
                <w:b/>
                <w:bCs/>
                <w:snapToGrid w:val="0"/>
                <w:kern w:val="28"/>
                <w:sz w:val="24"/>
                <w:szCs w:val="24"/>
                <w:lang w:val="en-US" w:eastAsia="zh-CN"/>
              </w:rPr>
              <w:t>投标</w:t>
            </w:r>
            <w:r>
              <w:rPr>
                <w:rFonts w:hint="eastAsia" w:ascii="宋体" w:hAnsi="宋体" w:eastAsia="宋体" w:cs="宋体"/>
                <w:b/>
                <w:bCs/>
                <w:snapToGrid w:val="0"/>
                <w:kern w:val="28"/>
                <w:sz w:val="24"/>
                <w:szCs w:val="24"/>
              </w:rPr>
              <w:t>文件一正</w:t>
            </w:r>
            <w:r>
              <w:rPr>
                <w:rFonts w:hint="eastAsia" w:ascii="宋体" w:hAnsi="宋体" w:eastAsia="宋体" w:cs="宋体"/>
                <w:b/>
                <w:bCs/>
                <w:snapToGrid w:val="0"/>
                <w:kern w:val="28"/>
                <w:sz w:val="24"/>
                <w:szCs w:val="24"/>
                <w:lang w:val="en-US" w:eastAsia="zh-CN"/>
              </w:rPr>
              <w:t>贰</w:t>
            </w:r>
            <w:r>
              <w:rPr>
                <w:rFonts w:hint="eastAsia" w:ascii="宋体" w:hAnsi="宋体" w:eastAsia="宋体" w:cs="宋体"/>
                <w:b/>
                <w:bCs/>
                <w:snapToGrid w:val="0"/>
                <w:kern w:val="28"/>
                <w:sz w:val="24"/>
                <w:szCs w:val="24"/>
              </w:rPr>
              <w:t>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ind w:firstLine="480" w:firstLineChars="200"/>
              <w:rPr>
                <w:rFonts w:hint="eastAsia" w:ascii="宋体" w:hAnsi="宋体" w:cs="宋体"/>
                <w:snapToGrid w:val="0"/>
                <w:kern w:val="28"/>
                <w:sz w:val="24"/>
              </w:rPr>
            </w:pPr>
            <w:bookmarkStart w:id="22" w:name="OLE_LINK16"/>
            <w:r>
              <w:rPr>
                <w:rFonts w:hint="eastAsia" w:ascii="宋体" w:hAnsi="宋体" w:cs="宋体"/>
                <w:snapToGrid w:val="0"/>
                <w:kern w:val="28"/>
                <w:sz w:val="24"/>
              </w:rPr>
              <w:t>本项目采购代理费由中标单位支付。</w:t>
            </w:r>
          </w:p>
          <w:p>
            <w:pPr>
              <w:spacing w:line="24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采购代理费收费标准按计价格[2002]1980号文规定服务类收费标准下浮66.6%计取。投标人相关费用综合考虑在投标报价中</w:t>
            </w:r>
            <w:bookmarkEnd w:id="22"/>
            <w:r>
              <w:rPr>
                <w:rFonts w:hint="eastAsia" w:ascii="宋体" w:hAnsi="宋体" w:cs="宋体"/>
                <w:snapToGrid w:val="0"/>
                <w:kern w:val="28"/>
                <w:sz w:val="24"/>
              </w:rPr>
              <w:t>。</w:t>
            </w:r>
          </w:p>
          <w:p>
            <w:pPr>
              <w:spacing w:line="240" w:lineRule="auto"/>
              <w:ind w:firstLine="480" w:firstLineChars="200"/>
              <w:rPr>
                <w:rFonts w:hint="eastAsia" w:ascii="宋体" w:hAnsi="宋体" w:eastAsia="宋体" w:cs="宋体"/>
                <w:snapToGrid w:val="0"/>
                <w:kern w:val="28"/>
                <w:sz w:val="24"/>
                <w:szCs w:val="24"/>
                <w:lang w:val="en-US" w:eastAsia="zh-CN"/>
              </w:rPr>
            </w:pPr>
            <w:r>
              <w:rPr>
                <w:rFonts w:hint="eastAsia" w:ascii="宋体" w:hAnsi="宋体" w:eastAsia="宋体" w:cs="宋体"/>
                <w:snapToGrid w:val="0"/>
                <w:kern w:val="28"/>
                <w:sz w:val="24"/>
                <w:szCs w:val="24"/>
                <w:lang w:val="en-US" w:eastAsia="zh-CN"/>
              </w:rPr>
              <w:t xml:space="preserve">开户银行：中国银行杭州萧山绿都支行 </w:t>
            </w:r>
          </w:p>
          <w:p>
            <w:pPr>
              <w:spacing w:line="240" w:lineRule="auto"/>
              <w:ind w:firstLine="480" w:firstLineChars="200"/>
              <w:rPr>
                <w:rFonts w:hint="eastAsia" w:ascii="宋体" w:hAnsi="宋体" w:eastAsia="宋体" w:cs="宋体"/>
                <w:snapToGrid w:val="0"/>
                <w:kern w:val="28"/>
                <w:sz w:val="24"/>
                <w:szCs w:val="24"/>
                <w:lang w:val="en-US" w:eastAsia="zh-CN"/>
              </w:rPr>
            </w:pPr>
            <w:r>
              <w:rPr>
                <w:rFonts w:hint="eastAsia" w:ascii="宋体" w:hAnsi="宋体" w:eastAsia="宋体" w:cs="宋体"/>
                <w:snapToGrid w:val="0"/>
                <w:kern w:val="28"/>
                <w:sz w:val="24"/>
                <w:szCs w:val="24"/>
                <w:lang w:val="en-US" w:eastAsia="zh-CN"/>
              </w:rPr>
              <w:t>帐户名称：杭州市建设工程管理集团有限公司萧山分公司</w:t>
            </w:r>
          </w:p>
          <w:p>
            <w:pPr>
              <w:spacing w:line="240" w:lineRule="auto"/>
              <w:ind w:firstLine="480" w:firstLineChars="200"/>
              <w:rPr>
                <w:rFonts w:hint="eastAsia" w:ascii="宋体" w:hAnsi="宋体" w:eastAsia="宋体" w:cs="宋体"/>
                <w:snapToGrid w:val="0"/>
                <w:kern w:val="28"/>
                <w:sz w:val="24"/>
                <w:szCs w:val="24"/>
                <w:lang w:val="en-US" w:eastAsia="zh-CN"/>
              </w:rPr>
            </w:pPr>
            <w:r>
              <w:rPr>
                <w:rFonts w:hint="eastAsia" w:ascii="宋体" w:hAnsi="宋体" w:eastAsia="宋体" w:cs="宋体"/>
                <w:snapToGrid w:val="0"/>
                <w:kern w:val="28"/>
                <w:sz w:val="24"/>
                <w:szCs w:val="24"/>
                <w:lang w:val="en-US" w:eastAsia="zh-CN"/>
              </w:rPr>
              <w:t>银行帐号：3857 5832 8010</w:t>
            </w:r>
          </w:p>
          <w:p>
            <w:pPr>
              <w:spacing w:line="240" w:lineRule="auto"/>
              <w:ind w:firstLine="480" w:firstLineChars="200"/>
              <w:rPr>
                <w:rFonts w:hint="eastAsia" w:ascii="宋体" w:hAnsi="宋体" w:eastAsia="宋体" w:cs="宋体"/>
                <w:kern w:val="28"/>
                <w:sz w:val="24"/>
                <w:szCs w:val="24"/>
              </w:rPr>
            </w:pPr>
            <w:r>
              <w:rPr>
                <w:rFonts w:hint="eastAsia" w:ascii="宋体" w:hAnsi="宋体" w:eastAsia="宋体" w:cs="宋体"/>
                <w:snapToGrid w:val="0"/>
                <w:kern w:val="28"/>
                <w:sz w:val="24"/>
                <w:szCs w:val="24"/>
                <w:lang w:val="en-US" w:eastAsia="zh-CN"/>
              </w:rPr>
              <w:t>结算方式及时间为：中标单位在领取中标通知书</w:t>
            </w:r>
            <w:r>
              <w:rPr>
                <w:rFonts w:hint="eastAsia" w:ascii="宋体" w:hAnsi="宋体" w:cs="宋体"/>
                <w:snapToGrid w:val="0"/>
                <w:kern w:val="28"/>
                <w:sz w:val="24"/>
                <w:szCs w:val="24"/>
                <w:lang w:val="en-US" w:eastAsia="zh-CN"/>
              </w:rPr>
              <w:t>时</w:t>
            </w:r>
            <w:r>
              <w:rPr>
                <w:rFonts w:hint="eastAsia" w:ascii="宋体" w:hAnsi="宋体" w:eastAsia="宋体" w:cs="宋体"/>
                <w:snapToGrid w:val="0"/>
                <w:kern w:val="28"/>
                <w:sz w:val="24"/>
                <w:szCs w:val="24"/>
                <w:lang w:val="en-US" w:eastAsia="zh-CN"/>
              </w:rPr>
              <w:t>向代理机构支付代理服务。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响应保证金</w:t>
            </w:r>
          </w:p>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both"/>
              <w:rPr>
                <w:rFonts w:hint="eastAsia" w:ascii="宋体" w:hAnsi="宋体" w:eastAsia="宋体" w:cs="宋体"/>
                <w:b w:val="0"/>
                <w:bCs/>
                <w:sz w:val="24"/>
                <w:szCs w:val="24"/>
              </w:rPr>
            </w:pPr>
            <w:r>
              <w:rPr>
                <w:rFonts w:hint="eastAsia" w:ascii="宋体" w:hAnsi="宋体" w:eastAsia="宋体" w:cs="宋体"/>
                <w:b w:val="0"/>
                <w:bCs/>
                <w:sz w:val="24"/>
                <w:szCs w:val="24"/>
              </w:rPr>
              <w:t>响应保证金：不收取。</w:t>
            </w:r>
          </w:p>
          <w:p>
            <w:pPr>
              <w:snapToGrid w:val="0"/>
              <w:spacing w:line="240" w:lineRule="auto"/>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履约保证金：</w:t>
            </w:r>
            <w:r>
              <w:rPr>
                <w:rFonts w:hint="eastAsia" w:ascii="宋体" w:hAnsi="宋体" w:eastAsia="宋体" w:cs="宋体"/>
                <w:b w:val="0"/>
                <w:bCs/>
                <w:sz w:val="24"/>
                <w:szCs w:val="24"/>
                <w:lang w:val="en-US" w:eastAsia="zh-CN"/>
              </w:rPr>
              <w:t>1%</w:t>
            </w:r>
          </w:p>
          <w:p>
            <w:pPr>
              <w:snapToGrid w:val="0"/>
              <w:spacing w:line="240" w:lineRule="auto"/>
              <w:jc w:val="both"/>
              <w:rPr>
                <w:rFonts w:hint="eastAsia" w:ascii="宋体" w:hAnsi="宋体" w:eastAsia="宋体" w:cs="宋体"/>
                <w:b/>
                <w:sz w:val="24"/>
                <w:szCs w:val="24"/>
                <w:lang w:val="en-US" w:eastAsia="zh-CN"/>
              </w:rPr>
            </w:pPr>
            <w:r>
              <w:rPr>
                <w:rFonts w:hint="eastAsia" w:ascii="宋体" w:hAnsi="宋体" w:eastAsia="宋体" w:cs="宋体"/>
                <w:b w:val="0"/>
                <w:bCs/>
                <w:sz w:val="24"/>
                <w:szCs w:val="24"/>
              </w:rPr>
              <w:t>供应商应当以</w:t>
            </w:r>
            <w:r>
              <w:rPr>
                <w:rFonts w:hint="eastAsia" w:ascii="宋体" w:hAnsi="宋体" w:eastAsia="宋体" w:cs="宋体"/>
                <w:b w:val="0"/>
                <w:bCs/>
                <w:sz w:val="24"/>
                <w:szCs w:val="24"/>
                <w:lang w:val="en-US" w:eastAsia="zh-CN"/>
              </w:rPr>
              <w:t>银行保函等</w:t>
            </w:r>
            <w:r>
              <w:rPr>
                <w:rFonts w:hint="eastAsia" w:ascii="宋体" w:hAnsi="宋体" w:eastAsia="宋体" w:cs="宋体"/>
                <w:b w:val="0"/>
                <w:bCs/>
                <w:sz w:val="24"/>
                <w:szCs w:val="24"/>
              </w:rPr>
              <w:t>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cs="宋体"/>
                <w:sz w:val="24"/>
                <w:szCs w:val="24"/>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line="240" w:lineRule="auto"/>
              <w:rPr>
                <w:rFonts w:hint="eastAsia" w:ascii="宋体" w:hAnsi="宋体" w:eastAsia="宋体" w:cs="宋体"/>
                <w:kern w:val="2"/>
                <w:sz w:val="24"/>
                <w:szCs w:val="24"/>
                <w:lang w:val="en-US" w:eastAsia="zh-CN" w:bidi="ar-SA"/>
              </w:rPr>
            </w:pPr>
            <w:r>
              <w:rPr>
                <w:rFonts w:hint="eastAsia" w:ascii="宋体" w:hAnsi="宋体" w:eastAsia="宋体" w:cs="宋体"/>
                <w:b/>
                <w:sz w:val="24"/>
                <w:szCs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ind w:firstLine="480" w:firstLineChars="200"/>
              <w:rPr>
                <w:rFonts w:hint="eastAsia" w:ascii="宋体" w:hAnsi="宋体" w:eastAsia="宋体" w:cs="宋体"/>
                <w:snapToGrid w:val="0"/>
                <w:kern w:val="28"/>
                <w:sz w:val="24"/>
                <w:szCs w:val="24"/>
                <w:lang w:val="en-US" w:eastAsia="zh-CN"/>
              </w:rPr>
            </w:pPr>
            <w:r>
              <w:rPr>
                <w:rFonts w:hint="eastAsia" w:ascii="宋体" w:hAnsi="宋体" w:eastAsia="宋体" w:cs="宋体"/>
                <w:snapToGrid w:val="0"/>
                <w:kern w:val="28"/>
                <w:sz w:val="24"/>
                <w:szCs w:val="24"/>
                <w:lang w:val="en-US" w:eastAsia="zh-CN"/>
              </w:rPr>
              <w:t>本项目由</w:t>
            </w:r>
            <w:r>
              <w:rPr>
                <w:rFonts w:hint="eastAsia" w:ascii="宋体" w:hAnsi="宋体" w:cs="宋体"/>
                <w:snapToGrid w:val="0"/>
                <w:kern w:val="28"/>
                <w:sz w:val="24"/>
                <w:szCs w:val="24"/>
                <w:lang w:val="en-US" w:eastAsia="zh-CN"/>
              </w:rPr>
              <w:t>代理机构</w:t>
            </w:r>
            <w:r>
              <w:rPr>
                <w:rFonts w:hint="eastAsia" w:ascii="宋体" w:hAnsi="宋体" w:eastAsia="宋体" w:cs="宋体"/>
                <w:snapToGrid w:val="0"/>
                <w:kern w:val="28"/>
                <w:sz w:val="24"/>
                <w:szCs w:val="24"/>
                <w:lang w:val="en-US" w:eastAsia="zh-CN"/>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line="24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line="240" w:lineRule="auto"/>
              <w:jc w:val="center"/>
              <w:rPr>
                <w:rFonts w:hint="eastAsia" w:ascii="宋体" w:hAnsi="宋体" w:eastAsia="宋体" w:cs="宋体"/>
                <w:b/>
                <w:sz w:val="24"/>
                <w:szCs w:val="24"/>
              </w:rPr>
            </w:pPr>
            <w:r>
              <w:rPr>
                <w:rFonts w:hint="eastAsia" w:ascii="宋体" w:hAnsi="宋体" w:eastAsia="宋体" w:cs="宋体"/>
                <w:b/>
                <w:sz w:val="24"/>
                <w:szCs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ind w:firstLine="480" w:firstLineChars="200"/>
              <w:rPr>
                <w:rFonts w:hint="eastAsia" w:ascii="宋体" w:hAnsi="宋体" w:eastAsia="宋体" w:cs="宋体"/>
                <w:snapToGrid w:val="0"/>
                <w:kern w:val="28"/>
                <w:sz w:val="24"/>
                <w:szCs w:val="24"/>
                <w:lang w:val="en-US" w:eastAsia="zh-CN"/>
              </w:rPr>
            </w:pPr>
            <w:r>
              <w:rPr>
                <w:rFonts w:hint="eastAsia" w:ascii="宋体" w:hAnsi="宋体" w:eastAsia="宋体" w:cs="宋体"/>
                <w:snapToGrid w:val="0"/>
                <w:kern w:val="28"/>
                <w:sz w:val="24"/>
                <w:szCs w:val="24"/>
                <w:lang w:val="en-US" w:eastAsia="zh-CN"/>
              </w:rPr>
              <w:t>采购人、采购机构质疑接收人、联系方式：详见公告</w:t>
            </w:r>
          </w:p>
          <w:p>
            <w:pPr>
              <w:snapToGrid w:val="0"/>
              <w:spacing w:line="240" w:lineRule="auto"/>
              <w:ind w:firstLine="480" w:firstLineChars="200"/>
              <w:rPr>
                <w:rFonts w:hint="eastAsia" w:ascii="宋体" w:hAnsi="宋体" w:eastAsia="宋体" w:cs="宋体"/>
                <w:snapToGrid w:val="0"/>
                <w:kern w:val="28"/>
                <w:sz w:val="24"/>
                <w:szCs w:val="24"/>
                <w:lang w:val="en-US" w:eastAsia="zh-CN"/>
              </w:rPr>
            </w:pPr>
            <w:r>
              <w:rPr>
                <w:rFonts w:hint="eastAsia" w:ascii="宋体" w:hAnsi="宋体" w:eastAsia="宋体" w:cs="宋体"/>
                <w:snapToGrid w:val="0"/>
                <w:kern w:val="28"/>
                <w:sz w:val="24"/>
                <w:szCs w:val="24"/>
                <w:lang w:val="en-US" w:eastAsia="zh-CN"/>
              </w:rPr>
              <w:t>线上提交质疑方式：政采云线上质疑路径：项目采购-询问质疑投诉-质疑列表。请使用ca签章在每一页质疑文件中加盖电子公章，上传完整附件。</w:t>
            </w:r>
          </w:p>
          <w:p>
            <w:pPr>
              <w:spacing w:line="240" w:lineRule="auto"/>
              <w:ind w:firstLine="480" w:firstLineChars="200"/>
              <w:rPr>
                <w:rFonts w:hint="eastAsia" w:ascii="宋体" w:hAnsi="宋体" w:eastAsia="宋体" w:cs="宋体"/>
                <w:snapToGrid w:val="0"/>
                <w:kern w:val="28"/>
                <w:sz w:val="24"/>
                <w:szCs w:val="24"/>
                <w:lang w:val="en-US" w:eastAsia="zh-CN"/>
              </w:rPr>
            </w:pPr>
            <w:r>
              <w:rPr>
                <w:rFonts w:hint="eastAsia" w:ascii="宋体" w:hAnsi="宋体" w:eastAsia="宋体" w:cs="宋体"/>
                <w:snapToGrid w:val="0"/>
                <w:kern w:val="28"/>
                <w:sz w:val="24"/>
                <w:szCs w:val="24"/>
                <w:lang w:val="en-US" w:eastAsia="zh-CN"/>
              </w:rPr>
              <w:t>本项目涉及资格条件、采购需求、评分办法及采购过程中有关现场考察或开标前答疑会等事项由采购人进行答复。</w:t>
            </w:r>
          </w:p>
          <w:p>
            <w:pPr>
              <w:spacing w:line="240" w:lineRule="auto"/>
              <w:ind w:firstLine="480" w:firstLineChars="200"/>
              <w:rPr>
                <w:rFonts w:hint="eastAsia" w:ascii="宋体" w:hAnsi="宋体" w:eastAsia="宋体" w:cs="宋体"/>
                <w:snapToGrid w:val="0"/>
                <w:kern w:val="28"/>
                <w:sz w:val="24"/>
                <w:szCs w:val="24"/>
                <w:lang w:val="en-US" w:eastAsia="zh-CN"/>
              </w:rPr>
            </w:pPr>
            <w:r>
              <w:rPr>
                <w:rFonts w:hint="eastAsia" w:ascii="宋体" w:hAnsi="宋体" w:eastAsia="宋体" w:cs="宋体"/>
                <w:snapToGrid w:val="0"/>
                <w:kern w:val="28"/>
                <w:sz w:val="24"/>
                <w:szCs w:val="24"/>
                <w:lang w:val="en-US" w:eastAsia="zh-CN"/>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5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line="240" w:lineRule="auto"/>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ind w:firstLine="480" w:firstLineChars="200"/>
              <w:rPr>
                <w:rFonts w:hint="eastAsia" w:ascii="宋体" w:hAnsi="宋体" w:eastAsia="宋体" w:cs="宋体"/>
                <w:snapToGrid w:val="0"/>
                <w:kern w:val="28"/>
                <w:sz w:val="24"/>
                <w:szCs w:val="24"/>
                <w:lang w:val="en-US" w:eastAsia="zh-CN"/>
              </w:rPr>
            </w:pPr>
            <w:r>
              <w:rPr>
                <w:rFonts w:hint="eastAsia" w:ascii="宋体" w:hAnsi="宋体" w:eastAsia="宋体" w:cs="宋体"/>
                <w:snapToGrid w:val="0"/>
                <w:kern w:val="28"/>
                <w:sz w:val="24"/>
                <w:szCs w:val="24"/>
                <w:lang w:val="en-US" w:eastAsia="zh-CN"/>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pPr>
              <w:spacing w:line="240" w:lineRule="auto"/>
              <w:ind w:firstLine="480" w:firstLineChars="200"/>
              <w:rPr>
                <w:rFonts w:hint="eastAsia" w:ascii="宋体" w:hAnsi="宋体" w:eastAsia="宋体" w:cs="宋体"/>
                <w:snapToGrid w:val="0"/>
                <w:kern w:val="28"/>
                <w:sz w:val="24"/>
                <w:szCs w:val="24"/>
                <w:lang w:val="en-US" w:eastAsia="zh-CN"/>
              </w:rPr>
            </w:pPr>
            <w:r>
              <w:rPr>
                <w:rFonts w:hint="eastAsia" w:ascii="宋体" w:hAnsi="宋体" w:eastAsia="宋体" w:cs="宋体"/>
                <w:snapToGrid w:val="0"/>
                <w:kern w:val="28"/>
                <w:sz w:val="24"/>
                <w:szCs w:val="24"/>
                <w:lang w:val="en-US" w:eastAsia="zh-CN"/>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240" w:lineRule="auto"/>
              <w:jc w:val="left"/>
              <w:rPr>
                <w:rFonts w:hint="eastAsia" w:ascii="宋体" w:hAnsi="宋体" w:eastAsia="宋体" w:cs="宋体"/>
                <w:b/>
                <w:sz w:val="24"/>
                <w:szCs w:val="24"/>
              </w:rPr>
            </w:pPr>
            <w:r>
              <w:rPr>
                <w:rFonts w:hint="eastAsia" w:ascii="宋体" w:hAnsi="宋体" w:eastAsia="宋体" w:cs="宋体"/>
                <w:b/>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ind w:firstLine="480" w:firstLineChars="200"/>
              <w:rPr>
                <w:rFonts w:hint="eastAsia" w:ascii="宋体" w:hAnsi="宋体" w:eastAsia="宋体" w:cs="宋体"/>
                <w:snapToGrid w:val="0"/>
                <w:kern w:val="28"/>
                <w:sz w:val="24"/>
                <w:szCs w:val="24"/>
                <w:lang w:val="en-US" w:eastAsia="zh-CN"/>
              </w:rPr>
            </w:pPr>
            <w:r>
              <w:rPr>
                <w:rFonts w:hint="eastAsia" w:ascii="宋体" w:hAnsi="宋体" w:eastAsia="宋体" w:cs="宋体"/>
                <w:snapToGrid w:val="0"/>
                <w:kern w:val="28"/>
                <w:sz w:val="24"/>
                <w:szCs w:val="24"/>
                <w:lang w:val="en-US" w:eastAsia="zh-CN"/>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8" w:hRule="atLeast"/>
          <w:tblHeader/>
        </w:trPr>
        <w:tc>
          <w:tcPr>
            <w:tcW w:w="629" w:type="dxa"/>
            <w:vMerge w:val="continue"/>
            <w:tcBorders>
              <w:left w:val="single" w:color="000000" w:sz="8" w:space="0"/>
              <w:right w:val="single" w:color="000000" w:sz="2" w:space="0"/>
            </w:tcBorders>
          </w:tcPr>
          <w:p>
            <w:pPr>
              <w:snapToGrid w:val="0"/>
              <w:spacing w:line="240" w:lineRule="auto"/>
              <w:jc w:val="center"/>
              <w:rPr>
                <w:rFonts w:hint="eastAsia" w:ascii="宋体" w:hAnsi="宋体" w:eastAsia="宋体" w:cs="宋体"/>
                <w:sz w:val="24"/>
                <w:szCs w:val="24"/>
              </w:rPr>
            </w:pPr>
          </w:p>
        </w:tc>
        <w:tc>
          <w:tcPr>
            <w:tcW w:w="1843" w:type="dxa"/>
            <w:vMerge w:val="continue"/>
            <w:tcBorders>
              <w:left w:val="single" w:color="000000" w:sz="2" w:space="0"/>
              <w:right w:val="single" w:color="000000" w:sz="8" w:space="0"/>
            </w:tcBorders>
            <w:vAlign w:val="center"/>
          </w:tcPr>
          <w:p>
            <w:pPr>
              <w:snapToGrid w:val="0"/>
              <w:spacing w:line="240" w:lineRule="auto"/>
              <w:jc w:val="center"/>
              <w:rPr>
                <w:rFonts w:hint="eastAsia" w:ascii="宋体" w:hAnsi="宋体" w:eastAsia="宋体" w:cs="宋体"/>
                <w:b/>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sz w:val="24"/>
                <w:szCs w:val="24"/>
              </w:rPr>
            </w:pPr>
            <w:sdt>
              <w:sdtPr>
                <w:rPr>
                  <w:rFonts w:hint="eastAsia" w:ascii="宋体" w:hAnsi="宋体" w:eastAsia="宋体" w:cs="宋体"/>
                  <w:sz w:val="24"/>
                  <w:szCs w:val="24"/>
                </w:rPr>
                <w:id w:val="23"/>
                <w14:checkbox>
                  <w14:checked w14:val="0"/>
                  <w14:checkedState w14:val="00FE" w14:font="Wingdings"/>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联合体投标的，联合体各方均需按招标文件第四部分评标标准要求提供资信证明文件，否则视为不符合相关要求。</w:t>
            </w:r>
          </w:p>
          <w:p>
            <w:pPr>
              <w:spacing w:line="240" w:lineRule="auto"/>
              <w:rPr>
                <w:rFonts w:hint="eastAsia" w:ascii="宋体" w:hAnsi="宋体" w:eastAsia="宋体" w:cs="宋体"/>
                <w:sz w:val="24"/>
                <w:szCs w:val="24"/>
                <w:lang w:eastAsia="zh-CN"/>
              </w:rPr>
            </w:pPr>
            <w:sdt>
              <w:sdtPr>
                <w:rPr>
                  <w:rFonts w:hint="eastAsia" w:ascii="宋体" w:hAnsi="宋体" w:eastAsia="宋体" w:cs="宋体"/>
                  <w:sz w:val="24"/>
                  <w:szCs w:val="24"/>
                </w:rPr>
                <w:id w:val="1052570136"/>
                <w14:checkbox>
                  <w14:checked w14:val="1"/>
                  <w14:checkedState w14:val="00FE" w14:font="Wingdings"/>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sym w:font="Wingdings" w:char="F0FE"/>
                </w:r>
              </w:sdtContent>
            </w:sdt>
            <w:r>
              <w:rPr>
                <w:rFonts w:hint="eastAsia" w:ascii="宋体" w:hAnsi="宋体" w:eastAsia="宋体" w:cs="宋体"/>
                <w:sz w:val="24"/>
                <w:szCs w:val="24"/>
              </w:rPr>
              <w:t>联合体投标的，联合体中有一方或者联合体成员根据分工按招标文件第四部分评标标准要求提供资信证明文件的，视为符合了相关要求。</w:t>
            </w:r>
          </w:p>
          <w:p>
            <w:pPr>
              <w:spacing w:line="240" w:lineRule="auto"/>
              <w:rPr>
                <w:rFonts w:hint="eastAsia" w:ascii="宋体" w:hAnsi="宋体" w:eastAsia="宋体" w:cs="宋体"/>
                <w:sz w:val="24"/>
                <w:szCs w:val="24"/>
              </w:rPr>
            </w:pPr>
            <w:r>
              <w:rPr>
                <w:rFonts w:hint="eastAsia" w:ascii="宋体" w:hAnsi="宋体" w:eastAsia="宋体" w:cs="宋体"/>
                <w:kern w:val="0"/>
                <w:sz w:val="24"/>
                <w:szCs w:val="24"/>
                <w:highlight w:val="cyan"/>
              </w:rPr>
              <w:t>评审因素对应的要求视为采购需求的一部分。</w:t>
            </w:r>
          </w:p>
          <w:p>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严格执行预算限价，项目如涉及办公用房装修、通用办公设备家具的不得超限额标准。（萧财国资【2019】389号）</w:t>
            </w:r>
          </w:p>
          <w:p>
            <w:pPr>
              <w:spacing w:line="240" w:lineRule="auto"/>
              <w:rPr>
                <w:rFonts w:hint="eastAsia" w:ascii="宋体" w:hAnsi="宋体" w:eastAsia="宋体" w:cs="宋体"/>
                <w:sz w:val="24"/>
                <w:szCs w:val="24"/>
              </w:rPr>
            </w:pPr>
            <w:r>
              <w:rPr>
                <w:rFonts w:hint="eastAsia" w:ascii="宋体" w:hAnsi="宋体" w:eastAsia="宋体" w:cs="宋体"/>
                <w:b/>
                <w:bCs/>
                <w:sz w:val="24"/>
                <w:szCs w:val="24"/>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4"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240" w:lineRule="auto"/>
              <w:jc w:val="center"/>
              <w:rPr>
                <w:rFonts w:hint="eastAsia" w:ascii="宋体" w:hAnsi="宋体" w:eastAsia="宋体" w:cs="宋体"/>
                <w:sz w:val="24"/>
                <w:szCs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本项目每个标项推荐中标候选人数量：</w:t>
            </w:r>
            <w:r>
              <w:rPr>
                <w:rFonts w:hint="eastAsia" w:ascii="宋体" w:hAnsi="宋体" w:eastAsia="宋体" w:cs="宋体"/>
                <w:b/>
                <w:bCs/>
                <w:sz w:val="24"/>
                <w:szCs w:val="24"/>
                <w:lang w:val="en-US" w:eastAsia="zh-CN"/>
              </w:rPr>
              <w:t>1</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23" w:name="_Toc164416483"/>
      <w:bookmarkStart w:id="24"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z w:val="24"/>
          <w:highlight w:val="cyan"/>
        </w:rPr>
        <w:t>（</w:t>
      </w:r>
      <w:r>
        <w:rPr>
          <w:rFonts w:hint="eastAsia" w:ascii="宋体" w:hAnsi="宋体" w:cs="宋体"/>
          <w:snapToGrid w:val="0"/>
          <w:kern w:val="28"/>
          <w:sz w:val="24"/>
          <w:highlight w:val="cyan"/>
        </w:rPr>
        <w:t>招标文件第四部分</w:t>
      </w:r>
      <w:r>
        <w:rPr>
          <w:rFonts w:hint="eastAsia" w:ascii="宋体" w:hAnsi="宋体" w:cs="宋体"/>
          <w:sz w:val="24"/>
          <w:highlight w:val="cyan"/>
          <w:u w:val="single"/>
        </w:rPr>
        <w:t>评标办分法明确具体的扣除比例，未明确的，</w:t>
      </w:r>
      <w:r>
        <w:rPr>
          <w:rFonts w:hint="eastAsia" w:ascii="宋体" w:hAnsi="宋体" w:cs="宋体"/>
          <w:sz w:val="24"/>
          <w:highlight w:val="cyan"/>
        </w:rPr>
        <w:t>给予</w:t>
      </w:r>
      <w:r>
        <w:rPr>
          <w:rFonts w:hint="eastAsia" w:ascii="宋体" w:hAnsi="宋体" w:cs="宋体"/>
          <w:sz w:val="24"/>
          <w:highlight w:val="cyan"/>
          <w:lang w:val="en-US" w:eastAsia="zh-CN"/>
        </w:rPr>
        <w:t>2</w:t>
      </w:r>
      <w:r>
        <w:rPr>
          <w:rFonts w:ascii="宋体" w:hAnsi="宋体" w:cs="宋体"/>
          <w:sz w:val="24"/>
          <w:highlight w:val="cyan"/>
        </w:rPr>
        <w:t>0</w:t>
      </w:r>
      <w:r>
        <w:rPr>
          <w:rFonts w:hint="eastAsia" w:ascii="宋体" w:hAnsi="宋体" w:cs="宋体"/>
          <w:sz w:val="24"/>
          <w:highlight w:val="cyan"/>
        </w:rPr>
        <w:t>%的扣除）</w:t>
      </w:r>
      <w:r>
        <w:rPr>
          <w:rFonts w:hint="eastAsia" w:ascii="宋体" w:hAnsi="宋体" w:cs="宋体"/>
          <w:sz w:val="24"/>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w:t>
      </w:r>
      <w:r>
        <w:rPr>
          <w:rFonts w:hint="eastAsia" w:ascii="宋体" w:hAnsi="宋体" w:cs="宋体"/>
          <w:sz w:val="24"/>
          <w:highlight w:val="cyan"/>
        </w:rPr>
        <w:t>（</w:t>
      </w:r>
      <w:r>
        <w:rPr>
          <w:rFonts w:hint="eastAsia" w:ascii="宋体" w:hAnsi="宋体" w:cs="宋体"/>
          <w:snapToGrid w:val="0"/>
          <w:kern w:val="28"/>
          <w:sz w:val="24"/>
          <w:highlight w:val="cyan"/>
        </w:rPr>
        <w:t>招标文件第四部分</w:t>
      </w:r>
      <w:r>
        <w:rPr>
          <w:rFonts w:hint="eastAsia" w:ascii="宋体" w:hAnsi="宋体" w:cs="宋体"/>
          <w:sz w:val="24"/>
          <w:highlight w:val="cyan"/>
          <w:u w:val="single"/>
        </w:rPr>
        <w:t>评标办分法明确具体的扣除比例，未明确的，</w:t>
      </w:r>
      <w:r>
        <w:rPr>
          <w:rFonts w:hint="eastAsia" w:ascii="宋体" w:hAnsi="宋体" w:cs="宋体"/>
          <w:sz w:val="24"/>
          <w:highlight w:val="cyan"/>
        </w:rPr>
        <w:t>给予6%的扣除）</w:t>
      </w:r>
      <w:r>
        <w:rPr>
          <w:rFonts w:hint="eastAsia" w:ascii="宋体" w:hAnsi="宋体" w:cs="宋体"/>
          <w:sz w:val="24"/>
        </w:rPr>
        <w:t>，用扣除后的价格参加评审。组成联合体或者接受分包的小微企业与联合体内其他企业、分包企业之间存在直接控股、管理关系的，不享受价格扣除优惠政策。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9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pPr>
      <w:r>
        <w:rPr>
          <w:rFonts w:hint="eastAsia"/>
        </w:rPr>
        <w:t>质疑函范本及制作说明详见附件2。</w:t>
      </w:r>
    </w:p>
    <w:p>
      <w:pPr>
        <w:pStyle w:val="89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90"/>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90"/>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pPr>
      <w:r>
        <w:rPr>
          <w:rFonts w:hint="eastAsia"/>
        </w:rPr>
        <w:t>投诉书范本及制作说明详见附件3。</w:t>
      </w:r>
    </w:p>
    <w:p>
      <w:pPr>
        <w:pStyle w:val="133"/>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int="default" w:hAnsi="宋体" w:eastAsia="宋体" w:cs="宋体"/>
          <w:b/>
          <w:sz w:val="24"/>
          <w:szCs w:val="24"/>
          <w:lang w:val="en-US" w:eastAsia="zh-CN"/>
        </w:rPr>
      </w:pPr>
      <w:r>
        <w:rPr>
          <w:rFonts w:hint="eastAsia" w:hAnsi="宋体" w:cs="宋体"/>
          <w:b/>
          <w:sz w:val="24"/>
          <w:szCs w:val="24"/>
        </w:rPr>
        <w:t>6. 招标文件的澄清、修改</w:t>
      </w:r>
    </w:p>
    <w:p>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33"/>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3"/>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cs="宋体"/>
          <w:szCs w:val="24"/>
          <w:highlight w:val="cyan"/>
        </w:rPr>
        <w:t>供应商撤回投标不得损害国家利益、社会公共利益、采购人利益、代理机构利益、其他供应商利益，否则，供应商撤销（撤回）投标无效。</w:t>
      </w:r>
      <w:r>
        <w:rPr>
          <w:rFonts w:hint="eastAsia" w:ascii="宋体" w:hAnsi="宋体" w:cs="宋体"/>
          <w:szCs w:val="24"/>
        </w:rPr>
        <w:t>投标截止时间前未完成传输的，视为撤回投标文件。投标截止时间后递交的投标文件，电子交易平台将拒收。</w:t>
      </w:r>
    </w:p>
    <w:p>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3"/>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3"/>
        <w:spacing w:before="0"/>
        <w:ind w:firstLine="480"/>
        <w:jc w:val="left"/>
        <w:rPr>
          <w:rFonts w:hint="eastAsia" w:ascii="宋体" w:hAnsi="宋体" w:eastAsia="宋体" w:cs="宋体"/>
          <w:lang w:eastAsia="zh-CN"/>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33"/>
        <w:spacing w:before="0"/>
        <w:ind w:firstLine="480"/>
        <w:jc w:val="left"/>
        <w:rPr>
          <w:rFonts w:hint="eastAsia" w:ascii="宋体" w:hAnsi="宋体" w:cs="宋体"/>
        </w:rPr>
      </w:pPr>
      <w:r>
        <w:rPr>
          <w:rFonts w:hint="eastAsia" w:ascii="宋体" w:hAnsi="宋体" w:cs="宋体"/>
          <w:lang w:val="en-US" w:eastAsia="zh-CN"/>
        </w:rPr>
        <w:t xml:space="preserve">    </w:t>
      </w:r>
      <w:r>
        <w:rPr>
          <w:rFonts w:hint="eastAsia" w:ascii="宋体" w:hAnsi="宋体" w:cs="宋体"/>
          <w:highlight w:val="cyan"/>
        </w:rPr>
        <w:t>17.4在投标截止时间起至投标有效期届满，供应商投标文件不可撤销。</w:t>
      </w:r>
    </w:p>
    <w:p>
      <w:pPr>
        <w:pStyle w:val="133"/>
        <w:spacing w:before="0"/>
        <w:ind w:firstLine="480"/>
        <w:rPr>
          <w:rFonts w:ascii="宋体" w:hAnsi="宋体" w:cs="宋体"/>
        </w:rPr>
      </w:pPr>
    </w:p>
    <w:p>
      <w:pPr>
        <w:pStyle w:val="133"/>
        <w:spacing w:before="0"/>
        <w:ind w:firstLine="643"/>
        <w:rPr>
          <w:rFonts w:ascii="宋体" w:hAnsi="宋体" w:cs="宋体"/>
          <w:b/>
          <w:sz w:val="32"/>
        </w:rPr>
      </w:pPr>
    </w:p>
    <w:p>
      <w:pPr>
        <w:pStyle w:val="133"/>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33"/>
        <w:spacing w:before="0"/>
        <w:ind w:firstLine="480"/>
        <w:rPr>
          <w:rFonts w:ascii="宋体" w:hAnsi="宋体" w:cs="宋体"/>
          <w:kern w:val="0"/>
          <w:szCs w:val="24"/>
          <w:highlight w:val="cyan"/>
        </w:rPr>
      </w:pPr>
      <w:r>
        <w:rPr>
          <w:rFonts w:hint="eastAsia" w:ascii="宋体" w:hAnsi="宋体" w:cs="宋体"/>
          <w:kern w:val="0"/>
          <w:szCs w:val="24"/>
          <w:highlight w:val="cyan"/>
        </w:rPr>
        <w:t>19.1开标后，</w:t>
      </w:r>
      <w:r>
        <w:rPr>
          <w:rFonts w:hint="eastAsia" w:ascii="宋体" w:hAnsi="宋体" w:cs="宋体"/>
          <w:kern w:val="0"/>
          <w:szCs w:val="24"/>
          <w:highlight w:val="cyan"/>
          <w:lang w:val="en-US" w:eastAsia="zh-CN"/>
        </w:rPr>
        <w:t>代理机构</w:t>
      </w:r>
      <w:r>
        <w:rPr>
          <w:rFonts w:hint="eastAsia" w:ascii="宋体" w:hAnsi="宋体" w:cs="宋体"/>
          <w:kern w:val="0"/>
          <w:szCs w:val="24"/>
          <w:highlight w:val="cyan"/>
        </w:rPr>
        <w:t>将依据法律法规和招标文件的规定，对投标人的资格进行审查。</w:t>
      </w:r>
    </w:p>
    <w:p>
      <w:pPr>
        <w:pStyle w:val="133"/>
        <w:spacing w:before="0"/>
        <w:ind w:firstLine="480"/>
        <w:rPr>
          <w:rFonts w:ascii="宋体" w:hAnsi="宋体" w:cs="宋体"/>
          <w:highlight w:val="cyan"/>
        </w:rPr>
      </w:pPr>
      <w:r>
        <w:rPr>
          <w:rFonts w:hint="eastAsia" w:ascii="宋体" w:hAnsi="宋体" w:cs="宋体"/>
          <w:kern w:val="0"/>
          <w:szCs w:val="24"/>
          <w:highlight w:val="cyan"/>
        </w:rPr>
        <w:t>19.2投标人未按照招标文件要求提供与</w:t>
      </w:r>
      <w:r>
        <w:rPr>
          <w:rFonts w:hint="eastAsia" w:ascii="宋体" w:hAnsi="宋体" w:cs="宋体"/>
          <w:highlight w:val="cyan"/>
        </w:rPr>
        <w:t>资格条件相应的</w:t>
      </w:r>
      <w:r>
        <w:rPr>
          <w:rFonts w:hint="eastAsia" w:ascii="宋体" w:hAnsi="宋体" w:cs="宋体"/>
          <w:kern w:val="0"/>
          <w:szCs w:val="24"/>
          <w:highlight w:val="cyan"/>
        </w:rPr>
        <w:t>有效资格证明材料的，视为</w:t>
      </w:r>
      <w:r>
        <w:rPr>
          <w:rFonts w:hint="eastAsia" w:ascii="宋体" w:hAnsi="宋体" w:cs="宋体"/>
          <w:highlight w:val="cyan"/>
        </w:rPr>
        <w:t>投标人不具备招标文件中规定的资格要求，其投标无效。</w:t>
      </w:r>
    </w:p>
    <w:p>
      <w:pPr>
        <w:pStyle w:val="133"/>
        <w:spacing w:before="0"/>
        <w:ind w:firstLine="480"/>
        <w:rPr>
          <w:rFonts w:ascii="宋体" w:hAnsi="宋体" w:cs="宋体"/>
          <w:highlight w:val="cyan"/>
        </w:rPr>
      </w:pPr>
      <w:r>
        <w:rPr>
          <w:rFonts w:hint="eastAsia" w:ascii="宋体" w:hAnsi="宋体" w:cs="宋体"/>
          <w:kern w:val="0"/>
          <w:szCs w:val="24"/>
          <w:highlight w:val="cyan"/>
        </w:rPr>
        <w:t>19.</w:t>
      </w:r>
      <w:r>
        <w:rPr>
          <w:rFonts w:hint="eastAsia" w:ascii="宋体" w:hAnsi="宋体" w:cs="宋体"/>
          <w:highlight w:val="cyan"/>
        </w:rPr>
        <w:t>3对未通过资格审查的投标人，告知其未通过的原因。</w:t>
      </w:r>
    </w:p>
    <w:p>
      <w:pPr>
        <w:pStyle w:val="133"/>
        <w:spacing w:before="0"/>
        <w:ind w:firstLine="480"/>
        <w:rPr>
          <w:rFonts w:ascii="宋体" w:hAnsi="宋体" w:cs="宋体"/>
        </w:rPr>
      </w:pPr>
      <w:r>
        <w:rPr>
          <w:rFonts w:hint="eastAsia" w:ascii="宋体" w:hAnsi="宋体" w:cs="宋体"/>
          <w:kern w:val="0"/>
          <w:szCs w:val="24"/>
          <w:highlight w:val="cyan"/>
        </w:rPr>
        <w:t>19.</w:t>
      </w:r>
      <w:r>
        <w:rPr>
          <w:rFonts w:hint="eastAsia" w:ascii="宋体" w:hAnsi="宋体" w:cs="宋体"/>
          <w:highlight w:val="cyan"/>
        </w:rPr>
        <w:t>4合格投标人不足3家的，不再评标。</w:t>
      </w:r>
    </w:p>
    <w:p>
      <w:pPr>
        <w:pStyle w:val="133"/>
        <w:spacing w:before="0"/>
        <w:ind w:firstLine="0" w:firstLineChars="0"/>
        <w:rPr>
          <w:rFonts w:ascii="宋体" w:hAnsi="宋体" w:cs="宋体"/>
          <w:b/>
          <w:szCs w:val="24"/>
        </w:rPr>
      </w:pPr>
      <w:r>
        <w:rPr>
          <w:rFonts w:hint="eastAsia" w:ascii="宋体" w:hAnsi="宋体" w:cs="宋体"/>
          <w:b/>
          <w:szCs w:val="24"/>
        </w:rPr>
        <w:t>20、信用信息查询</w:t>
      </w:r>
    </w:p>
    <w:p>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val="en-US" w:eastAsia="zh-CN"/>
        </w:rPr>
        <w:t>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3"/>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2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szCs w:val="24"/>
          <w:highlight w:val="cyan"/>
        </w:rPr>
        <w:t>在采购结果确认环节，中标（成交）候选人撤销投标（响应）文件不能成为采购人不确认采购结果的正当理由。</w:t>
      </w:r>
      <w:r>
        <w:rPr>
          <w:rFonts w:hint="eastAsia" w:ascii="宋体" w:hAnsi="宋体" w:cs="宋体"/>
          <w:szCs w:val="24"/>
        </w:rPr>
        <w:t>中标、成交通知书和中标、成交结果公告应当在规定时间内同时发出。</w:t>
      </w:r>
    </w:p>
    <w:p>
      <w:pPr>
        <w:pStyle w:val="13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26" w:name="_Hlk101184471"/>
      <w:r>
        <w:rPr>
          <w:rFonts w:hint="eastAsia" w:ascii="宋体" w:hAnsi="宋体" w:cs="宋体"/>
          <w:sz w:val="24"/>
        </w:rPr>
        <w:t>资格审查情况、评审专家抽取规则、符合性审查情况、</w:t>
      </w:r>
      <w:bookmarkEnd w:id="26"/>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19" w:leftChars="0" w:hanging="119" w:hangingChars="37"/>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left="0" w:leftChars="0" w:firstLine="0" w:firstLineChars="0"/>
        <w:jc w:val="center"/>
        <w:rPr>
          <w:rFonts w:ascii="宋体" w:hAnsi="宋体" w:cs="宋体"/>
          <w:b/>
          <w:sz w:val="24"/>
        </w:rPr>
      </w:pPr>
      <w:r>
        <w:rPr>
          <w:rFonts w:hint="eastAsia" w:ascii="宋体" w:hAnsi="宋体" w:cs="宋体"/>
          <w:b/>
          <w:sz w:val="32"/>
        </w:rPr>
        <w:t>八、电子交易活动的中止</w:t>
      </w:r>
    </w:p>
    <w:p>
      <w:pPr>
        <w:pStyle w:val="133"/>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3"/>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19" w:leftChars="0" w:hanging="119" w:hangingChars="37"/>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5"/>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7" w:name="_Hlt74707468"/>
      <w:bookmarkEnd w:id="27"/>
      <w:bookmarkStart w:id="28" w:name="_Hlt75236290"/>
      <w:bookmarkEnd w:id="28"/>
      <w:bookmarkStart w:id="29" w:name="_Hlt74730295"/>
      <w:bookmarkEnd w:id="29"/>
      <w:bookmarkStart w:id="30" w:name="_Hlt74714665"/>
      <w:bookmarkEnd w:id="30"/>
      <w:bookmarkStart w:id="31" w:name="_Hlt74729768"/>
      <w:bookmarkEnd w:id="31"/>
      <w:bookmarkStart w:id="32" w:name="_Hlt68073093"/>
      <w:bookmarkEnd w:id="32"/>
      <w:bookmarkStart w:id="33" w:name="_Hlt68072998"/>
      <w:bookmarkEnd w:id="33"/>
      <w:bookmarkStart w:id="34" w:name="_Hlt68057669"/>
      <w:bookmarkEnd w:id="34"/>
      <w:bookmarkStart w:id="35" w:name="_Hlt75236011"/>
      <w:bookmarkEnd w:id="35"/>
      <w:bookmarkStart w:id="36" w:name="_Hlt75236101"/>
      <w:bookmarkEnd w:id="36"/>
      <w:bookmarkStart w:id="37" w:name="_Hlt68072990"/>
      <w:bookmarkEnd w:id="37"/>
      <w:bookmarkStart w:id="38" w:name="_Hlt68403820"/>
      <w:bookmarkEnd w:id="38"/>
    </w:p>
    <w:bookmarkEnd w:id="23"/>
    <w:bookmarkEnd w:id="24"/>
    <w:p>
      <w:pPr>
        <w:spacing w:line="360" w:lineRule="auto"/>
        <w:jc w:val="center"/>
        <w:outlineLvl w:val="0"/>
        <w:rPr>
          <w:rFonts w:ascii="宋体" w:hAnsi="宋体" w:cs="宋体"/>
          <w:b/>
          <w:sz w:val="36"/>
          <w:szCs w:val="36"/>
        </w:rPr>
      </w:pPr>
      <w:bookmarkStart w:id="39" w:name="第四部分"/>
      <w:r>
        <w:rPr>
          <w:rFonts w:hint="eastAsia" w:ascii="宋体" w:hAnsi="宋体" w:cs="宋体"/>
          <w:b/>
          <w:sz w:val="36"/>
          <w:szCs w:val="36"/>
        </w:rPr>
        <w:t>第三部分   采购需求</w:t>
      </w:r>
    </w:p>
    <w:p>
      <w:pPr>
        <w:snapToGrid w:val="0"/>
        <w:jc w:val="center"/>
        <w:rPr>
          <w:rStyle w:val="966"/>
        </w:rPr>
      </w:pPr>
      <w:r>
        <w:rPr>
          <w:rStyle w:val="966"/>
          <w:rFonts w:hint="eastAsia"/>
        </w:rPr>
        <w:t>属于实质性要求条款的，请用符号“▲”标明，否则属于非实质性要求。</w:t>
      </w:r>
    </w:p>
    <w:p>
      <w:pPr>
        <w:snapToGrid w:val="0"/>
        <w:jc w:val="center"/>
        <w:rPr>
          <w:rStyle w:val="966"/>
          <w:rFonts w:hint="eastAsia"/>
        </w:rPr>
      </w:pPr>
      <w:r>
        <w:rPr>
          <w:rStyle w:val="966"/>
          <w:rFonts w:hint="eastAsia"/>
        </w:rPr>
        <w:t>“★”系产品采购项目中单一产品或核心产品。</w:t>
      </w:r>
    </w:p>
    <w:p>
      <w:pPr>
        <w:pStyle w:val="2"/>
        <w:jc w:val="center"/>
      </w:pPr>
    </w:p>
    <w:p>
      <w:pPr>
        <w:pStyle w:val="2"/>
        <w:numPr>
          <w:ilvl w:val="0"/>
          <w:numId w:val="1"/>
        </w:numPr>
        <w:spacing w:after="107" w:afterLines="34" w:afterAutospacing="0"/>
        <w:jc w:val="center"/>
        <w:rPr>
          <w:rFonts w:hint="eastAsia" w:ascii="宋体" w:hAnsi="宋体" w:eastAsia="宋体" w:cs="宋体"/>
        </w:rPr>
      </w:pPr>
      <w:r>
        <w:rPr>
          <w:rFonts w:hint="eastAsia" w:ascii="宋体" w:hAnsi="宋体" w:eastAsia="宋体" w:cs="宋体"/>
        </w:rPr>
        <w:t>招标一览表</w:t>
      </w:r>
    </w:p>
    <w:p>
      <w:pPr>
        <w:pStyle w:val="5"/>
        <w:snapToGrid w:val="0"/>
        <w:spacing w:before="0" w:beforeAutospacing="0" w:after="0" w:afterAutospacing="0" w:line="240" w:lineRule="auto"/>
        <w:ind w:left="0" w:leftChars="0" w:firstLine="0" w:firstLineChars="0"/>
        <w:jc w:val="left"/>
        <w:rPr>
          <w:rFonts w:hint="eastAsia" w:ascii="宋体" w:hAnsi="宋体" w:eastAsia="宋体" w:cs="宋体"/>
        </w:rPr>
      </w:pPr>
      <w:r>
        <w:rPr>
          <w:rFonts w:hint="eastAsia" w:ascii="宋体" w:hAnsi="宋体" w:eastAsia="宋体" w:cs="宋体"/>
        </w:rPr>
        <w:t>标项一：</w:t>
      </w:r>
    </w:p>
    <w:tbl>
      <w:tblPr>
        <w:tblStyle w:val="63"/>
        <w:tblpPr w:leftFromText="180" w:rightFromText="180" w:vertAnchor="text" w:horzAnchor="margin" w:tblpXSpec="center" w:tblpY="63"/>
        <w:tblOverlap w:val="never"/>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9"/>
        <w:gridCol w:w="2836"/>
        <w:gridCol w:w="854"/>
        <w:gridCol w:w="941"/>
        <w:gridCol w:w="1135"/>
        <w:gridCol w:w="1836"/>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20" w:hRule="atLeast"/>
          <w:jc w:val="center"/>
        </w:trPr>
        <w:tc>
          <w:tcPr>
            <w:tcW w:w="699" w:type="dxa"/>
            <w:tcMar>
              <w:top w:w="15" w:type="dxa"/>
              <w:left w:w="15" w:type="dxa"/>
              <w:bottom w:w="0" w:type="dxa"/>
              <w:right w:w="15" w:type="dxa"/>
            </w:tcMar>
            <w:vAlign w:val="center"/>
          </w:tcPr>
          <w:p>
            <w:pPr>
              <w:tabs>
                <w:tab w:val="left" w:pos="0"/>
              </w:tabs>
              <w:adjustRightInd w:val="0"/>
              <w:snapToGrid w:val="0"/>
              <w:spacing w:beforeAutospacing="0" w:after="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36" w:type="dxa"/>
            <w:tcMar>
              <w:top w:w="15" w:type="dxa"/>
              <w:left w:w="15" w:type="dxa"/>
              <w:bottom w:w="0" w:type="dxa"/>
              <w:right w:w="15" w:type="dxa"/>
            </w:tcMar>
            <w:vAlign w:val="center"/>
          </w:tcPr>
          <w:p>
            <w:pPr>
              <w:tabs>
                <w:tab w:val="left" w:pos="0"/>
              </w:tabs>
              <w:adjustRightInd w:val="0"/>
              <w:snapToGrid w:val="0"/>
              <w:spacing w:after="0"/>
              <w:jc w:val="center"/>
              <w:rPr>
                <w:rFonts w:hint="eastAsia" w:ascii="宋体" w:hAnsi="宋体" w:eastAsia="宋体" w:cs="宋体"/>
                <w:sz w:val="24"/>
                <w:szCs w:val="24"/>
              </w:rPr>
            </w:pPr>
            <w:r>
              <w:rPr>
                <w:rFonts w:hint="eastAsia" w:ascii="宋体" w:hAnsi="宋体" w:eastAsia="宋体" w:cs="宋体"/>
                <w:sz w:val="24"/>
                <w:szCs w:val="24"/>
              </w:rPr>
              <w:t>名称</w:t>
            </w:r>
          </w:p>
        </w:tc>
        <w:tc>
          <w:tcPr>
            <w:tcW w:w="854" w:type="dxa"/>
            <w:tcMar>
              <w:top w:w="15" w:type="dxa"/>
              <w:left w:w="15" w:type="dxa"/>
              <w:bottom w:w="0" w:type="dxa"/>
              <w:right w:w="15" w:type="dxa"/>
            </w:tcMar>
            <w:vAlign w:val="center"/>
          </w:tcPr>
          <w:p>
            <w:pPr>
              <w:tabs>
                <w:tab w:val="left" w:pos="0"/>
              </w:tabs>
              <w:adjustRightInd w:val="0"/>
              <w:snapToGrid w:val="0"/>
              <w:spacing w:after="0"/>
              <w:jc w:val="center"/>
              <w:rPr>
                <w:rFonts w:hint="eastAsia" w:ascii="宋体" w:hAnsi="宋体" w:eastAsia="宋体" w:cs="宋体"/>
                <w:sz w:val="24"/>
                <w:szCs w:val="24"/>
              </w:rPr>
            </w:pPr>
            <w:r>
              <w:rPr>
                <w:rFonts w:hint="eastAsia" w:ascii="宋体" w:hAnsi="宋体" w:eastAsia="宋体" w:cs="宋体"/>
                <w:sz w:val="24"/>
                <w:szCs w:val="24"/>
              </w:rPr>
              <w:t>数量</w:t>
            </w:r>
          </w:p>
        </w:tc>
        <w:tc>
          <w:tcPr>
            <w:tcW w:w="941" w:type="dxa"/>
            <w:tcMar>
              <w:top w:w="15" w:type="dxa"/>
              <w:left w:w="15" w:type="dxa"/>
              <w:bottom w:w="0" w:type="dxa"/>
              <w:right w:w="15" w:type="dxa"/>
            </w:tcMar>
            <w:vAlign w:val="center"/>
          </w:tcPr>
          <w:p>
            <w:pPr>
              <w:tabs>
                <w:tab w:val="left" w:pos="0"/>
              </w:tabs>
              <w:adjustRightInd w:val="0"/>
              <w:snapToGrid w:val="0"/>
              <w:spacing w:after="0"/>
              <w:jc w:val="center"/>
              <w:rPr>
                <w:rFonts w:hint="eastAsia" w:ascii="宋体" w:hAnsi="宋体" w:eastAsia="宋体" w:cs="宋体"/>
                <w:sz w:val="24"/>
                <w:szCs w:val="24"/>
              </w:rPr>
            </w:pPr>
            <w:r>
              <w:rPr>
                <w:rFonts w:hint="eastAsia" w:ascii="宋体" w:hAnsi="宋体" w:eastAsia="宋体" w:cs="宋体"/>
                <w:sz w:val="24"/>
                <w:szCs w:val="24"/>
              </w:rPr>
              <w:t>单位</w:t>
            </w:r>
          </w:p>
        </w:tc>
        <w:tc>
          <w:tcPr>
            <w:tcW w:w="1135" w:type="dxa"/>
            <w:vAlign w:val="center"/>
          </w:tcPr>
          <w:p>
            <w:pPr>
              <w:tabs>
                <w:tab w:val="left" w:pos="0"/>
              </w:tabs>
              <w:adjustRightInd w:val="0"/>
              <w:snapToGrid w:val="0"/>
              <w:spacing w:after="0"/>
              <w:jc w:val="center"/>
              <w:rPr>
                <w:rFonts w:hint="eastAsia" w:ascii="宋体" w:hAnsi="宋体" w:eastAsia="宋体" w:cs="宋体"/>
                <w:sz w:val="24"/>
                <w:szCs w:val="24"/>
              </w:rPr>
            </w:pPr>
            <w:r>
              <w:rPr>
                <w:rFonts w:hint="eastAsia" w:ascii="宋体" w:hAnsi="宋体" w:eastAsia="宋体" w:cs="宋体"/>
                <w:sz w:val="24"/>
                <w:szCs w:val="24"/>
              </w:rPr>
              <w:t>预算（元）</w:t>
            </w:r>
          </w:p>
        </w:tc>
        <w:tc>
          <w:tcPr>
            <w:tcW w:w="1836" w:type="dxa"/>
            <w:vAlign w:val="center"/>
          </w:tcPr>
          <w:p>
            <w:pPr>
              <w:tabs>
                <w:tab w:val="left" w:pos="0"/>
              </w:tabs>
              <w:adjustRightInd w:val="0"/>
              <w:snapToGrid w:val="0"/>
              <w:spacing w:after="0"/>
              <w:jc w:val="center"/>
              <w:rPr>
                <w:rFonts w:hint="eastAsia" w:ascii="宋体" w:hAnsi="宋体" w:eastAsia="宋体" w:cs="宋体"/>
                <w:sz w:val="24"/>
                <w:szCs w:val="24"/>
              </w:rPr>
            </w:pPr>
            <w:r>
              <w:rPr>
                <w:rFonts w:hint="eastAsia" w:ascii="宋体" w:hAnsi="宋体" w:eastAsia="宋体" w:cs="宋体"/>
                <w:sz w:val="24"/>
                <w:szCs w:val="24"/>
              </w:rPr>
              <w:t>简要规格描述或基本情况介绍</w:t>
            </w:r>
          </w:p>
        </w:tc>
        <w:tc>
          <w:tcPr>
            <w:tcW w:w="1375" w:type="dxa"/>
            <w:vAlign w:val="center"/>
          </w:tcPr>
          <w:p>
            <w:pPr>
              <w:tabs>
                <w:tab w:val="left" w:pos="0"/>
              </w:tabs>
              <w:adjustRightInd w:val="0"/>
              <w:snapToGrid w:val="0"/>
              <w:spacing w:after="0"/>
              <w:jc w:val="center"/>
              <w:rPr>
                <w:rFonts w:hint="eastAsia" w:ascii="宋体" w:hAnsi="宋体" w:eastAsia="宋体" w:cs="宋体"/>
                <w:sz w:val="24"/>
                <w:szCs w:val="24"/>
              </w:rPr>
            </w:pPr>
            <w:r>
              <w:rPr>
                <w:rFonts w:hint="eastAsia" w:ascii="宋体" w:hAnsi="宋体" w:eastAsia="宋体" w:cs="宋体"/>
                <w:sz w:val="24"/>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66" w:hRule="atLeast"/>
          <w:jc w:val="center"/>
        </w:trPr>
        <w:tc>
          <w:tcPr>
            <w:tcW w:w="699" w:type="dxa"/>
            <w:tcMar>
              <w:top w:w="15" w:type="dxa"/>
              <w:left w:w="15" w:type="dxa"/>
              <w:bottom w:w="0" w:type="dxa"/>
              <w:right w:w="15" w:type="dxa"/>
            </w:tcMar>
            <w:vAlign w:val="center"/>
          </w:tcPr>
          <w:p>
            <w:pPr>
              <w:tabs>
                <w:tab w:val="left" w:pos="0"/>
              </w:tabs>
              <w:jc w:val="center"/>
              <w:rPr>
                <w:rFonts w:hint="eastAsia" w:ascii="宋体" w:hAnsi="宋体" w:eastAsia="宋体" w:cs="宋体"/>
                <w:sz w:val="24"/>
                <w:szCs w:val="24"/>
              </w:rPr>
            </w:pPr>
            <w:r>
              <w:rPr>
                <w:rFonts w:hint="eastAsia" w:ascii="宋体" w:hAnsi="宋体" w:eastAsia="宋体" w:cs="宋体"/>
                <w:sz w:val="24"/>
                <w:szCs w:val="24"/>
              </w:rPr>
              <w:t>1</w:t>
            </w:r>
          </w:p>
        </w:tc>
        <w:tc>
          <w:tcPr>
            <w:tcW w:w="2836" w:type="dxa"/>
            <w:tcMar>
              <w:top w:w="15" w:type="dxa"/>
              <w:left w:w="15" w:type="dxa"/>
              <w:bottom w:w="0" w:type="dxa"/>
              <w:right w:w="15" w:type="dxa"/>
            </w:tcMar>
            <w:vAlign w:val="center"/>
          </w:tcPr>
          <w:p>
            <w:pPr>
              <w:tabs>
                <w:tab w:val="left" w:pos="0"/>
              </w:tabs>
              <w:adjustRightInd w:val="0"/>
              <w:snapToGrid w:val="0"/>
              <w:spacing w:after="0"/>
              <w:jc w:val="center"/>
              <w:rPr>
                <w:rFonts w:hint="eastAsia" w:ascii="宋体" w:hAnsi="宋体" w:eastAsia="宋体" w:cs="宋体"/>
                <w:sz w:val="24"/>
                <w:szCs w:val="24"/>
              </w:rPr>
            </w:pPr>
            <w:r>
              <w:rPr>
                <w:rFonts w:hint="eastAsia" w:ascii="宋体" w:hAnsi="宋体" w:eastAsia="宋体" w:cs="宋体"/>
                <w:sz w:val="24"/>
                <w:szCs w:val="24"/>
              </w:rPr>
              <w:t>宁围街道经济开发区(建设二路以北)小区生活垃圾分类第三方服务政府采购项目</w:t>
            </w:r>
          </w:p>
        </w:tc>
        <w:tc>
          <w:tcPr>
            <w:tcW w:w="854" w:type="dxa"/>
            <w:tcMar>
              <w:top w:w="15" w:type="dxa"/>
              <w:left w:w="15" w:type="dxa"/>
              <w:bottom w:w="0" w:type="dxa"/>
              <w:right w:w="15" w:type="dxa"/>
            </w:tcMar>
            <w:vAlign w:val="center"/>
          </w:tcPr>
          <w:p>
            <w:pPr>
              <w:tabs>
                <w:tab w:val="left" w:pos="0"/>
              </w:tabs>
              <w:adjustRightInd w:val="0"/>
              <w:snapToGrid w:val="0"/>
              <w:spacing w:after="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41" w:type="dxa"/>
            <w:tcMar>
              <w:top w:w="15" w:type="dxa"/>
              <w:left w:w="15" w:type="dxa"/>
              <w:bottom w:w="0" w:type="dxa"/>
              <w:right w:w="15" w:type="dxa"/>
            </w:tcMar>
            <w:vAlign w:val="center"/>
          </w:tcPr>
          <w:p>
            <w:pPr>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135" w:type="dxa"/>
            <w:vAlign w:val="center"/>
          </w:tcPr>
          <w:p>
            <w:pPr>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66000</w:t>
            </w:r>
            <w:r>
              <w:rPr>
                <w:rFonts w:hint="eastAsia" w:ascii="宋体" w:hAnsi="宋体" w:eastAsia="宋体" w:cs="宋体"/>
                <w:sz w:val="24"/>
                <w:szCs w:val="24"/>
              </w:rPr>
              <w:t>000</w:t>
            </w:r>
          </w:p>
        </w:tc>
        <w:tc>
          <w:tcPr>
            <w:tcW w:w="1836" w:type="dxa"/>
            <w:vAlign w:val="center"/>
          </w:tcPr>
          <w:p>
            <w:pPr>
              <w:tabs>
                <w:tab w:val="left" w:pos="0"/>
              </w:tabs>
              <w:jc w:val="center"/>
              <w:rPr>
                <w:rFonts w:hint="eastAsia" w:ascii="宋体" w:hAnsi="宋体" w:eastAsia="宋体" w:cs="宋体"/>
                <w:sz w:val="24"/>
                <w:szCs w:val="24"/>
              </w:rPr>
            </w:pPr>
            <w:r>
              <w:rPr>
                <w:rFonts w:hint="eastAsia" w:ascii="宋体" w:hAnsi="宋体" w:eastAsia="宋体" w:cs="宋体"/>
                <w:sz w:val="24"/>
                <w:szCs w:val="24"/>
                <w:lang w:eastAsia="zh-Hans"/>
              </w:rPr>
              <w:t>二、</w:t>
            </w:r>
            <w:r>
              <w:rPr>
                <w:rFonts w:hint="eastAsia" w:ascii="宋体" w:hAnsi="宋体" w:cs="宋体"/>
                <w:sz w:val="24"/>
                <w:szCs w:val="24"/>
                <w:lang w:val="en-US" w:eastAsia="zh-CN"/>
              </w:rPr>
              <w:t>采购</w:t>
            </w:r>
            <w:r>
              <w:rPr>
                <w:rFonts w:hint="eastAsia" w:ascii="宋体" w:hAnsi="宋体" w:eastAsia="宋体" w:cs="宋体"/>
                <w:sz w:val="24"/>
                <w:szCs w:val="24"/>
              </w:rPr>
              <w:t>需求-1、技术需求</w:t>
            </w:r>
          </w:p>
        </w:tc>
        <w:tc>
          <w:tcPr>
            <w:tcW w:w="1375" w:type="dxa"/>
            <w:vAlign w:val="center"/>
          </w:tcPr>
          <w:p>
            <w:pPr>
              <w:jc w:val="center"/>
              <w:textAlignment w:val="center"/>
              <w:rPr>
                <w:rFonts w:hint="default" w:ascii="宋体" w:hAnsi="宋体" w:eastAsia="宋体" w:cs="宋体"/>
                <w:sz w:val="24"/>
                <w:szCs w:val="24"/>
                <w:lang w:val="en-US"/>
              </w:rPr>
            </w:pPr>
            <w:r>
              <w:rPr>
                <w:rFonts w:hint="eastAsia" w:ascii="宋体" w:hAnsi="宋体" w:cs="宋体"/>
                <w:sz w:val="24"/>
                <w:szCs w:val="24"/>
                <w:lang w:val="en-US" w:eastAsia="zh-CN"/>
              </w:rPr>
              <w:t>6546220</w:t>
            </w:r>
          </w:p>
        </w:tc>
      </w:tr>
    </w:tbl>
    <w:p>
      <w:pPr>
        <w:pStyle w:val="2"/>
        <w:numPr>
          <w:ilvl w:val="0"/>
          <w:numId w:val="0"/>
        </w:numPr>
        <w:ind w:leftChars="0"/>
        <w:rPr>
          <w:rFonts w:hint="eastAsia" w:ascii="仿宋" w:hAnsi="仿宋" w:eastAsia="仿宋" w:cs="仿宋"/>
          <w:b/>
          <w:sz w:val="22"/>
          <w:szCs w:val="22"/>
        </w:rPr>
      </w:pPr>
      <w:r>
        <w:rPr>
          <w:rFonts w:hint="eastAsia" w:ascii="仿宋" w:hAnsi="仿宋" w:eastAsia="仿宋" w:cs="仿宋"/>
          <w:b/>
          <w:sz w:val="22"/>
          <w:szCs w:val="22"/>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pPr>
        <w:rPr>
          <w:rFonts w:hint="eastAsia" w:ascii="仿宋" w:hAnsi="仿宋" w:eastAsia="仿宋" w:cs="仿宋"/>
          <w:b/>
          <w:sz w:val="22"/>
          <w:szCs w:val="22"/>
        </w:rPr>
      </w:pPr>
    </w:p>
    <w:p>
      <w:pPr>
        <w:pStyle w:val="2"/>
        <w:numPr>
          <w:ilvl w:val="0"/>
          <w:numId w:val="1"/>
        </w:numPr>
        <w:spacing w:after="107" w:afterLines="34" w:afterAutospacing="0"/>
        <w:jc w:val="center"/>
        <w:rPr>
          <w:rFonts w:hint="eastAsia" w:ascii="宋体" w:hAnsi="宋体" w:eastAsia="宋体" w:cs="宋体"/>
        </w:rPr>
      </w:pPr>
      <w:r>
        <w:rPr>
          <w:rFonts w:hint="eastAsia" w:ascii="宋体" w:hAnsi="宋体" w:eastAsia="宋体" w:cs="宋体"/>
        </w:rPr>
        <w:t>采购需求</w:t>
      </w:r>
    </w:p>
    <w:p>
      <w:pPr>
        <w:numPr>
          <w:ilvl w:val="0"/>
          <w:numId w:val="2"/>
        </w:numPr>
        <w:spacing w:line="360" w:lineRule="auto"/>
        <w:rPr>
          <w:rFonts w:hint="eastAsia" w:asciiTheme="majorEastAsia" w:hAnsiTheme="majorEastAsia" w:eastAsiaTheme="majorEastAsia" w:cstheme="majorEastAsia"/>
          <w:b/>
          <w:bCs/>
          <w:color w:val="auto"/>
          <w:sz w:val="24"/>
          <w:lang w:val="en-US" w:eastAsia="zh-CN"/>
        </w:rPr>
      </w:pPr>
      <w:r>
        <w:rPr>
          <w:rFonts w:hint="eastAsia" w:asciiTheme="majorEastAsia" w:hAnsiTheme="majorEastAsia" w:eastAsiaTheme="majorEastAsia" w:cstheme="majorEastAsia"/>
          <w:b/>
          <w:bCs/>
          <w:color w:val="auto"/>
          <w:sz w:val="24"/>
          <w:lang w:val="en-US" w:eastAsia="zh-CN"/>
        </w:rPr>
        <w:t>技术需求</w:t>
      </w:r>
    </w:p>
    <w:p>
      <w:pPr>
        <w:pStyle w:val="23"/>
        <w:numPr>
          <w:ilvl w:val="0"/>
          <w:numId w:val="0"/>
        </w:numPr>
        <w:rPr>
          <w:rFonts w:hint="default"/>
          <w:b/>
          <w:bCs/>
          <w:lang w:val="en-US" w:eastAsia="zh-CN"/>
        </w:rPr>
      </w:pPr>
      <w:r>
        <w:rPr>
          <w:rFonts w:hint="eastAsia"/>
          <w:b/>
          <w:bCs/>
          <w:lang w:val="en-US" w:eastAsia="zh-CN"/>
        </w:rPr>
        <w:t>1、项目概况</w:t>
      </w:r>
    </w:p>
    <w:p>
      <w:pPr>
        <w:numPr>
          <w:ilvl w:val="0"/>
          <w:numId w:val="0"/>
        </w:numPr>
        <w:spacing w:line="360" w:lineRule="auto"/>
        <w:ind w:firstLine="480" w:firstLineChars="200"/>
        <w:rPr>
          <w:rFonts w:hint="eastAsia" w:asciiTheme="majorEastAsia" w:hAnsiTheme="majorEastAsia" w:eastAsiaTheme="majorEastAsia" w:cstheme="majorEastAsia"/>
          <w:b w:val="0"/>
          <w:bCs w:val="0"/>
          <w:color w:val="auto"/>
          <w:sz w:val="24"/>
          <w:lang w:val="en-US" w:eastAsia="zh-CN"/>
        </w:rPr>
      </w:pPr>
      <w:r>
        <w:rPr>
          <w:rFonts w:hint="eastAsia" w:asciiTheme="majorEastAsia" w:hAnsiTheme="majorEastAsia" w:eastAsiaTheme="majorEastAsia" w:cstheme="majorEastAsia"/>
          <w:b w:val="0"/>
          <w:bCs w:val="0"/>
          <w:color w:val="auto"/>
          <w:sz w:val="24"/>
          <w:lang w:val="en-US" w:eastAsia="zh-CN"/>
        </w:rPr>
        <w:t>（1）中标人需在合同签订后，由街道和社区制定考核细则，街道、社区考核后按月支付费用。</w:t>
      </w:r>
    </w:p>
    <w:p>
      <w:pPr>
        <w:numPr>
          <w:ilvl w:val="0"/>
          <w:numId w:val="0"/>
        </w:numPr>
        <w:spacing w:line="360" w:lineRule="auto"/>
        <w:ind w:firstLine="480" w:firstLineChars="200"/>
        <w:rPr>
          <w:rFonts w:hint="eastAsia" w:asciiTheme="majorEastAsia" w:hAnsiTheme="majorEastAsia" w:eastAsiaTheme="majorEastAsia" w:cstheme="majorEastAsia"/>
          <w:b w:val="0"/>
          <w:bCs w:val="0"/>
          <w:color w:val="auto"/>
          <w:sz w:val="24"/>
          <w:lang w:val="en-US" w:eastAsia="zh-CN"/>
        </w:rPr>
      </w:pPr>
      <w:r>
        <w:rPr>
          <w:rFonts w:hint="eastAsia" w:asciiTheme="majorEastAsia" w:hAnsiTheme="majorEastAsia" w:eastAsiaTheme="majorEastAsia" w:cstheme="majorEastAsia"/>
          <w:b w:val="0"/>
          <w:bCs w:val="0"/>
          <w:color w:val="auto"/>
          <w:sz w:val="24"/>
          <w:lang w:val="en-US" w:eastAsia="zh-CN"/>
        </w:rPr>
        <w:t>（2）服务期限：本次招标服务期限为1年。</w:t>
      </w:r>
    </w:p>
    <w:p>
      <w:pPr>
        <w:numPr>
          <w:ilvl w:val="0"/>
          <w:numId w:val="0"/>
        </w:numPr>
        <w:spacing w:line="360" w:lineRule="auto"/>
        <w:ind w:firstLine="480" w:firstLineChars="200"/>
        <w:rPr>
          <w:rFonts w:hint="eastAsia" w:asciiTheme="majorEastAsia" w:hAnsiTheme="majorEastAsia" w:eastAsiaTheme="majorEastAsia" w:cstheme="majorEastAsia"/>
          <w:b w:val="0"/>
          <w:bCs w:val="0"/>
          <w:color w:val="auto"/>
          <w:sz w:val="24"/>
          <w:lang w:val="en-US" w:eastAsia="zh-CN"/>
        </w:rPr>
      </w:pPr>
      <w:r>
        <w:rPr>
          <w:rFonts w:hint="eastAsia" w:asciiTheme="majorEastAsia" w:hAnsiTheme="majorEastAsia" w:eastAsiaTheme="majorEastAsia" w:cstheme="majorEastAsia"/>
          <w:b w:val="0"/>
          <w:bCs w:val="0"/>
          <w:color w:val="auto"/>
          <w:sz w:val="24"/>
          <w:lang w:val="en-US" w:eastAsia="zh-CN"/>
        </w:rPr>
        <w:t>（3）服务范围：经济开发区建设二路以北区域，涉及29个小区，</w:t>
      </w:r>
      <w:bookmarkStart w:id="40" w:name="OLE_LINK2"/>
      <w:r>
        <w:rPr>
          <w:rFonts w:hint="eastAsia" w:asciiTheme="majorEastAsia" w:hAnsiTheme="majorEastAsia" w:eastAsiaTheme="majorEastAsia" w:cstheme="majorEastAsia"/>
          <w:b w:val="0"/>
          <w:bCs w:val="0"/>
          <w:color w:val="auto"/>
          <w:sz w:val="24"/>
          <w:lang w:val="en-US" w:eastAsia="zh-CN"/>
        </w:rPr>
        <w:t>19848</w:t>
      </w:r>
      <w:bookmarkEnd w:id="40"/>
      <w:r>
        <w:rPr>
          <w:rFonts w:hint="eastAsia" w:asciiTheme="majorEastAsia" w:hAnsiTheme="majorEastAsia" w:eastAsiaTheme="majorEastAsia" w:cstheme="majorEastAsia"/>
          <w:b w:val="0"/>
          <w:bCs w:val="0"/>
          <w:color w:val="auto"/>
          <w:sz w:val="24"/>
          <w:lang w:val="en-US" w:eastAsia="zh-CN"/>
        </w:rPr>
        <w:t>户。</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服务内容</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2.1</w:t>
      </w:r>
      <w:r>
        <w:rPr>
          <w:rFonts w:hint="eastAsia" w:ascii="宋体" w:hAnsi="宋体" w:eastAsia="宋体" w:cs="宋体"/>
          <w:b/>
          <w:bCs/>
          <w:sz w:val="24"/>
          <w:szCs w:val="24"/>
        </w:rPr>
        <w:t>分类设施设备</w:t>
      </w:r>
    </w:p>
    <w:p>
      <w:pPr>
        <w:pStyle w:val="83"/>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lang w:val="en-US"/>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w:t>
      </w:r>
      <w:r>
        <w:rPr>
          <w:rFonts w:hint="eastAsia" w:ascii="宋体" w:hAnsi="宋体" w:eastAsia="宋体" w:cs="宋体"/>
          <w:b/>
          <w:sz w:val="24"/>
          <w:szCs w:val="24"/>
          <w:lang w:eastAsia="zh-CN"/>
        </w:rPr>
        <w:t>）</w:t>
      </w:r>
      <w:r>
        <w:rPr>
          <w:rFonts w:hint="eastAsia" w:ascii="宋体" w:hAnsi="宋体" w:eastAsia="宋体" w:cs="宋体"/>
          <w:b/>
          <w:sz w:val="24"/>
          <w:szCs w:val="24"/>
        </w:rPr>
        <w:t>投放设施：</w:t>
      </w:r>
      <w:r>
        <w:rPr>
          <w:rFonts w:hint="eastAsia" w:ascii="宋体" w:hAnsi="宋体" w:eastAsia="宋体" w:cs="宋体"/>
          <w:color w:val="000000"/>
          <w:sz w:val="24"/>
          <w:szCs w:val="24"/>
        </w:rPr>
        <w:t>按照每300户左右标准设置投放点位，设立定时定投亭、购置流动投放三轮或其他；服务期满或项目合同提前解除的，投放设施等(可移动的三轮车除外)权属无偿归社区。</w:t>
      </w:r>
    </w:p>
    <w:p>
      <w:pPr>
        <w:pStyle w:val="83"/>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en-US"/>
        </w:rPr>
        <w:t>垃圾桶：</w:t>
      </w:r>
    </w:p>
    <w:p>
      <w:pPr>
        <w:pStyle w:val="83"/>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kern w:val="2"/>
          <w:sz w:val="24"/>
          <w:szCs w:val="24"/>
          <w:lang w:val="en-US"/>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lang w:val="en-US"/>
        </w:rPr>
        <w:t>投放点垃圾桶</w:t>
      </w:r>
      <w:r>
        <w:rPr>
          <w:rFonts w:hint="eastAsia" w:ascii="宋体" w:hAnsi="宋体" w:eastAsia="宋体" w:cs="宋体"/>
          <w:color w:val="auto"/>
          <w:kern w:val="2"/>
          <w:sz w:val="24"/>
          <w:szCs w:val="24"/>
          <w:lang w:val="en-US"/>
        </w:rPr>
        <w:t>。每个投放点按要求配置至少5只垃圾桶（1红+1蓝+3绿），特殊情况，按实际需要适当增加；服务期限内无偿提供给采购人，由采购人统一进行调度派用，质量需经采购人确认认可，服务期满或项目合同提前解除时不作退还，同时做好小区内所有垃圾桶标识及整改工作。</w:t>
      </w:r>
    </w:p>
    <w:p>
      <w:pPr>
        <w:pStyle w:val="83"/>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kern w:val="2"/>
          <w:sz w:val="24"/>
          <w:szCs w:val="24"/>
          <w:lang w:val="en-US"/>
        </w:rPr>
      </w:pPr>
      <w:r>
        <w:rPr>
          <w:rFonts w:hint="eastAsia" w:ascii="宋体" w:hAnsi="宋体" w:eastAsia="宋体" w:cs="宋体"/>
          <w:b/>
          <w:bCs/>
          <w:color w:val="000000"/>
          <w:kern w:val="2"/>
          <w:sz w:val="24"/>
          <w:szCs w:val="24"/>
          <w:lang w:val="en-US" w:eastAsia="zh-CN"/>
        </w:rPr>
        <w:t>（2.2）</w:t>
      </w:r>
      <w:r>
        <w:rPr>
          <w:rFonts w:hint="eastAsia" w:ascii="宋体" w:hAnsi="宋体" w:eastAsia="宋体" w:cs="宋体"/>
          <w:b/>
          <w:bCs/>
          <w:color w:val="000000"/>
          <w:kern w:val="2"/>
          <w:sz w:val="24"/>
          <w:szCs w:val="24"/>
          <w:lang w:val="en-US"/>
        </w:rPr>
        <w:t>入户垃圾桶</w:t>
      </w:r>
      <w:r>
        <w:rPr>
          <w:rFonts w:hint="eastAsia" w:ascii="宋体" w:hAnsi="宋体" w:eastAsia="宋体" w:cs="宋体"/>
          <w:color w:val="000000"/>
          <w:kern w:val="2"/>
          <w:sz w:val="24"/>
          <w:szCs w:val="24"/>
          <w:lang w:val="en-US"/>
        </w:rPr>
        <w:t>。已发放住户不再发放，如是新入住或居民（含商铺）丢失、破损的，需再次进行发放，新交付小区需全部发放，房号标签需采用反光条材料。</w:t>
      </w:r>
    </w:p>
    <w:p>
      <w:pPr>
        <w:pStyle w:val="83"/>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en-US"/>
        </w:rPr>
        <w:t>封装电子秤：</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color w:val="auto"/>
          <w:kern w:val="2"/>
          <w:sz w:val="24"/>
          <w:szCs w:val="24"/>
          <w:lang w:val="en-US" w:eastAsia="zh-CN" w:bidi="ar-SA"/>
        </w:rPr>
        <w:t>满足小区垃圾分类“六全一码”要求，对已有电子秤进行更新升级及日常维护，对新交付小区或遗留的无法修复电子秤，进行重新配置，相关参数要求参照宁围区域内最新款式，同时承担服务区域内所有电子秤的日常维护、流量、数据对接联通等一切费用，服务期满或项目合同提前解除的，新配置电子秤所有权无偿归属采购人，后期若采购人有需求，中标人需无条件提供各类数据接口等信息。</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color w:val="auto"/>
          <w:sz w:val="24"/>
          <w:szCs w:val="24"/>
          <w:lang w:val="en-US"/>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en-US"/>
        </w:rPr>
        <w:t>积分卡</w:t>
      </w:r>
      <w:r>
        <w:rPr>
          <w:rFonts w:hint="eastAsia" w:ascii="宋体" w:hAnsi="宋体" w:eastAsia="宋体" w:cs="宋体"/>
          <w:color w:val="auto"/>
          <w:sz w:val="24"/>
          <w:szCs w:val="24"/>
          <w:lang w:val="en-US"/>
        </w:rPr>
        <w:t>：做好日常积分卡的新增发放、老旧破等的更换，并要求与系统实现对接，样式需经采购人审核通过。</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val="0"/>
          <w:bCs w:val="0"/>
          <w:color w:val="auto"/>
          <w:sz w:val="24"/>
          <w:szCs w:val="24"/>
          <w:lang w:val="en-US" w:eastAsia="zh-CN"/>
        </w:rPr>
      </w:pPr>
      <w:bookmarkStart w:id="41" w:name="OLE_LINK4"/>
      <w:r>
        <w:rPr>
          <w:rFonts w:hint="eastAsia" w:ascii="宋体" w:hAnsi="宋体" w:eastAsia="宋体" w:cs="宋体"/>
          <w:b/>
          <w:bCs/>
          <w:color w:val="auto"/>
          <w:sz w:val="24"/>
          <w:szCs w:val="24"/>
          <w:lang w:val="en-US" w:eastAsia="zh-CN"/>
        </w:rPr>
        <w:t>（5）</w:t>
      </w:r>
      <w:bookmarkEnd w:id="41"/>
      <w:r>
        <w:rPr>
          <w:rFonts w:hint="eastAsia" w:ascii="宋体" w:hAnsi="宋体" w:eastAsia="宋体" w:cs="宋体"/>
          <w:b/>
          <w:bCs/>
          <w:color w:val="auto"/>
          <w:sz w:val="24"/>
          <w:szCs w:val="24"/>
          <w:lang w:val="en-US" w:eastAsia="zh-CN"/>
        </w:rPr>
        <w:t>兑换机：</w:t>
      </w:r>
      <w:r>
        <w:rPr>
          <w:rFonts w:hint="eastAsia" w:ascii="宋体" w:hAnsi="宋体" w:eastAsia="宋体" w:cs="宋体"/>
          <w:b w:val="0"/>
          <w:bCs w:val="0"/>
          <w:color w:val="auto"/>
          <w:sz w:val="24"/>
          <w:szCs w:val="24"/>
          <w:lang w:val="en-US" w:eastAsia="zh-CN"/>
        </w:rPr>
        <w:t>按每个小区1台标准配置（采购人已购置除外），做好兑换机机（含采购人已购置部分）的日常运行维护，并承担相应电费、网络等运行费，同时满足“六全一码”平台打通等功能，服务期满或项目合同提前解除的，所有权无偿归属采购人所有。</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cs="宋体"/>
          <w:b w:val="0"/>
          <w:bCs w:val="0"/>
          <w:sz w:val="24"/>
          <w:szCs w:val="24"/>
          <w:lang w:val="en-US" w:eastAsia="zh-CN"/>
        </w:rPr>
      </w:pPr>
      <w:r>
        <w:rPr>
          <w:rFonts w:hint="eastAsia" w:ascii="宋体" w:hAnsi="宋体" w:eastAsia="宋体" w:cs="宋体"/>
          <w:b w:val="0"/>
          <w:bCs w:val="0"/>
          <w:color w:val="auto"/>
          <w:sz w:val="24"/>
          <w:szCs w:val="24"/>
          <w:lang w:val="en-US" w:eastAsia="zh-CN"/>
        </w:rPr>
        <w:t>如因小区居民反对、未有空间放置等原因无法配置到位的，经小区物业、社区等核实确认，可暂时不配置，但中标人需做好每户人家的上门发放工作</w:t>
      </w:r>
      <w:r>
        <w:rPr>
          <w:rFonts w:hint="eastAsia" w:cs="宋体"/>
          <w:b w:val="0"/>
          <w:bCs w:val="0"/>
          <w:sz w:val="24"/>
          <w:szCs w:val="24"/>
          <w:lang w:val="en-US" w:eastAsia="zh-CN"/>
        </w:rPr>
        <w:t>。</w:t>
      </w:r>
    </w:p>
    <w:p>
      <w:pPr>
        <w:pStyle w:val="83"/>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bCs/>
          <w:color w:val="auto"/>
          <w:sz w:val="24"/>
          <w:szCs w:val="24"/>
          <w:lang w:val="en-US" w:eastAsia="zh-CN"/>
        </w:rPr>
        <w:t>（</w:t>
      </w:r>
      <w:r>
        <w:rPr>
          <w:rFonts w:hint="eastAsia" w:cs="宋体"/>
          <w:b/>
          <w:bCs/>
          <w:color w:val="auto"/>
          <w:sz w:val="24"/>
          <w:szCs w:val="24"/>
          <w:lang w:val="en-US" w:eastAsia="zh-CN"/>
        </w:rPr>
        <w:t>6</w:t>
      </w:r>
      <w:r>
        <w:rPr>
          <w:rFonts w:hint="eastAsia" w:ascii="宋体" w:hAnsi="宋体" w:eastAsia="宋体" w:cs="宋体"/>
          <w:b/>
          <w:bCs/>
          <w:color w:val="auto"/>
          <w:sz w:val="24"/>
          <w:szCs w:val="24"/>
          <w:lang w:val="en-US" w:eastAsia="zh-CN"/>
        </w:rPr>
        <w:t>）</w:t>
      </w:r>
      <w:r>
        <w:rPr>
          <w:rFonts w:hint="eastAsia" w:ascii="宋体" w:hAnsi="宋体" w:eastAsia="宋体" w:cs="宋体"/>
          <w:b/>
          <w:bCs/>
          <w:sz w:val="24"/>
          <w:szCs w:val="24"/>
          <w:lang w:val="en-US" w:eastAsia="zh-CN"/>
        </w:rPr>
        <w:t>易腐垃圾袋参数要求</w:t>
      </w:r>
      <w:r>
        <w:rPr>
          <w:rFonts w:hint="eastAsia" w:ascii="宋体" w:hAnsi="宋体" w:eastAsia="宋体" w:cs="宋体"/>
          <w:b w:val="0"/>
          <w:bCs w:val="0"/>
          <w:sz w:val="24"/>
          <w:szCs w:val="24"/>
          <w:lang w:val="en-US" w:eastAsia="zh-CN"/>
        </w:rPr>
        <w:t>：</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每卷30只垃圾袋，其他材质款式等，需经采购人审核同意。</w:t>
      </w:r>
    </w:p>
    <w:p>
      <w:pPr>
        <w:pStyle w:val="83"/>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w:t>
      </w:r>
      <w:r>
        <w:rPr>
          <w:rFonts w:hint="eastAsia" w:cs="宋体"/>
          <w:b/>
          <w:bCs/>
          <w:sz w:val="24"/>
          <w:szCs w:val="24"/>
          <w:lang w:val="en-US" w:eastAsia="zh-CN"/>
        </w:rPr>
        <w:t>7</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val="en-US"/>
        </w:rPr>
        <w:t>再生资源回收网点：</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highlight w:val="none"/>
          <w:lang w:val="en-US"/>
        </w:rPr>
        <w:t>原已设再生资源回收网点，需按要求继续开展运营</w:t>
      </w:r>
      <w:r>
        <w:rPr>
          <w:rFonts w:hint="eastAsia" w:ascii="宋体" w:hAnsi="宋体" w:eastAsia="宋体" w:cs="宋体"/>
          <w:color w:val="auto"/>
          <w:kern w:val="2"/>
          <w:sz w:val="24"/>
          <w:szCs w:val="24"/>
          <w:highlight w:val="none"/>
          <w:lang w:val="en-US" w:eastAsia="zh-CN"/>
        </w:rPr>
        <w:t>、设施维修更新</w:t>
      </w:r>
      <w:r>
        <w:rPr>
          <w:rFonts w:hint="eastAsia" w:ascii="宋体" w:hAnsi="宋体" w:eastAsia="宋体" w:cs="宋体"/>
          <w:color w:val="auto"/>
          <w:kern w:val="2"/>
          <w:sz w:val="24"/>
          <w:szCs w:val="24"/>
          <w:highlight w:val="none"/>
          <w:lang w:val="en-US"/>
        </w:rPr>
        <w:t>；新设网点，</w:t>
      </w:r>
      <w:r>
        <w:rPr>
          <w:rFonts w:hint="eastAsia" w:ascii="宋体" w:hAnsi="宋体" w:eastAsia="宋体" w:cs="宋体"/>
          <w:color w:val="auto"/>
          <w:kern w:val="2"/>
          <w:sz w:val="24"/>
          <w:szCs w:val="24"/>
          <w:highlight w:val="none"/>
          <w:lang w:val="en-US" w:eastAsia="zh-CN"/>
        </w:rPr>
        <w:t>也</w:t>
      </w:r>
      <w:r>
        <w:rPr>
          <w:rFonts w:hint="eastAsia" w:ascii="宋体" w:hAnsi="宋体" w:eastAsia="宋体" w:cs="宋体"/>
          <w:color w:val="auto"/>
          <w:kern w:val="2"/>
          <w:sz w:val="24"/>
          <w:szCs w:val="24"/>
          <w:highlight w:val="none"/>
          <w:lang w:val="en-US"/>
        </w:rPr>
        <w:t>需按要求执行；运行时间</w:t>
      </w:r>
      <w:r>
        <w:rPr>
          <w:rFonts w:hint="eastAsia" w:ascii="宋体" w:hAnsi="宋体" w:eastAsia="宋体" w:cs="宋体"/>
          <w:color w:val="auto"/>
          <w:kern w:val="2"/>
          <w:sz w:val="24"/>
          <w:szCs w:val="24"/>
          <w:highlight w:val="none"/>
          <w:lang w:val="en-US" w:eastAsia="zh-CN"/>
        </w:rPr>
        <w:t>等需</w:t>
      </w:r>
      <w:r>
        <w:rPr>
          <w:rFonts w:hint="eastAsia" w:ascii="宋体" w:hAnsi="宋体" w:eastAsia="宋体" w:cs="宋体"/>
          <w:color w:val="auto"/>
          <w:kern w:val="2"/>
          <w:sz w:val="24"/>
          <w:szCs w:val="24"/>
          <w:highlight w:val="none"/>
          <w:lang w:val="en-US"/>
        </w:rPr>
        <w:t>符合</w:t>
      </w:r>
      <w:r>
        <w:rPr>
          <w:rFonts w:hint="eastAsia" w:ascii="宋体" w:hAnsi="宋体" w:eastAsia="宋体" w:cs="宋体"/>
          <w:color w:val="auto"/>
          <w:kern w:val="2"/>
          <w:sz w:val="24"/>
          <w:szCs w:val="24"/>
          <w:highlight w:val="none"/>
          <w:lang w:val="en-US" w:eastAsia="zh-CN"/>
        </w:rPr>
        <w:t>上级</w:t>
      </w:r>
      <w:r>
        <w:rPr>
          <w:rFonts w:hint="eastAsia" w:ascii="宋体" w:hAnsi="宋体" w:eastAsia="宋体" w:cs="宋体"/>
          <w:color w:val="auto"/>
          <w:kern w:val="2"/>
          <w:sz w:val="24"/>
          <w:szCs w:val="24"/>
          <w:highlight w:val="none"/>
          <w:lang w:val="en-US"/>
        </w:rPr>
        <w:t>最新要求；可回收物回</w:t>
      </w:r>
      <w:r>
        <w:rPr>
          <w:rFonts w:hint="eastAsia" w:ascii="宋体" w:hAnsi="宋体" w:eastAsia="宋体" w:cs="宋体"/>
          <w:color w:val="auto"/>
          <w:kern w:val="2"/>
          <w:sz w:val="24"/>
          <w:szCs w:val="24"/>
          <w:highlight w:val="none"/>
          <w:lang w:val="en-US" w:eastAsia="zh-CN"/>
        </w:rPr>
        <w:t>尽可能</w:t>
      </w:r>
      <w:r>
        <w:rPr>
          <w:rFonts w:hint="eastAsia" w:ascii="宋体" w:hAnsi="宋体" w:eastAsia="宋体" w:cs="宋体"/>
          <w:color w:val="auto"/>
          <w:kern w:val="2"/>
          <w:sz w:val="24"/>
          <w:szCs w:val="24"/>
          <w:highlight w:val="none"/>
          <w:lang w:val="en-US"/>
        </w:rPr>
        <w:t>接入数据平台，可采用积分兑换的形式，也可以现金结算；服务期满或项目合同提前解除的，所有权</w:t>
      </w:r>
      <w:r>
        <w:rPr>
          <w:rFonts w:hint="eastAsia" w:ascii="宋体" w:hAnsi="宋体" w:eastAsia="宋体" w:cs="宋体"/>
          <w:color w:val="auto"/>
          <w:kern w:val="2"/>
          <w:sz w:val="24"/>
          <w:szCs w:val="24"/>
          <w:highlight w:val="none"/>
          <w:lang w:val="en-US" w:eastAsia="zh-CN"/>
        </w:rPr>
        <w:t>（含各类装饰等）</w:t>
      </w:r>
      <w:r>
        <w:rPr>
          <w:rFonts w:hint="eastAsia" w:ascii="宋体" w:hAnsi="宋体" w:eastAsia="宋体" w:cs="宋体"/>
          <w:color w:val="auto"/>
          <w:kern w:val="2"/>
          <w:sz w:val="24"/>
          <w:szCs w:val="24"/>
          <w:highlight w:val="none"/>
          <w:lang w:val="en-US"/>
        </w:rPr>
        <w:t>无偿归</w:t>
      </w:r>
      <w:r>
        <w:rPr>
          <w:rFonts w:hint="eastAsia" w:ascii="宋体" w:hAnsi="宋体" w:eastAsia="宋体" w:cs="宋体"/>
          <w:color w:val="auto"/>
          <w:kern w:val="2"/>
          <w:sz w:val="24"/>
          <w:szCs w:val="24"/>
          <w:highlight w:val="none"/>
          <w:lang w:val="en-US" w:eastAsia="zh-CN"/>
        </w:rPr>
        <w:t>社区所有，其他要求视实际情况再定</w:t>
      </w:r>
      <w:r>
        <w:rPr>
          <w:rFonts w:hint="eastAsia" w:ascii="宋体" w:hAnsi="宋体" w:eastAsia="宋体" w:cs="宋体"/>
          <w:color w:val="auto"/>
          <w:kern w:val="2"/>
          <w:sz w:val="24"/>
          <w:szCs w:val="24"/>
          <w:lang w:val="en-US"/>
        </w:rPr>
        <w:t>。</w:t>
      </w:r>
    </w:p>
    <w:p>
      <w:pPr>
        <w:pStyle w:val="83"/>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w:t>
      </w:r>
      <w:r>
        <w:rPr>
          <w:rFonts w:hint="eastAsia" w:cs="宋体"/>
          <w:b/>
          <w:bCs/>
          <w:sz w:val="24"/>
          <w:szCs w:val="24"/>
          <w:lang w:val="en-US" w:eastAsia="zh-CN"/>
        </w:rPr>
        <w:t>8</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val="en-US"/>
        </w:rPr>
        <w:t>云平台管理：</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前端设备数据接入街道及区垃圾分类平台，中标单位按实际参与户数及每户平台运维预算费用等，承担相应费用。</w:t>
      </w:r>
    </w:p>
    <w:p>
      <w:pPr>
        <w:pStyle w:val="83"/>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w:t>
      </w:r>
      <w:r>
        <w:rPr>
          <w:rFonts w:hint="eastAsia" w:cs="宋体"/>
          <w:b/>
          <w:bCs/>
          <w:sz w:val="24"/>
          <w:szCs w:val="24"/>
          <w:lang w:val="en-US" w:eastAsia="zh-CN"/>
        </w:rPr>
        <w:t>9</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智能垃圾箱体管理</w:t>
      </w:r>
      <w:r>
        <w:rPr>
          <w:rFonts w:hint="eastAsia" w:ascii="宋体" w:hAnsi="宋体" w:eastAsia="宋体" w:cs="宋体"/>
          <w:sz w:val="24"/>
          <w:szCs w:val="24"/>
        </w:rPr>
        <w:t>：</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主要涉及宁围街道集镇老旧小区内的智能垃圾柜，做好日常维护、检修、数据联通等事项。</w:t>
      </w:r>
    </w:p>
    <w:p>
      <w:pPr>
        <w:pStyle w:val="83"/>
        <w:adjustRightInd w:val="0"/>
        <w:spacing w:line="360" w:lineRule="auto"/>
        <w:ind w:firstLine="482" w:firstLineChars="200"/>
        <w:rPr>
          <w:rFonts w:hint="eastAsia" w:ascii="宋体" w:hAnsi="宋体" w:eastAsia="宋体" w:cs="宋体"/>
          <w:color w:val="auto"/>
          <w:sz w:val="24"/>
          <w:szCs w:val="24"/>
          <w:lang w:val="en-US" w:eastAsia="zh-CN"/>
        </w:rPr>
      </w:pPr>
      <w:bookmarkStart w:id="42" w:name="OLE_LINK5"/>
      <w:r>
        <w:rPr>
          <w:rFonts w:hint="eastAsia" w:ascii="宋体" w:hAnsi="宋体" w:eastAsia="宋体" w:cs="宋体"/>
          <w:b/>
          <w:bCs/>
          <w:sz w:val="24"/>
          <w:szCs w:val="24"/>
          <w:lang w:val="en-US" w:eastAsia="zh-CN"/>
        </w:rPr>
        <w:t>（</w:t>
      </w:r>
      <w:r>
        <w:rPr>
          <w:rFonts w:hint="eastAsia" w:cs="宋体"/>
          <w:b/>
          <w:bCs/>
          <w:sz w:val="24"/>
          <w:szCs w:val="24"/>
          <w:lang w:val="en-US" w:eastAsia="zh-CN"/>
        </w:rPr>
        <w:t>10</w:t>
      </w:r>
      <w:r>
        <w:rPr>
          <w:rFonts w:hint="eastAsia" w:ascii="宋体" w:hAnsi="宋体" w:eastAsia="宋体" w:cs="宋体"/>
          <w:b/>
          <w:bCs/>
          <w:sz w:val="24"/>
          <w:szCs w:val="24"/>
          <w:lang w:val="en-US" w:eastAsia="zh-CN"/>
        </w:rPr>
        <w:t>）</w:t>
      </w:r>
      <w:bookmarkEnd w:id="42"/>
      <w:r>
        <w:rPr>
          <w:rFonts w:hint="eastAsia" w:ascii="宋体" w:hAnsi="宋体" w:eastAsia="宋体" w:cs="宋体"/>
          <w:b/>
          <w:bCs/>
          <w:sz w:val="24"/>
          <w:szCs w:val="24"/>
          <w:lang w:val="en-US" w:eastAsia="zh-CN"/>
        </w:rPr>
        <w:t>其他说明：</w:t>
      </w:r>
      <w:r>
        <w:rPr>
          <w:rFonts w:hint="eastAsia" w:ascii="宋体" w:hAnsi="宋体" w:eastAsia="宋体" w:cs="宋体"/>
          <w:sz w:val="24"/>
          <w:szCs w:val="24"/>
        </w:rPr>
        <w:t>本项目兑换机、其他设施设备（含智能设备）须自行解决场地平整问题、线缆预埋问题、防水设备及安装问题、智能垃圾箱及其他落地设备须场地平整、电费、培训费、搬运费、保险及其他一切可能产生的费用，均计入本次招标中</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lang w:val="en-US" w:eastAsia="zh-CN"/>
        </w:rPr>
        <w:t>2.2</w:t>
      </w:r>
      <w:r>
        <w:rPr>
          <w:rFonts w:hint="eastAsia" w:ascii="宋体" w:hAnsi="宋体" w:eastAsia="宋体" w:cs="宋体"/>
          <w:b/>
          <w:bCs/>
          <w:color w:val="auto"/>
          <w:sz w:val="24"/>
          <w:szCs w:val="24"/>
          <w:lang w:val="en-US"/>
        </w:rPr>
        <w:t>人员需求</w:t>
      </w:r>
    </w:p>
    <w:p>
      <w:pPr>
        <w:pStyle w:val="83"/>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项目负责人1名。</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负责本项目人、事、物（供应商应在投标文件明确项目经理管理权限）；协调联系采购人、社区、物业、直运（其他和易腐）及其他行业管理部门，落实社区、街道布置的其他任务。</w:t>
      </w:r>
    </w:p>
    <w:p>
      <w:pPr>
        <w:pStyle w:val="23"/>
        <w:keepNext w:val="0"/>
        <w:keepLines w:val="0"/>
        <w:pageBreakBefore w:val="0"/>
        <w:kinsoku/>
        <w:wordWrap/>
        <w:overflowPunct/>
        <w:topLinePunct w:val="0"/>
        <w:bidi w:val="0"/>
        <w:adjustRightInd/>
        <w:snapToGrid/>
        <w:spacing w:after="0" w:line="360" w:lineRule="auto"/>
        <w:ind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w:t>
      </w:r>
      <w:r>
        <w:rPr>
          <w:rFonts w:hint="eastAsia" w:ascii="宋体" w:hAnsi="宋体" w:eastAsia="宋体" w:cs="宋体"/>
          <w:b/>
          <w:bCs/>
          <w:color w:val="auto"/>
          <w:sz w:val="24"/>
          <w:szCs w:val="24"/>
          <w:highlight w:val="none"/>
          <w:lang w:val="en-US" w:eastAsia="zh-CN" w:bidi="ar-SA"/>
        </w:rPr>
        <w:t>项目主管6人。</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监督各工作人员日常工作开展情况，并形成考核记录，开展社区、小区各类宣传活动等工作，完成村社要求的关于小区垃圾分类的其他事项。</w:t>
      </w:r>
    </w:p>
    <w:p>
      <w:pPr>
        <w:pStyle w:val="83"/>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rPr>
        <w:t>垃圾清运（巡检）人员。</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每个小区至少安排一名人员，负责小区内各投放点位的垃圾桶清运至集置点，同时做好日常垃圾包巡检等工作，完成村社要求的关于小区垃圾分类的其他事项。</w:t>
      </w:r>
    </w:p>
    <w:p>
      <w:pPr>
        <w:pStyle w:val="23"/>
        <w:keepNext w:val="0"/>
        <w:keepLines w:val="0"/>
        <w:pageBreakBefore w:val="0"/>
        <w:widowControl/>
        <w:kinsoku/>
        <w:wordWrap/>
        <w:overflowPunct/>
        <w:topLinePunct w:val="0"/>
        <w:autoSpaceDE w:val="0"/>
        <w:autoSpaceDN w:val="0"/>
        <w:bidi w:val="0"/>
        <w:adjustRightInd/>
        <w:snapToGrid/>
        <w:spacing w:after="0" w:line="360" w:lineRule="auto"/>
        <w:ind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（4）点位分类工作人员。</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color w:val="auto"/>
          <w:sz w:val="24"/>
          <w:szCs w:val="24"/>
          <w:lang w:val="en-US"/>
        </w:rPr>
        <w:t>开展点位分类引导监管等，能熟练操作智能四分类秤智，为投放的居民进行易腐的称重、上传、破袋和积分等，做好投放点及周边的环境卫生等工作</w:t>
      </w:r>
      <w:r>
        <w:rPr>
          <w:rFonts w:hint="eastAsia" w:ascii="宋体" w:hAnsi="宋体" w:eastAsia="宋体" w:cs="宋体"/>
          <w:sz w:val="24"/>
          <w:szCs w:val="24"/>
          <w:lang w:val="en-US"/>
        </w:rPr>
        <w:t>。</w:t>
      </w:r>
    </w:p>
    <w:p>
      <w:pPr>
        <w:pStyle w:val="83"/>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（5）再生资源网点工作人员。</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rPr>
      </w:pPr>
      <w:r>
        <w:rPr>
          <w:rFonts w:hint="eastAsia" w:ascii="宋体" w:hAnsi="宋体" w:eastAsia="宋体" w:cs="宋体"/>
          <w:sz w:val="24"/>
          <w:szCs w:val="24"/>
          <w:lang w:val="en-US"/>
        </w:rPr>
        <w:t>每个网点设一个专人，每天至少保障2个小时及以上工作时间，其余时段实行电话预约上门回收，同时做好网点内积分兑换，负责网点及周边的保洁和维护工作，完成村社要求的关于小区垃圾分类的其他事项</w:t>
      </w:r>
      <w:r>
        <w:rPr>
          <w:rFonts w:hint="eastAsia" w:ascii="宋体" w:hAnsi="宋体" w:eastAsia="宋体" w:cs="宋体"/>
          <w:color w:val="auto"/>
          <w:sz w:val="24"/>
          <w:szCs w:val="24"/>
          <w:lang w:val="en-US"/>
        </w:rPr>
        <w:t>。</w:t>
      </w:r>
    </w:p>
    <w:p>
      <w:pPr>
        <w:pStyle w:val="83"/>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（6）其他辅助人员。</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rPr>
        <w:t>每天保证3组，6人上岗巡查，巡查时间涵盖早、晚投放时段，主要检查小区的垃圾包、各点位环境卫生及分类投放情况等。</w:t>
      </w:r>
    </w:p>
    <w:p>
      <w:pPr>
        <w:pStyle w:val="83"/>
        <w:adjustRightInd w:val="0"/>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2.3服务管理要求</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cs="宋体"/>
          <w:sz w:val="24"/>
          <w:szCs w:val="24"/>
          <w:lang w:val="en-US" w:eastAsia="zh-CN"/>
        </w:rPr>
        <w:t>（1）</w:t>
      </w:r>
      <w:r>
        <w:rPr>
          <w:rFonts w:hint="eastAsia" w:ascii="宋体" w:hAnsi="宋体" w:eastAsia="宋体" w:cs="宋体"/>
          <w:sz w:val="24"/>
          <w:szCs w:val="24"/>
          <w:lang w:val="en-US" w:eastAsia="zh-CN"/>
        </w:rPr>
        <w:t>设施管理：小区内无杂色桶，投放点位设置四分类桶，每日定时定点进行投放收集，要求实现对各类垃圾的称重计量。小区产生的易腐垃圾质量应当符合餐厨垃圾处置企业的收运标准，包括实现垃圾破袋。</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cs="宋体"/>
          <w:sz w:val="24"/>
          <w:szCs w:val="24"/>
          <w:lang w:val="en-US" w:eastAsia="zh-CN"/>
        </w:rPr>
        <w:t>（2）</w:t>
      </w:r>
      <w:r>
        <w:rPr>
          <w:rFonts w:hint="eastAsia" w:ascii="宋体" w:hAnsi="宋体" w:eastAsia="宋体" w:cs="宋体"/>
          <w:sz w:val="24"/>
          <w:szCs w:val="24"/>
          <w:lang w:val="en-US" w:eastAsia="zh-CN"/>
        </w:rPr>
        <w:t>对未开展撤桶并点工作的小区积极开展撤桶并点工作，积极调解因易腐垃圾点位等问题产生的矛盾。小区内原投放点做到彻底撤桶；垃圾分类设施干净整洁无破损（包括小区内所有垃圾桶）。</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cs="宋体"/>
          <w:sz w:val="24"/>
          <w:szCs w:val="24"/>
          <w:lang w:val="en-US" w:eastAsia="zh-CN"/>
        </w:rPr>
        <w:t>（3）</w:t>
      </w:r>
      <w:r>
        <w:rPr>
          <w:rFonts w:hint="eastAsia" w:ascii="宋体" w:hAnsi="宋体" w:eastAsia="宋体" w:cs="宋体"/>
          <w:sz w:val="24"/>
          <w:szCs w:val="24"/>
          <w:lang w:val="en-US" w:eastAsia="zh-CN"/>
        </w:rPr>
        <w:t>分类质量：易腐垃圾、其他垃圾、可回收物和有害垃圾分类投放，无混装、错投等情况（具体根据区最新要求调整，中标人应无条件配合）。</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cs="宋体"/>
          <w:sz w:val="24"/>
          <w:szCs w:val="24"/>
          <w:lang w:val="en-US" w:eastAsia="zh-CN"/>
        </w:rPr>
        <w:t>（4）</w:t>
      </w:r>
      <w:r>
        <w:rPr>
          <w:rFonts w:hint="eastAsia" w:ascii="宋体" w:hAnsi="宋体" w:eastAsia="宋体" w:cs="宋体"/>
          <w:sz w:val="24"/>
          <w:szCs w:val="24"/>
          <w:lang w:val="en-US" w:eastAsia="zh-CN"/>
        </w:rPr>
        <w:t>分类清运：相关垃圾及时分类清运，无垃圾满溢、堆积和脏乱差等现象。</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cs="宋体"/>
          <w:sz w:val="24"/>
          <w:szCs w:val="24"/>
          <w:lang w:val="en-US" w:eastAsia="zh-CN"/>
        </w:rPr>
        <w:t>（5）</w:t>
      </w:r>
      <w:r>
        <w:rPr>
          <w:rFonts w:hint="eastAsia" w:ascii="宋体" w:hAnsi="宋体" w:eastAsia="宋体" w:cs="宋体"/>
          <w:sz w:val="24"/>
          <w:szCs w:val="24"/>
          <w:lang w:val="en-US" w:eastAsia="zh-CN"/>
        </w:rPr>
        <w:t>智能监管：按要求配置使用封装电子称，实现四分类垃圾数据实时上传且准确无误并产生积分，不造假。</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cs="宋体"/>
          <w:sz w:val="24"/>
          <w:szCs w:val="24"/>
          <w:lang w:val="en-US" w:eastAsia="zh-CN"/>
        </w:rPr>
        <w:t>（6）</w:t>
      </w:r>
      <w:r>
        <w:rPr>
          <w:rFonts w:hint="eastAsia" w:ascii="宋体" w:hAnsi="宋体" w:eastAsia="宋体" w:cs="宋体"/>
          <w:sz w:val="24"/>
          <w:szCs w:val="24"/>
          <w:lang w:val="en-US" w:eastAsia="zh-CN"/>
        </w:rPr>
        <w:t>在推进撤桶并点小区，承担撤桶后初期的居民乱投放物的清理工作。</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cs="宋体"/>
          <w:sz w:val="24"/>
          <w:szCs w:val="24"/>
          <w:lang w:val="en-US" w:eastAsia="zh-CN"/>
        </w:rPr>
        <w:t>（7）</w:t>
      </w:r>
      <w:r>
        <w:rPr>
          <w:rFonts w:hint="eastAsia" w:ascii="宋体" w:hAnsi="宋体" w:eastAsia="宋体" w:cs="宋体"/>
          <w:sz w:val="24"/>
          <w:szCs w:val="24"/>
          <w:lang w:val="en-US" w:eastAsia="zh-CN"/>
        </w:rPr>
        <w:t>每月定期向每户居民发送垃圾袋领取提示信息。</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cs="宋体"/>
          <w:sz w:val="24"/>
          <w:szCs w:val="24"/>
          <w:lang w:val="en-US" w:eastAsia="zh-CN"/>
        </w:rPr>
        <w:t>（8）</w:t>
      </w:r>
      <w:r>
        <w:rPr>
          <w:rFonts w:hint="eastAsia" w:ascii="宋体" w:hAnsi="宋体" w:eastAsia="宋体" w:cs="宋体"/>
          <w:sz w:val="24"/>
          <w:szCs w:val="24"/>
          <w:lang w:val="en-US" w:eastAsia="zh-CN"/>
        </w:rPr>
        <w:t>每月向每户居民提供易腐垃圾袋。</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cs="宋体"/>
          <w:sz w:val="24"/>
          <w:szCs w:val="24"/>
          <w:lang w:val="en-US" w:eastAsia="zh-CN"/>
        </w:rPr>
        <w:t>（9）</w:t>
      </w:r>
      <w:r>
        <w:rPr>
          <w:rFonts w:hint="eastAsia" w:ascii="宋体" w:hAnsi="宋体" w:eastAsia="宋体" w:cs="宋体"/>
          <w:sz w:val="24"/>
          <w:szCs w:val="24"/>
          <w:lang w:val="en-US" w:eastAsia="zh-CN"/>
        </w:rPr>
        <w:t>在投放点投放时段内，加大可回收物的引导回收，做好每个点位人员可回收物数量的考核，投放的可回收物可兑换积分或现金。</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cs="宋体"/>
          <w:sz w:val="24"/>
          <w:szCs w:val="24"/>
          <w:lang w:val="en-US" w:eastAsia="zh-CN"/>
        </w:rPr>
        <w:t>（10）</w:t>
      </w:r>
      <w:r>
        <w:rPr>
          <w:rFonts w:hint="eastAsia" w:ascii="宋体" w:hAnsi="宋体" w:eastAsia="宋体" w:cs="宋体"/>
          <w:sz w:val="24"/>
          <w:szCs w:val="24"/>
          <w:lang w:val="en-US" w:eastAsia="zh-CN"/>
        </w:rPr>
        <w:t>做好线下积分兑换网点布设，原则上每个小区一处兑换地点或一个自助兑换机，一个垃圾袋兑换机。</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cs="宋体"/>
          <w:sz w:val="24"/>
          <w:szCs w:val="24"/>
          <w:lang w:val="en-US" w:eastAsia="zh-CN"/>
        </w:rPr>
        <w:t>（11）</w:t>
      </w:r>
      <w:r>
        <w:rPr>
          <w:rFonts w:hint="eastAsia" w:ascii="宋体" w:hAnsi="宋体" w:eastAsia="宋体" w:cs="宋体"/>
          <w:sz w:val="24"/>
          <w:szCs w:val="24"/>
          <w:lang w:val="en-US" w:eastAsia="zh-CN"/>
        </w:rPr>
        <w:t>对当天的巡检情况进行登记，并对巡检的家庭进行短信回访，就垃圾分类投放准确情况和分类准确情况进行评价并提出分类建议。</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cs="宋体"/>
          <w:sz w:val="24"/>
          <w:szCs w:val="24"/>
          <w:lang w:val="en-US" w:eastAsia="zh-CN"/>
        </w:rPr>
        <w:t>（12）</w:t>
      </w:r>
      <w:r>
        <w:rPr>
          <w:rFonts w:hint="eastAsia" w:ascii="宋体" w:hAnsi="宋体" w:eastAsia="宋体" w:cs="宋体"/>
          <w:sz w:val="24"/>
          <w:szCs w:val="24"/>
          <w:lang w:val="en-US" w:eastAsia="zh-CN"/>
        </w:rPr>
        <w:t>每月初梳理小区内居民垃圾分类开展情况，理出分类参与次数较少、</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易腐垃圾日均量较差的占整个小区的一半居民，每月对其开展登门培训回访1次，并对每户居民入户派发垃圾分类宣传资料。</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cs="宋体"/>
          <w:sz w:val="24"/>
          <w:szCs w:val="24"/>
          <w:lang w:val="en-US" w:eastAsia="zh-CN"/>
        </w:rPr>
        <w:t>（13）</w:t>
      </w:r>
      <w:r>
        <w:rPr>
          <w:rFonts w:hint="eastAsia" w:ascii="宋体" w:hAnsi="宋体" w:eastAsia="宋体" w:cs="宋体"/>
          <w:sz w:val="24"/>
          <w:szCs w:val="24"/>
          <w:lang w:val="en-US" w:eastAsia="zh-CN"/>
        </w:rPr>
        <w:t>回访率不低于90%。同时在登门回访的基础上结合短信等形式回访，产生的通讯费用等由中标单位自行负责。</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cs="宋体"/>
          <w:sz w:val="24"/>
          <w:szCs w:val="24"/>
          <w:lang w:val="en-US" w:eastAsia="zh-CN"/>
        </w:rPr>
        <w:t>（14）</w:t>
      </w:r>
      <w:r>
        <w:rPr>
          <w:rFonts w:hint="eastAsia" w:ascii="宋体" w:hAnsi="宋体" w:eastAsia="宋体" w:cs="宋体"/>
          <w:sz w:val="24"/>
          <w:szCs w:val="24"/>
          <w:lang w:val="en-US" w:eastAsia="zh-CN"/>
        </w:rPr>
        <w:t>对服务的社区、物业及涉及垃圾分类的管理单位开展培训不少于2次。</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cs="宋体"/>
          <w:sz w:val="24"/>
          <w:szCs w:val="24"/>
          <w:lang w:val="en-US" w:eastAsia="zh-CN"/>
        </w:rPr>
        <w:t>（15）</w:t>
      </w:r>
      <w:r>
        <w:rPr>
          <w:rFonts w:hint="eastAsia" w:ascii="宋体" w:hAnsi="宋体" w:eastAsia="宋体" w:cs="宋体"/>
          <w:sz w:val="24"/>
          <w:szCs w:val="24"/>
          <w:lang w:val="en-US" w:eastAsia="zh-CN"/>
        </w:rPr>
        <w:t>组织居民开展垃圾智能化分类的指导培训宣传工作，并进行现场分类的引导和督导。</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cs="宋体"/>
          <w:sz w:val="24"/>
          <w:szCs w:val="24"/>
          <w:lang w:val="en-US" w:eastAsia="zh-CN"/>
        </w:rPr>
        <w:t>（16）</w:t>
      </w:r>
      <w:r>
        <w:rPr>
          <w:rFonts w:hint="eastAsia" w:ascii="宋体" w:hAnsi="宋体" w:eastAsia="宋体" w:cs="宋体"/>
          <w:sz w:val="24"/>
          <w:szCs w:val="24"/>
          <w:lang w:val="en-US" w:eastAsia="zh-CN"/>
        </w:rPr>
        <w:t>积极开展居民指导工作，逐步提高居民参与率和垃圾分类准确率，项目正式实施后，易腐垃圾、其他垃圾、可回收垃圾和有害垃圾、大件分类投放，无混装、错投等情况。</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cs="宋体"/>
          <w:sz w:val="24"/>
          <w:szCs w:val="24"/>
          <w:lang w:val="en-US" w:eastAsia="zh-CN"/>
        </w:rPr>
        <w:t>（17）</w:t>
      </w:r>
      <w:r>
        <w:rPr>
          <w:rFonts w:hint="eastAsia" w:ascii="宋体" w:hAnsi="宋体" w:eastAsia="宋体" w:cs="宋体"/>
          <w:sz w:val="24"/>
          <w:szCs w:val="24"/>
          <w:lang w:val="en-US" w:eastAsia="zh-CN"/>
        </w:rPr>
        <w:t>积极协助平台、社区、物业开展垃圾分类宣传工作，并积极配合社区、物业解决垃圾分类工作中涉及信访、居民意见等问题。</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cs="宋体"/>
          <w:sz w:val="24"/>
          <w:szCs w:val="24"/>
          <w:lang w:val="en-US" w:eastAsia="zh-CN"/>
        </w:rPr>
        <w:t>（18）</w:t>
      </w:r>
      <w:r>
        <w:rPr>
          <w:rFonts w:hint="eastAsia" w:ascii="宋体" w:hAnsi="宋体" w:eastAsia="宋体" w:cs="宋体"/>
          <w:sz w:val="24"/>
          <w:szCs w:val="24"/>
          <w:lang w:val="en-US" w:eastAsia="zh-CN"/>
        </w:rPr>
        <w:t>每周组织不少于一次可回收物集中回收活动，每季度组织不少于一次线下积分兑换服务，每次兑换品种不少于10类。</w:t>
      </w:r>
    </w:p>
    <w:p>
      <w:pPr>
        <w:pStyle w:val="8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rPr>
      </w:pPr>
      <w:r>
        <w:rPr>
          <w:rFonts w:hint="eastAsia" w:cs="宋体"/>
          <w:sz w:val="24"/>
          <w:szCs w:val="24"/>
          <w:lang w:val="en-US" w:eastAsia="zh-CN"/>
        </w:rPr>
        <w:t>（19）</w:t>
      </w:r>
      <w:r>
        <w:rPr>
          <w:rFonts w:hint="eastAsia" w:ascii="宋体" w:hAnsi="宋体" w:eastAsia="宋体" w:cs="宋体"/>
          <w:sz w:val="24"/>
          <w:szCs w:val="24"/>
          <w:lang w:val="en-US" w:eastAsia="zh-CN"/>
        </w:rPr>
        <w:t>认真贯彻杭政办《浙江省人民政府办公厅关于进一步改善环卫工人工作生活条件 促进环卫事业持续健康发展的若干意见》(浙政办发 (2009)190号)和《杭州市人民政府办公厅关于进一步解决环卫工人实际困难保障其合法权益的意见X(2008)14号)文件规定的工资标准，必须落实职工劳保福利待遇，为职工缴纳“五金一险”“五金一险”和意外伤害险须在杭州本地缴纳。一线人员基本工资不得低于杭州市最低工资标准的 110%，保障职工休息休假权利，加班必须足额支付加班费，一线工人的基本工资、加班费等必须按隔月足额发放。如因违法、违规造成上访或群体性事件的，由中标单位负责处理</w:t>
      </w:r>
      <w:r>
        <w:rPr>
          <w:rFonts w:hint="eastAsia" w:ascii="宋体" w:hAnsi="宋体" w:eastAsia="宋体" w:cs="宋体"/>
          <w:sz w:val="24"/>
          <w:szCs w:val="24"/>
          <w:lang w:val="en-US"/>
        </w:rPr>
        <w:t>。</w:t>
      </w:r>
    </w:p>
    <w:p>
      <w:pPr>
        <w:pStyle w:val="83"/>
        <w:adjustRightInd w:val="0"/>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2.4其他需求</w:t>
      </w:r>
    </w:p>
    <w:p>
      <w:pPr>
        <w:pStyle w:val="83"/>
        <w:adjustRightIn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（1）相关垃圾的清运</w:t>
      </w:r>
    </w:p>
    <w:p>
      <w:pPr>
        <w:pStyle w:val="83"/>
        <w:adjustRightInd w:val="0"/>
        <w:spacing w:line="360" w:lineRule="auto"/>
        <w:ind w:firstLine="482" w:firstLineChars="200"/>
        <w:rPr>
          <w:rFonts w:hint="eastAsia" w:ascii="宋体" w:hAnsi="宋体" w:eastAsia="宋体" w:cs="宋体"/>
          <w:sz w:val="24"/>
          <w:szCs w:val="24"/>
          <w:lang w:val="en-US"/>
        </w:rPr>
      </w:pPr>
      <w:r>
        <w:rPr>
          <w:rFonts w:hint="eastAsia" w:ascii="宋体" w:hAnsi="宋体" w:eastAsia="宋体" w:cs="宋体"/>
          <w:b/>
          <w:bCs/>
          <w:sz w:val="24"/>
          <w:szCs w:val="24"/>
          <w:lang w:val="en-US"/>
        </w:rPr>
        <w:t>A.大件垃圾</w:t>
      </w:r>
      <w:r>
        <w:rPr>
          <w:rFonts w:hint="eastAsia" w:ascii="宋体" w:hAnsi="宋体" w:eastAsia="宋体" w:cs="宋体"/>
          <w:sz w:val="24"/>
          <w:szCs w:val="24"/>
          <w:lang w:val="en-US"/>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val="0"/>
          <w:bCs/>
          <w:kern w:val="0"/>
          <w:sz w:val="24"/>
          <w:szCs w:val="24"/>
          <w:highlight w:val="none"/>
          <w:lang w:val="zh-CN"/>
        </w:rPr>
        <w:t>由社区组织物业与中标人进行签约，中标人需落实人员和车辆，及时将小区内的大件垃圾运输至区内正规处置单位，并按要求上传区级平台数据，不享受上级相关补贴，费用包含在投标报价中，要求完成年度考核任务（若有），同时确保小区内大件垃圾不得出现堆积</w:t>
      </w:r>
      <w:r>
        <w:rPr>
          <w:rFonts w:hint="eastAsia" w:ascii="宋体" w:hAnsi="宋体" w:eastAsia="宋体" w:cs="宋体"/>
          <w:b/>
          <w:bCs/>
          <w:color w:val="auto"/>
          <w:sz w:val="24"/>
          <w:szCs w:val="24"/>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B</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有害、低价值（玻璃）清运。</w:t>
      </w:r>
    </w:p>
    <w:p>
      <w:pPr>
        <w:pStyle w:val="5"/>
        <w:numPr>
          <w:ilvl w:val="3"/>
          <w:numId w:val="0"/>
        </w:numPr>
        <w:spacing w:before="0" w:after="0" w:line="360" w:lineRule="auto"/>
        <w:ind w:firstLine="480" w:firstLineChars="200"/>
        <w:rPr>
          <w:rFonts w:hint="eastAsia" w:ascii="宋体" w:hAnsi="宋体" w:eastAsia="宋体" w:cs="宋体"/>
          <w:sz w:val="24"/>
          <w:szCs w:val="24"/>
          <w:lang w:val="en-US"/>
        </w:rPr>
      </w:pPr>
      <w:r>
        <w:rPr>
          <w:rFonts w:hint="eastAsia" w:ascii="宋体" w:hAnsi="宋体" w:eastAsia="宋体" w:cs="宋体"/>
          <w:b w:val="0"/>
          <w:bCs w:val="0"/>
          <w:sz w:val="24"/>
          <w:szCs w:val="24"/>
          <w:lang w:val="en-US"/>
        </w:rPr>
        <w:t>定期收集低价值可回收物和有害垃圾，并按规定要求交由正规处置单位进行处置，本项目中包含此类垃圾的收集处置费用</w:t>
      </w:r>
      <w:r>
        <w:rPr>
          <w:rFonts w:hint="eastAsia" w:ascii="宋体" w:hAnsi="宋体" w:eastAsia="宋体" w:cs="宋体"/>
          <w:sz w:val="24"/>
          <w:szCs w:val="24"/>
          <w:lang w:val="en-US"/>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Cs/>
          <w:kern w:val="0"/>
          <w:sz w:val="24"/>
          <w:szCs w:val="24"/>
          <w:lang w:val="zh-CN"/>
        </w:rPr>
      </w:pPr>
      <w:r>
        <w:rPr>
          <w:rFonts w:hint="eastAsia" w:ascii="宋体" w:hAnsi="宋体" w:eastAsia="宋体" w:cs="宋体"/>
          <w:b/>
          <w:bCs/>
          <w:color w:val="000000"/>
          <w:sz w:val="24"/>
          <w:szCs w:val="24"/>
        </w:rPr>
        <w:t>C</w:t>
      </w:r>
      <w:r>
        <w:rPr>
          <w:rFonts w:hint="eastAsia" w:ascii="宋体" w:hAnsi="宋体" w:eastAsia="宋体" w:cs="宋体"/>
          <w:b/>
          <w:bCs/>
          <w:color w:val="000000"/>
          <w:sz w:val="24"/>
          <w:szCs w:val="24"/>
          <w:lang w:val="en-US" w:eastAsia="zh-CN"/>
        </w:rPr>
        <w:t>.</w:t>
      </w:r>
      <w:r>
        <w:rPr>
          <w:rFonts w:hint="eastAsia" w:ascii="宋体" w:hAnsi="宋体" w:eastAsia="宋体" w:cs="宋体"/>
          <w:b/>
          <w:bCs/>
          <w:color w:val="000000"/>
          <w:sz w:val="24"/>
          <w:szCs w:val="24"/>
        </w:rPr>
        <w:t>沿街商铺收运。</w:t>
      </w:r>
      <w:r>
        <w:rPr>
          <w:rFonts w:hint="eastAsia" w:ascii="宋体" w:hAnsi="宋体" w:eastAsia="宋体" w:cs="宋体"/>
          <w:bCs/>
          <w:kern w:val="0"/>
          <w:sz w:val="24"/>
          <w:szCs w:val="24"/>
          <w:lang w:val="zh-CN"/>
        </w:rPr>
        <w:t>服务期限内如小区有沿街商铺的，投标人需按采购人要求及时推进收运工作，费用及考核参照所属小区住户标准按实结算或按上级有关规定执行。</w:t>
      </w:r>
    </w:p>
    <w:p>
      <w:pPr>
        <w:pStyle w:val="83"/>
        <w:adjustRightIn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（2）宣传要求</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Cs/>
          <w:kern w:val="0"/>
          <w:sz w:val="24"/>
          <w:szCs w:val="24"/>
          <w:lang w:val="zh-CN"/>
        </w:rPr>
      </w:pPr>
      <w:r>
        <w:rPr>
          <w:rFonts w:hint="eastAsia" w:ascii="宋体" w:hAnsi="宋体" w:eastAsia="宋体" w:cs="宋体"/>
          <w:b/>
          <w:bCs w:val="0"/>
          <w:kern w:val="0"/>
          <w:sz w:val="24"/>
          <w:szCs w:val="24"/>
          <w:lang w:val="zh-CN"/>
        </w:rPr>
        <w:t>A、日常宣传牌子等制作。</w:t>
      </w:r>
      <w:r>
        <w:rPr>
          <w:rFonts w:hint="eastAsia" w:ascii="宋体" w:hAnsi="宋体" w:eastAsia="宋体" w:cs="宋体"/>
          <w:bCs/>
          <w:kern w:val="0"/>
          <w:sz w:val="24"/>
          <w:szCs w:val="24"/>
          <w:lang w:val="zh-CN"/>
        </w:rPr>
        <w:t>在小区明显位置设置分类指示牌，并按要求公示定时定点投放点位、垃圾分类信息公示栏、再生资源回收站点、大件（特殊）垃圾等相关信息；分类指示牌无破损、脏污或遮挡。小区垃圾集置点、再生资源回收站点和大件（特殊）垃圾投放点标志标牌设置规范（包括再生资源网点配置价目公示牌，人员信息公示牌等）。</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在分类投放站点设置宣传牌，小区居民集中区域的活动广场、主要出口、灯柱公益广告、社区（物业）宣传栏、电梯内、楼道上张贴垃圾分类的宣传横幅、海报、公益广告、公益视频等，宣传垃圾分类理念，培养垃圾分类行为习惯。相关标志标识符合最新规范，制作张贴村社、街道要求的其他关于垃圾分类的宣传内容。</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val="0"/>
          <w:bCs/>
          <w:color w:val="auto"/>
          <w:kern w:val="0"/>
          <w:sz w:val="24"/>
          <w:szCs w:val="24"/>
          <w:lang w:val="en-US"/>
        </w:rPr>
      </w:pPr>
      <w:r>
        <w:rPr>
          <w:rFonts w:hint="eastAsia" w:ascii="宋体" w:hAnsi="宋体" w:eastAsia="宋体" w:cs="宋体"/>
          <w:b/>
          <w:bCs w:val="0"/>
          <w:kern w:val="0"/>
          <w:sz w:val="24"/>
          <w:szCs w:val="24"/>
          <w:lang w:val="en-US"/>
        </w:rPr>
        <w:t>B</w:t>
      </w:r>
      <w:r>
        <w:rPr>
          <w:rFonts w:hint="eastAsia" w:ascii="宋体" w:hAnsi="宋体" w:eastAsia="宋体" w:cs="宋体"/>
          <w:b/>
          <w:bCs w:val="0"/>
          <w:kern w:val="0"/>
          <w:sz w:val="24"/>
          <w:szCs w:val="24"/>
          <w:lang w:val="en-US" w:eastAsia="zh-CN"/>
        </w:rPr>
        <w:t>、</w:t>
      </w:r>
      <w:r>
        <w:rPr>
          <w:rFonts w:hint="eastAsia" w:ascii="宋体" w:hAnsi="宋体" w:eastAsia="宋体" w:cs="宋体"/>
          <w:b/>
          <w:bCs w:val="0"/>
          <w:kern w:val="0"/>
          <w:sz w:val="24"/>
          <w:szCs w:val="24"/>
          <w:lang w:val="en-US"/>
        </w:rPr>
        <w:t>月度媒体宣传任务。</w:t>
      </w:r>
      <w:r>
        <w:rPr>
          <w:rFonts w:hint="eastAsia" w:ascii="宋体" w:hAnsi="宋体" w:eastAsia="宋体" w:cs="宋体"/>
          <w:b w:val="0"/>
          <w:bCs/>
          <w:kern w:val="0"/>
          <w:sz w:val="24"/>
          <w:szCs w:val="24"/>
          <w:lang w:val="en-US"/>
        </w:rPr>
        <w:t>需根据萧山区分类办的相关要求，做好指定媒体的宣传报道工作（具体以上级对镇街、平台相关考核要求为准），同时落实开展各类垃圾分类宣传活动</w:t>
      </w:r>
      <w:r>
        <w:rPr>
          <w:rFonts w:hint="eastAsia" w:ascii="宋体" w:hAnsi="宋体" w:eastAsia="宋体" w:cs="宋体"/>
          <w:b w:val="0"/>
          <w:bCs/>
          <w:color w:val="auto"/>
          <w:kern w:val="0"/>
          <w:sz w:val="24"/>
          <w:szCs w:val="24"/>
          <w:lang w:val="en-US"/>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Cs w:val="0"/>
          <w:color w:val="auto"/>
          <w:kern w:val="0"/>
          <w:sz w:val="24"/>
          <w:szCs w:val="24"/>
          <w:lang w:val="zh-CN"/>
        </w:rPr>
      </w:pPr>
      <w:r>
        <w:rPr>
          <w:rFonts w:hint="eastAsia" w:ascii="宋体" w:hAnsi="宋体" w:eastAsia="宋体" w:cs="宋体"/>
          <w:b/>
          <w:bCs/>
          <w:color w:val="auto"/>
          <w:kern w:val="2"/>
          <w:sz w:val="24"/>
          <w:szCs w:val="24"/>
          <w:lang w:val="en-US" w:eastAsia="zh-CN" w:bidi="ar-SA"/>
        </w:rPr>
        <w:t>（3）</w:t>
      </w:r>
      <w:r>
        <w:rPr>
          <w:rFonts w:hint="eastAsia" w:ascii="宋体" w:hAnsi="宋体" w:eastAsia="宋体" w:cs="宋体"/>
          <w:b/>
          <w:bCs/>
          <w:color w:val="auto"/>
          <w:kern w:val="2"/>
          <w:sz w:val="24"/>
          <w:szCs w:val="24"/>
          <w:lang w:val="zh-CN" w:eastAsia="zh-CN" w:bidi="ar-SA"/>
        </w:rPr>
        <w:t>升级改造等要求。</w:t>
      </w:r>
      <w:r>
        <w:rPr>
          <w:rFonts w:hint="eastAsia" w:ascii="宋体" w:hAnsi="宋体" w:eastAsia="宋体" w:cs="宋体"/>
          <w:b w:val="0"/>
          <w:bCs w:val="0"/>
          <w:color w:val="auto"/>
          <w:kern w:val="2"/>
          <w:sz w:val="24"/>
          <w:szCs w:val="24"/>
          <w:lang w:val="zh-CN" w:eastAsia="zh-CN" w:bidi="ar-SA"/>
        </w:rPr>
        <w:t>后期根据分类模式、分类工作要求存在调整可能性，如省、市、区垃圾分类办或城管部门要求进行模式调整，在服务期间中标人需无条件按照采购人要求及时进行模式调整，新增或更换相应设施设备产生的费用需由中标人承担，采购人不再另行支付，同时中标人还需负责小区各点位的日常维护、修缮、改造等工作，费用均包含在中标价内</w:t>
      </w:r>
      <w:r>
        <w:rPr>
          <w:rFonts w:hint="eastAsia" w:ascii="宋体" w:hAnsi="宋体" w:eastAsia="宋体" w:cs="宋体"/>
          <w:bCs w:val="0"/>
          <w:color w:val="auto"/>
          <w:kern w:val="0"/>
          <w:sz w:val="24"/>
          <w:szCs w:val="24"/>
          <w:lang w:val="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val="0"/>
          <w:bCs/>
          <w:color w:val="auto"/>
          <w:kern w:val="0"/>
          <w:sz w:val="24"/>
          <w:szCs w:val="24"/>
          <w:lang w:val="en-US"/>
        </w:rPr>
      </w:pPr>
      <w:r>
        <w:rPr>
          <w:rFonts w:hint="eastAsia" w:ascii="宋体" w:hAnsi="宋体" w:eastAsia="宋体" w:cs="宋体"/>
          <w:b/>
          <w:bCs w:val="0"/>
          <w:color w:val="auto"/>
          <w:kern w:val="0"/>
          <w:sz w:val="24"/>
          <w:szCs w:val="24"/>
          <w:lang w:val="en-US" w:eastAsia="zh-CN"/>
        </w:rPr>
        <w:t>（4）自动退出约定。</w:t>
      </w:r>
      <w:r>
        <w:rPr>
          <w:rFonts w:hint="eastAsia" w:ascii="宋体" w:hAnsi="宋体" w:eastAsia="宋体" w:cs="宋体"/>
          <w:b w:val="0"/>
          <w:bCs/>
          <w:color w:val="auto"/>
          <w:kern w:val="0"/>
          <w:sz w:val="24"/>
          <w:szCs w:val="24"/>
          <w:lang w:val="en-US" w:eastAsia="zh-CN"/>
        </w:rPr>
        <w:t>服务期间如有小区推进物业主导实施垃圾分类的，则该小区第三方服务自动终止，不视为采购人违约，同时中标人须配合完成相关对接工作。</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bCs w:val="0"/>
          <w:color w:val="auto"/>
          <w:kern w:val="0"/>
          <w:sz w:val="24"/>
          <w:szCs w:val="24"/>
          <w:lang w:val="en-US" w:eastAsia="zh-CN"/>
        </w:rPr>
        <w:t>（5）人员等接管要求</w:t>
      </w:r>
      <w:r>
        <w:rPr>
          <w:rFonts w:hint="eastAsia" w:ascii="宋体" w:hAnsi="宋体" w:cs="宋体"/>
          <w:b/>
          <w:bCs w:val="0"/>
          <w:color w:val="auto"/>
          <w:kern w:val="0"/>
          <w:sz w:val="24"/>
          <w:szCs w:val="24"/>
          <w:lang w:val="en-US" w:eastAsia="zh-CN"/>
        </w:rPr>
        <w:t>。</w:t>
      </w:r>
      <w:r>
        <w:rPr>
          <w:rFonts w:hint="eastAsia" w:ascii="宋体" w:hAnsi="宋体" w:eastAsia="宋体" w:cs="宋体"/>
          <w:b w:val="0"/>
          <w:bCs/>
          <w:color w:val="auto"/>
          <w:kern w:val="0"/>
          <w:sz w:val="24"/>
          <w:szCs w:val="24"/>
          <w:lang w:val="en-US" w:eastAsia="zh-CN"/>
        </w:rPr>
        <w:t>中标后一个星期内完成人员等事项交接布设，1个月内完成涉及设施设备更新升级及相关宣传动员。</w:t>
      </w:r>
    </w:p>
    <w:p>
      <w:pPr>
        <w:pStyle w:val="83"/>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2"/>
          <w:sz w:val="24"/>
          <w:szCs w:val="24"/>
          <w:lang w:val="en-US" w:eastAsia="zh-CN" w:bidi="ar-SA"/>
        </w:rPr>
      </w:pPr>
    </w:p>
    <w:p>
      <w:pPr>
        <w:pStyle w:val="83"/>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2"/>
          <w:sz w:val="24"/>
          <w:szCs w:val="24"/>
          <w:lang w:val="en-US" w:eastAsia="zh-CN" w:bidi="ar-SA"/>
        </w:rPr>
      </w:pPr>
    </w:p>
    <w:p>
      <w:pPr>
        <w:pStyle w:val="83"/>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（二）商务需求</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bCs w:val="0"/>
          <w:color w:val="auto"/>
          <w:kern w:val="0"/>
          <w:sz w:val="24"/>
          <w:szCs w:val="24"/>
          <w:lang w:val="en-US" w:eastAsia="zh-CN"/>
        </w:rPr>
        <w:t>1、按时交接要求</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color w:val="auto"/>
          <w:kern w:val="0"/>
          <w:sz w:val="24"/>
          <w:szCs w:val="24"/>
          <w:highlight w:val="yellow"/>
          <w:lang w:val="en-US" w:eastAsia="zh-CN"/>
        </w:rPr>
      </w:pPr>
      <w:r>
        <w:rPr>
          <w:rFonts w:hint="eastAsia" w:ascii="宋体" w:hAnsi="宋体" w:eastAsia="宋体" w:cs="宋体"/>
          <w:b w:val="0"/>
          <w:bCs/>
          <w:color w:val="auto"/>
          <w:kern w:val="0"/>
          <w:sz w:val="24"/>
          <w:szCs w:val="24"/>
          <w:lang w:val="en-US" w:eastAsia="zh-CN"/>
        </w:rPr>
        <w:t>由于本项目时间延续不可中断的特殊性，以及所服务小区的体量较大，</w:t>
      </w:r>
      <w:bookmarkStart w:id="43" w:name="OLE_LINK24"/>
      <w:r>
        <w:rPr>
          <w:rFonts w:hint="eastAsia" w:ascii="宋体" w:hAnsi="宋体" w:eastAsia="宋体" w:cs="宋体"/>
          <w:b w:val="0"/>
          <w:bCs/>
          <w:color w:val="auto"/>
          <w:kern w:val="0"/>
          <w:sz w:val="24"/>
          <w:szCs w:val="24"/>
          <w:lang w:val="en-US" w:eastAsia="zh-CN"/>
        </w:rPr>
        <w:t>投标人须提供承诺书（附件</w:t>
      </w:r>
      <w:r>
        <w:rPr>
          <w:rFonts w:hint="eastAsia" w:ascii="宋体" w:hAnsi="宋体" w:cs="宋体"/>
          <w:b w:val="0"/>
          <w:bCs/>
          <w:color w:val="auto"/>
          <w:kern w:val="0"/>
          <w:sz w:val="24"/>
          <w:szCs w:val="24"/>
          <w:lang w:val="en-US" w:eastAsia="zh-CN"/>
        </w:rPr>
        <w:t>4：</w:t>
      </w:r>
      <w:r>
        <w:rPr>
          <w:rFonts w:hint="eastAsia" w:ascii="宋体" w:hAnsi="宋体" w:eastAsia="宋体" w:cs="宋体"/>
          <w:b w:val="0"/>
          <w:bCs/>
          <w:color w:val="auto"/>
          <w:kern w:val="0"/>
          <w:sz w:val="24"/>
          <w:szCs w:val="24"/>
          <w:lang w:val="en-US" w:eastAsia="zh-CN"/>
        </w:rPr>
        <w:t>承诺书）</w:t>
      </w:r>
      <w:bookmarkEnd w:id="43"/>
      <w:r>
        <w:rPr>
          <w:rFonts w:hint="eastAsia" w:ascii="宋体" w:hAnsi="宋体" w:eastAsia="宋体" w:cs="宋体"/>
          <w:b w:val="0"/>
          <w:bCs/>
          <w:color w:val="auto"/>
          <w:kern w:val="0"/>
          <w:sz w:val="24"/>
          <w:szCs w:val="24"/>
          <w:lang w:val="en-US" w:eastAsia="zh-CN"/>
        </w:rPr>
        <w:t>，承诺中标后能立即安排人员，与原单位无缝交接工作，并在合同签订后一个月内与原服务单位完成本项目所需的设施设备、车辆等的资产购买或资产重新配置，以及完成居民数据帐户的建立，同时接入采购人所在地的区级、街道等平台，无法在上述规定期限内完成各项服务内容的，则项目合同自动解除，并且对采购人造成的损失由中标人承担。</w:t>
      </w:r>
      <w:r>
        <w:rPr>
          <w:rFonts w:hint="eastAsia" w:ascii="微软雅黑" w:hAnsi="微软雅黑" w:eastAsia="微软雅黑" w:cs="微软雅黑"/>
          <w:b w:val="0"/>
          <w:bCs/>
          <w:color w:val="auto"/>
          <w:kern w:val="0"/>
          <w:sz w:val="24"/>
          <w:szCs w:val="24"/>
          <w:highlight w:val="yellow"/>
          <w:lang w:val="en-US" w:eastAsia="zh-CN"/>
        </w:rPr>
        <w:t>▲</w:t>
      </w:r>
      <w:r>
        <w:rPr>
          <w:rFonts w:hint="eastAsia" w:ascii="宋体" w:hAnsi="宋体" w:eastAsia="宋体" w:cs="宋体"/>
          <w:b w:val="0"/>
          <w:bCs/>
          <w:color w:val="auto"/>
          <w:kern w:val="0"/>
          <w:sz w:val="24"/>
          <w:szCs w:val="24"/>
          <w:highlight w:val="yellow"/>
          <w:lang w:val="en-US" w:eastAsia="zh-CN"/>
        </w:rPr>
        <w:t>（投标单位必须提供承诺书）</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2、合同的签订、履行及违约</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（1）中标人按规定的日期、时间、地点，由法定代表人或授权委托人签订合同。本次招标服务期限为1年（具体起始时间在合同中约定）</w:t>
      </w:r>
      <w:r>
        <w:rPr>
          <w:rFonts w:hint="eastAsia" w:ascii="宋体" w:hAnsi="宋体" w:eastAsia="宋体" w:cs="宋体"/>
          <w:b/>
          <w:bCs w:val="0"/>
          <w:color w:val="auto"/>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（2）合同履行：中标人需在合同签订后15日内，向采购人支付合同价款的1%作为履约保证金，以支票、汇票、本票非现金形式提交。</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bCs w:val="0"/>
          <w:color w:val="auto"/>
          <w:kern w:val="0"/>
          <w:sz w:val="24"/>
          <w:szCs w:val="24"/>
          <w:lang w:val="en-US" w:eastAsia="zh-CN"/>
        </w:rPr>
        <w:t>（3）项目实施计划：</w:t>
      </w:r>
      <w:r>
        <w:rPr>
          <w:rFonts w:hint="eastAsia" w:ascii="宋体" w:hAnsi="宋体" w:eastAsia="宋体" w:cs="宋体"/>
          <w:b w:val="0"/>
          <w:bCs/>
          <w:color w:val="auto"/>
          <w:kern w:val="0"/>
          <w:sz w:val="24"/>
          <w:szCs w:val="24"/>
          <w:lang w:val="en-US" w:eastAsia="zh-CN"/>
        </w:rPr>
        <w:t>中标单位签订合同后，实施生活垃圾源头分类服务。服务必须由中标单位自行完成，中标单位不得将项目转包、分包给第三方，或以劳务派遣方式分包给第三方。</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3、付款方式</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按中标单价以及中标单位的服务户数、服务天数、考核情</w:t>
      </w:r>
      <w:r>
        <w:rPr>
          <w:rFonts w:hint="eastAsia" w:ascii="宋体" w:hAnsi="宋体" w:eastAsia="宋体" w:cs="宋体"/>
          <w:b w:val="0"/>
          <w:bCs/>
          <w:color w:val="auto"/>
          <w:kern w:val="0"/>
          <w:sz w:val="24"/>
          <w:szCs w:val="24"/>
          <w:highlight w:val="none"/>
          <w:lang w:val="en-US" w:eastAsia="zh-CN"/>
        </w:rPr>
        <w:t>况等</w:t>
      </w:r>
      <w:r>
        <w:rPr>
          <w:rFonts w:hint="eastAsia" w:ascii="宋体" w:hAnsi="宋体" w:cs="宋体"/>
          <w:b w:val="0"/>
          <w:bCs/>
          <w:color w:val="auto"/>
          <w:kern w:val="0"/>
          <w:sz w:val="24"/>
          <w:szCs w:val="24"/>
          <w:highlight w:val="none"/>
          <w:lang w:val="en-US" w:eastAsia="zh-CN"/>
        </w:rPr>
        <w:t>按月</w:t>
      </w:r>
      <w:r>
        <w:rPr>
          <w:rFonts w:hint="eastAsia" w:ascii="宋体" w:hAnsi="宋体" w:eastAsia="宋体" w:cs="宋体"/>
          <w:b w:val="0"/>
          <w:bCs/>
          <w:color w:val="auto"/>
          <w:kern w:val="0"/>
          <w:sz w:val="24"/>
          <w:szCs w:val="24"/>
          <w:highlight w:val="none"/>
          <w:lang w:val="en-US" w:eastAsia="zh-CN"/>
        </w:rPr>
        <w:t>结算。</w:t>
      </w:r>
      <w:r>
        <w:rPr>
          <w:rFonts w:hint="eastAsia" w:ascii="宋体" w:hAnsi="宋体" w:eastAsia="宋体" w:cs="宋体"/>
          <w:b w:val="0"/>
          <w:bCs/>
          <w:color w:val="auto"/>
          <w:kern w:val="0"/>
          <w:sz w:val="24"/>
          <w:szCs w:val="24"/>
          <w:lang w:val="en-US" w:eastAsia="zh-CN"/>
        </w:rPr>
        <w:t>服务期内有新增小区的，按中标价以及服务户数、服务天数、考核情况等进行结算。若实际服务户数不足小区总户数的一半时，按小区总户数的一半进行结算；若实际服务户数超过小区总户数的一半时，按实际服务户数进行结算</w:t>
      </w:r>
      <w:r>
        <w:rPr>
          <w:rFonts w:hint="eastAsia" w:ascii="宋体" w:hAnsi="宋体" w:eastAsia="宋体" w:cs="宋体"/>
          <w:color w:val="auto"/>
          <w:sz w:val="24"/>
          <w:szCs w:val="24"/>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4.考核方式</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整体考核：在市(包括市级及以上)、区、街道专项检查中或被媒体曝光通报批评的，每次通告扣款1-5万元，合同期内累计通告达5次的，采购人有权终止合同，并且对采购人造成的损失由中标人承担；因拖欠工资等原因，导致工作人员到街道部门上访的每次扣1万，到区级部门上访的每次扣3万，到市级部门上访的每次扣4万，到省级及以上部门上访的每次扣8万。</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rPr>
      </w:pPr>
      <w:r>
        <w:rPr>
          <w:rFonts w:hint="eastAsia" w:ascii="宋体" w:hAnsi="宋体" w:eastAsia="宋体" w:cs="宋体"/>
          <w:b w:val="0"/>
          <w:bCs/>
          <w:color w:val="auto"/>
          <w:kern w:val="0"/>
          <w:sz w:val="24"/>
          <w:szCs w:val="24"/>
          <w:highlight w:val="none"/>
          <w:lang w:val="en-US" w:eastAsia="zh-CN"/>
        </w:rPr>
        <w:t>（2）小区考核：每月由村社（70%权重）、街道（30%权重）对中标单位进行考核，村社、街道考核得分合计大于等于95分的全额支付服务费；考核得分在90(含）-95（不含）分的，支付服务费的95%；考核得分在85（含）-90（不含）分的，支付服务费的90%；考核得分在80（含）-85（不含）分的，支付服务费的85%；考核得分在75（含）-80（不含）分的，支付服务费的80%；考核得分≤75分的，支付服务费的（得分数值）70%；考核得分＜60分，为考核不合格，支付服务费的50%</w:t>
      </w:r>
      <w:r>
        <w:rPr>
          <w:rFonts w:hint="eastAsia" w:ascii="宋体" w:hAnsi="宋体" w:eastAsia="宋体" w:cs="宋体"/>
          <w:b w:val="0"/>
          <w:bCs/>
          <w:color w:val="auto"/>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jc w:val="both"/>
        <w:textAlignment w:val="center"/>
        <w:rPr>
          <w:rFonts w:hint="eastAsia" w:ascii="宋体" w:hAnsi="宋体" w:eastAsia="宋体" w:cs="宋体"/>
          <w:sz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cente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br w:type="page"/>
      </w:r>
    </w:p>
    <w:p>
      <w:pPr>
        <w:keepNext w:val="0"/>
        <w:keepLines w:val="0"/>
        <w:pageBreakBefore w:val="0"/>
        <w:widowControl/>
        <w:kinsoku/>
        <w:wordWrap/>
        <w:overflowPunct/>
        <w:topLinePunct w:val="0"/>
        <w:autoSpaceDE/>
        <w:autoSpaceDN/>
        <w:bidi w:val="0"/>
        <w:adjustRightInd/>
        <w:snapToGrid/>
        <w:spacing w:after="0" w:line="360" w:lineRule="auto"/>
        <w:jc w:val="left"/>
        <w:textAlignment w:val="center"/>
        <w:rPr>
          <w:rFonts w:hint="default" w:ascii="宋体" w:hAnsi="宋体" w:eastAsia="宋体" w:cs="宋体"/>
          <w:b/>
          <w:bCs/>
          <w:sz w:val="24"/>
          <w:lang w:val="en-US" w:eastAsia="zh-CN"/>
        </w:rPr>
      </w:pPr>
      <w:r>
        <w:rPr>
          <w:rFonts w:hint="eastAsia" w:ascii="宋体" w:hAnsi="宋体" w:cs="宋体"/>
          <w:b/>
          <w:bCs/>
          <w:sz w:val="24"/>
          <w:lang w:val="en-US" w:eastAsia="zh-CN"/>
        </w:rPr>
        <w:t>附件1：</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b/>
          <w:bCs/>
          <w:sz w:val="24"/>
        </w:rPr>
      </w:pPr>
      <w:r>
        <w:rPr>
          <w:rFonts w:hint="eastAsia" w:ascii="宋体" w:hAnsi="宋体" w:eastAsia="宋体" w:cs="宋体"/>
          <w:b/>
          <w:bCs/>
          <w:sz w:val="24"/>
        </w:rPr>
        <w:t>生活垃圾分类第三方考核评分表</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sz w:val="24"/>
        </w:rPr>
      </w:pPr>
      <w:r>
        <w:rPr>
          <w:rFonts w:hint="eastAsia" w:ascii="宋体" w:hAnsi="宋体" w:eastAsia="宋体" w:cs="宋体"/>
          <w:sz w:val="24"/>
        </w:rPr>
        <w:t>（按合同第</w:t>
      </w:r>
      <w:r>
        <w:rPr>
          <w:rFonts w:hint="eastAsia" w:ascii="宋体" w:hAnsi="宋体" w:eastAsia="宋体" w:cs="宋体"/>
          <w:sz w:val="24"/>
          <w:u w:val="single"/>
        </w:rPr>
        <w:t xml:space="preserve">  月</w:t>
      </w:r>
      <w:r>
        <w:rPr>
          <w:rFonts w:hint="eastAsia" w:ascii="宋体" w:hAnsi="宋体" w:eastAsia="宋体" w:cs="宋体"/>
          <w:sz w:val="24"/>
        </w:rPr>
        <w:t>度）</w:t>
      </w:r>
    </w:p>
    <w:p>
      <w:pPr>
        <w:keepNext w:val="0"/>
        <w:keepLines w:val="0"/>
        <w:pageBreakBefore w:val="0"/>
        <w:widowControl/>
        <w:kinsoku/>
        <w:wordWrap/>
        <w:overflowPunct/>
        <w:topLinePunct w:val="0"/>
        <w:autoSpaceDE/>
        <w:autoSpaceDN/>
        <w:bidi w:val="0"/>
        <w:adjustRightInd/>
        <w:snapToGrid/>
        <w:spacing w:after="0" w:line="360" w:lineRule="auto"/>
        <w:textAlignment w:val="center"/>
        <w:rPr>
          <w:rFonts w:hint="eastAsia" w:ascii="宋体" w:hAnsi="宋体" w:eastAsia="宋体" w:cs="宋体"/>
          <w:sz w:val="24"/>
        </w:rPr>
      </w:pPr>
      <w:r>
        <w:rPr>
          <w:rFonts w:hint="eastAsia" w:ascii="宋体" w:hAnsi="宋体" w:eastAsia="宋体" w:cs="宋体"/>
          <w:sz w:val="24"/>
        </w:rPr>
        <w:t>社区小区/名称：                           考核时间：   年   月   日</w:t>
      </w:r>
    </w:p>
    <w:tbl>
      <w:tblPr>
        <w:tblStyle w:val="63"/>
        <w:tblpPr w:leftFromText="180" w:rightFromText="180" w:vertAnchor="text" w:horzAnchor="page" w:tblpXSpec="center" w:tblpY="289"/>
        <w:tblOverlap w:val="never"/>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758"/>
        <w:gridCol w:w="568"/>
        <w:gridCol w:w="2781"/>
        <w:gridCol w:w="903"/>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13" w:type="dxa"/>
            <w:vAlign w:val="center"/>
          </w:tcPr>
          <w:p>
            <w:pPr>
              <w:widowControl/>
              <w:jc w:val="center"/>
              <w:textAlignment w:val="center"/>
              <w:rPr>
                <w:rFonts w:hint="eastAsia" w:ascii="宋体" w:hAnsi="宋体" w:eastAsia="宋体" w:cs="宋体"/>
                <w:bCs/>
                <w:color w:val="auto"/>
                <w:sz w:val="24"/>
                <w:highlight w:val="none"/>
              </w:rPr>
            </w:pPr>
            <w:r>
              <w:rPr>
                <w:rFonts w:hint="eastAsia" w:ascii="宋体" w:hAnsi="宋体" w:eastAsia="宋体" w:cs="宋体"/>
                <w:bCs/>
                <w:color w:val="auto"/>
                <w:kern w:val="0"/>
                <w:sz w:val="24"/>
                <w:highlight w:val="none"/>
              </w:rPr>
              <w:t>考核项目</w:t>
            </w:r>
          </w:p>
        </w:tc>
        <w:tc>
          <w:tcPr>
            <w:tcW w:w="3758" w:type="dxa"/>
            <w:vAlign w:val="center"/>
          </w:tcPr>
          <w:p>
            <w:pPr>
              <w:widowControl/>
              <w:jc w:val="center"/>
              <w:textAlignment w:val="center"/>
              <w:rPr>
                <w:rFonts w:hint="eastAsia" w:ascii="宋体" w:hAnsi="宋体" w:eastAsia="宋体" w:cs="宋体"/>
                <w:bCs/>
                <w:color w:val="auto"/>
                <w:sz w:val="24"/>
                <w:highlight w:val="none"/>
              </w:rPr>
            </w:pPr>
            <w:r>
              <w:rPr>
                <w:rFonts w:hint="eastAsia" w:ascii="宋体" w:hAnsi="宋体" w:eastAsia="宋体" w:cs="宋体"/>
                <w:bCs/>
                <w:color w:val="auto"/>
                <w:kern w:val="0"/>
                <w:sz w:val="24"/>
                <w:highlight w:val="none"/>
              </w:rPr>
              <w:t>考核内容</w:t>
            </w:r>
          </w:p>
        </w:tc>
        <w:tc>
          <w:tcPr>
            <w:tcW w:w="568" w:type="dxa"/>
            <w:vAlign w:val="center"/>
          </w:tcPr>
          <w:p>
            <w:pPr>
              <w:widowControl/>
              <w:jc w:val="center"/>
              <w:textAlignment w:val="center"/>
              <w:rPr>
                <w:rFonts w:hint="eastAsia" w:ascii="宋体" w:hAnsi="宋体" w:eastAsia="宋体" w:cs="宋体"/>
                <w:bCs/>
                <w:color w:val="auto"/>
                <w:sz w:val="24"/>
                <w:highlight w:val="none"/>
              </w:rPr>
            </w:pPr>
            <w:r>
              <w:rPr>
                <w:rFonts w:hint="eastAsia" w:ascii="宋体" w:hAnsi="宋体" w:eastAsia="宋体" w:cs="宋体"/>
                <w:bCs/>
                <w:color w:val="auto"/>
                <w:kern w:val="0"/>
                <w:sz w:val="24"/>
                <w:highlight w:val="none"/>
              </w:rPr>
              <w:t>分值</w:t>
            </w:r>
          </w:p>
        </w:tc>
        <w:tc>
          <w:tcPr>
            <w:tcW w:w="2781" w:type="dxa"/>
            <w:vAlign w:val="center"/>
          </w:tcPr>
          <w:p>
            <w:pPr>
              <w:widowControl/>
              <w:jc w:val="center"/>
              <w:textAlignment w:val="center"/>
              <w:rPr>
                <w:rFonts w:hint="eastAsia" w:ascii="宋体" w:hAnsi="宋体" w:eastAsia="宋体" w:cs="宋体"/>
                <w:bCs/>
                <w:color w:val="auto"/>
                <w:sz w:val="24"/>
                <w:highlight w:val="none"/>
              </w:rPr>
            </w:pPr>
            <w:r>
              <w:rPr>
                <w:rFonts w:hint="eastAsia" w:ascii="宋体" w:hAnsi="宋体" w:eastAsia="宋体" w:cs="宋体"/>
                <w:bCs/>
                <w:color w:val="auto"/>
                <w:kern w:val="0"/>
                <w:sz w:val="24"/>
                <w:highlight w:val="none"/>
              </w:rPr>
              <w:t>评分标准</w:t>
            </w:r>
          </w:p>
        </w:tc>
        <w:tc>
          <w:tcPr>
            <w:tcW w:w="903" w:type="dxa"/>
            <w:vAlign w:val="center"/>
          </w:tcPr>
          <w:p>
            <w:pPr>
              <w:widowControl/>
              <w:jc w:val="center"/>
              <w:textAlignment w:val="center"/>
              <w:rPr>
                <w:rFonts w:hint="eastAsia" w:ascii="宋体" w:hAnsi="宋体" w:eastAsia="宋体" w:cs="宋体"/>
                <w:bCs/>
                <w:color w:val="auto"/>
                <w:sz w:val="24"/>
                <w:highlight w:val="none"/>
              </w:rPr>
            </w:pPr>
            <w:r>
              <w:rPr>
                <w:rFonts w:hint="eastAsia" w:ascii="宋体" w:hAnsi="宋体" w:eastAsia="宋体" w:cs="宋体"/>
                <w:bCs/>
                <w:color w:val="auto"/>
                <w:kern w:val="0"/>
                <w:sz w:val="24"/>
                <w:highlight w:val="none"/>
              </w:rPr>
              <w:t>社区评分</w:t>
            </w:r>
          </w:p>
        </w:tc>
        <w:tc>
          <w:tcPr>
            <w:tcW w:w="886" w:type="dxa"/>
            <w:vAlign w:val="center"/>
          </w:tcPr>
          <w:p>
            <w:pPr>
              <w:widowControl/>
              <w:jc w:val="center"/>
              <w:textAlignment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街道评分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813" w:type="dxa"/>
            <w:vMerge w:val="restart"/>
            <w:vAlign w:val="center"/>
          </w:tcPr>
          <w:p>
            <w:pPr>
              <w:widowControl/>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设施设备(20分)</w:t>
            </w: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lang w:val="zh-TW" w:eastAsia="zh-TW"/>
              </w:rPr>
            </w:pPr>
            <w:r>
              <w:rPr>
                <w:rFonts w:hint="eastAsia" w:ascii="宋体" w:hAnsi="宋体" w:eastAsia="宋体" w:cs="宋体"/>
                <w:color w:val="auto"/>
                <w:sz w:val="24"/>
                <w:highlight w:val="none"/>
              </w:rPr>
              <w:t>1、</w:t>
            </w:r>
            <w:bookmarkStart w:id="44" w:name="OLE_LINK34"/>
            <w:r>
              <w:rPr>
                <w:rFonts w:hint="eastAsia" w:ascii="宋体" w:hAnsi="宋体" w:eastAsia="宋体" w:cs="宋体"/>
                <w:color w:val="auto"/>
                <w:sz w:val="24"/>
                <w:highlight w:val="none"/>
              </w:rPr>
              <w:t>智能设备：</w:t>
            </w:r>
            <w:r>
              <w:rPr>
                <w:rFonts w:hint="eastAsia" w:ascii="宋体" w:hAnsi="宋体" w:eastAsia="宋体" w:cs="宋体"/>
                <w:color w:val="auto"/>
                <w:sz w:val="24"/>
                <w:highlight w:val="none"/>
                <w:lang w:val="zh-TW"/>
              </w:rPr>
              <w:t>根据招标文件要求配置</w:t>
            </w:r>
            <w:r>
              <w:rPr>
                <w:rFonts w:hint="eastAsia" w:ascii="宋体" w:hAnsi="宋体" w:cs="宋体"/>
                <w:color w:val="auto"/>
                <w:sz w:val="24"/>
                <w:highlight w:val="none"/>
                <w:lang w:val="en-US" w:eastAsia="zh-CN"/>
              </w:rPr>
              <w:t>或更新或维护</w:t>
            </w:r>
            <w:r>
              <w:rPr>
                <w:rFonts w:hint="eastAsia" w:ascii="宋体" w:hAnsi="宋体" w:eastAsia="宋体" w:cs="宋体"/>
                <w:color w:val="auto"/>
                <w:sz w:val="24"/>
                <w:highlight w:val="none"/>
                <w:lang w:val="zh-TW"/>
              </w:rPr>
              <w:t>自动</w:t>
            </w:r>
            <w:r>
              <w:rPr>
                <w:rFonts w:hint="eastAsia" w:ascii="宋体" w:hAnsi="宋体" w:cs="宋体"/>
                <w:color w:val="auto"/>
                <w:sz w:val="24"/>
                <w:highlight w:val="none"/>
                <w:lang w:val="en-US" w:eastAsia="zh-CN"/>
              </w:rPr>
              <w:t>兑换机（发袋机）</w:t>
            </w:r>
            <w:r>
              <w:rPr>
                <w:rFonts w:hint="eastAsia" w:ascii="宋体" w:hAnsi="宋体" w:eastAsia="宋体" w:cs="宋体"/>
                <w:color w:val="auto"/>
                <w:sz w:val="24"/>
                <w:highlight w:val="none"/>
                <w:lang w:val="zh-TW"/>
              </w:rPr>
              <w:t>和</w:t>
            </w:r>
            <w:r>
              <w:rPr>
                <w:rFonts w:hint="eastAsia" w:ascii="宋体" w:hAnsi="宋体" w:eastAsia="宋体" w:cs="宋体"/>
                <w:color w:val="auto"/>
                <w:sz w:val="24"/>
                <w:highlight w:val="none"/>
              </w:rPr>
              <w:t>封装电子秤</w:t>
            </w:r>
            <w:bookmarkEnd w:id="44"/>
            <w:r>
              <w:rPr>
                <w:rFonts w:hint="eastAsia" w:ascii="宋体" w:hAnsi="宋体" w:eastAsia="宋体" w:cs="宋体"/>
                <w:color w:val="auto"/>
                <w:sz w:val="24"/>
                <w:highlight w:val="none"/>
                <w:lang w:val="zh-TW"/>
              </w:rPr>
              <w:t>。</w:t>
            </w:r>
          </w:p>
        </w:tc>
        <w:tc>
          <w:tcPr>
            <w:tcW w:w="568" w:type="dxa"/>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未按招标文件配置到位、或无法正常运行，或未能按区要求接入系统等，</w:t>
            </w:r>
            <w:r>
              <w:rPr>
                <w:rFonts w:hint="eastAsia" w:ascii="宋体" w:hAnsi="宋体" w:cs="宋体"/>
                <w:color w:val="auto"/>
                <w:sz w:val="24"/>
                <w:highlight w:val="none"/>
                <w:lang w:val="en-US" w:eastAsia="zh-CN"/>
              </w:rPr>
              <w:t>每处</w:t>
            </w:r>
            <w:r>
              <w:rPr>
                <w:rFonts w:hint="eastAsia" w:ascii="宋体" w:hAnsi="宋体" w:eastAsia="宋体" w:cs="宋体"/>
                <w:color w:val="auto"/>
                <w:sz w:val="24"/>
                <w:highlight w:val="none"/>
              </w:rPr>
              <w:t>扣5分</w:t>
            </w:r>
          </w:p>
        </w:tc>
        <w:tc>
          <w:tcPr>
            <w:tcW w:w="903" w:type="dxa"/>
            <w:vAlign w:val="center"/>
          </w:tcPr>
          <w:p>
            <w:pPr>
              <w:widowControl/>
              <w:textAlignment w:val="center"/>
              <w:rPr>
                <w:rFonts w:hint="eastAsia" w:ascii="宋体" w:hAnsi="宋体" w:eastAsia="宋体" w:cs="宋体"/>
                <w:color w:val="auto"/>
                <w:sz w:val="24"/>
                <w:highlight w:val="none"/>
              </w:rPr>
            </w:pPr>
          </w:p>
        </w:tc>
        <w:tc>
          <w:tcPr>
            <w:tcW w:w="886" w:type="dxa"/>
            <w:vAlign w:val="center"/>
          </w:tcPr>
          <w:p>
            <w:pPr>
              <w:widowControl/>
              <w:textAlignment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rPr>
            </w:pP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lang w:val="zh-TW" w:eastAsia="zh-TW"/>
              </w:rPr>
            </w:pPr>
            <w:r>
              <w:rPr>
                <w:rFonts w:hint="eastAsia" w:ascii="宋体" w:hAnsi="宋体" w:eastAsia="宋体" w:cs="宋体"/>
                <w:color w:val="auto"/>
                <w:sz w:val="24"/>
                <w:highlight w:val="none"/>
              </w:rPr>
              <w:t>2、易腐垃圾袋发放，四分类垃圾桶配置到位、入户垃圾桶发放到位。</w:t>
            </w:r>
          </w:p>
        </w:tc>
        <w:tc>
          <w:tcPr>
            <w:tcW w:w="568" w:type="dxa"/>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rPr>
            </w:pPr>
            <w:bookmarkStart w:id="45" w:name="OLE_LINK35"/>
            <w:r>
              <w:rPr>
                <w:rFonts w:hint="eastAsia" w:ascii="宋体" w:hAnsi="宋体" w:eastAsia="宋体" w:cs="宋体"/>
                <w:color w:val="auto"/>
                <w:sz w:val="24"/>
                <w:highlight w:val="none"/>
              </w:rPr>
              <w:t>逾期发放或发放</w:t>
            </w:r>
            <w:r>
              <w:rPr>
                <w:rFonts w:hint="eastAsia" w:ascii="宋体" w:hAnsi="宋体" w:cs="宋体"/>
                <w:color w:val="auto"/>
                <w:sz w:val="24"/>
                <w:highlight w:val="none"/>
                <w:lang w:val="en-US" w:eastAsia="zh-CN"/>
              </w:rPr>
              <w:t>不</w:t>
            </w:r>
            <w:r>
              <w:rPr>
                <w:rFonts w:hint="eastAsia" w:ascii="宋体" w:hAnsi="宋体" w:eastAsia="宋体" w:cs="宋体"/>
                <w:color w:val="auto"/>
                <w:sz w:val="24"/>
                <w:highlight w:val="none"/>
              </w:rPr>
              <w:t>到位</w:t>
            </w:r>
            <w:r>
              <w:rPr>
                <w:rFonts w:hint="eastAsia" w:ascii="宋体" w:hAnsi="宋体" w:cs="宋体"/>
                <w:color w:val="auto"/>
                <w:sz w:val="24"/>
                <w:highlight w:val="none"/>
                <w:lang w:val="en-US" w:eastAsia="zh-CN"/>
              </w:rPr>
              <w:t>或未按要求发放的</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每个</w:t>
            </w:r>
            <w:r>
              <w:rPr>
                <w:rFonts w:hint="eastAsia" w:ascii="宋体" w:hAnsi="宋体" w:eastAsia="宋体" w:cs="宋体"/>
                <w:color w:val="auto"/>
                <w:sz w:val="24"/>
                <w:highlight w:val="none"/>
              </w:rPr>
              <w:t>扣5分，</w:t>
            </w:r>
            <w:r>
              <w:rPr>
                <w:rFonts w:hint="eastAsia" w:ascii="宋体" w:hAnsi="宋体" w:cs="宋体"/>
                <w:color w:val="auto"/>
                <w:sz w:val="24"/>
                <w:highlight w:val="none"/>
                <w:lang w:val="en-US" w:eastAsia="zh-CN"/>
              </w:rPr>
              <w:t>最高扣20分</w:t>
            </w:r>
            <w:r>
              <w:rPr>
                <w:rFonts w:hint="eastAsia" w:ascii="宋体" w:hAnsi="宋体" w:eastAsia="宋体" w:cs="宋体"/>
                <w:color w:val="auto"/>
                <w:sz w:val="24"/>
                <w:highlight w:val="none"/>
              </w:rPr>
              <w:t>。</w:t>
            </w:r>
            <w:bookmarkEnd w:id="45"/>
          </w:p>
        </w:tc>
        <w:tc>
          <w:tcPr>
            <w:tcW w:w="903" w:type="dxa"/>
            <w:vAlign w:val="center"/>
          </w:tcPr>
          <w:p>
            <w:pPr>
              <w:widowControl/>
              <w:textAlignment w:val="center"/>
              <w:rPr>
                <w:rFonts w:hint="eastAsia" w:ascii="宋体" w:hAnsi="宋体" w:eastAsia="宋体" w:cs="宋体"/>
                <w:color w:val="auto"/>
                <w:sz w:val="24"/>
                <w:highlight w:val="none"/>
              </w:rPr>
            </w:pPr>
          </w:p>
        </w:tc>
        <w:tc>
          <w:tcPr>
            <w:tcW w:w="886" w:type="dxa"/>
            <w:vAlign w:val="center"/>
          </w:tcPr>
          <w:p>
            <w:pPr>
              <w:widowControl/>
              <w:textAlignment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rPr>
            </w:pP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lang w:val="zh-TW" w:eastAsia="zh-TW"/>
              </w:rPr>
            </w:pPr>
            <w:r>
              <w:rPr>
                <w:rFonts w:hint="eastAsia" w:ascii="宋体" w:hAnsi="宋体" w:eastAsia="宋体" w:cs="宋体"/>
                <w:color w:val="auto"/>
                <w:sz w:val="24"/>
                <w:highlight w:val="none"/>
              </w:rPr>
              <w:t>3、再生资源网点宣传标识及相关设备，并按要求开展好。</w:t>
            </w:r>
          </w:p>
        </w:tc>
        <w:tc>
          <w:tcPr>
            <w:tcW w:w="568" w:type="dxa"/>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781" w:type="dxa"/>
          </w:tcPr>
          <w:p>
            <w:pPr>
              <w:adjustRightInd/>
              <w:spacing w:line="2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按区要求配置，未到位一处扣1分。</w:t>
            </w:r>
          </w:p>
        </w:tc>
        <w:tc>
          <w:tcPr>
            <w:tcW w:w="903" w:type="dxa"/>
            <w:vAlign w:val="center"/>
          </w:tcPr>
          <w:p>
            <w:pPr>
              <w:widowControl/>
              <w:textAlignment w:val="center"/>
              <w:rPr>
                <w:rFonts w:hint="eastAsia" w:ascii="宋体" w:hAnsi="宋体" w:eastAsia="宋体" w:cs="宋体"/>
                <w:color w:val="auto"/>
                <w:sz w:val="24"/>
                <w:highlight w:val="none"/>
              </w:rPr>
            </w:pPr>
          </w:p>
        </w:tc>
        <w:tc>
          <w:tcPr>
            <w:tcW w:w="886" w:type="dxa"/>
            <w:vAlign w:val="center"/>
          </w:tcPr>
          <w:p>
            <w:pPr>
              <w:widowControl/>
              <w:textAlignment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rPr>
            </w:pP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4、智能设备：</w:t>
            </w:r>
            <w:r>
              <w:rPr>
                <w:rFonts w:hint="eastAsia" w:ascii="宋体" w:hAnsi="宋体" w:eastAsia="宋体" w:cs="宋体"/>
                <w:color w:val="auto"/>
                <w:sz w:val="24"/>
                <w:highlight w:val="none"/>
                <w:lang w:val="zh-TW" w:eastAsia="zh-TW"/>
              </w:rPr>
              <w:t>向居民派发智能卡</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TW" w:eastAsia="zh-TW"/>
              </w:rPr>
              <w:t>张</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TW" w:eastAsia="zh-TW"/>
              </w:rPr>
              <w:t>每户。</w:t>
            </w:r>
          </w:p>
        </w:tc>
        <w:tc>
          <w:tcPr>
            <w:tcW w:w="568" w:type="dxa"/>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781" w:type="dxa"/>
          </w:tcPr>
          <w:p>
            <w:pPr>
              <w:adjustRightInd/>
              <w:spacing w:line="2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逾期提供、发放不到位，每次均扣1分。</w:t>
            </w:r>
          </w:p>
        </w:tc>
        <w:tc>
          <w:tcPr>
            <w:tcW w:w="903" w:type="dxa"/>
            <w:vAlign w:val="center"/>
          </w:tcPr>
          <w:p>
            <w:pPr>
              <w:widowControl/>
              <w:textAlignment w:val="center"/>
              <w:rPr>
                <w:rFonts w:hint="eastAsia" w:ascii="宋体" w:hAnsi="宋体" w:eastAsia="宋体" w:cs="宋体"/>
                <w:color w:val="auto"/>
                <w:sz w:val="24"/>
                <w:highlight w:val="none"/>
              </w:rPr>
            </w:pPr>
          </w:p>
        </w:tc>
        <w:tc>
          <w:tcPr>
            <w:tcW w:w="886" w:type="dxa"/>
            <w:vAlign w:val="center"/>
          </w:tcPr>
          <w:p>
            <w:pPr>
              <w:widowControl/>
              <w:textAlignment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rPr>
            </w:pP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5、其他设施设备：根据工作推进要求，配备相关职责范围内的设施设备。服务小区内无杂色桶，标识正确。四分类垃圾桶干净整洁、无破损。</w:t>
            </w:r>
          </w:p>
        </w:tc>
        <w:tc>
          <w:tcPr>
            <w:tcW w:w="568" w:type="dxa"/>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781" w:type="dxa"/>
          </w:tcPr>
          <w:p>
            <w:pPr>
              <w:adjustRightInd/>
              <w:spacing w:line="2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逾期提供、数量不到、质量不达的，每次均扣1分。发现杂色桶，标识错误每次扣1分。</w:t>
            </w:r>
          </w:p>
        </w:tc>
        <w:tc>
          <w:tcPr>
            <w:tcW w:w="903" w:type="dxa"/>
            <w:vAlign w:val="center"/>
          </w:tcPr>
          <w:p>
            <w:pPr>
              <w:widowControl/>
              <w:textAlignment w:val="center"/>
              <w:rPr>
                <w:rFonts w:hint="eastAsia" w:ascii="宋体" w:hAnsi="宋体" w:eastAsia="宋体" w:cs="宋体"/>
                <w:color w:val="auto"/>
                <w:sz w:val="24"/>
                <w:highlight w:val="none"/>
              </w:rPr>
            </w:pPr>
          </w:p>
        </w:tc>
        <w:tc>
          <w:tcPr>
            <w:tcW w:w="886" w:type="dxa"/>
            <w:vAlign w:val="center"/>
          </w:tcPr>
          <w:p>
            <w:pPr>
              <w:widowControl/>
              <w:textAlignment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vMerge w:val="restart"/>
            <w:vAlign w:val="center"/>
          </w:tcPr>
          <w:p>
            <w:pPr>
              <w:widowControl/>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人员配置（</w:t>
            </w:r>
            <w:r>
              <w:rPr>
                <w:rFonts w:hint="eastAsia" w:ascii="宋体" w:hAnsi="宋体" w:eastAsia="宋体" w:cs="宋体"/>
                <w:color w:val="auto"/>
                <w:sz w:val="24"/>
                <w:highlight w:val="none"/>
              </w:rPr>
              <w:t>35</w:t>
            </w:r>
            <w:r>
              <w:rPr>
                <w:rFonts w:hint="eastAsia" w:ascii="宋体" w:hAnsi="宋体" w:eastAsia="宋体" w:cs="宋体"/>
                <w:color w:val="auto"/>
                <w:sz w:val="24"/>
                <w:highlight w:val="none"/>
                <w:lang w:val="zh-TW"/>
              </w:rPr>
              <w:t>分）</w:t>
            </w: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1、每个</w:t>
            </w:r>
            <w:r>
              <w:rPr>
                <w:rFonts w:hint="eastAsia" w:ascii="宋体" w:hAnsi="宋体" w:cs="宋体"/>
                <w:color w:val="auto"/>
                <w:sz w:val="24"/>
                <w:highlight w:val="none"/>
                <w:lang w:val="en-US" w:eastAsia="zh-CN"/>
              </w:rPr>
              <w:t>小区</w:t>
            </w:r>
            <w:r>
              <w:rPr>
                <w:rFonts w:hint="eastAsia" w:ascii="宋体" w:hAnsi="宋体" w:eastAsia="宋体" w:cs="宋体"/>
                <w:color w:val="auto"/>
                <w:sz w:val="24"/>
                <w:highlight w:val="none"/>
              </w:rPr>
              <w:t>配置一名垃圾分类区</w:t>
            </w:r>
            <w:r>
              <w:rPr>
                <w:rFonts w:hint="eastAsia" w:ascii="宋体" w:hAnsi="宋体" w:cs="宋体"/>
                <w:color w:val="auto"/>
                <w:sz w:val="24"/>
                <w:highlight w:val="none"/>
                <w:lang w:val="en-US" w:eastAsia="zh-CN"/>
              </w:rPr>
              <w:t>清运</w:t>
            </w:r>
            <w:r>
              <w:rPr>
                <w:rFonts w:hint="eastAsia" w:ascii="宋体" w:hAnsi="宋体" w:eastAsia="宋体" w:cs="宋体"/>
                <w:color w:val="auto"/>
                <w:sz w:val="24"/>
                <w:highlight w:val="none"/>
              </w:rPr>
              <w:t>人</w:t>
            </w:r>
            <w:r>
              <w:rPr>
                <w:rFonts w:hint="eastAsia" w:ascii="宋体" w:hAnsi="宋体" w:cs="宋体"/>
                <w:color w:val="auto"/>
                <w:sz w:val="24"/>
                <w:highlight w:val="none"/>
                <w:lang w:val="en-US" w:eastAsia="zh-CN"/>
              </w:rPr>
              <w:t>员</w:t>
            </w:r>
            <w:r>
              <w:rPr>
                <w:rFonts w:hint="eastAsia" w:ascii="宋体" w:hAnsi="宋体" w:eastAsia="宋体" w:cs="宋体"/>
                <w:color w:val="auto"/>
                <w:sz w:val="24"/>
                <w:highlight w:val="none"/>
              </w:rPr>
              <w:t>（不能跨</w:t>
            </w:r>
            <w:r>
              <w:rPr>
                <w:rFonts w:hint="eastAsia" w:ascii="宋体" w:hAnsi="宋体" w:cs="宋体"/>
                <w:color w:val="auto"/>
                <w:sz w:val="24"/>
                <w:highlight w:val="none"/>
                <w:lang w:val="en-US" w:eastAsia="zh-CN"/>
              </w:rPr>
              <w:t>小区</w:t>
            </w:r>
            <w:r>
              <w:rPr>
                <w:rFonts w:hint="eastAsia" w:ascii="宋体" w:hAnsi="宋体" w:eastAsia="宋体" w:cs="宋体"/>
                <w:color w:val="auto"/>
                <w:sz w:val="24"/>
                <w:highlight w:val="none"/>
              </w:rPr>
              <w:t>兼任等）</w:t>
            </w:r>
            <w:r>
              <w:rPr>
                <w:rFonts w:hint="eastAsia" w:ascii="宋体" w:hAnsi="宋体" w:cs="宋体"/>
                <w:color w:val="auto"/>
                <w:sz w:val="24"/>
                <w:highlight w:val="none"/>
                <w:lang w:val="en-US" w:eastAsia="zh-CN"/>
              </w:rPr>
              <w:t>。</w:t>
            </w:r>
          </w:p>
        </w:tc>
        <w:tc>
          <w:tcPr>
            <w:tcW w:w="568" w:type="dxa"/>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少一人</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val="zh-TW"/>
              </w:rPr>
              <w:t>，每人次扣</w:t>
            </w: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zh-TW"/>
              </w:rPr>
              <w:t>分。</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lang w:val="zh-TW"/>
              </w:rPr>
            </w:pP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rPr>
              <w:t>2、</w:t>
            </w:r>
            <w:bookmarkStart w:id="46" w:name="OLE_LINK36"/>
            <w:r>
              <w:rPr>
                <w:rFonts w:hint="eastAsia" w:ascii="宋体" w:hAnsi="宋体" w:eastAsia="宋体" w:cs="宋体"/>
                <w:color w:val="auto"/>
                <w:sz w:val="24"/>
                <w:highlight w:val="none"/>
              </w:rPr>
              <w:t>每个小区每个定时定点投放点配一名分类专员，同时做好生活垃圾的四分类，保持周边干净整洁</w:t>
            </w:r>
            <w:bookmarkEnd w:id="46"/>
          </w:p>
        </w:tc>
        <w:tc>
          <w:tcPr>
            <w:tcW w:w="568" w:type="dxa"/>
            <w:vAlign w:val="center"/>
          </w:tcPr>
          <w:p>
            <w:pPr>
              <w:widowControl/>
              <w:jc w:val="center"/>
              <w:textAlignment w:val="center"/>
              <w:rPr>
                <w:rFonts w:hint="eastAsia" w:ascii="宋体" w:hAnsi="宋体" w:eastAsia="宋体" w:cs="宋体"/>
                <w:color w:val="auto"/>
                <w:sz w:val="24"/>
                <w:highlight w:val="none"/>
                <w:lang w:val="zh-TW"/>
              </w:rPr>
            </w:pPr>
            <w:r>
              <w:rPr>
                <w:rFonts w:hint="eastAsia" w:ascii="宋体" w:hAnsi="宋体" w:cs="宋体"/>
                <w:color w:val="auto"/>
                <w:sz w:val="24"/>
                <w:highlight w:val="none"/>
                <w:lang w:val="en-US" w:eastAsia="zh-CN"/>
              </w:rPr>
              <w:t>5</w:t>
            </w: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TW"/>
              </w:rPr>
              <w:t>少一人次，每人次扣</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TW"/>
              </w:rPr>
              <w:t>分；周边环境不洁的，每次扣</w:t>
            </w:r>
            <w:r>
              <w:rPr>
                <w:rFonts w:hint="eastAsia" w:ascii="宋体" w:hAnsi="宋体" w:eastAsia="宋体" w:cs="宋体"/>
                <w:color w:val="auto"/>
                <w:sz w:val="24"/>
                <w:highlight w:val="none"/>
              </w:rPr>
              <w:t>2分。</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lang w:val="zh-TW"/>
              </w:rPr>
            </w:pP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bookmarkStart w:id="47" w:name="OLE_LINK37"/>
            <w:r>
              <w:rPr>
                <w:rFonts w:hint="eastAsia" w:ascii="宋体" w:hAnsi="宋体" w:eastAsia="宋体" w:cs="宋体"/>
                <w:color w:val="auto"/>
                <w:sz w:val="24"/>
                <w:highlight w:val="none"/>
              </w:rPr>
              <w:t>每个再生资源网点需配备1名专人，按萧山区生活垃圾分类办最新标准要求做好值守。</w:t>
            </w:r>
            <w:bookmarkEnd w:id="47"/>
          </w:p>
        </w:tc>
        <w:tc>
          <w:tcPr>
            <w:tcW w:w="568" w:type="dxa"/>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少一人</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val="zh-TW"/>
              </w:rPr>
              <w:t>，每人次扣</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TW"/>
              </w:rPr>
              <w:t>分。</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lang w:val="zh-TW"/>
              </w:rPr>
            </w:pP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rPr>
              <w:t>4、人员预案：有明确的人员流动预案、节假日人员替代预案、大型活动人员配置预案，并提前报备。</w:t>
            </w:r>
          </w:p>
        </w:tc>
        <w:tc>
          <w:tcPr>
            <w:tcW w:w="568" w:type="dxa"/>
            <w:vAlign w:val="center"/>
          </w:tcPr>
          <w:p>
            <w:pPr>
              <w:widowControl/>
              <w:jc w:val="center"/>
              <w:textAlignment w:val="center"/>
              <w:rPr>
                <w:rFonts w:hint="eastAsia" w:ascii="宋体" w:hAnsi="宋体" w:eastAsia="宋体" w:cs="宋体"/>
                <w:color w:val="auto"/>
                <w:sz w:val="24"/>
                <w:highlight w:val="none"/>
                <w:lang w:val="zh-TW"/>
              </w:rPr>
            </w:pPr>
            <w:r>
              <w:rPr>
                <w:rFonts w:hint="eastAsia" w:ascii="宋体" w:hAnsi="宋体" w:cs="宋体"/>
                <w:color w:val="auto"/>
                <w:sz w:val="24"/>
                <w:highlight w:val="none"/>
                <w:lang w:val="en-US" w:eastAsia="zh-CN"/>
              </w:rPr>
              <w:t>5</w:t>
            </w: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预案少1个，扣1分、不及时报送的，每次扣1分。</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lang w:val="zh-TW"/>
              </w:rPr>
            </w:pP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TW"/>
              </w:rPr>
              <w:t>5、</w:t>
            </w:r>
            <w:r>
              <w:rPr>
                <w:rFonts w:hint="eastAsia" w:ascii="宋体" w:hAnsi="宋体" w:cs="宋体"/>
                <w:color w:val="auto"/>
                <w:sz w:val="24"/>
                <w:highlight w:val="none"/>
                <w:lang w:val="en-US" w:eastAsia="zh-CN"/>
              </w:rPr>
              <w:t>每五个左右小区配一名项目主管。</w:t>
            </w:r>
          </w:p>
        </w:tc>
        <w:tc>
          <w:tcPr>
            <w:tcW w:w="568" w:type="dxa"/>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TW"/>
              </w:rPr>
              <w:t>未及时到岗到位的，扣</w:t>
            </w:r>
            <w:r>
              <w:rPr>
                <w:rFonts w:hint="eastAsia" w:ascii="宋体" w:hAnsi="宋体" w:eastAsia="宋体" w:cs="宋体"/>
                <w:color w:val="auto"/>
                <w:sz w:val="24"/>
                <w:highlight w:val="none"/>
              </w:rPr>
              <w:t>5分；工作不到位的，扣</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lang w:val="zh-TW"/>
              </w:rPr>
            </w:pP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6、小区内</w:t>
            </w:r>
            <w:r>
              <w:rPr>
                <w:rFonts w:hint="eastAsia" w:ascii="宋体" w:hAnsi="宋体" w:eastAsia="宋体" w:cs="宋体"/>
                <w:color w:val="auto"/>
                <w:sz w:val="24"/>
                <w:szCs w:val="24"/>
                <w:highlight w:val="none"/>
              </w:rPr>
              <w:t>每天安排巡检人员，对垃圾包等问题进行检查督查。</w:t>
            </w:r>
          </w:p>
        </w:tc>
        <w:tc>
          <w:tcPr>
            <w:tcW w:w="568" w:type="dxa"/>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TW"/>
              </w:rPr>
              <w:t>未按要求落实的，视情况扣分，最高扣</w:t>
            </w:r>
            <w:r>
              <w:rPr>
                <w:rFonts w:hint="eastAsia" w:ascii="宋体" w:hAnsi="宋体" w:eastAsia="宋体" w:cs="宋体"/>
                <w:color w:val="auto"/>
                <w:sz w:val="24"/>
                <w:highlight w:val="none"/>
              </w:rPr>
              <w:t>5分。</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3" w:type="dxa"/>
            <w:vMerge w:val="restart"/>
            <w:vAlign w:val="center"/>
          </w:tcPr>
          <w:p>
            <w:pPr>
              <w:widowControl/>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培训宣传等活动（</w:t>
            </w: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zh-TW"/>
              </w:rPr>
              <w:t>分）</w:t>
            </w: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rPr>
              <w:t>1、对垃圾分类工作人员开展前期入职培训。</w:t>
            </w:r>
          </w:p>
        </w:tc>
        <w:tc>
          <w:tcPr>
            <w:tcW w:w="568" w:type="dxa"/>
            <w:vAlign w:val="center"/>
          </w:tcPr>
          <w:p>
            <w:pPr>
              <w:widowControl/>
              <w:jc w:val="center"/>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rPr>
              <w:t>2</w:t>
            </w: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不开展的，扣2分。</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lang w:val="zh-TW"/>
              </w:rPr>
            </w:pP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2、</w:t>
            </w:r>
            <w:r>
              <w:rPr>
                <w:rFonts w:hint="eastAsia" w:ascii="宋体" w:hAnsi="宋体" w:eastAsia="宋体" w:cs="宋体"/>
                <w:color w:val="auto"/>
                <w:sz w:val="24"/>
                <w:highlight w:val="none"/>
              </w:rPr>
              <w:t>每月初梳理小区内居民垃圾分类开展情况，理出分类参与次数较少、易腐垃圾日均量较差的、垃圾包乱扔的，每月对其开展登门培训回访1次，并对每户居民入户派发垃圾分类宣传资料。</w:t>
            </w:r>
          </w:p>
        </w:tc>
        <w:tc>
          <w:tcPr>
            <w:tcW w:w="568" w:type="dxa"/>
            <w:vAlign w:val="center"/>
          </w:tcPr>
          <w:p>
            <w:pPr>
              <w:widowControl/>
              <w:jc w:val="center"/>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rPr>
              <w:t>5</w:t>
            </w: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未到位。发现一处扣5分</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lang w:val="zh-TW"/>
              </w:rPr>
            </w:pP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3、</w:t>
            </w:r>
            <w:r>
              <w:rPr>
                <w:rFonts w:hint="eastAsia" w:ascii="宋体" w:hAnsi="宋体" w:eastAsia="宋体" w:cs="宋体"/>
                <w:color w:val="auto"/>
                <w:sz w:val="24"/>
                <w:highlight w:val="none"/>
                <w:lang w:val="zh-TW" w:eastAsia="zh-TW"/>
              </w:rPr>
              <w:t>对服务的</w:t>
            </w:r>
            <w:r>
              <w:rPr>
                <w:rFonts w:hint="eastAsia" w:ascii="宋体" w:hAnsi="宋体" w:eastAsia="宋体" w:cs="宋体"/>
                <w:color w:val="auto"/>
                <w:sz w:val="24"/>
                <w:highlight w:val="none"/>
                <w:lang w:val="zh-TW"/>
              </w:rPr>
              <w:t>小区</w:t>
            </w:r>
            <w:r>
              <w:rPr>
                <w:rFonts w:hint="eastAsia" w:ascii="宋体" w:hAnsi="宋体" w:eastAsia="宋体" w:cs="宋体"/>
                <w:color w:val="auto"/>
                <w:sz w:val="24"/>
                <w:highlight w:val="none"/>
                <w:lang w:val="zh-TW" w:eastAsia="zh-TW"/>
              </w:rPr>
              <w:t>、物业</w:t>
            </w:r>
            <w:r>
              <w:rPr>
                <w:rFonts w:hint="eastAsia" w:ascii="宋体" w:hAnsi="宋体" w:eastAsia="宋体" w:cs="宋体"/>
                <w:color w:val="auto"/>
                <w:sz w:val="24"/>
                <w:highlight w:val="none"/>
                <w:lang w:val="zh-TW"/>
              </w:rPr>
              <w:t>开展垃圾分类</w:t>
            </w:r>
            <w:r>
              <w:rPr>
                <w:rFonts w:hint="eastAsia" w:ascii="宋体" w:hAnsi="宋体" w:eastAsia="宋体" w:cs="宋体"/>
                <w:color w:val="auto"/>
                <w:sz w:val="24"/>
                <w:highlight w:val="none"/>
                <w:lang w:val="zh-TW" w:eastAsia="zh-TW"/>
              </w:rPr>
              <w:t>管理单位培训不少于</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TW" w:eastAsia="zh-TW"/>
              </w:rPr>
              <w:t>次。</w:t>
            </w:r>
            <w:r>
              <w:rPr>
                <w:rFonts w:hint="eastAsia" w:ascii="宋体" w:hAnsi="宋体" w:eastAsia="宋体" w:cs="宋体"/>
                <w:color w:val="auto"/>
                <w:sz w:val="24"/>
                <w:highlight w:val="none"/>
                <w:lang w:val="zh-TW"/>
              </w:rPr>
              <w:t>（</w:t>
            </w:r>
            <w:r>
              <w:rPr>
                <w:rFonts w:hint="eastAsia" w:ascii="宋体" w:hAnsi="宋体" w:eastAsia="宋体" w:cs="宋体"/>
                <w:color w:val="auto"/>
                <w:sz w:val="24"/>
                <w:highlight w:val="none"/>
              </w:rPr>
              <w:t>每季度</w:t>
            </w:r>
            <w:r>
              <w:rPr>
                <w:rFonts w:hint="eastAsia" w:ascii="宋体" w:hAnsi="宋体" w:eastAsia="宋体" w:cs="宋体"/>
                <w:color w:val="auto"/>
                <w:sz w:val="24"/>
                <w:highlight w:val="none"/>
                <w:lang w:val="zh-TW"/>
              </w:rPr>
              <w:t>至少</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TW"/>
              </w:rPr>
              <w:t>次）</w:t>
            </w:r>
          </w:p>
        </w:tc>
        <w:tc>
          <w:tcPr>
            <w:tcW w:w="568" w:type="dxa"/>
            <w:vAlign w:val="center"/>
          </w:tcPr>
          <w:p>
            <w:pPr>
              <w:widowControl/>
              <w:jc w:val="center"/>
              <w:textAlignment w:val="center"/>
              <w:rPr>
                <w:rFonts w:hint="eastAsia" w:ascii="宋体" w:hAnsi="宋体" w:eastAsia="宋体" w:cs="宋体"/>
                <w:color w:val="auto"/>
                <w:sz w:val="24"/>
                <w:highlight w:val="none"/>
                <w:lang w:val="zh-TW"/>
              </w:rPr>
            </w:pPr>
            <w:r>
              <w:rPr>
                <w:rFonts w:hint="eastAsia" w:ascii="宋体" w:hAnsi="宋体" w:cs="宋体"/>
                <w:color w:val="auto"/>
                <w:sz w:val="24"/>
                <w:highlight w:val="none"/>
                <w:lang w:val="en-US" w:eastAsia="zh-CN"/>
              </w:rPr>
              <w:t>2</w:t>
            </w: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少1次，扣1分</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最高扣2分</w:t>
            </w:r>
            <w:r>
              <w:rPr>
                <w:rFonts w:hint="eastAsia" w:ascii="宋体" w:hAnsi="宋体" w:eastAsia="宋体" w:cs="宋体"/>
                <w:color w:val="auto"/>
                <w:sz w:val="24"/>
                <w:highlight w:val="none"/>
                <w:lang w:val="zh-TW"/>
              </w:rPr>
              <w:t>。</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lang w:val="zh-TW"/>
              </w:rPr>
            </w:pP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lang w:eastAsia="zh-TW"/>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TW"/>
              </w:rPr>
              <w:t>、</w:t>
            </w:r>
            <w:r>
              <w:rPr>
                <w:rFonts w:hint="eastAsia" w:ascii="宋体" w:hAnsi="宋体" w:eastAsia="宋体" w:cs="宋体"/>
                <w:color w:val="auto"/>
                <w:sz w:val="24"/>
                <w:highlight w:val="none"/>
                <w:lang w:val="zh-TW" w:eastAsia="zh-TW"/>
              </w:rPr>
              <w:t>小区明显位置设置</w:t>
            </w:r>
            <w:r>
              <w:rPr>
                <w:rFonts w:hint="eastAsia" w:ascii="宋体" w:hAnsi="宋体" w:eastAsia="宋体" w:cs="宋体"/>
                <w:color w:val="auto"/>
                <w:sz w:val="24"/>
                <w:highlight w:val="none"/>
              </w:rPr>
              <w:t>信息公示牌</w:t>
            </w:r>
            <w:r>
              <w:rPr>
                <w:rFonts w:hint="eastAsia" w:ascii="宋体" w:hAnsi="宋体" w:eastAsia="宋体" w:cs="宋体"/>
                <w:color w:val="auto"/>
                <w:sz w:val="24"/>
                <w:highlight w:val="none"/>
                <w:lang w:val="zh-TW" w:eastAsia="zh-TW"/>
              </w:rPr>
              <w:t>牌，</w:t>
            </w:r>
            <w:r>
              <w:rPr>
                <w:rFonts w:hint="eastAsia" w:ascii="宋体" w:hAnsi="宋体" w:eastAsia="宋体" w:cs="宋体"/>
                <w:color w:val="auto"/>
                <w:sz w:val="24"/>
                <w:highlight w:val="none"/>
              </w:rPr>
              <w:t>各点位</w:t>
            </w:r>
            <w:r>
              <w:rPr>
                <w:rFonts w:hint="eastAsia" w:ascii="宋体" w:hAnsi="宋体" w:eastAsia="宋体" w:cs="宋体"/>
                <w:color w:val="auto"/>
                <w:sz w:val="24"/>
                <w:highlight w:val="none"/>
                <w:lang w:val="zh-TW"/>
              </w:rPr>
              <w:t>公示牌</w:t>
            </w:r>
            <w:r>
              <w:rPr>
                <w:rFonts w:hint="eastAsia" w:ascii="宋体" w:hAnsi="宋体" w:eastAsia="宋体" w:cs="宋体"/>
                <w:color w:val="auto"/>
                <w:sz w:val="24"/>
                <w:highlight w:val="none"/>
              </w:rPr>
              <w:t>按要求设置及更新。</w:t>
            </w:r>
          </w:p>
        </w:tc>
        <w:tc>
          <w:tcPr>
            <w:tcW w:w="568" w:type="dxa"/>
            <w:vAlign w:val="center"/>
          </w:tcPr>
          <w:p>
            <w:pPr>
              <w:widowControl/>
              <w:jc w:val="center"/>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rPr>
              <w:t>4</w:t>
            </w: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各信息公示牌缺失扣4分；各信息公示牌未及时更新扣4分；各信息公示牌未按要求设置扣4分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最高扣12分</w:t>
            </w:r>
            <w:r>
              <w:rPr>
                <w:rFonts w:hint="eastAsia" w:ascii="宋体" w:hAnsi="宋体" w:eastAsia="宋体" w:cs="宋体"/>
                <w:color w:val="auto"/>
                <w:sz w:val="24"/>
                <w:highlight w:val="none"/>
              </w:rPr>
              <w:t>。</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lang w:val="zh-TW"/>
              </w:rPr>
            </w:pPr>
          </w:p>
        </w:tc>
        <w:tc>
          <w:tcPr>
            <w:tcW w:w="3758" w:type="dxa"/>
            <w:vAlign w:val="center"/>
          </w:tcPr>
          <w:p>
            <w:pPr>
              <w:adjustRightInd/>
              <w:spacing w:line="4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TW" w:eastAsia="zh-TW"/>
              </w:rPr>
              <w:t>在</w:t>
            </w:r>
            <w:r>
              <w:rPr>
                <w:rFonts w:hint="eastAsia" w:ascii="宋体" w:hAnsi="宋体" w:eastAsia="宋体" w:cs="宋体"/>
                <w:color w:val="auto"/>
                <w:sz w:val="24"/>
                <w:highlight w:val="none"/>
                <w:lang w:val="zh-TW"/>
              </w:rPr>
              <w:t>小区主要宣传地带广泛张贴宣传</w:t>
            </w:r>
            <w:r>
              <w:rPr>
                <w:rFonts w:hint="eastAsia" w:ascii="宋体" w:hAnsi="宋体" w:eastAsia="宋体" w:cs="宋体"/>
                <w:color w:val="auto"/>
                <w:sz w:val="24"/>
                <w:highlight w:val="none"/>
                <w:lang w:val="zh-TW" w:eastAsia="zh-TW"/>
              </w:rPr>
              <w:t>标语，宣传垃圾分类理念，培养垃圾分类行为习惯。</w:t>
            </w:r>
          </w:p>
        </w:tc>
        <w:tc>
          <w:tcPr>
            <w:tcW w:w="568" w:type="dxa"/>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宣传氛围差，不开展的，根据情况扣</w:t>
            </w: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val="zh-TW"/>
              </w:rPr>
              <w:t>分。</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lang w:val="zh-TW"/>
              </w:rPr>
            </w:pP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6、积极推进小区“六全一码”注册活动，小程序安装增加明显</w:t>
            </w:r>
          </w:p>
        </w:tc>
        <w:tc>
          <w:tcPr>
            <w:tcW w:w="568" w:type="dxa"/>
            <w:vAlign w:val="center"/>
          </w:tcPr>
          <w:p>
            <w:pPr>
              <w:widowControl/>
              <w:jc w:val="center"/>
              <w:textAlignment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根据实际情况，酌情扣1-6分。</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lang w:val="zh-TW"/>
              </w:rPr>
            </w:pP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、每个小区每月不少于1场培训、一次大型宣传等活动</w:t>
            </w:r>
          </w:p>
        </w:tc>
        <w:tc>
          <w:tcPr>
            <w:tcW w:w="568" w:type="dxa"/>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根据活动效果，视情况得分，最高得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3" w:type="dxa"/>
            <w:vMerge w:val="restart"/>
            <w:vAlign w:val="center"/>
          </w:tcPr>
          <w:p>
            <w:pPr>
              <w:widowControl/>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分类收集并处置（</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zh-TW"/>
              </w:rPr>
              <w:t>分）</w:t>
            </w: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1、四分类垃圾：每日收集四分类垃圾，日产日清。</w:t>
            </w:r>
          </w:p>
        </w:tc>
        <w:tc>
          <w:tcPr>
            <w:tcW w:w="568" w:type="dxa"/>
            <w:vAlign w:val="center"/>
          </w:tcPr>
          <w:p>
            <w:pPr>
              <w:widowControl/>
              <w:jc w:val="center"/>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rPr>
              <w:t>5</w:t>
            </w: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收运不及时、垃圾质量差的，</w:t>
            </w:r>
            <w:r>
              <w:rPr>
                <w:rFonts w:hint="eastAsia" w:ascii="宋体" w:hAnsi="宋体" w:eastAsia="宋体" w:cs="宋体"/>
                <w:color w:val="auto"/>
                <w:sz w:val="24"/>
                <w:highlight w:val="none"/>
              </w:rPr>
              <w:t>垃圾桶满溢严重的，</w:t>
            </w:r>
            <w:r>
              <w:rPr>
                <w:rFonts w:hint="eastAsia" w:ascii="宋体" w:hAnsi="宋体" w:eastAsia="宋体" w:cs="宋体"/>
                <w:color w:val="auto"/>
                <w:sz w:val="24"/>
                <w:highlight w:val="none"/>
                <w:lang w:val="zh-TW"/>
              </w:rPr>
              <w:t>每次扣1分。</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lang w:val="zh-TW"/>
              </w:rPr>
            </w:pP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2、可回收</w:t>
            </w:r>
            <w:r>
              <w:rPr>
                <w:rFonts w:hint="eastAsia" w:ascii="宋体" w:hAnsi="宋体" w:eastAsia="宋体" w:cs="宋体"/>
                <w:color w:val="auto"/>
                <w:sz w:val="24"/>
                <w:highlight w:val="none"/>
              </w:rPr>
              <w:t>物</w:t>
            </w:r>
            <w:r>
              <w:rPr>
                <w:rFonts w:hint="eastAsia" w:ascii="宋体" w:hAnsi="宋体" w:eastAsia="宋体" w:cs="宋体"/>
                <w:color w:val="auto"/>
                <w:sz w:val="24"/>
                <w:highlight w:val="none"/>
                <w:lang w:val="zh-TW"/>
              </w:rPr>
              <w:t>：对未建成再生资源网点的小区，每周组织不少于一次可回收物集中回收活动，将居民可回收物折算成积分并提供兑换服务</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每个投放点在投放时段开展再资源回收。</w:t>
            </w:r>
          </w:p>
        </w:tc>
        <w:tc>
          <w:tcPr>
            <w:tcW w:w="568" w:type="dxa"/>
            <w:vAlign w:val="center"/>
          </w:tcPr>
          <w:p>
            <w:pPr>
              <w:widowControl/>
              <w:jc w:val="center"/>
              <w:textAlignment w:val="center"/>
              <w:rPr>
                <w:rFonts w:hint="eastAsia" w:ascii="宋体" w:hAnsi="宋体" w:eastAsia="宋体" w:cs="宋体"/>
                <w:color w:val="auto"/>
                <w:sz w:val="24"/>
                <w:highlight w:val="none"/>
                <w:lang w:val="zh-TW"/>
              </w:rPr>
            </w:pPr>
            <w:r>
              <w:rPr>
                <w:rFonts w:hint="eastAsia" w:ascii="宋体" w:hAnsi="宋体" w:cs="宋体"/>
                <w:color w:val="auto"/>
                <w:sz w:val="24"/>
                <w:highlight w:val="none"/>
                <w:lang w:val="en-US" w:eastAsia="zh-CN"/>
              </w:rPr>
              <w:t>6</w:t>
            </w: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发现缺少一次的，每次扣</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TW"/>
              </w:rPr>
              <w:t>分</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投放点未实质性开展再生资源回收的每个每次扣3。</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lang w:val="zh-TW"/>
              </w:rPr>
            </w:pP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3、收集有害垃圾、低价值回收物</w:t>
            </w:r>
            <w:r>
              <w:rPr>
                <w:rFonts w:hint="eastAsia" w:ascii="宋体" w:hAnsi="宋体" w:cs="宋体"/>
                <w:color w:val="auto"/>
                <w:sz w:val="24"/>
                <w:highlight w:val="none"/>
                <w:lang w:val="en-US" w:eastAsia="zh-CN"/>
              </w:rPr>
              <w:t>，并</w:t>
            </w:r>
            <w:r>
              <w:rPr>
                <w:rFonts w:hint="eastAsia" w:ascii="宋体" w:hAnsi="宋体" w:eastAsia="宋体" w:cs="宋体"/>
                <w:color w:val="auto"/>
                <w:sz w:val="24"/>
                <w:highlight w:val="none"/>
                <w:lang w:val="zh-TW"/>
              </w:rPr>
              <w:t>定期规范处置。</w:t>
            </w:r>
          </w:p>
        </w:tc>
        <w:tc>
          <w:tcPr>
            <w:tcW w:w="568" w:type="dxa"/>
            <w:vAlign w:val="center"/>
          </w:tcPr>
          <w:p>
            <w:pPr>
              <w:widowControl/>
              <w:jc w:val="center"/>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rPr>
              <w:t>4</w:t>
            </w: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TW"/>
              </w:rPr>
              <w:t>不及时清运处置，每次扣</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zh-TW"/>
              </w:rPr>
              <w:t>分，不规范处置每次扣</w:t>
            </w:r>
            <w:r>
              <w:rPr>
                <w:rFonts w:hint="eastAsia" w:ascii="宋体" w:hAnsi="宋体" w:eastAsia="宋体" w:cs="宋体"/>
                <w:color w:val="auto"/>
                <w:sz w:val="24"/>
                <w:highlight w:val="none"/>
              </w:rPr>
              <w:t>3分</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lang w:val="zh-TW"/>
              </w:rPr>
            </w:pP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4、做好小区内大件大垃圾的清运工作。第三方服务单位需落实人员和车辆，将服务小区内的大件垃圾运输至</w:t>
            </w:r>
            <w:r>
              <w:rPr>
                <w:rFonts w:hint="eastAsia" w:ascii="宋体" w:hAnsi="宋体" w:cs="宋体"/>
                <w:color w:val="auto"/>
                <w:sz w:val="24"/>
                <w:highlight w:val="none"/>
                <w:lang w:val="en-US" w:eastAsia="zh-CN"/>
              </w:rPr>
              <w:t>正规处置单位</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并按要求上传数据</w:t>
            </w:r>
            <w:r>
              <w:rPr>
                <w:rFonts w:hint="eastAsia" w:ascii="宋体" w:hAnsi="宋体" w:eastAsia="宋体" w:cs="宋体"/>
                <w:color w:val="auto"/>
                <w:sz w:val="24"/>
                <w:highlight w:val="none"/>
              </w:rPr>
              <w:t>。签约小区内大件垃圾不得出现堆积。</w:t>
            </w:r>
          </w:p>
        </w:tc>
        <w:tc>
          <w:tcPr>
            <w:tcW w:w="568" w:type="dxa"/>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大件垃圾</w:t>
            </w:r>
            <w:r>
              <w:rPr>
                <w:rFonts w:hint="eastAsia" w:ascii="宋体" w:hAnsi="宋体" w:cs="宋体"/>
                <w:color w:val="auto"/>
                <w:sz w:val="24"/>
                <w:highlight w:val="none"/>
                <w:lang w:val="en-US" w:eastAsia="zh-CN"/>
              </w:rPr>
              <w:t>混</w:t>
            </w:r>
            <w:r>
              <w:rPr>
                <w:rFonts w:hint="eastAsia" w:ascii="宋体" w:hAnsi="宋体" w:eastAsia="宋体" w:cs="宋体"/>
                <w:color w:val="auto"/>
                <w:sz w:val="24"/>
                <w:highlight w:val="none"/>
                <w:lang w:val="zh-TW"/>
              </w:rPr>
              <w:t>堆</w:t>
            </w:r>
            <w:r>
              <w:rPr>
                <w:rFonts w:hint="eastAsia" w:ascii="宋体" w:hAnsi="宋体" w:cs="宋体"/>
                <w:color w:val="auto"/>
                <w:sz w:val="24"/>
                <w:highlight w:val="none"/>
                <w:lang w:val="en-US" w:eastAsia="zh-CN"/>
              </w:rPr>
              <w:t>严重</w:t>
            </w:r>
            <w:r>
              <w:rPr>
                <w:rFonts w:hint="eastAsia" w:ascii="宋体" w:hAnsi="宋体" w:eastAsia="宋体" w:cs="宋体"/>
                <w:color w:val="auto"/>
                <w:sz w:val="24"/>
                <w:highlight w:val="none"/>
                <w:lang w:val="zh-TW"/>
              </w:rPr>
              <w:t>，扣</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TW"/>
              </w:rPr>
              <w:t>分</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处置不规范的，每次扣5分；清运处置不及时的，每次扣3分。</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13" w:type="dxa"/>
            <w:vMerge w:val="restart"/>
            <w:vAlign w:val="center"/>
          </w:tcPr>
          <w:p>
            <w:pPr>
              <w:widowControl/>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扣分项目</w:t>
            </w:r>
          </w:p>
          <w:p>
            <w:pPr>
              <w:widowControl/>
              <w:textAlignment w:val="center"/>
              <w:rPr>
                <w:rFonts w:hint="eastAsia" w:ascii="宋体" w:hAnsi="宋体" w:eastAsia="宋体" w:cs="宋体"/>
                <w:color w:val="auto"/>
                <w:sz w:val="24"/>
                <w:highlight w:val="none"/>
                <w:lang w:val="zh-TW"/>
              </w:rPr>
            </w:pPr>
          </w:p>
        </w:tc>
        <w:tc>
          <w:tcPr>
            <w:tcW w:w="3758" w:type="dxa"/>
            <w:vAlign w:val="center"/>
          </w:tcPr>
          <w:p>
            <w:pPr>
              <w:widowControl/>
              <w:adjustRightInd/>
              <w:spacing w:line="280" w:lineRule="exact"/>
              <w:textAlignment w:val="center"/>
              <w:rPr>
                <w:rFonts w:hint="eastAsia" w:ascii="宋体" w:hAnsi="宋体" w:cs="宋体"/>
                <w:sz w:val="24"/>
              </w:rPr>
            </w:pPr>
            <w:r>
              <w:rPr>
                <w:rFonts w:hint="eastAsia" w:ascii="宋体" w:hAnsi="宋体" w:eastAsia="宋体" w:cs="宋体"/>
                <w:color w:val="auto"/>
                <w:sz w:val="24"/>
                <w:highlight w:val="none"/>
                <w:lang w:val="zh-TW"/>
              </w:rPr>
              <w:t>1、工作</w:t>
            </w:r>
            <w:r>
              <w:rPr>
                <w:rFonts w:hint="eastAsia" w:ascii="宋体" w:hAnsi="宋体" w:cs="宋体"/>
                <w:color w:val="auto"/>
                <w:sz w:val="24"/>
                <w:highlight w:val="none"/>
                <w:lang w:val="en-US" w:eastAsia="zh-CN"/>
              </w:rPr>
              <w:t>未按要求</w:t>
            </w:r>
            <w:r>
              <w:rPr>
                <w:rFonts w:hint="eastAsia" w:ascii="宋体" w:hAnsi="宋体" w:eastAsia="宋体" w:cs="宋体"/>
                <w:color w:val="auto"/>
                <w:sz w:val="24"/>
                <w:highlight w:val="none"/>
                <w:lang w:val="zh-TW"/>
              </w:rPr>
              <w:t>开展、落实、督查，引起重大工作失误的。</w:t>
            </w:r>
          </w:p>
        </w:tc>
        <w:tc>
          <w:tcPr>
            <w:tcW w:w="568" w:type="dxa"/>
            <w:vAlign w:val="center"/>
          </w:tcPr>
          <w:p>
            <w:pPr>
              <w:widowControl/>
              <w:textAlignment w:val="center"/>
              <w:rPr>
                <w:rFonts w:hint="eastAsia" w:ascii="宋体" w:hAnsi="宋体" w:cs="宋体"/>
                <w:sz w:val="24"/>
              </w:rPr>
            </w:pPr>
          </w:p>
        </w:tc>
        <w:tc>
          <w:tcPr>
            <w:tcW w:w="2781" w:type="dxa"/>
            <w:vAlign w:val="center"/>
          </w:tcPr>
          <w:p>
            <w:pPr>
              <w:widowControl/>
              <w:adjustRightInd/>
              <w:spacing w:line="280" w:lineRule="exact"/>
              <w:textAlignment w:val="center"/>
              <w:rPr>
                <w:rFonts w:hint="eastAsia" w:ascii="宋体" w:hAnsi="宋体" w:eastAsia="宋体" w:cs="宋体"/>
                <w:sz w:val="24"/>
                <w:lang w:eastAsia="zh-CN"/>
              </w:rPr>
            </w:pPr>
            <w:r>
              <w:rPr>
                <w:rFonts w:hint="eastAsia" w:ascii="宋体" w:hAnsi="宋体" w:cs="宋体"/>
                <w:color w:val="auto"/>
                <w:sz w:val="24"/>
                <w:highlight w:val="none"/>
                <w:lang w:val="en-US" w:eastAsia="zh-CN"/>
              </w:rPr>
              <w:t>每次</w:t>
            </w:r>
            <w:r>
              <w:rPr>
                <w:rFonts w:hint="eastAsia" w:ascii="宋体" w:hAnsi="宋体" w:eastAsia="宋体" w:cs="宋体"/>
                <w:color w:val="auto"/>
                <w:sz w:val="24"/>
                <w:highlight w:val="none"/>
                <w:lang w:val="zh-TW"/>
              </w:rPr>
              <w:t>扣5-10分</w:t>
            </w:r>
            <w:r>
              <w:rPr>
                <w:rFonts w:hint="eastAsia" w:ascii="宋体" w:hAnsi="宋体" w:cs="宋体"/>
                <w:color w:val="auto"/>
                <w:sz w:val="24"/>
                <w:highlight w:val="none"/>
                <w:lang w:val="zh-TW" w:eastAsia="zh-CN"/>
              </w:rPr>
              <w:t>。</w:t>
            </w:r>
          </w:p>
        </w:tc>
        <w:tc>
          <w:tcPr>
            <w:tcW w:w="903" w:type="dxa"/>
            <w:vAlign w:val="center"/>
          </w:tcPr>
          <w:p>
            <w:pPr>
              <w:widowControl/>
              <w:textAlignment w:val="center"/>
              <w:rPr>
                <w:rFonts w:hint="eastAsia" w:ascii="宋体" w:hAnsi="宋体" w:cs="宋体"/>
                <w:sz w:val="24"/>
              </w:rPr>
            </w:pPr>
          </w:p>
        </w:tc>
        <w:tc>
          <w:tcPr>
            <w:tcW w:w="886" w:type="dxa"/>
            <w:vAlign w:val="center"/>
          </w:tcPr>
          <w:p>
            <w:pPr>
              <w:widowControl/>
              <w:textAlignment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13" w:type="dxa"/>
            <w:vMerge w:val="continue"/>
            <w:vAlign w:val="center"/>
          </w:tcPr>
          <w:p>
            <w:pPr>
              <w:widowControl/>
              <w:textAlignment w:val="center"/>
              <w:rPr>
                <w:rFonts w:hint="eastAsia" w:ascii="宋体" w:hAnsi="宋体" w:cs="宋体"/>
                <w:sz w:val="24"/>
              </w:rPr>
            </w:pPr>
          </w:p>
        </w:tc>
        <w:tc>
          <w:tcPr>
            <w:tcW w:w="3758" w:type="dxa"/>
            <w:vAlign w:val="center"/>
          </w:tcPr>
          <w:p>
            <w:pPr>
              <w:widowControl/>
              <w:adjustRightInd/>
              <w:spacing w:line="280" w:lineRule="exact"/>
              <w:textAlignment w:val="center"/>
              <w:rPr>
                <w:rFonts w:hint="eastAsia" w:ascii="宋体" w:hAnsi="宋体" w:cs="宋体"/>
                <w:sz w:val="24"/>
              </w:rPr>
            </w:pPr>
            <w:r>
              <w:rPr>
                <w:rFonts w:hint="eastAsia" w:ascii="宋体" w:hAnsi="宋体" w:eastAsia="宋体" w:cs="宋体"/>
                <w:color w:val="auto"/>
                <w:sz w:val="24"/>
                <w:highlight w:val="none"/>
                <w:lang w:val="zh-TW"/>
              </w:rPr>
              <w:t>2、积极开展小区撤桶并点工作。</w:t>
            </w:r>
          </w:p>
        </w:tc>
        <w:tc>
          <w:tcPr>
            <w:tcW w:w="568" w:type="dxa"/>
            <w:vAlign w:val="center"/>
          </w:tcPr>
          <w:p>
            <w:pPr>
              <w:widowControl/>
              <w:textAlignment w:val="center"/>
              <w:rPr>
                <w:rFonts w:hint="eastAsia" w:ascii="宋体" w:hAnsi="宋体" w:cs="宋体"/>
                <w:sz w:val="24"/>
              </w:rPr>
            </w:pPr>
          </w:p>
        </w:tc>
        <w:tc>
          <w:tcPr>
            <w:tcW w:w="2781" w:type="dxa"/>
            <w:vAlign w:val="center"/>
          </w:tcPr>
          <w:p>
            <w:pPr>
              <w:widowControl/>
              <w:adjustRightInd/>
              <w:spacing w:line="280" w:lineRule="exact"/>
              <w:textAlignment w:val="center"/>
              <w:rPr>
                <w:rFonts w:hint="eastAsia" w:ascii="宋体" w:hAnsi="宋体" w:cs="宋体"/>
                <w:sz w:val="24"/>
              </w:rPr>
            </w:pPr>
            <w:r>
              <w:rPr>
                <w:rFonts w:hint="eastAsia" w:ascii="宋体" w:hAnsi="宋体" w:eastAsia="宋体" w:cs="宋体"/>
                <w:color w:val="auto"/>
                <w:sz w:val="24"/>
                <w:highlight w:val="none"/>
                <w:lang w:val="zh-TW"/>
              </w:rPr>
              <w:t>未完成撤桶并点，每</w:t>
            </w:r>
            <w:r>
              <w:rPr>
                <w:rFonts w:hint="eastAsia" w:ascii="宋体" w:hAnsi="宋体" w:cs="宋体"/>
                <w:color w:val="auto"/>
                <w:sz w:val="24"/>
                <w:highlight w:val="none"/>
                <w:lang w:val="en-US" w:eastAsia="zh-CN"/>
              </w:rPr>
              <w:t>处</w:t>
            </w:r>
            <w:r>
              <w:rPr>
                <w:rFonts w:hint="eastAsia" w:ascii="宋体" w:hAnsi="宋体" w:eastAsia="宋体" w:cs="宋体"/>
                <w:color w:val="auto"/>
                <w:sz w:val="24"/>
                <w:highlight w:val="none"/>
                <w:lang w:val="zh-TW"/>
              </w:rPr>
              <w:t>扣</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tc>
        <w:tc>
          <w:tcPr>
            <w:tcW w:w="903" w:type="dxa"/>
            <w:vAlign w:val="center"/>
          </w:tcPr>
          <w:p>
            <w:pPr>
              <w:widowControl/>
              <w:textAlignment w:val="center"/>
              <w:rPr>
                <w:rFonts w:hint="eastAsia" w:ascii="宋体" w:hAnsi="宋体" w:cs="宋体"/>
                <w:sz w:val="24"/>
              </w:rPr>
            </w:pPr>
          </w:p>
        </w:tc>
        <w:tc>
          <w:tcPr>
            <w:tcW w:w="886" w:type="dxa"/>
            <w:vAlign w:val="center"/>
          </w:tcPr>
          <w:p>
            <w:pPr>
              <w:widowControl/>
              <w:textAlignment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13" w:type="dxa"/>
            <w:vMerge w:val="continue"/>
            <w:vAlign w:val="center"/>
          </w:tcPr>
          <w:p>
            <w:pPr>
              <w:widowControl/>
              <w:textAlignment w:val="center"/>
              <w:rPr>
                <w:rFonts w:hint="eastAsia" w:ascii="宋体" w:hAnsi="宋体" w:cs="宋体"/>
                <w:sz w:val="24"/>
              </w:rPr>
            </w:pPr>
          </w:p>
        </w:tc>
        <w:tc>
          <w:tcPr>
            <w:tcW w:w="3758" w:type="dxa"/>
            <w:vAlign w:val="center"/>
          </w:tcPr>
          <w:p>
            <w:pPr>
              <w:widowControl/>
              <w:adjustRightInd/>
              <w:spacing w:line="280" w:lineRule="exact"/>
              <w:textAlignment w:val="center"/>
              <w:rPr>
                <w:rFonts w:hint="eastAsia" w:ascii="宋体" w:hAnsi="宋体" w:cs="宋体"/>
                <w:sz w:val="24"/>
              </w:rPr>
            </w:pPr>
            <w:r>
              <w:rPr>
                <w:rFonts w:hint="eastAsia" w:ascii="宋体" w:hAnsi="宋体" w:eastAsia="宋体" w:cs="宋体"/>
                <w:color w:val="auto"/>
                <w:sz w:val="24"/>
                <w:highlight w:val="none"/>
                <w:lang w:val="zh-TW"/>
              </w:rPr>
              <w:t>3、</w:t>
            </w:r>
            <w:r>
              <w:rPr>
                <w:rFonts w:hint="eastAsia" w:ascii="宋体" w:hAnsi="宋体" w:cs="宋体"/>
                <w:color w:val="auto"/>
                <w:sz w:val="24"/>
                <w:highlight w:val="none"/>
                <w:lang w:val="en-US" w:eastAsia="zh-CN"/>
              </w:rPr>
              <w:t>因</w:t>
            </w:r>
            <w:r>
              <w:rPr>
                <w:rFonts w:hint="eastAsia" w:ascii="宋体" w:hAnsi="宋体" w:eastAsia="宋体" w:cs="宋体"/>
                <w:color w:val="auto"/>
                <w:sz w:val="24"/>
                <w:highlight w:val="none"/>
                <w:lang w:val="zh-TW"/>
              </w:rPr>
              <w:t>第三方垃圾分类工作不到位被</w:t>
            </w:r>
            <w:r>
              <w:rPr>
                <w:rFonts w:hint="eastAsia" w:ascii="宋体" w:hAnsi="宋体" w:cs="宋体"/>
                <w:color w:val="auto"/>
                <w:sz w:val="24"/>
                <w:highlight w:val="none"/>
                <w:lang w:val="en-US" w:eastAsia="zh-CN"/>
              </w:rPr>
              <w:t>区级、市级部门</w:t>
            </w:r>
            <w:r>
              <w:rPr>
                <w:rFonts w:hint="eastAsia" w:ascii="宋体" w:hAnsi="宋体" w:eastAsia="宋体" w:cs="宋体"/>
                <w:color w:val="auto"/>
                <w:sz w:val="24"/>
                <w:highlight w:val="none"/>
                <w:lang w:val="zh-TW"/>
              </w:rPr>
              <w:t>通报的。</w:t>
            </w:r>
          </w:p>
        </w:tc>
        <w:tc>
          <w:tcPr>
            <w:tcW w:w="568" w:type="dxa"/>
            <w:vAlign w:val="center"/>
          </w:tcPr>
          <w:p>
            <w:pPr>
              <w:widowControl/>
              <w:textAlignment w:val="center"/>
              <w:rPr>
                <w:rFonts w:hint="eastAsia" w:ascii="宋体" w:hAnsi="宋体" w:cs="宋体"/>
                <w:sz w:val="24"/>
              </w:rPr>
            </w:pPr>
          </w:p>
        </w:tc>
        <w:tc>
          <w:tcPr>
            <w:tcW w:w="2781" w:type="dxa"/>
            <w:vAlign w:val="center"/>
          </w:tcPr>
          <w:p>
            <w:pPr>
              <w:widowControl/>
              <w:adjustRightInd/>
              <w:spacing w:line="280" w:lineRule="exact"/>
              <w:textAlignment w:val="center"/>
              <w:rPr>
                <w:rFonts w:hint="eastAsia" w:ascii="宋体" w:hAnsi="宋体" w:cs="宋体"/>
                <w:sz w:val="24"/>
              </w:rPr>
            </w:pPr>
            <w:r>
              <w:rPr>
                <w:rFonts w:hint="eastAsia" w:ascii="宋体" w:hAnsi="宋体" w:eastAsia="宋体" w:cs="宋体"/>
                <w:color w:val="auto"/>
                <w:sz w:val="24"/>
                <w:highlight w:val="none"/>
              </w:rPr>
              <w:t>通报一次，扣</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分，逾期不整改，加扣</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分；区级以上黑榜小区的，扣</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分；街道黑榜小区的，扣3分。</w:t>
            </w:r>
          </w:p>
        </w:tc>
        <w:tc>
          <w:tcPr>
            <w:tcW w:w="903" w:type="dxa"/>
            <w:vAlign w:val="center"/>
          </w:tcPr>
          <w:p>
            <w:pPr>
              <w:widowControl/>
              <w:textAlignment w:val="center"/>
              <w:rPr>
                <w:rFonts w:hint="eastAsia" w:ascii="宋体" w:hAnsi="宋体" w:cs="宋体"/>
                <w:sz w:val="24"/>
              </w:rPr>
            </w:pPr>
          </w:p>
        </w:tc>
        <w:tc>
          <w:tcPr>
            <w:tcW w:w="886" w:type="dxa"/>
            <w:vAlign w:val="center"/>
          </w:tcPr>
          <w:p>
            <w:pPr>
              <w:widowControl/>
              <w:textAlignment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13" w:type="dxa"/>
            <w:vMerge w:val="continue"/>
            <w:vAlign w:val="center"/>
          </w:tcPr>
          <w:p>
            <w:pPr>
              <w:widowControl/>
              <w:textAlignment w:val="center"/>
              <w:rPr>
                <w:rFonts w:hint="eastAsia" w:ascii="宋体" w:hAnsi="宋体" w:cs="宋体"/>
                <w:sz w:val="24"/>
              </w:rPr>
            </w:pPr>
          </w:p>
        </w:tc>
        <w:tc>
          <w:tcPr>
            <w:tcW w:w="3758" w:type="dxa"/>
            <w:vAlign w:val="center"/>
          </w:tcPr>
          <w:p>
            <w:pPr>
              <w:widowControl/>
              <w:adjustRightInd/>
              <w:spacing w:line="280" w:lineRule="exact"/>
              <w:textAlignment w:val="center"/>
              <w:rPr>
                <w:rFonts w:hint="eastAsia" w:ascii="宋体" w:hAnsi="宋体" w:cs="宋体"/>
                <w:sz w:val="24"/>
              </w:rPr>
            </w:pPr>
            <w:r>
              <w:rPr>
                <w:rFonts w:hint="eastAsia" w:ascii="宋体" w:hAnsi="宋体" w:eastAsia="宋体" w:cs="宋体"/>
                <w:color w:val="auto"/>
                <w:sz w:val="24"/>
                <w:highlight w:val="none"/>
                <w:lang w:val="zh-TW"/>
              </w:rPr>
              <w:t>4、被萧山区区长公开电话、网络问政、杭州市市长电话等上级平台投诉，经核实有责任的。</w:t>
            </w:r>
          </w:p>
        </w:tc>
        <w:tc>
          <w:tcPr>
            <w:tcW w:w="568" w:type="dxa"/>
            <w:vAlign w:val="center"/>
          </w:tcPr>
          <w:p>
            <w:pPr>
              <w:widowControl/>
              <w:textAlignment w:val="center"/>
              <w:rPr>
                <w:rFonts w:hint="eastAsia" w:ascii="宋体" w:hAnsi="宋体" w:cs="宋体"/>
                <w:sz w:val="24"/>
              </w:rPr>
            </w:pPr>
          </w:p>
        </w:tc>
        <w:tc>
          <w:tcPr>
            <w:tcW w:w="2781" w:type="dxa"/>
            <w:vAlign w:val="center"/>
          </w:tcPr>
          <w:p>
            <w:pPr>
              <w:widowControl/>
              <w:adjustRightInd/>
              <w:spacing w:line="280" w:lineRule="exact"/>
              <w:textAlignment w:val="center"/>
              <w:rPr>
                <w:rFonts w:hint="eastAsia" w:ascii="宋体" w:hAnsi="宋体" w:cs="宋体"/>
                <w:sz w:val="24"/>
              </w:rPr>
            </w:pPr>
            <w:r>
              <w:rPr>
                <w:rFonts w:hint="eastAsia" w:ascii="宋体" w:hAnsi="宋体" w:eastAsia="宋体" w:cs="宋体"/>
                <w:color w:val="auto"/>
                <w:sz w:val="24"/>
                <w:highlight w:val="none"/>
                <w:lang w:val="zh-TW" w:eastAsia="zh-TW"/>
              </w:rPr>
              <w:t>每次扣</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zh-TW" w:eastAsia="zh-TW"/>
              </w:rPr>
              <w:t>分，逾期不整改，加扣</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TW" w:eastAsia="zh-TW"/>
              </w:rPr>
              <w:t>分。</w:t>
            </w:r>
          </w:p>
        </w:tc>
        <w:tc>
          <w:tcPr>
            <w:tcW w:w="903" w:type="dxa"/>
            <w:vAlign w:val="center"/>
          </w:tcPr>
          <w:p>
            <w:pPr>
              <w:widowControl/>
              <w:textAlignment w:val="center"/>
              <w:rPr>
                <w:rFonts w:hint="eastAsia" w:ascii="宋体" w:hAnsi="宋体" w:cs="宋体"/>
                <w:sz w:val="24"/>
              </w:rPr>
            </w:pPr>
          </w:p>
        </w:tc>
        <w:tc>
          <w:tcPr>
            <w:tcW w:w="886" w:type="dxa"/>
            <w:vAlign w:val="center"/>
          </w:tcPr>
          <w:p>
            <w:pPr>
              <w:widowControl/>
              <w:textAlignment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lang w:val="zh-TW"/>
              </w:rPr>
            </w:pP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5、因</w:t>
            </w:r>
            <w:r>
              <w:rPr>
                <w:rFonts w:hint="eastAsia" w:ascii="宋体" w:hAnsi="宋体" w:cs="宋体"/>
                <w:color w:val="auto"/>
                <w:sz w:val="24"/>
                <w:highlight w:val="none"/>
                <w:lang w:val="en-US" w:eastAsia="zh-CN"/>
              </w:rPr>
              <w:t>第三方</w:t>
            </w:r>
            <w:r>
              <w:rPr>
                <w:rFonts w:hint="eastAsia" w:ascii="宋体" w:hAnsi="宋体" w:eastAsia="宋体" w:cs="宋体"/>
                <w:color w:val="auto"/>
                <w:sz w:val="24"/>
                <w:highlight w:val="none"/>
                <w:lang w:val="zh-TW"/>
              </w:rPr>
              <w:t>工作不力被区级、市级或省级媒体曝光的。</w:t>
            </w:r>
          </w:p>
        </w:tc>
        <w:tc>
          <w:tcPr>
            <w:tcW w:w="568" w:type="dxa"/>
            <w:vAlign w:val="center"/>
          </w:tcPr>
          <w:p>
            <w:pPr>
              <w:widowControl/>
              <w:textAlignment w:val="center"/>
              <w:rPr>
                <w:rFonts w:hint="eastAsia" w:ascii="宋体" w:hAnsi="宋体" w:eastAsia="宋体" w:cs="宋体"/>
                <w:color w:val="auto"/>
                <w:sz w:val="24"/>
                <w:highlight w:val="none"/>
                <w:lang w:val="zh-TW"/>
              </w:rPr>
            </w:pP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rPr>
              <w:t>区级媒体每条扣</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分；市级媒体每条扣</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分；省级媒体每条扣</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分。</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lang w:val="zh-TW"/>
              </w:rPr>
            </w:pP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rPr>
              <w:t>6、在服务期间已创出区级及以上生活垃圾分类示范小区被明确摘牌或取消相应荣誉的。</w:t>
            </w:r>
          </w:p>
        </w:tc>
        <w:tc>
          <w:tcPr>
            <w:tcW w:w="568" w:type="dxa"/>
            <w:vAlign w:val="center"/>
          </w:tcPr>
          <w:p>
            <w:pPr>
              <w:widowControl/>
              <w:textAlignment w:val="center"/>
              <w:rPr>
                <w:rFonts w:hint="eastAsia" w:ascii="宋体" w:hAnsi="宋体" w:eastAsia="宋体" w:cs="宋体"/>
                <w:color w:val="auto"/>
                <w:sz w:val="24"/>
                <w:highlight w:val="none"/>
                <w:lang w:val="zh-TW"/>
              </w:rPr>
            </w:pP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rPr>
              <w:t>区级示范扣15分；市级示范扣20分；省级示范扣30分。</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lang w:val="zh-TW"/>
              </w:rPr>
            </w:pP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rPr>
              <w:t>7、在服务期间中，</w:t>
            </w:r>
            <w:r>
              <w:rPr>
                <w:rFonts w:hint="eastAsia" w:ascii="宋体" w:hAnsi="宋体" w:cs="宋体"/>
                <w:color w:val="auto"/>
                <w:sz w:val="24"/>
                <w:highlight w:val="none"/>
                <w:lang w:val="en-US" w:eastAsia="zh-CN"/>
              </w:rPr>
              <w:t>在区级及以上部门</w:t>
            </w:r>
            <w:r>
              <w:rPr>
                <w:rFonts w:hint="eastAsia" w:ascii="宋体" w:hAnsi="宋体" w:eastAsia="宋体" w:cs="宋体"/>
                <w:color w:val="auto"/>
                <w:sz w:val="24"/>
                <w:highlight w:val="none"/>
              </w:rPr>
              <w:t>检查中，分数低于80以下。</w:t>
            </w:r>
          </w:p>
        </w:tc>
        <w:tc>
          <w:tcPr>
            <w:tcW w:w="568" w:type="dxa"/>
            <w:vAlign w:val="center"/>
          </w:tcPr>
          <w:p>
            <w:pPr>
              <w:widowControl/>
              <w:textAlignment w:val="center"/>
              <w:rPr>
                <w:rFonts w:hint="eastAsia" w:ascii="宋体" w:hAnsi="宋体" w:eastAsia="宋体" w:cs="宋体"/>
                <w:color w:val="auto"/>
                <w:sz w:val="24"/>
                <w:highlight w:val="none"/>
                <w:lang w:val="zh-TW"/>
              </w:rPr>
            </w:pP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TW"/>
              </w:rPr>
              <w:t>每次扣</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lang w:val="zh-TW"/>
              </w:rPr>
            </w:pP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cs="宋体"/>
                <w:color w:val="auto"/>
                <w:sz w:val="24"/>
                <w:highlight w:val="none"/>
                <w:lang w:val="en-US" w:eastAsia="zh-CN"/>
              </w:rPr>
              <w:t>8、其他需要扣分的地方，酌情予以扣分。</w:t>
            </w:r>
          </w:p>
        </w:tc>
        <w:tc>
          <w:tcPr>
            <w:tcW w:w="568" w:type="dxa"/>
            <w:vAlign w:val="center"/>
          </w:tcPr>
          <w:p>
            <w:pPr>
              <w:widowControl/>
              <w:textAlignment w:val="center"/>
              <w:rPr>
                <w:rFonts w:hint="eastAsia" w:ascii="宋体" w:hAnsi="宋体" w:eastAsia="宋体" w:cs="宋体"/>
                <w:color w:val="auto"/>
                <w:sz w:val="24"/>
                <w:highlight w:val="none"/>
                <w:lang w:val="zh-TW"/>
              </w:rPr>
            </w:pP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lang w:val="zh-TW" w:eastAsia="zh-TW"/>
              </w:rPr>
            </w:pPr>
          </w:p>
        </w:tc>
        <w:tc>
          <w:tcPr>
            <w:tcW w:w="903" w:type="dxa"/>
            <w:vAlign w:val="center"/>
          </w:tcPr>
          <w:p>
            <w:pPr>
              <w:widowControl/>
              <w:textAlignment w:val="center"/>
              <w:rPr>
                <w:rFonts w:hint="eastAsia" w:ascii="宋体" w:hAnsi="宋体" w:eastAsia="宋体" w:cs="宋体"/>
                <w:color w:val="auto"/>
                <w:sz w:val="24"/>
                <w:highlight w:val="none"/>
                <w:lang w:val="zh-TW" w:eastAsia="zh-TW"/>
              </w:rPr>
            </w:pPr>
          </w:p>
        </w:tc>
        <w:tc>
          <w:tcPr>
            <w:tcW w:w="886" w:type="dxa"/>
            <w:vAlign w:val="center"/>
          </w:tcPr>
          <w:p>
            <w:pPr>
              <w:widowControl/>
              <w:textAlignment w:val="center"/>
              <w:rPr>
                <w:rFonts w:hint="eastAsia" w:ascii="宋体" w:hAnsi="宋体" w:eastAsia="宋体" w:cs="宋体"/>
                <w:color w:val="auto"/>
                <w:sz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3" w:type="dxa"/>
            <w:vMerge w:val="restart"/>
            <w:vAlign w:val="center"/>
          </w:tcPr>
          <w:p>
            <w:pPr>
              <w:widowControl/>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加分项目</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widowControl/>
              <w:textAlignment w:val="center"/>
              <w:rPr>
                <w:rFonts w:hint="eastAsia" w:ascii="宋体" w:hAnsi="宋体" w:eastAsia="宋体" w:cs="宋体"/>
                <w:color w:val="auto"/>
                <w:sz w:val="24"/>
                <w:highlight w:val="none"/>
                <w:lang w:val="zh-TW"/>
              </w:rPr>
            </w:pP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TW"/>
              </w:rPr>
              <w:t>、在服务期间成功新创建区级及以上生活垃圾分类示范小区</w:t>
            </w:r>
          </w:p>
        </w:tc>
        <w:tc>
          <w:tcPr>
            <w:tcW w:w="568" w:type="dxa"/>
            <w:vAlign w:val="center"/>
          </w:tcPr>
          <w:p>
            <w:pPr>
              <w:widowControl/>
              <w:textAlignment w:val="center"/>
              <w:rPr>
                <w:rFonts w:hint="eastAsia" w:ascii="宋体" w:hAnsi="宋体" w:eastAsia="宋体" w:cs="宋体"/>
                <w:color w:val="auto"/>
                <w:sz w:val="24"/>
                <w:highlight w:val="none"/>
                <w:lang w:val="zh-TW"/>
              </w:rPr>
            </w:pP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lang w:val="zh-TW" w:eastAsia="zh-TW"/>
              </w:rPr>
            </w:pPr>
            <w:r>
              <w:rPr>
                <w:rFonts w:hint="eastAsia" w:ascii="宋体" w:hAnsi="宋体" w:eastAsia="宋体" w:cs="宋体"/>
                <w:color w:val="auto"/>
                <w:sz w:val="24"/>
                <w:highlight w:val="none"/>
                <w:lang w:val="zh-TW"/>
              </w:rPr>
              <w:t>区级加</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TW"/>
              </w:rPr>
              <w:t>分；市级加</w:t>
            </w:r>
            <w:r>
              <w:rPr>
                <w:rFonts w:hint="eastAsia" w:ascii="宋体" w:hAnsi="宋体" w:eastAsia="宋体" w:cs="宋体"/>
                <w:color w:val="auto"/>
                <w:sz w:val="24"/>
                <w:highlight w:val="none"/>
              </w:rPr>
              <w:t>7分；省级10分。</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lang w:val="zh-TW"/>
              </w:rPr>
            </w:pPr>
          </w:p>
        </w:tc>
        <w:tc>
          <w:tcPr>
            <w:tcW w:w="3758" w:type="dxa"/>
            <w:vAlign w:val="center"/>
          </w:tcPr>
          <w:p>
            <w:pPr>
              <w:widowControl/>
              <w:adjustRightInd/>
              <w:spacing w:line="280" w:lineRule="exac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TW"/>
              </w:rPr>
              <w:t>、积极推进生活垃圾分类工作，创新工作思路，形成工作亮点特色的，并固化活动的。</w:t>
            </w:r>
          </w:p>
        </w:tc>
        <w:tc>
          <w:tcPr>
            <w:tcW w:w="568" w:type="dxa"/>
            <w:vAlign w:val="center"/>
          </w:tcPr>
          <w:p>
            <w:pPr>
              <w:widowControl/>
              <w:textAlignment w:val="center"/>
              <w:rPr>
                <w:rFonts w:hint="eastAsia" w:ascii="宋体" w:hAnsi="宋体" w:eastAsia="宋体" w:cs="宋体"/>
                <w:color w:val="auto"/>
                <w:sz w:val="24"/>
                <w:highlight w:val="none"/>
                <w:lang w:val="zh-TW"/>
              </w:rPr>
            </w:pPr>
          </w:p>
        </w:tc>
        <w:tc>
          <w:tcPr>
            <w:tcW w:w="2781" w:type="dxa"/>
            <w:vAlign w:val="center"/>
          </w:tcPr>
          <w:p>
            <w:pPr>
              <w:widowControl/>
              <w:adjustRightInd/>
              <w:spacing w:line="280" w:lineRule="exac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TW"/>
              </w:rPr>
              <w:t>被区分类办及以上部门表扬的，每个加5分（同一事件就不累计加分）</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lang w:val="zh-TW"/>
              </w:rPr>
            </w:pPr>
          </w:p>
        </w:tc>
        <w:tc>
          <w:tcPr>
            <w:tcW w:w="3758" w:type="dxa"/>
            <w:vAlign w:val="center"/>
          </w:tcPr>
          <w:p>
            <w:pPr>
              <w:widowControl/>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3、在</w:t>
            </w:r>
            <w:r>
              <w:rPr>
                <w:rFonts w:hint="eastAsia" w:ascii="宋体" w:hAnsi="宋体" w:eastAsia="宋体" w:cs="宋体"/>
                <w:color w:val="auto"/>
                <w:sz w:val="24"/>
                <w:highlight w:val="none"/>
                <w:lang w:val="en-US" w:eastAsia="zh-CN"/>
              </w:rPr>
              <w:t>街道、区及以上分类办检查排名中</w:t>
            </w:r>
            <w:r>
              <w:rPr>
                <w:rFonts w:hint="eastAsia" w:ascii="宋体" w:hAnsi="宋体" w:eastAsia="宋体" w:cs="宋体"/>
                <w:color w:val="auto"/>
                <w:sz w:val="24"/>
                <w:highlight w:val="none"/>
              </w:rPr>
              <w:t>，获得红榜小区的（或其他方式排名）。</w:t>
            </w:r>
          </w:p>
        </w:tc>
        <w:tc>
          <w:tcPr>
            <w:tcW w:w="568" w:type="dxa"/>
            <w:vAlign w:val="center"/>
          </w:tcPr>
          <w:p>
            <w:pPr>
              <w:widowControl/>
              <w:textAlignment w:val="center"/>
              <w:rPr>
                <w:rFonts w:hint="eastAsia" w:ascii="宋体" w:hAnsi="宋体" w:eastAsia="宋体" w:cs="宋体"/>
                <w:color w:val="auto"/>
                <w:sz w:val="24"/>
                <w:highlight w:val="none"/>
                <w:lang w:val="zh-TW"/>
              </w:rPr>
            </w:pPr>
          </w:p>
        </w:tc>
        <w:tc>
          <w:tcPr>
            <w:tcW w:w="2781" w:type="dxa"/>
            <w:vAlign w:val="center"/>
          </w:tcPr>
          <w:p>
            <w:pPr>
              <w:widowControl/>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区级以上</w:t>
            </w:r>
            <w:r>
              <w:rPr>
                <w:rFonts w:hint="eastAsia" w:ascii="宋体" w:hAnsi="宋体" w:eastAsia="宋体" w:cs="宋体"/>
                <w:color w:val="auto"/>
                <w:sz w:val="24"/>
                <w:highlight w:val="none"/>
                <w:lang w:val="zh-TW"/>
              </w:rPr>
              <w:t>红榜的（或同等排名的）加</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街道级的加3分。</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lang w:val="zh-TW"/>
              </w:rPr>
            </w:pPr>
          </w:p>
        </w:tc>
        <w:tc>
          <w:tcPr>
            <w:tcW w:w="3758" w:type="dxa"/>
            <w:vAlign w:val="center"/>
          </w:tcPr>
          <w:p>
            <w:pPr>
              <w:widowControl/>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4、在服务期间中，</w:t>
            </w:r>
            <w:r>
              <w:rPr>
                <w:rFonts w:hint="eastAsia" w:ascii="宋体" w:hAnsi="宋体" w:cs="宋体"/>
                <w:color w:val="auto"/>
                <w:sz w:val="24"/>
                <w:highlight w:val="none"/>
                <w:lang w:val="en-US" w:eastAsia="zh-CN"/>
              </w:rPr>
              <w:t>在</w:t>
            </w:r>
            <w:r>
              <w:rPr>
                <w:rFonts w:hint="eastAsia" w:ascii="宋体" w:hAnsi="宋体" w:eastAsia="宋体" w:cs="宋体"/>
                <w:color w:val="auto"/>
                <w:sz w:val="24"/>
                <w:highlight w:val="none"/>
              </w:rPr>
              <w:t>区</w:t>
            </w:r>
            <w:r>
              <w:rPr>
                <w:rFonts w:hint="eastAsia" w:ascii="宋体" w:hAnsi="宋体" w:cs="宋体"/>
                <w:color w:val="auto"/>
                <w:sz w:val="24"/>
                <w:highlight w:val="none"/>
                <w:lang w:val="en-US" w:eastAsia="zh-CN"/>
              </w:rPr>
              <w:t>级及以上部门</w:t>
            </w:r>
            <w:r>
              <w:rPr>
                <w:rFonts w:hint="eastAsia" w:ascii="宋体" w:hAnsi="宋体" w:eastAsia="宋体" w:cs="宋体"/>
                <w:color w:val="auto"/>
                <w:sz w:val="24"/>
                <w:highlight w:val="none"/>
              </w:rPr>
              <w:t>检查中，分数高于90及以上。</w:t>
            </w:r>
          </w:p>
        </w:tc>
        <w:tc>
          <w:tcPr>
            <w:tcW w:w="568" w:type="dxa"/>
            <w:vAlign w:val="center"/>
          </w:tcPr>
          <w:p>
            <w:pPr>
              <w:widowControl/>
              <w:textAlignment w:val="center"/>
              <w:rPr>
                <w:rFonts w:hint="eastAsia" w:ascii="宋体" w:hAnsi="宋体" w:eastAsia="宋体" w:cs="宋体"/>
                <w:color w:val="auto"/>
                <w:sz w:val="24"/>
                <w:highlight w:val="none"/>
                <w:lang w:val="zh-TW"/>
              </w:rPr>
            </w:pPr>
          </w:p>
        </w:tc>
        <w:tc>
          <w:tcPr>
            <w:tcW w:w="2781" w:type="dxa"/>
            <w:vAlign w:val="center"/>
          </w:tcPr>
          <w:p>
            <w:pPr>
              <w:widowControl/>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每次加</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3" w:type="dxa"/>
            <w:vMerge w:val="continue"/>
            <w:vAlign w:val="center"/>
          </w:tcPr>
          <w:p>
            <w:pPr>
              <w:widowControl/>
              <w:textAlignment w:val="center"/>
              <w:rPr>
                <w:rFonts w:hint="eastAsia" w:ascii="宋体" w:hAnsi="宋体" w:eastAsia="宋体" w:cs="宋体"/>
                <w:color w:val="auto"/>
                <w:sz w:val="24"/>
                <w:highlight w:val="none"/>
                <w:lang w:val="zh-TW"/>
              </w:rPr>
            </w:pPr>
          </w:p>
        </w:tc>
        <w:tc>
          <w:tcPr>
            <w:tcW w:w="3758" w:type="dxa"/>
            <w:vAlign w:val="center"/>
          </w:tcPr>
          <w:p>
            <w:pPr>
              <w:widowControl/>
              <w:textAlignment w:val="center"/>
              <w:rPr>
                <w:rFonts w:hint="eastAsia" w:ascii="宋体" w:hAnsi="宋体" w:eastAsia="宋体" w:cs="宋体"/>
                <w:color w:val="auto"/>
                <w:sz w:val="24"/>
                <w:highlight w:val="none"/>
                <w:lang w:val="zh-TW"/>
              </w:rPr>
            </w:pPr>
            <w:r>
              <w:rPr>
                <w:rFonts w:hint="eastAsia" w:ascii="宋体" w:hAnsi="宋体" w:cs="宋体"/>
                <w:color w:val="auto"/>
                <w:sz w:val="24"/>
                <w:highlight w:val="none"/>
                <w:lang w:val="en-US" w:eastAsia="zh-CN"/>
              </w:rPr>
              <w:t>5、其他需要加分的地方，酌情予以加分。</w:t>
            </w:r>
          </w:p>
        </w:tc>
        <w:tc>
          <w:tcPr>
            <w:tcW w:w="568" w:type="dxa"/>
            <w:vAlign w:val="center"/>
          </w:tcPr>
          <w:p>
            <w:pPr>
              <w:widowControl/>
              <w:textAlignment w:val="center"/>
              <w:rPr>
                <w:rFonts w:hint="eastAsia" w:ascii="宋体" w:hAnsi="宋体" w:eastAsia="宋体" w:cs="宋体"/>
                <w:color w:val="auto"/>
                <w:sz w:val="24"/>
                <w:highlight w:val="none"/>
                <w:lang w:val="zh-TW"/>
              </w:rPr>
            </w:pPr>
          </w:p>
        </w:tc>
        <w:tc>
          <w:tcPr>
            <w:tcW w:w="2781" w:type="dxa"/>
            <w:vAlign w:val="center"/>
          </w:tcPr>
          <w:p>
            <w:pPr>
              <w:widowControl/>
              <w:textAlignment w:val="center"/>
              <w:rPr>
                <w:rFonts w:hint="eastAsia" w:ascii="宋体" w:hAnsi="宋体" w:eastAsia="宋体" w:cs="宋体"/>
                <w:color w:val="auto"/>
                <w:sz w:val="24"/>
                <w:highlight w:val="none"/>
              </w:rPr>
            </w:pP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13" w:type="dxa"/>
            <w:vAlign w:val="center"/>
          </w:tcPr>
          <w:p>
            <w:pPr>
              <w:widowControl/>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总分</w:t>
            </w:r>
          </w:p>
        </w:tc>
        <w:tc>
          <w:tcPr>
            <w:tcW w:w="3758" w:type="dxa"/>
            <w:vAlign w:val="center"/>
          </w:tcPr>
          <w:p>
            <w:pPr>
              <w:widowControl/>
              <w:textAlignment w:val="center"/>
              <w:rPr>
                <w:rFonts w:hint="eastAsia" w:ascii="宋体" w:hAnsi="宋体" w:eastAsia="宋体" w:cs="宋体"/>
                <w:color w:val="auto"/>
                <w:sz w:val="24"/>
                <w:highlight w:val="none"/>
                <w:lang w:val="zh-TW"/>
              </w:rPr>
            </w:pPr>
          </w:p>
        </w:tc>
        <w:tc>
          <w:tcPr>
            <w:tcW w:w="568" w:type="dxa"/>
            <w:vAlign w:val="center"/>
          </w:tcPr>
          <w:p>
            <w:pPr>
              <w:widowControl/>
              <w:textAlignment w:val="center"/>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100</w:t>
            </w:r>
          </w:p>
        </w:tc>
        <w:tc>
          <w:tcPr>
            <w:tcW w:w="2781" w:type="dxa"/>
            <w:vAlign w:val="center"/>
          </w:tcPr>
          <w:p>
            <w:pPr>
              <w:widowControl/>
              <w:textAlignment w:val="center"/>
              <w:rPr>
                <w:rFonts w:hint="eastAsia" w:ascii="宋体" w:hAnsi="宋体" w:eastAsia="宋体" w:cs="宋体"/>
                <w:color w:val="auto"/>
                <w:sz w:val="24"/>
                <w:highlight w:val="none"/>
                <w:lang w:val="zh-TW"/>
              </w:rPr>
            </w:pPr>
          </w:p>
        </w:tc>
        <w:tc>
          <w:tcPr>
            <w:tcW w:w="903" w:type="dxa"/>
            <w:vAlign w:val="center"/>
          </w:tcPr>
          <w:p>
            <w:pPr>
              <w:widowControl/>
              <w:textAlignment w:val="center"/>
              <w:rPr>
                <w:rFonts w:hint="eastAsia" w:ascii="宋体" w:hAnsi="宋体" w:eastAsia="宋体" w:cs="宋体"/>
                <w:color w:val="auto"/>
                <w:sz w:val="24"/>
                <w:highlight w:val="none"/>
                <w:lang w:val="zh-TW"/>
              </w:rPr>
            </w:pPr>
          </w:p>
        </w:tc>
        <w:tc>
          <w:tcPr>
            <w:tcW w:w="886" w:type="dxa"/>
            <w:vAlign w:val="center"/>
          </w:tcPr>
          <w:p>
            <w:pPr>
              <w:widowControl/>
              <w:textAlignment w:val="center"/>
              <w:rPr>
                <w:rFonts w:hint="eastAsia" w:ascii="宋体" w:hAnsi="宋体" w:eastAsia="宋体" w:cs="宋体"/>
                <w:color w:val="auto"/>
                <w:sz w:val="24"/>
                <w:highlight w:val="none"/>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9709" w:type="dxa"/>
            <w:gridSpan w:val="6"/>
            <w:vAlign w:val="center"/>
          </w:tcPr>
          <w:p>
            <w:pPr>
              <w:widowControl/>
              <w:jc w:val="left"/>
              <w:textAlignment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社区                                    </w:t>
            </w:r>
            <w:r>
              <w:rPr>
                <w:rFonts w:hint="eastAsia" w:ascii="宋体" w:hAnsi="宋体" w:cs="宋体"/>
                <w:bCs/>
                <w:color w:val="auto"/>
                <w:kern w:val="0"/>
                <w:sz w:val="24"/>
                <w:highlight w:val="none"/>
                <w:lang w:val="en-US" w:eastAsia="zh-CN"/>
              </w:rPr>
              <w:t xml:space="preserve">               </w:t>
            </w:r>
            <w:r>
              <w:rPr>
                <w:rFonts w:hint="eastAsia" w:ascii="宋体" w:hAnsi="宋体" w:eastAsia="宋体" w:cs="宋体"/>
                <w:bCs/>
                <w:color w:val="auto"/>
                <w:kern w:val="0"/>
                <w:sz w:val="24"/>
                <w:highlight w:val="none"/>
              </w:rPr>
              <w:t xml:space="preserve"> 街道</w:t>
            </w:r>
          </w:p>
          <w:p>
            <w:pPr>
              <w:widowControl/>
              <w:jc w:val="left"/>
              <w:textAlignment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 (盖章）                                                (盖章）</w:t>
            </w:r>
          </w:p>
          <w:p>
            <w:pPr>
              <w:widowControl/>
              <w:jc w:val="left"/>
              <w:textAlignment w:val="center"/>
              <w:rPr>
                <w:rFonts w:hint="eastAsia" w:ascii="宋体" w:hAnsi="宋体" w:eastAsia="宋体" w:cs="宋体"/>
                <w:bCs/>
                <w:color w:val="auto"/>
                <w:kern w:val="0"/>
                <w:sz w:val="24"/>
                <w:highlight w:val="none"/>
              </w:rPr>
            </w:pPr>
          </w:p>
          <w:p>
            <w:pPr>
              <w:widowControl/>
              <w:textAlignment w:val="center"/>
              <w:rPr>
                <w:rFonts w:hint="eastAsia" w:ascii="宋体" w:hAnsi="宋体" w:eastAsia="宋体" w:cs="宋体"/>
                <w:color w:val="auto"/>
                <w:sz w:val="24"/>
                <w:highlight w:val="none"/>
                <w:lang w:val="zh-TW"/>
              </w:rPr>
            </w:pPr>
            <w:r>
              <w:rPr>
                <w:rFonts w:hint="eastAsia" w:ascii="宋体" w:hAnsi="宋体" w:eastAsia="宋体" w:cs="宋体"/>
                <w:bCs/>
                <w:color w:val="auto"/>
                <w:kern w:val="0"/>
                <w:sz w:val="24"/>
                <w:highlight w:val="none"/>
              </w:rPr>
              <w:t xml:space="preserve">签字：                                                   签字：               </w:t>
            </w:r>
          </w:p>
        </w:tc>
      </w:tr>
    </w:tbl>
    <w:p>
      <w:pPr>
        <w:rPr>
          <w:rFonts w:hint="eastAsia" w:ascii="宋体" w:hAnsi="宋体" w:eastAsia="宋体" w:cs="宋体"/>
          <w:b/>
          <w:color w:val="auto"/>
          <w:sz w:val="24"/>
          <w:szCs w:val="24"/>
          <w:shd w:val="clear" w:color="auto" w:fill="auto"/>
          <w:lang w:val="en-US" w:eastAsia="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r>
        <w:rPr>
          <w:rFonts w:hint="eastAsia" w:ascii="宋体" w:hAnsi="宋体" w:eastAsia="宋体" w:cs="宋体"/>
          <w:b/>
          <w:color w:val="auto"/>
          <w:sz w:val="24"/>
          <w:szCs w:val="24"/>
          <w:shd w:val="clear" w:color="auto" w:fill="auto"/>
          <w:lang w:val="en-US" w:eastAsia="zh-CN"/>
        </w:rPr>
        <w:br w:type="page"/>
      </w:r>
    </w:p>
    <w:p>
      <w:pPr>
        <w:pStyle w:val="80"/>
        <w:jc w:val="left"/>
        <w:rPr>
          <w:rFonts w:hint="default" w:ascii="宋体" w:hAnsi="宋体" w:eastAsia="宋体" w:cs="宋体"/>
          <w:b/>
          <w:color w:val="auto"/>
          <w:sz w:val="24"/>
          <w:szCs w:val="24"/>
          <w:shd w:val="clear" w:color="auto" w:fill="auto"/>
          <w:lang w:val="en-US" w:eastAsia="zh-CN"/>
        </w:rPr>
      </w:pPr>
      <w:r>
        <w:rPr>
          <w:rFonts w:hint="eastAsia" w:ascii="宋体" w:hAnsi="宋体" w:eastAsia="宋体" w:cs="宋体"/>
          <w:b/>
          <w:color w:val="auto"/>
          <w:sz w:val="24"/>
          <w:szCs w:val="24"/>
          <w:shd w:val="clear" w:color="auto" w:fill="auto"/>
          <w:lang w:val="en-US" w:eastAsia="zh-CN"/>
        </w:rPr>
        <w:t>附件2：</w:t>
      </w:r>
    </w:p>
    <w:p>
      <w:pPr>
        <w:pStyle w:val="80"/>
        <w:jc w:val="center"/>
        <w:rPr>
          <w:rFonts w:hint="eastAsia" w:ascii="宋体" w:hAnsi="宋体" w:eastAsia="宋体" w:cs="宋体"/>
          <w:color w:val="auto"/>
          <w:sz w:val="28"/>
          <w:szCs w:val="28"/>
          <w:highlight w:val="none"/>
        </w:rPr>
      </w:pPr>
      <w:r>
        <w:rPr>
          <w:rFonts w:hint="eastAsia" w:ascii="宋体" w:hAnsi="宋体" w:eastAsia="宋体" w:cs="宋体"/>
          <w:b/>
          <w:color w:val="auto"/>
          <w:sz w:val="24"/>
          <w:szCs w:val="24"/>
          <w:shd w:val="clear" w:color="auto" w:fill="auto"/>
          <w:lang w:val="en-US" w:eastAsia="zh-CN"/>
        </w:rPr>
        <w:t>宁围街道经济开发区（建设二路以北）</w:t>
      </w:r>
      <w:bookmarkStart w:id="48" w:name="OLE_LINK9"/>
      <w:r>
        <w:rPr>
          <w:rFonts w:hint="eastAsia" w:ascii="宋体" w:hAnsi="宋体" w:eastAsia="宋体" w:cs="宋体"/>
          <w:b/>
          <w:color w:val="auto"/>
          <w:sz w:val="24"/>
          <w:szCs w:val="24"/>
          <w:shd w:val="clear" w:color="auto" w:fill="auto"/>
          <w:lang w:val="en-US" w:eastAsia="zh-CN"/>
        </w:rPr>
        <w:t>小区垃圾分类需求清单</w:t>
      </w:r>
      <w:bookmarkEnd w:id="48"/>
      <w:r>
        <w:rPr>
          <w:rFonts w:hint="eastAsia" w:ascii="宋体" w:hAnsi="宋体" w:eastAsia="宋体" w:cs="宋体"/>
          <w:b/>
          <w:color w:val="auto"/>
          <w:sz w:val="24"/>
          <w:szCs w:val="24"/>
          <w:shd w:val="clear" w:color="auto" w:fill="auto"/>
          <w:lang w:val="en-US" w:eastAsia="zh-CN"/>
        </w:rPr>
        <w:t>（具体以实际为准）</w:t>
      </w:r>
    </w:p>
    <w:tbl>
      <w:tblPr>
        <w:tblStyle w:val="63"/>
        <w:tblW w:w="97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6"/>
        <w:gridCol w:w="903"/>
        <w:gridCol w:w="2351"/>
        <w:gridCol w:w="1145"/>
        <w:gridCol w:w="1193"/>
        <w:gridCol w:w="3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类别</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3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人员费用</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项目经理</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人</w:t>
            </w:r>
          </w:p>
        </w:tc>
        <w:tc>
          <w:tcPr>
            <w:tcW w:w="335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项目主管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人</w:t>
            </w:r>
          </w:p>
        </w:tc>
        <w:tc>
          <w:tcPr>
            <w:tcW w:w="33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5个左右小区一名对接人员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清运人员（巡检人员）</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人</w:t>
            </w:r>
          </w:p>
        </w:tc>
        <w:tc>
          <w:tcPr>
            <w:tcW w:w="335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督导员</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人</w:t>
            </w:r>
          </w:p>
        </w:tc>
        <w:tc>
          <w:tcPr>
            <w:tcW w:w="335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临时人员</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人</w:t>
            </w:r>
          </w:p>
        </w:tc>
        <w:tc>
          <w:tcPr>
            <w:tcW w:w="335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运营费用</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宣传制作</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c>
          <w:tcPr>
            <w:tcW w:w="335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劳保用品</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组</w:t>
            </w:r>
          </w:p>
        </w:tc>
        <w:tc>
          <w:tcPr>
            <w:tcW w:w="33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每各点位400元计算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积分兑换</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19848</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335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电费</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c>
          <w:tcPr>
            <w:tcW w:w="335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云平台管理</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19848</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335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宣传考核任务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c>
          <w:tcPr>
            <w:tcW w:w="335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大件垃圾</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lang w:val="en-US" w:eastAsia="zh-CN"/>
              </w:rPr>
            </w:pPr>
            <w:r>
              <w:rPr>
                <w:rFonts w:hint="eastAsia" w:ascii="宋体" w:hAnsi="宋体" w:eastAsia="宋体" w:cs="宋体"/>
                <w:i w:val="0"/>
                <w:iCs w:val="0"/>
                <w:color w:val="FF0000"/>
                <w:sz w:val="22"/>
                <w:szCs w:val="22"/>
                <w:u w:val="none"/>
                <w:lang w:val="en-US" w:eastAsia="zh-CN"/>
              </w:rPr>
              <w:t>个</w:t>
            </w:r>
          </w:p>
        </w:tc>
        <w:tc>
          <w:tcPr>
            <w:tcW w:w="335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7"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垃圾桶（240）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92</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33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61个投放点，每个投放点桶数（1有害+1可回收+3易腐），按30%折旧更新，小计92个桶，合计92。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≥5L入户垃圾桶</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10061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33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5867户未推进，小计5867只，外加已推进13981户的30%更换小计4194只，合计10061只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垃圾袋</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19848</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335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封装电子系统更新或新增等</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335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积分卡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335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摄像头维护</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335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0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发袋机维护</w:t>
            </w:r>
          </w:p>
        </w:tc>
        <w:tc>
          <w:tcPr>
            <w:tcW w:w="11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9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3355" w:type="dxa"/>
            <w:tcBorders>
              <w:top w:val="single" w:color="000000"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jc w:val="center"/>
        </w:trPr>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其他费用</w:t>
            </w:r>
          </w:p>
        </w:tc>
        <w:tc>
          <w:tcPr>
            <w:tcW w:w="23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点位维修等杂费</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c>
          <w:tcPr>
            <w:tcW w:w="3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含集镇智能柜维修保养</w:t>
            </w:r>
          </w:p>
        </w:tc>
      </w:tr>
    </w:tbl>
    <w:p>
      <w:pPr>
        <w:pStyle w:val="80"/>
        <w:rPr>
          <w:rFonts w:hint="default" w:ascii="宋体" w:hAnsi="宋体" w:eastAsia="宋体" w:cs="宋体"/>
          <w:color w:val="auto"/>
          <w:kern w:val="2"/>
          <w:sz w:val="21"/>
          <w:szCs w:val="24"/>
          <w:lang w:val="en-US" w:eastAsia="zh-CN" w:bidi="ar-SA"/>
        </w:rPr>
        <w:sectPr>
          <w:pgSz w:w="11906" w:h="16838"/>
          <w:pgMar w:top="1440" w:right="1080" w:bottom="1440" w:left="1080" w:header="851" w:footer="992" w:gutter="0"/>
          <w:cols w:space="720" w:num="1"/>
          <w:titlePg/>
          <w:docGrid w:linePitch="312" w:charSpace="0"/>
        </w:sectPr>
      </w:pPr>
      <w:r>
        <w:rPr>
          <w:rFonts w:hint="eastAsia" w:ascii="宋体" w:hAnsi="宋体" w:eastAsia="宋体" w:cs="宋体"/>
          <w:color w:val="auto"/>
          <w:kern w:val="2"/>
          <w:sz w:val="21"/>
          <w:szCs w:val="24"/>
          <w:lang w:val="en-US" w:eastAsia="zh-CN" w:bidi="ar-SA"/>
        </w:rPr>
        <w:t>注：具体数量以实际为准，本需求清单仅供报价参考。本次报价应包含以上所有内容，如有数量增减，已包含在投标报价中，后续不作调整，服务实施过程中所有风险由投标人自行承担。</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宋体" w:hAnsi="宋体" w:eastAsia="宋体" w:cs="宋体"/>
          <w:b/>
          <w:color w:val="auto"/>
          <w:sz w:val="24"/>
          <w:szCs w:val="24"/>
          <w:shd w:val="clear" w:color="auto" w:fill="auto"/>
          <w:lang w:val="en-US" w:eastAsia="zh-CN"/>
        </w:rPr>
      </w:pPr>
      <w:bookmarkStart w:id="49" w:name="OLE_LINK1"/>
      <w:r>
        <w:rPr>
          <w:rFonts w:hint="eastAsia" w:ascii="宋体" w:hAnsi="宋体" w:cs="宋体"/>
          <w:b/>
          <w:color w:val="auto"/>
          <w:sz w:val="24"/>
          <w:szCs w:val="24"/>
          <w:shd w:val="clear" w:color="auto" w:fill="auto"/>
          <w:lang w:val="en-US" w:eastAsia="zh-CN"/>
        </w:rPr>
        <w:t>附件3：</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4"/>
          <w:szCs w:val="24"/>
          <w:shd w:val="clear" w:color="auto" w:fill="auto"/>
          <w:lang w:val="en-US" w:eastAsia="zh-CN"/>
        </w:rPr>
      </w:pPr>
      <w:r>
        <w:rPr>
          <w:rFonts w:hint="eastAsia" w:ascii="宋体" w:hAnsi="宋体" w:eastAsia="宋体" w:cs="宋体"/>
          <w:b/>
          <w:color w:val="auto"/>
          <w:sz w:val="24"/>
          <w:szCs w:val="24"/>
          <w:shd w:val="clear" w:color="auto" w:fill="auto"/>
          <w:lang w:val="en-US" w:eastAsia="zh-CN"/>
        </w:rPr>
        <w:t>宁围街道经济开发区（建设二路以北）具体小区清单（具体以实际为准）</w:t>
      </w:r>
      <w:bookmarkEnd w:id="49"/>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lang w:eastAsia="zh-CN"/>
        </w:rPr>
        <w:t>注：具体配置数量及使用情况以实际为准，未配置部分或需要维修更换的，由投标人按要求落实</w:t>
      </w:r>
    </w:p>
    <w:tbl>
      <w:tblPr>
        <w:tblStyle w:val="63"/>
        <w:tblW w:w="15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8"/>
        <w:gridCol w:w="774"/>
        <w:gridCol w:w="1000"/>
        <w:gridCol w:w="726"/>
        <w:gridCol w:w="694"/>
        <w:gridCol w:w="658"/>
        <w:gridCol w:w="487"/>
        <w:gridCol w:w="613"/>
        <w:gridCol w:w="655"/>
        <w:gridCol w:w="603"/>
        <w:gridCol w:w="709"/>
        <w:gridCol w:w="1178"/>
        <w:gridCol w:w="629"/>
        <w:gridCol w:w="726"/>
        <w:gridCol w:w="677"/>
        <w:gridCol w:w="629"/>
        <w:gridCol w:w="597"/>
        <w:gridCol w:w="790"/>
        <w:gridCol w:w="661"/>
        <w:gridCol w:w="581"/>
        <w:gridCol w:w="823"/>
        <w:gridCol w:w="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社区</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小区</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总户数</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当前实际参与户数</w:t>
            </w: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发袋机（兑换机）</w:t>
            </w:r>
          </w:p>
        </w:tc>
        <w:tc>
          <w:tcPr>
            <w:tcW w:w="31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电子秤情况</w:t>
            </w:r>
          </w:p>
        </w:tc>
        <w:tc>
          <w:tcPr>
            <w:tcW w:w="40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投放亭配置情况</w:t>
            </w:r>
          </w:p>
        </w:tc>
        <w:tc>
          <w:tcPr>
            <w:tcW w:w="2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再生网点情况</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当前产权情况</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相关型号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投放点数量</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电子秤配置</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当前产权情况</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相关型号</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亭子数量</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当前产权</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流动三轮车数量</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当前产权</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其他类型</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配置情况</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场地情况</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江潮</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江南名府</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815</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679 ；680；681；682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地下室</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已配</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物业建</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清运车1辆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悦潮府</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.699.696.724</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地下室</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已配</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物业建</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钱江</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新村一区老小区</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681</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683；684；</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已配</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社区建</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清运车1辆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新村一区新小区</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687；688：</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已配</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社区建</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中骏钱塘御景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892</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689；690；691</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集置房1露天1</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已配</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社区用房</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清运车1辆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钱盛商厦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钱农</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钱江新村二区</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已配</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社区用房</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名扬阁</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694</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顺发康庄</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973</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964</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693；695；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已配</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物业地下室</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竞潮</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竞潮江南院</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788</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724</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661:662：663</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地下室</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已配</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物业地下室</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湖悦江南院</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663；723；685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地下室</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荣望轩</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1102</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2（目前秤两台）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718.719</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已配</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物业建</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前湾</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前湾中区</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664:665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地下室投放柜</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已配</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地下室</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前湾北区</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666；716</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地下室投放柜</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云潮府</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736</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667:717</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地上卷闸门房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已配</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物业用房</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江上湾</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730:731.732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地下室投放柜</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已配</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物业建</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开悦</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新越锦宸</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在集置房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已配</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社区场地</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德意中兴</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623</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在集置房（兴达）</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已配</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物业建</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永泰丰</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在集置房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已配</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物业场地</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中誉万豪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在集置房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已配</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小区地下室角落</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兴宁</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绿都百瑞</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1038</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1038</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702；703；704</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外围公寓口</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已配</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物业场地</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一方大厦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在集置房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已配</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社区建</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774"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宁聚</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南岸明珠</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露天零时</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74"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大成名座</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.711.712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清运车1辆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74"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拥潮府</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961</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村口</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村口</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676；677；678</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地下室</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已配</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物业场地</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都市阳光</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708</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在集置房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已配</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物业场地</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宁安大厦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629</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709</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在集置房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已配</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社区场地</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清运车1辆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滨涛映月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1607</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邦凝</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XXZN-36fdj</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邦凝</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051020000605 051020000607</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已配</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物业场地</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沁桂轩</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邦凝</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XXZN-37fdj</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邦凝</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051020000610 051020000611</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45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19848</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13981</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80"/>
        <w:rPr>
          <w:rFonts w:hint="eastAsia"/>
          <w:lang w:eastAsia="zh-CN"/>
        </w:rPr>
        <w:sectPr>
          <w:pgSz w:w="16838" w:h="11906" w:orient="landscape"/>
          <w:pgMar w:top="1418" w:right="1276" w:bottom="1418" w:left="1247" w:header="851" w:footer="992" w:gutter="0"/>
          <w:cols w:space="720" w:num="1"/>
          <w:titlePg/>
          <w:docGrid w:linePitch="312" w:charSpace="0"/>
        </w:sectPr>
      </w:pPr>
    </w:p>
    <w:p>
      <w:pPr>
        <w:keepNext w:val="0"/>
        <w:keepLines w:val="0"/>
        <w:pageBreakBefore w:val="0"/>
        <w:kinsoku/>
        <w:wordWrap/>
        <w:overflowPunct/>
        <w:topLinePunct w:val="0"/>
        <w:bidi w:val="0"/>
        <w:adjustRightInd/>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cs="宋体"/>
          <w:color w:val="auto"/>
          <w:sz w:val="28"/>
          <w:szCs w:val="28"/>
          <w:highlight w:val="none"/>
          <w:lang w:val="en-US" w:eastAsia="zh-CN"/>
        </w:rPr>
        <w:t>附件4：</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4"/>
          <w:highlight w:val="none"/>
        </w:rPr>
        <w:t xml:space="preserve"> </w:t>
      </w:r>
    </w:p>
    <w:p>
      <w:pPr>
        <w:keepNext w:val="0"/>
        <w:keepLines w:val="0"/>
        <w:pageBreakBefore w:val="0"/>
        <w:kinsoku/>
        <w:wordWrap/>
        <w:overflowPunct/>
        <w:topLinePunct w:val="0"/>
        <w:bidi w:val="0"/>
        <w:adjustRightInd/>
        <w:snapToGrid/>
        <w:spacing w:after="0" w:line="360" w:lineRule="auto"/>
        <w:jc w:val="center"/>
        <w:textAlignment w:val="auto"/>
        <w:rPr>
          <w:rFonts w:hint="eastAsia" w:ascii="宋体" w:hAnsi="宋体" w:eastAsia="宋体" w:cs="宋体"/>
          <w:b/>
          <w:bCs/>
          <w:color w:val="auto"/>
          <w:sz w:val="40"/>
          <w:highlight w:val="none"/>
          <w:lang w:eastAsia="zh-CN"/>
        </w:rPr>
      </w:pPr>
      <w:r>
        <w:rPr>
          <w:rFonts w:hint="eastAsia" w:ascii="宋体" w:hAnsi="宋体" w:eastAsia="宋体" w:cs="宋体"/>
          <w:b/>
          <w:bCs/>
          <w:color w:val="auto"/>
          <w:sz w:val="40"/>
          <w:highlight w:val="none"/>
        </w:rPr>
        <w:t>承诺书</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lang w:eastAsia="zh-CN"/>
        </w:rPr>
        <w:t>杭州市萧山区人民政府宁围街道办事处</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4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我单位对以下承诺：</w:t>
      </w:r>
    </w:p>
    <w:p>
      <w:pPr>
        <w:keepNext w:val="0"/>
        <w:keepLines w:val="0"/>
        <w:pageBreakBefore w:val="0"/>
        <w:widowControl w:val="0"/>
        <w:kinsoku/>
        <w:wordWrap/>
        <w:overflowPunct/>
        <w:topLinePunct w:val="0"/>
        <w:autoSpaceDE/>
        <w:autoSpaceDN/>
        <w:bidi w:val="0"/>
        <w:adjustRightInd/>
        <w:snapToGrid/>
        <w:spacing w:after="0" w:line="360" w:lineRule="auto"/>
        <w:ind w:firstLine="44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1.根据采购人需求重新设置购买或与原产权单位协商折价购买，若无法按时重新购置到位或无法按时协商折价购买到位并完成支付的，则自愿解除本项目合同，并且由我单位承担对采购人、社区造成的损失。</w:t>
      </w:r>
    </w:p>
    <w:p>
      <w:pPr>
        <w:keepNext w:val="0"/>
        <w:keepLines w:val="0"/>
        <w:pageBreakBefore w:val="0"/>
        <w:widowControl w:val="0"/>
        <w:kinsoku/>
        <w:wordWrap/>
        <w:overflowPunct/>
        <w:topLinePunct w:val="0"/>
        <w:autoSpaceDE/>
        <w:autoSpaceDN/>
        <w:bidi w:val="0"/>
        <w:adjustRightInd/>
        <w:snapToGrid/>
        <w:spacing w:after="0" w:line="360" w:lineRule="auto"/>
        <w:ind w:firstLine="44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我单位承诺中标后立即安排人员，与原单位无缝交接工作，并在合同签订一个月后完成本项目所需的设施设备、车辆等的资产购买或资产重新配置，以及完成居民数据帐户的建立，同时接入采购人所在地的区级平台，若无法在上述规定期限内完成各项服务内容的，则自愿解除本项目合同，并且由我单位承担对采购人、社区造成的损失。</w:t>
      </w:r>
    </w:p>
    <w:p>
      <w:pPr>
        <w:keepNext w:val="0"/>
        <w:keepLines w:val="0"/>
        <w:pageBreakBefore w:val="0"/>
        <w:widowControl w:val="0"/>
        <w:kinsoku/>
        <w:wordWrap/>
        <w:overflowPunct/>
        <w:topLinePunct w:val="0"/>
        <w:autoSpaceDE/>
        <w:autoSpaceDN/>
        <w:bidi w:val="0"/>
        <w:adjustRightInd/>
        <w:snapToGrid/>
        <w:spacing w:after="0" w:line="360" w:lineRule="auto"/>
        <w:ind w:firstLine="444"/>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3.同时具备履行招标文件的能力。</w:t>
      </w:r>
    </w:p>
    <w:p>
      <w:pPr>
        <w:keepNext w:val="0"/>
        <w:keepLines w:val="0"/>
        <w:pageBreakBefore w:val="0"/>
        <w:kinsoku/>
        <w:wordWrap/>
        <w:overflowPunct/>
        <w:topLinePunct w:val="0"/>
        <w:bidi w:val="0"/>
        <w:adjustRightInd/>
        <w:snapToGrid/>
        <w:spacing w:after="0" w:line="360" w:lineRule="auto"/>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snapToGrid/>
        <w:spacing w:after="0" w:line="360" w:lineRule="auto"/>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snapToGrid/>
        <w:spacing w:after="0"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8"/>
          <w:szCs w:val="28"/>
          <w:highlight w:val="none"/>
        </w:rPr>
        <w:t xml:space="preserve">承诺单位：                                         </w:t>
      </w:r>
    </w:p>
    <w:p>
      <w:pPr>
        <w:keepNext w:val="0"/>
        <w:keepLines w:val="0"/>
        <w:pageBreakBefore w:val="0"/>
        <w:kinsoku/>
        <w:wordWrap/>
        <w:overflowPunct/>
        <w:topLinePunct w:val="0"/>
        <w:bidi w:val="0"/>
        <w:adjustRightInd/>
        <w:snapToGrid/>
        <w:spacing w:after="0" w:line="360" w:lineRule="auto"/>
        <w:ind w:firstLine="4760" w:firstLineChars="17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t>日期：</w:t>
      </w:r>
    </w:p>
    <w:p>
      <w:pPr>
        <w:pStyle w:val="80"/>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rPr>
      </w:pPr>
    </w:p>
    <w:p>
      <w:pPr>
        <w:pStyle w:val="81"/>
        <w:rPr>
          <w:rFonts w:hint="eastAsia" w:ascii="宋体" w:hAnsi="宋体" w:eastAsia="宋体" w:cs="宋体"/>
        </w:rPr>
      </w:pPr>
    </w:p>
    <w:p>
      <w:pPr>
        <w:pStyle w:val="80"/>
        <w:rPr>
          <w:rFonts w:hint="eastAsia" w:ascii="宋体" w:hAnsi="宋体" w:eastAsia="宋体" w:cs="宋体"/>
        </w:rPr>
      </w:pPr>
    </w:p>
    <w:p>
      <w:pPr>
        <w:pStyle w:val="81"/>
        <w:rPr>
          <w:rFonts w:hint="eastAsia" w:ascii="宋体" w:hAnsi="宋体" w:eastAsia="宋体" w:cs="宋体"/>
        </w:rPr>
      </w:pPr>
    </w:p>
    <w:p>
      <w:pPr>
        <w:rPr>
          <w:rFonts w:hint="eastAsia" w:ascii="宋体" w:hAnsi="宋体" w:eastAsia="宋体" w:cs="宋体"/>
        </w:rPr>
      </w:pPr>
    </w:p>
    <w:p>
      <w:pPr>
        <w:pStyle w:val="80"/>
        <w:rPr>
          <w:rFonts w:hint="eastAsia" w:ascii="宋体" w:hAnsi="宋体" w:eastAsia="宋体" w:cs="宋体"/>
        </w:rPr>
      </w:pPr>
    </w:p>
    <w:p>
      <w:pPr>
        <w:pStyle w:val="81"/>
        <w:rPr>
          <w:rFonts w:hint="eastAsia" w:ascii="宋体" w:hAnsi="宋体" w:eastAsia="宋体" w:cs="宋体"/>
        </w:rPr>
      </w:pPr>
    </w:p>
    <w:p>
      <w:pPr>
        <w:pStyle w:val="3"/>
        <w:snapToGrid/>
        <w:spacing w:before="0" w:beforeAutospacing="0" w:line="360" w:lineRule="auto"/>
        <w:ind w:left="239" w:leftChars="114" w:firstLine="420" w:firstLineChars="95"/>
        <w:rPr>
          <w:rFonts w:hint="eastAsia" w:ascii="仿宋" w:hAnsi="仿宋" w:eastAsia="仿宋" w:cs="仿宋"/>
          <w:b w:val="0"/>
          <w:bCs w:val="0"/>
          <w:kern w:val="2"/>
          <w:sz w:val="24"/>
          <w:szCs w:val="24"/>
          <w:lang w:val="en-US" w:eastAsia="zh-CN" w:bidi="ar-SA"/>
        </w:rPr>
      </w:pPr>
      <w:r>
        <w:rPr>
          <w:rFonts w:hint="eastAsia" w:ascii="宋体" w:hAnsi="宋体" w:eastAsia="宋体" w:cs="宋体"/>
        </w:rPr>
        <w:br w:type="page"/>
      </w:r>
    </w:p>
    <w:p>
      <w:pPr>
        <w:snapToGrid w:val="0"/>
        <w:spacing w:line="24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50" w:name="_Toc184310317"/>
      <w:bookmarkEnd w:id="50"/>
      <w:bookmarkStart w:id="51" w:name="_Toc184313290"/>
      <w:bookmarkEnd w:id="51"/>
      <w:bookmarkStart w:id="52" w:name="_Toc184314447"/>
      <w:bookmarkEnd w:id="52"/>
      <w:bookmarkStart w:id="53" w:name="_Toc184310291"/>
      <w:bookmarkEnd w:id="53"/>
      <w:bookmarkStart w:id="54" w:name="_Toc184313297"/>
      <w:bookmarkEnd w:id="54"/>
      <w:bookmarkStart w:id="55" w:name="_Toc184312103"/>
      <w:bookmarkEnd w:id="55"/>
      <w:bookmarkStart w:id="56" w:name="_Toc184312107"/>
      <w:bookmarkEnd w:id="56"/>
      <w:bookmarkStart w:id="57" w:name="_Toc184310318"/>
      <w:bookmarkEnd w:id="57"/>
      <w:bookmarkStart w:id="58" w:name="_Toc184310292"/>
      <w:bookmarkEnd w:id="58"/>
      <w:bookmarkStart w:id="59" w:name="_Toc184312111"/>
      <w:bookmarkEnd w:id="59"/>
      <w:bookmarkStart w:id="60" w:name="_Toc184308067"/>
      <w:bookmarkEnd w:id="60"/>
      <w:bookmarkStart w:id="61" w:name="_Toc184310314"/>
      <w:bookmarkEnd w:id="61"/>
      <w:bookmarkStart w:id="62" w:name="_Toc184314472"/>
      <w:bookmarkEnd w:id="62"/>
      <w:bookmarkStart w:id="63" w:name="_Toc184310277"/>
      <w:bookmarkEnd w:id="63"/>
      <w:bookmarkStart w:id="64" w:name="_Toc184313255"/>
      <w:bookmarkEnd w:id="64"/>
      <w:bookmarkStart w:id="65" w:name="_Toc184314459"/>
      <w:bookmarkEnd w:id="65"/>
      <w:bookmarkStart w:id="66" w:name="_Toc184313310"/>
      <w:bookmarkEnd w:id="66"/>
      <w:bookmarkStart w:id="67" w:name="_Toc184314441"/>
      <w:bookmarkEnd w:id="67"/>
      <w:bookmarkStart w:id="68" w:name="_Toc184313254"/>
      <w:bookmarkEnd w:id="68"/>
      <w:bookmarkStart w:id="69" w:name="_Toc184313283"/>
      <w:bookmarkEnd w:id="69"/>
      <w:bookmarkStart w:id="70" w:name="_Toc184313263"/>
      <w:bookmarkEnd w:id="70"/>
      <w:bookmarkStart w:id="71" w:name="_Toc184312121"/>
      <w:bookmarkEnd w:id="71"/>
      <w:bookmarkStart w:id="72" w:name="_Toc184314453"/>
      <w:bookmarkEnd w:id="72"/>
      <w:bookmarkStart w:id="73" w:name="_Toc184312096"/>
      <w:bookmarkEnd w:id="73"/>
      <w:bookmarkStart w:id="74" w:name="_Toc184313295"/>
      <w:bookmarkEnd w:id="74"/>
      <w:bookmarkStart w:id="75" w:name="_Toc184308050"/>
      <w:bookmarkEnd w:id="75"/>
      <w:bookmarkStart w:id="76" w:name="_Toc184312102"/>
      <w:bookmarkEnd w:id="76"/>
      <w:bookmarkStart w:id="77" w:name="_Toc184314426"/>
      <w:bookmarkEnd w:id="77"/>
      <w:bookmarkStart w:id="78" w:name="_Toc184313243"/>
      <w:bookmarkEnd w:id="78"/>
      <w:bookmarkStart w:id="79" w:name="_Toc184314460"/>
      <w:bookmarkEnd w:id="79"/>
      <w:bookmarkStart w:id="80" w:name="_Toc184313281"/>
      <w:bookmarkEnd w:id="80"/>
      <w:bookmarkStart w:id="81" w:name="_Toc184314410"/>
      <w:bookmarkEnd w:id="81"/>
      <w:bookmarkStart w:id="82" w:name="_Toc184308042"/>
      <w:bookmarkEnd w:id="82"/>
      <w:bookmarkStart w:id="83" w:name="_Toc184308047"/>
      <w:bookmarkEnd w:id="83"/>
      <w:bookmarkStart w:id="84" w:name="_Toc184308055"/>
      <w:bookmarkEnd w:id="84"/>
      <w:bookmarkStart w:id="85" w:name="_Toc184310323"/>
      <w:bookmarkEnd w:id="85"/>
      <w:bookmarkStart w:id="86" w:name="_Toc184314436"/>
      <w:bookmarkEnd w:id="86"/>
      <w:bookmarkStart w:id="87" w:name="_Toc184312128"/>
      <w:bookmarkEnd w:id="87"/>
      <w:bookmarkStart w:id="88" w:name="_Toc184313302"/>
      <w:bookmarkEnd w:id="88"/>
      <w:bookmarkStart w:id="89" w:name="_Toc184314425"/>
      <w:bookmarkEnd w:id="89"/>
      <w:bookmarkStart w:id="90" w:name="_Toc184312067"/>
      <w:bookmarkEnd w:id="90"/>
      <w:bookmarkStart w:id="91" w:name="_Toc184312115"/>
      <w:bookmarkEnd w:id="91"/>
      <w:bookmarkStart w:id="92" w:name="_Toc184312119"/>
      <w:bookmarkEnd w:id="92"/>
      <w:bookmarkStart w:id="93" w:name="_Toc184314414"/>
      <w:bookmarkEnd w:id="93"/>
      <w:bookmarkStart w:id="94" w:name="_Toc184310316"/>
      <w:bookmarkEnd w:id="94"/>
      <w:bookmarkStart w:id="95" w:name="_Toc184314466"/>
      <w:bookmarkEnd w:id="95"/>
      <w:bookmarkStart w:id="96" w:name="_Toc184312084"/>
      <w:bookmarkEnd w:id="96"/>
      <w:bookmarkStart w:id="97" w:name="_Toc184310285"/>
      <w:bookmarkEnd w:id="97"/>
      <w:bookmarkStart w:id="98" w:name="_Toc184308057"/>
      <w:bookmarkEnd w:id="98"/>
      <w:bookmarkStart w:id="99" w:name="_Toc184313262"/>
      <w:bookmarkEnd w:id="99"/>
      <w:bookmarkStart w:id="100" w:name="_Toc184313307"/>
      <w:bookmarkEnd w:id="100"/>
      <w:bookmarkStart w:id="101" w:name="_Toc184314415"/>
      <w:bookmarkEnd w:id="101"/>
      <w:bookmarkStart w:id="102" w:name="_Toc184313256"/>
      <w:bookmarkEnd w:id="102"/>
      <w:bookmarkStart w:id="103" w:name="_Toc184308068"/>
      <w:bookmarkEnd w:id="103"/>
      <w:bookmarkStart w:id="104" w:name="_Toc184312117"/>
      <w:bookmarkEnd w:id="104"/>
      <w:bookmarkStart w:id="105" w:name="_Toc184312070"/>
      <w:bookmarkEnd w:id="105"/>
      <w:bookmarkStart w:id="106" w:name="_Toc184308096"/>
      <w:bookmarkEnd w:id="106"/>
      <w:bookmarkStart w:id="107" w:name="_Toc184312138"/>
      <w:bookmarkEnd w:id="107"/>
      <w:bookmarkStart w:id="108" w:name="_Toc184310333"/>
      <w:bookmarkEnd w:id="108"/>
      <w:bookmarkStart w:id="109" w:name="_Toc184310272"/>
      <w:bookmarkEnd w:id="109"/>
      <w:bookmarkStart w:id="110" w:name="_Toc184313301"/>
      <w:bookmarkEnd w:id="110"/>
      <w:bookmarkStart w:id="111" w:name="_Toc184314469"/>
      <w:bookmarkEnd w:id="111"/>
      <w:bookmarkStart w:id="112" w:name="_Toc184314479"/>
      <w:bookmarkEnd w:id="112"/>
      <w:bookmarkStart w:id="113" w:name="_Toc184312125"/>
      <w:bookmarkEnd w:id="113"/>
      <w:bookmarkStart w:id="114" w:name="_Toc184312131"/>
      <w:bookmarkEnd w:id="114"/>
      <w:bookmarkStart w:id="115" w:name="_Toc184308090"/>
      <w:bookmarkEnd w:id="115"/>
      <w:bookmarkStart w:id="116" w:name="_Toc184308054"/>
      <w:bookmarkEnd w:id="116"/>
      <w:bookmarkStart w:id="117" w:name="_Toc184313288"/>
      <w:bookmarkEnd w:id="117"/>
      <w:bookmarkStart w:id="118" w:name="_Toc184314478"/>
      <w:bookmarkEnd w:id="118"/>
      <w:bookmarkStart w:id="119" w:name="_Toc184308043"/>
      <w:bookmarkEnd w:id="119"/>
      <w:bookmarkStart w:id="120" w:name="_Toc184313282"/>
      <w:bookmarkEnd w:id="120"/>
      <w:bookmarkStart w:id="121" w:name="_Toc184310280"/>
      <w:bookmarkEnd w:id="121"/>
      <w:bookmarkStart w:id="122" w:name="_Toc184314435"/>
      <w:bookmarkEnd w:id="122"/>
      <w:bookmarkStart w:id="123" w:name="_Toc184310286"/>
      <w:bookmarkEnd w:id="123"/>
      <w:bookmarkStart w:id="124" w:name="_Toc184313240"/>
      <w:bookmarkEnd w:id="124"/>
      <w:bookmarkStart w:id="125" w:name="_Toc184313308"/>
      <w:bookmarkEnd w:id="125"/>
      <w:bookmarkStart w:id="126" w:name="_Toc184314465"/>
      <w:bookmarkEnd w:id="126"/>
      <w:bookmarkStart w:id="127" w:name="_Toc184308086"/>
      <w:bookmarkEnd w:id="127"/>
      <w:bookmarkStart w:id="128" w:name="_Toc184313247"/>
      <w:bookmarkEnd w:id="128"/>
      <w:bookmarkStart w:id="129" w:name="_Toc184312089"/>
      <w:bookmarkEnd w:id="129"/>
      <w:bookmarkStart w:id="130" w:name="_Toc184314458"/>
      <w:bookmarkEnd w:id="130"/>
      <w:bookmarkStart w:id="131" w:name="_Toc184313285"/>
      <w:bookmarkEnd w:id="131"/>
      <w:bookmarkStart w:id="132" w:name="_Toc184313292"/>
      <w:bookmarkEnd w:id="132"/>
      <w:bookmarkStart w:id="133" w:name="_Toc184312076"/>
      <w:bookmarkEnd w:id="133"/>
      <w:bookmarkStart w:id="134" w:name="_Toc184310276"/>
      <w:bookmarkEnd w:id="134"/>
      <w:bookmarkStart w:id="135" w:name="_Toc184314463"/>
      <w:bookmarkEnd w:id="135"/>
      <w:bookmarkStart w:id="136" w:name="_Toc184308081"/>
      <w:bookmarkEnd w:id="136"/>
      <w:bookmarkStart w:id="137" w:name="_Toc184310315"/>
      <w:bookmarkEnd w:id="137"/>
      <w:bookmarkStart w:id="138" w:name="_Toc184313303"/>
      <w:bookmarkEnd w:id="138"/>
      <w:bookmarkStart w:id="139" w:name="_Toc184312113"/>
      <w:bookmarkEnd w:id="139"/>
      <w:bookmarkStart w:id="140" w:name="_Toc184314427"/>
      <w:bookmarkEnd w:id="140"/>
      <w:bookmarkStart w:id="141" w:name="_Toc184313286"/>
      <w:bookmarkEnd w:id="141"/>
      <w:bookmarkStart w:id="142" w:name="_Toc184308074"/>
      <w:bookmarkEnd w:id="142"/>
      <w:bookmarkStart w:id="143" w:name="_Toc184314422"/>
      <w:bookmarkEnd w:id="143"/>
      <w:bookmarkStart w:id="144" w:name="_Toc184312077"/>
      <w:bookmarkEnd w:id="144"/>
      <w:bookmarkStart w:id="145" w:name="_Toc184312098"/>
      <w:bookmarkEnd w:id="145"/>
      <w:bookmarkStart w:id="146" w:name="_Toc184310290"/>
      <w:bookmarkEnd w:id="146"/>
      <w:bookmarkStart w:id="147" w:name="_Toc184314450"/>
      <w:bookmarkEnd w:id="147"/>
      <w:bookmarkStart w:id="148" w:name="_Toc184308058"/>
      <w:bookmarkEnd w:id="148"/>
      <w:bookmarkStart w:id="149" w:name="_Toc184314480"/>
      <w:bookmarkEnd w:id="149"/>
      <w:bookmarkStart w:id="150" w:name="_Toc184310334"/>
      <w:bookmarkEnd w:id="150"/>
      <w:bookmarkStart w:id="151" w:name="_Toc184314433"/>
      <w:bookmarkEnd w:id="151"/>
      <w:bookmarkStart w:id="152" w:name="_Toc184312114"/>
      <w:bookmarkEnd w:id="152"/>
      <w:bookmarkStart w:id="153" w:name="_Toc184314476"/>
      <w:bookmarkEnd w:id="153"/>
      <w:bookmarkStart w:id="154" w:name="_Toc184314470"/>
      <w:bookmarkEnd w:id="154"/>
      <w:bookmarkStart w:id="155" w:name="_Toc184308053"/>
      <w:bookmarkEnd w:id="155"/>
      <w:bookmarkStart w:id="156" w:name="_Toc184313265"/>
      <w:bookmarkEnd w:id="156"/>
      <w:bookmarkStart w:id="157" w:name="_Toc184310313"/>
      <w:bookmarkEnd w:id="157"/>
      <w:bookmarkStart w:id="158" w:name="_Toc184308040"/>
      <w:bookmarkEnd w:id="158"/>
      <w:bookmarkStart w:id="159" w:name="_Toc184313266"/>
      <w:bookmarkEnd w:id="159"/>
      <w:bookmarkStart w:id="160" w:name="_Toc184310279"/>
      <w:bookmarkEnd w:id="160"/>
      <w:bookmarkStart w:id="161" w:name="_Toc184314446"/>
      <w:bookmarkEnd w:id="161"/>
      <w:bookmarkStart w:id="162" w:name="_Toc184308060"/>
      <w:bookmarkEnd w:id="162"/>
      <w:bookmarkStart w:id="163" w:name="_Toc184312133"/>
      <w:bookmarkEnd w:id="163"/>
      <w:bookmarkStart w:id="164" w:name="_Toc184313287"/>
      <w:bookmarkEnd w:id="164"/>
      <w:bookmarkStart w:id="165" w:name="_Toc184312093"/>
      <w:bookmarkEnd w:id="165"/>
      <w:bookmarkStart w:id="166" w:name="_Toc184313242"/>
      <w:bookmarkEnd w:id="166"/>
      <w:bookmarkStart w:id="167" w:name="_Toc184310305"/>
      <w:bookmarkEnd w:id="167"/>
      <w:bookmarkStart w:id="168" w:name="_Toc184308100"/>
      <w:bookmarkEnd w:id="168"/>
      <w:bookmarkStart w:id="169" w:name="_Toc184310287"/>
      <w:bookmarkEnd w:id="169"/>
      <w:bookmarkStart w:id="170" w:name="_Toc184310324"/>
      <w:bookmarkEnd w:id="170"/>
      <w:bookmarkStart w:id="171" w:name="_Toc184312075"/>
      <w:bookmarkEnd w:id="171"/>
      <w:bookmarkStart w:id="172" w:name="_Toc184314452"/>
      <w:bookmarkEnd w:id="172"/>
      <w:bookmarkStart w:id="173" w:name="_Toc184308038"/>
      <w:bookmarkEnd w:id="173"/>
      <w:bookmarkStart w:id="174" w:name="_Toc184310298"/>
      <w:bookmarkEnd w:id="174"/>
      <w:bookmarkStart w:id="175" w:name="_Toc184308071"/>
      <w:bookmarkEnd w:id="175"/>
      <w:bookmarkStart w:id="176" w:name="_Toc184308094"/>
      <w:bookmarkEnd w:id="176"/>
      <w:bookmarkStart w:id="177" w:name="_Toc184313260"/>
      <w:bookmarkEnd w:id="177"/>
      <w:bookmarkStart w:id="178" w:name="_Toc184308077"/>
      <w:bookmarkEnd w:id="178"/>
      <w:bookmarkStart w:id="179" w:name="_Toc184313244"/>
      <w:bookmarkEnd w:id="179"/>
      <w:bookmarkStart w:id="180" w:name="_Toc184308084"/>
      <w:bookmarkEnd w:id="180"/>
      <w:bookmarkStart w:id="181" w:name="_Toc184308108"/>
      <w:bookmarkEnd w:id="181"/>
      <w:bookmarkStart w:id="182" w:name="_Toc184313252"/>
      <w:bookmarkEnd w:id="182"/>
      <w:bookmarkStart w:id="183" w:name="_Toc184308107"/>
      <w:bookmarkEnd w:id="183"/>
      <w:bookmarkStart w:id="184" w:name="_Toc184312132"/>
      <w:bookmarkEnd w:id="184"/>
      <w:bookmarkStart w:id="185" w:name="_Toc184313296"/>
      <w:bookmarkEnd w:id="185"/>
      <w:bookmarkStart w:id="186" w:name="_Toc184310341"/>
      <w:bookmarkEnd w:id="186"/>
      <w:bookmarkStart w:id="187" w:name="_Toc184313238"/>
      <w:bookmarkEnd w:id="187"/>
      <w:bookmarkStart w:id="188" w:name="_Toc184312105"/>
      <w:bookmarkEnd w:id="188"/>
      <w:bookmarkStart w:id="189" w:name="_Toc184312104"/>
      <w:bookmarkEnd w:id="189"/>
      <w:bookmarkStart w:id="190" w:name="_Toc184312100"/>
      <w:bookmarkEnd w:id="190"/>
      <w:bookmarkStart w:id="191" w:name="_Toc184312073"/>
      <w:bookmarkEnd w:id="191"/>
      <w:bookmarkStart w:id="192" w:name="_Toc184308102"/>
      <w:bookmarkEnd w:id="192"/>
      <w:bookmarkStart w:id="193" w:name="_Toc184310325"/>
      <w:bookmarkEnd w:id="193"/>
      <w:bookmarkStart w:id="194" w:name="_Toc184308106"/>
      <w:bookmarkEnd w:id="194"/>
      <w:bookmarkStart w:id="195" w:name="_Toc184314456"/>
      <w:bookmarkEnd w:id="195"/>
      <w:bookmarkStart w:id="196" w:name="_Toc184308079"/>
      <w:bookmarkEnd w:id="196"/>
      <w:bookmarkStart w:id="197" w:name="_Toc184312068"/>
      <w:bookmarkEnd w:id="197"/>
      <w:bookmarkStart w:id="198" w:name="_Toc184314481"/>
      <w:bookmarkEnd w:id="198"/>
      <w:bookmarkStart w:id="199" w:name="_Toc184312127"/>
      <w:bookmarkEnd w:id="199"/>
      <w:bookmarkStart w:id="200" w:name="_Toc184310293"/>
      <w:bookmarkEnd w:id="200"/>
      <w:bookmarkStart w:id="201" w:name="_Toc184314419"/>
      <w:bookmarkEnd w:id="201"/>
      <w:bookmarkStart w:id="202" w:name="_Toc184313304"/>
      <w:bookmarkEnd w:id="202"/>
      <w:bookmarkStart w:id="203" w:name="_Toc184308076"/>
      <w:bookmarkEnd w:id="203"/>
      <w:bookmarkStart w:id="204" w:name="_Toc184312079"/>
      <w:bookmarkEnd w:id="204"/>
      <w:bookmarkStart w:id="205" w:name="_Toc184310342"/>
      <w:bookmarkEnd w:id="205"/>
      <w:bookmarkStart w:id="206" w:name="_Toc184312108"/>
      <w:bookmarkEnd w:id="206"/>
      <w:bookmarkStart w:id="207" w:name="_Toc184312135"/>
      <w:bookmarkEnd w:id="207"/>
      <w:bookmarkStart w:id="208" w:name="_Toc184314474"/>
      <w:bookmarkEnd w:id="208"/>
      <w:bookmarkStart w:id="209" w:name="_Toc184312092"/>
      <w:bookmarkEnd w:id="209"/>
      <w:bookmarkStart w:id="210" w:name="_Toc184310283"/>
      <w:bookmarkEnd w:id="210"/>
      <w:bookmarkStart w:id="211" w:name="_Toc184310343"/>
      <w:bookmarkEnd w:id="211"/>
      <w:bookmarkStart w:id="212" w:name="_Toc184313267"/>
      <w:bookmarkEnd w:id="212"/>
      <w:bookmarkStart w:id="213" w:name="_Toc184310329"/>
      <w:bookmarkEnd w:id="213"/>
      <w:bookmarkStart w:id="214" w:name="_Toc184312129"/>
      <w:bookmarkEnd w:id="214"/>
      <w:bookmarkStart w:id="215" w:name="_Toc184308065"/>
      <w:bookmarkEnd w:id="215"/>
      <w:bookmarkStart w:id="216" w:name="_Toc184314455"/>
      <w:bookmarkEnd w:id="216"/>
      <w:bookmarkStart w:id="217" w:name="_Toc184313253"/>
      <w:bookmarkEnd w:id="217"/>
      <w:bookmarkStart w:id="218" w:name="_Toc184312072"/>
      <w:bookmarkEnd w:id="218"/>
      <w:bookmarkStart w:id="219" w:name="_Toc184312087"/>
      <w:bookmarkEnd w:id="219"/>
      <w:bookmarkStart w:id="220" w:name="_Toc184310289"/>
      <w:bookmarkEnd w:id="220"/>
      <w:bookmarkStart w:id="221" w:name="_Toc184312069"/>
      <w:bookmarkEnd w:id="221"/>
      <w:bookmarkStart w:id="222" w:name="_Toc184308056"/>
      <w:bookmarkEnd w:id="222"/>
      <w:bookmarkStart w:id="223" w:name="_Toc184314464"/>
      <w:bookmarkEnd w:id="223"/>
      <w:bookmarkStart w:id="224" w:name="_Toc184310330"/>
      <w:bookmarkEnd w:id="224"/>
      <w:bookmarkStart w:id="225" w:name="_Toc184314432"/>
      <w:bookmarkEnd w:id="225"/>
      <w:bookmarkStart w:id="226" w:name="_Toc184312109"/>
      <w:bookmarkEnd w:id="226"/>
      <w:bookmarkStart w:id="227" w:name="_Toc184310297"/>
      <w:bookmarkEnd w:id="227"/>
      <w:bookmarkStart w:id="228" w:name="_Toc184314461"/>
      <w:bookmarkEnd w:id="228"/>
      <w:bookmarkStart w:id="229" w:name="_Toc184313251"/>
      <w:bookmarkEnd w:id="229"/>
      <w:bookmarkStart w:id="230" w:name="_Toc184313280"/>
      <w:bookmarkEnd w:id="230"/>
      <w:bookmarkStart w:id="231" w:name="_Toc184314439"/>
      <w:bookmarkEnd w:id="231"/>
      <w:bookmarkStart w:id="232" w:name="_Toc184310304"/>
      <w:bookmarkEnd w:id="232"/>
      <w:bookmarkStart w:id="233" w:name="_Toc184314418"/>
      <w:bookmarkEnd w:id="233"/>
      <w:bookmarkStart w:id="234" w:name="_Toc184308098"/>
      <w:bookmarkEnd w:id="234"/>
      <w:bookmarkStart w:id="235" w:name="_Toc184313241"/>
      <w:bookmarkEnd w:id="235"/>
      <w:bookmarkStart w:id="236" w:name="_Toc184308069"/>
      <w:bookmarkEnd w:id="236"/>
      <w:bookmarkStart w:id="237" w:name="_Toc184310309"/>
      <w:bookmarkEnd w:id="237"/>
      <w:bookmarkStart w:id="238" w:name="_Toc184312086"/>
      <w:bookmarkEnd w:id="238"/>
      <w:bookmarkStart w:id="239" w:name="_Toc184308073"/>
      <w:bookmarkEnd w:id="239"/>
      <w:bookmarkStart w:id="240" w:name="_Toc184312110"/>
      <w:bookmarkEnd w:id="240"/>
      <w:bookmarkStart w:id="241" w:name="_Toc184313264"/>
      <w:bookmarkEnd w:id="241"/>
      <w:bookmarkStart w:id="242" w:name="_Toc184308075"/>
      <w:bookmarkEnd w:id="242"/>
      <w:bookmarkStart w:id="243" w:name="_Toc184314475"/>
      <w:bookmarkEnd w:id="243"/>
      <w:bookmarkStart w:id="244" w:name="_Toc184314449"/>
      <w:bookmarkEnd w:id="244"/>
      <w:bookmarkStart w:id="245" w:name="_Toc184314431"/>
      <w:bookmarkEnd w:id="245"/>
      <w:bookmarkStart w:id="246" w:name="_Toc184313300"/>
      <w:bookmarkEnd w:id="246"/>
      <w:bookmarkStart w:id="247" w:name="_Toc184310335"/>
      <w:bookmarkEnd w:id="247"/>
      <w:bookmarkStart w:id="248" w:name="_Toc184310300"/>
      <w:bookmarkEnd w:id="248"/>
      <w:bookmarkStart w:id="249" w:name="_Toc184310339"/>
      <w:bookmarkEnd w:id="249"/>
      <w:bookmarkStart w:id="250" w:name="_Toc184310320"/>
      <w:bookmarkEnd w:id="250"/>
      <w:bookmarkStart w:id="251" w:name="_Toc184313248"/>
      <w:bookmarkEnd w:id="251"/>
      <w:bookmarkStart w:id="252" w:name="_Toc184314438"/>
      <w:bookmarkEnd w:id="252"/>
      <w:bookmarkStart w:id="253" w:name="_Toc184308104"/>
      <w:bookmarkEnd w:id="253"/>
      <w:bookmarkStart w:id="254" w:name="_Toc184308088"/>
      <w:bookmarkEnd w:id="254"/>
      <w:bookmarkStart w:id="255" w:name="_Toc184312130"/>
      <w:bookmarkEnd w:id="255"/>
      <w:bookmarkStart w:id="256" w:name="_Toc184312083"/>
      <w:bookmarkEnd w:id="256"/>
      <w:bookmarkStart w:id="257" w:name="_Toc184310281"/>
      <w:bookmarkEnd w:id="257"/>
      <w:bookmarkStart w:id="258" w:name="_Toc184308085"/>
      <w:bookmarkEnd w:id="258"/>
      <w:bookmarkStart w:id="259" w:name="_Toc184310295"/>
      <w:bookmarkEnd w:id="259"/>
      <w:bookmarkStart w:id="260" w:name="_Toc184312090"/>
      <w:bookmarkEnd w:id="260"/>
      <w:bookmarkStart w:id="261" w:name="_Toc184310321"/>
      <w:bookmarkEnd w:id="261"/>
      <w:bookmarkStart w:id="262" w:name="_Toc184313278"/>
      <w:bookmarkEnd w:id="262"/>
      <w:bookmarkStart w:id="263" w:name="_Toc184314473"/>
      <w:bookmarkEnd w:id="263"/>
      <w:bookmarkStart w:id="264" w:name="_Toc184314454"/>
      <w:bookmarkEnd w:id="264"/>
      <w:bookmarkStart w:id="265" w:name="_Toc184310328"/>
      <w:bookmarkEnd w:id="265"/>
      <w:bookmarkStart w:id="266" w:name="_Toc184312123"/>
      <w:bookmarkEnd w:id="266"/>
      <w:bookmarkStart w:id="267" w:name="_Toc184314411"/>
      <w:bookmarkEnd w:id="267"/>
      <w:bookmarkStart w:id="268" w:name="_Toc184312139"/>
      <w:bookmarkEnd w:id="268"/>
      <w:bookmarkStart w:id="269" w:name="_Toc184312122"/>
      <w:bookmarkEnd w:id="269"/>
      <w:bookmarkStart w:id="270" w:name="_Toc184312101"/>
      <w:bookmarkEnd w:id="270"/>
      <w:bookmarkStart w:id="271" w:name="_Toc184313271"/>
      <w:bookmarkEnd w:id="271"/>
      <w:bookmarkStart w:id="272" w:name="_Toc184308064"/>
      <w:bookmarkEnd w:id="272"/>
      <w:bookmarkStart w:id="273" w:name="_Toc184310336"/>
      <w:bookmarkEnd w:id="273"/>
      <w:bookmarkStart w:id="274" w:name="_Toc184308048"/>
      <w:bookmarkEnd w:id="274"/>
      <w:bookmarkStart w:id="275" w:name="_Toc184313239"/>
      <w:bookmarkEnd w:id="275"/>
      <w:bookmarkStart w:id="276" w:name="_Toc184313259"/>
      <w:bookmarkEnd w:id="276"/>
      <w:bookmarkStart w:id="277" w:name="_Toc184313306"/>
      <w:bookmarkEnd w:id="277"/>
      <w:bookmarkStart w:id="278" w:name="_Toc184313291"/>
      <w:bookmarkEnd w:id="278"/>
      <w:bookmarkStart w:id="279" w:name="_Toc184314417"/>
      <w:bookmarkEnd w:id="279"/>
      <w:bookmarkStart w:id="280" w:name="_Toc184314462"/>
      <w:bookmarkEnd w:id="280"/>
      <w:bookmarkStart w:id="281" w:name="_Toc184314457"/>
      <w:bookmarkEnd w:id="281"/>
      <w:bookmarkStart w:id="282" w:name="_Toc184312078"/>
      <w:bookmarkEnd w:id="282"/>
      <w:bookmarkStart w:id="283" w:name="_Toc184313289"/>
      <w:bookmarkEnd w:id="283"/>
      <w:bookmarkStart w:id="284" w:name="_Toc184313274"/>
      <w:bookmarkEnd w:id="284"/>
      <w:bookmarkStart w:id="285" w:name="_Toc184313270"/>
      <w:bookmarkEnd w:id="285"/>
      <w:bookmarkStart w:id="286" w:name="_Toc184314421"/>
      <w:bookmarkEnd w:id="286"/>
      <w:bookmarkStart w:id="287" w:name="_Toc184314448"/>
      <w:bookmarkEnd w:id="287"/>
      <w:bookmarkStart w:id="288" w:name="_Toc184310322"/>
      <w:bookmarkEnd w:id="288"/>
      <w:bookmarkStart w:id="289" w:name="_Toc184308063"/>
      <w:bookmarkEnd w:id="289"/>
      <w:bookmarkStart w:id="290" w:name="_Toc184314424"/>
      <w:bookmarkEnd w:id="290"/>
      <w:bookmarkStart w:id="291" w:name="_Toc184312116"/>
      <w:bookmarkEnd w:id="291"/>
      <w:bookmarkStart w:id="292" w:name="_Toc184308083"/>
      <w:bookmarkEnd w:id="292"/>
      <w:bookmarkStart w:id="293" w:name="_Toc184308049"/>
      <w:bookmarkEnd w:id="293"/>
      <w:bookmarkStart w:id="294" w:name="_Toc184310344"/>
      <w:bookmarkEnd w:id="294"/>
      <w:bookmarkStart w:id="295" w:name="_Toc184313245"/>
      <w:bookmarkEnd w:id="295"/>
      <w:bookmarkStart w:id="296" w:name="_Toc184308101"/>
      <w:bookmarkEnd w:id="296"/>
      <w:bookmarkStart w:id="297" w:name="_Toc184310326"/>
      <w:bookmarkEnd w:id="297"/>
      <w:bookmarkStart w:id="298" w:name="_Toc184308046"/>
      <w:bookmarkEnd w:id="298"/>
      <w:bookmarkStart w:id="299" w:name="_Toc184314437"/>
      <w:bookmarkEnd w:id="299"/>
      <w:bookmarkStart w:id="300" w:name="_Toc184308070"/>
      <w:bookmarkEnd w:id="300"/>
      <w:bookmarkStart w:id="301" w:name="_Toc184314442"/>
      <w:bookmarkEnd w:id="301"/>
      <w:bookmarkStart w:id="302" w:name="_Toc184308061"/>
      <w:bookmarkEnd w:id="302"/>
      <w:bookmarkStart w:id="303" w:name="_Toc184312095"/>
      <w:bookmarkEnd w:id="303"/>
      <w:bookmarkStart w:id="304" w:name="_Toc184310327"/>
      <w:bookmarkEnd w:id="304"/>
      <w:bookmarkStart w:id="305" w:name="_Toc184313257"/>
      <w:bookmarkEnd w:id="305"/>
      <w:bookmarkStart w:id="306" w:name="_Toc184312120"/>
      <w:bookmarkEnd w:id="306"/>
      <w:bookmarkStart w:id="307" w:name="_Toc184313279"/>
      <w:bookmarkEnd w:id="307"/>
      <w:bookmarkStart w:id="308" w:name="_Toc184310278"/>
      <w:bookmarkEnd w:id="308"/>
      <w:bookmarkStart w:id="309" w:name="_Toc184310308"/>
      <w:bookmarkEnd w:id="309"/>
      <w:bookmarkStart w:id="310" w:name="_Toc184312126"/>
      <w:bookmarkEnd w:id="310"/>
      <w:bookmarkStart w:id="311" w:name="_Toc184313284"/>
      <w:bookmarkEnd w:id="311"/>
      <w:bookmarkStart w:id="312" w:name="_Toc184314429"/>
      <w:bookmarkEnd w:id="312"/>
      <w:bookmarkStart w:id="313" w:name="_Toc184313261"/>
      <w:bookmarkEnd w:id="313"/>
      <w:bookmarkStart w:id="314" w:name="_Toc184312134"/>
      <w:bookmarkEnd w:id="314"/>
      <w:bookmarkStart w:id="315" w:name="_Toc184310332"/>
      <w:bookmarkEnd w:id="315"/>
      <w:bookmarkStart w:id="316" w:name="_Toc184308041"/>
      <w:bookmarkEnd w:id="316"/>
      <w:bookmarkStart w:id="317" w:name="_Toc184314477"/>
      <w:bookmarkEnd w:id="317"/>
      <w:bookmarkStart w:id="318" w:name="_Toc184314420"/>
      <w:bookmarkEnd w:id="318"/>
      <w:bookmarkStart w:id="319" w:name="_Toc184314467"/>
      <w:bookmarkEnd w:id="319"/>
      <w:bookmarkStart w:id="320" w:name="_Toc184314416"/>
      <w:bookmarkEnd w:id="320"/>
      <w:bookmarkStart w:id="321" w:name="_Toc184310284"/>
      <w:bookmarkEnd w:id="321"/>
      <w:bookmarkStart w:id="322" w:name="_Toc184312081"/>
      <w:bookmarkEnd w:id="322"/>
      <w:bookmarkStart w:id="323" w:name="_Toc184308051"/>
      <w:bookmarkEnd w:id="323"/>
      <w:bookmarkStart w:id="324" w:name="_Toc184308103"/>
      <w:bookmarkEnd w:id="324"/>
      <w:bookmarkStart w:id="325" w:name="_Toc184308087"/>
      <w:bookmarkEnd w:id="325"/>
      <w:bookmarkStart w:id="326" w:name="_Toc184312074"/>
      <w:bookmarkEnd w:id="326"/>
      <w:bookmarkStart w:id="327" w:name="_Toc184310288"/>
      <w:bookmarkEnd w:id="327"/>
      <w:bookmarkStart w:id="328" w:name="_Toc184310302"/>
      <w:bookmarkEnd w:id="328"/>
      <w:bookmarkStart w:id="329" w:name="_Toc184310310"/>
      <w:bookmarkEnd w:id="329"/>
      <w:bookmarkStart w:id="330" w:name="_Toc184310301"/>
      <w:bookmarkEnd w:id="330"/>
      <w:bookmarkStart w:id="331" w:name="_Toc184310303"/>
      <w:bookmarkEnd w:id="331"/>
      <w:bookmarkStart w:id="332" w:name="_Toc184314444"/>
      <w:bookmarkEnd w:id="332"/>
      <w:bookmarkStart w:id="333" w:name="_Toc184313276"/>
      <w:bookmarkEnd w:id="333"/>
      <w:bookmarkStart w:id="334" w:name="_Toc184312094"/>
      <w:bookmarkEnd w:id="334"/>
      <w:bookmarkStart w:id="335" w:name="_Toc184308078"/>
      <w:bookmarkEnd w:id="335"/>
      <w:bookmarkStart w:id="336" w:name="_Toc184314471"/>
      <w:bookmarkEnd w:id="336"/>
      <w:bookmarkStart w:id="337" w:name="_Toc184313250"/>
      <w:bookmarkEnd w:id="337"/>
      <w:bookmarkStart w:id="338" w:name="_Toc184313309"/>
      <w:bookmarkEnd w:id="338"/>
      <w:bookmarkStart w:id="339" w:name="_Toc184314428"/>
      <w:bookmarkEnd w:id="339"/>
      <w:bookmarkStart w:id="340" w:name="_Toc184312085"/>
      <w:bookmarkEnd w:id="340"/>
      <w:bookmarkStart w:id="341" w:name="_Toc184308045"/>
      <w:bookmarkEnd w:id="341"/>
      <w:bookmarkStart w:id="342" w:name="_Toc184308095"/>
      <w:bookmarkEnd w:id="342"/>
      <w:bookmarkStart w:id="343" w:name="_Toc184308080"/>
      <w:bookmarkEnd w:id="343"/>
      <w:bookmarkStart w:id="344" w:name="_Toc184308037"/>
      <w:bookmarkEnd w:id="344"/>
      <w:bookmarkStart w:id="345" w:name="_Toc184313269"/>
      <w:bookmarkEnd w:id="345"/>
      <w:bookmarkStart w:id="346" w:name="_Toc184308082"/>
      <w:bookmarkEnd w:id="346"/>
      <w:bookmarkStart w:id="347" w:name="_Toc184308044"/>
      <w:bookmarkEnd w:id="347"/>
      <w:bookmarkStart w:id="348" w:name="_Toc184312097"/>
      <w:bookmarkEnd w:id="348"/>
      <w:bookmarkStart w:id="349" w:name="_Toc184313246"/>
      <w:bookmarkEnd w:id="349"/>
      <w:bookmarkStart w:id="350" w:name="_Toc184314451"/>
      <w:bookmarkEnd w:id="350"/>
      <w:bookmarkStart w:id="351" w:name="_Toc184310307"/>
      <w:bookmarkEnd w:id="351"/>
      <w:bookmarkStart w:id="352" w:name="_Toc184310337"/>
      <w:bookmarkEnd w:id="352"/>
      <w:bookmarkStart w:id="353" w:name="_Toc184308066"/>
      <w:bookmarkEnd w:id="353"/>
      <w:bookmarkStart w:id="354" w:name="_Toc184313275"/>
      <w:bookmarkEnd w:id="354"/>
      <w:bookmarkStart w:id="355" w:name="_Toc184308105"/>
      <w:bookmarkEnd w:id="355"/>
      <w:bookmarkStart w:id="356" w:name="_Toc184314482"/>
      <w:bookmarkEnd w:id="356"/>
      <w:bookmarkStart w:id="357" w:name="_Toc184312099"/>
      <w:bookmarkEnd w:id="357"/>
      <w:bookmarkStart w:id="358" w:name="_Toc184313298"/>
      <w:bookmarkEnd w:id="358"/>
      <w:bookmarkStart w:id="359" w:name="_Toc184313277"/>
      <w:bookmarkEnd w:id="359"/>
      <w:bookmarkStart w:id="360" w:name="_Toc184313293"/>
      <w:bookmarkEnd w:id="360"/>
      <w:bookmarkStart w:id="361" w:name="_Toc184310273"/>
      <w:bookmarkEnd w:id="361"/>
      <w:bookmarkStart w:id="362" w:name="_Toc184308091"/>
      <w:bookmarkEnd w:id="362"/>
      <w:bookmarkStart w:id="363" w:name="_Toc184313273"/>
      <w:bookmarkEnd w:id="363"/>
      <w:bookmarkStart w:id="364" w:name="_Toc184313268"/>
      <w:bookmarkEnd w:id="364"/>
      <w:bookmarkStart w:id="365" w:name="_Toc184313249"/>
      <w:bookmarkEnd w:id="365"/>
      <w:bookmarkStart w:id="366" w:name="_Toc184308059"/>
      <w:bookmarkEnd w:id="366"/>
      <w:bookmarkStart w:id="367" w:name="_Toc184310312"/>
      <w:bookmarkEnd w:id="367"/>
      <w:bookmarkStart w:id="368" w:name="_Toc184312106"/>
      <w:bookmarkEnd w:id="368"/>
      <w:bookmarkStart w:id="369" w:name="_Toc184308062"/>
      <w:bookmarkEnd w:id="369"/>
      <w:bookmarkStart w:id="370" w:name="_Toc184312091"/>
      <w:bookmarkEnd w:id="370"/>
      <w:bookmarkStart w:id="371" w:name="_Toc184308039"/>
      <w:bookmarkEnd w:id="371"/>
      <w:bookmarkStart w:id="372" w:name="_Toc184314468"/>
      <w:bookmarkEnd w:id="372"/>
      <w:bookmarkStart w:id="373" w:name="_Toc184314443"/>
      <w:bookmarkEnd w:id="373"/>
      <w:bookmarkStart w:id="374" w:name="_Toc184310340"/>
      <w:bookmarkEnd w:id="374"/>
      <w:bookmarkStart w:id="375" w:name="_Toc184310306"/>
      <w:bookmarkEnd w:id="375"/>
      <w:bookmarkStart w:id="376" w:name="_Toc184308036"/>
      <w:bookmarkEnd w:id="376"/>
      <w:bookmarkStart w:id="377" w:name="_Toc184308089"/>
      <w:bookmarkEnd w:id="377"/>
      <w:bookmarkStart w:id="378" w:name="_Toc184308052"/>
      <w:bookmarkEnd w:id="378"/>
      <w:bookmarkStart w:id="379" w:name="_Toc184310338"/>
      <w:bookmarkEnd w:id="379"/>
      <w:bookmarkStart w:id="380" w:name="_Toc184314413"/>
      <w:bookmarkEnd w:id="380"/>
      <w:bookmarkStart w:id="381" w:name="_Toc184310275"/>
      <w:bookmarkEnd w:id="381"/>
      <w:bookmarkStart w:id="382" w:name="_Toc184314445"/>
      <w:bookmarkEnd w:id="382"/>
      <w:bookmarkStart w:id="383" w:name="_Toc184313294"/>
      <w:bookmarkEnd w:id="383"/>
      <w:bookmarkStart w:id="384" w:name="_Toc184312082"/>
      <w:bookmarkEnd w:id="384"/>
      <w:bookmarkStart w:id="385" w:name="_Toc184314412"/>
      <w:bookmarkEnd w:id="385"/>
      <w:bookmarkStart w:id="386" w:name="_Toc184314440"/>
      <w:bookmarkEnd w:id="386"/>
      <w:bookmarkStart w:id="387" w:name="_Toc184310274"/>
      <w:bookmarkEnd w:id="387"/>
      <w:bookmarkStart w:id="388" w:name="_Toc184308097"/>
      <w:bookmarkEnd w:id="388"/>
      <w:bookmarkStart w:id="389" w:name="_Toc184312118"/>
      <w:bookmarkEnd w:id="389"/>
      <w:bookmarkStart w:id="390" w:name="_Toc184312112"/>
      <w:bookmarkEnd w:id="390"/>
      <w:bookmarkStart w:id="391" w:name="_Toc184312071"/>
      <w:bookmarkEnd w:id="391"/>
      <w:bookmarkStart w:id="392" w:name="_Toc184313299"/>
      <w:bookmarkEnd w:id="392"/>
      <w:bookmarkStart w:id="393" w:name="_Toc184313258"/>
      <w:bookmarkEnd w:id="393"/>
      <w:bookmarkStart w:id="394" w:name="_Toc184310331"/>
      <w:bookmarkEnd w:id="394"/>
      <w:bookmarkStart w:id="395" w:name="_Toc184314430"/>
      <w:bookmarkEnd w:id="395"/>
      <w:bookmarkStart w:id="396" w:name="_Toc184312137"/>
      <w:bookmarkEnd w:id="396"/>
      <w:bookmarkStart w:id="397" w:name="_Toc184314434"/>
      <w:bookmarkEnd w:id="397"/>
      <w:bookmarkStart w:id="398" w:name="_Toc184312080"/>
      <w:bookmarkEnd w:id="398"/>
      <w:bookmarkStart w:id="399" w:name="_Toc184312136"/>
      <w:bookmarkEnd w:id="399"/>
      <w:bookmarkStart w:id="400" w:name="_Toc184310282"/>
      <w:bookmarkEnd w:id="400"/>
      <w:bookmarkStart w:id="401" w:name="_Toc184314423"/>
      <w:bookmarkEnd w:id="401"/>
      <w:bookmarkStart w:id="402" w:name="_Toc184310296"/>
      <w:bookmarkEnd w:id="402"/>
      <w:bookmarkStart w:id="403" w:name="_Toc184310299"/>
      <w:bookmarkEnd w:id="403"/>
      <w:bookmarkStart w:id="404" w:name="_Toc184312124"/>
      <w:bookmarkEnd w:id="404"/>
      <w:bookmarkStart w:id="405" w:name="_Toc184308099"/>
      <w:bookmarkEnd w:id="405"/>
      <w:bookmarkStart w:id="406" w:name="_Toc184313272"/>
      <w:bookmarkEnd w:id="406"/>
      <w:bookmarkStart w:id="407" w:name="_Toc184313305"/>
      <w:bookmarkEnd w:id="407"/>
      <w:bookmarkStart w:id="408" w:name="_Toc184312088"/>
      <w:bookmarkEnd w:id="408"/>
      <w:bookmarkStart w:id="409" w:name="_Toc184310319"/>
      <w:bookmarkEnd w:id="409"/>
      <w:bookmarkStart w:id="410" w:name="_Toc184308092"/>
      <w:bookmarkEnd w:id="410"/>
      <w:bookmarkStart w:id="411" w:name="_Toc184310311"/>
      <w:bookmarkEnd w:id="411"/>
      <w:bookmarkStart w:id="412" w:name="_Toc184308093"/>
      <w:bookmarkEnd w:id="412"/>
      <w:bookmarkStart w:id="413" w:name="_Toc184310294"/>
      <w:bookmarkEnd w:id="413"/>
      <w:bookmarkStart w:id="414" w:name="_Toc184308072"/>
      <w:bookmarkEnd w:id="414"/>
      <w:r>
        <w:rPr>
          <w:rFonts w:hint="eastAsia" w:ascii="宋体" w:hAnsi="宋体" w:cs="宋体"/>
          <w:b/>
          <w:sz w:val="36"/>
          <w:szCs w:val="36"/>
        </w:rPr>
        <w:t>评标办法</w:t>
      </w:r>
    </w:p>
    <w:p>
      <w:pPr>
        <w:snapToGrid w:val="0"/>
        <w:spacing w:line="240" w:lineRule="auto"/>
        <w:jc w:val="center"/>
        <w:rPr>
          <w:rFonts w:ascii="宋体" w:hAnsi="宋体" w:cs="宋体"/>
          <w:b/>
          <w:sz w:val="32"/>
          <w:szCs w:val="20"/>
        </w:rPr>
      </w:pPr>
      <w:r>
        <w:rPr>
          <w:rFonts w:hint="eastAsia" w:ascii="宋体" w:hAnsi="宋体" w:cs="宋体"/>
          <w:b/>
          <w:sz w:val="32"/>
          <w:szCs w:val="20"/>
        </w:rPr>
        <w:t>评标办法前附表</w:t>
      </w:r>
    </w:p>
    <w:p>
      <w:pPr>
        <w:rPr>
          <w:rFonts w:hint="eastAsia"/>
          <w:lang w:val="en-US" w:eastAsia="zh-CN"/>
        </w:rPr>
      </w:pPr>
    </w:p>
    <w:tbl>
      <w:tblPr>
        <w:tblStyle w:val="63"/>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213"/>
        <w:gridCol w:w="6325"/>
        <w:gridCol w:w="1162"/>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86"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13"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w:t>
            </w:r>
          </w:p>
        </w:tc>
        <w:tc>
          <w:tcPr>
            <w:tcW w:w="6325"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评分方法</w:t>
            </w:r>
          </w:p>
        </w:tc>
        <w:tc>
          <w:tcPr>
            <w:tcW w:w="116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900"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86"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1213"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tc>
        <w:tc>
          <w:tcPr>
            <w:tcW w:w="6325"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Cs/>
                <w:color w:val="auto"/>
                <w:sz w:val="24"/>
                <w:szCs w:val="24"/>
                <w:highlight w:val="none"/>
              </w:rPr>
            </w:pPr>
          </w:p>
        </w:tc>
        <w:tc>
          <w:tcPr>
            <w:tcW w:w="116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6</w:t>
            </w:r>
          </w:p>
        </w:tc>
        <w:tc>
          <w:tcPr>
            <w:tcW w:w="900"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6" w:type="dxa"/>
            <w:noWrap w:val="0"/>
            <w:vAlign w:val="center"/>
          </w:tcPr>
          <w:p>
            <w:pPr>
              <w:keepNext w:val="0"/>
              <w:keepLines w:val="0"/>
              <w:pageBreakBefore w:val="0"/>
              <w:numPr>
                <w:ilvl w:val="0"/>
                <w:numId w:val="0"/>
              </w:numPr>
              <w:kinsoku/>
              <w:wordWrap/>
              <w:overflowPunct/>
              <w:topLinePunct w:val="0"/>
              <w:autoSpaceDE/>
              <w:autoSpaceDN/>
              <w:bidi w:val="0"/>
              <w:snapToGrid/>
              <w:spacing w:line="240"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13"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bookmarkStart w:id="415" w:name="OLE_LINK27"/>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管理体系认证和服务认证</w:t>
            </w:r>
            <w:bookmarkEnd w:id="415"/>
          </w:p>
        </w:tc>
        <w:tc>
          <w:tcPr>
            <w:tcW w:w="6325" w:type="dxa"/>
            <w:noWrap w:val="0"/>
            <w:vAlign w:val="center"/>
          </w:tcPr>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none"/>
              </w:rPr>
            </w:pPr>
            <w:bookmarkStart w:id="416" w:name="OLE_LINK28"/>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每具有以下1个认证的得1分，本项最高得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（1）质量管理体系认证；（2）环境管理体系认证；（3）职业健康安全管理体系认证；</w:t>
            </w:r>
          </w:p>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提供证书须由通过中国国家认证认可监督管理委员会备案通过的认证机构颁发且在全国认证认可信息公共服务平台（www.cnca.gov.cn）可查询。须同时提供认证证书的扫描件，否则不得分</w:t>
            </w:r>
            <w:r>
              <w:rPr>
                <w:rFonts w:hint="eastAsia" w:ascii="宋体" w:hAnsi="宋体" w:eastAsia="宋体" w:cs="宋体"/>
                <w:color w:val="auto"/>
                <w:sz w:val="24"/>
                <w:szCs w:val="24"/>
                <w:highlight w:val="none"/>
                <w:lang w:eastAsia="zh-CN"/>
              </w:rPr>
              <w:t>。</w:t>
            </w:r>
            <w:bookmarkEnd w:id="416"/>
          </w:p>
        </w:tc>
        <w:tc>
          <w:tcPr>
            <w:tcW w:w="116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3</w:t>
            </w:r>
          </w:p>
        </w:tc>
        <w:tc>
          <w:tcPr>
            <w:tcW w:w="900"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586" w:type="dxa"/>
            <w:noWrap w:val="0"/>
            <w:vAlign w:val="center"/>
          </w:tcPr>
          <w:p>
            <w:pPr>
              <w:keepNext w:val="0"/>
              <w:keepLines w:val="0"/>
              <w:pageBreakBefore w:val="0"/>
              <w:numPr>
                <w:ilvl w:val="0"/>
                <w:numId w:val="0"/>
              </w:numPr>
              <w:kinsoku/>
              <w:wordWrap/>
              <w:overflowPunct/>
              <w:topLinePunct w:val="0"/>
              <w:autoSpaceDE/>
              <w:autoSpaceDN/>
              <w:bidi w:val="0"/>
              <w:snapToGrid/>
              <w:spacing w:line="240"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213"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eastAsia="zh-CN"/>
              </w:rPr>
            </w:pPr>
            <w:bookmarkStart w:id="417" w:name="OLE_LINK29"/>
            <w:r>
              <w:rPr>
                <w:rFonts w:hint="eastAsia" w:ascii="宋体" w:hAnsi="宋体" w:eastAsia="宋体" w:cs="宋体"/>
                <w:color w:val="auto"/>
                <w:sz w:val="24"/>
                <w:szCs w:val="24"/>
                <w:highlight w:val="none"/>
                <w:lang w:val="en-US" w:eastAsia="zh-CN"/>
              </w:rPr>
              <w:t>投标人类似项目业绩</w:t>
            </w:r>
            <w:bookmarkEnd w:id="417"/>
          </w:p>
        </w:tc>
        <w:tc>
          <w:tcPr>
            <w:tcW w:w="6325" w:type="dxa"/>
            <w:noWrap w:val="0"/>
            <w:vAlign w:val="center"/>
          </w:tcPr>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none"/>
                <w:lang w:val="en-US" w:eastAsia="zh-CN"/>
              </w:rPr>
            </w:pPr>
            <w:bookmarkStart w:id="418" w:name="OLE_LINK30"/>
            <w:r>
              <w:rPr>
                <w:rFonts w:hint="eastAsia" w:ascii="宋体" w:hAnsi="宋体" w:eastAsia="宋体" w:cs="宋体"/>
                <w:color w:val="auto"/>
                <w:sz w:val="24"/>
                <w:szCs w:val="24"/>
                <w:highlight w:val="none"/>
                <w:lang w:val="en-US" w:eastAsia="zh-CN"/>
              </w:rPr>
              <w:t>投标人自2021年1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月1日起以来，具有独立完成过的城镇住宅小区垃圾分类服务项目业绩的，每提供1个得0.</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分，最高得1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lang w:val="en-US" w:eastAsia="zh-CN"/>
              </w:rPr>
              <w:t>1、合同业绩须为本次投标人的业绩，投标人的独立法人子公司、参股公司的业绩均不予认可。同一个项目续签合同只算1个业绩。2、投标文件中须提供清晰可辨的合同扫描件并加盖投标人公章。</w:t>
            </w:r>
            <w:bookmarkEnd w:id="418"/>
          </w:p>
        </w:tc>
        <w:tc>
          <w:tcPr>
            <w:tcW w:w="116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900"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bookmarkStart w:id="419" w:name="OLE_LINK3"/>
            <w:r>
              <w:rPr>
                <w:rFonts w:hint="eastAsia" w:ascii="宋体" w:hAnsi="宋体" w:eastAsia="宋体" w:cs="宋体"/>
                <w:color w:val="auto"/>
                <w:sz w:val="24"/>
                <w:szCs w:val="24"/>
                <w:highlight w:val="none"/>
                <w:lang w:val="en-US" w:eastAsia="zh-CN"/>
              </w:rPr>
              <w:t>客观分</w:t>
            </w:r>
            <w:bookmarkEnd w:id="4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586" w:type="dxa"/>
            <w:noWrap w:val="0"/>
            <w:vAlign w:val="center"/>
          </w:tcPr>
          <w:p>
            <w:pPr>
              <w:keepNext w:val="0"/>
              <w:keepLines w:val="0"/>
              <w:pageBreakBefore w:val="0"/>
              <w:numPr>
                <w:ilvl w:val="0"/>
                <w:numId w:val="0"/>
              </w:numPr>
              <w:kinsoku/>
              <w:wordWrap/>
              <w:overflowPunct/>
              <w:topLinePunct w:val="0"/>
              <w:autoSpaceDE/>
              <w:autoSpaceDN/>
              <w:bidi w:val="0"/>
              <w:snapToGrid/>
              <w:spacing w:line="240" w:lineRule="auto"/>
              <w:ind w:left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213"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bookmarkStart w:id="420" w:name="OLE_LINK31"/>
            <w:r>
              <w:rPr>
                <w:rFonts w:hint="eastAsia" w:ascii="宋体" w:hAnsi="宋体" w:cs="宋体"/>
                <w:color w:val="auto"/>
                <w:sz w:val="24"/>
                <w:highlight w:val="none"/>
              </w:rPr>
              <w:t>企业综合实力</w:t>
            </w:r>
            <w:bookmarkEnd w:id="420"/>
          </w:p>
        </w:tc>
        <w:tc>
          <w:tcPr>
            <w:tcW w:w="6325" w:type="dxa"/>
            <w:noWrap w:val="0"/>
            <w:vAlign w:val="center"/>
          </w:tcPr>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cs="宋体"/>
                <w:color w:val="auto"/>
                <w:sz w:val="24"/>
                <w:highlight w:val="none"/>
              </w:rPr>
            </w:pPr>
            <w:bookmarkStart w:id="421" w:name="OLE_LINK32"/>
            <w:r>
              <w:rPr>
                <w:rFonts w:hint="eastAsia" w:ascii="宋体" w:hAnsi="宋体" w:cs="宋体"/>
                <w:color w:val="auto"/>
                <w:sz w:val="24"/>
                <w:highlight w:val="none"/>
              </w:rPr>
              <w:t>投标人自2021年1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月1日起以来，获得政府部门颁发的有关垃圾分类工作相关的荣誉证书，省级及以上得</w:t>
            </w:r>
            <w:r>
              <w:rPr>
                <w:rFonts w:hint="eastAsia" w:ascii="宋体" w:hAnsi="宋体" w:cs="宋体"/>
                <w:color w:val="auto"/>
                <w:sz w:val="24"/>
                <w:highlight w:val="none"/>
                <w:lang w:eastAsia="zh-CN"/>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分，市级及以上得</w:t>
            </w:r>
            <w:r>
              <w:rPr>
                <w:rFonts w:hint="eastAsia" w:ascii="宋体" w:hAnsi="宋体" w:cs="宋体"/>
                <w:color w:val="auto"/>
                <w:sz w:val="24"/>
                <w:highlight w:val="none"/>
                <w:lang w:eastAsia="zh-CN"/>
              </w:rPr>
              <w:t>1</w:t>
            </w:r>
            <w:r>
              <w:rPr>
                <w:rFonts w:hint="eastAsia" w:ascii="宋体" w:hAnsi="宋体" w:cs="宋体"/>
                <w:color w:val="auto"/>
                <w:sz w:val="24"/>
                <w:highlight w:val="none"/>
              </w:rPr>
              <w:t>分，区级及以上得</w:t>
            </w:r>
            <w:r>
              <w:rPr>
                <w:rFonts w:hint="eastAsia" w:ascii="宋体" w:hAnsi="宋体" w:cs="宋体"/>
                <w:color w:val="auto"/>
                <w:sz w:val="24"/>
                <w:highlight w:val="none"/>
                <w:lang w:eastAsia="zh-CN"/>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分，最高得</w:t>
            </w:r>
            <w:r>
              <w:rPr>
                <w:rFonts w:hint="eastAsia" w:ascii="宋体" w:hAnsi="宋体" w:cs="宋体"/>
                <w:color w:val="auto"/>
                <w:sz w:val="24"/>
                <w:highlight w:val="none"/>
                <w:lang w:eastAsia="zh-CN"/>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注：本项只计一个业绩，需提供证书或有效文件、公示等能体现该奖项或荣誉的证明材料。</w:t>
            </w:r>
            <w:bookmarkEnd w:id="421"/>
          </w:p>
        </w:tc>
        <w:tc>
          <w:tcPr>
            <w:tcW w:w="116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0-1.5</w:t>
            </w:r>
          </w:p>
        </w:tc>
        <w:tc>
          <w:tcPr>
            <w:tcW w:w="900"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6" w:type="dxa"/>
            <w:noWrap w:val="0"/>
            <w:vAlign w:val="center"/>
          </w:tcPr>
          <w:p>
            <w:pPr>
              <w:pStyle w:val="83"/>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二</w:t>
            </w:r>
          </w:p>
        </w:tc>
        <w:tc>
          <w:tcPr>
            <w:tcW w:w="1213" w:type="dxa"/>
            <w:noWrap w:val="0"/>
            <w:vAlign w:val="center"/>
          </w:tcPr>
          <w:p>
            <w:pPr>
              <w:pStyle w:val="83"/>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技术部分</w:t>
            </w:r>
          </w:p>
        </w:tc>
        <w:tc>
          <w:tcPr>
            <w:tcW w:w="6325" w:type="dxa"/>
            <w:noWrap w:val="0"/>
            <w:vAlign w:val="center"/>
          </w:tcPr>
          <w:p>
            <w:pPr>
              <w:pStyle w:val="83"/>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rPr>
            </w:pPr>
          </w:p>
        </w:tc>
        <w:tc>
          <w:tcPr>
            <w:tcW w:w="116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79</w:t>
            </w:r>
          </w:p>
        </w:tc>
        <w:tc>
          <w:tcPr>
            <w:tcW w:w="900"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6" w:type="dxa"/>
            <w:noWrap w:val="0"/>
            <w:vAlign w:val="center"/>
          </w:tcPr>
          <w:p>
            <w:pPr>
              <w:keepNext w:val="0"/>
              <w:keepLines w:val="0"/>
              <w:pageBreakBefore w:val="0"/>
              <w:numPr>
                <w:ilvl w:val="0"/>
                <w:numId w:val="0"/>
              </w:numPr>
              <w:kinsoku/>
              <w:wordWrap/>
              <w:overflowPunct/>
              <w:topLinePunct w:val="0"/>
              <w:autoSpaceDE/>
              <w:autoSpaceDN/>
              <w:bidi w:val="0"/>
              <w:snapToGrid/>
              <w:spacing w:line="240"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13" w:type="dxa"/>
            <w:noWrap w:val="0"/>
            <w:vAlign w:val="center"/>
          </w:tcPr>
          <w:p>
            <w:pPr>
              <w:keepNext w:val="0"/>
              <w:keepLines w:val="0"/>
              <w:pageBreakBefore w:val="0"/>
              <w:tabs>
                <w:tab w:val="left" w:pos="248"/>
              </w:tabs>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bookmarkStart w:id="422" w:name="OLE_LINK33"/>
            <w:r>
              <w:rPr>
                <w:rFonts w:hint="eastAsia" w:ascii="宋体" w:hAnsi="宋体" w:eastAsia="宋体" w:cs="宋体"/>
                <w:color w:val="auto"/>
                <w:kern w:val="2"/>
                <w:sz w:val="24"/>
                <w:szCs w:val="24"/>
                <w:highlight w:val="none"/>
                <w:lang w:val="en-US" w:eastAsia="zh-CN" w:bidi="ar-SA"/>
              </w:rPr>
              <w:t>项目人员配置情况</w:t>
            </w:r>
            <w:bookmarkEnd w:id="422"/>
          </w:p>
        </w:tc>
        <w:tc>
          <w:tcPr>
            <w:tcW w:w="6325" w:type="dxa"/>
            <w:noWrap w:val="0"/>
            <w:vAlign w:val="center"/>
          </w:tcPr>
          <w:p>
            <w:pPr>
              <w:keepNext w:val="0"/>
              <w:keepLines w:val="0"/>
              <w:pageBreakBefore w:val="0"/>
              <w:kinsoku/>
              <w:wordWrap/>
              <w:overflowPunct/>
              <w:topLinePunct w:val="0"/>
              <w:autoSpaceDE/>
              <w:autoSpaceDN/>
              <w:bidi w:val="0"/>
              <w:snapToGrid/>
              <w:textAlignment w:val="auto"/>
              <w:rPr>
                <w:rFonts w:hint="eastAsia" w:ascii="宋体" w:hAnsi="宋体" w:eastAsia="宋体" w:cs="宋体"/>
                <w:color w:val="auto"/>
                <w:sz w:val="24"/>
                <w:szCs w:val="24"/>
                <w:highlight w:val="none"/>
                <w:lang w:val="en-US"/>
              </w:rPr>
            </w:pPr>
            <w:bookmarkStart w:id="423" w:name="OLE_LINK38"/>
            <w:r>
              <w:rPr>
                <w:rFonts w:hint="eastAsia" w:ascii="宋体" w:hAnsi="宋体" w:cs="宋体"/>
                <w:bCs/>
                <w:color w:val="auto"/>
                <w:sz w:val="24"/>
                <w:highlight w:val="none"/>
              </w:rPr>
              <w:t>制定本项目拟投入的人员结构、分工职责、考核制度等相关事项，对照招标需求，根据方案的可操作性、全面性等进行综合评定。（评分范围：6，5,4,3,2,1,0）</w:t>
            </w:r>
            <w:bookmarkEnd w:id="423"/>
          </w:p>
        </w:tc>
        <w:tc>
          <w:tcPr>
            <w:tcW w:w="116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6</w:t>
            </w:r>
          </w:p>
        </w:tc>
        <w:tc>
          <w:tcPr>
            <w:tcW w:w="900"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86" w:type="dxa"/>
            <w:noWrap w:val="0"/>
            <w:vAlign w:val="center"/>
          </w:tcPr>
          <w:p>
            <w:pPr>
              <w:keepNext w:val="0"/>
              <w:keepLines w:val="0"/>
              <w:pageBreakBefore w:val="0"/>
              <w:numPr>
                <w:ilvl w:val="0"/>
                <w:numId w:val="0"/>
              </w:numPr>
              <w:kinsoku/>
              <w:wordWrap/>
              <w:overflowPunct/>
              <w:topLinePunct w:val="0"/>
              <w:autoSpaceDE/>
              <w:autoSpaceDN/>
              <w:bidi w:val="0"/>
              <w:snapToGrid/>
              <w:spacing w:line="240"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13" w:type="dxa"/>
            <w:noWrap w:val="0"/>
            <w:vAlign w:val="center"/>
          </w:tcPr>
          <w:p>
            <w:pPr>
              <w:keepNext w:val="0"/>
              <w:keepLines w:val="0"/>
              <w:pageBreakBefore w:val="0"/>
              <w:tabs>
                <w:tab w:val="left" w:pos="248"/>
              </w:tabs>
              <w:kinsoku/>
              <w:wordWrap/>
              <w:overflowPunct/>
              <w:topLinePunct w:val="0"/>
              <w:autoSpaceDE/>
              <w:autoSpaceDN/>
              <w:bidi w:val="0"/>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项目人员</w:t>
            </w:r>
          </w:p>
        </w:tc>
        <w:tc>
          <w:tcPr>
            <w:tcW w:w="6325" w:type="dxa"/>
            <w:noWrap w:val="0"/>
            <w:vAlign w:val="center"/>
          </w:tcPr>
          <w:p>
            <w:pPr>
              <w:keepNext w:val="0"/>
              <w:keepLines w:val="0"/>
              <w:pageBreakBefore w:val="0"/>
              <w:numPr>
                <w:ilvl w:val="0"/>
                <w:numId w:val="3"/>
              </w:numPr>
              <w:kinsoku/>
              <w:wordWrap/>
              <w:overflowPunct/>
              <w:topLinePunct w:val="0"/>
              <w:autoSpaceDE/>
              <w:autoSpaceDN/>
              <w:bidi w:val="0"/>
              <w:snapToGrid/>
              <w:spacing w:line="240" w:lineRule="auto"/>
              <w:jc w:val="left"/>
              <w:textAlignment w:val="auto"/>
              <w:rPr>
                <w:rFonts w:hint="eastAsia" w:ascii="宋体" w:hAnsi="宋体" w:cs="宋体"/>
                <w:color w:val="auto"/>
                <w:sz w:val="24"/>
                <w:highlight w:val="none"/>
              </w:rPr>
            </w:pPr>
            <w:bookmarkStart w:id="424" w:name="OLE_LINK39"/>
            <w:r>
              <w:rPr>
                <w:rFonts w:hint="eastAsia" w:ascii="宋体" w:hAnsi="宋体" w:cs="宋体"/>
                <w:color w:val="auto"/>
                <w:sz w:val="24"/>
                <w:highlight w:val="none"/>
              </w:rPr>
              <w:t>投标人拟派项目经理具备人社部门颁发的高级及以上工程师职称证书(垃圾分类或环境类或管理类等相关专业)的得2分，具备中级工程师职称证书(垃圾分类或环境类或管理类等相关专业)的得1分；具备本科及以上学历证书的得1分，具备大专学历证书的得0.5分；具有担任已完成垃圾分类服务类似经验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bookmarkStart w:id="425" w:name="OLE_LINK8"/>
            <w:r>
              <w:rPr>
                <w:rFonts w:hint="eastAsia" w:ascii="宋体" w:hAnsi="宋体" w:cs="宋体"/>
                <w:color w:val="auto"/>
                <w:sz w:val="24"/>
                <w:highlight w:val="none"/>
              </w:rPr>
              <w:t>本项</w:t>
            </w:r>
            <w:bookmarkEnd w:id="425"/>
            <w:r>
              <w:rPr>
                <w:rFonts w:hint="eastAsia" w:ascii="宋体" w:hAnsi="宋体" w:cs="宋体"/>
                <w:color w:val="auto"/>
                <w:sz w:val="24"/>
                <w:highlight w:val="none"/>
              </w:rPr>
              <w:t>最高得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pPr>
              <w:keepNext w:val="0"/>
              <w:keepLines w:val="0"/>
              <w:numPr>
                <w:ilvl w:val="0"/>
                <w:numId w:val="3"/>
              </w:numPr>
              <w:spacing w:line="24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项目组成员</w:t>
            </w:r>
            <w:bookmarkStart w:id="426" w:name="OLE_LINK10"/>
            <w:r>
              <w:rPr>
                <w:rFonts w:hint="eastAsia" w:ascii="宋体" w:hAnsi="宋体" w:cs="宋体"/>
                <w:color w:val="auto"/>
                <w:sz w:val="24"/>
                <w:highlight w:val="none"/>
              </w:rPr>
              <w:t>具有人社部门颁发的</w:t>
            </w:r>
            <w:bookmarkEnd w:id="426"/>
            <w:r>
              <w:rPr>
                <w:rFonts w:hint="eastAsia" w:ascii="宋体" w:hAnsi="宋体" w:cs="宋体"/>
                <w:color w:val="auto"/>
                <w:sz w:val="24"/>
                <w:highlight w:val="none"/>
                <w:lang w:val="en-US" w:eastAsia="zh-CN"/>
              </w:rPr>
              <w:t>高级及以上职称类</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环保类</w:t>
            </w:r>
            <w:r>
              <w:rPr>
                <w:rFonts w:hint="eastAsia" w:ascii="宋体" w:hAnsi="宋体" w:cs="宋体"/>
                <w:color w:val="auto"/>
                <w:sz w:val="24"/>
                <w:highlight w:val="none"/>
              </w:rPr>
              <w:t>或环境类）</w:t>
            </w:r>
            <w:r>
              <w:rPr>
                <w:rFonts w:hint="eastAsia" w:ascii="宋体" w:hAnsi="宋体" w:cs="宋体"/>
                <w:color w:val="auto"/>
                <w:sz w:val="24"/>
                <w:highlight w:val="none"/>
                <w:lang w:val="en-US" w:eastAsia="zh-CN"/>
              </w:rPr>
              <w:t>的每人得1分，</w:t>
            </w:r>
            <w:r>
              <w:rPr>
                <w:rFonts w:hint="eastAsia" w:ascii="宋体" w:hAnsi="宋体" w:cs="宋体"/>
                <w:color w:val="auto"/>
                <w:sz w:val="24"/>
                <w:highlight w:val="none"/>
              </w:rPr>
              <w:t>具有中级职称</w:t>
            </w:r>
            <w:bookmarkStart w:id="427" w:name="OLE_LINK7"/>
            <w:r>
              <w:rPr>
                <w:rFonts w:hint="eastAsia" w:ascii="宋体" w:hAnsi="宋体" w:cs="宋体"/>
                <w:color w:val="auto"/>
                <w:sz w:val="24"/>
                <w:highlight w:val="none"/>
              </w:rPr>
              <w:t>（</w:t>
            </w:r>
            <w:r>
              <w:rPr>
                <w:rFonts w:hint="eastAsia" w:ascii="宋体" w:hAnsi="宋体" w:cs="宋体"/>
                <w:color w:val="auto"/>
                <w:sz w:val="24"/>
                <w:highlight w:val="none"/>
                <w:lang w:val="en-US" w:eastAsia="zh-CN"/>
              </w:rPr>
              <w:t>环保类</w:t>
            </w:r>
            <w:r>
              <w:rPr>
                <w:rFonts w:hint="eastAsia" w:ascii="宋体" w:hAnsi="宋体" w:cs="宋体"/>
                <w:color w:val="auto"/>
                <w:sz w:val="24"/>
                <w:highlight w:val="none"/>
              </w:rPr>
              <w:t>或环境类）</w:t>
            </w:r>
            <w:bookmarkEnd w:id="427"/>
            <w:r>
              <w:rPr>
                <w:rFonts w:hint="eastAsia" w:ascii="宋体" w:hAnsi="宋体" w:cs="宋体"/>
                <w:color w:val="auto"/>
                <w:sz w:val="24"/>
                <w:highlight w:val="none"/>
              </w:rPr>
              <w:t>的每1人得</w:t>
            </w:r>
            <w:r>
              <w:rPr>
                <w:rFonts w:hint="eastAsia" w:ascii="宋体" w:hAnsi="宋体" w:cs="宋体"/>
                <w:color w:val="auto"/>
                <w:sz w:val="24"/>
                <w:highlight w:val="none"/>
                <w:lang w:eastAsia="zh-CN"/>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分，本项最高得2分。</w:t>
            </w:r>
          </w:p>
          <w:p>
            <w:pPr>
              <w:keepNext w:val="0"/>
              <w:keepLines w:val="0"/>
              <w:pageBreakBefore w:val="0"/>
              <w:numPr>
                <w:ilvl w:val="0"/>
                <w:numId w:val="3"/>
              </w:numPr>
              <w:kinsoku/>
              <w:wordWrap/>
              <w:overflowPunct/>
              <w:topLinePunct w:val="0"/>
              <w:autoSpaceDE/>
              <w:autoSpaceDN/>
              <w:bidi w:val="0"/>
              <w:snapToGrid/>
              <w:spacing w:line="240" w:lineRule="auto"/>
              <w:jc w:val="left"/>
              <w:textAlignment w:val="auto"/>
              <w:rPr>
                <w:rFonts w:hint="eastAsia" w:ascii="宋体" w:hAnsi="宋体" w:eastAsia="宋体" w:cs="宋体"/>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注：</w:t>
            </w:r>
            <w:r>
              <w:rPr>
                <w:rFonts w:hint="eastAsia" w:ascii="宋体" w:hAnsi="宋体" w:cs="宋体"/>
                <w:color w:val="auto"/>
                <w:sz w:val="24"/>
                <w:szCs w:val="24"/>
                <w:highlight w:val="none"/>
                <w:lang w:val="en-US" w:eastAsia="zh-CN"/>
              </w:rPr>
              <w:t>提供相应证明资料扫描件并加盖公章。</w:t>
            </w:r>
            <w:r>
              <w:rPr>
                <w:rFonts w:hint="eastAsia" w:ascii="宋体" w:hAnsi="宋体" w:eastAsia="宋体" w:cs="宋体"/>
                <w:color w:val="auto"/>
                <w:sz w:val="24"/>
                <w:szCs w:val="24"/>
                <w:highlight w:val="none"/>
                <w:lang w:val="en-US" w:eastAsia="zh-CN"/>
              </w:rPr>
              <w:t>所有资料必须真实、合规，在有效期内。以上人员须提供本次投标截止日前近三个月任意一个月社保部门出具的本单位的社保证明并加盖投标人公章。</w:t>
            </w:r>
            <w:bookmarkEnd w:id="424"/>
          </w:p>
        </w:tc>
        <w:tc>
          <w:tcPr>
            <w:tcW w:w="116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6</w:t>
            </w:r>
          </w:p>
        </w:tc>
        <w:tc>
          <w:tcPr>
            <w:tcW w:w="900"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586" w:type="dxa"/>
            <w:noWrap w:val="0"/>
            <w:vAlign w:val="center"/>
          </w:tcPr>
          <w:p>
            <w:pPr>
              <w:keepNext w:val="0"/>
              <w:keepLines w:val="0"/>
              <w:pageBreakBefore w:val="0"/>
              <w:numPr>
                <w:ilvl w:val="0"/>
                <w:numId w:val="0"/>
              </w:numPr>
              <w:kinsoku/>
              <w:wordWrap/>
              <w:overflowPunct/>
              <w:topLinePunct w:val="0"/>
              <w:autoSpaceDE/>
              <w:autoSpaceDN/>
              <w:bidi w:val="0"/>
              <w:snapToGrid/>
              <w:spacing w:line="240"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13" w:type="dxa"/>
            <w:noWrap w:val="0"/>
            <w:vAlign w:val="center"/>
          </w:tcPr>
          <w:p>
            <w:pPr>
              <w:keepNext w:val="0"/>
              <w:keepLines w:val="0"/>
              <w:pageBreakBefore w:val="0"/>
              <w:tabs>
                <w:tab w:val="left" w:pos="248"/>
              </w:tabs>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bookmarkStart w:id="428" w:name="OLE_LINK40"/>
            <w:r>
              <w:rPr>
                <w:rFonts w:hint="eastAsia" w:ascii="宋体" w:hAnsi="宋体" w:eastAsia="宋体" w:cs="宋体"/>
                <w:color w:val="auto"/>
                <w:kern w:val="2"/>
                <w:sz w:val="24"/>
                <w:szCs w:val="24"/>
                <w:highlight w:val="none"/>
                <w:lang w:val="en-US" w:eastAsia="zh-CN" w:bidi="ar-SA"/>
              </w:rPr>
              <w:t>投标人管理制度</w:t>
            </w:r>
            <w:bookmarkEnd w:id="428"/>
          </w:p>
        </w:tc>
        <w:tc>
          <w:tcPr>
            <w:tcW w:w="6325" w:type="dxa"/>
            <w:noWrap w:val="0"/>
            <w:vAlign w:val="center"/>
          </w:tcPr>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none"/>
              </w:rPr>
            </w:pPr>
            <w:bookmarkStart w:id="429" w:name="OLE_LINK41"/>
            <w:r>
              <w:rPr>
                <w:rFonts w:hint="eastAsia" w:ascii="宋体" w:hAnsi="宋体" w:eastAsia="宋体" w:cs="宋体"/>
                <w:color w:val="auto"/>
                <w:kern w:val="2"/>
                <w:sz w:val="24"/>
                <w:szCs w:val="24"/>
                <w:highlight w:val="none"/>
                <w:lang w:val="en-US" w:eastAsia="zh-CN" w:bidi="ar-SA"/>
              </w:rPr>
              <w:t>投标人管理制度，包括台账管理制度及台账模板、员工考勤制度、员工日常行为规范管理制度、档案管理制度等相关规章制度是否完善、高效，对投标人提供的方案进行综合评定。</w:t>
            </w:r>
            <w:r>
              <w:rPr>
                <w:rFonts w:hint="eastAsia" w:ascii="宋体" w:hAnsi="宋体" w:eastAsia="宋体" w:cs="宋体"/>
                <w:bCs/>
                <w:color w:val="auto"/>
                <w:sz w:val="24"/>
                <w:szCs w:val="24"/>
              </w:rPr>
              <w:t>（评分范围：</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5,4,3,2,1,0）</w:t>
            </w:r>
            <w:bookmarkEnd w:id="429"/>
          </w:p>
        </w:tc>
        <w:tc>
          <w:tcPr>
            <w:tcW w:w="116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6</w:t>
            </w:r>
          </w:p>
        </w:tc>
        <w:tc>
          <w:tcPr>
            <w:tcW w:w="900"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86" w:type="dxa"/>
            <w:noWrap w:val="0"/>
            <w:vAlign w:val="center"/>
          </w:tcPr>
          <w:p>
            <w:pPr>
              <w:keepNext w:val="0"/>
              <w:keepLines w:val="0"/>
              <w:pageBreakBefore w:val="0"/>
              <w:numPr>
                <w:ilvl w:val="0"/>
                <w:numId w:val="0"/>
              </w:numPr>
              <w:kinsoku/>
              <w:wordWrap/>
              <w:overflowPunct/>
              <w:topLinePunct w:val="0"/>
              <w:autoSpaceDE/>
              <w:autoSpaceDN/>
              <w:bidi w:val="0"/>
              <w:snapToGrid/>
              <w:spacing w:line="240"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13" w:type="dxa"/>
            <w:noWrap w:val="0"/>
            <w:vAlign w:val="center"/>
          </w:tcPr>
          <w:p>
            <w:pPr>
              <w:keepNext w:val="0"/>
              <w:keepLines w:val="0"/>
              <w:pageBreakBefore w:val="0"/>
              <w:tabs>
                <w:tab w:val="left" w:pos="248"/>
              </w:tabs>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bookmarkStart w:id="430" w:name="OLE_LINK42"/>
            <w:r>
              <w:rPr>
                <w:rFonts w:hint="eastAsia" w:ascii="宋体" w:hAnsi="宋体" w:eastAsia="宋体" w:cs="宋体"/>
                <w:color w:val="auto"/>
                <w:kern w:val="2"/>
                <w:sz w:val="24"/>
                <w:szCs w:val="24"/>
                <w:highlight w:val="none"/>
                <w:lang w:val="en-US" w:eastAsia="zh-CN" w:bidi="ar-SA"/>
              </w:rPr>
              <w:t>重难点</w:t>
            </w:r>
          </w:p>
          <w:p>
            <w:pPr>
              <w:keepNext w:val="0"/>
              <w:keepLines w:val="0"/>
              <w:pageBreakBefore w:val="0"/>
              <w:tabs>
                <w:tab w:val="left" w:pos="248"/>
              </w:tabs>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分析</w:t>
            </w:r>
            <w:bookmarkEnd w:id="430"/>
          </w:p>
        </w:tc>
        <w:tc>
          <w:tcPr>
            <w:tcW w:w="6325" w:type="dxa"/>
            <w:noWrap w:val="0"/>
            <w:vAlign w:val="center"/>
          </w:tcPr>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bookmarkStart w:id="431" w:name="OLE_LINK43"/>
            <w:r>
              <w:rPr>
                <w:rFonts w:hint="eastAsia" w:ascii="宋体" w:hAnsi="宋体" w:eastAsia="宋体" w:cs="宋体"/>
                <w:color w:val="auto"/>
                <w:kern w:val="2"/>
                <w:sz w:val="24"/>
                <w:szCs w:val="24"/>
                <w:highlight w:val="none"/>
                <w:lang w:val="en-US" w:eastAsia="zh-CN" w:bidi="ar-SA"/>
              </w:rPr>
              <w:t>对采购人区域内垃圾分类现状的描述，及推进过程中可能出现的问题和困难分析，并为采购人提供有效解决方案，</w:t>
            </w:r>
          </w:p>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根据方案是否分析到位、是否具有针对性解决方案综合评定，未提供不得分。（评分范围：6，5,4,3,2,1,0）</w:t>
            </w:r>
            <w:bookmarkEnd w:id="431"/>
          </w:p>
        </w:tc>
        <w:tc>
          <w:tcPr>
            <w:tcW w:w="116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6</w:t>
            </w:r>
          </w:p>
        </w:tc>
        <w:tc>
          <w:tcPr>
            <w:tcW w:w="900"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586" w:type="dxa"/>
            <w:vMerge w:val="restart"/>
            <w:noWrap w:val="0"/>
            <w:vAlign w:val="center"/>
          </w:tcPr>
          <w:p>
            <w:pPr>
              <w:keepNext w:val="0"/>
              <w:keepLines w:val="0"/>
              <w:pageBreakBefore w:val="0"/>
              <w:numPr>
                <w:ilvl w:val="0"/>
                <w:numId w:val="0"/>
              </w:numPr>
              <w:kinsoku/>
              <w:wordWrap/>
              <w:overflowPunct/>
              <w:topLinePunct w:val="0"/>
              <w:autoSpaceDE/>
              <w:autoSpaceDN/>
              <w:bidi w:val="0"/>
              <w:snapToGrid/>
              <w:spacing w:line="240"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213" w:type="dxa"/>
            <w:vMerge w:val="restart"/>
            <w:noWrap w:val="0"/>
            <w:vAlign w:val="center"/>
          </w:tcPr>
          <w:p>
            <w:pPr>
              <w:keepNext w:val="0"/>
              <w:keepLines w:val="0"/>
              <w:pageBreakBefore w:val="0"/>
              <w:tabs>
                <w:tab w:val="left" w:pos="248"/>
              </w:tabs>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bookmarkStart w:id="432" w:name="OLE_LINK44"/>
            <w:r>
              <w:rPr>
                <w:rFonts w:hint="eastAsia" w:ascii="宋体" w:hAnsi="宋体" w:eastAsia="宋体" w:cs="宋体"/>
                <w:color w:val="auto"/>
                <w:kern w:val="2"/>
                <w:sz w:val="24"/>
                <w:szCs w:val="24"/>
                <w:highlight w:val="none"/>
                <w:lang w:val="en-US" w:eastAsia="zh-CN" w:bidi="ar-SA"/>
              </w:rPr>
              <w:t>实施方案</w:t>
            </w:r>
          </w:p>
          <w:bookmarkEnd w:id="432"/>
          <w:p>
            <w:pPr>
              <w:keepNext w:val="0"/>
              <w:keepLines w:val="0"/>
              <w:pageBreakBefore w:val="0"/>
              <w:tabs>
                <w:tab w:val="left" w:pos="248"/>
              </w:tabs>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yellow"/>
                <w:lang w:eastAsia="zh-CN"/>
              </w:rPr>
            </w:pPr>
          </w:p>
        </w:tc>
        <w:tc>
          <w:tcPr>
            <w:tcW w:w="6325" w:type="dxa"/>
            <w:noWrap w:val="0"/>
            <w:vAlign w:val="center"/>
          </w:tcPr>
          <w:p>
            <w:pPr>
              <w:keepNext w:val="0"/>
              <w:keepLines w:val="0"/>
              <w:pageBreakBefore w:val="0"/>
              <w:numPr>
                <w:ilvl w:val="0"/>
                <w:numId w:val="0"/>
              </w:numPr>
              <w:kinsoku/>
              <w:wordWrap/>
              <w:overflowPunct/>
              <w:topLinePunct w:val="0"/>
              <w:autoSpaceDE/>
              <w:autoSpaceDN/>
              <w:bidi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bookmarkStart w:id="433" w:name="OLE_LINK45"/>
            <w:r>
              <w:rPr>
                <w:rFonts w:hint="eastAsia" w:ascii="宋体" w:hAnsi="宋体" w:eastAsia="宋体" w:cs="宋体"/>
                <w:color w:val="auto"/>
                <w:kern w:val="2"/>
                <w:sz w:val="24"/>
                <w:szCs w:val="24"/>
                <w:highlight w:val="none"/>
                <w:lang w:val="en-US" w:eastAsia="zh-CN" w:bidi="ar-SA"/>
              </w:rPr>
              <w:t>提供小区定时定点投放点设立与点位运营方案，要求方案符合小区实际以及上级部门的运营要求。</w:t>
            </w:r>
          </w:p>
          <w:p>
            <w:pPr>
              <w:keepNext w:val="0"/>
              <w:keepLines w:val="0"/>
              <w:pageBreakBefore w:val="0"/>
              <w:numPr>
                <w:ilvl w:val="0"/>
                <w:numId w:val="0"/>
              </w:numPr>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根据方案是否科学合理综合评定，未提供不得分。（评分范围：5,4,3,2,1,0）</w:t>
            </w:r>
            <w:bookmarkEnd w:id="433"/>
          </w:p>
        </w:tc>
        <w:tc>
          <w:tcPr>
            <w:tcW w:w="116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900"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586" w:type="dxa"/>
            <w:vMerge w:val="continue"/>
            <w:noWrap w:val="0"/>
            <w:vAlign w:val="center"/>
          </w:tcPr>
          <w:p>
            <w:pPr>
              <w:keepNext w:val="0"/>
              <w:keepLines w:val="0"/>
              <w:pageBreakBefore w:val="0"/>
              <w:numPr>
                <w:ilvl w:val="0"/>
                <w:numId w:val="0"/>
              </w:numPr>
              <w:kinsoku/>
              <w:wordWrap/>
              <w:overflowPunct/>
              <w:topLinePunct w:val="0"/>
              <w:autoSpaceDE/>
              <w:autoSpaceDN/>
              <w:bidi w:val="0"/>
              <w:snapToGrid/>
              <w:spacing w:line="240" w:lineRule="auto"/>
              <w:ind w:leftChars="0"/>
              <w:jc w:val="center"/>
              <w:textAlignment w:val="auto"/>
              <w:rPr>
                <w:rFonts w:hint="eastAsia" w:ascii="宋体" w:hAnsi="宋体" w:eastAsia="宋体" w:cs="宋体"/>
                <w:color w:val="auto"/>
                <w:sz w:val="24"/>
                <w:szCs w:val="24"/>
                <w:highlight w:val="none"/>
                <w:lang w:val="en-US" w:eastAsia="zh-CN"/>
              </w:rPr>
            </w:pPr>
          </w:p>
        </w:tc>
        <w:tc>
          <w:tcPr>
            <w:tcW w:w="1213" w:type="dxa"/>
            <w:vMerge w:val="continue"/>
            <w:noWrap w:val="0"/>
            <w:vAlign w:val="center"/>
          </w:tcPr>
          <w:p>
            <w:pPr>
              <w:keepNext w:val="0"/>
              <w:keepLines w:val="0"/>
              <w:pageBreakBefore w:val="0"/>
              <w:tabs>
                <w:tab w:val="left" w:pos="248"/>
              </w:tabs>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6325" w:type="dxa"/>
            <w:noWrap w:val="0"/>
            <w:vAlign w:val="center"/>
          </w:tcPr>
          <w:p>
            <w:pPr>
              <w:keepNext w:val="0"/>
              <w:keepLines w:val="0"/>
              <w:pageBreakBefore w:val="0"/>
              <w:numPr>
                <w:ilvl w:val="0"/>
                <w:numId w:val="0"/>
              </w:numPr>
              <w:kinsoku/>
              <w:wordWrap/>
              <w:overflowPunct/>
              <w:topLinePunct w:val="0"/>
              <w:autoSpaceDE/>
              <w:autoSpaceDN/>
              <w:bidi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bookmarkStart w:id="434" w:name="OLE_LINK46"/>
            <w:r>
              <w:rPr>
                <w:rFonts w:hint="eastAsia" w:ascii="宋体" w:hAnsi="宋体" w:eastAsia="宋体" w:cs="宋体"/>
                <w:color w:val="auto"/>
                <w:kern w:val="2"/>
                <w:sz w:val="24"/>
                <w:szCs w:val="24"/>
                <w:highlight w:val="none"/>
                <w:lang w:val="zh-CN" w:eastAsia="zh-CN" w:bidi="ar-SA"/>
              </w:rPr>
              <w:t>根据投标人制定保证进度和项目完成的方案及措施等综合评定</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lang w:eastAsia="zh-CN"/>
              </w:rPr>
              <w:t>根据</w:t>
            </w:r>
            <w:r>
              <w:rPr>
                <w:rFonts w:hint="eastAsia" w:ascii="宋体" w:hAnsi="宋体" w:eastAsia="宋体" w:cs="宋体"/>
                <w:color w:val="auto"/>
                <w:kern w:val="2"/>
                <w:sz w:val="24"/>
                <w:szCs w:val="24"/>
                <w:highlight w:val="none"/>
                <w:lang w:val="en-US" w:eastAsia="zh-CN" w:bidi="ar-SA"/>
              </w:rPr>
              <w:t>方案是否科学合理综合评定，未提供不得分。（评分范围：5,4,3,2,1,0）</w:t>
            </w:r>
            <w:bookmarkEnd w:id="434"/>
          </w:p>
        </w:tc>
        <w:tc>
          <w:tcPr>
            <w:tcW w:w="116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p>
        </w:tc>
        <w:tc>
          <w:tcPr>
            <w:tcW w:w="900"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586" w:type="dxa"/>
            <w:vMerge w:val="continue"/>
            <w:noWrap w:val="0"/>
            <w:vAlign w:val="center"/>
          </w:tcPr>
          <w:p>
            <w:pPr>
              <w:keepNext w:val="0"/>
              <w:keepLines w:val="0"/>
              <w:pageBreakBefore w:val="0"/>
              <w:tabs>
                <w:tab w:val="left" w:pos="397"/>
              </w:tabs>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p>
        </w:tc>
        <w:tc>
          <w:tcPr>
            <w:tcW w:w="1213" w:type="dxa"/>
            <w:vMerge w:val="continue"/>
            <w:noWrap w:val="0"/>
            <w:vAlign w:val="center"/>
          </w:tcPr>
          <w:p>
            <w:pPr>
              <w:keepNext w:val="0"/>
              <w:keepLines w:val="0"/>
              <w:pageBreakBefore w:val="0"/>
              <w:tabs>
                <w:tab w:val="left" w:pos="248"/>
              </w:tabs>
              <w:kinsoku/>
              <w:wordWrap/>
              <w:overflowPunct/>
              <w:topLinePunct w:val="0"/>
              <w:autoSpaceDE/>
              <w:autoSpaceDN/>
              <w:bidi w:val="0"/>
              <w:snapToGrid/>
              <w:spacing w:line="240" w:lineRule="auto"/>
              <w:jc w:val="both"/>
              <w:textAlignment w:val="auto"/>
              <w:rPr>
                <w:rFonts w:hint="eastAsia" w:ascii="宋体" w:hAnsi="宋体" w:eastAsia="宋体" w:cs="宋体"/>
                <w:color w:val="auto"/>
                <w:sz w:val="24"/>
                <w:szCs w:val="24"/>
                <w:highlight w:val="none"/>
                <w:lang w:eastAsia="zh-CN"/>
              </w:rPr>
            </w:pPr>
          </w:p>
        </w:tc>
        <w:tc>
          <w:tcPr>
            <w:tcW w:w="6325" w:type="dxa"/>
            <w:noWrap w:val="0"/>
            <w:vAlign w:val="center"/>
          </w:tcPr>
          <w:p>
            <w:pPr>
              <w:keepNext w:val="0"/>
              <w:keepLines w:val="0"/>
              <w:pageBreakBefore w:val="0"/>
              <w:kinsoku/>
              <w:wordWrap/>
              <w:overflowPunct/>
              <w:topLinePunct w:val="0"/>
              <w:autoSpaceDE/>
              <w:autoSpaceDN/>
              <w:bidi w:val="0"/>
              <w:snapToGrid/>
              <w:textAlignment w:val="auto"/>
              <w:rPr>
                <w:rFonts w:hint="eastAsia" w:ascii="宋体" w:hAnsi="宋体" w:eastAsia="宋体" w:cs="宋体"/>
                <w:color w:val="auto"/>
                <w:kern w:val="2"/>
                <w:sz w:val="24"/>
                <w:szCs w:val="24"/>
                <w:highlight w:val="none"/>
                <w:lang w:val="en-US" w:eastAsia="zh-CN" w:bidi="ar-SA"/>
              </w:rPr>
            </w:pPr>
            <w:bookmarkStart w:id="435" w:name="OLE_LINK47"/>
            <w:r>
              <w:rPr>
                <w:rFonts w:hint="eastAsia" w:ascii="宋体" w:hAnsi="宋体" w:eastAsia="宋体" w:cs="宋体"/>
                <w:color w:val="auto"/>
                <w:kern w:val="2"/>
                <w:sz w:val="24"/>
                <w:szCs w:val="24"/>
                <w:highlight w:val="none"/>
                <w:lang w:val="en-US" w:eastAsia="zh-CN" w:bidi="ar-SA"/>
              </w:rPr>
              <w:t>提供小区定时投放点以及小区再生资源网点的再生资源回收收运方案，要求整体回收收运体系科学高效合理。</w:t>
            </w:r>
          </w:p>
          <w:p>
            <w:pPr>
              <w:keepNext w:val="0"/>
              <w:keepLines w:val="0"/>
              <w:pageBreakBefore w:val="0"/>
              <w:kinsoku/>
              <w:wordWrap/>
              <w:overflowPunct/>
              <w:topLinePunct w:val="0"/>
              <w:autoSpaceDE/>
              <w:autoSpaceDN/>
              <w:bidi w:val="0"/>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根据方案是否科学合理综合评定，未提供不得分。（评分范围：5,4,3,2,1,0）</w:t>
            </w:r>
            <w:bookmarkEnd w:id="435"/>
          </w:p>
        </w:tc>
        <w:tc>
          <w:tcPr>
            <w:tcW w:w="116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900"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586" w:type="dxa"/>
            <w:vMerge w:val="continue"/>
            <w:noWrap w:val="0"/>
            <w:vAlign w:val="center"/>
          </w:tcPr>
          <w:p>
            <w:pPr>
              <w:keepNext w:val="0"/>
              <w:keepLines w:val="0"/>
              <w:pageBreakBefore w:val="0"/>
              <w:tabs>
                <w:tab w:val="left" w:pos="397"/>
              </w:tabs>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p>
        </w:tc>
        <w:tc>
          <w:tcPr>
            <w:tcW w:w="1213" w:type="dxa"/>
            <w:vMerge w:val="continue"/>
            <w:noWrap w:val="0"/>
            <w:vAlign w:val="center"/>
          </w:tcPr>
          <w:p>
            <w:pPr>
              <w:keepNext w:val="0"/>
              <w:keepLines w:val="0"/>
              <w:pageBreakBefore w:val="0"/>
              <w:tabs>
                <w:tab w:val="left" w:pos="248"/>
              </w:tabs>
              <w:kinsoku/>
              <w:wordWrap/>
              <w:overflowPunct/>
              <w:topLinePunct w:val="0"/>
              <w:autoSpaceDE/>
              <w:autoSpaceDN/>
              <w:bidi w:val="0"/>
              <w:snapToGrid/>
              <w:spacing w:line="240" w:lineRule="auto"/>
              <w:jc w:val="both"/>
              <w:textAlignment w:val="auto"/>
              <w:rPr>
                <w:rFonts w:hint="eastAsia" w:ascii="宋体" w:hAnsi="宋体" w:eastAsia="宋体" w:cs="宋体"/>
                <w:color w:val="auto"/>
                <w:sz w:val="24"/>
                <w:szCs w:val="24"/>
                <w:highlight w:val="none"/>
                <w:lang w:eastAsia="zh-CN"/>
              </w:rPr>
            </w:pPr>
          </w:p>
        </w:tc>
        <w:tc>
          <w:tcPr>
            <w:tcW w:w="6325" w:type="dxa"/>
            <w:noWrap w:val="0"/>
            <w:vAlign w:val="center"/>
          </w:tcPr>
          <w:p>
            <w:pPr>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bookmarkStart w:id="436" w:name="OLE_LINK48"/>
            <w:r>
              <w:rPr>
                <w:rFonts w:hint="eastAsia" w:ascii="宋体" w:hAnsi="宋体" w:eastAsia="宋体" w:cs="宋体"/>
                <w:color w:val="auto"/>
                <w:kern w:val="2"/>
                <w:sz w:val="24"/>
                <w:szCs w:val="24"/>
                <w:highlight w:val="none"/>
                <w:lang w:val="en-US" w:eastAsia="zh-CN" w:bidi="ar-SA"/>
              </w:rPr>
              <w:t>提供小区垃圾分类积分兑换形式、场景、物品等方案，要求场景丰富、形式多样、方便简单、互利共赢。</w:t>
            </w:r>
          </w:p>
          <w:p>
            <w:pPr>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根据方案是否科学合理综合评定，未提供不得分。（评分范围：5,4,3,2,1,0）</w:t>
            </w:r>
            <w:bookmarkEnd w:id="436"/>
          </w:p>
        </w:tc>
        <w:tc>
          <w:tcPr>
            <w:tcW w:w="116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900"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86" w:type="dxa"/>
            <w:vMerge w:val="continue"/>
            <w:noWrap w:val="0"/>
            <w:vAlign w:val="center"/>
          </w:tcPr>
          <w:p>
            <w:pPr>
              <w:keepNext w:val="0"/>
              <w:keepLines w:val="0"/>
              <w:pageBreakBefore w:val="0"/>
              <w:tabs>
                <w:tab w:val="left" w:pos="397"/>
              </w:tabs>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p>
        </w:tc>
        <w:tc>
          <w:tcPr>
            <w:tcW w:w="1213" w:type="dxa"/>
            <w:vMerge w:val="continue"/>
            <w:noWrap w:val="0"/>
            <w:vAlign w:val="center"/>
          </w:tcPr>
          <w:p>
            <w:pPr>
              <w:keepNext w:val="0"/>
              <w:keepLines w:val="0"/>
              <w:pageBreakBefore w:val="0"/>
              <w:tabs>
                <w:tab w:val="left" w:pos="248"/>
              </w:tabs>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p>
        </w:tc>
        <w:tc>
          <w:tcPr>
            <w:tcW w:w="6325" w:type="dxa"/>
            <w:noWrap w:val="0"/>
            <w:vAlign w:val="center"/>
          </w:tcPr>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bookmarkStart w:id="437" w:name="OLE_LINK49"/>
            <w:r>
              <w:rPr>
                <w:rFonts w:hint="eastAsia" w:ascii="宋体" w:hAnsi="宋体" w:eastAsia="宋体" w:cs="宋体"/>
                <w:color w:val="auto"/>
                <w:kern w:val="2"/>
                <w:sz w:val="24"/>
                <w:szCs w:val="24"/>
                <w:highlight w:val="none"/>
                <w:lang w:val="en-US" w:eastAsia="zh-CN" w:bidi="ar-SA"/>
              </w:rPr>
              <w:t>提供垃圾分类氛围营造的全年宣传活动策划方案、培训方案等，要求方案富有趣味性、形式多样，全年覆盖。</w:t>
            </w:r>
          </w:p>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根据方案是否科学合理综合评定，未提供不得分。（评分范围：5,4,3,2,1,0）</w:t>
            </w:r>
            <w:bookmarkEnd w:id="437"/>
          </w:p>
        </w:tc>
        <w:tc>
          <w:tcPr>
            <w:tcW w:w="116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900"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586" w:type="dxa"/>
            <w:vMerge w:val="continue"/>
            <w:noWrap w:val="0"/>
            <w:vAlign w:val="center"/>
          </w:tcPr>
          <w:p>
            <w:pPr>
              <w:keepNext w:val="0"/>
              <w:keepLines w:val="0"/>
              <w:pageBreakBefore w:val="0"/>
              <w:numPr>
                <w:ilvl w:val="0"/>
                <w:numId w:val="0"/>
              </w:numPr>
              <w:kinsoku/>
              <w:wordWrap/>
              <w:overflowPunct/>
              <w:topLinePunct w:val="0"/>
              <w:autoSpaceDE/>
              <w:autoSpaceDN/>
              <w:bidi w:val="0"/>
              <w:snapToGrid/>
              <w:spacing w:line="240" w:lineRule="auto"/>
              <w:ind w:leftChars="0"/>
              <w:jc w:val="center"/>
              <w:textAlignment w:val="auto"/>
              <w:rPr>
                <w:rFonts w:hint="eastAsia" w:ascii="宋体" w:hAnsi="宋体" w:eastAsia="宋体" w:cs="宋体"/>
                <w:color w:val="auto"/>
                <w:sz w:val="24"/>
                <w:szCs w:val="24"/>
                <w:highlight w:val="none"/>
              </w:rPr>
            </w:pPr>
          </w:p>
        </w:tc>
        <w:tc>
          <w:tcPr>
            <w:tcW w:w="1213" w:type="dxa"/>
            <w:vMerge w:val="continue"/>
            <w:noWrap w:val="0"/>
            <w:vAlign w:val="center"/>
          </w:tcPr>
          <w:p>
            <w:pPr>
              <w:keepNext w:val="0"/>
              <w:keepLines w:val="0"/>
              <w:pageBreakBefore w:val="0"/>
              <w:tabs>
                <w:tab w:val="left" w:pos="248"/>
              </w:tabs>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p>
        </w:tc>
        <w:tc>
          <w:tcPr>
            <w:tcW w:w="6325" w:type="dxa"/>
            <w:noWrap w:val="0"/>
            <w:vAlign w:val="center"/>
          </w:tcPr>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bookmarkStart w:id="438" w:name="OLE_LINK50"/>
            <w:r>
              <w:rPr>
                <w:rFonts w:hint="eastAsia" w:ascii="宋体" w:hAnsi="宋体" w:eastAsia="宋体" w:cs="宋体"/>
                <w:color w:val="auto"/>
                <w:sz w:val="24"/>
                <w:szCs w:val="24"/>
              </w:rPr>
              <w:t>在宣传推广方面</w:t>
            </w:r>
            <w:r>
              <w:rPr>
                <w:rFonts w:hint="eastAsia" w:ascii="宋体" w:hAnsi="宋体" w:eastAsia="宋体" w:cs="宋体"/>
                <w:color w:val="auto"/>
                <w:sz w:val="24"/>
                <w:szCs w:val="24"/>
                <w:lang w:eastAsia="zh-CN"/>
              </w:rPr>
              <w:t>需</w:t>
            </w:r>
            <w:r>
              <w:rPr>
                <w:rFonts w:hint="eastAsia" w:ascii="宋体" w:hAnsi="宋体" w:eastAsia="宋体" w:cs="宋体"/>
                <w:color w:val="auto"/>
                <w:sz w:val="24"/>
                <w:szCs w:val="24"/>
              </w:rPr>
              <w:t>具有一定经验，根据垃圾分类项目宣传推广及运营管理经验和宣传效果</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经验</w:t>
            </w:r>
            <w:r>
              <w:rPr>
                <w:rFonts w:hint="eastAsia" w:ascii="宋体" w:hAnsi="宋体" w:eastAsia="宋体" w:cs="宋体"/>
                <w:bCs/>
                <w:color w:val="auto"/>
                <w:sz w:val="24"/>
                <w:szCs w:val="24"/>
                <w:lang w:eastAsia="zh-CN"/>
              </w:rPr>
              <w:t>是否</w:t>
            </w:r>
            <w:r>
              <w:rPr>
                <w:rFonts w:hint="eastAsia" w:ascii="宋体" w:hAnsi="宋体" w:eastAsia="宋体" w:cs="宋体"/>
                <w:bCs/>
                <w:color w:val="auto"/>
                <w:sz w:val="24"/>
                <w:szCs w:val="24"/>
              </w:rPr>
              <w:t>充足</w:t>
            </w:r>
            <w:r>
              <w:rPr>
                <w:rFonts w:hint="eastAsia" w:ascii="宋体" w:hAnsi="宋体" w:eastAsia="宋体" w:cs="宋体"/>
                <w:color w:val="auto"/>
                <w:kern w:val="2"/>
                <w:sz w:val="24"/>
                <w:szCs w:val="24"/>
                <w:highlight w:val="none"/>
                <w:lang w:val="en-US" w:eastAsia="zh-CN" w:bidi="ar-SA"/>
              </w:rPr>
              <w:t>综合评定，未提供不得分。</w:t>
            </w:r>
            <w:bookmarkStart w:id="439" w:name="OLE_LINK52"/>
            <w:r>
              <w:rPr>
                <w:rFonts w:hint="eastAsia" w:ascii="宋体" w:hAnsi="宋体" w:eastAsia="宋体" w:cs="宋体"/>
                <w:color w:val="auto"/>
                <w:kern w:val="2"/>
                <w:sz w:val="24"/>
                <w:szCs w:val="24"/>
                <w:highlight w:val="none"/>
                <w:lang w:val="en-US" w:eastAsia="zh-CN" w:bidi="ar-SA"/>
              </w:rPr>
              <w:t>（</w:t>
            </w:r>
            <w:bookmarkEnd w:id="439"/>
            <w:r>
              <w:rPr>
                <w:rFonts w:hint="eastAsia" w:ascii="宋体" w:hAnsi="宋体" w:eastAsia="宋体" w:cs="宋体"/>
                <w:color w:val="auto"/>
                <w:kern w:val="2"/>
                <w:sz w:val="24"/>
                <w:szCs w:val="24"/>
                <w:highlight w:val="none"/>
                <w:lang w:val="en-US" w:eastAsia="zh-CN" w:bidi="ar-SA"/>
              </w:rPr>
              <w:t>评分范围：5,4,3,2,1,0）</w:t>
            </w:r>
            <w:bookmarkEnd w:id="438"/>
          </w:p>
        </w:tc>
        <w:tc>
          <w:tcPr>
            <w:tcW w:w="116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900"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586" w:type="dxa"/>
            <w:vMerge w:val="continue"/>
            <w:noWrap w:val="0"/>
            <w:vAlign w:val="center"/>
          </w:tcPr>
          <w:p>
            <w:pPr>
              <w:keepNext w:val="0"/>
              <w:keepLines w:val="0"/>
              <w:pageBreakBefore w:val="0"/>
              <w:numPr>
                <w:ilvl w:val="0"/>
                <w:numId w:val="0"/>
              </w:numPr>
              <w:kinsoku/>
              <w:wordWrap/>
              <w:overflowPunct/>
              <w:topLinePunct w:val="0"/>
              <w:autoSpaceDE/>
              <w:autoSpaceDN/>
              <w:bidi w:val="0"/>
              <w:snapToGrid/>
              <w:spacing w:line="240" w:lineRule="auto"/>
              <w:ind w:leftChars="0"/>
              <w:jc w:val="center"/>
              <w:textAlignment w:val="auto"/>
              <w:rPr>
                <w:rFonts w:hint="eastAsia" w:ascii="宋体" w:hAnsi="宋体" w:eastAsia="宋体" w:cs="宋体"/>
                <w:color w:val="auto"/>
                <w:sz w:val="24"/>
                <w:szCs w:val="24"/>
                <w:highlight w:val="none"/>
              </w:rPr>
            </w:pPr>
          </w:p>
        </w:tc>
        <w:tc>
          <w:tcPr>
            <w:tcW w:w="1213" w:type="dxa"/>
            <w:vMerge w:val="continue"/>
            <w:noWrap w:val="0"/>
            <w:vAlign w:val="center"/>
          </w:tcPr>
          <w:p>
            <w:pPr>
              <w:keepNext w:val="0"/>
              <w:keepLines w:val="0"/>
              <w:pageBreakBefore w:val="0"/>
              <w:tabs>
                <w:tab w:val="left" w:pos="248"/>
              </w:tabs>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p>
        </w:tc>
        <w:tc>
          <w:tcPr>
            <w:tcW w:w="6325" w:type="dxa"/>
            <w:noWrap w:val="0"/>
            <w:vAlign w:val="center"/>
          </w:tcPr>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cs="宋体"/>
                <w:color w:val="auto"/>
                <w:sz w:val="24"/>
                <w:highlight w:val="none"/>
              </w:rPr>
            </w:pPr>
            <w:bookmarkStart w:id="440" w:name="OLE_LINK51"/>
            <w:r>
              <w:rPr>
                <w:rFonts w:hint="eastAsia" w:ascii="宋体" w:hAnsi="宋体" w:cs="宋体"/>
                <w:color w:val="auto"/>
                <w:sz w:val="24"/>
                <w:highlight w:val="none"/>
              </w:rPr>
              <w:t>结合本次招标要求，投标单位提供小区电子秤、兑换机（或发袋机）的系统升级方案，根据方案的科学性、完整性、匹配性、可行性进行综合评定。</w:t>
            </w:r>
          </w:p>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highlight w:val="none"/>
                <w:lang w:val="en-US" w:eastAsia="zh-CN"/>
              </w:rPr>
              <w:t>评分范围</w:t>
            </w:r>
            <w:r>
              <w:rPr>
                <w:rFonts w:hint="eastAsia" w:ascii="宋体" w:hAnsi="宋体" w:cs="宋体"/>
                <w:color w:val="auto"/>
                <w:sz w:val="24"/>
                <w:highlight w:val="none"/>
              </w:rPr>
              <w:t>：5-4-3-2-1-0）</w:t>
            </w:r>
            <w:bookmarkEnd w:id="440"/>
          </w:p>
        </w:tc>
        <w:tc>
          <w:tcPr>
            <w:tcW w:w="116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900"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586" w:type="dxa"/>
            <w:vMerge w:val="continue"/>
            <w:noWrap w:val="0"/>
            <w:vAlign w:val="center"/>
          </w:tcPr>
          <w:p>
            <w:pPr>
              <w:keepNext w:val="0"/>
              <w:keepLines w:val="0"/>
              <w:pageBreakBefore w:val="0"/>
              <w:numPr>
                <w:ilvl w:val="0"/>
                <w:numId w:val="0"/>
              </w:numPr>
              <w:kinsoku/>
              <w:wordWrap/>
              <w:overflowPunct/>
              <w:topLinePunct w:val="0"/>
              <w:autoSpaceDE/>
              <w:autoSpaceDN/>
              <w:bidi w:val="0"/>
              <w:snapToGrid/>
              <w:spacing w:line="240" w:lineRule="auto"/>
              <w:ind w:leftChars="0"/>
              <w:jc w:val="center"/>
              <w:textAlignment w:val="auto"/>
              <w:rPr>
                <w:rFonts w:hint="eastAsia" w:ascii="宋体" w:hAnsi="宋体" w:eastAsia="宋体" w:cs="宋体"/>
                <w:color w:val="auto"/>
                <w:sz w:val="24"/>
                <w:szCs w:val="24"/>
                <w:highlight w:val="none"/>
              </w:rPr>
            </w:pPr>
          </w:p>
        </w:tc>
        <w:tc>
          <w:tcPr>
            <w:tcW w:w="1213" w:type="dxa"/>
            <w:vMerge w:val="continue"/>
            <w:noWrap w:val="0"/>
            <w:vAlign w:val="center"/>
          </w:tcPr>
          <w:p>
            <w:pPr>
              <w:keepNext w:val="0"/>
              <w:keepLines w:val="0"/>
              <w:pageBreakBefore w:val="0"/>
              <w:tabs>
                <w:tab w:val="left" w:pos="248"/>
              </w:tabs>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p>
        </w:tc>
        <w:tc>
          <w:tcPr>
            <w:tcW w:w="6325" w:type="dxa"/>
            <w:noWrap w:val="0"/>
            <w:vAlign w:val="center"/>
          </w:tcPr>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none"/>
                <w:lang w:eastAsia="zh-CN"/>
              </w:rPr>
            </w:pPr>
            <w:bookmarkStart w:id="441" w:name="OLE_LINK53"/>
            <w:r>
              <w:rPr>
                <w:rFonts w:hint="eastAsia" w:ascii="宋体" w:hAnsi="宋体" w:eastAsia="宋体" w:cs="宋体"/>
                <w:color w:val="auto"/>
                <w:kern w:val="2"/>
                <w:sz w:val="24"/>
                <w:szCs w:val="24"/>
                <w:highlight w:val="none"/>
                <w:lang w:val="en-US" w:eastAsia="zh-CN" w:bidi="ar-SA"/>
              </w:rPr>
              <w:t>提供项目整体和日常点位巡查和人员配备等方案综合评定。从项目巡查人员配备是否到位、巡查内容是否全面、巡检流程是否合理、操作是否高效等角度进行阐述，未提供不得分。（评分范围：5,4,3,2,1,0）</w:t>
            </w:r>
            <w:bookmarkEnd w:id="441"/>
          </w:p>
        </w:tc>
        <w:tc>
          <w:tcPr>
            <w:tcW w:w="116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900"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586" w:type="dxa"/>
            <w:vMerge w:val="continue"/>
            <w:noWrap w:val="0"/>
            <w:vAlign w:val="center"/>
          </w:tcPr>
          <w:p>
            <w:pPr>
              <w:keepNext w:val="0"/>
              <w:keepLines w:val="0"/>
              <w:pageBreakBefore w:val="0"/>
              <w:numPr>
                <w:ilvl w:val="0"/>
                <w:numId w:val="0"/>
              </w:numPr>
              <w:kinsoku/>
              <w:wordWrap/>
              <w:overflowPunct/>
              <w:topLinePunct w:val="0"/>
              <w:autoSpaceDE/>
              <w:autoSpaceDN/>
              <w:bidi w:val="0"/>
              <w:snapToGrid/>
              <w:spacing w:line="240" w:lineRule="auto"/>
              <w:ind w:leftChars="0"/>
              <w:jc w:val="center"/>
              <w:textAlignment w:val="auto"/>
              <w:rPr>
                <w:rFonts w:hint="eastAsia" w:ascii="宋体" w:hAnsi="宋体" w:eastAsia="宋体" w:cs="宋体"/>
                <w:color w:val="auto"/>
                <w:sz w:val="24"/>
                <w:szCs w:val="24"/>
                <w:highlight w:val="none"/>
              </w:rPr>
            </w:pPr>
          </w:p>
        </w:tc>
        <w:tc>
          <w:tcPr>
            <w:tcW w:w="1213" w:type="dxa"/>
            <w:vMerge w:val="continue"/>
            <w:noWrap w:val="0"/>
            <w:vAlign w:val="center"/>
          </w:tcPr>
          <w:p>
            <w:pPr>
              <w:keepNext w:val="0"/>
              <w:keepLines w:val="0"/>
              <w:pageBreakBefore w:val="0"/>
              <w:tabs>
                <w:tab w:val="left" w:pos="248"/>
              </w:tabs>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p>
        </w:tc>
        <w:tc>
          <w:tcPr>
            <w:tcW w:w="6325" w:type="dxa"/>
            <w:noWrap w:val="0"/>
            <w:vAlign w:val="center"/>
          </w:tcPr>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提供定时投放点亭（厢房）、垃圾投放车、垃圾房相关设施设备的日常维修、款式更新等工作方案。</w:t>
            </w:r>
            <w:r>
              <w:rPr>
                <w:rFonts w:hint="eastAsia" w:ascii="宋体" w:hAnsi="宋体" w:eastAsia="宋体" w:cs="宋体"/>
                <w:color w:val="auto"/>
                <w:sz w:val="24"/>
                <w:szCs w:val="24"/>
                <w:lang w:eastAsia="zh-CN"/>
              </w:rPr>
              <w:t>根据</w:t>
            </w:r>
            <w:r>
              <w:rPr>
                <w:rFonts w:hint="eastAsia" w:ascii="宋体" w:hAnsi="宋体" w:eastAsia="宋体" w:cs="宋体"/>
                <w:color w:val="auto"/>
                <w:kern w:val="2"/>
                <w:sz w:val="24"/>
                <w:szCs w:val="24"/>
                <w:highlight w:val="none"/>
                <w:lang w:val="en-US" w:eastAsia="zh-CN" w:bidi="ar-SA"/>
              </w:rPr>
              <w:t>方案是否科学合理综合评定，未提供不得分。（评分范围：5,4,3,2,1,0）</w:t>
            </w:r>
          </w:p>
        </w:tc>
        <w:tc>
          <w:tcPr>
            <w:tcW w:w="116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900"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86" w:type="dxa"/>
            <w:vMerge w:val="continue"/>
            <w:noWrap w:val="0"/>
            <w:vAlign w:val="center"/>
          </w:tcPr>
          <w:p>
            <w:pPr>
              <w:keepNext w:val="0"/>
              <w:keepLines w:val="0"/>
              <w:pageBreakBefore w:val="0"/>
              <w:numPr>
                <w:ilvl w:val="0"/>
                <w:numId w:val="0"/>
              </w:numPr>
              <w:kinsoku/>
              <w:wordWrap/>
              <w:overflowPunct/>
              <w:topLinePunct w:val="0"/>
              <w:autoSpaceDE/>
              <w:autoSpaceDN/>
              <w:bidi w:val="0"/>
              <w:snapToGrid/>
              <w:spacing w:line="240" w:lineRule="auto"/>
              <w:ind w:leftChars="0"/>
              <w:jc w:val="center"/>
              <w:textAlignment w:val="auto"/>
              <w:rPr>
                <w:rFonts w:hint="eastAsia" w:ascii="宋体" w:hAnsi="宋体" w:eastAsia="宋体" w:cs="宋体"/>
                <w:color w:val="auto"/>
                <w:sz w:val="24"/>
                <w:szCs w:val="24"/>
                <w:highlight w:val="none"/>
                <w:lang w:val="en-US" w:eastAsia="zh-CN"/>
              </w:rPr>
            </w:pPr>
          </w:p>
        </w:tc>
        <w:tc>
          <w:tcPr>
            <w:tcW w:w="1213" w:type="dxa"/>
            <w:vMerge w:val="continue"/>
            <w:noWrap w:val="0"/>
            <w:vAlign w:val="center"/>
          </w:tcPr>
          <w:p>
            <w:pPr>
              <w:keepNext w:val="0"/>
              <w:keepLines w:val="0"/>
              <w:pageBreakBefore w:val="0"/>
              <w:tabs>
                <w:tab w:val="left" w:pos="248"/>
              </w:tabs>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yellow"/>
                <w:lang w:eastAsia="zh-CN"/>
              </w:rPr>
            </w:pPr>
          </w:p>
        </w:tc>
        <w:tc>
          <w:tcPr>
            <w:tcW w:w="6325" w:type="dxa"/>
            <w:noWrap w:val="0"/>
            <w:vAlign w:val="center"/>
          </w:tcPr>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bookmarkStart w:id="442" w:name="OLE_LINK54"/>
            <w:r>
              <w:rPr>
                <w:rFonts w:hint="eastAsia" w:ascii="宋体" w:hAnsi="宋体" w:cs="宋体"/>
                <w:color w:val="auto"/>
                <w:sz w:val="24"/>
                <w:highlight w:val="none"/>
              </w:rPr>
              <w:t>制定小区生活垃圾分类中的应急预案，根据方案的合理性、全面性等进行综合评定。（评分范围：5,4,3,2,1,0）</w:t>
            </w:r>
            <w:bookmarkEnd w:id="442"/>
          </w:p>
        </w:tc>
        <w:tc>
          <w:tcPr>
            <w:tcW w:w="116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p>
        </w:tc>
        <w:tc>
          <w:tcPr>
            <w:tcW w:w="900"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586" w:type="dxa"/>
            <w:noWrap w:val="0"/>
            <w:vAlign w:val="center"/>
          </w:tcPr>
          <w:p>
            <w:pPr>
              <w:keepNext w:val="0"/>
              <w:keepLines w:val="0"/>
              <w:pageBreakBefore w:val="0"/>
              <w:numPr>
                <w:ilvl w:val="0"/>
                <w:numId w:val="0"/>
              </w:numPr>
              <w:kinsoku/>
              <w:wordWrap/>
              <w:overflowPunct/>
              <w:topLinePunct w:val="0"/>
              <w:autoSpaceDE/>
              <w:autoSpaceDN/>
              <w:bidi w:val="0"/>
              <w:snapToGrid/>
              <w:spacing w:line="240"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213" w:type="dxa"/>
            <w:noWrap w:val="0"/>
            <w:vAlign w:val="center"/>
          </w:tcPr>
          <w:p>
            <w:pPr>
              <w:pStyle w:val="484"/>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bookmarkStart w:id="443" w:name="OLE_LINK55"/>
            <w:r>
              <w:rPr>
                <w:rFonts w:hint="eastAsia" w:ascii="宋体" w:hAnsi="宋体" w:eastAsia="宋体" w:cs="宋体"/>
                <w:color w:val="auto"/>
                <w:kern w:val="2"/>
                <w:sz w:val="24"/>
                <w:szCs w:val="24"/>
                <w:highlight w:val="none"/>
                <w:lang w:val="en-US" w:eastAsia="zh-CN" w:bidi="ar-SA"/>
              </w:rPr>
              <w:t>平稳交接过渡方案</w:t>
            </w:r>
            <w:bookmarkEnd w:id="443"/>
          </w:p>
        </w:tc>
        <w:tc>
          <w:tcPr>
            <w:tcW w:w="6325" w:type="dxa"/>
            <w:noWrap w:val="0"/>
            <w:vAlign w:val="center"/>
          </w:tcPr>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none"/>
              </w:rPr>
            </w:pPr>
            <w:bookmarkStart w:id="458" w:name="_GoBack"/>
            <w:r>
              <w:rPr>
                <w:rFonts w:hint="eastAsia" w:ascii="宋体" w:hAnsi="宋体" w:eastAsia="宋体" w:cs="宋体"/>
                <w:color w:val="auto"/>
                <w:kern w:val="2"/>
                <w:sz w:val="24"/>
                <w:szCs w:val="24"/>
                <w:highlight w:val="none"/>
                <w:lang w:val="en-US" w:eastAsia="zh-CN" w:bidi="ar-SA"/>
              </w:rPr>
              <w:t>垃圾分类服务平稳过渡交接，分析、制定相关的平稳过渡交接实施措施，根据分析是否到位、是否具有针对性解决措施综合评定，未提供不得分。（评分范围：</w:t>
            </w:r>
            <w:r>
              <w:rPr>
                <w:rFonts w:hint="eastAsia" w:ascii="宋体" w:hAnsi="宋体" w:eastAsia="宋体" w:cs="宋体"/>
                <w:color w:val="auto"/>
                <w:kern w:val="2"/>
                <w:sz w:val="24"/>
                <w:szCs w:val="24"/>
                <w:highlight w:val="none"/>
                <w:lang w:eastAsia="zh-CN" w:bidi="ar-SA"/>
              </w:rPr>
              <w:t>5,4,3,2,1,0）</w:t>
            </w:r>
            <w:bookmarkEnd w:id="458"/>
          </w:p>
        </w:tc>
        <w:tc>
          <w:tcPr>
            <w:tcW w:w="116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900"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86" w:type="dxa"/>
            <w:noWrap w:val="0"/>
            <w:vAlign w:val="center"/>
          </w:tcPr>
          <w:p>
            <w:pPr>
              <w:pStyle w:val="83"/>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p>
        </w:tc>
        <w:tc>
          <w:tcPr>
            <w:tcW w:w="1213" w:type="dxa"/>
            <w:noWrap w:val="0"/>
            <w:vAlign w:val="center"/>
          </w:tcPr>
          <w:p>
            <w:pPr>
              <w:pStyle w:val="83"/>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价格</w:t>
            </w:r>
            <w:r>
              <w:rPr>
                <w:rFonts w:hint="eastAsia" w:ascii="宋体" w:hAnsi="宋体" w:eastAsia="宋体" w:cs="宋体"/>
                <w:color w:val="auto"/>
                <w:sz w:val="24"/>
                <w:szCs w:val="24"/>
                <w:highlight w:val="none"/>
                <w:lang w:val="en-US"/>
              </w:rPr>
              <w:t>部分</w:t>
            </w:r>
          </w:p>
        </w:tc>
        <w:tc>
          <w:tcPr>
            <w:tcW w:w="6325" w:type="dxa"/>
            <w:noWrap w:val="0"/>
            <w:vAlign w:val="center"/>
          </w:tcPr>
          <w:p>
            <w:pPr>
              <w:pStyle w:val="83"/>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6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0-15</w:t>
            </w:r>
          </w:p>
        </w:tc>
        <w:tc>
          <w:tcPr>
            <w:tcW w:w="900"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jc w:val="center"/>
        </w:trPr>
        <w:tc>
          <w:tcPr>
            <w:tcW w:w="586" w:type="dxa"/>
            <w:noWrap w:val="0"/>
            <w:vAlign w:val="center"/>
          </w:tcPr>
          <w:p>
            <w:pPr>
              <w:keepNext w:val="0"/>
              <w:keepLines w:val="0"/>
              <w:pageBreakBefore w:val="0"/>
              <w:numPr>
                <w:ilvl w:val="0"/>
                <w:numId w:val="0"/>
              </w:numPr>
              <w:kinsoku/>
              <w:wordWrap/>
              <w:overflowPunct/>
              <w:topLinePunct w:val="0"/>
              <w:autoSpaceDE/>
              <w:autoSpaceDN/>
              <w:bidi w:val="0"/>
              <w:snapToGrid/>
              <w:spacing w:line="240"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p>
        </w:tc>
        <w:tc>
          <w:tcPr>
            <w:tcW w:w="1213"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价格分（15分）</w:t>
            </w:r>
          </w:p>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价格权值=0.15</w:t>
            </w:r>
          </w:p>
        </w:tc>
        <w:tc>
          <w:tcPr>
            <w:tcW w:w="6325" w:type="dxa"/>
            <w:noWrap w:val="0"/>
            <w:vAlign w:val="center"/>
          </w:tcPr>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最低有效投标价格为评标基准价</w:t>
            </w:r>
          </w:p>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投标报价得分=(评标基准价／投标报价)×价格权值×100 </w:t>
            </w:r>
          </w:p>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（计算得分保留小数点后2位）</w:t>
            </w:r>
          </w:p>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评标过程中，不得去掉报价中的最高报价和最低报价。</w:t>
            </w:r>
          </w:p>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1162" w:type="dxa"/>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15</w:t>
            </w:r>
          </w:p>
        </w:tc>
        <w:tc>
          <w:tcPr>
            <w:tcW w:w="900" w:type="dxa"/>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价格分</w:t>
            </w:r>
          </w:p>
        </w:tc>
      </w:tr>
    </w:tbl>
    <w:p>
      <w:pPr>
        <w:spacing w:line="360" w:lineRule="auto"/>
        <w:rPr>
          <w:rFonts w:hint="eastAsia" w:ascii="宋体" w:hAnsi="宋体" w:cs="宋体"/>
          <w:sz w:val="20"/>
          <w:szCs w:val="20"/>
          <w:shd w:val="clear" w:color="auto" w:fill="FFFFFF"/>
        </w:rPr>
      </w:pPr>
    </w:p>
    <w:p>
      <w:pPr>
        <w:spacing w:line="360" w:lineRule="auto"/>
        <w:rPr>
          <w:rFonts w:hint="eastAsia"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p>
    <w:p>
      <w:pPr>
        <w:spacing w:line="360" w:lineRule="auto"/>
        <w:ind w:firstLine="240" w:firstLineChars="100"/>
        <w:rPr>
          <w:rFonts w:hint="eastAsia" w:ascii="宋体" w:hAnsi="宋体" w:cs="宋体"/>
          <w:b w:val="0"/>
          <w:bCs w:val="0"/>
          <w:sz w:val="24"/>
        </w:rPr>
      </w:pPr>
      <w:r>
        <w:rPr>
          <w:rFonts w:hint="eastAsia" w:ascii="宋体" w:hAnsi="宋体" w:cs="宋体"/>
          <w:b w:val="0"/>
          <w:bCs w:val="0"/>
          <w:sz w:val="24"/>
        </w:rPr>
        <w:t xml:space="preserve">1、投标人编制投标文件（商务技术文件部分）时，建议按此目录（序号和内容）提供评标标准相应的商务技术资料。 </w:t>
      </w:r>
    </w:p>
    <w:p>
      <w:pPr>
        <w:spacing w:line="360" w:lineRule="auto"/>
        <w:ind w:firstLine="240" w:firstLineChars="100"/>
        <w:rPr>
          <w:rFonts w:hint="eastAsia" w:ascii="宋体" w:hAnsi="宋体" w:cs="宋体"/>
          <w:b w:val="0"/>
          <w:bCs w:val="0"/>
          <w:sz w:val="24"/>
        </w:rPr>
      </w:pPr>
      <w:r>
        <w:rPr>
          <w:rFonts w:hint="eastAsia" w:ascii="宋体" w:hAnsi="宋体" w:cs="宋体"/>
          <w:b w:val="0"/>
          <w:bCs w:val="0"/>
          <w:sz w:val="24"/>
          <w:lang w:val="en-US" w:eastAsia="zh-CN"/>
        </w:rPr>
        <w:t>2</w:t>
      </w:r>
      <w:r>
        <w:rPr>
          <w:rFonts w:hint="eastAsia" w:ascii="宋体" w:hAnsi="宋体" w:cs="宋体"/>
          <w:b w:val="0"/>
          <w:bCs w:val="0"/>
          <w:sz w:val="24"/>
        </w:rPr>
        <w:t>、投标文件中如附有外文资料，必须逐一对应翻译成中文并加盖投标人公章后附在相关外文资料后面，否则外文资料不予认可。</w:t>
      </w:r>
    </w:p>
    <w:p>
      <w:pPr>
        <w:pStyle w:val="23"/>
        <w:ind w:firstLine="241" w:firstLineChars="100"/>
        <w:rPr>
          <w:rFonts w:hint="eastAsia" w:eastAsia="宋体"/>
          <w:lang w:val="en-US" w:eastAsia="zh-CN"/>
        </w:rPr>
      </w:pPr>
      <w:r>
        <w:rPr>
          <w:rFonts w:hint="eastAsia" w:hAnsi="宋体" w:cs="宋体"/>
          <w:b/>
          <w:bCs/>
          <w:sz w:val="24"/>
          <w:lang w:val="en-US" w:eastAsia="zh-CN"/>
        </w:rPr>
        <w:t>3、本项目最高限价为6546220元，服务咨询报价包括为完成本项目服务内容可能发生的所有各项费用，如工作、生活、交通、通讯、设备（仪器）、劳力、利润、税收等以及所有有关的成本，服务实施过程中所有风险由投标人自行承担。</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hint="eastAsia" w:ascii="宋体" w:hAnsi="宋体" w:cs="宋体"/>
          <w:kern w:val="0"/>
          <w:sz w:val="24"/>
          <w:highlight w:val="cyan"/>
        </w:rPr>
      </w:pPr>
      <w:r>
        <w:rPr>
          <w:rFonts w:hint="eastAsia" w:ascii="宋体" w:hAnsi="宋体" w:cs="宋体"/>
          <w:kern w:val="0"/>
          <w:sz w:val="24"/>
          <w:highlight w:val="cyan"/>
        </w:rPr>
        <w:t>4.2.13投标人未提供样品或提供的样品不满足采购需求实质性条件的，投标无效；</w:t>
      </w:r>
    </w:p>
    <w:p>
      <w:pPr>
        <w:pStyle w:val="2"/>
        <w:ind w:left="862" w:leftChars="205"/>
        <w:rPr>
          <w:highlight w:val="cyan"/>
        </w:rPr>
      </w:pPr>
      <w:r>
        <w:rPr>
          <w:rFonts w:hint="eastAsia" w:ascii="宋体" w:hAnsi="宋体" w:eastAsia="宋体" w:cs="宋体"/>
          <w:b w:val="0"/>
          <w:bCs w:val="0"/>
          <w:kern w:val="0"/>
          <w:sz w:val="24"/>
          <w:szCs w:val="24"/>
          <w:highlight w:val="cyan"/>
          <w:lang w:val="en-US"/>
        </w:rPr>
        <w:t>4.2.14 投标文件不满足招标文件的实质性要求的；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9"/>
      <w:bookmarkStart w:id="444" w:name="第五部分"/>
      <w:bookmarkStart w:id="445" w:name="_Toc86217003"/>
    </w:p>
    <w:p>
      <w:pPr>
        <w:spacing w:line="360" w:lineRule="auto"/>
        <w:ind w:left="720" w:leftChars="343" w:firstLine="1084" w:firstLineChars="300"/>
        <w:outlineLvl w:val="0"/>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spacing w:line="360" w:lineRule="auto"/>
        <w:ind w:left="-420" w:leftChars="-200" w:right="-420" w:rightChars="-200" w:firstLine="480" w:firstLineChars="200"/>
        <w:jc w:val="center"/>
        <w:outlineLvl w:val="0"/>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
      <w:pPr>
        <w:widowControl/>
        <w:adjustRightInd/>
        <w:jc w:val="center"/>
        <w:rPr>
          <w:rFonts w:ascii="宋体" w:hAnsi="宋体" w:cs="宋体"/>
          <w:b/>
          <w:sz w:val="36"/>
          <w:szCs w:val="20"/>
        </w:rPr>
      </w:pPr>
      <w:r>
        <w:rPr>
          <w:rFonts w:hint="eastAsia" w:ascii="宋体" w:hAnsi="宋体" w:cs="宋体"/>
          <w:b/>
          <w:sz w:val="36"/>
          <w:szCs w:val="20"/>
        </w:rPr>
        <w:t>第六部分</w:t>
      </w:r>
      <w:bookmarkEnd w:id="444"/>
      <w:r>
        <w:rPr>
          <w:rFonts w:hint="eastAsia" w:ascii="宋体" w:hAnsi="宋体" w:cs="宋体"/>
          <w:b/>
          <w:sz w:val="36"/>
          <w:szCs w:val="20"/>
        </w:rPr>
        <w:t xml:space="preserve"> </w:t>
      </w:r>
      <w:bookmarkEnd w:id="445"/>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firstLine="559" w:firstLineChars="233"/>
        <w:jc w:val="left"/>
        <w:rPr>
          <w:rFonts w:ascii="宋体" w:hAnsi="宋体" w:cs="宋体"/>
          <w:b/>
          <w:kern w:val="0"/>
          <w:sz w:val="32"/>
          <w:szCs w:val="32"/>
        </w:rPr>
      </w:pPr>
      <w:r>
        <w:rPr>
          <w:rFonts w:hint="eastAsia" w:cs="仿宋_GB2312" w:asciiTheme="minorEastAsia" w:hAnsiTheme="minorEastAsia" w:eastAsiaTheme="minorEastAsia"/>
          <w:sz w:val="24"/>
          <w:highlight w:val="cyan"/>
        </w:rPr>
        <w:t>注：根据《</w:t>
      </w:r>
      <w:r>
        <w:rPr>
          <w:rFonts w:cs="仿宋_GB2312" w:asciiTheme="minorEastAsia" w:hAnsiTheme="minorEastAsia" w:eastAsiaTheme="minorEastAsia"/>
          <w:sz w:val="24"/>
          <w:highlight w:val="cyan"/>
        </w:rPr>
        <w:t>关于规范政府采购供应商资格设定及资格审查的通知</w:t>
      </w:r>
      <w:r>
        <w:rPr>
          <w:rFonts w:hint="eastAsia" w:cs="仿宋_GB2312" w:asciiTheme="minorEastAsia" w:hAnsiTheme="minorEastAsia" w:eastAsiaTheme="minorEastAsia"/>
          <w:sz w:val="24"/>
          <w:highlight w:val="cyan"/>
        </w:rPr>
        <w:t>》（</w:t>
      </w:r>
      <w:r>
        <w:rPr>
          <w:rFonts w:cs="仿宋_GB2312" w:asciiTheme="minorEastAsia" w:hAnsiTheme="minorEastAsia" w:eastAsiaTheme="minorEastAsia"/>
          <w:sz w:val="24"/>
          <w:highlight w:val="cyan"/>
        </w:rPr>
        <w:t>浙财采监[2013]24号</w:t>
      </w:r>
      <w:r>
        <w:rPr>
          <w:rFonts w:hint="eastAsia" w:cs="仿宋_GB2312" w:asciiTheme="minorEastAsia" w:hAnsiTheme="minorEastAsia" w:eastAsiaTheme="minorEastAsia"/>
          <w:sz w:val="24"/>
          <w:highlight w:val="cyan"/>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cyan"/>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46" w:name="_Hlk101257010"/>
      <w:r>
        <w:rPr>
          <w:rFonts w:hint="eastAsia" w:ascii="宋体" w:hAnsi="宋体" w:cs="宋体"/>
          <w:color w:val="FF0000"/>
          <w:sz w:val="24"/>
        </w:rPr>
        <w:t>（如果有)</w:t>
      </w:r>
      <w:bookmarkEnd w:id="446"/>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ind w:firstLine="480" w:firstLineChars="200"/>
        <w:rPr>
          <w:rFonts w:ascii="宋体" w:hAnsi="宋体" w:cs="宋体"/>
          <w:kern w:val="0"/>
          <w:sz w:val="24"/>
          <w:lang w:val="zh-CN"/>
        </w:rPr>
      </w:pPr>
      <w:r>
        <w:rPr>
          <w:rFonts w:hint="eastAsia" w:ascii="宋体" w:hAnsi="宋体" w:cs="宋体"/>
          <w:sz w:val="24"/>
        </w:rPr>
        <w:t xml:space="preserve"> </w:t>
      </w:r>
      <w:r>
        <w:rPr>
          <w:rFonts w:hint="eastAsia" w:ascii="宋体" w:hAnsi="宋体" w:cs="宋体"/>
          <w:kern w:val="0"/>
          <w:sz w:val="24"/>
          <w:highlight w:val="cyan"/>
          <w:lang w:val="zh-CN"/>
        </w:rPr>
        <w:t>注：</w:t>
      </w:r>
      <w:r>
        <w:rPr>
          <w:rFonts w:hint="eastAsia" w:ascii="宋体" w:hAnsi="宋体" w:cs="宋体"/>
          <w:kern w:val="0"/>
          <w:sz w:val="24"/>
          <w:highlight w:val="red"/>
          <w:lang w:val="zh-CN"/>
        </w:rPr>
        <w:t>▲</w:t>
      </w:r>
      <w:r>
        <w:rPr>
          <w:rFonts w:hint="eastAsia" w:ascii="宋体" w:hAnsi="宋体" w:cs="宋体"/>
          <w:kern w:val="0"/>
          <w:sz w:val="24"/>
          <w:highlight w:val="cyan"/>
          <w:lang w:val="zh-CN"/>
        </w:rPr>
        <w:t>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1"/>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sz w:val="24"/>
              </w:rPr>
            </w:pPr>
            <w:r>
              <w:rPr>
                <w:rFonts w:hint="eastAsia" w:hAnsi="宋体" w:cs="宋体"/>
                <w:bCs/>
                <w:sz w:val="24"/>
              </w:rPr>
              <w:t>正面：                                 反面：</w:t>
            </w:r>
          </w:p>
          <w:p>
            <w:pPr>
              <w:pStyle w:val="151"/>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bookmarkStart w:id="447" w:name="OLE_LINK26"/>
            <w:r>
              <w:rPr>
                <w:rFonts w:hint="eastAsia" w:ascii="宋体" w:hAnsi="宋体" w:cs="宋体"/>
                <w:sz w:val="24"/>
              </w:rPr>
              <w:t>投标文件按照招标文件要求签署、盖章</w:t>
            </w:r>
            <w:bookmarkEnd w:id="447"/>
            <w:r>
              <w:rPr>
                <w:rFonts w:hint="eastAsia" w:ascii="宋体" w:hAnsi="宋体" w:cs="宋体"/>
                <w:sz w:val="24"/>
              </w:rPr>
              <w:t>。</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bookmarkStart w:id="448" w:name="OLE_LINK25"/>
            <w:r>
              <w:rPr>
                <w:rFonts w:hint="eastAsia" w:ascii="宋体" w:hAnsi="宋体" w:cs="宋体"/>
                <w:sz w:val="24"/>
              </w:rPr>
              <w:t>投标文件中承诺的投标有效期不少于招标文件中载明的投标有效期</w:t>
            </w:r>
            <w:bookmarkEnd w:id="448"/>
            <w:r>
              <w:rPr>
                <w:rFonts w:hint="eastAsia" w:ascii="宋体" w:hAnsi="宋体" w:cs="宋体"/>
                <w:sz w:val="24"/>
              </w:rPr>
              <w:t>。</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949"/>
        <w:gridCol w:w="2169"/>
        <w:gridCol w:w="2305"/>
        <w:gridCol w:w="2169"/>
        <w:gridCol w:w="2034"/>
        <w:gridCol w:w="2035"/>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781"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49"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169"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305"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169"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03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035"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034"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49"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169" w:type="dxa"/>
            <w:vAlign w:val="center"/>
          </w:tcPr>
          <w:p>
            <w:pPr>
              <w:spacing w:line="360" w:lineRule="auto"/>
              <w:jc w:val="center"/>
              <w:rPr>
                <w:rFonts w:hint="eastAsia" w:ascii="宋体" w:hAnsi="宋体" w:eastAsia="宋体" w:cs="宋体"/>
                <w:color w:val="auto"/>
                <w:sz w:val="24"/>
                <w:highlight w:val="none"/>
              </w:rPr>
            </w:pPr>
          </w:p>
        </w:tc>
        <w:tc>
          <w:tcPr>
            <w:tcW w:w="2305" w:type="dxa"/>
            <w:vAlign w:val="center"/>
          </w:tcPr>
          <w:p>
            <w:pPr>
              <w:spacing w:line="360" w:lineRule="auto"/>
              <w:jc w:val="center"/>
              <w:rPr>
                <w:rFonts w:hint="eastAsia" w:ascii="宋体" w:hAnsi="宋体" w:eastAsia="宋体" w:cs="宋体"/>
                <w:color w:val="auto"/>
                <w:sz w:val="24"/>
                <w:highlight w:val="none"/>
              </w:rPr>
            </w:pPr>
          </w:p>
        </w:tc>
        <w:tc>
          <w:tcPr>
            <w:tcW w:w="2169" w:type="dxa"/>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u w:val="none"/>
                <w:lang w:val="en-US" w:eastAsia="zh-CN"/>
              </w:rPr>
              <w:t>1年（365天）</w:t>
            </w:r>
          </w:p>
        </w:tc>
        <w:tc>
          <w:tcPr>
            <w:tcW w:w="2034" w:type="dxa"/>
            <w:vAlign w:val="center"/>
          </w:tcPr>
          <w:p>
            <w:pPr>
              <w:spacing w:line="360" w:lineRule="auto"/>
              <w:jc w:val="center"/>
              <w:rPr>
                <w:rFonts w:hint="eastAsia" w:ascii="宋体" w:hAnsi="宋体" w:eastAsia="宋体" w:cs="宋体"/>
                <w:color w:val="auto"/>
                <w:sz w:val="24"/>
                <w:highlight w:val="none"/>
              </w:rPr>
            </w:pPr>
          </w:p>
        </w:tc>
        <w:tc>
          <w:tcPr>
            <w:tcW w:w="2035" w:type="dxa"/>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u w:val="none"/>
              </w:rPr>
              <w:t>19848</w:t>
            </w:r>
            <w:r>
              <w:rPr>
                <w:rFonts w:hint="eastAsia" w:ascii="宋体" w:hAnsi="宋体" w:cs="宋体"/>
                <w:color w:val="auto"/>
                <w:sz w:val="24"/>
                <w:highlight w:val="none"/>
                <w:u w:val="none"/>
                <w:lang w:val="en-US" w:eastAsia="zh-CN"/>
              </w:rPr>
              <w:t>户</w:t>
            </w:r>
          </w:p>
        </w:tc>
        <w:tc>
          <w:tcPr>
            <w:tcW w:w="203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49"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169" w:type="dxa"/>
            <w:vAlign w:val="center"/>
          </w:tcPr>
          <w:p>
            <w:pPr>
              <w:spacing w:line="360" w:lineRule="auto"/>
              <w:jc w:val="center"/>
              <w:rPr>
                <w:rFonts w:hint="eastAsia" w:ascii="宋体" w:hAnsi="宋体" w:eastAsia="宋体" w:cs="宋体"/>
                <w:color w:val="auto"/>
                <w:sz w:val="24"/>
                <w:highlight w:val="none"/>
              </w:rPr>
            </w:pPr>
          </w:p>
        </w:tc>
        <w:tc>
          <w:tcPr>
            <w:tcW w:w="2305" w:type="dxa"/>
            <w:vAlign w:val="center"/>
          </w:tcPr>
          <w:p>
            <w:pPr>
              <w:spacing w:line="360" w:lineRule="auto"/>
              <w:jc w:val="center"/>
              <w:rPr>
                <w:rFonts w:hint="eastAsia" w:ascii="宋体" w:hAnsi="宋体" w:eastAsia="宋体" w:cs="宋体"/>
                <w:color w:val="auto"/>
                <w:sz w:val="24"/>
                <w:highlight w:val="none"/>
              </w:rPr>
            </w:pPr>
          </w:p>
        </w:tc>
        <w:tc>
          <w:tcPr>
            <w:tcW w:w="2169" w:type="dxa"/>
            <w:vAlign w:val="center"/>
          </w:tcPr>
          <w:p>
            <w:pPr>
              <w:spacing w:line="360" w:lineRule="auto"/>
              <w:jc w:val="center"/>
              <w:rPr>
                <w:rFonts w:hint="eastAsia" w:ascii="宋体" w:hAnsi="宋体" w:eastAsia="宋体" w:cs="宋体"/>
                <w:color w:val="auto"/>
                <w:sz w:val="24"/>
                <w:highlight w:val="none"/>
              </w:rPr>
            </w:pPr>
          </w:p>
        </w:tc>
        <w:tc>
          <w:tcPr>
            <w:tcW w:w="2034" w:type="dxa"/>
            <w:vAlign w:val="center"/>
          </w:tcPr>
          <w:p>
            <w:pPr>
              <w:spacing w:line="360" w:lineRule="auto"/>
              <w:jc w:val="center"/>
              <w:rPr>
                <w:rFonts w:hint="eastAsia" w:ascii="宋体" w:hAnsi="宋体" w:eastAsia="宋体" w:cs="宋体"/>
                <w:color w:val="auto"/>
                <w:sz w:val="24"/>
                <w:highlight w:val="none"/>
              </w:rPr>
            </w:pPr>
          </w:p>
        </w:tc>
        <w:tc>
          <w:tcPr>
            <w:tcW w:w="2035" w:type="dxa"/>
          </w:tcPr>
          <w:p>
            <w:pPr>
              <w:spacing w:line="360" w:lineRule="auto"/>
              <w:jc w:val="center"/>
              <w:rPr>
                <w:rFonts w:hint="eastAsia" w:ascii="宋体" w:hAnsi="宋体" w:eastAsia="宋体" w:cs="宋体"/>
                <w:color w:val="auto"/>
                <w:sz w:val="24"/>
                <w:highlight w:val="none"/>
              </w:rPr>
            </w:pPr>
          </w:p>
        </w:tc>
        <w:tc>
          <w:tcPr>
            <w:tcW w:w="203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49" w:type="dxa"/>
            <w:vAlign w:val="center"/>
          </w:tcPr>
          <w:p>
            <w:pPr>
              <w:spacing w:line="360" w:lineRule="auto"/>
              <w:jc w:val="center"/>
              <w:rPr>
                <w:rFonts w:hint="eastAsia" w:ascii="宋体" w:hAnsi="宋体" w:eastAsia="宋体" w:cs="宋体"/>
                <w:color w:val="auto"/>
                <w:sz w:val="24"/>
                <w:highlight w:val="none"/>
              </w:rPr>
            </w:pPr>
          </w:p>
        </w:tc>
        <w:tc>
          <w:tcPr>
            <w:tcW w:w="2169" w:type="dxa"/>
            <w:vAlign w:val="center"/>
          </w:tcPr>
          <w:p>
            <w:pPr>
              <w:spacing w:line="360" w:lineRule="auto"/>
              <w:jc w:val="center"/>
              <w:rPr>
                <w:rFonts w:hint="eastAsia" w:ascii="宋体" w:hAnsi="宋体" w:eastAsia="宋体" w:cs="宋体"/>
                <w:color w:val="auto"/>
                <w:sz w:val="24"/>
                <w:highlight w:val="none"/>
              </w:rPr>
            </w:pPr>
          </w:p>
        </w:tc>
        <w:tc>
          <w:tcPr>
            <w:tcW w:w="2305" w:type="dxa"/>
            <w:vAlign w:val="center"/>
          </w:tcPr>
          <w:p>
            <w:pPr>
              <w:spacing w:line="360" w:lineRule="auto"/>
              <w:jc w:val="center"/>
              <w:rPr>
                <w:rFonts w:hint="eastAsia" w:ascii="宋体" w:hAnsi="宋体" w:eastAsia="宋体" w:cs="宋体"/>
                <w:color w:val="auto"/>
                <w:sz w:val="24"/>
                <w:highlight w:val="none"/>
              </w:rPr>
            </w:pPr>
          </w:p>
        </w:tc>
        <w:tc>
          <w:tcPr>
            <w:tcW w:w="2169" w:type="dxa"/>
            <w:vAlign w:val="center"/>
          </w:tcPr>
          <w:p>
            <w:pPr>
              <w:spacing w:line="360" w:lineRule="auto"/>
              <w:jc w:val="center"/>
              <w:rPr>
                <w:rFonts w:hint="eastAsia" w:ascii="宋体" w:hAnsi="宋体" w:eastAsia="宋体" w:cs="宋体"/>
                <w:color w:val="auto"/>
                <w:sz w:val="24"/>
                <w:highlight w:val="none"/>
              </w:rPr>
            </w:pPr>
          </w:p>
        </w:tc>
        <w:tc>
          <w:tcPr>
            <w:tcW w:w="2034" w:type="dxa"/>
            <w:vAlign w:val="center"/>
          </w:tcPr>
          <w:p>
            <w:pPr>
              <w:spacing w:line="360" w:lineRule="auto"/>
              <w:jc w:val="center"/>
              <w:rPr>
                <w:rFonts w:hint="eastAsia" w:ascii="宋体" w:hAnsi="宋体" w:eastAsia="宋体" w:cs="宋体"/>
                <w:color w:val="auto"/>
                <w:sz w:val="24"/>
                <w:highlight w:val="none"/>
              </w:rPr>
            </w:pPr>
          </w:p>
        </w:tc>
        <w:tc>
          <w:tcPr>
            <w:tcW w:w="2035" w:type="dxa"/>
          </w:tcPr>
          <w:p>
            <w:pPr>
              <w:spacing w:line="360" w:lineRule="auto"/>
              <w:jc w:val="center"/>
              <w:rPr>
                <w:rFonts w:hint="eastAsia" w:ascii="宋体" w:hAnsi="宋体" w:eastAsia="宋体" w:cs="宋体"/>
                <w:color w:val="auto"/>
                <w:sz w:val="24"/>
                <w:highlight w:val="none"/>
              </w:rPr>
            </w:pPr>
          </w:p>
        </w:tc>
        <w:tc>
          <w:tcPr>
            <w:tcW w:w="203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04" w:type="dxa"/>
            <w:gridSpan w:val="4"/>
            <w:vMerge w:val="restar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272" w:type="dxa"/>
            <w:gridSpan w:val="4"/>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单价：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元/天/户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04" w:type="dxa"/>
            <w:gridSpan w:val="4"/>
            <w:vMerge w:val="continue"/>
            <w:vAlign w:val="center"/>
          </w:tcPr>
          <w:p>
            <w:pPr>
              <w:spacing w:line="360" w:lineRule="auto"/>
              <w:jc w:val="center"/>
            </w:pPr>
          </w:p>
        </w:tc>
        <w:tc>
          <w:tcPr>
            <w:tcW w:w="8272" w:type="dxa"/>
            <w:gridSpan w:val="4"/>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总价：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204" w:type="dxa"/>
            <w:gridSpan w:val="4"/>
            <w:vMerge w:val="restar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272" w:type="dxa"/>
            <w:gridSpan w:val="4"/>
            <w:vAlign w:val="top"/>
          </w:tcPr>
          <w:p>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单价：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元/天/户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204" w:type="dxa"/>
            <w:gridSpan w:val="4"/>
            <w:vMerge w:val="continue"/>
            <w:vAlign w:val="center"/>
          </w:tcPr>
          <w:p>
            <w:pPr>
              <w:spacing w:line="360" w:lineRule="auto"/>
              <w:jc w:val="center"/>
            </w:pPr>
          </w:p>
        </w:tc>
        <w:tc>
          <w:tcPr>
            <w:tcW w:w="8272" w:type="dxa"/>
            <w:gridSpan w:val="4"/>
            <w:vAlign w:val="top"/>
          </w:tcPr>
          <w:p>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总价：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元</w:t>
            </w: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b/>
          <w:sz w:val="24"/>
        </w:rPr>
      </w:pPr>
      <w:r>
        <w:rPr>
          <w:rFonts w:hint="eastAsia" w:ascii="宋体" w:hAnsi="宋体" w:cs="宋体"/>
          <w:kern w:val="0"/>
          <w:sz w:val="24"/>
          <w:highlight w:val="cyan"/>
          <w:lang w:val="zh-CN"/>
        </w:rPr>
        <w:t>2、有关本项目实施所涉及的一切费用均计入报价。</w:t>
      </w:r>
      <w:r>
        <w:rPr>
          <w:rFonts w:hint="eastAsia" w:ascii="宋体" w:hAnsi="宋体" w:cs="宋体"/>
          <w:b/>
          <w:kern w:val="0"/>
          <w:sz w:val="24"/>
          <w:highlight w:val="cyan"/>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cyan"/>
        </w:rPr>
        <w:t>视为</w:t>
      </w:r>
      <w:r>
        <w:rPr>
          <w:rFonts w:hint="eastAsia" w:ascii="宋体" w:hAnsi="宋体" w:cs="宋体"/>
          <w:b/>
          <w:sz w:val="24"/>
          <w:highlight w:val="cyan"/>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default" w:ascii="宋体" w:hAnsi="宋体" w:eastAsia="宋体" w:cs="宋体"/>
          <w:b/>
          <w:sz w:val="24"/>
          <w:highlight w:val="cyan"/>
          <w:lang w:val="en-US" w:eastAsia="zh-CN"/>
        </w:rPr>
      </w:pPr>
      <w:r>
        <w:rPr>
          <w:rFonts w:hint="eastAsia" w:ascii="宋体" w:hAnsi="宋体" w:cs="宋体"/>
          <w:b/>
          <w:sz w:val="24"/>
          <w:highlight w:val="cyan"/>
        </w:rPr>
        <w:t>5、特别说明：</w:t>
      </w:r>
      <w:r>
        <w:rPr>
          <w:rFonts w:hint="eastAsia" w:ascii="宋体" w:hAnsi="宋体" w:cs="宋体"/>
          <w:b/>
          <w:sz w:val="24"/>
          <w:highlight w:val="red"/>
        </w:rPr>
        <w:t>▲</w:t>
      </w:r>
      <w:r>
        <w:rPr>
          <w:rFonts w:hint="eastAsia" w:ascii="宋体" w:hAnsi="宋体" w:cs="宋体"/>
          <w:b/>
          <w:sz w:val="24"/>
          <w:highlight w:val="cyan"/>
        </w:rPr>
        <w:t>供应商报价低于项目预算50%的，应当在报价文件中详细阐述不影响产品质量或者诚信履约的具体原因</w:t>
      </w:r>
      <w:r>
        <w:rPr>
          <w:rFonts w:hint="eastAsia" w:ascii="宋体" w:hAnsi="宋体" w:cs="宋体"/>
          <w:b/>
          <w:sz w:val="24"/>
          <w:highlight w:val="cyan"/>
          <w:lang w:eastAsia="zh-CN"/>
        </w:rPr>
        <w:t>，</w:t>
      </w:r>
      <w:r>
        <w:rPr>
          <w:rFonts w:hint="eastAsia" w:ascii="宋体" w:hAnsi="宋体" w:cs="宋体"/>
          <w:b/>
          <w:sz w:val="24"/>
          <w:highlight w:val="cyan"/>
          <w:lang w:val="en-US" w:eastAsia="zh-CN"/>
        </w:rPr>
        <w:t>未做阐述说明的，投标无效。</w:t>
      </w:r>
    </w:p>
    <w:p>
      <w:pPr>
        <w:spacing w:line="360" w:lineRule="auto"/>
        <w:ind w:firstLine="482" w:firstLineChars="200"/>
        <w:rPr>
          <w:rFonts w:ascii="宋体" w:hAnsi="宋体" w:cs="宋体"/>
          <w:b/>
          <w:kern w:val="0"/>
          <w:sz w:val="24"/>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49" w:name="OLE_LINK14"/>
      <w:bookmarkStart w:id="450" w:name="OLE_LINK13"/>
      <w:r>
        <w:rPr>
          <w:rFonts w:hint="eastAsia" w:ascii="宋体" w:hAnsi="宋体" w:cs="宋体"/>
          <w:b/>
          <w:spacing w:val="6"/>
          <w:sz w:val="32"/>
          <w:szCs w:val="32"/>
        </w:rPr>
        <w:t>残疾人福利性单位声明函</w:t>
      </w:r>
    </w:p>
    <w:bookmarkEnd w:id="449"/>
    <w:bookmarkEnd w:id="450"/>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5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5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52"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52"/>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5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53"/>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0" w:firstLineChars="0"/>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cs="宋体"/>
          <w:sz w:val="24"/>
        </w:rPr>
      </w:pPr>
      <w:r>
        <w:rPr>
          <w:rFonts w:hint="eastAsia" w:ascii="宋体" w:hAnsi="宋体" w:cs="宋体"/>
          <w:sz w:val="24"/>
        </w:rPr>
        <w:br w:type="page"/>
      </w:r>
    </w:p>
    <w:p>
      <w:pPr>
        <w:pStyle w:val="2"/>
        <w:jc w:val="left"/>
        <w:rPr>
          <w:rFonts w:cs="仿宋_GB2312"/>
          <w:sz w:val="24"/>
          <w:highlight w:val="none"/>
        </w:rPr>
      </w:pPr>
      <w:r>
        <w:rPr>
          <w:rFonts w:hint="eastAsia"/>
          <w:highlight w:val="none"/>
        </w:rPr>
        <w:t>附件</w:t>
      </w:r>
      <w:r>
        <w:rPr>
          <w:rFonts w:hint="eastAsia"/>
          <w:highlight w:val="none"/>
          <w:lang w:val="en-US" w:eastAsia="zh-CN"/>
        </w:rPr>
        <w:t>8</w:t>
      </w:r>
      <w:r>
        <w:rPr>
          <w:rFonts w:hint="eastAsia"/>
          <w:highlight w:val="none"/>
        </w:rPr>
        <w:t>样品（演示）授权委托书</w:t>
      </w:r>
    </w:p>
    <w:p>
      <w:pPr>
        <w:jc w:val="center"/>
        <w:rPr>
          <w:sz w:val="40"/>
          <w:highlight w:val="none"/>
        </w:rPr>
      </w:pPr>
      <w:r>
        <w:rPr>
          <w:rFonts w:hint="eastAsia"/>
          <w:sz w:val="40"/>
          <w:highlight w:val="none"/>
        </w:rPr>
        <w:t>样品（演示）授权委托书</w:t>
      </w:r>
    </w:p>
    <w:p>
      <w:pPr>
        <w:jc w:val="center"/>
        <w:rPr>
          <w:sz w:val="40"/>
        </w:rPr>
      </w:pPr>
    </w:p>
    <w:p>
      <w:pPr>
        <w:snapToGrid w:val="0"/>
        <w:spacing w:line="360" w:lineRule="auto"/>
        <w:rPr>
          <w:rFonts w:cs="仿宋"/>
          <w:color w:val="000000"/>
        </w:rPr>
      </w:pPr>
      <w:r>
        <w:rPr>
          <w:rFonts w:hint="eastAsia" w:cs="仿宋_GB2312"/>
          <w:color w:val="000000"/>
        </w:rPr>
        <w:t>XXX（单位名称或采购机构名称）</w:t>
      </w:r>
      <w:r>
        <w:rPr>
          <w:rFonts w:hint="eastAsia" w:cs="仿宋"/>
          <w:color w:val="000000"/>
          <w:lang w:val="zh-CN"/>
        </w:rPr>
        <w:t>：</w:t>
      </w:r>
    </w:p>
    <w:p>
      <w:pPr>
        <w:snapToGrid w:val="0"/>
        <w:spacing w:line="360" w:lineRule="auto"/>
        <w:ind w:left="254" w:leftChars="121" w:firstLine="420" w:firstLineChars="200"/>
        <w:rPr>
          <w:rFonts w:cs="仿宋"/>
          <w:color w:val="000000"/>
          <w:u w:val="single"/>
          <w:lang w:val="zh-CN"/>
        </w:rPr>
      </w:pPr>
      <w:r>
        <w:rPr>
          <w:rFonts w:hint="eastAsia" w:cs="仿宋"/>
          <w:color w:val="000000"/>
          <w:lang w:val="zh-CN"/>
        </w:rPr>
        <w:t>兹委派</w:t>
      </w:r>
      <w:r>
        <w:rPr>
          <w:rFonts w:hint="eastAsia" w:cs="仿宋"/>
          <w:color w:val="000000"/>
          <w:u w:val="single"/>
          <w:lang w:val="zh-CN"/>
        </w:rPr>
        <w:t xml:space="preserve">                </w:t>
      </w:r>
      <w:r>
        <w:rPr>
          <w:rFonts w:hint="eastAsia" w:cs="仿宋"/>
          <w:color w:val="000000"/>
          <w:lang w:val="zh-CN"/>
        </w:rPr>
        <w:t>先生/女士，身份证号：</w:t>
      </w:r>
      <w:r>
        <w:rPr>
          <w:rFonts w:hint="eastAsia" w:cs="仿宋"/>
          <w:color w:val="000000"/>
          <w:u w:val="single"/>
          <w:lang w:val="zh-CN"/>
        </w:rPr>
        <w:t xml:space="preserve"> </w:t>
      </w:r>
      <w:r>
        <w:rPr>
          <w:rFonts w:cs="仿宋"/>
          <w:color w:val="000000"/>
          <w:u w:val="single"/>
          <w:lang w:val="zh-CN"/>
        </w:rPr>
        <w:t xml:space="preserve">                  </w:t>
      </w:r>
    </w:p>
    <w:p>
      <w:pPr>
        <w:snapToGrid w:val="0"/>
        <w:spacing w:line="360" w:lineRule="auto"/>
        <w:ind w:left="254" w:leftChars="121" w:firstLine="420" w:firstLineChars="200"/>
        <w:rPr>
          <w:rFonts w:cs="仿宋"/>
          <w:color w:val="000000"/>
        </w:rPr>
      </w:pPr>
      <w:r>
        <w:rPr>
          <w:rFonts w:hint="eastAsia" w:cs="仿宋"/>
          <w:color w:val="000000"/>
          <w:lang w:val="zh-CN"/>
        </w:rPr>
        <w:t>手机：</w:t>
      </w:r>
      <w:r>
        <w:rPr>
          <w:rFonts w:hint="eastAsia" w:cs="仿宋"/>
          <w:color w:val="000000"/>
          <w:u w:val="single"/>
          <w:lang w:val="zh-CN"/>
        </w:rPr>
        <w:t xml:space="preserve">      </w:t>
      </w:r>
      <w:r>
        <w:rPr>
          <w:rFonts w:cs="仿宋"/>
          <w:color w:val="000000"/>
          <w:u w:val="single"/>
          <w:lang w:val="zh-CN"/>
        </w:rPr>
        <w:t xml:space="preserve">     </w:t>
      </w:r>
      <w:r>
        <w:rPr>
          <w:rFonts w:hint="eastAsia" w:cs="仿宋"/>
          <w:color w:val="000000"/>
          <w:u w:val="single"/>
          <w:lang w:val="zh-CN"/>
        </w:rPr>
        <w:t xml:space="preserve">  </w:t>
      </w:r>
      <w:r>
        <w:rPr>
          <w:rFonts w:hint="eastAsia" w:cs="仿宋"/>
          <w:color w:val="000000"/>
          <w:lang w:val="zh-CN"/>
        </w:rPr>
        <w:t>，代表我公司前来递交</w:t>
      </w:r>
      <w:r>
        <w:rPr>
          <w:rFonts w:cs="仿宋"/>
          <w:color w:val="000000"/>
          <w:u w:val="single"/>
          <w:lang w:val="zh-CN"/>
        </w:rPr>
        <w:t xml:space="preserve">                           </w:t>
      </w:r>
      <w:r>
        <w:rPr>
          <w:rFonts w:hint="eastAsia" w:cs="仿宋"/>
          <w:color w:val="000000"/>
          <w:u w:val="single"/>
          <w:lang w:val="zh-CN"/>
        </w:rPr>
        <w:t>采购项目</w:t>
      </w:r>
      <w:r>
        <w:rPr>
          <w:rFonts w:hint="eastAsia" w:cs="仿宋"/>
          <w:color w:val="000000"/>
          <w:lang w:val="zh-CN"/>
        </w:rPr>
        <w:t>【项目编号：</w:t>
      </w:r>
      <w:r>
        <w:rPr>
          <w:rFonts w:cs="仿宋"/>
          <w:color w:val="000000"/>
          <w:lang w:val="zh-CN"/>
        </w:rPr>
        <w:t xml:space="preserve">              </w:t>
      </w:r>
      <w:r>
        <w:rPr>
          <w:rFonts w:hint="eastAsia" w:cs="仿宋"/>
          <w:color w:val="000000"/>
          <w:lang w:val="zh-CN"/>
        </w:rPr>
        <w:t xml:space="preserve">】（标项号： </w:t>
      </w:r>
      <w:r>
        <w:rPr>
          <w:rFonts w:cs="仿宋"/>
          <w:color w:val="000000"/>
          <w:lang w:val="zh-CN"/>
        </w:rPr>
        <w:t xml:space="preserve"> </w:t>
      </w:r>
      <w:r>
        <w:rPr>
          <w:rFonts w:hint="eastAsia" w:cs="仿宋"/>
          <w:color w:val="000000"/>
          <w:lang w:val="zh-CN"/>
        </w:rPr>
        <w:t>）投标</w:t>
      </w:r>
      <w:r>
        <w:rPr>
          <w:rFonts w:hint="eastAsia" w:cs="仿宋"/>
          <w:color w:val="0000FF"/>
          <w:lang w:val="zh-CN"/>
        </w:rPr>
        <w:t>样品或参加演示</w:t>
      </w:r>
      <w:r>
        <w:rPr>
          <w:rFonts w:hint="eastAsia" w:cs="仿宋"/>
          <w:color w:val="000000"/>
          <w:lang w:val="zh-CN"/>
        </w:rPr>
        <w:t>，并全权负责标后取回样品等其他处理事宜。</w:t>
      </w:r>
    </w:p>
    <w:p>
      <w:pPr>
        <w:snapToGrid w:val="0"/>
        <w:spacing w:line="360" w:lineRule="auto"/>
        <w:rPr>
          <w:rFonts w:cs="仿宋"/>
          <w:color w:val="000000"/>
          <w:lang w:val="zh-CN"/>
        </w:rPr>
      </w:pPr>
      <w:r>
        <w:rPr>
          <w:rFonts w:hint="eastAsia" w:cs="仿宋"/>
          <w:color w:val="000000"/>
          <w:lang w:val="zh-CN"/>
        </w:rPr>
        <w:t xml:space="preserve">  </w:t>
      </w:r>
    </w:p>
    <w:p>
      <w:pPr>
        <w:snapToGrid w:val="0"/>
        <w:spacing w:line="360" w:lineRule="auto"/>
        <w:rPr>
          <w:rFonts w:cs="仿宋"/>
          <w:color w:val="000000"/>
        </w:rPr>
      </w:pPr>
      <w:r>
        <w:rPr>
          <w:rFonts w:hint="eastAsia" w:cs="仿宋"/>
          <w:color w:val="000000"/>
          <w:lang w:val="zh-CN"/>
        </w:rPr>
        <w:t xml:space="preserve">    特此告知。</w:t>
      </w:r>
    </w:p>
    <w:p>
      <w:pPr>
        <w:snapToGrid w:val="0"/>
        <w:spacing w:line="360" w:lineRule="auto"/>
        <w:rPr>
          <w:rFonts w:cs="仿宋"/>
          <w:color w:val="000000"/>
        </w:rPr>
      </w:pPr>
      <w:r>
        <w:rPr>
          <w:rFonts w:hint="eastAsia" w:cs="仿宋"/>
          <w:color w:val="000000"/>
          <w:lang w:val="zh-CN"/>
        </w:rPr>
        <w:t xml:space="preserve">                                                  投标人名称(公章)：</w:t>
      </w:r>
    </w:p>
    <w:p>
      <w:pPr>
        <w:snapToGrid w:val="0"/>
        <w:spacing w:line="360" w:lineRule="auto"/>
        <w:rPr>
          <w:rFonts w:cs="仿宋"/>
          <w:color w:val="000000"/>
        </w:rPr>
      </w:pPr>
      <w:r>
        <w:rPr>
          <w:rFonts w:hint="eastAsia" w:cs="仿宋"/>
          <w:color w:val="000000"/>
          <w:lang w:val="zh-CN"/>
        </w:rPr>
        <w:t xml:space="preserve">                                                  </w:t>
      </w:r>
    </w:p>
    <w:p>
      <w:pPr>
        <w:snapToGrid w:val="0"/>
        <w:spacing w:line="360" w:lineRule="auto"/>
        <w:ind w:right="240"/>
        <w:jc w:val="right"/>
        <w:rPr>
          <w:rFonts w:cs="仿宋"/>
          <w:color w:val="000000"/>
          <w:lang w:val="zh-CN"/>
        </w:rPr>
      </w:pPr>
      <w:r>
        <w:rPr>
          <w:rFonts w:hint="eastAsia" w:cs="仿宋"/>
          <w:color w:val="000000"/>
          <w:lang w:val="zh-CN"/>
        </w:rPr>
        <w:t>签发日期：  年  月   日</w:t>
      </w:r>
    </w:p>
    <w:p>
      <w:pPr>
        <w:snapToGrid w:val="0"/>
        <w:spacing w:line="360" w:lineRule="auto"/>
        <w:ind w:right="240"/>
        <w:jc w:val="right"/>
        <w:rPr>
          <w:rFonts w:cs="仿宋"/>
          <w:color w:val="000000"/>
          <w:lang w:val="zh-CN"/>
        </w:rPr>
      </w:pPr>
    </w:p>
    <w:p>
      <w:pPr>
        <w:snapToGrid w:val="0"/>
        <w:spacing w:line="360" w:lineRule="auto"/>
        <w:ind w:right="1920"/>
        <w:rPr>
          <w:rFonts w:cs="仿宋"/>
          <w:color w:val="000000"/>
          <w:lang w:val="zh-CN"/>
        </w:rPr>
      </w:pPr>
    </w:p>
    <w:p>
      <w:pPr>
        <w:snapToGrid w:val="0"/>
        <w:spacing w:line="360" w:lineRule="auto"/>
        <w:ind w:right="240"/>
        <w:jc w:val="right"/>
        <w:rPr>
          <w:rFonts w:cs="仿宋"/>
          <w:color w:val="000000"/>
          <w:lang w:val="zh-CN"/>
        </w:rPr>
      </w:pPr>
    </w:p>
    <w:p>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pPr>
        <w:snapToGrid w:val="0"/>
        <w:spacing w:line="360" w:lineRule="auto"/>
        <w:ind w:right="240"/>
        <w:rPr>
          <w:rFonts w:cs="仿宋"/>
          <w:color w:val="000000"/>
          <w:lang w:val="zh-CN"/>
        </w:rPr>
      </w:pPr>
    </w:p>
    <w:p>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pPr>
        <w:spacing w:line="360" w:lineRule="auto"/>
        <w:rPr>
          <w:rFonts w:cs="仿宋_GB2312"/>
          <w:b/>
          <w:color w:val="000000"/>
        </w:rPr>
      </w:pPr>
      <w:r>
        <w:rPr>
          <w:rFonts w:cs="仿宋_GB2312"/>
          <w:b/>
          <w:color w:val="000000"/>
        </w:rPr>
        <w:t>同时有样品和演示的</w:t>
      </w:r>
      <w:r>
        <w:rPr>
          <w:rFonts w:hint="eastAsia" w:cs="仿宋_GB2312"/>
          <w:b/>
          <w:color w:val="000000"/>
        </w:rPr>
        <w:t>，</w:t>
      </w:r>
      <w:r>
        <w:rPr>
          <w:rFonts w:cs="仿宋_GB2312"/>
          <w:b/>
          <w:color w:val="000000"/>
        </w:rPr>
        <w:t>可委托不同人员</w:t>
      </w:r>
      <w:r>
        <w:rPr>
          <w:rFonts w:hint="eastAsia" w:cs="仿宋_GB2312"/>
          <w:b/>
          <w:color w:val="000000"/>
        </w:rPr>
        <w:t>。</w:t>
      </w:r>
    </w:p>
    <w:p>
      <w:pPr>
        <w:pStyle w:val="2"/>
      </w:pPr>
    </w:p>
    <w:p>
      <w:pPr>
        <w:spacing w:line="360" w:lineRule="auto"/>
        <w:jc w:val="center"/>
        <w:rPr>
          <w:rFonts w:ascii="宋体" w:hAnsi="宋体" w:cs="宋体"/>
          <w:b/>
          <w:sz w:val="32"/>
          <w:szCs w:val="32"/>
        </w:rPr>
      </w:pPr>
    </w:p>
    <w:p>
      <w:pPr>
        <w:pStyle w:val="2"/>
      </w:pPr>
    </w:p>
    <w:p>
      <w:pPr>
        <w:pStyle w:val="2"/>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54" w:name="_Toc91899912"/>
    <w:bookmarkStart w:id="455" w:name="_Toc164085800"/>
    <w:bookmarkStart w:id="456" w:name="_Toc131845147"/>
    <w:bookmarkStart w:id="457" w:name="_Toc36110187"/>
    <w:r>
      <w:rPr>
        <w:rFonts w:hint="eastAsia" w:ascii="仿宋_GB2312" w:eastAsia="仿宋_GB2312"/>
        <w:kern w:val="0"/>
        <w:szCs w:val="21"/>
      </w:rPr>
      <w:t xml:space="preserve"> 页</w:t>
    </w:r>
    <w:bookmarkEnd w:id="454"/>
    <w:bookmarkEnd w:id="455"/>
    <w:bookmarkEnd w:id="456"/>
    <w:bookmarkEnd w:id="4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8B9C5"/>
    <w:multiLevelType w:val="singleLevel"/>
    <w:tmpl w:val="24A8B9C5"/>
    <w:lvl w:ilvl="0" w:tentative="0">
      <w:start w:val="1"/>
      <w:numFmt w:val="chineseCounting"/>
      <w:suff w:val="nothing"/>
      <w:lvlText w:val="（%1）"/>
      <w:lvlJc w:val="left"/>
      <w:rPr>
        <w:rFonts w:hint="eastAsia"/>
      </w:rPr>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095CCC"/>
    <w:multiLevelType w:val="singleLevel"/>
    <w:tmpl w:val="6F095CC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YzEwM2ZmMWUyZjYwYTExZWQ0ZjU3MDY1NDZlZGEifQ=="/>
    <w:docVar w:name="KSO_WPS_MARK_KEY" w:val="ecd20825-12ed-42cc-940b-bc2a4188d3ff"/>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4108"/>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9D7C92"/>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962E9"/>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4E3068"/>
    <w:rsid w:val="0D6D057B"/>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B296E"/>
    <w:rsid w:val="11266F33"/>
    <w:rsid w:val="114F7C08"/>
    <w:rsid w:val="118963A1"/>
    <w:rsid w:val="11C6522A"/>
    <w:rsid w:val="11E104CC"/>
    <w:rsid w:val="11E20309"/>
    <w:rsid w:val="121511E1"/>
    <w:rsid w:val="12255233"/>
    <w:rsid w:val="12530213"/>
    <w:rsid w:val="127723A9"/>
    <w:rsid w:val="12862074"/>
    <w:rsid w:val="12883966"/>
    <w:rsid w:val="129E45B4"/>
    <w:rsid w:val="12D81596"/>
    <w:rsid w:val="12E12E71"/>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791BB3"/>
    <w:rsid w:val="15C10692"/>
    <w:rsid w:val="1632430B"/>
    <w:rsid w:val="16A8729C"/>
    <w:rsid w:val="16B33777"/>
    <w:rsid w:val="16BC70A7"/>
    <w:rsid w:val="16C6339E"/>
    <w:rsid w:val="172F2D79"/>
    <w:rsid w:val="17557BEF"/>
    <w:rsid w:val="17820BF3"/>
    <w:rsid w:val="17D349C1"/>
    <w:rsid w:val="1830729E"/>
    <w:rsid w:val="1870062C"/>
    <w:rsid w:val="18757AED"/>
    <w:rsid w:val="18817102"/>
    <w:rsid w:val="18830A15"/>
    <w:rsid w:val="18852B28"/>
    <w:rsid w:val="188B5321"/>
    <w:rsid w:val="189E35C3"/>
    <w:rsid w:val="19063D50"/>
    <w:rsid w:val="19137AFC"/>
    <w:rsid w:val="19932372"/>
    <w:rsid w:val="19A20DD5"/>
    <w:rsid w:val="19AE03F1"/>
    <w:rsid w:val="1A071A03"/>
    <w:rsid w:val="1A1F16AE"/>
    <w:rsid w:val="1A3B5C77"/>
    <w:rsid w:val="1A984BAD"/>
    <w:rsid w:val="1AB8220E"/>
    <w:rsid w:val="1ABD2416"/>
    <w:rsid w:val="1AE4166C"/>
    <w:rsid w:val="1AF06CFB"/>
    <w:rsid w:val="1AF11B8D"/>
    <w:rsid w:val="1B11359C"/>
    <w:rsid w:val="1B2A271F"/>
    <w:rsid w:val="1B530544"/>
    <w:rsid w:val="1B713184"/>
    <w:rsid w:val="1BA209CF"/>
    <w:rsid w:val="1BB4777D"/>
    <w:rsid w:val="1BD75AB8"/>
    <w:rsid w:val="1BE834C2"/>
    <w:rsid w:val="1C0459C2"/>
    <w:rsid w:val="1C1B3B4A"/>
    <w:rsid w:val="1C88086E"/>
    <w:rsid w:val="1D266CE1"/>
    <w:rsid w:val="1D3963AF"/>
    <w:rsid w:val="1D6A673C"/>
    <w:rsid w:val="1D6C5F19"/>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486A69"/>
    <w:rsid w:val="22A453E6"/>
    <w:rsid w:val="22BE6801"/>
    <w:rsid w:val="233500BF"/>
    <w:rsid w:val="23377FF7"/>
    <w:rsid w:val="236B425F"/>
    <w:rsid w:val="23702D55"/>
    <w:rsid w:val="23836192"/>
    <w:rsid w:val="23901F29"/>
    <w:rsid w:val="239C0061"/>
    <w:rsid w:val="23B170B6"/>
    <w:rsid w:val="23B908A4"/>
    <w:rsid w:val="23E95BEF"/>
    <w:rsid w:val="23FD0064"/>
    <w:rsid w:val="24465B9C"/>
    <w:rsid w:val="245375B0"/>
    <w:rsid w:val="24642C0A"/>
    <w:rsid w:val="24B22173"/>
    <w:rsid w:val="24B95AD9"/>
    <w:rsid w:val="24BE24DA"/>
    <w:rsid w:val="24CF5825"/>
    <w:rsid w:val="24D663E6"/>
    <w:rsid w:val="24D77F2B"/>
    <w:rsid w:val="25477B09"/>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4109D0"/>
    <w:rsid w:val="2A6D6092"/>
    <w:rsid w:val="2A7D76B4"/>
    <w:rsid w:val="2AE31411"/>
    <w:rsid w:val="2B3826D3"/>
    <w:rsid w:val="2B437463"/>
    <w:rsid w:val="2B5D2C79"/>
    <w:rsid w:val="2B7807EE"/>
    <w:rsid w:val="2BA50BF7"/>
    <w:rsid w:val="2BBF00EC"/>
    <w:rsid w:val="2BC37CFD"/>
    <w:rsid w:val="2BD5237F"/>
    <w:rsid w:val="2BE536CE"/>
    <w:rsid w:val="2BE758D9"/>
    <w:rsid w:val="2C09049E"/>
    <w:rsid w:val="2C0A653C"/>
    <w:rsid w:val="2C191F85"/>
    <w:rsid w:val="2CE82D6F"/>
    <w:rsid w:val="2D343236"/>
    <w:rsid w:val="2D8214B0"/>
    <w:rsid w:val="2DD15014"/>
    <w:rsid w:val="2DF72DE4"/>
    <w:rsid w:val="2E0220AF"/>
    <w:rsid w:val="2E4B082A"/>
    <w:rsid w:val="2E5D4E86"/>
    <w:rsid w:val="2E5D790B"/>
    <w:rsid w:val="2E9A3C18"/>
    <w:rsid w:val="2EBB0FEE"/>
    <w:rsid w:val="2EC63002"/>
    <w:rsid w:val="2F0A6B38"/>
    <w:rsid w:val="2F662E49"/>
    <w:rsid w:val="2F946CCB"/>
    <w:rsid w:val="2FBE330B"/>
    <w:rsid w:val="2FD25781"/>
    <w:rsid w:val="2FDC745C"/>
    <w:rsid w:val="2FFD7934"/>
    <w:rsid w:val="305B205D"/>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62C22"/>
    <w:rsid w:val="354D7158"/>
    <w:rsid w:val="358D5588"/>
    <w:rsid w:val="35DF7301"/>
    <w:rsid w:val="363A3B40"/>
    <w:rsid w:val="365302AE"/>
    <w:rsid w:val="36607A0A"/>
    <w:rsid w:val="366E227C"/>
    <w:rsid w:val="366F2E0D"/>
    <w:rsid w:val="367B6A5C"/>
    <w:rsid w:val="36A74ADA"/>
    <w:rsid w:val="36AD60D5"/>
    <w:rsid w:val="36B224F9"/>
    <w:rsid w:val="36EC0CC9"/>
    <w:rsid w:val="373F410B"/>
    <w:rsid w:val="37CF6251"/>
    <w:rsid w:val="37EE7094"/>
    <w:rsid w:val="38296C89"/>
    <w:rsid w:val="383002EB"/>
    <w:rsid w:val="38586797"/>
    <w:rsid w:val="38AE3672"/>
    <w:rsid w:val="38BC0149"/>
    <w:rsid w:val="38D87D1C"/>
    <w:rsid w:val="39416E46"/>
    <w:rsid w:val="394635FE"/>
    <w:rsid w:val="39636459"/>
    <w:rsid w:val="396B7F6C"/>
    <w:rsid w:val="399D237E"/>
    <w:rsid w:val="39A959E1"/>
    <w:rsid w:val="39B417A9"/>
    <w:rsid w:val="39FC5695"/>
    <w:rsid w:val="3A006D8E"/>
    <w:rsid w:val="3A1C0559"/>
    <w:rsid w:val="3A3651E5"/>
    <w:rsid w:val="3A6A62B8"/>
    <w:rsid w:val="3A744481"/>
    <w:rsid w:val="3A8C7BEF"/>
    <w:rsid w:val="3A906246"/>
    <w:rsid w:val="3AF7E610"/>
    <w:rsid w:val="3B2349B7"/>
    <w:rsid w:val="3B616CFF"/>
    <w:rsid w:val="3B6259F6"/>
    <w:rsid w:val="3B796A55"/>
    <w:rsid w:val="3B976654"/>
    <w:rsid w:val="3BC01EFC"/>
    <w:rsid w:val="3BCA786A"/>
    <w:rsid w:val="3BD31E2F"/>
    <w:rsid w:val="3BF15831"/>
    <w:rsid w:val="3C105946"/>
    <w:rsid w:val="3C471448"/>
    <w:rsid w:val="3C5F759A"/>
    <w:rsid w:val="3C6C525A"/>
    <w:rsid w:val="3C755BC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61CB8"/>
    <w:rsid w:val="3F77BA1B"/>
    <w:rsid w:val="3F95482B"/>
    <w:rsid w:val="4019356B"/>
    <w:rsid w:val="40592157"/>
    <w:rsid w:val="406E1CAE"/>
    <w:rsid w:val="40A0133A"/>
    <w:rsid w:val="40C31A53"/>
    <w:rsid w:val="40FF545D"/>
    <w:rsid w:val="410067C8"/>
    <w:rsid w:val="418F0D2A"/>
    <w:rsid w:val="41D01505"/>
    <w:rsid w:val="41E7091D"/>
    <w:rsid w:val="42474939"/>
    <w:rsid w:val="424C3C57"/>
    <w:rsid w:val="42613FF3"/>
    <w:rsid w:val="42660D96"/>
    <w:rsid w:val="426C527D"/>
    <w:rsid w:val="428667D2"/>
    <w:rsid w:val="42CD1CE0"/>
    <w:rsid w:val="42E1381E"/>
    <w:rsid w:val="42ED6459"/>
    <w:rsid w:val="42FE58DD"/>
    <w:rsid w:val="43174B3D"/>
    <w:rsid w:val="434B790E"/>
    <w:rsid w:val="4360274F"/>
    <w:rsid w:val="436F2F62"/>
    <w:rsid w:val="43977AB6"/>
    <w:rsid w:val="43A3342B"/>
    <w:rsid w:val="43C77C27"/>
    <w:rsid w:val="43DE09EE"/>
    <w:rsid w:val="44002FAD"/>
    <w:rsid w:val="445B6C65"/>
    <w:rsid w:val="447F2366"/>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3651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930A20"/>
    <w:rsid w:val="4AB82D0F"/>
    <w:rsid w:val="4AEB7664"/>
    <w:rsid w:val="4AFD7C19"/>
    <w:rsid w:val="4B0567D1"/>
    <w:rsid w:val="4B236AAE"/>
    <w:rsid w:val="4B363761"/>
    <w:rsid w:val="4B707271"/>
    <w:rsid w:val="4B9739F7"/>
    <w:rsid w:val="4BEE2503"/>
    <w:rsid w:val="4BF82D8B"/>
    <w:rsid w:val="4C245A30"/>
    <w:rsid w:val="4CB6685F"/>
    <w:rsid w:val="4CC367FE"/>
    <w:rsid w:val="4D077F3C"/>
    <w:rsid w:val="4D123355"/>
    <w:rsid w:val="4D2A3B31"/>
    <w:rsid w:val="4D312C52"/>
    <w:rsid w:val="4D5A127B"/>
    <w:rsid w:val="4D905305"/>
    <w:rsid w:val="4D964A72"/>
    <w:rsid w:val="4D9C1254"/>
    <w:rsid w:val="4E4948FB"/>
    <w:rsid w:val="4E793892"/>
    <w:rsid w:val="4E800872"/>
    <w:rsid w:val="4EC569ED"/>
    <w:rsid w:val="4ED137BE"/>
    <w:rsid w:val="4ED50EA1"/>
    <w:rsid w:val="4EEC050C"/>
    <w:rsid w:val="4F104EC3"/>
    <w:rsid w:val="4F47354A"/>
    <w:rsid w:val="4F911C54"/>
    <w:rsid w:val="4FE625E0"/>
    <w:rsid w:val="5021480F"/>
    <w:rsid w:val="506068F5"/>
    <w:rsid w:val="50962ECB"/>
    <w:rsid w:val="50A42E38"/>
    <w:rsid w:val="50A4577F"/>
    <w:rsid w:val="50B73D1F"/>
    <w:rsid w:val="50BD5BC9"/>
    <w:rsid w:val="50C11EEE"/>
    <w:rsid w:val="50E97CFC"/>
    <w:rsid w:val="50FA4028"/>
    <w:rsid w:val="510D65B7"/>
    <w:rsid w:val="511157AB"/>
    <w:rsid w:val="5142540C"/>
    <w:rsid w:val="518832C8"/>
    <w:rsid w:val="518A3DBD"/>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48544C"/>
    <w:rsid w:val="555D4828"/>
    <w:rsid w:val="557A4C8B"/>
    <w:rsid w:val="558931E1"/>
    <w:rsid w:val="55923347"/>
    <w:rsid w:val="55925180"/>
    <w:rsid w:val="55983B1B"/>
    <w:rsid w:val="55A8376B"/>
    <w:rsid w:val="55DC29B6"/>
    <w:rsid w:val="55DD4241"/>
    <w:rsid w:val="566B6D1E"/>
    <w:rsid w:val="57032A2C"/>
    <w:rsid w:val="570F5219"/>
    <w:rsid w:val="57437AAB"/>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A769F"/>
    <w:rsid w:val="580B2255"/>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CE6654"/>
    <w:rsid w:val="5AD63A24"/>
    <w:rsid w:val="5B2E1A1D"/>
    <w:rsid w:val="5B843A1C"/>
    <w:rsid w:val="5B873E3F"/>
    <w:rsid w:val="5C02690E"/>
    <w:rsid w:val="5C196DA7"/>
    <w:rsid w:val="5C1E14DB"/>
    <w:rsid w:val="5C2A048C"/>
    <w:rsid w:val="5C3B7243"/>
    <w:rsid w:val="5C80234E"/>
    <w:rsid w:val="5C8A680C"/>
    <w:rsid w:val="5D0C4701"/>
    <w:rsid w:val="5D0D678A"/>
    <w:rsid w:val="5D0F0395"/>
    <w:rsid w:val="5D221076"/>
    <w:rsid w:val="5D397964"/>
    <w:rsid w:val="5D5A391C"/>
    <w:rsid w:val="5D5F10C0"/>
    <w:rsid w:val="5D891B7B"/>
    <w:rsid w:val="5DA033C6"/>
    <w:rsid w:val="5DAD38EE"/>
    <w:rsid w:val="5E006862"/>
    <w:rsid w:val="5E0207B9"/>
    <w:rsid w:val="5E1834A1"/>
    <w:rsid w:val="5E261785"/>
    <w:rsid w:val="5E4A7017"/>
    <w:rsid w:val="5E552BBA"/>
    <w:rsid w:val="5E611C10"/>
    <w:rsid w:val="5E6C0025"/>
    <w:rsid w:val="5E7A0F3F"/>
    <w:rsid w:val="5ED02365"/>
    <w:rsid w:val="5EFC7377"/>
    <w:rsid w:val="5F06174D"/>
    <w:rsid w:val="5F3A3602"/>
    <w:rsid w:val="5F45733B"/>
    <w:rsid w:val="5F6277C6"/>
    <w:rsid w:val="5F6D0B1D"/>
    <w:rsid w:val="5F8D0B82"/>
    <w:rsid w:val="5FCC5339"/>
    <w:rsid w:val="5FE34A5B"/>
    <w:rsid w:val="5FFE1E36"/>
    <w:rsid w:val="60232584"/>
    <w:rsid w:val="607330CE"/>
    <w:rsid w:val="607E318F"/>
    <w:rsid w:val="60825176"/>
    <w:rsid w:val="609F2AC4"/>
    <w:rsid w:val="60D36BCE"/>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5345E"/>
    <w:rsid w:val="62885958"/>
    <w:rsid w:val="62E02300"/>
    <w:rsid w:val="62F40B65"/>
    <w:rsid w:val="62FC2CFE"/>
    <w:rsid w:val="63024505"/>
    <w:rsid w:val="63054C89"/>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2E102B"/>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587CE7"/>
    <w:rsid w:val="696023F4"/>
    <w:rsid w:val="69627681"/>
    <w:rsid w:val="6977531D"/>
    <w:rsid w:val="69C06783"/>
    <w:rsid w:val="69CC2BFF"/>
    <w:rsid w:val="69FD55B8"/>
    <w:rsid w:val="6A0B1C62"/>
    <w:rsid w:val="6A2406C8"/>
    <w:rsid w:val="6ADE0BD1"/>
    <w:rsid w:val="6AE96859"/>
    <w:rsid w:val="6B147746"/>
    <w:rsid w:val="6B24787C"/>
    <w:rsid w:val="6B573233"/>
    <w:rsid w:val="6B5B6274"/>
    <w:rsid w:val="6B8E37EA"/>
    <w:rsid w:val="6B935D53"/>
    <w:rsid w:val="6BAA0E2B"/>
    <w:rsid w:val="6BFB7BD7"/>
    <w:rsid w:val="6C196F71"/>
    <w:rsid w:val="6C226FCB"/>
    <w:rsid w:val="6C232EC7"/>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BD7313"/>
    <w:rsid w:val="6ED446C5"/>
    <w:rsid w:val="6F2A7D94"/>
    <w:rsid w:val="6F8331F1"/>
    <w:rsid w:val="6FAE1A09"/>
    <w:rsid w:val="6FD75BF8"/>
    <w:rsid w:val="700E235C"/>
    <w:rsid w:val="707723D0"/>
    <w:rsid w:val="70F5661B"/>
    <w:rsid w:val="71360107"/>
    <w:rsid w:val="713B688E"/>
    <w:rsid w:val="71801CFE"/>
    <w:rsid w:val="71A25D6F"/>
    <w:rsid w:val="71D43752"/>
    <w:rsid w:val="71F1796A"/>
    <w:rsid w:val="72154626"/>
    <w:rsid w:val="721E56D9"/>
    <w:rsid w:val="72262B5D"/>
    <w:rsid w:val="72283FF7"/>
    <w:rsid w:val="722E7212"/>
    <w:rsid w:val="723A0474"/>
    <w:rsid w:val="723A1DBD"/>
    <w:rsid w:val="72485A07"/>
    <w:rsid w:val="725923E4"/>
    <w:rsid w:val="72864BF7"/>
    <w:rsid w:val="729023FC"/>
    <w:rsid w:val="72963114"/>
    <w:rsid w:val="73C0646E"/>
    <w:rsid w:val="742222F5"/>
    <w:rsid w:val="74476126"/>
    <w:rsid w:val="74706664"/>
    <w:rsid w:val="747F3682"/>
    <w:rsid w:val="749C4185"/>
    <w:rsid w:val="75033907"/>
    <w:rsid w:val="75067759"/>
    <w:rsid w:val="752E6DCD"/>
    <w:rsid w:val="7551380D"/>
    <w:rsid w:val="75600BE5"/>
    <w:rsid w:val="7564475C"/>
    <w:rsid w:val="7583797F"/>
    <w:rsid w:val="75D20F1D"/>
    <w:rsid w:val="75DA2C18"/>
    <w:rsid w:val="75F54412"/>
    <w:rsid w:val="761D08E0"/>
    <w:rsid w:val="765D347C"/>
    <w:rsid w:val="76826699"/>
    <w:rsid w:val="769D535F"/>
    <w:rsid w:val="76C87133"/>
    <w:rsid w:val="76CD08D5"/>
    <w:rsid w:val="76DB4B92"/>
    <w:rsid w:val="77052AA4"/>
    <w:rsid w:val="770FEEE6"/>
    <w:rsid w:val="77136511"/>
    <w:rsid w:val="77340A39"/>
    <w:rsid w:val="77351FD0"/>
    <w:rsid w:val="77386164"/>
    <w:rsid w:val="77472422"/>
    <w:rsid w:val="777F31F2"/>
    <w:rsid w:val="77D1700D"/>
    <w:rsid w:val="77EC04CC"/>
    <w:rsid w:val="7876121D"/>
    <w:rsid w:val="78775729"/>
    <w:rsid w:val="78A42DB0"/>
    <w:rsid w:val="78A656AB"/>
    <w:rsid w:val="78B2245C"/>
    <w:rsid w:val="78BA7F81"/>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492331"/>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68119A"/>
    <w:rsid w:val="7E9A4E1F"/>
    <w:rsid w:val="7EA7723A"/>
    <w:rsid w:val="7EF56FBB"/>
    <w:rsid w:val="7F0768EB"/>
    <w:rsid w:val="7F143BEC"/>
    <w:rsid w:val="7F715AF2"/>
    <w:rsid w:val="7F886E69"/>
    <w:rsid w:val="7FFC16C2"/>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7"/>
    <w:qFormat/>
    <w:uiPriority w:val="0"/>
    <w:rPr>
      <w:rFonts w:ascii="宋体" w:hAnsi="Courier New" w:cs="Arial"/>
      <w:snapToGrid w:val="0"/>
      <w:szCs w:val="21"/>
    </w:rPr>
  </w:style>
  <w:style w:type="paragraph" w:styleId="33">
    <w:name w:val="Date"/>
    <w:basedOn w:val="1"/>
    <w:next w:val="1"/>
    <w:link w:val="183"/>
    <w:qFormat/>
    <w:uiPriority w:val="0"/>
    <w:pPr>
      <w:ind w:left="100" w:leftChars="2500"/>
    </w:pPr>
    <w:rPr>
      <w:rFonts w:ascii="宋体"/>
      <w:sz w:val="24"/>
      <w:szCs w:val="21"/>
      <w:lang w:val="zh-CN"/>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envelope return"/>
    <w:basedOn w:val="1"/>
    <w:qFormat/>
    <w:uiPriority w:val="99"/>
    <w:pPr>
      <w:snapToGrid w:val="0"/>
    </w:pPr>
    <w:rPr>
      <w:rFonts w:ascii="Arial" w:hAnsi="Arial"/>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qFormat/>
    <w:uiPriority w:val="0"/>
    <w:rPr>
      <w:b/>
      <w:bCs/>
    </w:rPr>
  </w:style>
  <w:style w:type="paragraph" w:styleId="61">
    <w:name w:val="Body Text First Indent"/>
    <w:basedOn w:val="23"/>
    <w:next w:val="51"/>
    <w:link w:val="322"/>
    <w:qFormat/>
    <w:uiPriority w:val="0"/>
    <w:pPr>
      <w:ind w:firstLine="420"/>
    </w:pPr>
    <w:rPr>
      <w:rFonts w:hAnsi="Calibri" w:cs="Times New Roman"/>
      <w:snapToGrid/>
      <w:szCs w:val="20"/>
    </w:rPr>
  </w:style>
  <w:style w:type="paragraph" w:styleId="62">
    <w:name w:val="Body Text First Indent 2"/>
    <w:basedOn w:val="24"/>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next w:val="81"/>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2">
    <w:name w:val="_Style 2"/>
    <w:basedOn w:val="1"/>
    <w:qFormat/>
    <w:uiPriority w:val="0"/>
    <w:pPr>
      <w:ind w:firstLine="200" w:firstLineChars="200"/>
    </w:pPr>
    <w:rPr>
      <w:rFonts w:ascii="Calibri" w:hAnsi="Calibri"/>
      <w:sz w:val="28"/>
      <w:szCs w:val="22"/>
    </w:rPr>
  </w:style>
  <w:style w:type="paragraph" w:customStyle="1" w:styleId="83">
    <w:name w:val="[Normal]"/>
    <w:qFormat/>
    <w:uiPriority w:val="0"/>
    <w:rPr>
      <w:rFonts w:ascii="宋体" w:hAnsi="宋体" w:eastAsia="宋体" w:cs="Times New Roman"/>
      <w:sz w:val="24"/>
      <w:lang w:val="zh-CN"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2"/>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3"/>
    <w:qFormat/>
    <w:uiPriority w:val="0"/>
    <w:rPr>
      <w:rFonts w:ascii="宋体"/>
      <w:kern w:val="2"/>
      <w:sz w:val="24"/>
      <w:szCs w:val="21"/>
      <w:lang w:val="zh-CN"/>
    </w:rPr>
  </w:style>
  <w:style w:type="character" w:customStyle="1" w:styleId="184">
    <w:name w:val="标题 9 Char"/>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0"/>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next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7"/>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不明显强调1"/>
    <w:qFormat/>
    <w:uiPriority w:val="19"/>
    <w:rPr>
      <w:i/>
      <w:iCs/>
    </w:rPr>
  </w:style>
  <w:style w:type="character" w:customStyle="1" w:styleId="967">
    <w:name w:val="不明显参考1"/>
    <w:basedOn w:val="70"/>
    <w:qFormat/>
    <w:uiPriority w:val="31"/>
    <w:rPr>
      <w:smallCap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73</Pages>
  <Words>38058</Words>
  <Characters>40488</Characters>
  <Lines>281</Lines>
  <Paragraphs>79</Paragraphs>
  <TotalTime>3</TotalTime>
  <ScaleCrop>false</ScaleCrop>
  <LinksUpToDate>false</LinksUpToDate>
  <CharactersWithSpaces>45218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mary</cp:lastModifiedBy>
  <cp:lastPrinted>2021-12-30T11:06:00Z</cp:lastPrinted>
  <dcterms:modified xsi:type="dcterms:W3CDTF">2024-11-11T02:09:42Z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9DC0829A596E47E78E53B0C507967F3B_13</vt:lpwstr>
  </property>
</Properties>
</file>