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w w:val="80"/>
          <w:kern w:val="0"/>
          <w:sz w:val="32"/>
          <w:szCs w:val="32"/>
          <w:highlight w:val="none"/>
        </w:rPr>
      </w:pPr>
      <w:r>
        <w:rPr>
          <w:rFonts w:hint="eastAsia"/>
          <w:color w:val="auto"/>
          <w:w w:val="80"/>
          <w:kern w:val="0"/>
          <w:sz w:val="32"/>
          <w:szCs w:val="32"/>
          <w:highlight w:val="none"/>
        </w:rPr>
        <w:t xml:space="preserve"> </w:t>
      </w:r>
    </w:p>
    <w:p>
      <w:pPr>
        <w:jc w:val="center"/>
        <w:rPr>
          <w:rFonts w:hint="eastAsia"/>
          <w:color w:val="auto"/>
          <w:w w:val="80"/>
          <w:kern w:val="0"/>
          <w:sz w:val="32"/>
          <w:szCs w:val="32"/>
          <w:highlight w:val="none"/>
        </w:rPr>
      </w:pPr>
    </w:p>
    <w:p>
      <w:pPr>
        <w:jc w:val="center"/>
        <w:rPr>
          <w:rFonts w:hint="eastAsia"/>
          <w:color w:val="auto"/>
          <w:w w:val="80"/>
          <w:kern w:val="0"/>
          <w:sz w:val="32"/>
          <w:szCs w:val="32"/>
          <w:highlight w:val="none"/>
        </w:rPr>
      </w:pPr>
    </w:p>
    <w:p>
      <w:pPr>
        <w:jc w:val="center"/>
        <w:rPr>
          <w:rFonts w:hint="eastAsia" w:ascii="仿宋" w:hAnsi="仿宋" w:eastAsia="仿宋"/>
          <w:b/>
          <w:color w:val="auto"/>
          <w:kern w:val="0"/>
          <w:sz w:val="96"/>
          <w:szCs w:val="96"/>
          <w:highlight w:val="none"/>
        </w:rPr>
      </w:pPr>
      <w:r>
        <w:rPr>
          <w:rFonts w:hint="eastAsia" w:ascii="仿宋" w:hAnsi="仿宋" w:eastAsia="仿宋"/>
          <w:b/>
          <w:color w:val="auto"/>
          <w:kern w:val="0"/>
          <w:sz w:val="96"/>
          <w:szCs w:val="96"/>
          <w:highlight w:val="none"/>
        </w:rPr>
        <w:t>竞争性磋商</w:t>
      </w:r>
    </w:p>
    <w:p>
      <w:pPr>
        <w:jc w:val="center"/>
        <w:rPr>
          <w:rFonts w:hint="eastAsia" w:ascii="仿宋" w:hAnsi="仿宋" w:eastAsia="仿宋"/>
          <w:b/>
          <w:color w:val="auto"/>
          <w:kern w:val="0"/>
          <w:sz w:val="28"/>
          <w:szCs w:val="28"/>
          <w:highlight w:val="none"/>
        </w:rPr>
      </w:pPr>
      <w:r>
        <w:rPr>
          <w:rFonts w:hint="eastAsia" w:ascii="仿宋" w:hAnsi="仿宋" w:eastAsia="仿宋"/>
          <w:b/>
          <w:color w:val="auto"/>
          <w:kern w:val="0"/>
          <w:sz w:val="96"/>
          <w:szCs w:val="96"/>
          <w:highlight w:val="none"/>
        </w:rPr>
        <w:t>采购文件</w:t>
      </w:r>
    </w:p>
    <w:p>
      <w:pPr>
        <w:jc w:val="center"/>
        <w:rPr>
          <w:rFonts w:hint="eastAsia" w:ascii="仿宋" w:hAnsi="仿宋" w:eastAsia="仿宋"/>
          <w:b/>
          <w:color w:val="auto"/>
          <w:kern w:val="0"/>
          <w:sz w:val="36"/>
          <w:szCs w:val="36"/>
          <w:highlight w:val="none"/>
        </w:rPr>
      </w:pPr>
    </w:p>
    <w:p>
      <w:pPr>
        <w:jc w:val="center"/>
        <w:rPr>
          <w:rFonts w:hint="eastAsia" w:ascii="仿宋" w:hAnsi="仿宋" w:eastAsia="仿宋"/>
          <w:b/>
          <w:color w:val="auto"/>
          <w:kern w:val="0"/>
          <w:sz w:val="44"/>
          <w:szCs w:val="44"/>
          <w:highlight w:val="none"/>
        </w:rPr>
      </w:pPr>
      <w:r>
        <w:rPr>
          <w:rFonts w:hint="eastAsia" w:ascii="仿宋" w:hAnsi="仿宋" w:eastAsia="仿宋"/>
          <w:b/>
          <w:color w:val="auto"/>
          <w:kern w:val="0"/>
          <w:sz w:val="44"/>
          <w:szCs w:val="44"/>
          <w:highlight w:val="none"/>
        </w:rPr>
        <w:t>(电子交易)</w:t>
      </w:r>
    </w:p>
    <w:p>
      <w:pPr>
        <w:jc w:val="center"/>
        <w:rPr>
          <w:rFonts w:hint="eastAsia"/>
          <w:b/>
          <w:color w:val="auto"/>
          <w:kern w:val="0"/>
          <w:sz w:val="28"/>
          <w:szCs w:val="28"/>
          <w:highlight w:val="none"/>
        </w:rPr>
      </w:pPr>
    </w:p>
    <w:p>
      <w:pPr>
        <w:jc w:val="center"/>
        <w:rPr>
          <w:rFonts w:hint="eastAsia"/>
          <w:b/>
          <w:color w:val="auto"/>
          <w:kern w:val="0"/>
          <w:sz w:val="28"/>
          <w:szCs w:val="28"/>
          <w:highlight w:val="none"/>
        </w:rPr>
      </w:pPr>
    </w:p>
    <w:p>
      <w:pPr>
        <w:jc w:val="center"/>
        <w:rPr>
          <w:rFonts w:hint="eastAsia"/>
          <w:b/>
          <w:color w:val="auto"/>
          <w:kern w:val="0"/>
          <w:sz w:val="28"/>
          <w:szCs w:val="28"/>
          <w:highlight w:val="none"/>
        </w:rPr>
      </w:pPr>
    </w:p>
    <w:p>
      <w:pPr>
        <w:jc w:val="center"/>
        <w:rPr>
          <w:rFonts w:hint="eastAsia"/>
          <w:b/>
          <w:color w:val="auto"/>
          <w:kern w:val="0"/>
          <w:sz w:val="28"/>
          <w:szCs w:val="28"/>
          <w:highlight w:val="none"/>
        </w:rPr>
      </w:pPr>
    </w:p>
    <w:p>
      <w:pPr>
        <w:jc w:val="center"/>
        <w:rPr>
          <w:b/>
          <w:color w:val="auto"/>
          <w:kern w:val="0"/>
          <w:sz w:val="28"/>
          <w:szCs w:val="28"/>
          <w:highlight w:val="none"/>
        </w:rPr>
      </w:pPr>
    </w:p>
    <w:tbl>
      <w:tblPr>
        <w:tblStyle w:val="70"/>
        <w:tblW w:w="0" w:type="auto"/>
        <w:tblInd w:w="204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20"/>
        <w:gridCol w:w="506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项目编号：</w:t>
            </w:r>
          </w:p>
        </w:tc>
        <w:tc>
          <w:tcPr>
            <w:tcW w:w="5062" w:type="dxa"/>
            <w:noWrap w:val="0"/>
            <w:vAlign w:val="center"/>
          </w:tcPr>
          <w:p>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临[2024]3427号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项目内容：</w:t>
            </w:r>
          </w:p>
        </w:tc>
        <w:tc>
          <w:tcPr>
            <w:tcW w:w="5062" w:type="dxa"/>
            <w:noWrap w:val="0"/>
            <w:vAlign w:val="center"/>
          </w:tcPr>
          <w:p>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s="Times New Roman"/>
                <w:color w:val="auto"/>
                <w:kern w:val="0"/>
                <w:sz w:val="30"/>
                <w:szCs w:val="30"/>
                <w:highlight w:val="none"/>
                <w:lang w:eastAsia="zh-CN"/>
              </w:rPr>
              <w:t>电子病历质控系统</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组织类型：</w:t>
            </w:r>
          </w:p>
        </w:tc>
        <w:tc>
          <w:tcPr>
            <w:tcW w:w="5062" w:type="dxa"/>
            <w:noWrap w:val="0"/>
            <w:vAlign w:val="center"/>
          </w:tcPr>
          <w:p>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分散采购-委托中介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采购方式：</w:t>
            </w:r>
          </w:p>
        </w:tc>
        <w:tc>
          <w:tcPr>
            <w:tcW w:w="5062" w:type="dxa"/>
            <w:noWrap w:val="0"/>
            <w:vAlign w:val="center"/>
          </w:tcPr>
          <w:p>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竞争性磋商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采购单位：</w:t>
            </w:r>
          </w:p>
        </w:tc>
        <w:tc>
          <w:tcPr>
            <w:tcW w:w="5062" w:type="dxa"/>
            <w:noWrap w:val="0"/>
            <w:vAlign w:val="center"/>
          </w:tcPr>
          <w:p>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杭州市临安区中医院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代理机构：</w:t>
            </w:r>
          </w:p>
        </w:tc>
        <w:tc>
          <w:tcPr>
            <w:tcW w:w="5062" w:type="dxa"/>
            <w:noWrap w:val="0"/>
            <w:vAlign w:val="center"/>
          </w:tcPr>
          <w:p>
            <w:pPr>
              <w:spacing w:before="120" w:beforeLines="50"/>
              <w:rPr>
                <w:rFonts w:ascii="仿宋" w:hAnsi="仿宋" w:eastAsia="仿宋"/>
                <w:color w:val="auto"/>
                <w:kern w:val="0"/>
                <w:sz w:val="30"/>
                <w:szCs w:val="30"/>
                <w:highlight w:val="none"/>
              </w:rPr>
            </w:pPr>
            <w:r>
              <w:rPr>
                <w:rFonts w:ascii="仿宋" w:hAnsi="仿宋" w:eastAsia="仿宋"/>
                <w:color w:val="auto"/>
                <w:kern w:val="0"/>
                <w:sz w:val="30"/>
                <w:szCs w:val="30"/>
                <w:highlight w:val="none"/>
              </w:rPr>
              <w:t>杭州中易招标代理有限公司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编制日期：</w:t>
            </w:r>
          </w:p>
        </w:tc>
        <w:tc>
          <w:tcPr>
            <w:tcW w:w="5062" w:type="dxa"/>
            <w:noWrap w:val="0"/>
            <w:vAlign w:val="center"/>
          </w:tcPr>
          <w:p>
            <w:pPr>
              <w:spacing w:before="120" w:beforeLines="50"/>
              <w:rPr>
                <w:rFonts w:hint="eastAsia" w:ascii="仿宋" w:hAnsi="仿宋" w:eastAsia="仿宋"/>
                <w:color w:val="auto"/>
                <w:kern w:val="0"/>
                <w:sz w:val="30"/>
                <w:szCs w:val="30"/>
                <w:highlight w:val="none"/>
              </w:rPr>
            </w:pPr>
            <w:r>
              <w:rPr>
                <w:rFonts w:hint="eastAsia" w:ascii="仿宋" w:hAnsi="仿宋" w:eastAsia="仿宋"/>
                <w:color w:val="auto"/>
                <w:kern w:val="0"/>
                <w:sz w:val="30"/>
                <w:szCs w:val="30"/>
                <w:highlight w:val="none"/>
              </w:rPr>
              <w:t>202</w:t>
            </w:r>
            <w:r>
              <w:rPr>
                <w:rFonts w:hint="eastAsia" w:ascii="仿宋" w:hAnsi="仿宋" w:eastAsia="仿宋"/>
                <w:color w:val="auto"/>
                <w:kern w:val="0"/>
                <w:sz w:val="30"/>
                <w:szCs w:val="30"/>
                <w:highlight w:val="none"/>
                <w:lang w:val="en-US" w:eastAsia="zh-CN"/>
              </w:rPr>
              <w:t>4</w:t>
            </w:r>
            <w:r>
              <w:rPr>
                <w:rFonts w:hint="eastAsia" w:ascii="仿宋" w:hAnsi="仿宋" w:eastAsia="仿宋"/>
                <w:color w:val="auto"/>
                <w:kern w:val="0"/>
                <w:sz w:val="30"/>
                <w:szCs w:val="30"/>
                <w:highlight w:val="none"/>
              </w:rPr>
              <w:t>年</w:t>
            </w:r>
            <w:r>
              <w:rPr>
                <w:rFonts w:hint="eastAsia" w:ascii="仿宋" w:hAnsi="仿宋" w:eastAsia="仿宋"/>
                <w:color w:val="auto"/>
                <w:kern w:val="0"/>
                <w:sz w:val="30"/>
                <w:szCs w:val="30"/>
                <w:highlight w:val="none"/>
                <w:lang w:val="en-US" w:eastAsia="zh-CN"/>
              </w:rPr>
              <w:t>11</w:t>
            </w:r>
            <w:r>
              <w:rPr>
                <w:rFonts w:hint="eastAsia" w:ascii="仿宋" w:hAnsi="仿宋" w:eastAsia="仿宋"/>
                <w:color w:val="auto"/>
                <w:kern w:val="0"/>
                <w:sz w:val="30"/>
                <w:szCs w:val="30"/>
                <w:highlight w:val="none"/>
              </w:rPr>
              <w:t>月</w:t>
            </w:r>
            <w:r>
              <w:rPr>
                <w:rFonts w:hint="eastAsia" w:ascii="仿宋" w:hAnsi="仿宋" w:eastAsia="仿宋"/>
                <w:color w:val="auto"/>
                <w:kern w:val="0"/>
                <w:sz w:val="30"/>
                <w:szCs w:val="30"/>
                <w:highlight w:val="none"/>
                <w:lang w:val="en-US" w:eastAsia="zh-CN"/>
              </w:rPr>
              <w:t>26</w:t>
            </w:r>
            <w:r>
              <w:rPr>
                <w:rFonts w:hint="eastAsia" w:ascii="仿宋" w:hAnsi="仿宋" w:eastAsia="仿宋"/>
                <w:color w:val="auto"/>
                <w:kern w:val="0"/>
                <w:sz w:val="30"/>
                <w:szCs w:val="30"/>
                <w:highlight w:val="none"/>
              </w:rPr>
              <w:t>日</w:t>
            </w:r>
          </w:p>
        </w:tc>
      </w:tr>
    </w:tbl>
    <w:p>
      <w:pPr>
        <w:pStyle w:val="49"/>
        <w:tabs>
          <w:tab w:val="right" w:leader="dot" w:pos="9175"/>
        </w:tabs>
        <w:rPr>
          <w:bCs w:val="0"/>
          <w:caps/>
          <w:color w:val="auto"/>
          <w:w w:val="90"/>
          <w:szCs w:val="28"/>
          <w:highlight w:val="none"/>
        </w:rPr>
      </w:pPr>
    </w:p>
    <w:p>
      <w:pPr>
        <w:rPr>
          <w:rFonts w:hint="eastAsia"/>
          <w:bCs/>
          <w:caps/>
          <w:color w:val="auto"/>
          <w:w w:val="90"/>
          <w:szCs w:val="28"/>
          <w:highlight w:val="none"/>
        </w:rPr>
      </w:pPr>
      <w:r>
        <w:rPr>
          <w:bCs/>
          <w:caps/>
          <w:color w:val="auto"/>
          <w:w w:val="90"/>
          <w:szCs w:val="28"/>
          <w:highlight w:val="none"/>
        </w:rPr>
        <w:br w:type="page"/>
      </w:r>
    </w:p>
    <w:p>
      <w:pPr>
        <w:rPr>
          <w:rFonts w:hint="eastAsia"/>
          <w:bCs/>
          <w:caps/>
          <w:color w:val="auto"/>
          <w:w w:val="90"/>
          <w:szCs w:val="28"/>
          <w:highlight w:val="none"/>
        </w:rPr>
      </w:pPr>
    </w:p>
    <w:p>
      <w:pPr>
        <w:rPr>
          <w:rFonts w:hint="eastAsia"/>
          <w:b/>
          <w:bCs/>
          <w:caps/>
          <w:color w:val="auto"/>
          <w:w w:val="90"/>
          <w:sz w:val="36"/>
          <w:szCs w:val="36"/>
          <w:highlight w:val="none"/>
        </w:rPr>
      </w:pPr>
    </w:p>
    <w:p>
      <w:pPr>
        <w:rPr>
          <w:rFonts w:hint="eastAsia"/>
          <w:b/>
          <w:bCs/>
          <w:caps/>
          <w:color w:val="auto"/>
          <w:w w:val="90"/>
          <w:sz w:val="36"/>
          <w:szCs w:val="36"/>
          <w:highlight w:val="none"/>
        </w:rPr>
      </w:pPr>
    </w:p>
    <w:p>
      <w:pPr>
        <w:ind w:firstLine="4214" w:firstLineChars="954"/>
        <w:rPr>
          <w:rFonts w:hint="eastAsia" w:ascii="仿宋" w:hAnsi="仿宋" w:eastAsia="仿宋"/>
          <w:b/>
          <w:bCs/>
          <w:caps/>
          <w:snapToGrid w:val="0"/>
          <w:color w:val="auto"/>
          <w:kern w:val="0"/>
          <w:sz w:val="44"/>
          <w:szCs w:val="44"/>
          <w:highlight w:val="none"/>
        </w:rPr>
      </w:pPr>
      <w:r>
        <w:rPr>
          <w:rFonts w:hint="eastAsia" w:ascii="仿宋" w:hAnsi="仿宋" w:eastAsia="仿宋"/>
          <w:b/>
          <w:bCs/>
          <w:caps/>
          <w:snapToGrid w:val="0"/>
          <w:color w:val="auto"/>
          <w:kern w:val="0"/>
          <w:sz w:val="44"/>
          <w:szCs w:val="44"/>
          <w:highlight w:val="none"/>
        </w:rPr>
        <w:t>目 录</w:t>
      </w:r>
    </w:p>
    <w:p>
      <w:pPr>
        <w:jc w:val="center"/>
        <w:rPr>
          <w:rFonts w:hint="eastAsia" w:ascii="仿宋" w:hAnsi="仿宋" w:eastAsia="仿宋"/>
          <w:color w:val="auto"/>
          <w:sz w:val="30"/>
          <w:highlight w:val="none"/>
        </w:rPr>
      </w:pPr>
    </w:p>
    <w:p>
      <w:pPr>
        <w:pStyle w:val="49"/>
        <w:tabs>
          <w:tab w:val="right" w:leader="dot" w:pos="9175"/>
        </w:tabs>
        <w:ind w:left="2310" w:leftChars="1100"/>
        <w:rPr>
          <w:rFonts w:ascii="仿宋" w:hAnsi="仿宋" w:cs="Times New Roman"/>
          <w:b w:val="0"/>
          <w:bCs w:val="0"/>
          <w:iCs w:val="0"/>
          <w:sz w:val="36"/>
          <w:szCs w:val="36"/>
        </w:rPr>
      </w:pPr>
      <w:r>
        <w:rPr>
          <w:rFonts w:ascii="仿宋" w:hAnsi="仿宋"/>
          <w:b w:val="0"/>
          <w:sz w:val="36"/>
          <w:szCs w:val="36"/>
        </w:rPr>
        <w:fldChar w:fldCharType="begin"/>
      </w:r>
      <w:r>
        <w:rPr>
          <w:rFonts w:ascii="仿宋" w:hAnsi="仿宋"/>
          <w:b w:val="0"/>
          <w:sz w:val="36"/>
          <w:szCs w:val="36"/>
        </w:rPr>
        <w:instrText xml:space="preserve"> TOC \o "1-1" \h \z \u </w:instrText>
      </w:r>
      <w:r>
        <w:rPr>
          <w:rFonts w:ascii="仿宋" w:hAnsi="仿宋"/>
          <w:b w:val="0"/>
          <w:sz w:val="36"/>
          <w:szCs w:val="36"/>
        </w:rPr>
        <w:fldChar w:fldCharType="separate"/>
      </w: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"_Toc97000037"</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第一部分</w:t>
      </w:r>
      <w:r>
        <w:rPr>
          <w:rStyle w:val="81"/>
          <w:rFonts w:ascii="仿宋" w:hAnsi="仿宋"/>
          <w:b w:val="0"/>
          <w:color w:val="auto"/>
          <w:sz w:val="36"/>
          <w:szCs w:val="36"/>
        </w:rPr>
        <w:t xml:space="preserve">  </w:t>
      </w:r>
      <w:r>
        <w:rPr>
          <w:rStyle w:val="81"/>
          <w:rFonts w:hint="eastAsia" w:ascii="仿宋" w:hAnsi="仿宋"/>
          <w:b w:val="0"/>
          <w:color w:val="auto"/>
          <w:sz w:val="36"/>
          <w:szCs w:val="36"/>
        </w:rPr>
        <w:t>采购公告</w:t>
      </w:r>
      <w:r>
        <w:rPr>
          <w:rStyle w:val="81"/>
          <w:rFonts w:ascii="仿宋" w:hAnsi="仿宋"/>
          <w:b w:val="0"/>
          <w:color w:val="auto"/>
          <w:sz w:val="36"/>
          <w:szCs w:val="36"/>
        </w:rPr>
        <w:fldChar w:fldCharType="end"/>
      </w:r>
    </w:p>
    <w:p>
      <w:pPr>
        <w:pStyle w:val="49"/>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"_Toc97000038"</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第二部分</w:t>
      </w:r>
      <w:r>
        <w:rPr>
          <w:rStyle w:val="81"/>
          <w:rFonts w:ascii="仿宋" w:hAnsi="仿宋"/>
          <w:b w:val="0"/>
          <w:color w:val="auto"/>
          <w:sz w:val="36"/>
          <w:szCs w:val="36"/>
        </w:rPr>
        <w:t xml:space="preserve">  </w:t>
      </w:r>
      <w:r>
        <w:rPr>
          <w:rStyle w:val="81"/>
          <w:rFonts w:hint="eastAsia" w:ascii="仿宋" w:hAnsi="仿宋"/>
          <w:b w:val="0"/>
          <w:color w:val="auto"/>
          <w:sz w:val="36"/>
          <w:szCs w:val="36"/>
        </w:rPr>
        <w:t>磋商流程</w:t>
      </w:r>
      <w:r>
        <w:rPr>
          <w:rStyle w:val="81"/>
          <w:rFonts w:ascii="仿宋" w:hAnsi="仿宋"/>
          <w:b w:val="0"/>
          <w:color w:val="auto"/>
          <w:sz w:val="36"/>
          <w:szCs w:val="36"/>
        </w:rPr>
        <w:fldChar w:fldCharType="end"/>
      </w:r>
    </w:p>
    <w:p>
      <w:pPr>
        <w:pStyle w:val="49"/>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"_Toc97000038"</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第三部分</w:t>
      </w:r>
      <w:r>
        <w:rPr>
          <w:rStyle w:val="81"/>
          <w:rFonts w:ascii="仿宋" w:hAnsi="仿宋"/>
          <w:b w:val="0"/>
          <w:color w:val="auto"/>
          <w:sz w:val="36"/>
          <w:szCs w:val="36"/>
        </w:rPr>
        <w:t xml:space="preserve">  </w:t>
      </w:r>
      <w:r>
        <w:rPr>
          <w:rStyle w:val="81"/>
          <w:rFonts w:hint="eastAsia" w:ascii="仿宋" w:hAnsi="仿宋"/>
          <w:b w:val="0"/>
          <w:color w:val="auto"/>
          <w:sz w:val="36"/>
          <w:szCs w:val="36"/>
        </w:rPr>
        <w:t>供应商须知</w:t>
      </w:r>
      <w:r>
        <w:rPr>
          <w:rStyle w:val="81"/>
          <w:rFonts w:ascii="仿宋" w:hAnsi="仿宋"/>
          <w:b w:val="0"/>
          <w:color w:val="auto"/>
          <w:sz w:val="36"/>
          <w:szCs w:val="36"/>
        </w:rPr>
        <w:fldChar w:fldCharType="end"/>
      </w:r>
    </w:p>
    <w:p>
      <w:pPr>
        <w:pStyle w:val="49"/>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"_Toc97000039"</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第四部分</w:t>
      </w:r>
      <w:r>
        <w:rPr>
          <w:rStyle w:val="81"/>
          <w:rFonts w:ascii="仿宋" w:hAnsi="仿宋"/>
          <w:b w:val="0"/>
          <w:color w:val="auto"/>
          <w:sz w:val="36"/>
          <w:szCs w:val="36"/>
        </w:rPr>
        <w:t xml:space="preserve">  </w:t>
      </w:r>
      <w:r>
        <w:rPr>
          <w:rStyle w:val="81"/>
          <w:rFonts w:hint="eastAsia" w:ascii="仿宋" w:hAnsi="仿宋"/>
          <w:b w:val="0"/>
          <w:color w:val="auto"/>
          <w:sz w:val="36"/>
          <w:szCs w:val="36"/>
        </w:rPr>
        <w:t>采购需求</w:t>
      </w:r>
      <w:r>
        <w:rPr>
          <w:rStyle w:val="81"/>
          <w:rFonts w:ascii="仿宋" w:hAnsi="仿宋"/>
          <w:b w:val="0"/>
          <w:color w:val="auto"/>
          <w:sz w:val="36"/>
          <w:szCs w:val="36"/>
        </w:rPr>
        <w:fldChar w:fldCharType="end"/>
      </w:r>
    </w:p>
    <w:p>
      <w:pPr>
        <w:pStyle w:val="49"/>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"_Toc97000040"</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第五部分</w:t>
      </w:r>
      <w:r>
        <w:rPr>
          <w:rStyle w:val="81"/>
          <w:rFonts w:ascii="仿宋" w:hAnsi="仿宋"/>
          <w:b w:val="0"/>
          <w:color w:val="auto"/>
          <w:sz w:val="36"/>
          <w:szCs w:val="36"/>
        </w:rPr>
        <w:t xml:space="preserve">  </w:t>
      </w:r>
      <w:r>
        <w:rPr>
          <w:rStyle w:val="81"/>
          <w:rFonts w:hint="eastAsia" w:ascii="仿宋" w:hAnsi="仿宋"/>
          <w:b w:val="0"/>
          <w:color w:val="auto"/>
          <w:sz w:val="36"/>
          <w:szCs w:val="36"/>
        </w:rPr>
        <w:t>评审办法</w:t>
      </w:r>
      <w:r>
        <w:rPr>
          <w:rStyle w:val="81"/>
          <w:rFonts w:ascii="仿宋" w:hAnsi="仿宋"/>
          <w:b w:val="0"/>
          <w:color w:val="auto"/>
          <w:sz w:val="36"/>
          <w:szCs w:val="36"/>
        </w:rPr>
        <w:fldChar w:fldCharType="end"/>
      </w:r>
    </w:p>
    <w:p>
      <w:pPr>
        <w:pStyle w:val="49"/>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"_Toc97000041"</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第六部分</w:t>
      </w:r>
      <w:r>
        <w:rPr>
          <w:rStyle w:val="81"/>
          <w:rFonts w:ascii="仿宋" w:hAnsi="仿宋"/>
          <w:b w:val="0"/>
          <w:color w:val="auto"/>
          <w:sz w:val="36"/>
          <w:szCs w:val="36"/>
        </w:rPr>
        <w:t xml:space="preserve">  </w:t>
      </w:r>
      <w:r>
        <w:rPr>
          <w:rStyle w:val="81"/>
          <w:rFonts w:hint="eastAsia" w:ascii="仿宋" w:hAnsi="仿宋"/>
          <w:b w:val="0"/>
          <w:color w:val="auto"/>
          <w:sz w:val="36"/>
          <w:szCs w:val="36"/>
        </w:rPr>
        <w:t>拟签订的合同文本</w:t>
      </w:r>
      <w:r>
        <w:rPr>
          <w:rStyle w:val="81"/>
          <w:rFonts w:ascii="仿宋" w:hAnsi="仿宋"/>
          <w:b w:val="0"/>
          <w:color w:val="auto"/>
          <w:sz w:val="36"/>
          <w:szCs w:val="36"/>
        </w:rPr>
        <w:fldChar w:fldCharType="end"/>
      </w:r>
    </w:p>
    <w:p>
      <w:pPr>
        <w:pStyle w:val="49"/>
        <w:tabs>
          <w:tab w:val="right" w:leader="dot" w:pos="9175"/>
        </w:tabs>
        <w:ind w:left="2310" w:leftChars="1100"/>
        <w:rPr>
          <w:rFonts w:ascii="仿宋" w:hAnsi="仿宋" w:cs="Times New Roman"/>
          <w:b w:val="0"/>
          <w:bCs w:val="0"/>
          <w:iCs w:val="0"/>
          <w:sz w:val="36"/>
          <w:szCs w:val="36"/>
        </w:rPr>
      </w:pPr>
      <w:r>
        <w:rPr>
          <w:rStyle w:val="81"/>
          <w:rFonts w:ascii="仿宋" w:hAnsi="仿宋"/>
          <w:b w:val="0"/>
          <w:color w:val="auto"/>
          <w:sz w:val="36"/>
          <w:szCs w:val="36"/>
        </w:rPr>
        <w:fldChar w:fldCharType="begin"/>
      </w:r>
      <w:r>
        <w:rPr>
          <w:rStyle w:val="81"/>
          <w:rFonts w:ascii="仿宋" w:hAnsi="仿宋"/>
          <w:b w:val="0"/>
          <w:color w:val="auto"/>
          <w:sz w:val="36"/>
          <w:szCs w:val="36"/>
        </w:rPr>
        <w:instrText xml:space="preserve"> </w:instrText>
      </w:r>
      <w:r>
        <w:rPr>
          <w:rFonts w:ascii="仿宋" w:hAnsi="仿宋"/>
          <w:b w:val="0"/>
          <w:sz w:val="36"/>
          <w:szCs w:val="36"/>
        </w:rPr>
        <w:instrText xml:space="preserve">HYPERLINK \l "_Toc97000042"</w:instrText>
      </w:r>
      <w:r>
        <w:rPr>
          <w:rStyle w:val="81"/>
          <w:rFonts w:ascii="仿宋" w:hAnsi="仿宋"/>
          <w:b w:val="0"/>
          <w:color w:val="auto"/>
          <w:sz w:val="36"/>
          <w:szCs w:val="36"/>
        </w:rPr>
        <w:instrText xml:space="preserve"> </w:instrText>
      </w:r>
      <w:r>
        <w:rPr>
          <w:rStyle w:val="81"/>
          <w:rFonts w:ascii="仿宋" w:hAnsi="仿宋"/>
          <w:b w:val="0"/>
          <w:color w:val="auto"/>
          <w:sz w:val="36"/>
          <w:szCs w:val="36"/>
        </w:rPr>
        <w:fldChar w:fldCharType="separate"/>
      </w:r>
      <w:r>
        <w:rPr>
          <w:rStyle w:val="81"/>
          <w:rFonts w:hint="eastAsia" w:ascii="仿宋" w:hAnsi="仿宋"/>
          <w:b w:val="0"/>
          <w:color w:val="auto"/>
          <w:sz w:val="36"/>
          <w:szCs w:val="36"/>
        </w:rPr>
        <w:t>第七部分</w:t>
      </w:r>
      <w:r>
        <w:rPr>
          <w:rStyle w:val="81"/>
          <w:rFonts w:ascii="仿宋" w:hAnsi="仿宋"/>
          <w:b w:val="0"/>
          <w:color w:val="auto"/>
          <w:sz w:val="36"/>
          <w:szCs w:val="36"/>
        </w:rPr>
        <w:t xml:space="preserve">  </w:t>
      </w:r>
      <w:r>
        <w:rPr>
          <w:rStyle w:val="81"/>
          <w:rFonts w:hint="eastAsia" w:ascii="仿宋" w:hAnsi="仿宋"/>
          <w:b w:val="0"/>
          <w:color w:val="auto"/>
          <w:sz w:val="36"/>
          <w:szCs w:val="36"/>
        </w:rPr>
        <w:t>应提交的有关格式范例</w:t>
      </w:r>
      <w:r>
        <w:rPr>
          <w:rStyle w:val="81"/>
          <w:rFonts w:ascii="仿宋" w:hAnsi="仿宋"/>
          <w:b w:val="0"/>
          <w:color w:val="auto"/>
          <w:sz w:val="36"/>
          <w:szCs w:val="36"/>
        </w:rPr>
        <w:fldChar w:fldCharType="end"/>
      </w:r>
    </w:p>
    <w:p>
      <w:pPr>
        <w:pStyle w:val="49"/>
        <w:tabs>
          <w:tab w:val="right" w:leader="dot" w:pos="9175"/>
        </w:tabs>
        <w:ind w:left="2310" w:leftChars="1100"/>
        <w:rPr>
          <w:rFonts w:ascii="仿宋" w:hAnsi="仿宋" w:cs="Times New Roman"/>
          <w:b w:val="0"/>
          <w:bCs w:val="0"/>
          <w:iCs w:val="0"/>
          <w:sz w:val="36"/>
          <w:szCs w:val="36"/>
          <w:u w:val="none"/>
        </w:rPr>
      </w:pPr>
      <w:r>
        <w:rPr>
          <w:rFonts w:ascii="仿宋" w:hAnsi="仿宋" w:eastAsia="仿宋"/>
          <w:sz w:val="36"/>
          <w:szCs w:val="36"/>
        </w:rPr>
        <w:fldChar w:fldCharType="end"/>
      </w:r>
      <w:r>
        <w:rPr>
          <w:rStyle w:val="81"/>
          <w:rFonts w:ascii="仿宋" w:hAnsi="仿宋"/>
          <w:b w:val="0"/>
          <w:color w:val="auto"/>
          <w:sz w:val="36"/>
          <w:szCs w:val="36"/>
          <w:u w:val="none"/>
        </w:rPr>
        <w:fldChar w:fldCharType="begin"/>
      </w:r>
      <w:r>
        <w:rPr>
          <w:rStyle w:val="81"/>
          <w:rFonts w:ascii="仿宋" w:hAnsi="仿宋"/>
          <w:b w:val="0"/>
          <w:color w:val="auto"/>
          <w:sz w:val="36"/>
          <w:szCs w:val="36"/>
          <w:u w:val="none"/>
        </w:rPr>
        <w:instrText xml:space="preserve"> </w:instrText>
      </w:r>
      <w:r>
        <w:rPr>
          <w:rFonts w:ascii="仿宋" w:hAnsi="仿宋"/>
          <w:b w:val="0"/>
          <w:sz w:val="36"/>
          <w:szCs w:val="36"/>
          <w:u w:val="none"/>
        </w:rPr>
        <w:instrText xml:space="preserve">HYPERLINK \l "_Toc97000042"</w:instrText>
      </w:r>
      <w:r>
        <w:rPr>
          <w:rStyle w:val="81"/>
          <w:rFonts w:ascii="仿宋" w:hAnsi="仿宋"/>
          <w:b w:val="0"/>
          <w:color w:val="auto"/>
          <w:sz w:val="36"/>
          <w:szCs w:val="36"/>
          <w:u w:val="none"/>
        </w:rPr>
        <w:instrText xml:space="preserve"> </w:instrText>
      </w:r>
      <w:r>
        <w:rPr>
          <w:rStyle w:val="81"/>
          <w:rFonts w:ascii="仿宋" w:hAnsi="仿宋"/>
          <w:b w:val="0"/>
          <w:color w:val="auto"/>
          <w:sz w:val="36"/>
          <w:szCs w:val="36"/>
          <w:u w:val="none"/>
        </w:rPr>
        <w:fldChar w:fldCharType="separate"/>
      </w:r>
      <w:r>
        <w:rPr>
          <w:rStyle w:val="81"/>
          <w:rFonts w:hint="eastAsia" w:ascii="仿宋" w:hAnsi="仿宋"/>
          <w:b w:val="0"/>
          <w:color w:val="auto"/>
          <w:sz w:val="36"/>
          <w:szCs w:val="36"/>
          <w:u w:val="none"/>
        </w:rPr>
        <w:t>第</w:t>
      </w:r>
      <w:r>
        <w:rPr>
          <w:rStyle w:val="81"/>
          <w:rFonts w:hint="eastAsia" w:ascii="仿宋" w:hAnsi="仿宋"/>
          <w:b w:val="0"/>
          <w:color w:val="auto"/>
          <w:sz w:val="36"/>
          <w:szCs w:val="36"/>
          <w:u w:val="none"/>
          <w:lang w:val="en-US" w:eastAsia="zh-CN"/>
        </w:rPr>
        <w:t>八</w:t>
      </w:r>
      <w:r>
        <w:rPr>
          <w:rStyle w:val="81"/>
          <w:rFonts w:hint="eastAsia" w:ascii="仿宋" w:hAnsi="仿宋"/>
          <w:b w:val="0"/>
          <w:color w:val="auto"/>
          <w:sz w:val="36"/>
          <w:szCs w:val="36"/>
          <w:u w:val="none"/>
        </w:rPr>
        <w:t>部分</w:t>
      </w:r>
      <w:r>
        <w:rPr>
          <w:rStyle w:val="81"/>
          <w:rFonts w:ascii="仿宋" w:hAnsi="仿宋"/>
          <w:b w:val="0"/>
          <w:color w:val="auto"/>
          <w:sz w:val="36"/>
          <w:szCs w:val="36"/>
          <w:u w:val="none"/>
        </w:rPr>
        <w:t xml:space="preserve">  </w:t>
      </w:r>
      <w:r>
        <w:rPr>
          <w:rStyle w:val="81"/>
          <w:rFonts w:hint="eastAsia" w:ascii="仿宋" w:hAnsi="仿宋"/>
          <w:b w:val="0"/>
          <w:color w:val="auto"/>
          <w:sz w:val="36"/>
          <w:szCs w:val="36"/>
          <w:u w:val="none"/>
          <w:lang w:val="en-US" w:eastAsia="zh-CN"/>
        </w:rPr>
        <w:t>最后报价</w:t>
      </w:r>
      <w:r>
        <w:rPr>
          <w:rStyle w:val="81"/>
          <w:rFonts w:hint="eastAsia" w:ascii="仿宋" w:hAnsi="仿宋"/>
          <w:b w:val="0"/>
          <w:color w:val="auto"/>
          <w:sz w:val="36"/>
          <w:szCs w:val="36"/>
          <w:u w:val="none"/>
        </w:rPr>
        <w:t>格式</w:t>
      </w:r>
      <w:r>
        <w:rPr>
          <w:rStyle w:val="81"/>
          <w:rFonts w:ascii="仿宋" w:hAnsi="仿宋"/>
          <w:b w:val="0"/>
          <w:color w:val="auto"/>
          <w:sz w:val="36"/>
          <w:szCs w:val="36"/>
          <w:u w:val="none"/>
        </w:rPr>
        <w:fldChar w:fldCharType="end"/>
      </w:r>
    </w:p>
    <w:p>
      <w:pPr>
        <w:ind w:left="1470" w:leftChars="700"/>
        <w:rPr>
          <w:color w:val="auto"/>
          <w:sz w:val="30"/>
          <w:highlight w:val="none"/>
        </w:rPr>
      </w:pPr>
    </w:p>
    <w:p>
      <w:pPr>
        <w:spacing w:line="360" w:lineRule="auto"/>
        <w:jc w:val="center"/>
        <w:rPr>
          <w:rFonts w:hint="eastAsia" w:ascii="仿宋" w:hAnsi="仿宋" w:eastAsia="仿宋"/>
          <w:b/>
          <w:color w:val="auto"/>
          <w:sz w:val="30"/>
          <w:szCs w:val="30"/>
          <w:highlight w:val="none"/>
        </w:rPr>
      </w:pPr>
      <w:r>
        <w:rPr>
          <w:b/>
          <w:color w:val="auto"/>
          <w:kern w:val="0"/>
          <w:sz w:val="36"/>
          <w:highlight w:val="none"/>
        </w:rPr>
        <w:br w:type="page"/>
      </w:r>
      <w:bookmarkStart w:id="0" w:name="_Toc96999266"/>
      <w:bookmarkStart w:id="1" w:name="_Toc97000037"/>
      <w:r>
        <w:rPr>
          <w:rFonts w:ascii="仿宋" w:hAnsi="仿宋" w:eastAsia="仿宋"/>
          <w:b/>
          <w:color w:val="auto"/>
          <w:sz w:val="30"/>
          <w:szCs w:val="30"/>
          <w:highlight w:val="none"/>
        </w:rPr>
        <w:t>第一</w:t>
      </w:r>
      <w:r>
        <w:rPr>
          <w:rFonts w:hint="eastAsia" w:ascii="仿宋" w:hAnsi="仿宋" w:eastAsia="仿宋"/>
          <w:b/>
          <w:color w:val="auto"/>
          <w:sz w:val="30"/>
          <w:szCs w:val="30"/>
          <w:highlight w:val="none"/>
        </w:rPr>
        <w:t>部分  采购公告</w:t>
      </w:r>
      <w:bookmarkEnd w:id="0"/>
      <w:bookmarkEnd w:id="1"/>
    </w:p>
    <w:p>
      <w:pPr>
        <w:pStyle w:val="30"/>
        <w:snapToGrid w:val="0"/>
        <w:spacing w:beforeLines="0" w:line="240" w:lineRule="auto"/>
        <w:ind w:firstLine="482" w:firstLineChars="200"/>
        <w:rPr>
          <w:rFonts w:hint="eastAsia" w:ascii="仿宋" w:hAnsi="仿宋" w:eastAsia="仿宋"/>
          <w:b/>
          <w:color w:val="auto"/>
          <w:szCs w:val="24"/>
          <w:highlight w:val="none"/>
        </w:rPr>
      </w:pPr>
      <w:bookmarkStart w:id="2" w:name="_Toc28359079"/>
      <w:bookmarkStart w:id="3" w:name="_Toc35393621"/>
      <w:bookmarkStart w:id="4" w:name="_Toc28359002"/>
      <w:bookmarkStart w:id="5" w:name="_Toc35393790"/>
      <w:bookmarkStart w:id="6" w:name="_Hlk24379207"/>
      <w:bookmarkStart w:id="7" w:name="_Toc329265251"/>
    </w:p>
    <w:p>
      <w:pPr>
        <w:pBdr>
          <w:top w:val="single" w:color="auto" w:sz="4" w:space="1"/>
          <w:left w:val="single" w:color="auto" w:sz="4" w:space="4"/>
          <w:bottom w:val="single" w:color="auto" w:sz="4" w:space="1"/>
          <w:right w:val="single" w:color="auto" w:sz="4" w:space="4"/>
        </w:pBdr>
        <w:snapToGrid w:val="0"/>
        <w:spacing w:beforeLines="0"/>
        <w:ind w:firstLine="462" w:firstLineChars="200"/>
        <w:rPr>
          <w:rFonts w:ascii="仿宋" w:hAnsi="仿宋" w:eastAsia="仿宋"/>
          <w:b/>
          <w:snapToGrid w:val="0"/>
          <w:color w:val="auto"/>
          <w:w w:val="96"/>
          <w:kern w:val="0"/>
          <w:sz w:val="24"/>
          <w:szCs w:val="24"/>
          <w:highlight w:val="none"/>
        </w:rPr>
      </w:pPr>
      <w:r>
        <w:rPr>
          <w:rFonts w:hint="eastAsia" w:ascii="仿宋" w:hAnsi="仿宋" w:eastAsia="仿宋"/>
          <w:b/>
          <w:snapToGrid w:val="0"/>
          <w:color w:val="auto"/>
          <w:w w:val="96"/>
          <w:kern w:val="0"/>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beforeLines="0"/>
        <w:ind w:firstLine="460" w:firstLineChars="200"/>
        <w:rPr>
          <w:rFonts w:ascii="仿宋" w:hAnsi="仿宋" w:eastAsia="仿宋"/>
          <w:snapToGrid w:val="0"/>
          <w:color w:val="auto"/>
          <w:w w:val="96"/>
          <w:kern w:val="0"/>
          <w:sz w:val="24"/>
          <w:szCs w:val="24"/>
          <w:highlight w:val="none"/>
        </w:rPr>
      </w:pPr>
      <w:r>
        <w:rPr>
          <w:rFonts w:hint="eastAsia" w:ascii="仿宋" w:hAnsi="仿宋" w:eastAsia="仿宋"/>
          <w:snapToGrid w:val="0"/>
          <w:color w:val="auto"/>
          <w:w w:val="96"/>
          <w:kern w:val="0"/>
          <w:sz w:val="24"/>
          <w:szCs w:val="24"/>
          <w:highlight w:val="none"/>
          <w:u w:val="single"/>
          <w:lang w:eastAsia="zh-CN"/>
        </w:rPr>
        <w:t>杭州市临安区中医院电子病历质控系统</w:t>
      </w:r>
      <w:r>
        <w:rPr>
          <w:rFonts w:hint="eastAsia" w:ascii="仿宋" w:hAnsi="仿宋" w:eastAsia="仿宋"/>
          <w:snapToGrid w:val="0"/>
          <w:color w:val="auto"/>
          <w:w w:val="96"/>
          <w:kern w:val="0"/>
          <w:sz w:val="24"/>
          <w:szCs w:val="24"/>
          <w:highlight w:val="none"/>
        </w:rPr>
        <w:t>采购项目的潜在供应商应在</w:t>
      </w:r>
      <w:r>
        <w:rPr>
          <w:rFonts w:hint="eastAsia" w:ascii="仿宋" w:hAnsi="仿宋" w:eastAsia="仿宋" w:cs="Calibri"/>
          <w:snapToGrid w:val="0"/>
          <w:color w:val="auto"/>
          <w:w w:val="96"/>
          <w:kern w:val="0"/>
          <w:sz w:val="24"/>
          <w:szCs w:val="24"/>
          <w:highlight w:val="none"/>
          <w:u w:val="none"/>
        </w:rPr>
        <w:t>政采云平台（</w:t>
      </w:r>
      <w:r>
        <w:rPr>
          <w:rFonts w:ascii="仿宋" w:hAnsi="仿宋" w:eastAsia="仿宋" w:cs="Calibri"/>
          <w:snapToGrid w:val="0"/>
          <w:color w:val="auto"/>
          <w:w w:val="96"/>
          <w:kern w:val="0"/>
          <w:sz w:val="24"/>
          <w:szCs w:val="24"/>
          <w:highlight w:val="none"/>
          <w:u w:val="none"/>
        </w:rPr>
        <w:t>www.zcygov.</w:t>
      </w:r>
      <w:r>
        <w:rPr>
          <w:rFonts w:hint="eastAsia" w:ascii="仿宋" w:hAnsi="仿宋" w:eastAsia="仿宋" w:cs="Calibri"/>
          <w:snapToGrid w:val="0"/>
          <w:color w:val="auto"/>
          <w:w w:val="96"/>
          <w:kern w:val="0"/>
          <w:sz w:val="24"/>
          <w:szCs w:val="24"/>
          <w:highlight w:val="none"/>
          <w:u w:val="none"/>
          <w:lang w:val="en-US" w:eastAsia="zh-CN"/>
        </w:rPr>
        <w:t>cn</w:t>
      </w:r>
      <w:r>
        <w:rPr>
          <w:rFonts w:ascii="仿宋" w:hAnsi="仿宋" w:eastAsia="仿宋" w:cs="Calibri"/>
          <w:snapToGrid w:val="0"/>
          <w:color w:val="auto"/>
          <w:w w:val="96"/>
          <w:kern w:val="0"/>
          <w:sz w:val="24"/>
          <w:szCs w:val="24"/>
          <w:highlight w:val="none"/>
          <w:u w:val="none"/>
        </w:rPr>
        <w:t>）</w:t>
      </w:r>
      <w:r>
        <w:rPr>
          <w:rFonts w:hint="eastAsia" w:ascii="仿宋" w:hAnsi="仿宋" w:eastAsia="仿宋"/>
          <w:snapToGrid w:val="0"/>
          <w:color w:val="auto"/>
          <w:w w:val="96"/>
          <w:kern w:val="0"/>
          <w:sz w:val="24"/>
          <w:szCs w:val="24"/>
          <w:highlight w:val="none"/>
        </w:rPr>
        <w:t>获取(下载)采购文件，并于</w:t>
      </w:r>
      <w:r>
        <w:rPr>
          <w:rFonts w:hint="eastAsia" w:ascii="仿宋" w:hAnsi="仿宋" w:eastAsia="仿宋"/>
          <w:snapToGrid w:val="0"/>
          <w:color w:val="auto"/>
          <w:w w:val="96"/>
          <w:kern w:val="0"/>
          <w:sz w:val="24"/>
          <w:szCs w:val="24"/>
          <w:highlight w:val="none"/>
          <w:u w:val="single"/>
          <w:lang w:eastAsia="zh-CN"/>
        </w:rPr>
        <w:t>2024年12月9日</w:t>
      </w:r>
      <w:r>
        <w:rPr>
          <w:rFonts w:hint="eastAsia" w:ascii="仿宋" w:hAnsi="仿宋" w:eastAsia="仿宋"/>
          <w:snapToGrid w:val="0"/>
          <w:color w:val="auto"/>
          <w:w w:val="96"/>
          <w:kern w:val="0"/>
          <w:sz w:val="24"/>
          <w:szCs w:val="24"/>
          <w:highlight w:val="none"/>
          <w:u w:val="single"/>
          <w:lang w:val="en-US" w:eastAsia="zh-CN"/>
        </w:rPr>
        <w:t>14</w:t>
      </w:r>
      <w:r>
        <w:rPr>
          <w:rFonts w:hint="eastAsia" w:ascii="仿宋" w:hAnsi="仿宋" w:eastAsia="仿宋" w:cs="Calibri"/>
          <w:snapToGrid w:val="0"/>
          <w:color w:val="auto"/>
          <w:w w:val="96"/>
          <w:kern w:val="0"/>
          <w:sz w:val="24"/>
          <w:szCs w:val="24"/>
          <w:highlight w:val="none"/>
          <w:u w:val="single"/>
        </w:rPr>
        <w:t>:</w:t>
      </w:r>
      <w:r>
        <w:rPr>
          <w:rFonts w:hint="eastAsia" w:ascii="仿宋" w:hAnsi="仿宋" w:eastAsia="仿宋" w:cs="Calibri"/>
          <w:snapToGrid w:val="0"/>
          <w:color w:val="auto"/>
          <w:w w:val="96"/>
          <w:kern w:val="0"/>
          <w:sz w:val="24"/>
          <w:szCs w:val="24"/>
          <w:highlight w:val="none"/>
          <w:u w:val="single"/>
          <w:lang w:val="en-US" w:eastAsia="zh-CN"/>
        </w:rPr>
        <w:t>3</w:t>
      </w:r>
      <w:r>
        <w:rPr>
          <w:rFonts w:hint="eastAsia" w:ascii="仿宋" w:hAnsi="仿宋" w:eastAsia="仿宋" w:cs="Calibri"/>
          <w:snapToGrid w:val="0"/>
          <w:color w:val="auto"/>
          <w:w w:val="96"/>
          <w:kern w:val="0"/>
          <w:sz w:val="24"/>
          <w:szCs w:val="24"/>
          <w:highlight w:val="none"/>
          <w:u w:val="single"/>
        </w:rPr>
        <w:t>0（北京时间）</w:t>
      </w:r>
      <w:r>
        <w:rPr>
          <w:rFonts w:hint="eastAsia" w:ascii="仿宋" w:hAnsi="仿宋" w:eastAsia="仿宋"/>
          <w:bCs/>
          <w:snapToGrid w:val="0"/>
          <w:color w:val="auto"/>
          <w:w w:val="96"/>
          <w:kern w:val="0"/>
          <w:sz w:val="24"/>
          <w:szCs w:val="24"/>
          <w:highlight w:val="none"/>
        </w:rPr>
        <w:t>前递交(上传)响应</w:t>
      </w:r>
      <w:r>
        <w:rPr>
          <w:rFonts w:ascii="仿宋" w:hAnsi="仿宋" w:eastAsia="仿宋"/>
          <w:bCs/>
          <w:snapToGrid w:val="0"/>
          <w:color w:val="auto"/>
          <w:w w:val="96"/>
          <w:kern w:val="0"/>
          <w:sz w:val="24"/>
          <w:szCs w:val="24"/>
          <w:highlight w:val="none"/>
        </w:rPr>
        <w:t>文件</w:t>
      </w:r>
      <w:r>
        <w:rPr>
          <w:rFonts w:hint="eastAsia" w:ascii="仿宋" w:hAnsi="仿宋" w:eastAsia="仿宋"/>
          <w:snapToGrid w:val="0"/>
          <w:color w:val="auto"/>
          <w:w w:val="96"/>
          <w:kern w:val="0"/>
          <w:sz w:val="24"/>
          <w:szCs w:val="24"/>
          <w:highlight w:val="none"/>
        </w:rPr>
        <w:t>。</w:t>
      </w:r>
    </w:p>
    <w:p>
      <w:pPr>
        <w:pStyle w:val="30"/>
        <w:snapToGrid w:val="0"/>
        <w:spacing w:beforeLines="0" w:line="240" w:lineRule="auto"/>
        <w:ind w:firstLine="422" w:firstLineChars="200"/>
        <w:rPr>
          <w:rFonts w:hint="eastAsia" w:ascii="仿宋" w:hAnsi="仿宋" w:eastAsia="仿宋"/>
          <w:b/>
          <w:color w:val="auto"/>
          <w:sz w:val="21"/>
          <w:szCs w:val="21"/>
          <w:highlight w:val="none"/>
        </w:rPr>
      </w:pPr>
    </w:p>
    <w:p>
      <w:pPr>
        <w:pStyle w:val="30"/>
        <w:snapToGrid w:val="0"/>
        <w:spacing w:beforeLines="0" w:line="24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一、项目基本情况</w:t>
      </w:r>
      <w:bookmarkEnd w:id="2"/>
      <w:bookmarkEnd w:id="3"/>
      <w:bookmarkEnd w:id="4"/>
      <w:bookmarkEnd w:id="5"/>
    </w:p>
    <w:p>
      <w:pPr>
        <w:pStyle w:val="30"/>
        <w:snapToGrid w:val="0"/>
        <w:spacing w:beforeLines="0" w:line="240" w:lineRule="auto"/>
        <w:ind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项目编号：</w:t>
      </w:r>
      <w:r>
        <w:rPr>
          <w:rFonts w:hint="eastAsia" w:ascii="仿宋" w:hAnsi="仿宋" w:eastAsia="仿宋" w:cs="Calibri"/>
          <w:color w:val="auto"/>
          <w:kern w:val="0"/>
          <w:sz w:val="21"/>
          <w:szCs w:val="21"/>
          <w:highlight w:val="none"/>
          <w:lang w:eastAsia="zh-CN"/>
        </w:rPr>
        <w:t>临[2024]3427号</w:t>
      </w:r>
    </w:p>
    <w:p>
      <w:pPr>
        <w:pStyle w:val="30"/>
        <w:snapToGrid w:val="0"/>
        <w:spacing w:beforeLines="0" w:line="240" w:lineRule="auto"/>
        <w:ind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项目名称：</w:t>
      </w:r>
      <w:bookmarkEnd w:id="6"/>
      <w:r>
        <w:rPr>
          <w:rFonts w:hint="eastAsia" w:ascii="仿宋" w:hAnsi="仿宋" w:eastAsia="仿宋" w:cs="Calibri"/>
          <w:color w:val="auto"/>
          <w:kern w:val="0"/>
          <w:sz w:val="21"/>
          <w:szCs w:val="21"/>
          <w:highlight w:val="none"/>
          <w:lang w:eastAsia="zh-CN"/>
        </w:rPr>
        <w:t>杭州市临安区中医院电子病历质控系统</w:t>
      </w:r>
      <w:r>
        <w:rPr>
          <w:rFonts w:hint="eastAsia" w:ascii="仿宋" w:hAnsi="仿宋" w:eastAsia="仿宋" w:cs="Calibri"/>
          <w:color w:val="auto"/>
          <w:kern w:val="0"/>
          <w:sz w:val="21"/>
          <w:szCs w:val="21"/>
          <w:highlight w:val="none"/>
          <w:lang w:val="en-US" w:eastAsia="zh-CN"/>
        </w:rPr>
        <w:t>采购项目</w:t>
      </w:r>
    </w:p>
    <w:p>
      <w:pPr>
        <w:pStyle w:val="30"/>
        <w:snapToGrid w:val="0"/>
        <w:spacing w:beforeLines="0" w:line="240" w:lineRule="auto"/>
        <w:ind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采购方式：竞争性磋商</w:t>
      </w:r>
    </w:p>
    <w:p>
      <w:pPr>
        <w:pStyle w:val="30"/>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预算金额（元）：</w:t>
      </w:r>
      <w:r>
        <w:rPr>
          <w:rFonts w:hint="eastAsia" w:ascii="仿宋" w:hAnsi="仿宋" w:eastAsia="仿宋" w:cs="Calibri"/>
          <w:color w:val="auto"/>
          <w:kern w:val="0"/>
          <w:sz w:val="21"/>
          <w:szCs w:val="21"/>
          <w:highlight w:val="none"/>
          <w:lang w:val="en-US" w:eastAsia="zh-CN"/>
        </w:rPr>
        <w:t>140</w:t>
      </w:r>
      <w:r>
        <w:rPr>
          <w:rFonts w:hint="eastAsia" w:ascii="仿宋" w:hAnsi="仿宋" w:eastAsia="仿宋" w:cs="Calibri"/>
          <w:color w:val="auto"/>
          <w:kern w:val="0"/>
          <w:sz w:val="21"/>
          <w:szCs w:val="21"/>
          <w:highlight w:val="none"/>
        </w:rPr>
        <w:t>0000</w:t>
      </w:r>
    </w:p>
    <w:p>
      <w:pPr>
        <w:pStyle w:val="30"/>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最高限价（元）：</w:t>
      </w:r>
      <w:r>
        <w:rPr>
          <w:rFonts w:hint="eastAsia" w:ascii="仿宋" w:hAnsi="仿宋" w:eastAsia="仿宋" w:cs="Calibri"/>
          <w:color w:val="auto"/>
          <w:kern w:val="0"/>
          <w:sz w:val="21"/>
          <w:szCs w:val="21"/>
          <w:highlight w:val="none"/>
          <w:lang w:val="en-US" w:eastAsia="zh-CN"/>
        </w:rPr>
        <w:t>1349</w:t>
      </w:r>
      <w:r>
        <w:rPr>
          <w:rFonts w:hint="eastAsia" w:ascii="仿宋" w:hAnsi="仿宋" w:eastAsia="仿宋" w:cs="Calibri"/>
          <w:color w:val="auto"/>
          <w:kern w:val="0"/>
          <w:sz w:val="21"/>
          <w:szCs w:val="21"/>
          <w:highlight w:val="none"/>
        </w:rPr>
        <w:t>000</w:t>
      </w:r>
    </w:p>
    <w:p>
      <w:pPr>
        <w:pStyle w:val="30"/>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采购需求：</w:t>
      </w:r>
      <w:r>
        <w:rPr>
          <w:rFonts w:hint="eastAsia" w:ascii="仿宋" w:hAnsi="仿宋" w:eastAsia="仿宋" w:cs="Calibri"/>
          <w:b w:val="0"/>
          <w:bCs w:val="0"/>
          <w:color w:val="auto"/>
          <w:kern w:val="0"/>
          <w:sz w:val="21"/>
          <w:szCs w:val="21"/>
          <w:highlight w:val="none"/>
          <w:u w:val="single"/>
          <w:lang w:eastAsia="zh-CN"/>
        </w:rPr>
        <w:t>电子病历质控系统采购项目，主要内容包括：</w:t>
      </w:r>
      <w:r>
        <w:rPr>
          <w:rFonts w:hint="eastAsia" w:ascii="仿宋" w:hAnsi="仿宋" w:eastAsia="仿宋" w:cs="Calibri"/>
          <w:b w:val="0"/>
          <w:bCs w:val="0"/>
          <w:color w:val="auto"/>
          <w:kern w:val="0"/>
          <w:sz w:val="21"/>
          <w:szCs w:val="21"/>
          <w:highlight w:val="none"/>
          <w:u w:val="single"/>
          <w:lang w:val="en-US" w:eastAsia="zh-CN"/>
        </w:rPr>
        <w:t>通过NLP、搜索引擎、算法等人工智能工具，对临床医生电子病历书写的完整性、一致性、及时性、合规性进行监测分析、智能提醒、质量评分，通过可视化方式分析统计，呈现医院病历质量情况，实现对病案首页、运行病历、终末病历的质量控制</w:t>
      </w:r>
      <w:r>
        <w:rPr>
          <w:rFonts w:hint="eastAsia" w:ascii="仿宋" w:hAnsi="仿宋" w:eastAsia="仿宋" w:cs="Calibri"/>
          <w:b w:val="0"/>
          <w:bCs w:val="0"/>
          <w:color w:val="auto"/>
          <w:kern w:val="0"/>
          <w:sz w:val="21"/>
          <w:szCs w:val="21"/>
          <w:highlight w:val="none"/>
          <w:lang w:eastAsia="zh-CN"/>
        </w:rPr>
        <w:t>。</w:t>
      </w:r>
      <w:r>
        <w:rPr>
          <w:rFonts w:ascii="仿宋" w:hAnsi="仿宋" w:eastAsia="仿宋" w:cs="Calibri"/>
          <w:b w:val="0"/>
          <w:bCs w:val="0"/>
          <w:color w:val="auto"/>
          <w:kern w:val="0"/>
          <w:sz w:val="21"/>
          <w:szCs w:val="21"/>
          <w:highlight w:val="none"/>
        </w:rPr>
        <w:t>详见采购文件第四</w:t>
      </w:r>
      <w:r>
        <w:rPr>
          <w:rFonts w:hint="eastAsia" w:ascii="仿宋" w:hAnsi="仿宋" w:eastAsia="仿宋" w:cs="Calibri"/>
          <w:b w:val="0"/>
          <w:bCs w:val="0"/>
          <w:color w:val="auto"/>
          <w:kern w:val="0"/>
          <w:sz w:val="21"/>
          <w:szCs w:val="21"/>
          <w:highlight w:val="none"/>
        </w:rPr>
        <w:t>部分</w:t>
      </w:r>
      <w:r>
        <w:rPr>
          <w:rFonts w:ascii="仿宋" w:hAnsi="仿宋" w:eastAsia="仿宋" w:cs="Calibri"/>
          <w:b w:val="0"/>
          <w:bCs w:val="0"/>
          <w:color w:val="auto"/>
          <w:kern w:val="0"/>
          <w:sz w:val="21"/>
          <w:szCs w:val="21"/>
          <w:highlight w:val="none"/>
        </w:rPr>
        <w:t>。</w:t>
      </w:r>
    </w:p>
    <w:p>
      <w:pPr>
        <w:pStyle w:val="30"/>
        <w:snapToGrid w:val="0"/>
        <w:spacing w:beforeLines="0" w:line="240" w:lineRule="auto"/>
        <w:ind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 xml:space="preserve"> </w:t>
      </w:r>
    </w:p>
    <w:p>
      <w:pPr>
        <w:pStyle w:val="30"/>
        <w:snapToGrid w:val="0"/>
        <w:spacing w:beforeLines="0" w:line="240" w:lineRule="auto"/>
        <w:ind w:firstLine="422" w:firstLineChars="2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合同履约期限：</w:t>
      </w:r>
      <w:r>
        <w:rPr>
          <w:rFonts w:ascii="仿宋" w:hAnsi="仿宋" w:eastAsia="仿宋" w:cs="Calibri"/>
          <w:b/>
          <w:color w:val="auto"/>
          <w:kern w:val="0"/>
          <w:sz w:val="21"/>
          <w:szCs w:val="21"/>
          <w:highlight w:val="none"/>
        </w:rPr>
        <w:t>详见采购文件第</w:t>
      </w:r>
      <w:r>
        <w:rPr>
          <w:rFonts w:hint="eastAsia" w:ascii="仿宋" w:hAnsi="仿宋" w:eastAsia="仿宋" w:cs="Calibri"/>
          <w:b/>
          <w:color w:val="auto"/>
          <w:kern w:val="0"/>
          <w:sz w:val="21"/>
          <w:szCs w:val="21"/>
          <w:highlight w:val="none"/>
          <w:lang w:val="en-US" w:eastAsia="zh-CN"/>
        </w:rPr>
        <w:t>四</w:t>
      </w:r>
      <w:r>
        <w:rPr>
          <w:rFonts w:hint="eastAsia" w:ascii="仿宋" w:hAnsi="仿宋" w:eastAsia="仿宋" w:cs="Calibri"/>
          <w:b/>
          <w:color w:val="auto"/>
          <w:kern w:val="0"/>
          <w:sz w:val="21"/>
          <w:szCs w:val="21"/>
          <w:highlight w:val="none"/>
        </w:rPr>
        <w:t>部分</w:t>
      </w:r>
      <w:r>
        <w:rPr>
          <w:rFonts w:ascii="仿宋" w:hAnsi="仿宋" w:eastAsia="仿宋" w:cs="Calibri"/>
          <w:b/>
          <w:color w:val="auto"/>
          <w:kern w:val="0"/>
          <w:sz w:val="21"/>
          <w:szCs w:val="21"/>
          <w:highlight w:val="none"/>
        </w:rPr>
        <w:t>。</w:t>
      </w:r>
    </w:p>
    <w:p>
      <w:pPr>
        <w:pStyle w:val="30"/>
        <w:snapToGrid w:val="0"/>
        <w:spacing w:beforeLines="0" w:line="240" w:lineRule="auto"/>
        <w:ind w:firstLine="422" w:firstLineChars="200"/>
        <w:rPr>
          <w:rFonts w:hint="eastAsia" w:ascii="仿宋" w:hAnsi="仿宋" w:eastAsia="仿宋" w:cs="Calibri"/>
          <w:b/>
          <w:snapToGrid w:val="0"/>
          <w:color w:val="auto"/>
          <w:kern w:val="0"/>
          <w:sz w:val="21"/>
          <w:szCs w:val="21"/>
          <w:highlight w:val="none"/>
        </w:rPr>
      </w:pPr>
      <w:r>
        <w:rPr>
          <w:rFonts w:hint="eastAsia" w:ascii="仿宋" w:hAnsi="仿宋" w:eastAsia="仿宋" w:cs="Calibri"/>
          <w:b/>
          <w:snapToGrid w:val="0"/>
          <w:color w:val="auto"/>
          <w:kern w:val="0"/>
          <w:sz w:val="21"/>
          <w:szCs w:val="21"/>
          <w:highlight w:val="none"/>
        </w:rPr>
        <w:t xml:space="preserve">本项目接受联合体投标: </w:t>
      </w:r>
      <w:r>
        <w:rPr>
          <w:rFonts w:hint="eastAsia" w:ascii="仿宋" w:hAnsi="MS Gothic" w:eastAsia="仿宋" w:cs="Arial"/>
          <w:b/>
          <w:color w:val="auto"/>
          <w:kern w:val="0"/>
          <w:sz w:val="21"/>
          <w:szCs w:val="21"/>
          <w:highlight w:val="none"/>
          <w:lang w:eastAsia="zh-CN"/>
        </w:rPr>
        <w:t>☑</w:t>
      </w:r>
      <w:r>
        <w:rPr>
          <w:rFonts w:hint="eastAsia" w:ascii="仿宋" w:hAnsi="仿宋" w:eastAsia="仿宋" w:cs="Calibri"/>
          <w:b/>
          <w:snapToGrid w:val="0"/>
          <w:color w:val="auto"/>
          <w:kern w:val="0"/>
          <w:sz w:val="21"/>
          <w:szCs w:val="21"/>
          <w:highlight w:val="none"/>
        </w:rPr>
        <w:t>是，</w:t>
      </w:r>
      <w:r>
        <w:rPr>
          <w:rFonts w:hint="eastAsia" w:ascii="仿宋" w:hAnsi="MS Gothic" w:eastAsia="仿宋" w:cs="Arial"/>
          <w:b/>
          <w:color w:val="auto"/>
          <w:kern w:val="0"/>
          <w:sz w:val="21"/>
          <w:szCs w:val="21"/>
          <w:highlight w:val="none"/>
          <w:lang w:eastAsia="zh-CN"/>
        </w:rPr>
        <w:t>□</w:t>
      </w:r>
      <w:r>
        <w:rPr>
          <w:rFonts w:hint="eastAsia" w:ascii="仿宋" w:hAnsi="仿宋" w:eastAsia="仿宋" w:cs="Calibri"/>
          <w:b/>
          <w:snapToGrid w:val="0"/>
          <w:color w:val="auto"/>
          <w:kern w:val="0"/>
          <w:sz w:val="21"/>
          <w:szCs w:val="21"/>
          <w:highlight w:val="none"/>
        </w:rPr>
        <w:t>否。</w:t>
      </w:r>
    </w:p>
    <w:p>
      <w:pPr>
        <w:pStyle w:val="30"/>
        <w:snapToGrid w:val="0"/>
        <w:spacing w:beforeLines="0" w:line="240" w:lineRule="auto"/>
        <w:ind w:firstLine="422" w:firstLineChars="200"/>
        <w:rPr>
          <w:rFonts w:ascii="仿宋" w:hAnsi="仿宋" w:eastAsia="仿宋"/>
          <w:b/>
          <w:color w:val="auto"/>
          <w:sz w:val="21"/>
          <w:szCs w:val="21"/>
          <w:highlight w:val="none"/>
        </w:rPr>
      </w:pPr>
    </w:p>
    <w:p>
      <w:pPr>
        <w:pStyle w:val="30"/>
        <w:snapToGrid w:val="0"/>
        <w:spacing w:beforeLines="0" w:line="240" w:lineRule="auto"/>
        <w:ind w:firstLine="482" w:firstLineChars="200"/>
        <w:rPr>
          <w:rFonts w:hint="eastAsia" w:ascii="仿宋" w:hAnsi="仿宋" w:eastAsia="仿宋" w:cs="Times New Roman"/>
          <w:b/>
          <w:color w:val="auto"/>
          <w:sz w:val="24"/>
          <w:szCs w:val="24"/>
          <w:highlight w:val="none"/>
        </w:rPr>
      </w:pPr>
      <w:bookmarkStart w:id="8" w:name="_Toc35393622"/>
      <w:bookmarkStart w:id="9" w:name="_Toc28359080"/>
      <w:bookmarkStart w:id="10" w:name="_Toc35393791"/>
      <w:bookmarkStart w:id="11" w:name="_Toc28359003"/>
      <w:r>
        <w:rPr>
          <w:rFonts w:hint="eastAsia" w:ascii="仿宋" w:hAnsi="仿宋" w:eastAsia="仿宋" w:cs="Times New Roman"/>
          <w:b/>
          <w:color w:val="auto"/>
          <w:sz w:val="24"/>
          <w:szCs w:val="24"/>
          <w:highlight w:val="none"/>
        </w:rPr>
        <w:t>二、申请人的资格要求：</w:t>
      </w:r>
      <w:bookmarkEnd w:id="8"/>
      <w:bookmarkEnd w:id="9"/>
      <w:bookmarkEnd w:id="10"/>
      <w:bookmarkEnd w:id="11"/>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olor w:val="auto"/>
          <w:sz w:val="21"/>
          <w:szCs w:val="21"/>
          <w:highlight w:val="none"/>
          <w:lang w:eastAsia="zh-CN"/>
        </w:rPr>
      </w:pPr>
      <w:bookmarkStart w:id="12" w:name="_Toc35393792"/>
      <w:bookmarkStart w:id="13" w:name="_Toc28359004"/>
      <w:bookmarkStart w:id="14" w:name="_Toc28359081"/>
      <w:bookmarkStart w:id="15" w:name="_Toc35393623"/>
      <w:r>
        <w:rPr>
          <w:rFonts w:hint="eastAsia" w:ascii="仿宋" w:hAnsi="仿宋" w:eastAsia="仿宋"/>
          <w:color w:val="auto"/>
          <w:sz w:val="21"/>
          <w:szCs w:val="21"/>
          <w:highlight w:val="none"/>
        </w:rPr>
        <w:t>1.满足《中华人民共和国政府采</w:t>
      </w:r>
      <w:r>
        <w:rPr>
          <w:rFonts w:hint="eastAsia" w:ascii="仿宋" w:hAnsi="仿宋" w:eastAsia="仿宋" w:cs="Times New Roman"/>
          <w:color w:val="auto"/>
          <w:sz w:val="21"/>
          <w:szCs w:val="21"/>
          <w:highlight w:val="none"/>
        </w:rPr>
        <w:t>购法》第二十二条规定</w:t>
      </w:r>
      <w:r>
        <w:rPr>
          <w:rFonts w:hint="eastAsia" w:ascii="仿宋" w:hAnsi="仿宋" w:eastAsia="仿宋" w:cs="Times New Roman"/>
          <w:color w:val="auto"/>
          <w:sz w:val="21"/>
          <w:szCs w:val="21"/>
          <w:highlight w:val="none"/>
          <w:lang w:eastAsia="zh-CN"/>
        </w:rPr>
        <w:t>；</w:t>
      </w:r>
      <w:r>
        <w:rPr>
          <w:rFonts w:hint="eastAsia" w:ascii="仿宋" w:hAnsi="仿宋" w:eastAsia="仿宋" w:cs="Times New Roman"/>
          <w:color w:val="auto"/>
          <w:sz w:val="21"/>
          <w:szCs w:val="21"/>
          <w:highlight w:val="none"/>
        </w:rPr>
        <w:t>未被“信用中国”</w:t>
      </w:r>
      <w:r>
        <w:rPr>
          <w:rFonts w:hint="eastAsia" w:ascii="仿宋" w:hAnsi="仿宋" w:eastAsia="仿宋" w:cs="Times New Roman"/>
          <w:color w:val="auto"/>
          <w:sz w:val="21"/>
          <w:szCs w:val="21"/>
          <w:highlight w:val="none"/>
          <w:lang w:val="en-US" w:eastAsia="zh-CN"/>
        </w:rPr>
        <w:t>网站</w:t>
      </w:r>
      <w:r>
        <w:rPr>
          <w:rFonts w:hint="eastAsia" w:ascii="仿宋" w:hAnsi="仿宋" w:eastAsia="仿宋" w:cs="Times New Roman"/>
          <w:color w:val="auto"/>
          <w:sz w:val="21"/>
          <w:szCs w:val="21"/>
          <w:highlight w:val="none"/>
        </w:rPr>
        <w:t>（www.creditchina.gov.cn）、中国政府采购网（www.ccgp.gov.cn）列入失信被执行人、重大税收违法案件当事人名单、政府采购严重违法失信行为记录名单</w:t>
      </w:r>
      <w:r>
        <w:rPr>
          <w:rFonts w:hint="eastAsia" w:ascii="仿宋" w:hAnsi="仿宋" w:eastAsia="仿宋" w:cs="Times New Roman"/>
          <w:color w:val="auto"/>
          <w:sz w:val="21"/>
          <w:szCs w:val="21"/>
          <w:highlight w:val="none"/>
          <w:lang w:eastAsia="zh-CN"/>
        </w:rPr>
        <w:t>。</w:t>
      </w:r>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ascii="仿宋" w:hAnsi="仿宋" w:eastAsia="仿宋" w:cs="Calibri"/>
          <w:color w:val="auto"/>
          <w:kern w:val="0"/>
          <w:sz w:val="21"/>
          <w:szCs w:val="21"/>
          <w:highlight w:val="none"/>
        </w:rPr>
      </w:pP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.落实政府采购政策需满足的资格要求：</w:t>
      </w:r>
    </w:p>
    <w:p>
      <w:pPr>
        <w:pStyle w:val="30"/>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hint="eastAsia" w:ascii="仿宋" w:hAnsi="仿宋" w:eastAsia="仿宋" w:cs="Calibri"/>
          <w:color w:val="auto"/>
          <w:kern w:val="0"/>
          <w:sz w:val="21"/>
          <w:szCs w:val="21"/>
          <w:highlight w:val="none"/>
          <w:lang w:eastAsia="zh-CN"/>
        </w:rPr>
      </w:pPr>
      <w:r>
        <w:rPr>
          <w:rFonts w:hint="eastAsia" w:ascii="仿宋" w:hAnsi="MS Gothic" w:eastAsia="仿宋" w:cs="Arial"/>
          <w:b w:val="0"/>
          <w:bCs w:val="0"/>
          <w:color w:val="auto"/>
          <w:kern w:val="0"/>
          <w:sz w:val="21"/>
          <w:szCs w:val="21"/>
          <w:highlight w:val="none"/>
          <w:lang w:eastAsia="zh-CN"/>
        </w:rPr>
        <w:t>□</w:t>
      </w:r>
      <w:r>
        <w:rPr>
          <w:rFonts w:hint="eastAsia" w:ascii="仿宋" w:hAnsi="仿宋" w:eastAsia="仿宋" w:cs="Calibri"/>
          <w:b w:val="0"/>
          <w:bCs w:val="0"/>
          <w:color w:val="auto"/>
          <w:kern w:val="0"/>
          <w:sz w:val="21"/>
          <w:szCs w:val="21"/>
          <w:highlight w:val="none"/>
          <w:lang w:val="en-US" w:eastAsia="zh-CN"/>
        </w:rPr>
        <w:t>无</w:t>
      </w:r>
      <w:r>
        <w:rPr>
          <w:rFonts w:hint="eastAsia" w:ascii="仿宋" w:hAnsi="仿宋" w:eastAsia="仿宋" w:cs="Calibri"/>
          <w:color w:val="auto"/>
          <w:kern w:val="0"/>
          <w:sz w:val="21"/>
          <w:szCs w:val="21"/>
          <w:highlight w:val="none"/>
          <w:lang w:val="en-US" w:eastAsia="zh-CN"/>
        </w:rPr>
        <w:t>（</w:t>
      </w:r>
      <w:r>
        <w:rPr>
          <w:rFonts w:hint="eastAsia" w:ascii="仿宋" w:hAnsi="仿宋" w:eastAsia="仿宋" w:cs="Calibri"/>
          <w:color w:val="auto"/>
          <w:kern w:val="0"/>
          <w:sz w:val="21"/>
          <w:szCs w:val="21"/>
          <w:highlight w:val="none"/>
        </w:rPr>
        <w:t>注：不得限制大中型企业与小微企业组成联合体参与投标</w:t>
      </w:r>
      <w:r>
        <w:rPr>
          <w:rFonts w:hint="eastAsia" w:ascii="仿宋" w:hAnsi="仿宋" w:eastAsia="仿宋" w:cs="Calibri"/>
          <w:color w:val="auto"/>
          <w:kern w:val="0"/>
          <w:sz w:val="21"/>
          <w:szCs w:val="21"/>
          <w:highlight w:val="none"/>
          <w:lang w:val="en-US" w:eastAsia="zh-CN"/>
        </w:rPr>
        <w:t>）</w:t>
      </w:r>
    </w:p>
    <w:p>
      <w:pPr>
        <w:pStyle w:val="30"/>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专门面向中小企业</w:t>
      </w:r>
    </w:p>
    <w:p>
      <w:pPr>
        <w:pStyle w:val="30"/>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lang w:val="en-US" w:eastAsia="zh-CN"/>
        </w:rPr>
        <w:t>货物</w:t>
      </w:r>
      <w:r>
        <w:rPr>
          <w:rFonts w:hint="eastAsia" w:ascii="仿宋" w:hAnsi="仿宋" w:eastAsia="仿宋" w:cs="Calibri"/>
          <w:color w:val="auto"/>
          <w:kern w:val="0"/>
          <w:sz w:val="21"/>
          <w:szCs w:val="21"/>
          <w:highlight w:val="none"/>
        </w:rPr>
        <w:t>全部由符合政策要求的中小企业</w:t>
      </w:r>
      <w:r>
        <w:rPr>
          <w:rFonts w:hint="eastAsia" w:ascii="仿宋" w:hAnsi="仿宋" w:eastAsia="仿宋" w:cs="Calibri"/>
          <w:color w:val="auto"/>
          <w:kern w:val="0"/>
          <w:sz w:val="21"/>
          <w:szCs w:val="21"/>
          <w:highlight w:val="none"/>
          <w:lang w:val="en-US" w:eastAsia="zh-CN"/>
        </w:rPr>
        <w:t>制造</w:t>
      </w:r>
      <w:r>
        <w:rPr>
          <w:rFonts w:hint="eastAsia" w:ascii="仿宋" w:hAnsi="仿宋" w:eastAsia="仿宋" w:cs="Calibri"/>
          <w:color w:val="auto"/>
          <w:kern w:val="0"/>
          <w:sz w:val="21"/>
          <w:szCs w:val="21"/>
          <w:highlight w:val="none"/>
        </w:rPr>
        <w:t>，提供中小企业声明函；</w:t>
      </w:r>
    </w:p>
    <w:p>
      <w:pPr>
        <w:pStyle w:val="30"/>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lang w:val="en-US" w:eastAsia="zh-CN"/>
        </w:rPr>
        <w:t>货物</w:t>
      </w:r>
      <w:r>
        <w:rPr>
          <w:rFonts w:hint="eastAsia" w:ascii="仿宋" w:hAnsi="仿宋" w:eastAsia="仿宋" w:cs="Calibri"/>
          <w:color w:val="auto"/>
          <w:kern w:val="0"/>
          <w:sz w:val="21"/>
          <w:szCs w:val="21"/>
          <w:highlight w:val="none"/>
        </w:rPr>
        <w:t>全部由符合政策要求的小微企业</w:t>
      </w:r>
      <w:r>
        <w:rPr>
          <w:rFonts w:hint="eastAsia" w:ascii="仿宋" w:hAnsi="仿宋" w:eastAsia="仿宋" w:cs="Calibri"/>
          <w:color w:val="auto"/>
          <w:kern w:val="0"/>
          <w:sz w:val="21"/>
          <w:szCs w:val="21"/>
          <w:highlight w:val="none"/>
          <w:lang w:val="en-US" w:eastAsia="zh-CN"/>
        </w:rPr>
        <w:t>制造</w:t>
      </w:r>
      <w:r>
        <w:rPr>
          <w:rFonts w:hint="eastAsia" w:ascii="仿宋" w:hAnsi="仿宋" w:eastAsia="仿宋" w:cs="Calibri"/>
          <w:color w:val="auto"/>
          <w:kern w:val="0"/>
          <w:sz w:val="21"/>
          <w:szCs w:val="21"/>
          <w:highlight w:val="none"/>
        </w:rPr>
        <w:t>，提供中小企业声明函；</w:t>
      </w:r>
    </w:p>
    <w:p>
      <w:pPr>
        <w:pStyle w:val="30"/>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服务全部由符合政策要求的中小企业承接，提供中小企业声明函；</w:t>
      </w:r>
    </w:p>
    <w:p>
      <w:pPr>
        <w:pStyle w:val="30"/>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服务全部由符合政策要求的小微企业承接，提供中小企业声明函；</w:t>
      </w:r>
    </w:p>
    <w:p>
      <w:pPr>
        <w:pStyle w:val="30"/>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要求以联合体形式参加，提供联合协议和中小企业声明函，联合协议中中小企业合同金额应当达到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，小</w:t>
      </w:r>
      <w:r>
        <w:rPr>
          <w:rFonts w:hint="eastAsia" w:ascii="仿宋" w:hAnsi="仿宋" w:eastAsia="仿宋" w:cs="Calibri"/>
          <w:color w:val="auto"/>
          <w:kern w:val="0"/>
          <w:sz w:val="21"/>
          <w:szCs w:val="21"/>
          <w:highlight w:val="none"/>
        </w:rPr>
        <w:t>微企业合同金额应当达到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如果供应商本身提供所有标的均由中小企业制造、承建或承接，并相应达到了前述比例要求，视同符合资格条件，无需再与其他中小企业组成联合体参加政府采购活动，无需提供联合协议；</w:t>
      </w:r>
    </w:p>
    <w:p>
      <w:pPr>
        <w:pStyle w:val="30"/>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要求合同分包，提供分包意向协议和中小企业声明函，分包意向协议中中小企业合同金额应当达到达到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rPr>
        <w:t>，小微企业合同金额应当达到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如果供应商本身提供所有标的均由中小企业制造、承建或承接，并相应达到了前述比例要求，视同符合资格条件，无需再向中小企业分包，无需提供分包意向协议；</w:t>
      </w:r>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lang w:val="en-US" w:eastAsia="zh-CN"/>
        </w:rPr>
        <w:t>3</w:t>
      </w:r>
      <w:r>
        <w:rPr>
          <w:rFonts w:hint="eastAsia" w:ascii="仿宋" w:hAnsi="仿宋" w:eastAsia="仿宋" w:cs="Times New Roman"/>
          <w:color w:val="auto"/>
          <w:sz w:val="21"/>
          <w:szCs w:val="21"/>
          <w:highlight w:val="none"/>
        </w:rPr>
        <w:t>.本项目的特定资格要求：</w:t>
      </w:r>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hint="default" w:ascii="仿宋" w:hAnsi="仿宋" w:eastAsia="仿宋" w:cs="Times New Roman"/>
          <w:color w:val="auto"/>
          <w:sz w:val="21"/>
          <w:szCs w:val="21"/>
          <w:highlight w:val="none"/>
          <w:u w:val="none"/>
          <w:lang w:val="en-US" w:eastAsia="zh-CN"/>
        </w:rPr>
      </w:pPr>
      <w:r>
        <w:rPr>
          <w:rFonts w:hint="eastAsia" w:ascii="仿宋" w:hAnsi="仿宋" w:eastAsia="仿宋" w:cs="Times New Roman"/>
          <w:color w:val="auto"/>
          <w:sz w:val="21"/>
          <w:szCs w:val="21"/>
          <w:highlight w:val="none"/>
          <w:u w:val="none"/>
          <w:lang w:val="en-US" w:eastAsia="zh-CN"/>
        </w:rPr>
        <w:t>3.1</w:t>
      </w:r>
      <w:r>
        <w:rPr>
          <w:rFonts w:hint="eastAsia" w:ascii="仿宋" w:hAnsi="仿宋" w:eastAsia="仿宋" w:cs="Times New Roman"/>
          <w:color w:val="auto"/>
          <w:sz w:val="22"/>
          <w:szCs w:val="22"/>
          <w:highlight w:val="none"/>
          <w:u w:val="none"/>
          <w:lang w:val="en-US" w:eastAsia="zh-CN"/>
        </w:rPr>
        <w:t>特定行业资格要求：</w:t>
      </w:r>
      <w:r>
        <w:rPr>
          <w:rFonts w:hint="eastAsia" w:ascii="仿宋" w:hAnsi="仿宋" w:eastAsia="仿宋" w:cs="Times New Roman"/>
          <w:b/>
          <w:bCs/>
          <w:color w:val="auto"/>
          <w:sz w:val="22"/>
          <w:szCs w:val="22"/>
          <w:highlight w:val="none"/>
          <w:u w:val="single"/>
          <w:lang w:val="en-US" w:eastAsia="zh-CN"/>
        </w:rPr>
        <w:t>无</w:t>
      </w:r>
      <w:r>
        <w:rPr>
          <w:rFonts w:hint="eastAsia" w:ascii="仿宋" w:hAnsi="仿宋" w:eastAsia="仿宋" w:cs="Times New Roman"/>
          <w:color w:val="auto"/>
          <w:sz w:val="21"/>
          <w:szCs w:val="21"/>
          <w:highlight w:val="none"/>
          <w:u w:val="none"/>
          <w:lang w:val="en-US" w:eastAsia="zh-CN"/>
        </w:rPr>
        <w:t>。</w:t>
      </w:r>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3.2单位负责人为同一人或者存在直接控股、管理关系的不同供应商，不得参加同一合同项下的政府采购活动；</w:t>
      </w:r>
      <w:r>
        <w:rPr>
          <w:rFonts w:hint="eastAsia" w:ascii="仿宋" w:hAnsi="仿宋" w:eastAsia="仿宋"/>
          <w:color w:val="auto"/>
          <w:sz w:val="21"/>
          <w:szCs w:val="21"/>
          <w:highlight w:val="none"/>
        </w:rPr>
        <w:t>为采购项目提供整体设计、规范编制或者项目管理、监理、检测等服务后不得再参加该采购项目的其他采购活动。</w:t>
      </w:r>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3.3联合体投标应当满足的条件：</w:t>
      </w:r>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(1)以联合体形式投标的，应提交联合协议，明确联合体牵头方和联合体各方承担的工作和义务，提供相应资质证明，并承诺就本项目向采购人承担连带责任；</w:t>
      </w:r>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(2)</w:t>
      </w:r>
      <w:r>
        <w:rPr>
          <w:rFonts w:hint="eastAsia" w:ascii="仿宋" w:hAnsi="仿宋" w:eastAsia="仿宋" w:cs="Times New Roman"/>
          <w:color w:val="auto"/>
          <w:sz w:val="21"/>
          <w:szCs w:val="21"/>
          <w:highlight w:val="none"/>
          <w:lang w:val="zh-CN" w:eastAsia="zh-CN"/>
        </w:rPr>
        <w:t>联合体各方不再单独参加或与其他供应商另外组成联合体参加同一合同项下的政府采购活动；</w:t>
      </w:r>
    </w:p>
    <w:p>
      <w:pPr>
        <w:pStyle w:val="30"/>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(3)联合体牵头方满足申请人的资格要求中所有规定，联合体成员满足申请人的资格要求中第1条、第2条和第3.2、3.3条的规定；</w:t>
      </w:r>
    </w:p>
    <w:p>
      <w:pPr>
        <w:pStyle w:val="30"/>
        <w:snapToGrid w:val="0"/>
        <w:spacing w:beforeLines="0" w:line="240" w:lineRule="auto"/>
        <w:ind w:firstLine="420" w:firstLineChars="200"/>
        <w:rPr>
          <w:rFonts w:ascii="仿宋" w:hAnsi="仿宋" w:eastAsia="仿宋"/>
          <w:color w:val="auto"/>
          <w:sz w:val="21"/>
          <w:szCs w:val="21"/>
          <w:highlight w:val="none"/>
        </w:rPr>
      </w:pPr>
      <w:r>
        <w:rPr>
          <w:rFonts w:hint="eastAsia" w:ascii="仿宋" w:hAnsi="仿宋" w:eastAsia="仿宋" w:cs="Times New Roman"/>
          <w:color w:val="auto"/>
          <w:sz w:val="21"/>
          <w:szCs w:val="21"/>
          <w:highlight w:val="none"/>
          <w:lang w:val="en-US" w:eastAsia="zh-CN"/>
        </w:rPr>
        <w:t>(4)联合体以联合协议中确定的牵头方名义登录政采云平台投标，填写联合体所有成员的全称并使用联合体成员的电子印章进行签名确认，联合体成员名称需与联合协议签署方一致；联合体牵头方法定代表人或其授权委托人负责签署的投标资料，联合体各方必须在联合协议中对此予以认可。</w:t>
      </w:r>
    </w:p>
    <w:p>
      <w:pPr>
        <w:pStyle w:val="30"/>
        <w:snapToGrid w:val="0"/>
        <w:spacing w:beforeLines="0" w:line="240" w:lineRule="auto"/>
        <w:ind w:firstLine="420" w:firstLineChars="200"/>
        <w:rPr>
          <w:rFonts w:ascii="仿宋" w:hAnsi="仿宋" w:eastAsia="仿宋"/>
          <w:color w:val="auto"/>
          <w:sz w:val="21"/>
          <w:szCs w:val="21"/>
          <w:highlight w:val="none"/>
        </w:rPr>
      </w:pPr>
    </w:p>
    <w:p>
      <w:pPr>
        <w:pStyle w:val="30"/>
        <w:snapToGrid w:val="0"/>
        <w:spacing w:beforeLines="0" w:line="24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三、获取（下载）采购文件</w:t>
      </w:r>
      <w:bookmarkEnd w:id="12"/>
      <w:bookmarkEnd w:id="13"/>
      <w:bookmarkEnd w:id="14"/>
      <w:bookmarkEnd w:id="15"/>
    </w:p>
    <w:p>
      <w:pPr>
        <w:pStyle w:val="30"/>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1.时间：</w:t>
      </w:r>
      <w:r>
        <w:rPr>
          <w:rFonts w:ascii="仿宋" w:hAnsi="仿宋" w:eastAsia="仿宋" w:cs="Calibri"/>
          <w:color w:val="auto"/>
          <w:kern w:val="0"/>
          <w:sz w:val="21"/>
          <w:szCs w:val="21"/>
          <w:highlight w:val="none"/>
        </w:rPr>
        <w:t>/至</w:t>
      </w:r>
      <w:r>
        <w:rPr>
          <w:rFonts w:hint="eastAsia" w:ascii="仿宋" w:hAnsi="仿宋" w:eastAsia="仿宋"/>
          <w:color w:val="auto"/>
          <w:sz w:val="21"/>
          <w:szCs w:val="21"/>
          <w:highlight w:val="none"/>
          <w:u w:val="single"/>
          <w:lang w:eastAsia="zh-CN"/>
        </w:rPr>
        <w:t>2024年12月9日</w:t>
      </w:r>
      <w:r>
        <w:rPr>
          <w:rFonts w:hint="eastAsia" w:ascii="仿宋" w:hAnsi="仿宋" w:eastAsia="仿宋" w:cs="Calibri"/>
          <w:color w:val="auto"/>
          <w:kern w:val="0"/>
          <w:sz w:val="21"/>
          <w:szCs w:val="21"/>
          <w:highlight w:val="none"/>
        </w:rPr>
        <w:t>，每天上午00:00至12:00，下午12:00至23:59（北京时间，线上获取法定节假日均可，线下获取文件法定节假日除外）</w:t>
      </w:r>
    </w:p>
    <w:p>
      <w:pPr>
        <w:pStyle w:val="30"/>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2.地点：</w:t>
      </w:r>
      <w:r>
        <w:rPr>
          <w:rFonts w:hint="eastAsia" w:ascii="仿宋" w:hAnsi="仿宋" w:eastAsia="仿宋" w:cs="Calibri"/>
          <w:color w:val="auto"/>
          <w:kern w:val="0"/>
          <w:sz w:val="21"/>
          <w:szCs w:val="21"/>
          <w:highlight w:val="none"/>
          <w:u w:val="none"/>
        </w:rPr>
        <w:t>政采云平台（</w:t>
      </w:r>
      <w:r>
        <w:rPr>
          <w:rFonts w:ascii="仿宋" w:hAnsi="仿宋" w:eastAsia="仿宋" w:cs="Calibri"/>
          <w:color w:val="auto"/>
          <w:kern w:val="0"/>
          <w:sz w:val="21"/>
          <w:szCs w:val="21"/>
          <w:highlight w:val="none"/>
          <w:u w:val="none"/>
        </w:rPr>
        <w:t>www.zcygov.cn）</w:t>
      </w:r>
    </w:p>
    <w:p>
      <w:pPr>
        <w:pStyle w:val="30"/>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3.方式：</w:t>
      </w:r>
      <w:r>
        <w:rPr>
          <w:rFonts w:hint="eastAsia" w:ascii="仿宋" w:hAnsi="仿宋" w:eastAsia="仿宋" w:cs="宋体"/>
          <w:color w:val="auto"/>
          <w:sz w:val="21"/>
          <w:szCs w:val="21"/>
          <w:highlight w:val="none"/>
        </w:rPr>
        <w:t>登录政采云平台</w:t>
      </w:r>
      <w:r>
        <w:rPr>
          <w:rFonts w:ascii="仿宋" w:hAnsi="仿宋" w:eastAsia="仿宋" w:cs="宋体"/>
          <w:color w:val="auto"/>
          <w:sz w:val="21"/>
          <w:szCs w:val="21"/>
          <w:highlight w:val="none"/>
        </w:rPr>
        <w:t>在线申请获取采购文件（进入“项目采购”应用，在获取采购文件菜单中选择项目，申请获取采购文件）。</w:t>
      </w:r>
    </w:p>
    <w:p>
      <w:pPr>
        <w:pStyle w:val="30"/>
        <w:snapToGrid w:val="0"/>
        <w:spacing w:beforeLines="0" w:line="240" w:lineRule="auto"/>
        <w:ind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4.售价：</w:t>
      </w:r>
      <w:r>
        <w:rPr>
          <w:rFonts w:hint="eastAsia" w:ascii="仿宋" w:hAnsi="仿宋" w:eastAsia="仿宋" w:cs="Calibri"/>
          <w:b/>
          <w:bCs/>
          <w:color w:val="auto"/>
          <w:kern w:val="0"/>
          <w:sz w:val="21"/>
          <w:szCs w:val="21"/>
          <w:highlight w:val="none"/>
          <w:lang w:val="en-US" w:eastAsia="zh-CN"/>
        </w:rPr>
        <w:t>0</w:t>
      </w:r>
    </w:p>
    <w:p>
      <w:pPr>
        <w:pStyle w:val="30"/>
        <w:snapToGrid w:val="0"/>
        <w:spacing w:beforeLines="0" w:line="240" w:lineRule="auto"/>
        <w:ind w:firstLine="420" w:firstLineChars="200"/>
        <w:rPr>
          <w:rFonts w:ascii="仿宋" w:hAnsi="仿宋" w:eastAsia="仿宋" w:cs="Calibri"/>
          <w:color w:val="auto"/>
          <w:kern w:val="0"/>
          <w:sz w:val="21"/>
          <w:szCs w:val="21"/>
          <w:highlight w:val="none"/>
        </w:rPr>
      </w:pPr>
    </w:p>
    <w:p>
      <w:pPr>
        <w:pStyle w:val="30"/>
        <w:snapToGrid w:val="0"/>
        <w:spacing w:beforeLines="0" w:line="240" w:lineRule="auto"/>
        <w:ind w:firstLine="482" w:firstLineChars="200"/>
        <w:rPr>
          <w:rFonts w:hint="eastAsia" w:ascii="仿宋" w:hAnsi="仿宋" w:eastAsia="仿宋" w:cs="Times New Roman"/>
          <w:b/>
          <w:color w:val="auto"/>
          <w:sz w:val="24"/>
          <w:szCs w:val="24"/>
          <w:highlight w:val="none"/>
        </w:rPr>
      </w:pPr>
      <w:bookmarkStart w:id="16" w:name="_Toc35393793"/>
      <w:bookmarkStart w:id="17" w:name="_Toc35393624"/>
      <w:bookmarkStart w:id="18" w:name="_Toc28359005"/>
      <w:bookmarkStart w:id="19" w:name="_Toc28359082"/>
      <w:r>
        <w:rPr>
          <w:rFonts w:hint="eastAsia" w:ascii="仿宋" w:hAnsi="仿宋" w:eastAsia="仿宋" w:cs="Times New Roman"/>
          <w:b/>
          <w:color w:val="auto"/>
          <w:sz w:val="24"/>
          <w:szCs w:val="24"/>
          <w:highlight w:val="none"/>
        </w:rPr>
        <w:t>四、提交（上传）响应文件截止时间、磋商时间和地点</w:t>
      </w:r>
    </w:p>
    <w:p>
      <w:pPr>
        <w:pStyle w:val="30"/>
        <w:spacing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提交响应文件截止时间：</w:t>
      </w:r>
      <w:r>
        <w:rPr>
          <w:rFonts w:hint="eastAsia" w:ascii="仿宋" w:hAnsi="仿宋" w:eastAsia="仿宋"/>
          <w:color w:val="auto"/>
          <w:sz w:val="21"/>
          <w:szCs w:val="21"/>
          <w:highlight w:val="none"/>
          <w:u w:val="single"/>
          <w:lang w:eastAsia="zh-CN"/>
        </w:rPr>
        <w:t>2024年12月9日</w:t>
      </w:r>
      <w:r>
        <w:rPr>
          <w:rFonts w:hint="eastAsia" w:ascii="仿宋" w:hAnsi="仿宋" w:eastAsia="仿宋"/>
          <w:color w:val="auto"/>
          <w:sz w:val="21"/>
          <w:szCs w:val="21"/>
          <w:highlight w:val="none"/>
          <w:u w:val="single"/>
          <w:lang w:val="en-US" w:eastAsia="zh-CN"/>
        </w:rPr>
        <w:t>14</w:t>
      </w:r>
      <w:r>
        <w:rPr>
          <w:rFonts w:hint="eastAsia"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u w:val="single"/>
          <w:lang w:val="en-US" w:eastAsia="zh-CN"/>
        </w:rPr>
        <w:t>3</w:t>
      </w:r>
      <w:r>
        <w:rPr>
          <w:rFonts w:hint="eastAsia" w:ascii="仿宋" w:hAnsi="仿宋" w:eastAsia="仿宋" w:cs="Calibri"/>
          <w:color w:val="auto"/>
          <w:kern w:val="0"/>
          <w:sz w:val="21"/>
          <w:szCs w:val="21"/>
          <w:highlight w:val="none"/>
          <w:u w:val="single"/>
        </w:rPr>
        <w:t>0（北京时间）</w:t>
      </w:r>
    </w:p>
    <w:p>
      <w:pPr>
        <w:pStyle w:val="30"/>
        <w:spacing w:line="240" w:lineRule="auto"/>
        <w:ind w:firstLine="420" w:firstLineChars="200"/>
        <w:rPr>
          <w:rFonts w:hint="eastAsia" w:ascii="仿宋" w:hAnsi="仿宋" w:eastAsia="仿宋" w:cs="Calibri"/>
          <w:color w:val="auto"/>
          <w:kern w:val="0"/>
          <w:sz w:val="21"/>
          <w:szCs w:val="21"/>
          <w:highlight w:val="none"/>
          <w:u w:val="single"/>
        </w:rPr>
      </w:pPr>
      <w:r>
        <w:rPr>
          <w:rFonts w:hint="eastAsia" w:ascii="仿宋" w:hAnsi="仿宋" w:eastAsia="仿宋" w:cs="Calibri"/>
          <w:color w:val="auto"/>
          <w:kern w:val="0"/>
          <w:sz w:val="21"/>
          <w:szCs w:val="21"/>
          <w:highlight w:val="none"/>
        </w:rPr>
        <w:t>投标地点（网址）：</w:t>
      </w:r>
      <w:r>
        <w:rPr>
          <w:rFonts w:hint="eastAsia" w:ascii="仿宋" w:hAnsi="仿宋" w:eastAsia="仿宋" w:cs="仿宋"/>
          <w:color w:val="auto"/>
          <w:kern w:val="0"/>
          <w:sz w:val="21"/>
          <w:szCs w:val="21"/>
          <w:highlight w:val="none"/>
          <w:u w:val="none"/>
        </w:rPr>
        <w:t>政采云平台（www.zcygov.cn）</w:t>
      </w:r>
    </w:p>
    <w:p>
      <w:pPr>
        <w:pStyle w:val="30"/>
        <w:spacing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磋商时间：</w:t>
      </w:r>
      <w:r>
        <w:rPr>
          <w:rFonts w:hint="eastAsia" w:ascii="仿宋" w:hAnsi="仿宋" w:eastAsia="仿宋"/>
          <w:color w:val="auto"/>
          <w:sz w:val="21"/>
          <w:szCs w:val="21"/>
          <w:highlight w:val="none"/>
          <w:u w:val="single"/>
          <w:lang w:eastAsia="zh-CN"/>
        </w:rPr>
        <w:t>2024年12月9日</w:t>
      </w:r>
      <w:r>
        <w:rPr>
          <w:rFonts w:hint="eastAsia" w:ascii="仿宋" w:hAnsi="仿宋" w:eastAsia="仿宋"/>
          <w:color w:val="auto"/>
          <w:sz w:val="21"/>
          <w:szCs w:val="21"/>
          <w:highlight w:val="none"/>
          <w:u w:val="single"/>
          <w:lang w:val="en-US" w:eastAsia="zh-CN"/>
        </w:rPr>
        <w:t>14</w:t>
      </w:r>
      <w:r>
        <w:rPr>
          <w:rFonts w:hint="eastAsia"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u w:val="single"/>
          <w:lang w:val="en-US" w:eastAsia="zh-CN"/>
        </w:rPr>
        <w:t>3</w:t>
      </w:r>
      <w:r>
        <w:rPr>
          <w:rFonts w:hint="eastAsia" w:ascii="仿宋" w:hAnsi="仿宋" w:eastAsia="仿宋" w:cs="Calibri"/>
          <w:color w:val="auto"/>
          <w:kern w:val="0"/>
          <w:sz w:val="21"/>
          <w:szCs w:val="21"/>
          <w:highlight w:val="none"/>
          <w:u w:val="single"/>
        </w:rPr>
        <w:t>0（北京时间）</w:t>
      </w:r>
    </w:p>
    <w:p>
      <w:pPr>
        <w:pStyle w:val="30"/>
        <w:spacing w:line="240" w:lineRule="auto"/>
        <w:ind w:firstLine="420" w:firstLineChars="200"/>
        <w:rPr>
          <w:rFonts w:hint="eastAsia" w:ascii="仿宋" w:hAnsi="仿宋" w:eastAsia="仿宋" w:cs="Calibri"/>
          <w:color w:val="auto"/>
          <w:kern w:val="0"/>
          <w:sz w:val="21"/>
          <w:szCs w:val="21"/>
          <w:highlight w:val="none"/>
          <w:u w:val="single"/>
          <w:lang w:eastAsia="zh-CN"/>
        </w:rPr>
      </w:pPr>
      <w:r>
        <w:rPr>
          <w:rFonts w:hint="eastAsia" w:ascii="仿宋" w:hAnsi="仿宋" w:eastAsia="仿宋" w:cs="Calibri"/>
          <w:color w:val="auto"/>
          <w:kern w:val="0"/>
          <w:sz w:val="21"/>
          <w:szCs w:val="21"/>
          <w:highlight w:val="none"/>
        </w:rPr>
        <w:t>磋商地点（网址）：</w:t>
      </w:r>
      <w:r>
        <w:rPr>
          <w:rFonts w:hint="eastAsia" w:ascii="仿宋" w:hAnsi="仿宋" w:eastAsia="仿宋" w:cs="Calibri"/>
          <w:color w:val="auto"/>
          <w:kern w:val="0"/>
          <w:sz w:val="21"/>
          <w:szCs w:val="21"/>
          <w:highlight w:val="none"/>
          <w:u w:val="none"/>
        </w:rPr>
        <w:t>政采云平台（</w:t>
      </w:r>
      <w:r>
        <w:rPr>
          <w:rFonts w:ascii="仿宋" w:hAnsi="仿宋" w:eastAsia="仿宋" w:cs="Calibri"/>
          <w:color w:val="auto"/>
          <w:kern w:val="0"/>
          <w:sz w:val="21"/>
          <w:szCs w:val="21"/>
          <w:highlight w:val="none"/>
          <w:u w:val="none"/>
        </w:rPr>
        <w:t>www.zcygov.cn）</w:t>
      </w:r>
    </w:p>
    <w:p>
      <w:pPr>
        <w:pStyle w:val="30"/>
        <w:snapToGrid w:val="0"/>
        <w:spacing w:beforeLines="0" w:line="240" w:lineRule="auto"/>
        <w:ind w:firstLine="422" w:firstLineChars="200"/>
        <w:rPr>
          <w:rFonts w:hint="eastAsia" w:ascii="仿宋" w:hAnsi="仿宋" w:eastAsia="仿宋"/>
          <w:b/>
          <w:color w:val="auto"/>
          <w:sz w:val="21"/>
          <w:szCs w:val="21"/>
          <w:highlight w:val="none"/>
        </w:rPr>
      </w:pPr>
      <w:bookmarkStart w:id="20" w:name="_Toc35393625"/>
      <w:bookmarkStart w:id="21" w:name="_Toc35393794"/>
      <w:bookmarkStart w:id="22" w:name="_Toc28359007"/>
      <w:bookmarkStart w:id="23" w:name="_Toc28359084"/>
    </w:p>
    <w:p>
      <w:pPr>
        <w:pStyle w:val="30"/>
        <w:snapToGrid w:val="0"/>
        <w:spacing w:beforeLines="0" w:line="24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lang w:val="en-US" w:eastAsia="zh-CN"/>
        </w:rPr>
        <w:t>五</w:t>
      </w:r>
      <w:r>
        <w:rPr>
          <w:rFonts w:hint="eastAsia" w:ascii="仿宋" w:hAnsi="仿宋" w:eastAsia="仿宋" w:cs="Times New Roman"/>
          <w:b/>
          <w:color w:val="auto"/>
          <w:sz w:val="24"/>
          <w:szCs w:val="24"/>
          <w:highlight w:val="none"/>
        </w:rPr>
        <w:t>、公告期限</w:t>
      </w:r>
      <w:bookmarkEnd w:id="20"/>
      <w:bookmarkEnd w:id="21"/>
      <w:bookmarkEnd w:id="22"/>
      <w:bookmarkEnd w:id="23"/>
    </w:p>
    <w:p>
      <w:pPr>
        <w:pStyle w:val="30"/>
        <w:snapToGrid w:val="0"/>
        <w:spacing w:beforeLines="0" w:line="240" w:lineRule="auto"/>
        <w:ind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自本公告发布之日起</w:t>
      </w:r>
      <w:r>
        <w:rPr>
          <w:rFonts w:hint="eastAsia" w:ascii="仿宋" w:hAnsi="仿宋" w:eastAsia="仿宋" w:cs="Calibri"/>
          <w:b/>
          <w:color w:val="auto"/>
          <w:kern w:val="0"/>
          <w:sz w:val="21"/>
          <w:szCs w:val="21"/>
          <w:highlight w:val="none"/>
        </w:rPr>
        <w:t>3</w:t>
      </w:r>
      <w:r>
        <w:rPr>
          <w:rFonts w:hint="eastAsia" w:ascii="仿宋" w:hAnsi="仿宋" w:eastAsia="仿宋" w:cs="Calibri"/>
          <w:color w:val="auto"/>
          <w:kern w:val="0"/>
          <w:sz w:val="21"/>
          <w:szCs w:val="21"/>
          <w:highlight w:val="none"/>
        </w:rPr>
        <w:t>个工作日。</w:t>
      </w:r>
    </w:p>
    <w:p>
      <w:pPr>
        <w:pStyle w:val="30"/>
        <w:snapToGrid w:val="0"/>
        <w:spacing w:beforeLines="0" w:line="240" w:lineRule="auto"/>
        <w:ind w:firstLine="420" w:firstLineChars="200"/>
        <w:rPr>
          <w:rFonts w:ascii="仿宋" w:hAnsi="仿宋" w:eastAsia="仿宋" w:cs="Calibri"/>
          <w:color w:val="auto"/>
          <w:kern w:val="0"/>
          <w:sz w:val="21"/>
          <w:szCs w:val="21"/>
          <w:highlight w:val="none"/>
          <w:u w:val="single"/>
        </w:rPr>
      </w:pPr>
    </w:p>
    <w:bookmarkEnd w:id="16"/>
    <w:bookmarkEnd w:id="17"/>
    <w:bookmarkEnd w:id="18"/>
    <w:bookmarkEnd w:id="19"/>
    <w:p>
      <w:pPr>
        <w:pStyle w:val="30"/>
        <w:snapToGrid w:val="0"/>
        <w:spacing w:beforeLines="0" w:line="240" w:lineRule="auto"/>
        <w:ind w:firstLine="482" w:firstLineChars="200"/>
        <w:rPr>
          <w:rFonts w:hint="eastAsia" w:ascii="仿宋" w:hAnsi="仿宋" w:eastAsia="仿宋" w:cs="Times New Roman"/>
          <w:b/>
          <w:color w:val="auto"/>
          <w:sz w:val="24"/>
          <w:szCs w:val="24"/>
          <w:highlight w:val="none"/>
          <w:lang w:val="en-US" w:eastAsia="zh-CN"/>
        </w:rPr>
      </w:pPr>
      <w:bookmarkStart w:id="24" w:name="_Toc35393626"/>
      <w:bookmarkStart w:id="25" w:name="_Toc35393795"/>
      <w:r>
        <w:rPr>
          <w:rFonts w:hint="eastAsia" w:ascii="仿宋" w:hAnsi="仿宋" w:eastAsia="仿宋" w:cs="Times New Roman"/>
          <w:b/>
          <w:color w:val="auto"/>
          <w:sz w:val="24"/>
          <w:szCs w:val="24"/>
          <w:highlight w:val="none"/>
          <w:lang w:val="en-US" w:eastAsia="zh-CN"/>
        </w:rPr>
        <w:t>六、其他补充事宜</w:t>
      </w:r>
      <w:bookmarkEnd w:id="24"/>
      <w:bookmarkEnd w:id="25"/>
    </w:p>
    <w:p>
      <w:pPr>
        <w:pStyle w:val="30"/>
        <w:snapToGrid w:val="0"/>
        <w:spacing w:beforeLines="0" w:line="240" w:lineRule="auto"/>
        <w:rPr>
          <w:rFonts w:hint="eastAsia" w:ascii="仿宋" w:hAnsi="仿宋" w:eastAsia="仿宋"/>
          <w:color w:val="auto"/>
          <w:sz w:val="21"/>
          <w:szCs w:val="21"/>
          <w:highlight w:val="none"/>
        </w:rPr>
      </w:pPr>
      <w:bookmarkStart w:id="26" w:name="_Toc35393796"/>
      <w:bookmarkStart w:id="27" w:name="_Toc28359008"/>
      <w:bookmarkStart w:id="28" w:name="_Toc28359085"/>
      <w:bookmarkStart w:id="29" w:name="_Toc35393627"/>
      <w:r>
        <w:rPr>
          <w:rFonts w:ascii="仿宋" w:hAnsi="仿宋" w:eastAsia="仿宋"/>
          <w:color w:val="auto"/>
          <w:sz w:val="21"/>
          <w:szCs w:val="21"/>
          <w:highlight w:val="none"/>
        </w:rPr>
        <w:t>1.《浙江省财政厅关于进一步发挥政府采购政策功能全力推动经济稳进提质的通知》（浙财采监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2022</w:t>
      </w:r>
      <w:r>
        <w:rPr>
          <w:rFonts w:hint="eastAsia" w:ascii="仿宋" w:hAnsi="仿宋" w:eastAsia="仿宋"/>
          <w:color w:val="auto"/>
          <w:sz w:val="21"/>
          <w:szCs w:val="21"/>
          <w:highlight w:val="none"/>
        </w:rPr>
        <w:t>]</w:t>
      </w:r>
      <w:r>
        <w:rPr>
          <w:rFonts w:ascii="仿宋" w:hAnsi="仿宋" w:eastAsia="仿宋"/>
          <w:color w:val="auto"/>
          <w:sz w:val="21"/>
          <w:szCs w:val="21"/>
          <w:highlight w:val="none"/>
        </w:rPr>
        <w:t>3号）、《浙江省财政厅关于进一步促进政府采购公平竞争打造最优营商环境的通知》（浙财采监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2021</w:t>
      </w:r>
      <w:r>
        <w:rPr>
          <w:rFonts w:hint="eastAsia" w:ascii="仿宋" w:hAnsi="仿宋" w:eastAsia="仿宋"/>
          <w:color w:val="auto"/>
          <w:sz w:val="21"/>
          <w:szCs w:val="21"/>
          <w:highlight w:val="none"/>
        </w:rPr>
        <w:t>]</w:t>
      </w:r>
      <w:r>
        <w:rPr>
          <w:rFonts w:ascii="仿宋" w:hAnsi="仿宋" w:eastAsia="仿宋"/>
          <w:color w:val="auto"/>
          <w:sz w:val="21"/>
          <w:szCs w:val="21"/>
          <w:highlight w:val="none"/>
        </w:rPr>
        <w:t>22号）、《浙江省财政厅关于进一步加大政府采购支持中小企业力度助力扎实稳住经济的通知》（浙财采监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2022</w:t>
      </w:r>
      <w:r>
        <w:rPr>
          <w:rFonts w:hint="eastAsia" w:ascii="仿宋" w:hAnsi="仿宋" w:eastAsia="仿宋"/>
          <w:color w:val="auto"/>
          <w:sz w:val="21"/>
          <w:szCs w:val="21"/>
          <w:highlight w:val="none"/>
        </w:rPr>
        <w:t>]</w:t>
      </w:r>
      <w:r>
        <w:rPr>
          <w:rFonts w:ascii="仿宋" w:hAnsi="仿宋" w:eastAsia="仿宋"/>
          <w:color w:val="auto"/>
          <w:sz w:val="21"/>
          <w:szCs w:val="21"/>
          <w:highlight w:val="none"/>
        </w:rPr>
        <w:t>8号）已分别于2022年1月29日、2022年2月1日和2022年7月1日开始实施，此前有关规定与上述文件内容不一致的，按上述文件要求执行。</w:t>
      </w:r>
    </w:p>
    <w:p>
      <w:pPr>
        <w:pStyle w:val="30"/>
        <w:snapToGrid w:val="0"/>
        <w:spacing w:beforeLines="0" w:line="240" w:lineRule="auto"/>
        <w:rPr>
          <w:rFonts w:hint="eastAsia" w:ascii="仿宋" w:hAnsi="仿宋" w:eastAsia="仿宋"/>
          <w:color w:val="auto"/>
          <w:sz w:val="21"/>
          <w:szCs w:val="21"/>
          <w:highlight w:val="none"/>
        </w:rPr>
      </w:pPr>
      <w:r>
        <w:rPr>
          <w:rFonts w:ascii="仿宋" w:hAnsi="仿宋" w:eastAsia="仿宋"/>
          <w:color w:val="auto"/>
          <w:sz w:val="21"/>
          <w:szCs w:val="21"/>
          <w:highlight w:val="none"/>
        </w:rPr>
        <w:t>2.根据《浙江省财政厅关于进一步促进政府采购公平竞争打造最优营商环境的通知》（浙财采监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2021</w:t>
      </w:r>
      <w:r>
        <w:rPr>
          <w:rFonts w:hint="eastAsia" w:ascii="仿宋" w:hAnsi="仿宋" w:eastAsia="仿宋"/>
          <w:color w:val="auto"/>
          <w:sz w:val="21"/>
          <w:szCs w:val="21"/>
          <w:highlight w:val="none"/>
        </w:rPr>
        <w:t>]</w:t>
      </w:r>
      <w:r>
        <w:rPr>
          <w:rFonts w:ascii="仿宋" w:hAnsi="仿宋" w:eastAsia="仿宋"/>
          <w:color w:val="auto"/>
          <w:sz w:val="21"/>
          <w:szCs w:val="21"/>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0"/>
        <w:snapToGrid w:val="0"/>
        <w:spacing w:beforeLines="0" w:line="240" w:lineRule="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w:t>
      </w:r>
      <w:r>
        <w:rPr>
          <w:rFonts w:ascii="仿宋" w:hAnsi="仿宋" w:eastAsia="仿宋"/>
          <w:color w:val="auto"/>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0"/>
        <w:snapToGrid w:val="0"/>
        <w:spacing w:beforeLines="0" w:line="240" w:lineRule="auto"/>
        <w:ind w:firstLine="420" w:firstLineChars="200"/>
        <w:rPr>
          <w:rFonts w:ascii="仿宋" w:hAnsi="仿宋" w:eastAsia="仿宋" w:cs="仿宋_GB2312"/>
          <w:color w:val="auto"/>
          <w:sz w:val="21"/>
          <w:szCs w:val="21"/>
          <w:highlight w:val="none"/>
        </w:rPr>
      </w:pPr>
      <w:r>
        <w:rPr>
          <w:rFonts w:hint="eastAsia" w:ascii="仿宋" w:hAnsi="仿宋" w:eastAsia="仿宋"/>
          <w:color w:val="auto"/>
          <w:sz w:val="21"/>
          <w:szCs w:val="21"/>
          <w:highlight w:val="none"/>
        </w:rPr>
        <w:t>4.</w:t>
      </w:r>
      <w:r>
        <w:rPr>
          <w:rFonts w:ascii="仿宋" w:hAnsi="仿宋" w:eastAsia="仿宋"/>
          <w:color w:val="auto"/>
          <w:sz w:val="21"/>
          <w:szCs w:val="21"/>
          <w:highlight w:val="none"/>
        </w:rPr>
        <w:t>其他事项：</w:t>
      </w:r>
      <w:r>
        <w:rPr>
          <w:rFonts w:hint="eastAsia" w:ascii="仿宋" w:hAnsi="仿宋" w:eastAsia="仿宋" w:cs="Calibri"/>
          <w:b/>
          <w:color w:val="auto"/>
          <w:kern w:val="0"/>
          <w:sz w:val="21"/>
          <w:szCs w:val="21"/>
          <w:highlight w:val="none"/>
        </w:rPr>
        <w:t>（1）需要落实的政府采购政策：</w:t>
      </w:r>
      <w:r>
        <w:rPr>
          <w:rFonts w:hint="eastAsia" w:ascii="仿宋" w:hAnsi="仿宋" w:eastAsia="仿宋" w:cs="Calibri"/>
          <w:color w:val="auto"/>
          <w:kern w:val="0"/>
          <w:sz w:val="21"/>
          <w:szCs w:val="21"/>
          <w:highlight w:val="none"/>
        </w:rPr>
        <w:t>包括</w:t>
      </w:r>
      <w:r>
        <w:rPr>
          <w:rFonts w:hint="eastAsia" w:ascii="仿宋" w:hAnsi="仿宋" w:eastAsia="仿宋" w:cs="Calibri"/>
          <w:color w:val="auto"/>
          <w:kern w:val="0"/>
          <w:sz w:val="21"/>
          <w:szCs w:val="21"/>
          <w:highlight w:val="none"/>
          <w:lang w:val="en-US" w:eastAsia="zh-CN"/>
        </w:rPr>
        <w:t>支持绿色发展</w:t>
      </w:r>
      <w:r>
        <w:rPr>
          <w:rFonts w:hint="eastAsia"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lang w:val="en-US" w:eastAsia="zh-CN"/>
        </w:rPr>
        <w:t>支持</w:t>
      </w:r>
      <w:r>
        <w:rPr>
          <w:rFonts w:hint="eastAsia" w:ascii="仿宋" w:hAnsi="仿宋" w:eastAsia="仿宋" w:cs="Calibri"/>
          <w:color w:val="auto"/>
          <w:kern w:val="0"/>
          <w:sz w:val="21"/>
          <w:szCs w:val="21"/>
          <w:highlight w:val="none"/>
        </w:rPr>
        <w:t>中小企业</w:t>
      </w:r>
      <w:r>
        <w:rPr>
          <w:rFonts w:hint="eastAsia" w:ascii="仿宋" w:hAnsi="仿宋" w:eastAsia="仿宋" w:cs="Calibri"/>
          <w:color w:val="auto"/>
          <w:kern w:val="0"/>
          <w:sz w:val="21"/>
          <w:szCs w:val="21"/>
          <w:highlight w:val="none"/>
          <w:lang w:val="en-US" w:eastAsia="zh-CN"/>
        </w:rPr>
        <w:t>发展</w:t>
      </w:r>
      <w:r>
        <w:rPr>
          <w:rFonts w:hint="eastAsia" w:ascii="仿宋" w:hAnsi="仿宋" w:eastAsia="仿宋" w:cs="Calibri"/>
          <w:color w:val="auto"/>
          <w:kern w:val="0"/>
          <w:sz w:val="21"/>
          <w:szCs w:val="21"/>
          <w:highlight w:val="none"/>
        </w:rPr>
        <w:t>、支持创新发展等，详见</w:t>
      </w:r>
      <w:r>
        <w:rPr>
          <w:rFonts w:hint="eastAsia" w:ascii="仿宋" w:hAnsi="仿宋" w:eastAsia="仿宋" w:cs="Calibri"/>
          <w:color w:val="auto"/>
          <w:kern w:val="0"/>
          <w:sz w:val="21"/>
          <w:szCs w:val="21"/>
          <w:highlight w:val="none"/>
          <w:lang w:val="en-US" w:eastAsia="zh-CN"/>
        </w:rPr>
        <w:t>采购文件</w:t>
      </w:r>
      <w:r>
        <w:rPr>
          <w:rFonts w:hint="eastAsia" w:ascii="仿宋" w:hAnsi="仿宋" w:eastAsia="仿宋" w:cs="Calibri"/>
          <w:color w:val="auto"/>
          <w:kern w:val="0"/>
          <w:sz w:val="21"/>
          <w:szCs w:val="21"/>
          <w:highlight w:val="none"/>
        </w:rPr>
        <w:t>第</w:t>
      </w:r>
      <w:r>
        <w:rPr>
          <w:rFonts w:hint="eastAsia" w:ascii="仿宋" w:hAnsi="仿宋" w:eastAsia="仿宋" w:cs="Calibri"/>
          <w:color w:val="auto"/>
          <w:kern w:val="0"/>
          <w:sz w:val="21"/>
          <w:szCs w:val="21"/>
          <w:highlight w:val="none"/>
          <w:lang w:val="en-US" w:eastAsia="zh-CN"/>
        </w:rPr>
        <w:t>三</w:t>
      </w:r>
      <w:r>
        <w:rPr>
          <w:rFonts w:hint="eastAsia" w:ascii="仿宋" w:hAnsi="仿宋" w:eastAsia="仿宋" w:cs="Calibri"/>
          <w:color w:val="auto"/>
          <w:kern w:val="0"/>
          <w:sz w:val="21"/>
          <w:szCs w:val="21"/>
          <w:highlight w:val="none"/>
        </w:rPr>
        <w:t>部分。</w:t>
      </w:r>
      <w:r>
        <w:rPr>
          <w:rFonts w:hint="eastAsia" w:ascii="仿宋" w:hAnsi="仿宋" w:eastAsia="仿宋" w:cs="Calibri"/>
          <w:b/>
          <w:color w:val="auto"/>
          <w:kern w:val="0"/>
          <w:sz w:val="21"/>
          <w:szCs w:val="21"/>
          <w:highlight w:val="none"/>
        </w:rPr>
        <w:t>（2）</w:t>
      </w:r>
      <w:r>
        <w:rPr>
          <w:rFonts w:ascii="仿宋" w:hAnsi="仿宋" w:eastAsia="仿宋" w:cs="Calibri"/>
          <w:b/>
          <w:color w:val="auto"/>
          <w:kern w:val="0"/>
          <w:sz w:val="21"/>
          <w:szCs w:val="21"/>
          <w:highlight w:val="none"/>
        </w:rPr>
        <w:t>电子招投标的说明：</w:t>
      </w:r>
      <w:r>
        <w:rPr>
          <w:rFonts w:hint="eastAsia" w:ascii="仿宋" w:hAnsi="仿宋" w:eastAsia="仿宋" w:cs="Calibri"/>
          <w:color w:val="auto"/>
          <w:kern w:val="0"/>
          <w:sz w:val="21"/>
          <w:szCs w:val="21"/>
          <w:highlight w:val="none"/>
        </w:rPr>
        <w:t>①</w:t>
      </w:r>
      <w:r>
        <w:rPr>
          <w:rFonts w:ascii="仿宋" w:hAnsi="仿宋" w:eastAsia="仿宋" w:cs="Calibri"/>
          <w:color w:val="auto"/>
          <w:kern w:val="0"/>
          <w:sz w:val="21"/>
          <w:szCs w:val="21"/>
          <w:highlight w:val="none"/>
        </w:rPr>
        <w:t>电子招投标：本项目以数据电文形式，依托“政府采购云平台（www.zcygov.cn）”进行招投标活动，不接受纸质投标文件</w:t>
      </w:r>
      <w:r>
        <w:rPr>
          <w:rFonts w:hint="eastAsia" w:ascii="仿宋" w:hAnsi="仿宋" w:eastAsia="仿宋" w:cs="Calibri"/>
          <w:color w:val="auto"/>
          <w:kern w:val="0"/>
          <w:sz w:val="21"/>
          <w:szCs w:val="21"/>
          <w:highlight w:val="none"/>
        </w:rPr>
        <w:t>；②</w:t>
      </w:r>
      <w:r>
        <w:rPr>
          <w:rFonts w:ascii="仿宋" w:hAnsi="仿宋" w:eastAsia="仿宋" w:cs="Calibri"/>
          <w:color w:val="auto"/>
          <w:kern w:val="0"/>
          <w:sz w:val="21"/>
          <w:szCs w:val="21"/>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Calibri"/>
          <w:color w:val="auto"/>
          <w:kern w:val="0"/>
          <w:sz w:val="21"/>
          <w:szCs w:val="21"/>
          <w:highlight w:val="none"/>
        </w:rPr>
        <w:t>采云电子交易客户端”</w:t>
      </w:r>
      <w:r>
        <w:rPr>
          <w:rFonts w:ascii="仿宋" w:hAnsi="仿宋" w:eastAsia="仿宋" w:cs="Calibri"/>
          <w:color w:val="auto"/>
          <w:kern w:val="0"/>
          <w:sz w:val="21"/>
          <w:szCs w:val="21"/>
          <w:highlight w:val="none"/>
        </w:rPr>
        <w:t>--前往“浙江政府采购网-下载专区-电子交易客户端”进行下载并安装</w:t>
      </w:r>
      <w:r>
        <w:rPr>
          <w:rFonts w:hint="eastAsia" w:ascii="仿宋" w:hAnsi="仿宋" w:eastAsia="仿宋" w:cs="Calibri"/>
          <w:color w:val="auto"/>
          <w:kern w:val="0"/>
          <w:sz w:val="21"/>
          <w:szCs w:val="21"/>
          <w:highlight w:val="none"/>
        </w:rPr>
        <w:t>；③</w:t>
      </w:r>
      <w:r>
        <w:rPr>
          <w:rFonts w:ascii="仿宋" w:hAnsi="仿宋" w:eastAsia="仿宋" w:cs="Calibri"/>
          <w:color w:val="auto"/>
          <w:kern w:val="0"/>
          <w:sz w:val="21"/>
          <w:szCs w:val="21"/>
          <w:highlight w:val="none"/>
        </w:rPr>
        <w:t>招标文件的获取：使用账号登录或者使用CA登录政</w:t>
      </w:r>
      <w:r>
        <w:rPr>
          <w:rFonts w:hint="eastAsia" w:ascii="仿宋" w:hAnsi="仿宋" w:eastAsia="仿宋" w:cs="Calibri"/>
          <w:color w:val="auto"/>
          <w:kern w:val="0"/>
          <w:sz w:val="21"/>
          <w:szCs w:val="21"/>
          <w:highlight w:val="none"/>
        </w:rPr>
        <w:t>采云平台；进入“项目采购”应用，在获取采购文件菜单中选择项目，获取招标文件；④</w:t>
      </w:r>
      <w:r>
        <w:rPr>
          <w:rFonts w:ascii="仿宋" w:hAnsi="仿宋" w:eastAsia="仿宋" w:cs="Calibri"/>
          <w:color w:val="auto"/>
          <w:kern w:val="0"/>
          <w:sz w:val="21"/>
          <w:szCs w:val="21"/>
          <w:highlight w:val="none"/>
        </w:rPr>
        <w:t>投标文件的制作：在“政</w:t>
      </w:r>
      <w:r>
        <w:rPr>
          <w:rFonts w:hint="eastAsia" w:ascii="仿宋" w:hAnsi="仿宋" w:eastAsia="仿宋" w:cs="Calibri"/>
          <w:color w:val="auto"/>
          <w:kern w:val="0"/>
          <w:sz w:val="21"/>
          <w:szCs w:val="21"/>
          <w:highlight w:val="none"/>
        </w:rPr>
        <w:t>采云电子交易客户端”中完成“填写基本信息”、“导入投标文件”、“标书关联”、“标书检查”、“电子签名”、“生成电子标书”等操作；⑤</w:t>
      </w:r>
      <w:r>
        <w:rPr>
          <w:rFonts w:ascii="仿宋" w:hAnsi="仿宋" w:eastAsia="仿宋" w:cs="Calibri"/>
          <w:color w:val="auto"/>
          <w:kern w:val="0"/>
          <w:sz w:val="21"/>
          <w:szCs w:val="21"/>
          <w:highlight w:val="none"/>
        </w:rPr>
        <w:t>采购人、采购机构将依托政</w:t>
      </w:r>
      <w:r>
        <w:rPr>
          <w:rFonts w:hint="eastAsia" w:ascii="仿宋" w:hAnsi="仿宋" w:eastAsia="仿宋" w:cs="Calibri"/>
          <w:color w:val="auto"/>
          <w:kern w:val="0"/>
          <w:sz w:val="21"/>
          <w:szCs w:val="21"/>
          <w:highlight w:val="none"/>
        </w:rPr>
        <w:t>采云平台完成本项目的电子交易活动，平台不接受未按上述方式获取招标文件的供应商进行投标活动；⑥</w:t>
      </w:r>
      <w:r>
        <w:rPr>
          <w:rFonts w:ascii="仿宋" w:hAnsi="仿宋" w:eastAsia="仿宋" w:cs="Calibri"/>
          <w:color w:val="auto"/>
          <w:kern w:val="0"/>
          <w:sz w:val="21"/>
          <w:szCs w:val="21"/>
          <w:highlight w:val="none"/>
        </w:rPr>
        <w:t>对未按上述方式获取招标文件的供应商对该文件提出的质疑，采购人或采购代理机构将</w:t>
      </w:r>
      <w:r>
        <w:rPr>
          <w:rFonts w:hint="eastAsia" w:ascii="仿宋" w:hAnsi="仿宋" w:eastAsia="仿宋" w:cs="Calibri"/>
          <w:color w:val="auto"/>
          <w:kern w:val="0"/>
          <w:sz w:val="21"/>
          <w:szCs w:val="21"/>
          <w:highlight w:val="none"/>
        </w:rPr>
        <w:t>不予处理；⑦</w:t>
      </w:r>
      <w:r>
        <w:rPr>
          <w:rFonts w:ascii="仿宋" w:hAnsi="仿宋" w:eastAsia="仿宋" w:cs="Calibri"/>
          <w:color w:val="auto"/>
          <w:kern w:val="0"/>
          <w:sz w:val="21"/>
          <w:szCs w:val="21"/>
          <w:highlight w:val="none"/>
        </w:rPr>
        <w:t>不提供招标文件纸质版</w:t>
      </w:r>
      <w:r>
        <w:rPr>
          <w:rFonts w:hint="eastAsia" w:ascii="仿宋" w:hAnsi="仿宋" w:eastAsia="仿宋" w:cs="Calibri"/>
          <w:color w:val="auto"/>
          <w:kern w:val="0"/>
          <w:sz w:val="21"/>
          <w:szCs w:val="21"/>
          <w:highlight w:val="none"/>
        </w:rPr>
        <w:t>；⑧</w:t>
      </w:r>
      <w:r>
        <w:rPr>
          <w:rFonts w:ascii="仿宋" w:hAnsi="仿宋" w:eastAsia="仿宋" w:cs="Calibri"/>
          <w:color w:val="auto"/>
          <w:kern w:val="0"/>
          <w:sz w:val="21"/>
          <w:szCs w:val="21"/>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Calibri"/>
          <w:color w:val="auto"/>
          <w:kern w:val="0"/>
          <w:sz w:val="21"/>
          <w:szCs w:val="21"/>
          <w:highlight w:val="none"/>
        </w:rPr>
        <w:t>；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Calibri"/>
          <w:color w:val="auto"/>
          <w:kern w:val="0"/>
          <w:sz w:val="21"/>
          <w:szCs w:val="21"/>
          <w:highlight w:val="none"/>
        </w:rPr>
        <w:t>具体操作指南：详见政</w:t>
      </w:r>
      <w:r>
        <w:rPr>
          <w:rFonts w:hint="eastAsia" w:ascii="仿宋" w:hAnsi="仿宋" w:eastAsia="仿宋" w:cs="Calibri"/>
          <w:color w:val="auto"/>
          <w:kern w:val="0"/>
          <w:sz w:val="21"/>
          <w:szCs w:val="21"/>
          <w:highlight w:val="none"/>
        </w:rPr>
        <w:t>采云平台“服务中心</w:t>
      </w:r>
      <w:r>
        <w:rPr>
          <w:rFonts w:ascii="仿宋" w:hAnsi="仿宋" w:eastAsia="仿宋" w:cs="Calibri"/>
          <w:color w:val="auto"/>
          <w:kern w:val="0"/>
          <w:sz w:val="21"/>
          <w:szCs w:val="21"/>
          <w:highlight w:val="none"/>
        </w:rPr>
        <w:t>-帮助文档-项目采购-操作流程-电子招投标-政府采购项目电子交易管理操作指南-供应商”。</w:t>
      </w:r>
      <w:r>
        <w:rPr>
          <w:rFonts w:hint="eastAsia" w:ascii="仿宋" w:hAnsi="仿宋" w:eastAsia="仿宋" w:cs="Calibri"/>
          <w:b/>
          <w:bCs/>
          <w:color w:val="auto"/>
          <w:kern w:val="0"/>
          <w:sz w:val="21"/>
          <w:szCs w:val="21"/>
          <w:highlight w:val="none"/>
          <w:lang w:val="en-US" w:eastAsia="zh-CN"/>
        </w:rPr>
        <w:t>（3）采购文件公告期限与采购公告的公告期限一致。</w:t>
      </w:r>
    </w:p>
    <w:p>
      <w:pPr>
        <w:pStyle w:val="30"/>
        <w:snapToGrid w:val="0"/>
        <w:spacing w:beforeLines="0" w:line="240" w:lineRule="auto"/>
        <w:rPr>
          <w:rFonts w:ascii="仿宋_GB2312" w:hAnsi="仿宋_GB2312" w:eastAsia="仿宋_GB2312" w:cs="仿宋_GB2312"/>
          <w:color w:val="auto"/>
          <w:kern w:val="0"/>
          <w:sz w:val="21"/>
          <w:szCs w:val="21"/>
          <w:highlight w:val="none"/>
        </w:rPr>
      </w:pPr>
      <w:r>
        <w:rPr>
          <w:rFonts w:hint="eastAsia" w:ascii="仿宋" w:hAnsi="仿宋" w:eastAsia="仿宋"/>
          <w:color w:val="auto"/>
          <w:sz w:val="21"/>
          <w:szCs w:val="21"/>
          <w:highlight w:val="none"/>
          <w:lang w:val="en-US" w:eastAsia="zh-CN"/>
        </w:rPr>
        <w:tab/>
      </w:r>
    </w:p>
    <w:p>
      <w:pPr>
        <w:pStyle w:val="30"/>
        <w:snapToGrid w:val="0"/>
        <w:spacing w:beforeLines="0" w:line="240" w:lineRule="auto"/>
        <w:ind w:firstLine="482" w:firstLineChars="200"/>
        <w:rPr>
          <w:rFonts w:hint="eastAsia" w:ascii="仿宋" w:hAnsi="仿宋" w:eastAsia="仿宋" w:cs="Times New Roman"/>
          <w:b/>
          <w:color w:val="auto"/>
          <w:sz w:val="24"/>
          <w:szCs w:val="24"/>
          <w:highlight w:val="none"/>
          <w:lang w:val="en-US" w:eastAsia="zh-CN"/>
        </w:rPr>
      </w:pPr>
      <w:r>
        <w:rPr>
          <w:rFonts w:hint="eastAsia" w:ascii="仿宋" w:hAnsi="仿宋" w:eastAsia="仿宋" w:cs="Times New Roman"/>
          <w:b/>
          <w:color w:val="auto"/>
          <w:sz w:val="24"/>
          <w:szCs w:val="24"/>
          <w:highlight w:val="none"/>
          <w:lang w:val="en-US" w:eastAsia="zh-CN"/>
        </w:rPr>
        <w:t>七、对本次采购提出询问、质疑、投诉，请按以下方式联系。</w:t>
      </w:r>
      <w:bookmarkEnd w:id="26"/>
      <w:bookmarkEnd w:id="27"/>
      <w:bookmarkEnd w:id="28"/>
      <w:bookmarkEnd w:id="29"/>
    </w:p>
    <w:p>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1.采购人信息</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eastAsia="zh-CN"/>
        </w:rPr>
      </w:pPr>
      <w:r>
        <w:rPr>
          <w:rFonts w:hint="eastAsia" w:ascii="仿宋" w:hAnsi="仿宋" w:eastAsia="仿宋" w:cs="Calibri"/>
          <w:color w:val="auto"/>
          <w:kern w:val="0"/>
          <w:szCs w:val="21"/>
          <w:highlight w:val="none"/>
        </w:rPr>
        <w:t>名称：</w:t>
      </w:r>
      <w:r>
        <w:rPr>
          <w:rFonts w:hint="eastAsia" w:ascii="仿宋" w:hAnsi="仿宋" w:eastAsia="仿宋" w:cs="Calibri"/>
          <w:color w:val="auto"/>
          <w:kern w:val="0"/>
          <w:szCs w:val="21"/>
          <w:highlight w:val="none"/>
          <w:lang w:eastAsia="zh-CN"/>
        </w:rPr>
        <w:t>杭州市临安区中医院</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rPr>
      </w:pPr>
      <w:r>
        <w:rPr>
          <w:rFonts w:hint="eastAsia" w:ascii="仿宋" w:hAnsi="仿宋" w:eastAsia="仿宋" w:cs="Calibri"/>
          <w:color w:val="auto"/>
          <w:kern w:val="0"/>
          <w:szCs w:val="21"/>
          <w:highlight w:val="none"/>
        </w:rPr>
        <w:t>地址：杭州市临安区溪水北路288号 </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rPr>
      </w:pPr>
      <w:r>
        <w:rPr>
          <w:rFonts w:hint="eastAsia" w:ascii="仿宋" w:hAnsi="仿宋" w:eastAsia="仿宋" w:cs="Calibri"/>
          <w:color w:val="auto"/>
          <w:kern w:val="0"/>
          <w:szCs w:val="21"/>
          <w:highlight w:val="none"/>
        </w:rPr>
        <w:t>项目联系人（询问）：</w:t>
      </w:r>
      <w:r>
        <w:rPr>
          <w:rFonts w:hint="eastAsia" w:ascii="仿宋" w:hAnsi="仿宋" w:eastAsia="仿宋" w:cs="Calibri"/>
          <w:color w:val="auto"/>
          <w:kern w:val="0"/>
          <w:szCs w:val="21"/>
          <w:highlight w:val="none"/>
          <w:lang w:val="en-US" w:eastAsia="zh-CN"/>
        </w:rPr>
        <w:t>高林君</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项目联系方式（询问）：</w:t>
      </w:r>
      <w:r>
        <w:rPr>
          <w:rFonts w:hint="eastAsia" w:ascii="仿宋" w:hAnsi="仿宋" w:eastAsia="仿宋" w:cs="Calibri"/>
          <w:color w:val="auto"/>
          <w:kern w:val="0"/>
          <w:szCs w:val="21"/>
          <w:highlight w:val="none"/>
          <w:lang w:val="en-US" w:eastAsia="zh-CN"/>
        </w:rPr>
        <w:t>0571-61068129</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Cs w:val="21"/>
          <w:highlight w:val="none"/>
          <w:lang w:val="en-US"/>
        </w:rPr>
      </w:pPr>
      <w:r>
        <w:rPr>
          <w:rFonts w:hint="eastAsia" w:ascii="仿宋" w:hAnsi="仿宋" w:eastAsia="仿宋" w:cs="Calibri"/>
          <w:color w:val="auto"/>
          <w:kern w:val="0"/>
          <w:szCs w:val="21"/>
          <w:highlight w:val="none"/>
        </w:rPr>
        <w:t>质疑联系人：</w:t>
      </w:r>
      <w:r>
        <w:rPr>
          <w:rFonts w:hint="eastAsia" w:ascii="仿宋" w:hAnsi="仿宋" w:eastAsia="仿宋" w:cs="Calibri"/>
          <w:color w:val="auto"/>
          <w:kern w:val="0"/>
          <w:szCs w:val="21"/>
          <w:highlight w:val="none"/>
          <w:lang w:val="en-US" w:eastAsia="zh-CN"/>
        </w:rPr>
        <w:t>蔡湘军</w:t>
      </w:r>
    </w:p>
    <w:p>
      <w:pPr>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default" w:ascii="仿宋" w:hAnsi="仿宋" w:eastAsia="仿宋" w:cs="Calibri"/>
          <w:color w:val="auto"/>
          <w:kern w:val="0"/>
          <w:szCs w:val="21"/>
          <w:highlight w:val="none"/>
          <w:lang w:val="en-US" w:eastAsia="zh-CN"/>
        </w:rPr>
      </w:pPr>
      <w:r>
        <w:rPr>
          <w:rFonts w:hint="eastAsia" w:ascii="仿宋" w:hAnsi="仿宋" w:eastAsia="仿宋" w:cs="Calibri"/>
          <w:color w:val="auto"/>
          <w:kern w:val="0"/>
          <w:szCs w:val="21"/>
          <w:highlight w:val="none"/>
        </w:rPr>
        <w:t>质疑联系方式：</w:t>
      </w:r>
      <w:r>
        <w:rPr>
          <w:rFonts w:hint="eastAsia" w:ascii="仿宋" w:hAnsi="仿宋" w:eastAsia="仿宋" w:cs="Calibri"/>
          <w:color w:val="auto"/>
          <w:kern w:val="0"/>
          <w:szCs w:val="21"/>
          <w:highlight w:val="none"/>
          <w:lang w:val="en-US" w:eastAsia="zh-CN"/>
        </w:rPr>
        <w:t>0571-63819897</w:t>
      </w:r>
    </w:p>
    <w:p>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2.采购代理机构信息</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名称</w:t>
      </w:r>
      <w:r>
        <w:rPr>
          <w:rFonts w:ascii="仿宋" w:hAnsi="仿宋" w:eastAsia="仿宋" w:cs="Calibri"/>
          <w:color w:val="auto"/>
          <w:kern w:val="0"/>
          <w:sz w:val="21"/>
          <w:szCs w:val="21"/>
          <w:highlight w:val="none"/>
        </w:rPr>
        <w:t>：杭州中易招标代理有限公司</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地址：</w:t>
      </w:r>
      <w:r>
        <w:rPr>
          <w:rFonts w:hint="eastAsia" w:ascii="仿宋" w:hAnsi="仿宋" w:eastAsia="仿宋" w:cs="Calibri"/>
          <w:color w:val="auto"/>
          <w:kern w:val="0"/>
          <w:sz w:val="21"/>
          <w:szCs w:val="21"/>
          <w:highlight w:val="none"/>
        </w:rPr>
        <w:t>杭州市拱墅区杭行路688号星运大厦1幢705室</w:t>
      </w:r>
    </w:p>
    <w:p>
      <w:pPr>
        <w:snapToGrid w:val="0"/>
        <w:spacing w:beforeLines="0" w:line="240" w:lineRule="auto"/>
        <w:ind w:left="420" w:leftChars="200" w:firstLine="420" w:firstLineChars="200"/>
        <w:rPr>
          <w:rFonts w:hint="eastAsia" w:ascii="仿宋" w:hAnsi="仿宋" w:eastAsia="仿宋" w:cs="Calibri"/>
          <w:i w:val="0"/>
          <w:iCs w:val="0"/>
          <w:caps w:val="0"/>
          <w:color w:val="auto"/>
          <w:spacing w:val="0"/>
          <w:kern w:val="0"/>
          <w:sz w:val="21"/>
          <w:szCs w:val="21"/>
          <w:highlight w:val="none"/>
        </w:rPr>
      </w:pPr>
      <w:r>
        <w:rPr>
          <w:rFonts w:hint="eastAsia" w:ascii="仿宋" w:hAnsi="仿宋" w:eastAsia="仿宋" w:cs="Calibri"/>
          <w:i w:val="0"/>
          <w:iCs w:val="0"/>
          <w:caps w:val="0"/>
          <w:color w:val="auto"/>
          <w:spacing w:val="0"/>
          <w:kern w:val="0"/>
          <w:sz w:val="21"/>
          <w:szCs w:val="21"/>
          <w:highlight w:val="none"/>
        </w:rPr>
        <w:t>传真：</w:t>
      </w:r>
      <w:r>
        <w:rPr>
          <w:rFonts w:hint="eastAsia" w:ascii="仿宋" w:hAnsi="仿宋" w:eastAsia="仿宋" w:cs="Calibri"/>
          <w:i w:val="0"/>
          <w:iCs w:val="0"/>
          <w:caps w:val="0"/>
          <w:color w:val="auto"/>
          <w:spacing w:val="0"/>
          <w:kern w:val="0"/>
          <w:sz w:val="21"/>
          <w:szCs w:val="21"/>
          <w:highlight w:val="none"/>
          <w:u w:val="single"/>
          <w:lang w:eastAsia="zh-CN"/>
        </w:rPr>
        <w:t>（E</w:t>
      </w:r>
      <w:r>
        <w:rPr>
          <w:rFonts w:hint="eastAsia" w:ascii="仿宋" w:hAnsi="仿宋" w:eastAsia="仿宋" w:cs="Calibri"/>
          <w:i w:val="0"/>
          <w:iCs w:val="0"/>
          <w:caps w:val="0"/>
          <w:color w:val="auto"/>
          <w:spacing w:val="0"/>
          <w:kern w:val="0"/>
          <w:sz w:val="21"/>
          <w:szCs w:val="21"/>
          <w:highlight w:val="none"/>
          <w:u w:val="single"/>
          <w:lang w:val="en-US" w:eastAsia="zh-CN"/>
        </w:rPr>
        <w:t>-mail）</w:t>
      </w:r>
      <w:r>
        <w:rPr>
          <w:rFonts w:hint="eastAsia" w:ascii="仿宋" w:hAnsi="仿宋" w:eastAsia="仿宋" w:cs="Calibri"/>
          <w:color w:val="auto"/>
          <w:kern w:val="0"/>
          <w:sz w:val="21"/>
          <w:szCs w:val="21"/>
          <w:highlight w:val="none"/>
          <w:u w:val="single"/>
        </w:rPr>
        <w:fldChar w:fldCharType="begin"/>
      </w:r>
      <w:r>
        <w:rPr>
          <w:rFonts w:hint="eastAsia" w:ascii="仿宋" w:hAnsi="仿宋" w:eastAsia="仿宋" w:cs="Calibri"/>
          <w:color w:val="auto"/>
          <w:kern w:val="0"/>
          <w:sz w:val="21"/>
          <w:szCs w:val="21"/>
          <w:highlight w:val="none"/>
          <w:u w:val="single"/>
        </w:rPr>
        <w:instrText xml:space="preserve"> HYPERLINK "mailto:18958139919@163.com" </w:instrText>
      </w:r>
      <w:r>
        <w:rPr>
          <w:rFonts w:hint="eastAsia" w:ascii="仿宋" w:hAnsi="仿宋" w:eastAsia="仿宋" w:cs="Calibri"/>
          <w:color w:val="auto"/>
          <w:kern w:val="0"/>
          <w:sz w:val="21"/>
          <w:szCs w:val="21"/>
          <w:highlight w:val="none"/>
          <w:u w:val="single"/>
        </w:rPr>
        <w:fldChar w:fldCharType="separate"/>
      </w:r>
      <w:r>
        <w:rPr>
          <w:rFonts w:hint="eastAsia" w:ascii="仿宋" w:hAnsi="仿宋" w:eastAsia="仿宋" w:cs="Calibri"/>
          <w:color w:val="auto"/>
          <w:kern w:val="0"/>
          <w:sz w:val="21"/>
          <w:szCs w:val="21"/>
          <w:highlight w:val="none"/>
          <w:u w:val="single"/>
        </w:rPr>
        <w:t>18958139919@163.com</w:t>
      </w:r>
      <w:r>
        <w:rPr>
          <w:rFonts w:hint="eastAsia" w:ascii="仿宋" w:hAnsi="仿宋" w:eastAsia="仿宋" w:cs="Calibri"/>
          <w:color w:val="auto"/>
          <w:kern w:val="0"/>
          <w:sz w:val="21"/>
          <w:szCs w:val="21"/>
          <w:highlight w:val="none"/>
          <w:u w:val="single"/>
        </w:rPr>
        <w:fldChar w:fldCharType="end"/>
      </w:r>
    </w:p>
    <w:p>
      <w:pPr>
        <w:snapToGrid w:val="0"/>
        <w:spacing w:beforeLines="0" w:line="240" w:lineRule="auto"/>
        <w:ind w:left="420" w:leftChars="200"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项目联系人（询问）</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余宏基、王红雁</w:t>
      </w:r>
    </w:p>
    <w:p>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项目联系方式（询问）</w:t>
      </w:r>
      <w:r>
        <w:rPr>
          <w:rFonts w:ascii="仿宋" w:hAnsi="仿宋" w:eastAsia="仿宋" w:cs="Calibri"/>
          <w:color w:val="auto"/>
          <w:kern w:val="0"/>
          <w:sz w:val="21"/>
          <w:szCs w:val="21"/>
          <w:highlight w:val="none"/>
        </w:rPr>
        <w:t>：0571-85273567，</w:t>
      </w:r>
      <w:r>
        <w:rPr>
          <w:rFonts w:hint="eastAsia" w:ascii="仿宋" w:hAnsi="仿宋" w:eastAsia="仿宋" w:cs="Calibri"/>
          <w:color w:val="auto"/>
          <w:kern w:val="0"/>
          <w:sz w:val="21"/>
          <w:szCs w:val="21"/>
          <w:highlight w:val="none"/>
        </w:rPr>
        <w:t>18457120662</w:t>
      </w:r>
    </w:p>
    <w:p>
      <w:pPr>
        <w:snapToGrid w:val="0"/>
        <w:spacing w:beforeLines="0" w:line="240" w:lineRule="auto"/>
        <w:ind w:left="420" w:leftChars="200"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质疑</w:t>
      </w:r>
      <w:r>
        <w:rPr>
          <w:rFonts w:hint="eastAsia" w:ascii="仿宋" w:hAnsi="仿宋" w:eastAsia="仿宋" w:cs="Calibri"/>
          <w:color w:val="auto"/>
          <w:kern w:val="0"/>
          <w:sz w:val="21"/>
          <w:szCs w:val="21"/>
          <w:highlight w:val="none"/>
        </w:rPr>
        <w:t>联系人</w:t>
      </w:r>
      <w:r>
        <w:rPr>
          <w:rFonts w:ascii="仿宋" w:hAnsi="仿宋" w:eastAsia="仿宋" w:cs="Calibri"/>
          <w:color w:val="auto"/>
          <w:kern w:val="0"/>
          <w:sz w:val="21"/>
          <w:szCs w:val="21"/>
          <w:highlight w:val="none"/>
        </w:rPr>
        <w:t>：王祥</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质疑</w:t>
      </w:r>
      <w:r>
        <w:rPr>
          <w:rFonts w:ascii="仿宋" w:hAnsi="仿宋" w:eastAsia="仿宋" w:cs="Calibri"/>
          <w:color w:val="auto"/>
          <w:kern w:val="0"/>
          <w:sz w:val="21"/>
          <w:szCs w:val="21"/>
          <w:highlight w:val="none"/>
        </w:rPr>
        <w:t>联系</w:t>
      </w:r>
      <w:r>
        <w:rPr>
          <w:rFonts w:hint="eastAsia" w:ascii="仿宋" w:hAnsi="仿宋" w:eastAsia="仿宋" w:cs="Calibri"/>
          <w:color w:val="auto"/>
          <w:kern w:val="0"/>
          <w:sz w:val="21"/>
          <w:szCs w:val="21"/>
          <w:highlight w:val="none"/>
        </w:rPr>
        <w:t>方式</w:t>
      </w:r>
      <w:r>
        <w:rPr>
          <w:rFonts w:ascii="仿宋" w:hAnsi="仿宋" w:eastAsia="仿宋" w:cs="Calibri"/>
          <w:color w:val="auto"/>
          <w:kern w:val="0"/>
          <w:sz w:val="21"/>
          <w:szCs w:val="21"/>
          <w:highlight w:val="none"/>
        </w:rPr>
        <w:t>：0571-85121567，13372531088</w:t>
      </w:r>
    </w:p>
    <w:p>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3.</w:t>
      </w:r>
      <w:r>
        <w:rPr>
          <w:rFonts w:ascii="仿宋" w:hAnsi="仿宋" w:eastAsia="仿宋" w:cs="Calibri"/>
          <w:b/>
          <w:color w:val="auto"/>
          <w:kern w:val="0"/>
          <w:sz w:val="21"/>
          <w:szCs w:val="21"/>
          <w:highlight w:val="none"/>
        </w:rPr>
        <w:t>同级政府采购监督管理部门</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名称：杭州市临安区财政局政府采购监督管理科</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地址：杭州市临安区锦城街道临天路1950号财政大楼411室</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传真：0571-89541600</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联系人：赵女士</w:t>
      </w:r>
    </w:p>
    <w:p>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监督投诉电话：0571-89541692、89541691、8954169</w:t>
      </w:r>
    </w:p>
    <w:p>
      <w:pPr>
        <w:snapToGrid w:val="0"/>
        <w:spacing w:beforeLines="0" w:line="240" w:lineRule="auto"/>
        <w:ind w:left="420" w:leftChars="200" w:firstLine="480" w:firstLineChars="200"/>
        <w:rPr>
          <w:rFonts w:hint="eastAsia" w:ascii="仿宋" w:hAnsi="仿宋" w:eastAsia="仿宋" w:cs="Calibri"/>
          <w:color w:val="auto"/>
          <w:kern w:val="0"/>
          <w:sz w:val="24"/>
          <w:highlight w:val="none"/>
        </w:rPr>
      </w:pP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noWrap w:val="0"/>
            <w:vAlign w:val="top"/>
          </w:tcPr>
          <w:p>
            <w:pPr>
              <w:widowControl/>
              <w:snapToGrid w:val="0"/>
              <w:spacing w:before="0" w:beforeLines="0"/>
              <w:jc w:val="left"/>
              <w:rPr>
                <w:rFonts w:hint="eastAsia" w:ascii="仿宋" w:hAnsi="仿宋" w:eastAsia="仿宋" w:cs="宋体"/>
                <w:color w:val="auto"/>
                <w:sz w:val="21"/>
                <w:szCs w:val="21"/>
                <w:highlight w:val="none"/>
              </w:rPr>
            </w:pPr>
            <w:r>
              <w:rPr>
                <w:rFonts w:ascii="仿宋" w:hAnsi="仿宋" w:eastAsia="仿宋" w:cs="宋体"/>
                <w:color w:val="auto"/>
                <w:sz w:val="21"/>
                <w:szCs w:val="21"/>
                <w:highlight w:val="none"/>
              </w:rPr>
              <w:t>若对项目采购电子交易系统操作有疑问，可登录政采云（https://www.zcygov.cn/），点击右侧咨询小采，获取采小蜜智能服务管家帮助，或拨打政采云服务热线400-881-7190获取帮助。</w:t>
            </w:r>
          </w:p>
          <w:p>
            <w:pPr>
              <w:widowControl/>
              <w:snapToGrid w:val="0"/>
              <w:spacing w:before="0" w:beforeLines="0"/>
              <w:jc w:val="left"/>
              <w:rPr>
                <w:rFonts w:hint="eastAsia" w:ascii="仿宋" w:hAnsi="仿宋" w:eastAsia="仿宋" w:cs="宋体"/>
                <w:color w:val="auto"/>
                <w:sz w:val="24"/>
                <w:highlight w:val="none"/>
              </w:rPr>
            </w:pPr>
            <w:r>
              <w:rPr>
                <w:rFonts w:ascii="仿宋" w:hAnsi="仿宋" w:eastAsia="仿宋" w:cs="宋体"/>
                <w:color w:val="auto"/>
                <w:sz w:val="21"/>
                <w:szCs w:val="21"/>
                <w:highlight w:val="none"/>
              </w:rPr>
              <w:t>CA问题联系电话（人工）：汇信CA 400-888-4636；天谷CA 400-087-8198。</w:t>
            </w:r>
          </w:p>
        </w:tc>
      </w:tr>
    </w:tbl>
    <w:p>
      <w:pPr>
        <w:spacing w:line="360" w:lineRule="auto"/>
        <w:jc w:val="center"/>
        <w:rPr>
          <w:rFonts w:ascii="仿宋_GB2312" w:hAnsi="仿宋_GB2312" w:eastAsia="仿宋_GB2312" w:cs="仿宋_GB2312"/>
          <w:b/>
          <w:color w:val="auto"/>
          <w:sz w:val="32"/>
          <w:szCs w:val="20"/>
          <w:highlight w:val="none"/>
        </w:rPr>
      </w:pPr>
      <w:r>
        <w:rPr>
          <w:rFonts w:ascii="仿宋" w:hAnsi="仿宋" w:eastAsia="仿宋"/>
          <w:b/>
          <w:color w:val="auto"/>
          <w:sz w:val="28"/>
          <w:szCs w:val="28"/>
          <w:highlight w:val="none"/>
        </w:rPr>
        <w:br w:type="page"/>
      </w:r>
      <w:bookmarkStart w:id="30" w:name="_Toc97000038"/>
      <w:bookmarkStart w:id="31" w:name="_Toc96999267"/>
      <w:r>
        <w:rPr>
          <w:rFonts w:hint="eastAsia" w:ascii="仿宋" w:hAnsi="仿宋" w:eastAsia="仿宋"/>
          <w:b/>
          <w:color w:val="auto"/>
          <w:sz w:val="30"/>
          <w:szCs w:val="30"/>
          <w:highlight w:val="none"/>
        </w:rPr>
        <w:t>第二部分  磋商流程</w:t>
      </w:r>
    </w:p>
    <w:p>
      <w:pPr>
        <w:pStyle w:val="406"/>
        <w:spacing w:before="120" w:beforeLines="50" w:line="276" w:lineRule="auto"/>
        <w:ind w:firstLine="0" w:firstLineChars="0"/>
        <w:rPr>
          <w:rFonts w:ascii="仿宋" w:hAnsi="仿宋" w:eastAsia="仿宋" w:cs="仿宋_GB2312"/>
          <w:b/>
          <w:color w:val="auto"/>
        </w:rPr>
      </w:pPr>
      <w:r>
        <w:rPr>
          <w:rFonts w:hint="eastAsia" w:ascii="仿宋" w:hAnsi="仿宋" w:eastAsia="仿宋"/>
          <w:b/>
          <w:color w:val="auto"/>
          <w:szCs w:val="24"/>
        </w:rPr>
        <w:t>1.征</w:t>
      </w:r>
      <w:r>
        <w:rPr>
          <w:rFonts w:hint="eastAsia" w:ascii="仿宋" w:hAnsi="仿宋" w:eastAsia="仿宋" w:cs="仿宋_GB2312"/>
          <w:b/>
          <w:color w:val="auto"/>
          <w:szCs w:val="24"/>
        </w:rPr>
        <w:t>集供应商</w:t>
      </w:r>
    </w:p>
    <w:p>
      <w:pPr>
        <w:pStyle w:val="406"/>
        <w:spacing w:before="0" w:line="276" w:lineRule="auto"/>
        <w:ind w:firstLine="480"/>
        <w:rPr>
          <w:rFonts w:ascii="仿宋" w:hAnsi="仿宋" w:eastAsia="仿宋" w:cs="仿宋_GB2312"/>
          <w:color w:val="auto"/>
          <w:szCs w:val="24"/>
        </w:rPr>
      </w:pPr>
      <w:r>
        <w:rPr>
          <w:rFonts w:hint="eastAsia" w:ascii="仿宋" w:hAnsi="仿宋" w:eastAsia="仿宋" w:cs="仿宋_GB2312"/>
          <w:color w:val="auto"/>
          <w:szCs w:val="24"/>
        </w:rPr>
        <w:t>1.1 邀请供应商：由采购人、采购机构在省级以上人民政府财政部门指定的政府采购信息发布媒体上发布采购公告，邀请合格供应商参与竞争性磋商采购活动。</w:t>
      </w:r>
    </w:p>
    <w:p>
      <w:pPr>
        <w:pStyle w:val="406"/>
        <w:spacing w:before="0" w:line="276" w:lineRule="auto"/>
        <w:ind w:firstLine="480"/>
        <w:rPr>
          <w:rFonts w:ascii="仿宋" w:hAnsi="仿宋" w:eastAsia="仿宋" w:cs="仿宋_GB2312"/>
          <w:color w:val="auto"/>
          <w:szCs w:val="24"/>
        </w:rPr>
      </w:pPr>
      <w:r>
        <w:rPr>
          <w:rFonts w:hint="eastAsia" w:ascii="仿宋" w:hAnsi="仿宋" w:eastAsia="仿宋" w:cs="仿宋_GB2312"/>
          <w:color w:val="auto"/>
          <w:szCs w:val="24"/>
        </w:rPr>
        <w:t>1.2 供应商获取磋商采购文件。</w:t>
      </w:r>
    </w:p>
    <w:p>
      <w:pPr>
        <w:pStyle w:val="406"/>
        <w:spacing w:before="0" w:line="276" w:lineRule="auto"/>
        <w:ind w:firstLine="480"/>
        <w:rPr>
          <w:rFonts w:ascii="仿宋" w:hAnsi="仿宋" w:eastAsia="仿宋" w:cs="仿宋_GB2312"/>
          <w:color w:val="auto"/>
          <w:szCs w:val="24"/>
        </w:rPr>
      </w:pPr>
      <w:r>
        <w:rPr>
          <w:rFonts w:hint="eastAsia" w:ascii="仿宋" w:hAnsi="仿宋" w:eastAsia="仿宋" w:cs="仿宋_GB2312"/>
          <w:color w:val="auto"/>
          <w:szCs w:val="24"/>
        </w:rPr>
        <w:t>1.3 组织现场考察或召开答疑会（如果有）。</w:t>
      </w:r>
    </w:p>
    <w:p>
      <w:pPr>
        <w:pStyle w:val="406"/>
        <w:spacing w:before="0" w:line="276" w:lineRule="auto"/>
        <w:ind w:firstLine="480"/>
        <w:rPr>
          <w:rFonts w:hint="eastAsia" w:ascii="仿宋" w:hAnsi="仿宋" w:eastAsia="仿宋" w:cs="仿宋_GB2312"/>
          <w:color w:val="auto"/>
          <w:szCs w:val="24"/>
        </w:rPr>
      </w:pPr>
      <w:r>
        <w:rPr>
          <w:rFonts w:hint="eastAsia" w:ascii="仿宋" w:hAnsi="仿宋" w:eastAsia="仿宋" w:cs="仿宋_GB2312"/>
          <w:color w:val="auto"/>
          <w:szCs w:val="24"/>
        </w:rPr>
        <w:t>1.4 发布更正（延期）公告，澄清或修改采购文件（如果有）。</w:t>
      </w:r>
    </w:p>
    <w:p>
      <w:pPr>
        <w:pStyle w:val="406"/>
        <w:spacing w:before="0" w:line="276" w:lineRule="auto"/>
        <w:ind w:firstLine="480"/>
        <w:rPr>
          <w:rFonts w:ascii="仿宋" w:hAnsi="仿宋" w:eastAsia="仿宋" w:cs="仿宋_GB2312"/>
          <w:color w:val="auto"/>
          <w:szCs w:val="24"/>
        </w:rPr>
      </w:pPr>
      <w:r>
        <w:rPr>
          <w:rFonts w:hint="eastAsia" w:ascii="仿宋" w:hAnsi="仿宋" w:eastAsia="仿宋" w:cs="仿宋_GB2312"/>
          <w:color w:val="auto"/>
          <w:szCs w:val="24"/>
        </w:rPr>
        <w:t>1.5 供应商按采购文件要求编制响应文件。</w:t>
      </w:r>
    </w:p>
    <w:p>
      <w:pPr>
        <w:pStyle w:val="406"/>
        <w:spacing w:before="120" w:beforeLines="50" w:line="276" w:lineRule="auto"/>
        <w:ind w:firstLine="0" w:firstLineChars="0"/>
        <w:rPr>
          <w:rFonts w:ascii="仿宋" w:hAnsi="仿宋" w:eastAsia="仿宋"/>
          <w:b/>
          <w:color w:val="auto"/>
          <w:szCs w:val="24"/>
        </w:rPr>
      </w:pPr>
      <w:r>
        <w:rPr>
          <w:rFonts w:hint="eastAsia" w:ascii="仿宋" w:hAnsi="仿宋" w:eastAsia="仿宋"/>
          <w:b/>
          <w:color w:val="auto"/>
          <w:szCs w:val="24"/>
        </w:rPr>
        <w:t>2.开启响应文件与信用信息查询</w:t>
      </w:r>
    </w:p>
    <w:p>
      <w:pPr>
        <w:pStyle w:val="406"/>
        <w:spacing w:before="0" w:line="276" w:lineRule="auto"/>
        <w:ind w:firstLine="480"/>
        <w:rPr>
          <w:rFonts w:ascii="仿宋" w:hAnsi="仿宋" w:eastAsia="仿宋" w:cs="仿宋_GB2312"/>
          <w:color w:val="auto"/>
          <w:szCs w:val="24"/>
        </w:rPr>
      </w:pPr>
      <w:r>
        <w:rPr>
          <w:rFonts w:hint="eastAsia" w:ascii="仿宋" w:hAnsi="仿宋" w:eastAsia="仿宋" w:cs="仿宋_GB2312"/>
          <w:color w:val="auto"/>
          <w:szCs w:val="24"/>
        </w:rPr>
        <w:t>2.1 供应商依据“响应文件提交的截止时间与地点”通过政采云平台在线提交响应文件。供应商在提交响应文件截止时间前，可以补充、修改或撤回响应文件。</w:t>
      </w:r>
    </w:p>
    <w:p>
      <w:pPr>
        <w:pStyle w:val="406"/>
        <w:spacing w:before="0" w:line="276" w:lineRule="auto"/>
        <w:ind w:firstLine="482"/>
        <w:rPr>
          <w:rFonts w:ascii="仿宋" w:hAnsi="仿宋" w:eastAsia="仿宋" w:cs="仿宋_GB2312"/>
          <w:b/>
          <w:bCs/>
          <w:color w:val="auto"/>
          <w:szCs w:val="24"/>
        </w:rPr>
      </w:pPr>
      <w:r>
        <w:rPr>
          <w:rFonts w:hint="eastAsia" w:ascii="仿宋" w:hAnsi="仿宋" w:eastAsia="仿宋" w:cs="仿宋_GB2312"/>
          <w:b/>
          <w:bCs/>
          <w:color w:val="auto"/>
          <w:szCs w:val="24"/>
        </w:rPr>
        <w:t>2.2 开标记录开启后，供应商</w:t>
      </w:r>
      <w:r>
        <w:rPr>
          <w:rFonts w:hint="eastAsia" w:ascii="仿宋" w:hAnsi="仿宋" w:eastAsia="仿宋" w:cs="仿宋_GB2312"/>
          <w:b/>
          <w:color w:val="auto"/>
          <w:szCs w:val="24"/>
        </w:rPr>
        <w:t>通过政采云平台在线签署</w:t>
      </w:r>
      <w:r>
        <w:rPr>
          <w:rFonts w:hint="eastAsia" w:ascii="仿宋" w:hAnsi="仿宋" w:eastAsia="仿宋" w:cs="仿宋_GB2312"/>
          <w:b/>
          <w:bCs/>
          <w:color w:val="auto"/>
          <w:szCs w:val="24"/>
        </w:rPr>
        <w:t>《确认声明书》。</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 xml:space="preserve">2.3 </w:t>
      </w:r>
      <w:r>
        <w:rPr>
          <w:rFonts w:hint="eastAsia" w:ascii="仿宋" w:hAnsi="仿宋" w:eastAsia="仿宋" w:cs="Arial"/>
          <w:color w:val="auto"/>
          <w:kern w:val="0"/>
          <w:szCs w:val="24"/>
        </w:rPr>
        <w:t>采购机构将通过“信用中国”网站(</w:t>
      </w:r>
      <w:r>
        <w:rPr>
          <w:rFonts w:hint="eastAsia" w:ascii="仿宋" w:hAnsi="仿宋" w:eastAsia="仿宋"/>
          <w:color w:val="auto"/>
        </w:rPr>
        <w:fldChar w:fldCharType="begin"/>
      </w:r>
      <w:r>
        <w:rPr>
          <w:rFonts w:ascii="仿宋" w:hAnsi="仿宋" w:eastAsia="仿宋"/>
          <w:color w:val="auto"/>
        </w:rPr>
        <w:instrText xml:space="preserve"> HYPERLINK "http://www.creditchina.gov.cn"</w:instrText>
      </w:r>
      <w:r>
        <w:rPr>
          <w:rFonts w:hint="eastAsia" w:ascii="仿宋" w:hAnsi="仿宋" w:eastAsia="仿宋"/>
          <w:color w:val="auto"/>
        </w:rPr>
        <w:fldChar w:fldCharType="separate"/>
      </w:r>
      <w:r>
        <w:rPr>
          <w:rStyle w:val="81"/>
          <w:rFonts w:hint="eastAsia" w:ascii="仿宋" w:hAnsi="仿宋" w:eastAsia="仿宋"/>
          <w:color w:val="auto"/>
          <w:szCs w:val="24"/>
        </w:rPr>
        <w:t>www.creditchina.gov.cn</w:t>
      </w:r>
      <w:r>
        <w:rPr>
          <w:rFonts w:hint="eastAsia" w:ascii="仿宋" w:hAnsi="仿宋" w:eastAsia="仿宋"/>
          <w:color w:val="auto"/>
          <w:szCs w:val="24"/>
        </w:rPr>
        <w:fldChar w:fldCharType="end"/>
      </w:r>
      <w:r>
        <w:rPr>
          <w:rFonts w:hint="eastAsia" w:ascii="仿宋" w:hAnsi="仿宋" w:eastAsia="仿宋" w:cs="Arial"/>
          <w:color w:val="auto"/>
          <w:kern w:val="0"/>
          <w:szCs w:val="24"/>
        </w:rPr>
        <w:t>)和中国政府采购网(</w:t>
      </w:r>
      <w:r>
        <w:rPr>
          <w:rFonts w:hint="eastAsia" w:ascii="仿宋" w:hAnsi="仿宋" w:eastAsia="仿宋" w:cs="Arial"/>
          <w:color w:val="auto"/>
          <w:kern w:val="0"/>
          <w:szCs w:val="24"/>
          <w:u w:val="single"/>
        </w:rPr>
        <w:t>www.ccgp.gov.cn</w:t>
      </w:r>
      <w:r>
        <w:rPr>
          <w:rFonts w:hint="eastAsia" w:ascii="仿宋" w:hAnsi="仿宋" w:eastAsia="仿宋" w:cs="Arial"/>
          <w:color w:val="auto"/>
          <w:kern w:val="0"/>
          <w:szCs w:val="24"/>
        </w:rPr>
        <w:t>)渠道查询供应商响应截止时间当日的信用记录。</w:t>
      </w:r>
    </w:p>
    <w:p>
      <w:pPr>
        <w:pStyle w:val="406"/>
        <w:spacing w:before="120" w:beforeLines="50" w:line="276" w:lineRule="auto"/>
        <w:ind w:firstLine="0" w:firstLineChars="0"/>
        <w:rPr>
          <w:rFonts w:ascii="仿宋" w:hAnsi="仿宋" w:eastAsia="仿宋"/>
          <w:b/>
          <w:color w:val="auto"/>
          <w:szCs w:val="24"/>
        </w:rPr>
      </w:pPr>
      <w:r>
        <w:rPr>
          <w:rFonts w:hint="eastAsia" w:ascii="仿宋" w:hAnsi="仿宋" w:eastAsia="仿宋"/>
          <w:b/>
          <w:color w:val="auto"/>
          <w:szCs w:val="24"/>
        </w:rPr>
        <w:t>3.磋商与评审</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3.1 磋商小组(同“评审小组”)签到。</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3.2 采购机构宣布有关纪律以及磋商、评审工作程序。</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3.3 磋商小组审查确认采购文件。采购文件内容违反国家有关强制性规定的，磋商小组应当停止评审并向采购机构说明情况。</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3.4 磋商小组对供应商的资格进行审查。</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3.5 磋商小组审查响应文件。</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3.6 对于未实质性响应采购文件的响应文件由磋商小组认定响应无效，并告知该供应商。</w:t>
      </w:r>
    </w:p>
    <w:p>
      <w:pPr>
        <w:pStyle w:val="406"/>
        <w:spacing w:before="0" w:line="276" w:lineRule="auto"/>
        <w:ind w:firstLine="480"/>
        <w:rPr>
          <w:rFonts w:hint="eastAsia" w:ascii="仿宋" w:hAnsi="仿宋" w:eastAsia="仿宋" w:cs="Times New Roman"/>
          <w:color w:val="auto"/>
          <w:szCs w:val="24"/>
        </w:rPr>
      </w:pPr>
      <w:r>
        <w:rPr>
          <w:rFonts w:hint="eastAsia" w:ascii="仿宋" w:hAnsi="仿宋" w:eastAsia="仿宋" w:cs="Times New Roman"/>
          <w:color w:val="auto"/>
          <w:szCs w:val="24"/>
        </w:rPr>
        <w:t>3.7</w:t>
      </w:r>
      <w:r>
        <w:rPr>
          <w:rFonts w:hint="eastAsia" w:ascii="仿宋" w:hAnsi="仿宋" w:eastAsia="仿宋" w:cs="Times New Roman"/>
          <w:color w:val="auto"/>
          <w:szCs w:val="24"/>
          <w:lang w:val="en-US" w:eastAsia="zh-CN"/>
        </w:rPr>
        <w:t xml:space="preserve"> </w:t>
      </w:r>
      <w:r>
        <w:rPr>
          <w:rFonts w:hint="eastAsia" w:ascii="仿宋" w:hAnsi="仿宋" w:eastAsia="仿宋" w:cs="Times New Roman"/>
          <w:color w:val="auto"/>
          <w:szCs w:val="24"/>
        </w:rPr>
        <w:t>供应商根据磋商小组要求对响应文件中含义不明确、同类问题表述不一致或者有明显文字和计算错误的内容等作出必要的澄清、说明或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406"/>
        <w:spacing w:before="0" w:line="276" w:lineRule="auto"/>
        <w:ind w:firstLine="480"/>
        <w:rPr>
          <w:rFonts w:hint="eastAsia" w:ascii="仿宋" w:hAnsi="仿宋" w:eastAsia="仿宋" w:cs="Times New Roman"/>
          <w:color w:val="auto"/>
          <w:szCs w:val="24"/>
        </w:rPr>
      </w:pPr>
      <w:r>
        <w:rPr>
          <w:rFonts w:hint="eastAsia" w:ascii="仿宋" w:hAnsi="仿宋" w:eastAsia="仿宋" w:cs="Times New Roman"/>
          <w:color w:val="auto"/>
          <w:szCs w:val="24"/>
        </w:rPr>
        <w:t>3.8</w:t>
      </w:r>
      <w:r>
        <w:rPr>
          <w:rFonts w:hint="eastAsia" w:ascii="仿宋" w:hAnsi="仿宋" w:eastAsia="仿宋" w:cs="Times New Roman"/>
          <w:color w:val="auto"/>
          <w:szCs w:val="24"/>
          <w:lang w:val="en-US" w:eastAsia="zh-CN"/>
        </w:rPr>
        <w:t xml:space="preserve"> </w:t>
      </w:r>
      <w:r>
        <w:rPr>
          <w:rFonts w:hint="eastAsia" w:ascii="仿宋" w:hAnsi="仿宋" w:eastAsia="仿宋" w:cs="Times New Roman"/>
          <w:color w:val="auto"/>
          <w:szCs w:val="24"/>
        </w:rPr>
        <w:t>磋商小组与符合要求的供应商进行磋商。磋商小组所有成员按照响应文件解密次序集中与单一供应商分别进行磋商，</w:t>
      </w:r>
      <w:r>
        <w:rPr>
          <w:rFonts w:hint="eastAsia" w:ascii="仿宋" w:hAnsi="仿宋" w:eastAsia="仿宋" w:cs="Times New Roman"/>
          <w:color w:val="auto"/>
          <w:szCs w:val="24"/>
          <w:lang w:val="en-US" w:eastAsia="zh-CN"/>
        </w:rPr>
        <w:t>并且</w:t>
      </w:r>
      <w:r>
        <w:rPr>
          <w:rFonts w:hint="eastAsia" w:ascii="仿宋" w:hAnsi="仿宋" w:eastAsia="仿宋" w:cs="Times New Roman"/>
          <w:color w:val="auto"/>
          <w:szCs w:val="24"/>
        </w:rPr>
        <w:t>给予所</w:t>
      </w:r>
      <w:r>
        <w:rPr>
          <w:rFonts w:hint="eastAsia" w:ascii="仿宋" w:hAnsi="仿宋" w:eastAsia="仿宋" w:cs="Times New Roman"/>
          <w:color w:val="auto"/>
          <w:szCs w:val="24"/>
          <w:highlight w:val="none"/>
        </w:rPr>
        <w:t>有参加磋商的供应商平等的磋商机会。磋商过程中，磋商小组可以根据磋商情况调整轮次。</w:t>
      </w:r>
      <w:r>
        <w:rPr>
          <w:rFonts w:hint="eastAsia" w:ascii="仿宋" w:hAnsi="仿宋" w:eastAsia="仿宋" w:cs="Times New Roman"/>
          <w:color w:val="auto"/>
          <w:szCs w:val="24"/>
          <w:highlight w:val="none"/>
          <w:lang w:val="en-US" w:eastAsia="zh-CN"/>
        </w:rPr>
        <w:t>磋商</w:t>
      </w:r>
      <w:r>
        <w:rPr>
          <w:rFonts w:hint="eastAsia" w:ascii="仿宋" w:hAnsi="仿宋" w:eastAsia="仿宋" w:cs="Times New Roman"/>
          <w:color w:val="auto"/>
          <w:szCs w:val="24"/>
          <w:highlight w:val="none"/>
        </w:rPr>
        <w:t>小组可通过三种方式与供应商进行磋商(A视频会议</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B发送磋商问题</w:t>
      </w:r>
      <w:r>
        <w:rPr>
          <w:rFonts w:hint="eastAsia" w:ascii="仿宋" w:hAnsi="仿宋" w:eastAsia="仿宋" w:cs="Times New Roman"/>
          <w:color w:val="auto"/>
          <w:szCs w:val="24"/>
          <w:highlight w:val="none"/>
          <w:lang w:val="en-US" w:eastAsia="zh-CN"/>
        </w:rPr>
        <w:t>函/</w:t>
      </w:r>
      <w:r>
        <w:rPr>
          <w:rFonts w:hint="eastAsia" w:ascii="仿宋" w:hAnsi="仿宋" w:eastAsia="仿宋" w:cs="Times New Roman"/>
          <w:color w:val="auto"/>
          <w:szCs w:val="24"/>
          <w:highlight w:val="none"/>
        </w:rPr>
        <w:t>C备注和附件)，完成最终轮磋商后提交</w:t>
      </w:r>
      <w:r>
        <w:rPr>
          <w:rFonts w:hint="eastAsia" w:ascii="仿宋" w:hAnsi="仿宋" w:eastAsia="仿宋" w:cs="Times New Roman"/>
          <w:color w:val="auto"/>
          <w:szCs w:val="24"/>
          <w:highlight w:val="none"/>
          <w:lang w:val="en-US" w:eastAsia="zh-CN"/>
        </w:rPr>
        <w:t>并确认</w:t>
      </w:r>
      <w:r>
        <w:rPr>
          <w:rFonts w:hint="eastAsia" w:ascii="仿宋" w:hAnsi="仿宋" w:eastAsia="仿宋" w:cs="Times New Roman"/>
          <w:color w:val="auto"/>
          <w:szCs w:val="24"/>
          <w:highlight w:val="none"/>
        </w:rPr>
        <w:t>磋商结果</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磋商时</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lang w:val="en-US" w:eastAsia="zh-CN"/>
        </w:rPr>
        <w:t>需</w:t>
      </w:r>
      <w:r>
        <w:rPr>
          <w:rFonts w:hint="eastAsia" w:ascii="仿宋" w:hAnsi="仿宋" w:eastAsia="仿宋" w:cs="Times New Roman"/>
          <w:color w:val="auto"/>
          <w:szCs w:val="24"/>
          <w:highlight w:val="none"/>
        </w:rPr>
        <w:t>由</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利用政采云平台发起</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视频会议</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磋商邀请</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，供应商使用CA数字证书</w:t>
      </w:r>
      <w:r>
        <w:rPr>
          <w:rFonts w:hint="eastAsia" w:ascii="仿宋" w:hAnsi="仿宋" w:eastAsia="仿宋" w:cs="Times New Roman"/>
          <w:color w:val="auto"/>
          <w:szCs w:val="24"/>
          <w:highlight w:val="none"/>
          <w:lang w:eastAsia="zh-CN"/>
        </w:rPr>
        <w:t>登录</w:t>
      </w:r>
      <w:r>
        <w:rPr>
          <w:rFonts w:hint="eastAsia" w:ascii="仿宋" w:hAnsi="仿宋" w:eastAsia="仿宋" w:cs="Times New Roman"/>
          <w:color w:val="auto"/>
          <w:szCs w:val="24"/>
          <w:highlight w:val="none"/>
        </w:rPr>
        <w:t>政采云平台</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通过政采云“在线评审室</w:t>
      </w:r>
      <w:r>
        <w:rPr>
          <w:rFonts w:hint="eastAsia" w:ascii="仿宋" w:hAnsi="仿宋" w:eastAsia="仿宋" w:cs="Times New Roman"/>
          <w:color w:val="auto"/>
          <w:szCs w:val="24"/>
        </w:rPr>
        <w:t>”进行远程视频磋商。对于要求</w:t>
      </w:r>
      <w:r>
        <w:rPr>
          <w:rFonts w:hint="eastAsia" w:ascii="仿宋" w:hAnsi="仿宋" w:eastAsia="仿宋" w:cs="Times New Roman"/>
          <w:color w:val="auto"/>
          <w:szCs w:val="24"/>
          <w:lang w:val="en-US" w:eastAsia="zh-CN"/>
        </w:rPr>
        <w:t>参加</w:t>
      </w:r>
      <w:r>
        <w:rPr>
          <w:rFonts w:hint="eastAsia" w:ascii="仿宋" w:hAnsi="仿宋" w:eastAsia="仿宋" w:cs="Times New Roman"/>
          <w:color w:val="auto"/>
          <w:szCs w:val="24"/>
        </w:rPr>
        <w:t>现场磋商的供应商，可在</w:t>
      </w:r>
      <w:r>
        <w:rPr>
          <w:rFonts w:hint="eastAsia" w:ascii="仿宋" w:hAnsi="仿宋" w:eastAsia="仿宋" w:cs="Times New Roman"/>
          <w:color w:val="auto"/>
          <w:szCs w:val="24"/>
          <w:lang w:val="en-US" w:eastAsia="zh-CN"/>
        </w:rPr>
        <w:t>采购文件采购公告载明的评审地点</w:t>
      </w:r>
      <w:r>
        <w:rPr>
          <w:rFonts w:hint="eastAsia" w:ascii="仿宋" w:hAnsi="仿宋" w:eastAsia="仿宋" w:cs="Times New Roman"/>
          <w:color w:val="auto"/>
          <w:szCs w:val="24"/>
        </w:rPr>
        <w:t>通过视频会议系统或自备CA数字证书、笔记本电脑等开展磋商活动。</w:t>
      </w:r>
    </w:p>
    <w:p>
      <w:pPr>
        <w:pStyle w:val="406"/>
        <w:spacing w:before="0" w:line="276" w:lineRule="auto"/>
        <w:ind w:firstLine="480"/>
        <w:rPr>
          <w:rFonts w:hint="eastAsia" w:ascii="仿宋" w:hAnsi="仿宋" w:eastAsia="仿宋" w:cs="Times New Roman"/>
          <w:color w:val="auto"/>
          <w:szCs w:val="24"/>
        </w:rPr>
      </w:pPr>
      <w:r>
        <w:rPr>
          <w:rFonts w:hint="eastAsia" w:ascii="仿宋" w:hAnsi="仿宋" w:eastAsia="仿宋" w:cs="Times New Roman"/>
          <w:color w:val="auto"/>
          <w:szCs w:val="24"/>
        </w:rPr>
        <w:t>3.9</w:t>
      </w:r>
      <w:r>
        <w:rPr>
          <w:rFonts w:hint="eastAsia" w:ascii="仿宋" w:hAnsi="仿宋" w:eastAsia="仿宋" w:cs="Times New Roman"/>
          <w:color w:val="auto"/>
          <w:szCs w:val="24"/>
          <w:lang w:val="en-US" w:eastAsia="zh-CN"/>
        </w:rPr>
        <w:t xml:space="preserve"> </w:t>
      </w:r>
      <w:r>
        <w:rPr>
          <w:rFonts w:hint="eastAsia" w:ascii="仿宋" w:hAnsi="仿宋" w:eastAsia="仿宋" w:cs="Times New Roman"/>
          <w:color w:val="auto"/>
          <w:szCs w:val="24"/>
        </w:rPr>
        <w:t>经磋商确定</w:t>
      </w:r>
      <w:r>
        <w:rPr>
          <w:rFonts w:hint="eastAsia" w:ascii="仿宋" w:hAnsi="仿宋" w:eastAsia="仿宋" w:cs="Times New Roman"/>
          <w:color w:val="auto"/>
          <w:szCs w:val="24"/>
          <w:lang w:val="en-US" w:eastAsia="zh-CN"/>
        </w:rPr>
        <w:t>采购</w:t>
      </w:r>
      <w:r>
        <w:rPr>
          <w:rFonts w:hint="eastAsia" w:ascii="仿宋" w:hAnsi="仿宋" w:eastAsia="仿宋" w:cs="Times New Roman"/>
          <w:color w:val="auto"/>
          <w:szCs w:val="24"/>
        </w:rPr>
        <w:t>文件的变动情况。对</w:t>
      </w:r>
      <w:r>
        <w:rPr>
          <w:rFonts w:hint="eastAsia" w:ascii="仿宋" w:hAnsi="仿宋" w:eastAsia="仿宋" w:cs="Times New Roman"/>
          <w:color w:val="auto"/>
          <w:szCs w:val="24"/>
          <w:lang w:val="en-US" w:eastAsia="zh-CN"/>
        </w:rPr>
        <w:t>磋商采购</w:t>
      </w:r>
      <w:r>
        <w:rPr>
          <w:rFonts w:hint="eastAsia" w:ascii="仿宋" w:hAnsi="仿宋" w:eastAsia="仿宋" w:cs="Times New Roman"/>
          <w:color w:val="auto"/>
          <w:szCs w:val="24"/>
        </w:rPr>
        <w:t>文件作出的实质性变动是</w:t>
      </w:r>
      <w:r>
        <w:rPr>
          <w:rFonts w:hint="eastAsia" w:ascii="仿宋" w:hAnsi="仿宋" w:eastAsia="仿宋" w:cs="Times New Roman"/>
          <w:color w:val="auto"/>
          <w:szCs w:val="24"/>
          <w:lang w:val="en-US" w:eastAsia="zh-CN"/>
        </w:rPr>
        <w:t>采购</w:t>
      </w:r>
      <w:r>
        <w:rPr>
          <w:rFonts w:hint="eastAsia" w:ascii="仿宋" w:hAnsi="仿宋" w:eastAsia="仿宋" w:cs="Times New Roman"/>
          <w:color w:val="auto"/>
          <w:szCs w:val="24"/>
        </w:rPr>
        <w:t>文件的有效组成部分，磋商小组应当及时以书面形式同时通知所有参加磋商的供应商。</w:t>
      </w:r>
    </w:p>
    <w:p>
      <w:pPr>
        <w:pStyle w:val="406"/>
        <w:spacing w:before="0" w:line="276" w:lineRule="auto"/>
        <w:ind w:firstLine="480"/>
        <w:rPr>
          <w:rFonts w:hint="eastAsia" w:ascii="仿宋" w:hAnsi="仿宋" w:eastAsia="仿宋" w:cs="Times New Roman"/>
          <w:color w:val="auto"/>
          <w:szCs w:val="24"/>
        </w:rPr>
      </w:pPr>
      <w:r>
        <w:rPr>
          <w:rFonts w:hint="eastAsia" w:ascii="仿宋" w:hAnsi="仿宋" w:eastAsia="仿宋" w:cs="Times New Roman"/>
          <w:color w:val="auto"/>
          <w:szCs w:val="24"/>
        </w:rPr>
        <w:t>3.10 供应商应当按照</w:t>
      </w:r>
      <w:r>
        <w:rPr>
          <w:rFonts w:hint="eastAsia" w:ascii="仿宋" w:hAnsi="仿宋" w:eastAsia="仿宋" w:cs="Times New Roman"/>
          <w:color w:val="auto"/>
          <w:szCs w:val="24"/>
          <w:lang w:eastAsia="zh-CN"/>
        </w:rPr>
        <w:t>采购文件</w:t>
      </w:r>
      <w:r>
        <w:rPr>
          <w:rFonts w:hint="eastAsia" w:ascii="仿宋" w:hAnsi="仿宋" w:eastAsia="仿宋" w:cs="Times New Roman"/>
          <w:color w:val="auto"/>
          <w:szCs w:val="24"/>
        </w:rPr>
        <w:t>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406"/>
        <w:spacing w:before="0" w:line="276" w:lineRule="auto"/>
        <w:ind w:firstLine="480"/>
        <w:rPr>
          <w:rFonts w:hint="eastAsia" w:ascii="仿宋" w:hAnsi="仿宋" w:eastAsia="仿宋" w:cs="Times New Roman"/>
          <w:color w:val="auto"/>
          <w:szCs w:val="24"/>
        </w:rPr>
      </w:pPr>
      <w:r>
        <w:rPr>
          <w:rFonts w:hint="eastAsia" w:ascii="仿宋" w:hAnsi="仿宋" w:eastAsia="仿宋" w:cs="Times New Roman"/>
          <w:color w:val="auto"/>
          <w:szCs w:val="24"/>
        </w:rPr>
        <w:t>3.11磋商小组按照下列方式确定提交最后报价的供应商，有特殊规定的从其规定：</w:t>
      </w:r>
    </w:p>
    <w:p>
      <w:pPr>
        <w:pStyle w:val="406"/>
        <w:spacing w:before="0" w:line="276" w:lineRule="auto"/>
        <w:ind w:firstLine="480"/>
        <w:rPr>
          <w:rFonts w:hint="eastAsia" w:ascii="仿宋" w:hAnsi="仿宋" w:eastAsia="仿宋" w:cs="Times New Roman"/>
          <w:color w:val="auto"/>
          <w:szCs w:val="24"/>
        </w:rPr>
      </w:pPr>
      <w:r>
        <w:rPr>
          <w:rFonts w:hint="eastAsia" w:ascii="仿宋" w:hAnsi="仿宋" w:eastAsia="仿宋" w:cs="Times New Roman"/>
          <w:color w:val="auto"/>
          <w:szCs w:val="24"/>
          <w:lang w:eastAsia="zh-CN"/>
        </w:rPr>
        <w:t>采购文件</w:t>
      </w:r>
      <w:r>
        <w:rPr>
          <w:rFonts w:hint="eastAsia" w:ascii="仿宋" w:hAnsi="仿宋" w:eastAsia="仿宋" w:cs="Times New Roman"/>
          <w:color w:val="auto"/>
          <w:szCs w:val="24"/>
        </w:rPr>
        <w:t>能够详细列明采购标的的技术、服务要求的，磋商结束后，磋商小组应当要求所有实质性响应的供应商在规定时间内在电子交易平台提交最后报价，提交最后报价的供应商不得少于3家。</w:t>
      </w:r>
    </w:p>
    <w:p>
      <w:pPr>
        <w:pStyle w:val="406"/>
        <w:spacing w:before="0" w:line="276" w:lineRule="auto"/>
        <w:ind w:firstLine="480"/>
        <w:rPr>
          <w:rFonts w:hint="eastAsia" w:ascii="仿宋" w:hAnsi="仿宋" w:eastAsia="仿宋" w:cs="Times New Roman"/>
          <w:color w:val="auto"/>
          <w:szCs w:val="24"/>
        </w:rPr>
      </w:pPr>
      <w:r>
        <w:rPr>
          <w:rFonts w:hint="eastAsia" w:ascii="仿宋" w:hAnsi="仿宋" w:eastAsia="仿宋" w:cs="Times New Roman"/>
          <w:color w:val="auto"/>
          <w:szCs w:val="24"/>
          <w:lang w:eastAsia="zh-CN"/>
        </w:rPr>
        <w:t>采购文件</w:t>
      </w:r>
      <w:r>
        <w:rPr>
          <w:rFonts w:hint="eastAsia" w:ascii="仿宋" w:hAnsi="仿宋" w:eastAsia="仿宋" w:cs="Times New Roman"/>
          <w:color w:val="auto"/>
          <w:szCs w:val="24"/>
        </w:rPr>
        <w:t>不能详细列明采购标的的技术、服务要求</w:t>
      </w:r>
      <w:r>
        <w:rPr>
          <w:rFonts w:hint="eastAsia" w:ascii="仿宋" w:hAnsi="仿宋" w:eastAsia="仿宋" w:cs="Times New Roman"/>
          <w:color w:val="auto"/>
          <w:szCs w:val="24"/>
          <w:lang w:val="en-US" w:eastAsia="zh-CN"/>
        </w:rPr>
        <w:t>的</w:t>
      </w:r>
      <w:r>
        <w:rPr>
          <w:rFonts w:hint="eastAsia" w:ascii="仿宋" w:hAnsi="仿宋" w:eastAsia="仿宋" w:cs="Times New Roman"/>
          <w:color w:val="auto"/>
          <w:szCs w:val="24"/>
        </w:rPr>
        <w:t>，需经磋商由供应商提供最终设计方案</w:t>
      </w:r>
      <w:r>
        <w:rPr>
          <w:rFonts w:hint="eastAsia" w:ascii="仿宋" w:hAnsi="仿宋" w:eastAsia="仿宋" w:cs="Times New Roman"/>
          <w:color w:val="auto"/>
          <w:szCs w:val="24"/>
          <w:lang w:val="en-US" w:eastAsia="zh-CN"/>
        </w:rPr>
        <w:t>或者</w:t>
      </w:r>
      <w:r>
        <w:rPr>
          <w:rFonts w:hint="eastAsia" w:ascii="仿宋" w:hAnsi="仿宋" w:eastAsia="仿宋" w:cs="Times New Roman"/>
          <w:color w:val="auto"/>
          <w:szCs w:val="24"/>
        </w:rPr>
        <w:t>解决方案的，磋商结束后，磋商小组应当按照少数服从多数的原则投票推荐3家及以上供应商的设计方案或者解决方案，并要求其在规定时间内在电子交易平台提交最后报价。</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3.12 确定进入最后报价的供应商在规定时间内提交最后报价。</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3.13 采购机构唱价。</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3.14 由磋商小组根据采购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3.15 磋商小组应当根据综合评分情况，按照评审得分由高到低顺序推荐3名以上成交候选供应商，并编写评审报告。</w:t>
      </w:r>
    </w:p>
    <w:p>
      <w:pPr>
        <w:pStyle w:val="406"/>
        <w:spacing w:before="120" w:beforeLines="50" w:line="276" w:lineRule="auto"/>
        <w:ind w:firstLine="0" w:firstLineChars="0"/>
        <w:rPr>
          <w:rFonts w:ascii="仿宋" w:hAnsi="仿宋" w:eastAsia="仿宋"/>
          <w:b/>
          <w:color w:val="auto"/>
          <w:szCs w:val="24"/>
        </w:rPr>
      </w:pPr>
      <w:r>
        <w:rPr>
          <w:rFonts w:hint="eastAsia" w:ascii="仿宋" w:hAnsi="仿宋" w:eastAsia="仿宋"/>
          <w:b/>
          <w:color w:val="auto"/>
          <w:szCs w:val="24"/>
        </w:rPr>
        <w:t>4. 定标</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4.1 采购机构应当在评审结束后2个工作日内，将评审报告送采购人确认。</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4.2 采购人应当在收到评审报告后5个工作日内，从评审报告提出的成交候选供应商中，按照排序由高到低的原则确定成交供应商，采购人也可以书面授权磋商小组直接确定成交供应商。</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4.3 采购机构在收到采购人对评审报告的确认意见和对成交供应商的确定结果后，应当在2个工作日内，在浙江政府采购网（政采云）上公告成交结果，同时向成交供应商发出成交通知书，并将采购文件随成交结果同时公告。</w:t>
      </w:r>
    </w:p>
    <w:p>
      <w:pPr>
        <w:pStyle w:val="406"/>
        <w:spacing w:before="120" w:beforeLines="50" w:line="276" w:lineRule="auto"/>
        <w:ind w:firstLine="0" w:firstLineChars="0"/>
        <w:rPr>
          <w:rFonts w:ascii="仿宋" w:hAnsi="仿宋" w:eastAsia="仿宋"/>
          <w:b/>
          <w:color w:val="auto"/>
          <w:szCs w:val="24"/>
        </w:rPr>
      </w:pPr>
      <w:r>
        <w:rPr>
          <w:rFonts w:hint="eastAsia" w:ascii="仿宋" w:hAnsi="仿宋" w:eastAsia="仿宋"/>
          <w:b/>
          <w:color w:val="auto"/>
          <w:szCs w:val="24"/>
        </w:rPr>
        <w:t>5.合同及履约验收</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5.1 采购人与成交供应商应当在成交通知书发出之日起10</w:t>
      </w:r>
      <w:r>
        <w:rPr>
          <w:rFonts w:hint="eastAsia" w:ascii="仿宋" w:hAnsi="仿宋" w:eastAsia="仿宋"/>
          <w:color w:val="auto"/>
          <w:szCs w:val="24"/>
          <w:lang w:val="en-US" w:eastAsia="zh-CN"/>
        </w:rPr>
        <w:t>个工作</w:t>
      </w:r>
      <w:r>
        <w:rPr>
          <w:rFonts w:hint="eastAsia" w:ascii="仿宋" w:hAnsi="仿宋" w:eastAsia="仿宋"/>
          <w:color w:val="auto"/>
          <w:szCs w:val="24"/>
        </w:rPr>
        <w:t>日内签订合同。</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 xml:space="preserve">5.2 </w:t>
      </w:r>
      <w:r>
        <w:rPr>
          <w:rFonts w:hint="eastAsia" w:ascii="仿宋" w:hAnsi="仿宋" w:eastAsia="仿宋" w:cs="Helvetica"/>
          <w:color w:val="auto"/>
          <w:kern w:val="0"/>
        </w:rPr>
        <w:t>拟签订的合同文本要求成交供应商提交履约保证金的，成交供应商应当以支票、汇票、本票或者金融机构、担保机构出具的保函等非现金形式提交</w:t>
      </w:r>
      <w:r>
        <w:rPr>
          <w:rFonts w:hint="eastAsia" w:ascii="仿宋" w:hAnsi="仿宋" w:eastAsia="仿宋"/>
          <w:color w:val="auto"/>
        </w:rPr>
        <w:t>。履约保证金的数额不得超过政府采购合同金额的1%。</w:t>
      </w:r>
      <w:r>
        <w:rPr>
          <w:rFonts w:hint="eastAsia" w:ascii="仿宋" w:hAnsi="仿宋" w:eastAsia="仿宋"/>
          <w:b/>
          <w:color w:val="auto"/>
        </w:rPr>
        <w:t>采购人不得拒收履约保函</w:t>
      </w:r>
      <w:r>
        <w:rPr>
          <w:rFonts w:hint="eastAsia" w:ascii="仿宋" w:hAnsi="仿宋" w:eastAsia="仿宋"/>
          <w:color w:val="auto"/>
          <w:szCs w:val="24"/>
        </w:rPr>
        <w:t>。</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5.3 合同履约。</w:t>
      </w:r>
    </w:p>
    <w:p>
      <w:pPr>
        <w:pStyle w:val="406"/>
        <w:spacing w:before="0" w:line="276" w:lineRule="auto"/>
        <w:ind w:firstLine="480"/>
        <w:rPr>
          <w:rFonts w:ascii="仿宋" w:hAnsi="仿宋" w:eastAsia="仿宋"/>
          <w:color w:val="auto"/>
          <w:szCs w:val="24"/>
        </w:rPr>
      </w:pPr>
      <w:r>
        <w:rPr>
          <w:rFonts w:hint="eastAsia" w:ascii="仿宋" w:hAnsi="仿宋" w:eastAsia="仿宋"/>
          <w:color w:val="auto"/>
          <w:szCs w:val="24"/>
        </w:rPr>
        <w:t>5.4 采购人组织验收。</w:t>
      </w:r>
    </w:p>
    <w:p>
      <w:pPr>
        <w:pStyle w:val="406"/>
        <w:spacing w:before="0" w:beforeLines="0" w:line="276" w:lineRule="auto"/>
        <w:ind w:firstLine="480" w:firstLineChars="0"/>
        <w:rPr>
          <w:rFonts w:ascii="仿宋" w:hAnsi="仿宋" w:eastAsia="仿宋"/>
          <w:b/>
          <w:color w:val="auto"/>
          <w:szCs w:val="24"/>
          <w:highlight w:val="none"/>
        </w:rPr>
      </w:pPr>
      <w:r>
        <w:rPr>
          <w:rFonts w:hint="eastAsia" w:ascii="仿宋" w:hAnsi="仿宋" w:eastAsia="仿宋"/>
          <w:b/>
          <w:color w:val="auto"/>
          <w:szCs w:val="24"/>
          <w:highlight w:val="none"/>
        </w:rPr>
        <w:br w:type="page"/>
      </w:r>
      <w:r>
        <w:rPr>
          <w:rFonts w:hint="eastAsia" w:ascii="仿宋" w:hAnsi="仿宋" w:eastAsia="仿宋"/>
          <w:b/>
          <w:color w:val="auto"/>
          <w:szCs w:val="24"/>
          <w:highlight w:val="none"/>
        </w:rPr>
        <w:t>6.竞争性磋商流程图</w:t>
      </w:r>
    </w:p>
    <w:p>
      <w:pPr>
        <w:spacing w:line="360" w:lineRule="auto"/>
        <w:jc w:val="center"/>
        <w:outlineLvl w:val="0"/>
        <w:rPr>
          <w:rFonts w:ascii="仿宋_GB2312" w:hAnsi="仿宋" w:eastAsia="仿宋_GB2312"/>
          <w:b/>
          <w:color w:val="auto"/>
          <w:highlight w:val="none"/>
        </w:rPr>
      </w:pPr>
    </w:p>
    <w:p>
      <w:pPr>
        <w:spacing w:line="360" w:lineRule="auto"/>
        <w:jc w:val="center"/>
        <w:outlineLvl w:val="0"/>
        <w:rPr>
          <w:rFonts w:ascii="仿宋_GB2312" w:hAnsi="仿宋" w:eastAsia="仿宋_GB2312"/>
          <w:b/>
          <w:color w:val="auto"/>
          <w:highlight w:val="none"/>
        </w:rPr>
      </w:pPr>
    </w:p>
    <w:p>
      <w:pPr>
        <w:spacing w:line="360" w:lineRule="auto"/>
        <w:jc w:val="center"/>
        <w:outlineLvl w:val="0"/>
        <w:rPr>
          <w:rFonts w:ascii="仿宋_GB2312" w:hAnsi="仿宋" w:eastAsia="仿宋_GB2312"/>
          <w:b/>
          <w:color w:val="auto"/>
          <w:highlight w:val="none"/>
        </w:rPr>
      </w:pPr>
    </w:p>
    <w:p>
      <w:pPr>
        <w:spacing w:before="120" w:beforeLines="50" w:after="120" w:afterLines="50"/>
        <w:jc w:val="center"/>
        <w:outlineLvl w:val="0"/>
        <w:rPr>
          <w:rFonts w:hint="eastAsia" w:ascii="等线" w:hAnsi="等线" w:eastAsia="等线"/>
          <w:b/>
          <w:color w:val="auto"/>
          <w:sz w:val="32"/>
          <w:szCs w:val="32"/>
          <w:highlight w:val="none"/>
        </w:rPr>
      </w:pP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3F3">
                            <a:lumMod val="20000"/>
                            <a:lumOff val="80000"/>
                          </a:srgbClr>
                        </a:solidFill>
                        <a:ln w="6350">
                          <a:solidFill>
                            <a:prstClr val="black"/>
                          </a:solidFill>
                        </a:ln>
                        <a:effectLst/>
                      </wps:spPr>
                      <wps:txbx>
                        <w:txbxContent>
                          <w:p>
                            <w:pPr>
                              <w:adjustRightInd w:val="0"/>
                              <w:snapToGrid w:val="0"/>
                              <w:rPr>
                                <w:rFonts w:ascii="仿宋_GB2312" w:eastAsia="仿宋_GB2312"/>
                              </w:rPr>
                            </w:pPr>
                            <w:r>
                              <w:rPr>
                                <w:rFonts w:hint="eastAsia" w:ascii="仿宋_GB2312" w:eastAsia="仿宋_GB2312"/>
                              </w:rPr>
                              <w:t>验收</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3360;mso-width-relative:page;mso-height-relative:page;" fillcolor="#F8F9FD" filled="t" stroked="t" coordsize="21600,21600" o:gfxdata="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gAmWvaAAAACwEAAA8AAAAAAAAAAQAg&#10;AAAAIgAAAGRycy9kb3ducmV2LnhtbFBLAQIUABQAAAAIAIdO4kBNe9uFfgIAAP0EAAAOAAAAAAAA&#10;AAEAIAAAACkBAABkcnMvZTJvRG9jLnhtbFBLBQYAAAAABgAGAFkBAAAZBgAAAAA=&#10;">
                <v:fill on="t" focussize="0,0"/>
                <v:stroke weight="0.5pt" color="#000000" joinstyle="round"/>
                <v:imagedata o:title=""/>
                <o:lock v:ext="edit" aspectratio="f"/>
                <v:textbox>
                  <w:txbxContent>
                    <w:p>
                      <w:pPr>
                        <w:adjustRightInd w:val="0"/>
                        <w:snapToGrid w:val="0"/>
                        <w:rPr>
                          <w:rFonts w:ascii="仿宋_GB2312" w:eastAsia="仿宋_GB2312"/>
                        </w:rPr>
                      </w:pPr>
                      <w:r>
                        <w:rPr>
                          <w:rFonts w:hint="eastAsia" w:ascii="仿宋_GB2312" w:eastAsia="仿宋_GB2312"/>
                        </w:rPr>
                        <w:t>验收</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22" name="自选图形 27"/>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7" o:spid="_x0000_s1026" o:spt="32" type="#_x0000_t32" style="position:absolute;left:0pt;margin-left:149.5pt;margin-top:400.75pt;height:20.65pt;width:0pt;z-index:251682816;mso-width-relative:page;mso-height-relative:page;" filled="f" stroked="t" coordsize="21600,21600" o:gfxdata="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UcgX2QAAAAsBAAAPAAAAAAAAAAEAIAAAACIAAABkcnMv&#10;ZG93bnJldi54bWxQSwECFAAUAAAACACHTuJAiDDEfQICAADvAwAADgAAAAAAAAABACAAAAAoAQAA&#10;ZHJzL2Uyb0RvYy54bWxQSwUGAAAAAAYABgBZAQAAnAU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3F3">
                            <a:lumMod val="20000"/>
                            <a:lumOff val="80000"/>
                          </a:srgbClr>
                        </a:solidFill>
                        <a:ln w="6350">
                          <a:solidFill>
                            <a:prstClr val="black"/>
                          </a:solidFill>
                        </a:ln>
                        <a:effectLst/>
                      </wps:spPr>
                      <wps:txbx>
                        <w:txbxContent>
                          <w:p>
                            <w:pPr>
                              <w:adjustRightInd w:val="0"/>
                              <w:snapToGrid w:val="0"/>
                              <w:rPr>
                                <w:rFonts w:ascii="仿宋_GB2312" w:eastAsia="仿宋_GB2312"/>
                              </w:rPr>
                            </w:pPr>
                            <w:r>
                              <w:rPr>
                                <w:rFonts w:hint="eastAsia" w:ascii="仿宋_GB2312" w:eastAsia="仿宋_GB2312"/>
                              </w:rPr>
                              <w:t>履约</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4384;mso-width-relative:page;mso-height-relative:page;" fillcolor="#F8F9FD" filled="t" stroked="t" coordsize="21600,21600" o:gfxdata="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PHCv9sAAAALAQAADwAAAAAAAAAB&#10;ACAAAAAiAAAAZHJzL2Rvd25yZXYueG1sUEsBAhQAFAAAAAgAh07iQPrRuLV/AgAA/QQAAA4AAAAA&#10;AAAAAQAgAAAAKgEAAGRycy9lMm9Eb2MueG1sUEsFBgAAAAAGAAYAWQEAABsGAAAAAA==&#10;">
                <v:fill on="t" focussize="0,0"/>
                <v:stroke weight="0.5pt" color="#000000" joinstyle="round"/>
                <v:imagedata o:title=""/>
                <o:lock v:ext="edit" aspectratio="f"/>
                <v:textbox>
                  <w:txbxContent>
                    <w:p>
                      <w:pPr>
                        <w:adjustRightInd w:val="0"/>
                        <w:snapToGrid w:val="0"/>
                        <w:rPr>
                          <w:rFonts w:ascii="仿宋_GB2312" w:eastAsia="仿宋_GB2312"/>
                        </w:rPr>
                      </w:pPr>
                      <w:r>
                        <w:rPr>
                          <w:rFonts w:hint="eastAsia" w:ascii="仿宋_GB2312" w:eastAsia="仿宋_GB2312"/>
                        </w:rPr>
                        <w:t>履约</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8"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签订合同</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08.7pt;margin-top:338.3pt;height:20.65pt;width:84.45pt;z-index:251679744;mso-width-relative:page;mso-height-relative:page;" fillcolor="#F8F9FD" filled="t" stroked="t" coordsize="21600,21600" o:gfxdata="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vPa62wAAAAsBAAAPAAAAAAAAAAEA&#10;IAAAACIAAABkcnMvZG93bnJldi54bWxQSwECFAAUAAAACACHTuJA/Gx7pX4CAAAABQAADgAAAAAA&#10;AAABACAAAAAqAQAAZHJzL2Uyb0RvYy54bWxQSwUGAAAAAAYABgBZAQAAGgY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签订合同</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2"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3F3">
                            <a:lumMod val="20000"/>
                            <a:lumOff val="80000"/>
                          </a:srgbClr>
                        </a:solidFill>
                        <a:ln w="6350">
                          <a:solidFill>
                            <a:prstClr val="black"/>
                          </a:solidFill>
                        </a:ln>
                        <a:effectLst/>
                      </wps:spPr>
                      <wps:txbx>
                        <w:txbxContent>
                          <w:p>
                            <w:pPr>
                              <w:adjustRightInd w:val="0"/>
                              <w:snapToGrid w:val="0"/>
                              <w:rPr>
                                <w:rFonts w:ascii="仿宋_GB2312" w:eastAsia="仿宋_GB2312"/>
                              </w:rPr>
                            </w:pPr>
                            <w:r>
                              <w:rPr>
                                <w:rFonts w:hint="eastAsia" w:ascii="仿宋_GB2312" w:eastAsia="仿宋_GB2312"/>
                              </w:rPr>
                              <w:t>成交公告；成交通知书</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91.3pt;margin-top:298.15pt;height:20.6pt;width:124.55pt;z-index:251676672;mso-width-relative:page;mso-height-relative:page;" fillcolor="#F8F9FD" filled="t" stroked="t" coordsize="21600,21600" o:gfxdata="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I4CgB3AAAAAsBAAAPAAAAAAAA&#10;AAEAIAAAACIAAABkcnMvZG93bnJldi54bWxQSwECFAAUAAAACACHTuJA/dXP4IACAAAABQAADgAA&#10;AAAAAAABACAAAAArAQAAZHJzL2Uyb0RvYy54bWxQSwUGAAAAAAYABgBZAQAAHQYAAAAA&#10;">
                <v:fill on="t" focussize="0,0"/>
                <v:stroke weight="0.5pt" color="#000000" joinstyle="round"/>
                <v:imagedata o:title=""/>
                <o:lock v:ext="edit" aspectratio="f"/>
                <v:textbox>
                  <w:txbxContent>
                    <w:p>
                      <w:pPr>
                        <w:adjustRightInd w:val="0"/>
                        <w:snapToGrid w:val="0"/>
                        <w:rPr>
                          <w:rFonts w:ascii="仿宋_GB2312" w:eastAsia="仿宋_GB2312"/>
                        </w:rPr>
                      </w:pPr>
                      <w:r>
                        <w:rPr>
                          <w:rFonts w:hint="eastAsia" w:ascii="仿宋_GB2312" w:eastAsia="仿宋_GB2312"/>
                        </w:rPr>
                        <w:t>成交公告；成交通知书</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6"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3F3">
                            <a:lumMod val="20000"/>
                            <a:lumOff val="80000"/>
                          </a:srgbClr>
                        </a:solidFill>
                        <a:ln w="6350">
                          <a:solidFill>
                            <a:prstClr val="black"/>
                          </a:solidFill>
                        </a:ln>
                        <a:effectLst/>
                      </wps:spPr>
                      <wps:txbx>
                        <w:txbxContent>
                          <w:p>
                            <w:pPr>
                              <w:adjustRightInd w:val="0"/>
                              <w:snapToGrid w:val="0"/>
                              <w:rPr>
                                <w:rFonts w:ascii="仿宋_GB2312" w:eastAsia="仿宋_GB2312"/>
                              </w:rPr>
                            </w:pPr>
                            <w:r>
                              <w:rPr>
                                <w:rFonts w:hint="eastAsia" w:ascii="仿宋_GB2312" w:eastAsia="仿宋_GB2312"/>
                              </w:rPr>
                              <w:t>编写评审报告</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08.95pt;margin-top:255.45pt;height:20.65pt;width:84.45pt;z-index:251677696;mso-width-relative:page;mso-height-relative:page;" fillcolor="#F8F9FD" filled="t" stroked="t" coordsize="21600,21600" o:gfxdata="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vdw+2wAAAAsBAAAPAAAAAAAAAAEA&#10;IAAAACIAAABkcnMvZG93bnJldi54bWxQSwECFAAUAAAACACHTuJAukcOPX4CAAAABQAADgAAAAAA&#10;AAABACAAAAAqAQAAZHJzL2Uyb0RvYy54bWxQSwUGAAAAAAYABgBZAQAAGgYAAAAA&#10;">
                <v:fill on="t" focussize="0,0"/>
                <v:stroke weight="0.5pt" color="#000000" joinstyle="round"/>
                <v:imagedata o:title=""/>
                <o:lock v:ext="edit" aspectratio="f"/>
                <v:textbox>
                  <w:txbxContent>
                    <w:p>
                      <w:pPr>
                        <w:adjustRightInd w:val="0"/>
                        <w:snapToGrid w:val="0"/>
                        <w:rPr>
                          <w:rFonts w:ascii="仿宋_GB2312" w:eastAsia="仿宋_GB2312"/>
                        </w:rPr>
                      </w:pPr>
                      <w:r>
                        <w:rPr>
                          <w:rFonts w:hint="eastAsia" w:ascii="仿宋_GB2312" w:eastAsia="仿宋_GB2312"/>
                        </w:rPr>
                        <w:t>编写评审报告</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评审打分</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5408;mso-width-relative:page;mso-height-relative:page;" fillcolor="#F8F9FD" filled="t" stroked="t" coordsize="21600,21600" o:gfxdata="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37QyPaAAAACwEAAA8AAAAAAAAAAQAgAAAA&#10;IgAAAGRycy9kb3ducmV2LnhtbFBLAQIUABQAAAAIAIdO4kBvFAWEewIAAAAFAAAOAAAAAAAAAAEA&#10;IAAAACkBAABkcnMvZTJvRG9jLnhtbFBLBQYAAAAABgAGAFkBAAAWBg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评审打分</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供应商提交最后报价</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3600;mso-width-relative:page;mso-height-relative:page;" fillcolor="#F8F9FD" filled="t" stroked="t" coordsize="21600,21600" o:gfxdata="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QvEGHbAAAACwEAAA8AAAAAAAAAAQAg&#10;AAAAIgAAAGRycy9kb3ducmV2LnhtbFBLAQIUABQAAAAIAIdO4kDyqiCIfQIAAAAFAAAOAAAAAAAA&#10;AAEAIAAAACoBAABkcnMvZTJvRG9jLnhtbFBLBQYAAAAABgAGAFkBAAAZBg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供应商提交最后报价</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2576;mso-width-relative:page;mso-height-relative:page;" fillcolor="#F8F9FD" filled="t" stroked="t" coordsize="21600,21600" o:gfxdata="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U47vg2wAAAAsBAAAPAAAAAAAAAAEA&#10;IAAAACIAAABkcnMvZG93bnJldi54bWxQSwECFAAUAAAACACHTuJAKqVOQH4CAAAABQAADgAAAAAA&#10;AAABACAAAAAqAQAAZHJzL2Uyb0RvYy54bWxQSwUGAAAAAAYABgBZAQAAGgY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磋商</w:t>
                      </w: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20"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资格审查</w:t>
                            </w:r>
                          </w:p>
                          <w:p>
                            <w:pPr>
                              <w:adjustRightInd w:val="0"/>
                              <w:snapToGrid w:val="0"/>
                              <w:jc w:val="center"/>
                              <w:rPr>
                                <w:rFonts w:ascii="仿宋_GB2312" w:eastAsia="仿宋_GB2312"/>
                              </w:rPr>
                            </w:pP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109.85pt;margin-top:91.45pt;height:20.65pt;width:85.7pt;z-index:251681792;mso-width-relative:page;mso-height-relative:page;" fillcolor="#F8F9FD" filled="t" stroked="t" coordsize="21600,21600" o:gfxdata="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xgSfHaAAAACwEAAA8AAAAAAAAAAQAg&#10;AAAAIgAAAGRycy9kb3ducmV2LnhtbFBLAQIUABQAAAAIAIdO4kBTl42zfgIAAAAFAAAOAAAAAAAA&#10;AAEAIAAAACkBAABkcnMvZTJvRG9jLnhtbFBLBQYAAAAABgAGAFkBAAAZBg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资格审查</w:t>
                      </w:r>
                    </w:p>
                    <w:p>
                      <w:pPr>
                        <w:adjustRightInd w:val="0"/>
                        <w:snapToGrid w:val="0"/>
                        <w:jc w:val="center"/>
                        <w:rPr>
                          <w:rFonts w:ascii="仿宋_GB2312" w:eastAsia="仿宋_GB2312"/>
                        </w:rPr>
                      </w:pP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 w:eastAsia="仿宋_GB2312"/>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9" name="自选图形 25"/>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5" o:spid="_x0000_s1026" o:spt="32" type="#_x0000_t32" style="position:absolute;left:0pt;margin-left:150.1pt;margin-top:359.25pt;height:20.6pt;width:0pt;z-index:251680768;mso-width-relative:page;mso-height-relative:page;" filled="f" stroked="t" coordsize="21600,21600" o:gfxdata="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gt362gAAAAsBAAAPAAAAAAAAAAEAIAAAACIAAABk&#10;cnMvZG93bnJldi54bWxQSwECFAAUAAAACACHTuJAYexkEgQCAADvAwAADgAAAAAAAAABACAAAAAp&#10;AQAAZHJzL2Uyb0RvYy54bWxQSwUGAAAAAAYABgBZAQAAnwUAAAAA&#10;">
                <v:fill on="f" focussize="0,0"/>
                <v:stroke weight="0.5pt" color="#4F81BD" joinstyle="miter" endarrow="open"/>
                <v:imagedata o:title=""/>
                <o:lock v:ext="edit" aspectratio="f"/>
              </v:shape>
            </w:pict>
          </mc:Fallback>
        </mc:AlternateContent>
      </w:r>
      <w:r>
        <w:rPr>
          <w:rFonts w:ascii="仿宋_GB2312" w:hAnsi="仿宋" w:eastAsia="仿宋_GB2312"/>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 name="自选图形 7"/>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7" o:spid="_x0000_s1026" o:spt="32" type="#_x0000_t32" style="position:absolute;left:0pt;margin-left:150pt;margin-top:317.8pt;height:20.6pt;width:0pt;z-index:251662336;mso-width-relative:page;mso-height-relative:page;" filled="f" stroked="t" coordsize="21600,21600" o:gfxdata="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2Mp8PYAAAACwEAAA8AAAAAAAAAAQAgAAAAIgAAAGRycy9k&#10;b3ducmV2LnhtbFBLAQIUABQAAAAIAIdO4kArg2MsAgIAAO0DAAAOAAAAAAAAAAEAIAAAACcBAABk&#10;cnMvZTJvRG9jLnhtbFBLBQYAAAAABgAGAFkBAACbBQ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1312;mso-width-relative:page;mso-height-relative:page;" fillcolor="#F8F9FD" filled="t" stroked="t" coordsize="21600,21600" o:gfxdata="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9DlCbbAAAACwEAAA8AAAAAAAAAAQAg&#10;AAAAIgAAAGRycy9kb3ducmV2LnhtbFBLAQIUABQAAAAIAIdO4kDHs9plfQIAAAAFAAAOAAAAAAAA&#10;AAEAIAAAACoBAABkcnMvZTJvRG9jLnhtbFBLBQYAAAAABgAGAFkBAAAZBg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开启响应文件</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6432;mso-width-relative:page;mso-height-relative:page;" fillcolor="#F8F9FD" filled="t" stroked="t" coordsize="21600,21600" o:gfxdata="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fOTtoAAAAKAQAADwAAAAAAAAABACAA&#10;AAAiAAAAZHJzL2Rvd25yZXYueG1sUEsBAhQAFAAAAAgAh07iQBkHSqJ9AgAAAAUAAA4AAAAAAAAA&#10;AQAgAAAAKQEAAGRycy9lMm9Eb2MueG1sUEsFBgAAAAAGAAYAWQEAABgGA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开启响应文件</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3F3">
                            <a:lumMod val="20000"/>
                            <a:lumOff val="80000"/>
                          </a:srgbClr>
                        </a:solidFill>
                        <a:ln w="6350">
                          <a:solidFill>
                            <a:prstClr val="black"/>
                          </a:solidFill>
                        </a:ln>
                        <a:effectLst/>
                      </wps:spPr>
                      <wps:txbx>
                        <w:txbxContent>
                          <w:p>
                            <w:pPr>
                              <w:adjustRightInd w:val="0"/>
                              <w:snapToGrid w:val="0"/>
                              <w:jc w:val="center"/>
                              <w:rPr>
                                <w:rFonts w:ascii="仿宋_GB2312" w:eastAsia="仿宋_GB2312"/>
                              </w:rPr>
                            </w:pPr>
                            <w:r>
                              <w:rPr>
                                <w:rFonts w:hint="eastAsia" w:ascii="仿宋_GB2312" w:eastAsia="仿宋_GB2312"/>
                              </w:rPr>
                              <w:t>邀请供应商</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7456;mso-width-relative:page;mso-height-relative:page;" fillcolor="#F8F9FD" filled="t" stroked="t" coordsize="21600,21600" o:gfxdata="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bDv4h2QAAAAkBAAAPAAAAAAAAAAEAIAAAACIA&#10;AABkcnMvZG93bnJldi54bWxQSwECFAAUAAAACACHTuJADzDtPHoCAAAABQAADgAAAAAAAAABACAA&#10;AAAoAQAAZHJzL2Uyb0RvYy54bWxQSwUGAAAAAAYABgBZAQAAFAYAAAAA&#10;">
                <v:fill on="t" focussize="0,0"/>
                <v:stroke weight="0.5pt" color="#000000" joinstyle="round"/>
                <v:imagedata o:title=""/>
                <o:lock v:ext="edit" aspectratio="f"/>
                <v:textbox>
                  <w:txbxContent>
                    <w:p>
                      <w:pPr>
                        <w:adjustRightInd w:val="0"/>
                        <w:snapToGrid w:val="0"/>
                        <w:jc w:val="center"/>
                        <w:rPr>
                          <w:rFonts w:ascii="仿宋_GB2312" w:eastAsia="仿宋_GB2312"/>
                        </w:rPr>
                      </w:pPr>
                      <w:r>
                        <w:rPr>
                          <w:rFonts w:hint="eastAsia" w:ascii="仿宋_GB2312" w:eastAsia="仿宋_GB2312"/>
                        </w:rPr>
                        <w:t>邀请供应商</w:t>
                      </w:r>
                    </w:p>
                    <w:p>
                      <w:pPr>
                        <w:adjustRightInd w:val="0"/>
                        <w:snapToGrid w:val="0"/>
                        <w:rPr>
                          <w:rFonts w:ascii="仿宋_GB2312" w:eastAsia="仿宋_GB2312"/>
                        </w:rPr>
                      </w:pPr>
                      <w:r>
                        <w:rPr>
                          <w:rFonts w:hint="eastAsia" w:ascii="仿宋_GB2312" w:eastAsia="仿宋_GB2312"/>
                        </w:rPr>
                        <w:t>立项</w:t>
                      </w:r>
                    </w:p>
                    <w:p>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2" name="自选图形 1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3" o:spid="_x0000_s1026" o:spt="32" type="#_x0000_t32" style="position:absolute;left:0pt;margin-left:151.95pt;margin-top:-12.55pt;height:20.65pt;width:0pt;z-index:251668480;mso-width-relative:page;mso-height-relative:page;" filled="f" stroked="t" coordsize="21600,21600" o:gfxdata="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aI6CNgAAAAKAQAADwAAAAAAAAABACAAAAAiAAAAZHJzL2Rv&#10;d25yZXYueG1sUEsBAhQAFAAAAAgAh07iQPSQ7a4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6" name="自选图形 14"/>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4" o:spid="_x0000_s1026" o:spt="32" type="#_x0000_t32" style="position:absolute;left:0pt;margin-left:151.95pt;margin-top:28.8pt;height:20.65pt;width:0pt;z-index:251669504;mso-width-relative:page;mso-height-relative:page;" filled="f" stroked="t" coordsize="21600,21600" o:gfxdata="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0ietgAAAAJAQAADwAAAAAAAAABACAAAAAiAAAAZHJzL2Rv&#10;d25yZXYueG1sUEsBAhQAFAAAAAgAh07iQHPfI4A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7" name="自选图形 15"/>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5" o:spid="_x0000_s1026" o:spt="32" type="#_x0000_t32" style="position:absolute;left:0pt;margin-left:150.1pt;margin-top:152.1pt;height:20.65pt;width:0pt;z-index:251670528;mso-width-relative:page;mso-height-relative:page;" filled="f" stroked="t" coordsize="21600,21600" o:gfxdata="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Pz9jYAAAACwEAAA8AAAAAAAAAAQAgAAAAIgAAAGRycy9k&#10;b3ducmV2LnhtbFBLAQIUABQAAAAIAIdO4kCeJo+GAgIAAO4DAAAOAAAAAAAAAAEAIAAAACcBAABk&#10;cnMvZTJvRG9jLnhtbFBLBQYAAAAABgAGAFkBAACbBQ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8" name="自选图形 16"/>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6" o:spid="_x0000_s1026" o:spt="32" type="#_x0000_t32" style="position:absolute;left:0pt;margin-left:150.1pt;margin-top:111.45pt;height:20.65pt;width:0pt;z-index:251671552;mso-width-relative:page;mso-height-relative:page;" filled="f" stroked="t" coordsize="21600,21600" o:gfxdata="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07K9gAAAALAQAADwAAAAAAAAABACAAAAAiAAAAZHJzL2Rv&#10;d25yZXYueG1sUEsBAhQAFAAAAAgAh07iQLmkWHM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10" name="自选图形 19"/>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9" o:spid="_x0000_s1026" o:spt="32" type="#_x0000_t32" style="position:absolute;left:0pt;margin-left:150.1pt;margin-top:234.75pt;height:20.65pt;width:0pt;z-index:251674624;mso-width-relative:page;mso-height-relative:page;" filled="f" stroked="t" coordsize="21600,21600" o:gfxdata="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Ta3o2QAAAAsBAAAPAAAAAAAAAAEAIAAAACIAAABkcnMv&#10;ZG93bnJldi54bWxQSwECFAAUAAAACACHTuJAmzPdGQICAADvAwAADgAAAAAAAAABACAAAAAoAQAA&#10;ZHJzL2Uyb0RvYy54bWxQSwUGAAAAAAYABgBZAQAAnAU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11" name="自选图形 20"/>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0" o:spid="_x0000_s1026" o:spt="32" type="#_x0000_t32" style="position:absolute;left:0pt;margin-left:150.1pt;margin-top:193.45pt;height:20.65pt;width:0pt;z-index:251675648;mso-width-relative:page;mso-height-relative:page;" filled="f" stroked="t" coordsize="21600,21600" o:gfxdata="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QE46NkAAAALAQAADwAAAAAAAAABACAAAAAiAAAAZHJzL2Rv&#10;d25yZXYueG1sUEsBAhQAFAAAAAgAh07iQEAWMT4AAgAA7wMAAA4AAAAAAAAAAQAgAAAAKA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17" name="自选图形 2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3" o:spid="_x0000_s1026" o:spt="32" type="#_x0000_t32" style="position:absolute;left:0pt;margin-left:150.1pt;margin-top:276.1pt;height:20.65pt;width:0pt;z-index:251678720;mso-width-relative:page;mso-height-relative:page;" filled="f" stroked="t" coordsize="21600,21600" o:gfxdata="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hLnn2QAAAAsBAAAPAAAAAAAAAAEAIAAAACIAAABkcnMv&#10;ZG93bnJldi54bWxQSwECFAAUAAAACACHTuJAe/pddQICAADvAwAADgAAAAAAAAABACAAAAAoAQAA&#10;ZHJzL2Uyb0RvYy54bWxQSwUGAAAAAAYABgBZAQAAnAUAAAAA&#10;">
                <v:fill on="f" focussize="0,0"/>
                <v:stroke weight="0.5pt" color="#4F81BD" joinstyle="miter" endarrow="open"/>
                <v:imagedata o:title=""/>
                <o:lock v:ext="edit" aspectratio="f"/>
              </v:shape>
            </w:pict>
          </mc:Fallback>
        </mc:AlternateContent>
      </w:r>
      <w:r>
        <w:rPr>
          <w:rFonts w:hint="eastAsia" w:ascii="仿宋_GB2312" w:hAnsi="仿宋" w:eastAsia="仿宋_GB2312"/>
          <w:b/>
          <w:color w:val="auto"/>
          <w:highlight w:val="none"/>
        </w:rPr>
        <w:br w:type="page"/>
      </w:r>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三部分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供应商</w:t>
      </w:r>
      <w:r>
        <w:rPr>
          <w:rFonts w:ascii="仿宋" w:hAnsi="仿宋" w:eastAsia="仿宋"/>
          <w:b/>
          <w:color w:val="auto"/>
          <w:sz w:val="30"/>
          <w:szCs w:val="30"/>
          <w:highlight w:val="none"/>
        </w:rPr>
        <w:t>须知</w:t>
      </w:r>
      <w:bookmarkEnd w:id="7"/>
      <w:bookmarkEnd w:id="30"/>
      <w:bookmarkEnd w:id="31"/>
      <w:bookmarkStart w:id="32" w:name="OLE_LINK17"/>
    </w:p>
    <w:p>
      <w:pPr>
        <w:snapToGrid w:val="0"/>
        <w:jc w:val="center"/>
        <w:outlineLvl w:val="1"/>
        <w:rPr>
          <w:rFonts w:hint="eastAsia" w:ascii="仿宋" w:hAnsi="仿宋" w:eastAsia="仿宋"/>
          <w:b/>
          <w:color w:val="auto"/>
          <w:sz w:val="24"/>
          <w:highlight w:val="none"/>
        </w:rPr>
      </w:pPr>
    </w:p>
    <w:p>
      <w:pPr>
        <w:pStyle w:val="4"/>
        <w:snapToGrid w:val="0"/>
        <w:spacing w:before="120" w:beforeLines="50" w:afterLines="50" w:line="240" w:lineRule="auto"/>
        <w:ind w:firstLine="0" w:firstLineChars="0"/>
        <w:jc w:val="center"/>
        <w:rPr>
          <w:rFonts w:hint="eastAsia"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一、前 附 表</w:t>
      </w:r>
    </w:p>
    <w:tbl>
      <w:tblPr>
        <w:tblStyle w:val="7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55"/>
        <w:gridCol w:w="2586"/>
        <w:gridCol w:w="6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项目属性与核心产品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货物类，单一产品或</w:t>
            </w:r>
            <w:r>
              <w:rPr>
                <w:rFonts w:hint="eastAsia" w:ascii="仿宋" w:hAnsi="仿宋" w:eastAsia="仿宋"/>
                <w:color w:val="auto"/>
                <w:kern w:val="0"/>
                <w:sz w:val="22"/>
                <w:szCs w:val="22"/>
                <w:highlight w:val="none"/>
              </w:rPr>
              <w:t>核心产品为：</w:t>
            </w:r>
            <w:r>
              <w:rPr>
                <w:rFonts w:hint="eastAsia" w:ascii="仿宋" w:hAnsi="仿宋" w:eastAsia="仿宋"/>
                <w:color w:val="auto"/>
                <w:sz w:val="22"/>
                <w:szCs w:val="22"/>
                <w:highlight w:val="none"/>
                <w:u w:val="single"/>
                <w:lang w:val="en-US" w:eastAsia="zh-CN"/>
              </w:rPr>
              <w:t>/</w:t>
            </w:r>
            <w:r>
              <w:rPr>
                <w:rFonts w:hint="eastAsia" w:ascii="仿宋" w:hAnsi="仿宋" w:eastAsia="仿宋"/>
                <w:color w:val="auto"/>
                <w:sz w:val="22"/>
                <w:szCs w:val="22"/>
                <w:highlight w:val="none"/>
              </w:rPr>
              <w:t>。</w:t>
            </w:r>
          </w:p>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采购标的及其对应的中小企业划分标准所属行业</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keepNext w:val="0"/>
              <w:keepLines w:val="0"/>
              <w:widowControl/>
              <w:suppressLineNumbers w:val="0"/>
              <w:jc w:val="left"/>
              <w:rPr>
                <w:highlight w:val="none"/>
              </w:rPr>
            </w:pPr>
            <w:r>
              <w:rPr>
                <w:rFonts w:hint="eastAsia" w:ascii="仿宋" w:hAnsi="仿宋" w:eastAsia="仿宋"/>
                <w:color w:val="auto"/>
                <w:sz w:val="22"/>
                <w:szCs w:val="22"/>
                <w:highlight w:val="none"/>
                <w:lang w:val="en-US" w:eastAsia="zh-CN"/>
              </w:rPr>
              <w:t>标的名称</w:t>
            </w:r>
            <w:r>
              <w:rPr>
                <w:rFonts w:hint="eastAsia" w:ascii="仿宋" w:hAnsi="仿宋" w:eastAsia="仿宋"/>
                <w:color w:val="auto"/>
                <w:sz w:val="22"/>
                <w:szCs w:val="22"/>
                <w:highlight w:val="none"/>
              </w:rPr>
              <w:t>：</w:t>
            </w:r>
            <w:r>
              <w:rPr>
                <w:rFonts w:hint="eastAsia" w:ascii="仿宋" w:hAnsi="仿宋" w:eastAsia="仿宋"/>
                <w:color w:val="auto"/>
                <w:sz w:val="22"/>
                <w:szCs w:val="22"/>
                <w:highlight w:val="none"/>
                <w:u w:val="single"/>
                <w:lang w:eastAsia="zh-CN"/>
              </w:rPr>
              <w:t>电子病历质控系统</w:t>
            </w:r>
          </w:p>
          <w:p>
            <w:pPr>
              <w:keepNext w:val="0"/>
              <w:keepLines w:val="0"/>
              <w:widowControl/>
              <w:suppressLineNumbers w:val="0"/>
              <w:jc w:val="left"/>
              <w:rPr>
                <w:highlight w:val="none"/>
              </w:rPr>
            </w:pPr>
            <w:r>
              <w:rPr>
                <w:rFonts w:hint="eastAsia" w:ascii="仿宋" w:hAnsi="仿宋" w:eastAsia="仿宋"/>
                <w:color w:val="auto"/>
                <w:sz w:val="22"/>
                <w:szCs w:val="22"/>
                <w:highlight w:val="none"/>
              </w:rPr>
              <w:t>所属行业：</w:t>
            </w:r>
            <w:r>
              <w:rPr>
                <w:rFonts w:hint="eastAsia" w:ascii="仿宋" w:hAnsi="仿宋" w:eastAsia="仿宋" w:cs="Times New Roman"/>
                <w:color w:val="auto"/>
                <w:sz w:val="22"/>
                <w:szCs w:val="22"/>
                <w:highlight w:val="none"/>
                <w:u w:val="single"/>
                <w:lang w:val="en-US" w:eastAsia="zh-CN"/>
              </w:rPr>
              <w:t>软件和信息技术服务业</w:t>
            </w:r>
          </w:p>
          <w:p>
            <w:pPr>
              <w:keepNext w:val="0"/>
              <w:keepLines w:val="0"/>
              <w:widowControl/>
              <w:suppressLineNumbers w:val="0"/>
              <w:jc w:val="left"/>
              <w:rPr>
                <w:rFonts w:ascii="仿宋" w:hAnsi="仿宋" w:eastAsia="仿宋" w:cs="Arial"/>
                <w:b w:val="0"/>
                <w:bCs w:val="0"/>
                <w:color w:val="auto"/>
                <w:kern w:val="0"/>
                <w:sz w:val="22"/>
                <w:szCs w:val="22"/>
                <w:highlight w:val="none"/>
                <w:u w:val="single"/>
              </w:rPr>
            </w:pPr>
            <w:r>
              <w:rPr>
                <w:rFonts w:hint="default" w:ascii="仿宋" w:hAnsi="仿宋" w:eastAsia="仿宋" w:cs="Arial"/>
                <w:b w:val="0"/>
                <w:bCs w:val="0"/>
                <w:color w:val="auto"/>
                <w:kern w:val="0"/>
                <w:sz w:val="22"/>
                <w:szCs w:val="22"/>
                <w:highlight w:val="none"/>
                <w:u w:val="single"/>
                <w:lang w:val="en-US" w:eastAsia="zh-CN"/>
              </w:rPr>
              <w:t>根据</w:t>
            </w:r>
            <w:r>
              <w:rPr>
                <w:rFonts w:hint="default" w:ascii="仿宋" w:hAnsi="仿宋" w:eastAsia="仿宋" w:cs="Arial"/>
                <w:b w:val="0"/>
                <w:bCs w:val="0"/>
                <w:color w:val="auto"/>
                <w:kern w:val="0"/>
                <w:sz w:val="22"/>
                <w:szCs w:val="22"/>
                <w:highlight w:val="none"/>
                <w:u w:val="single"/>
              </w:rPr>
              <w:t>工信部联企业[2011]300号</w:t>
            </w:r>
            <w:r>
              <w:rPr>
                <w:rFonts w:hint="default" w:ascii="仿宋" w:hAnsi="仿宋" w:eastAsia="仿宋" w:cs="Arial"/>
                <w:b w:val="0"/>
                <w:bCs w:val="0"/>
                <w:color w:val="auto"/>
                <w:kern w:val="0"/>
                <w:sz w:val="22"/>
                <w:szCs w:val="22"/>
                <w:highlight w:val="none"/>
                <w:u w:val="single"/>
                <w:lang w:val="en-US" w:eastAsia="zh-CN"/>
              </w:rPr>
              <w:t>文件</w:t>
            </w:r>
            <w:r>
              <w:rPr>
                <w:rFonts w:hint="eastAsia" w:ascii="仿宋" w:hAnsi="仿宋" w:eastAsia="仿宋" w:cs="Arial"/>
                <w:b w:val="0"/>
                <w:bCs w:val="0"/>
                <w:color w:val="auto"/>
                <w:kern w:val="0"/>
                <w:sz w:val="22"/>
                <w:szCs w:val="22"/>
                <w:highlight w:val="none"/>
                <w:u w:val="single"/>
                <w:lang w:val="en-US" w:eastAsia="zh-CN"/>
              </w:rPr>
              <w:t>规定</w:t>
            </w:r>
            <w:r>
              <w:rPr>
                <w:rFonts w:hint="default" w:ascii="仿宋" w:hAnsi="仿宋" w:eastAsia="仿宋" w:cs="Arial"/>
                <w:b w:val="0"/>
                <w:bCs w:val="0"/>
                <w:color w:val="auto"/>
                <w:kern w:val="0"/>
                <w:sz w:val="22"/>
                <w:szCs w:val="22"/>
                <w:highlight w:val="none"/>
                <w:u w:val="single"/>
                <w:lang w:val="en-US" w:eastAsia="zh-CN"/>
              </w:rPr>
              <w:t>，该行业</w:t>
            </w:r>
            <w:r>
              <w:rPr>
                <w:rFonts w:hint="eastAsia" w:ascii="仿宋" w:hAnsi="仿宋" w:eastAsia="仿宋" w:cs="Arial"/>
                <w:b w:val="0"/>
                <w:bCs w:val="0"/>
                <w:color w:val="auto"/>
                <w:kern w:val="0"/>
                <w:sz w:val="22"/>
                <w:szCs w:val="22"/>
                <w:highlight w:val="none"/>
                <w:u w:val="single"/>
                <w:lang w:val="en-US" w:eastAsia="zh-CN" w:bidi="ar"/>
              </w:rPr>
              <w:t>的</w:t>
            </w:r>
            <w:r>
              <w:rPr>
                <w:rFonts w:ascii="仿宋" w:hAnsi="仿宋" w:eastAsia="仿宋" w:cs="Arial"/>
                <w:b w:val="0"/>
                <w:bCs w:val="0"/>
                <w:color w:val="auto"/>
                <w:kern w:val="0"/>
                <w:sz w:val="22"/>
                <w:szCs w:val="22"/>
                <w:highlight w:val="none"/>
                <w:u w:val="single"/>
                <w:lang w:val="en-US" w:eastAsia="zh-CN" w:bidi="ar"/>
              </w:rPr>
              <w:t>划型标准为</w:t>
            </w:r>
            <w:r>
              <w:rPr>
                <w:rFonts w:hint="eastAsia" w:ascii="仿宋" w:hAnsi="仿宋" w:eastAsia="仿宋" w:cs="Arial"/>
                <w:b w:val="0"/>
                <w:bCs w:val="0"/>
                <w:color w:val="auto"/>
                <w:kern w:val="0"/>
                <w:sz w:val="22"/>
                <w:szCs w:val="22"/>
                <w:highlight w:val="none"/>
                <w:u w:val="single"/>
                <w:lang w:val="en-US" w:eastAsia="zh-CN" w:bidi="ar"/>
              </w:rPr>
              <w:t>：</w:t>
            </w:r>
          </w:p>
          <w:p>
            <w:pPr>
              <w:keepNext w:val="0"/>
              <w:keepLines w:val="0"/>
              <w:widowControl/>
              <w:suppressLineNumbers w:val="0"/>
              <w:jc w:val="left"/>
              <w:rPr>
                <w:rFonts w:ascii="仿宋" w:hAnsi="仿宋" w:eastAsia="仿宋"/>
                <w:color w:val="auto"/>
                <w:sz w:val="22"/>
                <w:szCs w:val="22"/>
                <w:highlight w:val="none"/>
              </w:rPr>
            </w:pPr>
            <w:r>
              <w:rPr>
                <w:rFonts w:ascii="仿宋" w:hAnsi="仿宋" w:eastAsia="仿宋" w:cs="Arial"/>
                <w:b w:val="0"/>
                <w:bCs w:val="0"/>
                <w:color w:val="auto"/>
                <w:spacing w:val="0"/>
                <w:kern w:val="0"/>
                <w:sz w:val="21"/>
                <w:szCs w:val="21"/>
                <w:highlight w:val="none"/>
                <w:u w:val="single"/>
                <w:lang w:val="en-US" w:eastAsia="zh-CN" w:bidi="ar"/>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是否允许采购进口产品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cs="Arial"/>
                <w:color w:val="auto"/>
                <w:kern w:val="0"/>
                <w:sz w:val="22"/>
                <w:szCs w:val="22"/>
                <w:highlight w:val="none"/>
              </w:rPr>
              <w:t>本项目不允许采购进口产品。</w:t>
            </w:r>
          </w:p>
          <w:p>
            <w:pPr>
              <w:rPr>
                <w:rFonts w:hint="eastAsia"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MS Gothic" w:eastAsia="仿宋" w:cs="Arial"/>
                <w:color w:val="auto"/>
                <w:kern w:val="0"/>
                <w:sz w:val="22"/>
                <w:szCs w:val="22"/>
                <w:highlight w:val="none"/>
                <w:lang w:val="en-US" w:eastAsia="zh-CN"/>
              </w:rPr>
              <w:t>本项目</w:t>
            </w:r>
            <w:r>
              <w:rPr>
                <w:rFonts w:hint="eastAsia" w:ascii="仿宋" w:hAnsi="仿宋" w:eastAsia="仿宋" w:cs="Arial"/>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4</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分包</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s="Arial"/>
                <w:color w:val="auto"/>
                <w:kern w:val="0"/>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同意将非主体、非关键性的工作分包。</w:t>
            </w:r>
          </w:p>
          <w:p>
            <w:pPr>
              <w:rPr>
                <w:rFonts w:hint="eastAsia"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不同意分包。</w:t>
            </w:r>
          </w:p>
          <w:p>
            <w:pPr>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注：不得限制大中型企业向小微企业合理分包</w:t>
            </w:r>
            <w:r>
              <w:rPr>
                <w:rFonts w:hint="eastAsia" w:ascii="仿宋" w:hAnsi="仿宋" w:eastAsia="仿宋" w:cs="Times New Roman"/>
                <w:color w:val="auto"/>
                <w:sz w:val="22"/>
                <w:szCs w:val="22"/>
                <w:highlight w:val="none"/>
                <w:lang w:eastAsia="zh-CN"/>
              </w:rPr>
              <w:t>；组成联合体或者接受分包的小微企业与联合体内其他企业、分包企业之间存在直接控股、管理关系的，不享受价格扣除优惠政策。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5</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开标前答疑会</w:t>
            </w:r>
          </w:p>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或现场考察</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olor w:val="auto"/>
                <w:kern w:val="0"/>
                <w:sz w:val="22"/>
                <w:szCs w:val="22"/>
                <w:highlight w:val="none"/>
              </w:rPr>
              <w:t>B组织</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6</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样品提供</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ascii="仿宋" w:hAnsi="MS Gothic" w:eastAsia="仿宋" w:cs="Arial"/>
                <w:color w:val="auto"/>
                <w:kern w:val="0"/>
                <w:sz w:val="22"/>
                <w:szCs w:val="22"/>
                <w:highlight w:val="none"/>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不要求提供。</w:t>
            </w:r>
          </w:p>
          <w:p>
            <w:pPr>
              <w:rPr>
                <w:rFonts w:ascii="仿宋" w:hAnsi="仿宋" w:eastAsia="仿宋"/>
                <w:color w:val="auto"/>
                <w:kern w:val="0"/>
                <w:sz w:val="22"/>
                <w:szCs w:val="22"/>
                <w:highlight w:val="none"/>
              </w:rPr>
            </w:pPr>
            <w:r>
              <w:rPr>
                <w:rFonts w:ascii="仿宋" w:hAnsi="MS Gothic" w:eastAsia="仿宋" w:cs="Arial"/>
                <w:color w:val="auto"/>
                <w:kern w:val="0"/>
                <w:sz w:val="22"/>
                <w:szCs w:val="22"/>
                <w:highlight w:val="none"/>
              </w:rPr>
              <w:t>☐</w:t>
            </w:r>
            <w:r>
              <w:rPr>
                <w:rFonts w:ascii="仿宋" w:hAnsi="仿宋" w:eastAsia="仿宋"/>
                <w:color w:val="auto"/>
                <w:kern w:val="0"/>
                <w:sz w:val="22"/>
                <w:szCs w:val="22"/>
                <w:highlight w:val="none"/>
              </w:rPr>
              <w:t>B</w:t>
            </w:r>
            <w:r>
              <w:rPr>
                <w:rFonts w:hint="eastAsia" w:ascii="仿宋" w:hAnsi="仿宋" w:eastAsia="仿宋"/>
                <w:color w:val="auto"/>
                <w:kern w:val="0"/>
                <w:sz w:val="22"/>
                <w:szCs w:val="22"/>
                <w:highlight w:val="none"/>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7</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方案讲解演示</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pPr>
              <w:keepNext w:val="0"/>
              <w:keepLines w:val="0"/>
              <w:suppressLineNumbers w:val="0"/>
              <w:snapToGrid/>
              <w:spacing w:before="0" w:beforeAutospacing="0" w:after="0" w:afterAutospacing="0" w:line="240" w:lineRule="auto"/>
              <w:ind w:left="0" w:right="0"/>
              <w:rPr>
                <w:rFonts w:hint="eastAsia" w:ascii="仿宋" w:hAnsi="仿宋" w:eastAsia="仿宋" w:cs="Times New Roman"/>
                <w:b w:val="0"/>
                <w:bCs w:val="0"/>
                <w:color w:val="auto"/>
                <w:kern w:val="2"/>
                <w:sz w:val="22"/>
                <w:szCs w:val="22"/>
                <w:highlight w:val="none"/>
              </w:rPr>
            </w:pPr>
            <w:r>
              <w:rPr>
                <w:rFonts w:hint="eastAsia" w:ascii="仿宋" w:hAnsi="MS Gothic" w:eastAsia="仿宋" w:cs="Arial"/>
                <w:b w:val="0"/>
                <w:bCs w:val="0"/>
                <w:color w:val="auto"/>
                <w:kern w:val="0"/>
                <w:sz w:val="22"/>
                <w:szCs w:val="22"/>
                <w:highlight w:val="none"/>
                <w:lang w:eastAsia="zh-CN"/>
              </w:rPr>
              <w:t>☑</w:t>
            </w:r>
            <w:r>
              <w:rPr>
                <w:rFonts w:ascii="仿宋" w:hAnsi="仿宋" w:eastAsia="仿宋"/>
                <w:b w:val="0"/>
                <w:bCs w:val="0"/>
                <w:color w:val="auto"/>
                <w:kern w:val="0"/>
                <w:sz w:val="22"/>
                <w:szCs w:val="22"/>
                <w:highlight w:val="none"/>
              </w:rPr>
              <w:t>B组织：</w:t>
            </w:r>
            <w:r>
              <w:rPr>
                <w:rFonts w:hint="eastAsia" w:ascii="仿宋" w:hAnsi="仿宋" w:eastAsia="仿宋" w:cs="Times New Roman"/>
                <w:b w:val="0"/>
                <w:bCs w:val="0"/>
                <w:color w:val="auto"/>
                <w:kern w:val="2"/>
                <w:sz w:val="22"/>
                <w:szCs w:val="22"/>
                <w:highlight w:val="none"/>
              </w:rPr>
              <w:t>方案讲解演示</w:t>
            </w:r>
            <w:r>
              <w:rPr>
                <w:rFonts w:hint="eastAsia" w:ascii="仿宋" w:hAnsi="仿宋" w:eastAsia="仿宋" w:cs="Times New Roman"/>
                <w:b w:val="0"/>
                <w:bCs w:val="0"/>
                <w:color w:val="auto"/>
                <w:kern w:val="2"/>
                <w:sz w:val="22"/>
                <w:szCs w:val="22"/>
                <w:highlight w:val="none"/>
                <w:lang w:val="en-US" w:eastAsia="zh-CN"/>
              </w:rPr>
              <w:t>按照</w:t>
            </w:r>
            <w:r>
              <w:rPr>
                <w:rFonts w:hint="eastAsia" w:ascii="仿宋" w:hAnsi="仿宋" w:eastAsia="仿宋" w:cs="Times New Roman"/>
                <w:b w:val="0"/>
                <w:bCs w:val="0"/>
                <w:color w:val="auto"/>
                <w:kern w:val="2"/>
                <w:sz w:val="22"/>
                <w:szCs w:val="22"/>
                <w:highlight w:val="none"/>
              </w:rPr>
              <w:t>以下方式：</w:t>
            </w:r>
          </w:p>
          <w:p>
            <w:pPr>
              <w:rPr>
                <w:rFonts w:hint="default" w:eastAsia="微软雅黑"/>
                <w:highlight w:val="none"/>
                <w:lang w:val="en-US" w:eastAsia="zh-CN"/>
              </w:rPr>
            </w:pPr>
            <w:r>
              <w:rPr>
                <w:rFonts w:hint="eastAsia" w:ascii="仿宋" w:hAnsi="MS Gothic" w:eastAsia="仿宋" w:cs="Arial"/>
                <w:b w:val="0"/>
                <w:bCs w:val="0"/>
                <w:color w:val="auto"/>
                <w:kern w:val="0"/>
                <w:sz w:val="22"/>
                <w:szCs w:val="22"/>
                <w:highlight w:val="none"/>
                <w:lang w:eastAsia="zh-CN"/>
              </w:rPr>
              <w:t>☑</w:t>
            </w:r>
            <w:r>
              <w:rPr>
                <w:rFonts w:hint="eastAsia" w:ascii="仿宋" w:hAnsi="仿宋" w:eastAsia="仿宋" w:cs="Times New Roman"/>
                <w:b w:val="0"/>
                <w:bCs w:val="0"/>
                <w:color w:val="auto"/>
                <w:kern w:val="0"/>
                <w:sz w:val="22"/>
                <w:szCs w:val="22"/>
                <w:highlight w:val="none"/>
              </w:rPr>
              <w:t>方式三：</w:t>
            </w:r>
            <w:r>
              <w:rPr>
                <w:rFonts w:hint="eastAsia" w:ascii="仿宋" w:hAnsi="仿宋" w:eastAsia="仿宋" w:cs="Times New Roman"/>
                <w:b w:val="0"/>
                <w:bCs w:val="0"/>
                <w:color w:val="auto"/>
                <w:kern w:val="0"/>
                <w:sz w:val="22"/>
                <w:szCs w:val="22"/>
                <w:highlight w:val="none"/>
                <w:lang w:eastAsia="zh-CN"/>
              </w:rPr>
              <w:t>提交</w:t>
            </w:r>
            <w:r>
              <w:rPr>
                <w:rFonts w:hint="eastAsia" w:ascii="仿宋" w:hAnsi="仿宋" w:eastAsia="仿宋" w:cs="Times New Roman"/>
                <w:color w:val="auto"/>
                <w:kern w:val="0"/>
                <w:sz w:val="22"/>
                <w:szCs w:val="22"/>
                <w:highlight w:val="none"/>
              </w:rPr>
              <w:t>储存</w:t>
            </w:r>
            <w:r>
              <w:rPr>
                <w:rFonts w:hint="eastAsia" w:ascii="仿宋" w:hAnsi="仿宋" w:eastAsia="仿宋" w:cs="Times New Roman"/>
                <w:color w:val="auto"/>
                <w:kern w:val="0"/>
                <w:sz w:val="22"/>
                <w:szCs w:val="22"/>
                <w:highlight w:val="none"/>
                <w:lang w:val="en-US" w:eastAsia="zh-CN"/>
              </w:rPr>
              <w:t>视频的</w:t>
            </w:r>
            <w:r>
              <w:rPr>
                <w:rFonts w:hint="eastAsia" w:ascii="仿宋" w:hAnsi="仿宋" w:eastAsia="仿宋" w:cs="Times New Roman"/>
                <w:color w:val="auto"/>
                <w:kern w:val="0"/>
                <w:sz w:val="22"/>
                <w:szCs w:val="22"/>
                <w:highlight w:val="none"/>
              </w:rPr>
              <w:t>U盘介质</w:t>
            </w:r>
            <w:r>
              <w:rPr>
                <w:rFonts w:hint="eastAsia" w:ascii="仿宋" w:hAnsi="仿宋" w:eastAsia="仿宋" w:cs="Times New Roman"/>
                <w:color w:val="auto"/>
                <w:kern w:val="0"/>
                <w:sz w:val="22"/>
                <w:szCs w:val="22"/>
                <w:highlight w:val="none"/>
                <w:lang w:eastAsia="zh-CN"/>
              </w:rPr>
              <w:t>。</w:t>
            </w:r>
            <w:r>
              <w:rPr>
                <w:rFonts w:hint="eastAsia" w:ascii="仿宋" w:hAnsi="仿宋" w:eastAsia="仿宋" w:cs="Times New Roman"/>
                <w:color w:val="auto"/>
                <w:kern w:val="0"/>
                <w:sz w:val="22"/>
                <w:szCs w:val="22"/>
                <w:highlight w:val="none"/>
              </w:rPr>
              <w:t>采用视频录制方式，</w:t>
            </w:r>
            <w:r>
              <w:rPr>
                <w:rFonts w:hint="eastAsia" w:ascii="仿宋" w:hAnsi="仿宋" w:eastAsia="仿宋" w:cs="Times New Roman"/>
                <w:color w:val="auto"/>
                <w:kern w:val="0"/>
                <w:sz w:val="22"/>
                <w:szCs w:val="22"/>
                <w:highlight w:val="none"/>
                <w:lang w:eastAsia="zh-CN"/>
              </w:rPr>
              <w:t>参照备份响应文件的制作要求，</w:t>
            </w:r>
            <w:r>
              <w:rPr>
                <w:rFonts w:hint="eastAsia" w:ascii="仿宋" w:hAnsi="仿宋" w:eastAsia="仿宋" w:cs="Times New Roman"/>
                <w:color w:val="auto"/>
                <w:kern w:val="0"/>
                <w:sz w:val="22"/>
                <w:szCs w:val="22"/>
                <w:highlight w:val="none"/>
                <w:lang w:val="en-US" w:eastAsia="zh-CN"/>
              </w:rPr>
              <w:t>递</w:t>
            </w:r>
            <w:r>
              <w:rPr>
                <w:rFonts w:hint="eastAsia" w:ascii="仿宋" w:hAnsi="仿宋" w:eastAsia="仿宋" w:cs="Times New Roman"/>
                <w:color w:val="auto"/>
                <w:kern w:val="0"/>
                <w:sz w:val="22"/>
                <w:szCs w:val="22"/>
                <w:highlight w:val="none"/>
              </w:rPr>
              <w:t>至</w:t>
            </w:r>
            <w:r>
              <w:rPr>
                <w:rFonts w:hint="eastAsia" w:ascii="仿宋" w:hAnsi="仿宋" w:eastAsia="仿宋" w:cs="Times New Roman"/>
                <w:color w:val="auto"/>
                <w:kern w:val="0"/>
                <w:sz w:val="22"/>
                <w:szCs w:val="22"/>
                <w:highlight w:val="none"/>
                <w:lang w:val="en-US" w:eastAsia="zh-CN"/>
              </w:rPr>
              <w:t>前附表(</w:t>
            </w:r>
            <w:r>
              <w:rPr>
                <w:rFonts w:hint="eastAsia" w:ascii="仿宋" w:hAnsi="仿宋" w:eastAsia="仿宋" w:cs="Times New Roman"/>
                <w:color w:val="auto"/>
                <w:kern w:val="0"/>
                <w:sz w:val="22"/>
                <w:szCs w:val="22"/>
                <w:highlight w:val="none"/>
                <w:u w:val="single"/>
                <w:lang w:val="en-US" w:eastAsia="zh-CN"/>
              </w:rPr>
              <w:t>序号12</w:t>
            </w:r>
            <w:r>
              <w:rPr>
                <w:rFonts w:hint="eastAsia" w:ascii="仿宋" w:hAnsi="仿宋" w:eastAsia="仿宋" w:cs="Times New Roman"/>
                <w:color w:val="auto"/>
                <w:kern w:val="0"/>
                <w:sz w:val="22"/>
                <w:szCs w:val="22"/>
                <w:highlight w:val="none"/>
                <w:lang w:val="en-US" w:eastAsia="zh-CN"/>
              </w:rPr>
              <w:t>)规定地点；视频时长不得超过20分钟；无法提取或播放视频的，</w:t>
            </w:r>
            <w:r>
              <w:rPr>
                <w:rFonts w:hint="eastAsia" w:ascii="仿宋" w:hAnsi="仿宋" w:eastAsia="仿宋" w:cs="Times New Roman"/>
                <w:color w:val="auto"/>
                <w:kern w:val="0"/>
                <w:sz w:val="22"/>
                <w:szCs w:val="22"/>
                <w:highlight w:val="none"/>
              </w:rPr>
              <w:t>视为未提交。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8</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应当提供的资格、</w:t>
            </w:r>
          </w:p>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资信证明文件</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color w:val="auto"/>
                <w:sz w:val="22"/>
                <w:szCs w:val="22"/>
                <w:highlight w:val="none"/>
              </w:rPr>
            </w:pPr>
            <w:r>
              <w:rPr>
                <w:rFonts w:hint="eastAsia" w:ascii="仿宋" w:hAnsi="仿宋" w:eastAsia="仿宋"/>
                <w:color w:val="auto"/>
                <w:sz w:val="22"/>
                <w:szCs w:val="22"/>
                <w:highlight w:val="none"/>
              </w:rPr>
              <w:t>(1)</w:t>
            </w:r>
            <w:r>
              <w:rPr>
                <w:rFonts w:ascii="仿宋" w:hAnsi="仿宋" w:eastAsia="仿宋"/>
                <w:color w:val="auto"/>
                <w:sz w:val="22"/>
                <w:szCs w:val="22"/>
                <w:highlight w:val="none"/>
              </w:rPr>
              <w:t>资格证明文件：见</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三</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的规定</w:t>
            </w:r>
            <w:r>
              <w:rPr>
                <w:rFonts w:ascii="仿宋" w:hAnsi="仿宋" w:eastAsia="仿宋"/>
                <w:color w:val="auto"/>
                <w:sz w:val="22"/>
                <w:szCs w:val="22"/>
                <w:highlight w:val="none"/>
              </w:rPr>
              <w:t>。</w:t>
            </w:r>
          </w:p>
          <w:p>
            <w:pPr>
              <w:rPr>
                <w:rFonts w:hint="eastAsia" w:ascii="仿宋" w:hAnsi="仿宋" w:eastAsia="仿宋"/>
                <w:color w:val="auto"/>
                <w:kern w:val="0"/>
                <w:sz w:val="22"/>
                <w:szCs w:val="22"/>
                <w:highlight w:val="none"/>
                <w:lang w:val="zh-CN"/>
              </w:rPr>
            </w:pPr>
            <w:r>
              <w:rPr>
                <w:rFonts w:hint="eastAsia" w:ascii="仿宋" w:hAnsi="仿宋" w:eastAsia="仿宋"/>
                <w:color w:val="auto"/>
                <w:kern w:val="0"/>
                <w:sz w:val="22"/>
                <w:szCs w:val="22"/>
                <w:highlight w:val="none"/>
                <w:lang w:val="zh-CN"/>
              </w:rPr>
              <w:t>供应商未提供有效资格证明文件的，视为供应商不具备采购文件中规定的资格要求，响应文件无效。</w:t>
            </w:r>
          </w:p>
          <w:p>
            <w:pPr>
              <w:rPr>
                <w:rFonts w:ascii="仿宋" w:hAnsi="仿宋" w:eastAsia="仿宋" w:cs="Arial"/>
                <w:snapToGrid w:val="0"/>
                <w:color w:val="auto"/>
                <w:kern w:val="0"/>
                <w:sz w:val="22"/>
                <w:szCs w:val="22"/>
                <w:highlight w:val="none"/>
              </w:rPr>
            </w:pPr>
            <w:r>
              <w:rPr>
                <w:rFonts w:hint="eastAsia" w:ascii="仿宋" w:hAnsi="仿宋" w:eastAsia="仿宋"/>
                <w:color w:val="auto"/>
                <w:sz w:val="22"/>
                <w:szCs w:val="22"/>
                <w:highlight w:val="none"/>
              </w:rPr>
              <w:t>(2)</w:t>
            </w:r>
            <w:r>
              <w:rPr>
                <w:rFonts w:ascii="仿宋" w:hAnsi="仿宋" w:eastAsia="仿宋"/>
                <w:color w:val="auto"/>
                <w:sz w:val="22"/>
                <w:szCs w:val="22"/>
                <w:highlight w:val="none"/>
              </w:rPr>
              <w:t>资信证明文件：根据</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五</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评审标准</w:t>
            </w:r>
            <w:r>
              <w:rPr>
                <w:rFonts w:ascii="仿宋" w:hAnsi="仿宋" w:eastAsia="仿宋"/>
                <w:color w:val="auto"/>
                <w:sz w:val="22"/>
                <w:szCs w:val="22"/>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9</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节能产品、环境标志产品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snapToGrid w:val="0"/>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10</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报价要求</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有关本项目实施所需的全部费用（含税费）均应计入最后报价。《</w:t>
            </w:r>
            <w:r>
              <w:rPr>
                <w:rFonts w:hint="eastAsia" w:ascii="仿宋" w:hAnsi="仿宋" w:eastAsia="仿宋" w:cs="Arial"/>
                <w:color w:val="auto"/>
                <w:kern w:val="0"/>
                <w:sz w:val="22"/>
                <w:szCs w:val="22"/>
                <w:highlight w:val="none"/>
                <w:lang w:eastAsia="zh-CN"/>
              </w:rPr>
              <w:t>最后报价</w:t>
            </w:r>
            <w:r>
              <w:rPr>
                <w:rFonts w:hint="eastAsia" w:ascii="仿宋" w:hAnsi="仿宋" w:eastAsia="仿宋" w:cs="Arial"/>
                <w:color w:val="auto"/>
                <w:kern w:val="0"/>
                <w:sz w:val="22"/>
                <w:szCs w:val="22"/>
                <w:highlight w:val="none"/>
                <w:lang w:val="en-US" w:eastAsia="zh-CN"/>
              </w:rPr>
              <w:t>一览</w:t>
            </w:r>
            <w:r>
              <w:rPr>
                <w:rFonts w:hint="eastAsia" w:ascii="仿宋" w:hAnsi="仿宋" w:eastAsia="仿宋" w:cs="Arial"/>
                <w:color w:val="auto"/>
                <w:kern w:val="0"/>
                <w:sz w:val="22"/>
                <w:szCs w:val="22"/>
                <w:highlight w:val="none"/>
                <w:lang w:eastAsia="zh-CN"/>
              </w:rPr>
              <w:t>表</w:t>
            </w:r>
            <w:r>
              <w:rPr>
                <w:rFonts w:hint="eastAsia" w:ascii="仿宋" w:hAnsi="仿宋" w:eastAsia="仿宋" w:cs="Arial"/>
                <w:color w:val="auto"/>
                <w:kern w:val="0"/>
                <w:sz w:val="22"/>
                <w:szCs w:val="22"/>
                <w:highlight w:val="none"/>
              </w:rPr>
              <w:t>》是报价的唯一载体。响应文件中价格全部采用人民币报价。采购文件未列明，而供应商认为必需的费用也需列入最后报价。</w:t>
            </w:r>
          </w:p>
          <w:p>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最后报价出现下列情形的，响应无效：</w:t>
            </w:r>
          </w:p>
          <w:p>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▲出现不是唯一的、有选择性的最后报价的；</w:t>
            </w:r>
          </w:p>
          <w:p>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en-US" w:eastAsia="zh-CN"/>
              </w:rPr>
              <w:t>最后</w:t>
            </w:r>
            <w:r>
              <w:rPr>
                <w:rFonts w:hint="eastAsia" w:ascii="仿宋" w:hAnsi="仿宋" w:eastAsia="仿宋" w:cs="仿宋_GB2312"/>
                <w:b/>
                <w:color w:val="auto"/>
                <w:kern w:val="0"/>
                <w:sz w:val="22"/>
                <w:szCs w:val="22"/>
                <w:highlight w:val="none"/>
                <w:lang w:val="zh-CN"/>
              </w:rPr>
              <w:t>报价超过采购文件中规定的预算金额或者最高限价的</w:t>
            </w:r>
            <w:r>
              <w:rPr>
                <w:rFonts w:ascii="仿宋" w:hAnsi="仿宋" w:eastAsia="仿宋" w:cs="仿宋_GB2312"/>
                <w:b/>
                <w:color w:val="auto"/>
                <w:kern w:val="0"/>
                <w:sz w:val="22"/>
                <w:szCs w:val="22"/>
                <w:highlight w:val="none"/>
                <w:lang w:val="zh-CN"/>
              </w:rPr>
              <w:t>;</w:t>
            </w:r>
          </w:p>
          <w:p>
            <w:pPr>
              <w:snapToGrid w:val="0"/>
              <w:jc w:val="left"/>
              <w:rPr>
                <w:rFonts w:hint="eastAsia"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▲最后报价明显低于其他供应商的最后报价，有可能影响产品质量或者不能诚信履约，且未能按要求提供书面说明或者提交相关证明材料证明其报价合理性的</w:t>
            </w:r>
            <w:r>
              <w:rPr>
                <w:rFonts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zh-CN"/>
              </w:rPr>
              <w:t xml:space="preserve"> </w:t>
            </w:r>
          </w:p>
          <w:p>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w:t>
            </w:r>
            <w:r>
              <w:rPr>
                <w:rFonts w:hint="eastAsia" w:ascii="仿宋" w:hAnsi="仿宋" w:eastAsia="仿宋" w:cs="仿宋_GB2312"/>
                <w:b/>
                <w:color w:val="auto"/>
                <w:kern w:val="0"/>
                <w:sz w:val="22"/>
                <w:szCs w:val="22"/>
                <w:highlight w:val="none"/>
                <w:lang w:val="en-US" w:eastAsia="zh-CN"/>
              </w:rPr>
              <w:t>一览</w:t>
            </w:r>
            <w:r>
              <w:rPr>
                <w:rFonts w:hint="eastAsia" w:ascii="仿宋" w:hAnsi="仿宋" w:eastAsia="仿宋" w:cs="仿宋_GB2312"/>
                <w:b/>
                <w:color w:val="auto"/>
                <w:kern w:val="0"/>
                <w:sz w:val="22"/>
                <w:szCs w:val="22"/>
                <w:highlight w:val="none"/>
                <w:lang w:val="zh-CN"/>
              </w:rPr>
              <w:t>表》重要信息填写不齐全或者字迹无法辨认的；</w:t>
            </w:r>
          </w:p>
          <w:p>
            <w:pPr>
              <w:snapToGrid w:val="0"/>
              <w:jc w:val="left"/>
              <w:rPr>
                <w:rFonts w:ascii="仿宋" w:hAnsi="仿宋" w:eastAsia="仿宋"/>
                <w:color w:val="auto"/>
                <w:sz w:val="22"/>
                <w:szCs w:val="22"/>
                <w:highlight w:val="none"/>
              </w:rPr>
            </w:pPr>
            <w:r>
              <w:rPr>
                <w:rFonts w:hint="eastAsia" w:ascii="仿宋" w:hAnsi="仿宋" w:eastAsia="仿宋" w:cs="仿宋_GB2312"/>
                <w:b/>
                <w:color w:val="auto"/>
                <w:kern w:val="0"/>
                <w:sz w:val="22"/>
                <w:szCs w:val="22"/>
                <w:highlight w:val="none"/>
                <w:lang w:val="zh-CN"/>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中小企业信用融资</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仿宋" w:hAnsi="仿宋" w:eastAsia="仿宋"/>
                <w:color w:val="auto"/>
                <w:kern w:val="0"/>
                <w:sz w:val="22"/>
                <w:szCs w:val="22"/>
                <w:highlight w:val="none"/>
                <w:lang w:val="zh-CN"/>
              </w:rPr>
            </w:pPr>
            <w:r>
              <w:rPr>
                <w:rFonts w:hint="eastAsia" w:ascii="仿宋" w:hAnsi="仿宋" w:eastAsia="仿宋" w:cs="Times New Roman"/>
                <w:snapToGrid w:val="0"/>
                <w:color w:val="auto"/>
                <w:w w:val="100"/>
                <w:kern w:val="0"/>
                <w:sz w:val="22"/>
                <w:szCs w:val="22"/>
                <w:highlight w:val="none"/>
                <w:u w:val="none"/>
                <w:lang w:val="en-US" w:eastAsia="zh-CN"/>
              </w:rPr>
              <w:t>根据《政府采购支持中小企业信用融资相关事项通知》等文件，供应商成交后可在“政采云”平台申请政采贷。操作路径：登录政采云平台-金融服务中心-【融资服务】，在热门申请中选择产品直接申请，也可以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备份响应文件送达地点和签收人员</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pStyle w:val="38"/>
              <w:rPr>
                <w:rFonts w:hint="eastAsia" w:ascii="仿宋" w:hAnsi="仿宋" w:eastAsia="仿宋" w:cs="Times New Roman"/>
                <w:color w:val="auto"/>
                <w:kern w:val="28"/>
                <w:sz w:val="22"/>
                <w:szCs w:val="22"/>
                <w:highlight w:val="none"/>
              </w:rPr>
            </w:pPr>
            <w:r>
              <w:rPr>
                <w:rFonts w:hint="eastAsia" w:ascii="仿宋" w:hAnsi="仿宋" w:eastAsia="仿宋" w:cs="Times New Roman"/>
                <w:color w:val="auto"/>
                <w:kern w:val="28"/>
                <w:sz w:val="22"/>
                <w:szCs w:val="22"/>
                <w:highlight w:val="none"/>
              </w:rPr>
              <w:t>送达地点：</w:t>
            </w:r>
            <w:r>
              <w:rPr>
                <w:rFonts w:hint="eastAsia" w:ascii="仿宋" w:hAnsi="仿宋" w:eastAsia="仿宋" w:cs="Times New Roman"/>
                <w:color w:val="auto"/>
                <w:kern w:val="28"/>
                <w:sz w:val="22"/>
                <w:szCs w:val="22"/>
                <w:highlight w:val="none"/>
                <w:u w:val="single"/>
              </w:rPr>
              <w:t>杭州市拱墅区杭行路688号星运大厦1幢705室</w:t>
            </w:r>
            <w:r>
              <w:rPr>
                <w:rFonts w:hint="eastAsia" w:ascii="仿宋" w:hAnsi="仿宋" w:eastAsia="仿宋" w:cs="Times New Roman"/>
                <w:color w:val="auto"/>
                <w:kern w:val="28"/>
                <w:sz w:val="22"/>
                <w:szCs w:val="22"/>
                <w:highlight w:val="none"/>
              </w:rPr>
              <w:t>；</w:t>
            </w:r>
          </w:p>
          <w:p>
            <w:pPr>
              <w:pStyle w:val="38"/>
              <w:rPr>
                <w:rFonts w:hint="eastAsia" w:ascii="仿宋" w:hAnsi="仿宋" w:eastAsia="仿宋" w:cs="仿宋_GB2312"/>
                <w:color w:val="auto"/>
                <w:sz w:val="22"/>
                <w:szCs w:val="22"/>
                <w:highlight w:val="none"/>
              </w:rPr>
            </w:pPr>
            <w:r>
              <w:rPr>
                <w:rFonts w:hint="eastAsia" w:ascii="仿宋" w:hAnsi="仿宋" w:eastAsia="仿宋" w:cs="Times New Roman"/>
                <w:color w:val="auto"/>
                <w:kern w:val="28"/>
                <w:sz w:val="22"/>
                <w:szCs w:val="22"/>
                <w:highlight w:val="none"/>
              </w:rPr>
              <w:t>签收人员：</w:t>
            </w:r>
            <w:r>
              <w:rPr>
                <w:rFonts w:hint="eastAsia" w:ascii="仿宋" w:hAnsi="仿宋" w:eastAsia="仿宋" w:cs="Times New Roman"/>
                <w:color w:val="auto"/>
                <w:kern w:val="28"/>
                <w:sz w:val="22"/>
                <w:szCs w:val="22"/>
                <w:highlight w:val="none"/>
                <w:u w:val="single"/>
              </w:rPr>
              <w:t>颜绍尧</w:t>
            </w:r>
            <w:r>
              <w:rPr>
                <w:rFonts w:hint="eastAsia" w:ascii="仿宋" w:hAnsi="仿宋" w:eastAsia="仿宋" w:cs="Times New Roman"/>
                <w:color w:val="auto"/>
                <w:kern w:val="28"/>
                <w:sz w:val="22"/>
                <w:szCs w:val="22"/>
                <w:highlight w:val="none"/>
              </w:rPr>
              <w:t>；联系电话：</w:t>
            </w:r>
            <w:r>
              <w:rPr>
                <w:rFonts w:hint="eastAsia" w:ascii="仿宋" w:hAnsi="仿宋" w:eastAsia="仿宋" w:cs="Times New Roman"/>
                <w:color w:val="auto"/>
                <w:kern w:val="28"/>
                <w:sz w:val="22"/>
                <w:szCs w:val="22"/>
                <w:highlight w:val="none"/>
                <w:u w:val="single"/>
              </w:rPr>
              <w:t>18857186683</w:t>
            </w:r>
            <w:r>
              <w:rPr>
                <w:rFonts w:hint="eastAsia" w:ascii="仿宋" w:hAnsi="仿宋" w:eastAsia="仿宋" w:cs="仿宋_GB2312"/>
                <w:color w:val="auto"/>
                <w:sz w:val="22"/>
                <w:szCs w:val="22"/>
                <w:highlight w:val="none"/>
              </w:rPr>
              <w:t>。</w:t>
            </w:r>
          </w:p>
          <w:p>
            <w:pPr>
              <w:pStyle w:val="38"/>
              <w:rPr>
                <w:rFonts w:ascii="仿宋" w:hAnsi="仿宋" w:eastAsia="仿宋"/>
                <w:color w:val="auto"/>
                <w:kern w:val="28"/>
                <w:sz w:val="22"/>
                <w:szCs w:val="22"/>
                <w:highlight w:val="none"/>
              </w:rPr>
            </w:pPr>
            <w:r>
              <w:rPr>
                <w:rFonts w:hint="eastAsia" w:ascii="仿宋" w:hAnsi="仿宋" w:eastAsia="仿宋" w:cs="仿宋_GB2312"/>
                <w:b/>
                <w:color w:val="auto"/>
                <w:sz w:val="22"/>
                <w:szCs w:val="22"/>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_GB2312"/>
                <w:b/>
                <w:color w:val="auto"/>
                <w:sz w:val="22"/>
                <w:szCs w:val="22"/>
                <w:highlight w:val="none"/>
              </w:rPr>
            </w:pPr>
            <w:r>
              <w:rPr>
                <w:rFonts w:hint="eastAsia" w:ascii="仿宋" w:hAnsi="仿宋" w:eastAsia="仿宋" w:cs="仿宋_GB2312"/>
                <w:b/>
                <w:color w:val="auto"/>
                <w:sz w:val="22"/>
                <w:szCs w:val="22"/>
                <w:highlight w:val="none"/>
              </w:rPr>
              <w:t>13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代理服务费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ind w:left="330" w:hanging="330" w:hangingChars="150"/>
              <w:textAlignment w:val="auto"/>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(1)</w:t>
            </w:r>
            <w:r>
              <w:rPr>
                <w:rFonts w:hint="eastAsia" w:ascii="仿宋" w:hAnsi="仿宋" w:eastAsia="仿宋"/>
                <w:snapToGrid w:val="0"/>
                <w:color w:val="auto"/>
                <w:kern w:val="0"/>
                <w:sz w:val="22"/>
                <w:szCs w:val="22"/>
                <w:highlight w:val="none"/>
                <w:lang w:val="en-US" w:eastAsia="zh-CN"/>
              </w:rPr>
              <w:t>收费标准：</w:t>
            </w:r>
            <w:r>
              <w:rPr>
                <w:rFonts w:hint="eastAsia" w:ascii="仿宋" w:hAnsi="仿宋" w:eastAsia="仿宋"/>
                <w:snapToGrid w:val="0"/>
                <w:color w:val="auto"/>
                <w:kern w:val="0"/>
                <w:sz w:val="22"/>
                <w:szCs w:val="22"/>
                <w:highlight w:val="none"/>
                <w:u w:val="single"/>
                <w:lang w:val="en-US" w:eastAsia="zh-CN"/>
              </w:rPr>
              <w:t>参照</w:t>
            </w:r>
            <w:r>
              <w:rPr>
                <w:rFonts w:hint="eastAsia" w:ascii="仿宋" w:hAnsi="仿宋" w:eastAsia="仿宋"/>
                <w:snapToGrid w:val="0"/>
                <w:color w:val="auto"/>
                <w:kern w:val="0"/>
                <w:sz w:val="22"/>
                <w:szCs w:val="22"/>
                <w:highlight w:val="none"/>
                <w:u w:val="single"/>
              </w:rPr>
              <w:t>浙价服[2003]77号文件规定标准计取</w:t>
            </w:r>
            <w:r>
              <w:rPr>
                <w:rFonts w:hint="eastAsia" w:ascii="仿宋" w:hAnsi="仿宋" w:eastAsia="仿宋"/>
                <w:snapToGrid w:val="0"/>
                <w:color w:val="auto"/>
                <w:kern w:val="0"/>
                <w:sz w:val="22"/>
                <w:szCs w:val="22"/>
                <w:highlight w:val="none"/>
                <w:u w:val="single"/>
                <w:lang w:eastAsia="zh-CN"/>
              </w:rPr>
              <w:t>，</w:t>
            </w:r>
            <w:r>
              <w:rPr>
                <w:rFonts w:hint="eastAsia" w:ascii="仿宋" w:hAnsi="仿宋" w:eastAsia="仿宋"/>
                <w:snapToGrid w:val="0"/>
                <w:color w:val="auto"/>
                <w:kern w:val="0"/>
                <w:sz w:val="22"/>
                <w:szCs w:val="22"/>
                <w:highlight w:val="none"/>
                <w:u w:val="single"/>
              </w:rPr>
              <w:t>合计</w:t>
            </w:r>
            <w:r>
              <w:rPr>
                <w:rFonts w:hint="eastAsia" w:ascii="仿宋" w:hAnsi="仿宋" w:eastAsia="仿宋"/>
                <w:snapToGrid w:val="0"/>
                <w:color w:val="auto"/>
                <w:kern w:val="0"/>
                <w:sz w:val="22"/>
                <w:szCs w:val="22"/>
                <w:highlight w:val="none"/>
                <w:u w:val="single"/>
                <w:lang w:val="en-US" w:eastAsia="zh-CN"/>
              </w:rPr>
              <w:t>人民币壹万柒仟柒佰玖拾元</w:t>
            </w:r>
            <w:r>
              <w:rPr>
                <w:rFonts w:hint="eastAsia" w:ascii="仿宋" w:hAnsi="仿宋" w:eastAsia="仿宋"/>
                <w:snapToGrid w:val="0"/>
                <w:color w:val="auto"/>
                <w:kern w:val="0"/>
                <w:sz w:val="22"/>
                <w:szCs w:val="22"/>
                <w:highlight w:val="none"/>
                <w:u w:val="single"/>
              </w:rPr>
              <w:t>整（</w:t>
            </w:r>
            <w:r>
              <w:rPr>
                <w:rFonts w:hint="default" w:ascii="Arial" w:hAnsi="Arial" w:eastAsia="仿宋" w:cs="Arial"/>
                <w:snapToGrid w:val="0"/>
                <w:color w:val="auto"/>
                <w:kern w:val="0"/>
                <w:sz w:val="22"/>
                <w:szCs w:val="22"/>
                <w:highlight w:val="none"/>
                <w:u w:val="single"/>
              </w:rPr>
              <w:t>¥</w:t>
            </w:r>
            <w:r>
              <w:rPr>
                <w:rFonts w:hint="eastAsia" w:ascii="仿宋" w:hAnsi="仿宋" w:eastAsia="仿宋"/>
                <w:snapToGrid w:val="0"/>
                <w:color w:val="auto"/>
                <w:kern w:val="0"/>
                <w:sz w:val="22"/>
                <w:szCs w:val="22"/>
                <w:highlight w:val="none"/>
                <w:u w:val="single"/>
                <w:lang w:val="en-US" w:eastAsia="zh-CN"/>
              </w:rPr>
              <w:t>17790</w:t>
            </w:r>
            <w:r>
              <w:rPr>
                <w:rFonts w:hint="eastAsia" w:ascii="仿宋" w:hAnsi="仿宋" w:eastAsia="仿宋"/>
                <w:snapToGrid w:val="0"/>
                <w:color w:val="auto"/>
                <w:kern w:val="0"/>
                <w:sz w:val="22"/>
                <w:szCs w:val="22"/>
                <w:highlight w:val="none"/>
                <w:u w:val="single"/>
              </w:rPr>
              <w:t>.00）</w:t>
            </w:r>
            <w:r>
              <w:rPr>
                <w:rFonts w:hint="eastAsia" w:ascii="仿宋" w:hAnsi="仿宋" w:eastAsia="仿宋"/>
                <w:snapToGrid w:val="0"/>
                <w:color w:val="auto"/>
                <w:kern w:val="0"/>
                <w:sz w:val="22"/>
                <w:szCs w:val="22"/>
                <w:highlight w:val="none"/>
              </w:rPr>
              <w:t>。</w:t>
            </w:r>
          </w:p>
          <w:p>
            <w:pPr>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(2)</w:t>
            </w:r>
            <w:r>
              <w:rPr>
                <w:rFonts w:hint="eastAsia" w:ascii="仿宋" w:hAnsi="仿宋" w:eastAsia="仿宋"/>
                <w:snapToGrid w:val="0"/>
                <w:color w:val="auto"/>
                <w:kern w:val="0"/>
                <w:sz w:val="22"/>
                <w:szCs w:val="22"/>
                <w:highlight w:val="none"/>
                <w:lang w:val="en-US" w:eastAsia="zh-CN"/>
              </w:rPr>
              <w:t>收费方式：</w:t>
            </w:r>
            <w:r>
              <w:rPr>
                <w:rFonts w:hint="eastAsia" w:ascii="仿宋" w:hAnsi="仿宋" w:eastAsia="仿宋"/>
                <w:snapToGrid w:val="0"/>
                <w:color w:val="auto"/>
                <w:kern w:val="0"/>
                <w:sz w:val="22"/>
                <w:szCs w:val="22"/>
                <w:highlight w:val="none"/>
                <w:u w:val="single"/>
                <w:lang w:val="en-US" w:eastAsia="zh-CN"/>
              </w:rPr>
              <w:t>中标人支付且在中标结果公告后7日内付清</w:t>
            </w:r>
            <w:r>
              <w:rPr>
                <w:rFonts w:hint="eastAsia" w:ascii="仿宋" w:hAnsi="仿宋" w:eastAsia="仿宋"/>
                <w:snapToGrid w:val="0"/>
                <w:color w:val="auto"/>
                <w:kern w:val="0"/>
                <w:sz w:val="22"/>
                <w:szCs w:val="22"/>
                <w:highlight w:val="none"/>
              </w:rPr>
              <w:t>。</w:t>
            </w:r>
          </w:p>
          <w:p>
            <w:pPr>
              <w:tabs>
                <w:tab w:val="left" w:pos="440"/>
              </w:tabs>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(3)采购机构银行账户信息：</w:t>
            </w:r>
          </w:p>
          <w:p>
            <w:pPr>
              <w:keepNext w:val="0"/>
              <w:keepLines w:val="0"/>
              <w:pageBreakBefore w:val="0"/>
              <w:widowControl w:val="0"/>
              <w:tabs>
                <w:tab w:val="left" w:pos="440"/>
              </w:tabs>
              <w:kinsoku/>
              <w:wordWrap/>
              <w:overflowPunct/>
              <w:topLinePunct w:val="0"/>
              <w:autoSpaceDE/>
              <w:autoSpaceDN/>
              <w:bidi w:val="0"/>
              <w:adjustRightInd/>
              <w:snapToGrid/>
              <w:ind w:left="315" w:left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收款单位：</w:t>
            </w:r>
            <w:r>
              <w:rPr>
                <w:rFonts w:ascii="仿宋" w:hAnsi="仿宋" w:eastAsia="仿宋" w:cs="Calibri"/>
                <w:snapToGrid w:val="0"/>
                <w:color w:val="auto"/>
                <w:kern w:val="0"/>
                <w:sz w:val="22"/>
                <w:szCs w:val="22"/>
                <w:highlight w:val="none"/>
                <w:u w:val="single"/>
              </w:rPr>
              <w:t>杭州中易招标代理有限公司</w:t>
            </w:r>
          </w:p>
          <w:p>
            <w:pPr>
              <w:keepNext w:val="0"/>
              <w:keepLines w:val="0"/>
              <w:pageBreakBefore w:val="0"/>
              <w:widowControl w:val="0"/>
              <w:tabs>
                <w:tab w:val="left" w:pos="440"/>
              </w:tabs>
              <w:kinsoku/>
              <w:wordWrap/>
              <w:overflowPunct/>
              <w:topLinePunct w:val="0"/>
              <w:autoSpaceDE/>
              <w:autoSpaceDN/>
              <w:bidi w:val="0"/>
              <w:adjustRightInd/>
              <w:snapToGrid/>
              <w:ind w:left="315" w:left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开户银行：</w:t>
            </w:r>
            <w:r>
              <w:rPr>
                <w:rFonts w:hint="eastAsia" w:ascii="仿宋" w:hAnsi="仿宋" w:eastAsia="仿宋" w:cs="Calibri"/>
                <w:snapToGrid w:val="0"/>
                <w:color w:val="auto"/>
                <w:kern w:val="0"/>
                <w:sz w:val="22"/>
                <w:szCs w:val="22"/>
                <w:highlight w:val="none"/>
                <w:u w:val="single"/>
              </w:rPr>
              <w:t>中国银行杭州建中支行</w:t>
            </w:r>
          </w:p>
          <w:p>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ascii="仿宋" w:hAnsi="仿宋" w:eastAsia="仿宋"/>
                <w:snapToGrid w:val="0"/>
                <w:color w:val="auto"/>
                <w:kern w:val="28"/>
                <w:sz w:val="22"/>
                <w:szCs w:val="22"/>
                <w:highlight w:val="none"/>
              </w:rPr>
            </w:pPr>
            <w:r>
              <w:rPr>
                <w:rFonts w:ascii="仿宋" w:hAnsi="仿宋" w:eastAsia="仿宋" w:cs="Calibri"/>
                <w:snapToGrid w:val="0"/>
                <w:color w:val="auto"/>
                <w:kern w:val="0"/>
                <w:sz w:val="22"/>
                <w:szCs w:val="22"/>
                <w:highlight w:val="none"/>
              </w:rPr>
              <w:t>银行账号：</w:t>
            </w:r>
            <w:r>
              <w:rPr>
                <w:rFonts w:hint="eastAsia" w:ascii="仿宋" w:hAnsi="仿宋" w:eastAsia="仿宋" w:cs="Calibri"/>
                <w:snapToGrid w:val="0"/>
                <w:color w:val="auto"/>
                <w:kern w:val="0"/>
                <w:sz w:val="22"/>
                <w:szCs w:val="22"/>
                <w:highlight w:val="none"/>
                <w:u w:val="single"/>
              </w:rPr>
              <w:t>3714 6816 5579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restart"/>
            <w:tcBorders>
              <w:top w:val="single" w:color="auto" w:sz="4" w:space="0"/>
              <w:left w:val="single" w:color="000000" w:sz="8" w:space="0"/>
              <w:right w:val="single" w:color="000000" w:sz="2" w:space="0"/>
            </w:tcBorders>
            <w:noWrap w:val="0"/>
            <w:vAlign w:val="center"/>
          </w:tcPr>
          <w:p>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r>
              <w:rPr>
                <w:rFonts w:hint="eastAsia" w:ascii="仿宋" w:hAnsi="仿宋" w:eastAsia="仿宋" w:cs="仿宋_GB2312"/>
                <w:b/>
                <w:color w:val="auto"/>
                <w:sz w:val="22"/>
                <w:szCs w:val="22"/>
                <w:highlight w:val="none"/>
              </w:rPr>
              <w:t>4</w:t>
            </w:r>
          </w:p>
        </w:tc>
        <w:tc>
          <w:tcPr>
            <w:tcW w:w="1399" w:type="pct"/>
            <w:vMerge w:val="restart"/>
            <w:tcBorders>
              <w:top w:val="single" w:color="000000" w:sz="8" w:space="0"/>
              <w:left w:val="single" w:color="000000" w:sz="2" w:space="0"/>
              <w:right w:val="single" w:color="000000" w:sz="8" w:space="0"/>
            </w:tcBorders>
            <w:noWrap w:val="0"/>
            <w:vAlign w:val="center"/>
          </w:tcPr>
          <w:p>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特别说明</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联合体或者以分包方式履行合同的，联合体各方（供应商与分包供应商）分别提供与联合协议（分包意向协议）中规定分工内容相应的业绩证明材料，业绩数量以提供材料较少的一方为准</w:t>
            </w:r>
            <w:r>
              <w:rPr>
                <w:rFonts w:hint="eastAsia" w:ascii="仿宋" w:hAnsi="仿宋" w:eastAsia="仿宋" w:cs="仿宋"/>
                <w:snapToGrid w:val="0"/>
                <w:color w:val="auto"/>
                <w:kern w:val="28"/>
                <w:sz w:val="22"/>
                <w:szCs w:val="22"/>
                <w:highlight w:val="none"/>
                <w:lang w:eastAsia="zh-CN"/>
              </w:rPr>
              <w:t>；</w:t>
            </w:r>
            <w:r>
              <w:rPr>
                <w:rFonts w:hint="eastAsia" w:ascii="仿宋" w:hAnsi="仿宋" w:eastAsia="仿宋" w:cs="仿宋"/>
                <w:snapToGrid w:val="0"/>
                <w:color w:val="auto"/>
                <w:kern w:val="28"/>
                <w:sz w:val="22"/>
                <w:szCs w:val="22"/>
                <w:highlight w:val="none"/>
              </w:rPr>
              <w:t>由同一专业的单位</w:t>
            </w:r>
            <w:r>
              <w:rPr>
                <w:rFonts w:hint="eastAsia" w:ascii="仿宋" w:hAnsi="仿宋" w:eastAsia="仿宋" w:cs="仿宋"/>
                <w:snapToGrid w:val="0"/>
                <w:color w:val="auto"/>
                <w:kern w:val="28"/>
                <w:sz w:val="22"/>
                <w:szCs w:val="22"/>
                <w:highlight w:val="none"/>
                <w:lang w:val="en-US" w:eastAsia="zh-CN"/>
              </w:rPr>
              <w:t>承担相同分工内容的</w:t>
            </w:r>
            <w:r>
              <w:rPr>
                <w:rFonts w:hint="eastAsia" w:ascii="仿宋" w:hAnsi="仿宋" w:eastAsia="仿宋" w:cs="仿宋"/>
                <w:snapToGrid w:val="0"/>
                <w:color w:val="auto"/>
                <w:kern w:val="28"/>
                <w:sz w:val="22"/>
                <w:szCs w:val="22"/>
                <w:highlight w:val="none"/>
              </w:rPr>
              <w:t>，按照资质等级较低的单位确定资质等级</w:t>
            </w:r>
            <w:r>
              <w:rPr>
                <w:rFonts w:hint="eastAsia" w:ascii="仿宋" w:hAnsi="仿宋" w:eastAsia="仿宋" w:cs="仿宋"/>
                <w:snapToGrid w:val="0"/>
                <w:color w:val="auto"/>
                <w:kern w:val="28"/>
                <w:sz w:val="22"/>
                <w:szCs w:val="22"/>
                <w:highlight w:val="none"/>
                <w:lang w:eastAsia="zh-CN"/>
              </w:rPr>
              <w:t>；</w:t>
            </w:r>
            <w:r>
              <w:rPr>
                <w:rFonts w:hint="eastAsia" w:ascii="仿宋" w:hAnsi="仿宋" w:eastAsia="仿宋" w:cs="仿宋"/>
                <w:snapToGrid w:val="0"/>
                <w:color w:val="auto"/>
                <w:kern w:val="28"/>
                <w:sz w:val="22"/>
                <w:szCs w:val="22"/>
                <w:highlight w:val="none"/>
                <w:lang w:val="en-US" w:eastAsia="zh-CN"/>
              </w:rPr>
              <w:t>联合体各方或者接受</w:t>
            </w:r>
            <w:r>
              <w:rPr>
                <w:rFonts w:hint="eastAsia" w:ascii="仿宋" w:hAnsi="仿宋" w:eastAsia="仿宋" w:cs="仿宋"/>
                <w:snapToGrid w:val="0"/>
                <w:color w:val="auto"/>
                <w:kern w:val="28"/>
                <w:sz w:val="22"/>
                <w:szCs w:val="22"/>
                <w:highlight w:val="none"/>
                <w:lang w:eastAsia="zh-CN"/>
              </w:rPr>
              <w:t>分包的应当具备相应的</w:t>
            </w:r>
            <w:r>
              <w:rPr>
                <w:rFonts w:hint="eastAsia" w:ascii="仿宋" w:hAnsi="仿宋" w:eastAsia="仿宋" w:cs="仿宋"/>
                <w:snapToGrid w:val="0"/>
                <w:color w:val="auto"/>
                <w:kern w:val="28"/>
                <w:sz w:val="22"/>
                <w:szCs w:val="22"/>
                <w:highlight w:val="none"/>
                <w:lang w:val="en-US" w:eastAsia="zh-CN"/>
              </w:rPr>
              <w:t>资质</w:t>
            </w:r>
            <w:r>
              <w:rPr>
                <w:rFonts w:hint="eastAsia" w:ascii="仿宋" w:hAnsi="仿宋" w:eastAsia="仿宋" w:cs="仿宋"/>
                <w:snapToGrid w:val="0"/>
                <w:color w:val="auto"/>
                <w:kern w:val="28"/>
                <w:sz w:val="22"/>
                <w:szCs w:val="22"/>
                <w:highlight w:val="none"/>
                <w:lang w:eastAsia="zh-CN"/>
              </w:rPr>
              <w:t>条件，</w:t>
            </w:r>
            <w:r>
              <w:rPr>
                <w:rFonts w:hint="eastAsia" w:ascii="仿宋" w:hAnsi="仿宋" w:eastAsia="仿宋" w:cs="仿宋"/>
                <w:snapToGrid w:val="0"/>
                <w:color w:val="auto"/>
                <w:kern w:val="28"/>
                <w:sz w:val="22"/>
                <w:szCs w:val="22"/>
                <w:highlight w:val="none"/>
                <w:lang w:val="en-US" w:eastAsia="zh-CN"/>
              </w:rPr>
              <w:t>并且</w:t>
            </w:r>
            <w:r>
              <w:rPr>
                <w:rFonts w:hint="eastAsia" w:ascii="仿宋" w:hAnsi="仿宋" w:eastAsia="仿宋" w:cs="仿宋"/>
                <w:snapToGrid w:val="0"/>
                <w:color w:val="auto"/>
                <w:kern w:val="28"/>
                <w:sz w:val="22"/>
                <w:szCs w:val="22"/>
                <w:highlight w:val="none"/>
                <w:lang w:eastAsia="zh-CN"/>
              </w:rPr>
              <w:t>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continue"/>
            <w:tcBorders>
              <w:left w:val="single" w:color="000000" w:sz="8" w:space="0"/>
              <w:bottom w:val="single" w:color="auto" w:sz="4" w:space="0"/>
              <w:right w:val="single" w:color="000000" w:sz="2" w:space="0"/>
            </w:tcBorders>
            <w:noWrap w:val="0"/>
            <w:vAlign w:val="center"/>
          </w:tcPr>
          <w:p>
            <w:pPr>
              <w:snapToGrid w:val="0"/>
              <w:jc w:val="center"/>
              <w:rPr>
                <w:rFonts w:ascii="仿宋" w:hAnsi="仿宋" w:eastAsia="仿宋" w:cs="仿宋_GB2312"/>
                <w:b/>
                <w:color w:val="auto"/>
                <w:sz w:val="22"/>
                <w:szCs w:val="22"/>
                <w:highlight w:val="none"/>
              </w:rPr>
            </w:pPr>
          </w:p>
        </w:tc>
        <w:tc>
          <w:tcPr>
            <w:tcW w:w="1399" w:type="pct"/>
            <w:vMerge w:val="continue"/>
            <w:tcBorders>
              <w:left w:val="single" w:color="000000" w:sz="2" w:space="0"/>
              <w:bottom w:val="single" w:color="000000" w:sz="8" w:space="0"/>
              <w:right w:val="single" w:color="000000" w:sz="8" w:space="0"/>
            </w:tcBorders>
            <w:noWrap w:val="0"/>
            <w:vAlign w:val="center"/>
          </w:tcPr>
          <w:p>
            <w:pPr>
              <w:snapToGrid w:val="0"/>
              <w:jc w:val="center"/>
              <w:rPr>
                <w:rFonts w:hint="eastAsia" w:ascii="仿宋" w:hAnsi="仿宋" w:eastAsia="仿宋" w:cs="仿宋_GB2312"/>
                <w:b/>
                <w:color w:val="auto"/>
                <w:kern w:val="0"/>
                <w:sz w:val="22"/>
                <w:szCs w:val="22"/>
                <w:highlight w:val="none"/>
              </w:rPr>
            </w:pPr>
          </w:p>
        </w:tc>
        <w:tc>
          <w:tcPr>
            <w:tcW w:w="3354" w:type="pct"/>
            <w:tcBorders>
              <w:top w:val="single" w:color="000000" w:sz="8" w:space="0"/>
              <w:left w:val="single" w:color="000000" w:sz="2" w:space="0"/>
              <w:bottom w:val="single" w:color="000000" w:sz="8" w:space="0"/>
              <w:right w:val="single" w:color="000000" w:sz="8" w:space="0"/>
            </w:tcBorders>
            <w:noWrap w:val="0"/>
            <w:vAlign w:val="center"/>
          </w:tcPr>
          <w:p>
            <w:pPr>
              <w:rPr>
                <w:rFonts w:ascii="仿宋" w:hAnsi="仿宋" w:eastAsia="仿宋"/>
                <w:snapToGrid w:val="0"/>
                <w:color w:val="auto"/>
                <w:kern w:val="28"/>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snapToGrid w:val="0"/>
                <w:color w:val="auto"/>
                <w:kern w:val="28"/>
                <w:sz w:val="22"/>
                <w:szCs w:val="22"/>
                <w:highlight w:val="none"/>
              </w:rPr>
              <w:t>联合体响应的，联合体各方均应当按照</w:t>
            </w:r>
            <w:r>
              <w:rPr>
                <w:rFonts w:hint="eastAsia" w:ascii="仿宋" w:hAnsi="仿宋" w:eastAsia="仿宋"/>
                <w:snapToGrid w:val="0"/>
                <w:color w:val="auto"/>
                <w:kern w:val="28"/>
                <w:sz w:val="22"/>
                <w:szCs w:val="22"/>
                <w:highlight w:val="none"/>
                <w:u w:val="single"/>
              </w:rPr>
              <w:t>采购文件第五部分评审标准</w:t>
            </w:r>
            <w:r>
              <w:rPr>
                <w:rFonts w:hint="eastAsia" w:ascii="仿宋" w:hAnsi="仿宋" w:eastAsia="仿宋"/>
                <w:snapToGrid w:val="0"/>
                <w:color w:val="auto"/>
                <w:kern w:val="28"/>
                <w:sz w:val="22"/>
                <w:szCs w:val="22"/>
                <w:highlight w:val="none"/>
              </w:rPr>
              <w:t>要求提供资信证明文件，否则视为不符合相关要求。</w:t>
            </w:r>
          </w:p>
          <w:p>
            <w:pPr>
              <w:rPr>
                <w:rFonts w:ascii="仿宋" w:hAnsi="MS Gothic"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snapToGrid w:val="0"/>
                <w:color w:val="auto"/>
                <w:kern w:val="28"/>
                <w:sz w:val="22"/>
                <w:szCs w:val="22"/>
                <w:highlight w:val="none"/>
              </w:rPr>
              <w:t>联合体响应的，联合体中有一方或者联合体成员根据分工按照</w:t>
            </w:r>
            <w:r>
              <w:rPr>
                <w:rFonts w:hint="eastAsia" w:ascii="仿宋" w:hAnsi="仿宋" w:eastAsia="仿宋"/>
                <w:snapToGrid w:val="0"/>
                <w:color w:val="auto"/>
                <w:kern w:val="28"/>
                <w:sz w:val="22"/>
                <w:szCs w:val="22"/>
                <w:highlight w:val="none"/>
                <w:u w:val="single"/>
              </w:rPr>
              <w:t>采购文件第五部分评审标准</w:t>
            </w:r>
            <w:r>
              <w:rPr>
                <w:rFonts w:hint="eastAsia" w:ascii="仿宋" w:hAnsi="仿宋" w:eastAsia="仿宋"/>
                <w:snapToGrid w:val="0"/>
                <w:color w:val="auto"/>
                <w:kern w:val="28"/>
                <w:sz w:val="22"/>
                <w:szCs w:val="22"/>
                <w:highlight w:val="none"/>
              </w:rPr>
              <w:t>要求提供资信证明文件的，视为符合相关要求。</w:t>
            </w:r>
          </w:p>
        </w:tc>
      </w:tr>
    </w:tbl>
    <w:p>
      <w:pPr>
        <w:snapToGrid w:val="0"/>
        <w:jc w:val="center"/>
        <w:outlineLvl w:val="1"/>
        <w:rPr>
          <w:rFonts w:hint="eastAsia" w:ascii="仿宋" w:hAnsi="仿宋" w:eastAsia="仿宋"/>
          <w:b/>
          <w:color w:val="auto"/>
          <w:sz w:val="24"/>
          <w:highlight w:val="none"/>
        </w:rPr>
      </w:pPr>
    </w:p>
    <w:p>
      <w:pPr>
        <w:snapToGrid w:val="0"/>
        <w:jc w:val="center"/>
        <w:outlineLvl w:val="1"/>
        <w:rPr>
          <w:rFonts w:hint="eastAsia" w:ascii="仿宋" w:hAnsi="仿宋" w:eastAsia="仿宋"/>
          <w:b/>
          <w:color w:val="auto"/>
          <w:sz w:val="24"/>
          <w:highlight w:val="none"/>
        </w:rPr>
      </w:pPr>
    </w:p>
    <w:p>
      <w:pPr>
        <w:ind w:left="-105" w:leftChars="-50" w:right="-105" w:rightChars="-50"/>
        <w:jc w:val="left"/>
        <w:outlineLvl w:val="1"/>
        <w:rPr>
          <w:rFonts w:hint="eastAsia"/>
          <w:color w:val="auto"/>
          <w:sz w:val="24"/>
          <w:highlight w:val="none"/>
        </w:rPr>
        <w:sectPr>
          <w:headerReference r:id="rId4" w:type="first"/>
          <w:headerReference r:id="rId3" w:type="default"/>
          <w:footerReference r:id="rId5" w:type="default"/>
          <w:pgSz w:w="11907" w:h="16840"/>
          <w:pgMar w:top="1361" w:right="1361" w:bottom="1361" w:left="1361" w:header="936" w:footer="964" w:gutter="0"/>
          <w:cols w:space="720" w:num="1"/>
        </w:sect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rPr>
      </w:pPr>
      <w:bookmarkStart w:id="33" w:name="_Toc96999644"/>
      <w:r>
        <w:rPr>
          <w:rFonts w:hint="eastAsia" w:ascii="仿宋" w:hAnsi="仿宋" w:eastAsia="仿宋" w:cs="仿宋_GB2312"/>
          <w:snapToGrid w:val="0"/>
          <w:kern w:val="0"/>
          <w:sz w:val="28"/>
          <w:szCs w:val="28"/>
          <w:lang w:val="en-US" w:eastAsia="zh-CN"/>
        </w:rPr>
        <w:t>二</w:t>
      </w:r>
      <w:r>
        <w:rPr>
          <w:rFonts w:hint="eastAsia" w:ascii="仿宋" w:hAnsi="仿宋" w:eastAsia="仿宋" w:cs="仿宋_GB2312"/>
          <w:snapToGrid w:val="0"/>
          <w:kern w:val="0"/>
          <w:sz w:val="28"/>
          <w:szCs w:val="28"/>
        </w:rPr>
        <w:t>、总则</w:t>
      </w:r>
    </w:p>
    <w:p>
      <w:pPr>
        <w:adjustRightInd w:val="0"/>
        <w:snapToGrid w:val="0"/>
        <w:spacing w:before="120" w:beforeLines="50" w:after="120" w:afterLines="50"/>
        <w:rPr>
          <w:rFonts w:ascii="仿宋" w:hAnsi="仿宋" w:eastAsia="仿宋"/>
          <w:b/>
          <w:snapToGrid w:val="0"/>
          <w:kern w:val="0"/>
          <w:sz w:val="24"/>
        </w:rPr>
      </w:pPr>
      <w:r>
        <w:rPr>
          <w:rFonts w:ascii="仿宋" w:hAnsi="仿宋" w:eastAsia="仿宋"/>
          <w:b/>
          <w:snapToGrid w:val="0"/>
          <w:kern w:val="0"/>
          <w:sz w:val="24"/>
        </w:rPr>
        <w:t>1</w:t>
      </w:r>
      <w:r>
        <w:rPr>
          <w:rFonts w:hint="eastAsia" w:ascii="仿宋" w:hAnsi="仿宋" w:eastAsia="仿宋"/>
          <w:b/>
          <w:snapToGrid w:val="0"/>
          <w:kern w:val="0"/>
          <w:sz w:val="24"/>
        </w:rPr>
        <w:t>.适用范围</w:t>
      </w:r>
    </w:p>
    <w:p>
      <w:pPr>
        <w:adjustRightInd w:val="0"/>
        <w:snapToGrid w:val="0"/>
        <w:ind w:firstLine="420" w:firstLineChars="200"/>
        <w:rPr>
          <w:rFonts w:ascii="仿宋" w:hAnsi="仿宋" w:eastAsia="仿宋"/>
          <w:snapToGrid w:val="0"/>
          <w:kern w:val="0"/>
          <w:szCs w:val="21"/>
        </w:rPr>
      </w:pPr>
      <w:r>
        <w:rPr>
          <w:rFonts w:hint="eastAsia" w:ascii="仿宋" w:hAnsi="仿宋" w:eastAsia="仿宋"/>
          <w:snapToGrid w:val="0"/>
          <w:kern w:val="0"/>
          <w:szCs w:val="21"/>
        </w:rPr>
        <w:t>本采购文件适用于该项目的公告、响应、开标、信用信息查询及资格审查、评审、定标、合同、验收等行为（法律、法规另有规定的，从其规定）。</w:t>
      </w:r>
    </w:p>
    <w:p>
      <w:pPr>
        <w:adjustRightInd w:val="0"/>
        <w:snapToGrid w:val="0"/>
        <w:spacing w:before="120" w:beforeLines="50" w:after="120" w:afterLines="50"/>
        <w:rPr>
          <w:rFonts w:ascii="仿宋" w:hAnsi="仿宋" w:eastAsia="仿宋"/>
          <w:b/>
          <w:snapToGrid w:val="0"/>
          <w:kern w:val="0"/>
          <w:sz w:val="24"/>
        </w:rPr>
      </w:pPr>
      <w:r>
        <w:rPr>
          <w:rFonts w:ascii="仿宋" w:hAnsi="仿宋" w:eastAsia="仿宋"/>
          <w:b/>
          <w:snapToGrid w:val="0"/>
          <w:kern w:val="0"/>
          <w:sz w:val="24"/>
        </w:rPr>
        <w:t>2</w:t>
      </w:r>
      <w:r>
        <w:rPr>
          <w:rFonts w:hint="eastAsia" w:ascii="仿宋" w:hAnsi="仿宋" w:eastAsia="仿宋"/>
          <w:b/>
          <w:snapToGrid w:val="0"/>
          <w:kern w:val="0"/>
          <w:sz w:val="24"/>
        </w:rPr>
        <w:t>.</w:t>
      </w:r>
      <w:r>
        <w:rPr>
          <w:rFonts w:ascii="仿宋" w:hAnsi="仿宋" w:eastAsia="仿宋"/>
          <w:b/>
          <w:snapToGrid w:val="0"/>
          <w:kern w:val="0"/>
          <w:sz w:val="24"/>
        </w:rPr>
        <w:t>定义</w:t>
      </w:r>
    </w:p>
    <w:p>
      <w:pPr>
        <w:adjustRightInd w:val="0"/>
        <w:snapToGrid w:val="0"/>
        <w:ind w:left="420" w:hanging="420" w:hangingChars="200"/>
        <w:rPr>
          <w:rFonts w:ascii="仿宋" w:hAnsi="仿宋" w:eastAsia="仿宋"/>
          <w:snapToGrid w:val="0"/>
          <w:kern w:val="0"/>
          <w:szCs w:val="21"/>
          <w:highlight w:val="none"/>
        </w:rPr>
      </w:pPr>
      <w:r>
        <w:rPr>
          <w:rFonts w:ascii="仿宋" w:hAnsi="仿宋" w:eastAsia="仿宋"/>
          <w:snapToGrid w:val="0"/>
          <w:kern w:val="0"/>
          <w:szCs w:val="21"/>
          <w:highlight w:val="none"/>
        </w:rPr>
        <w:t>2.1</w:t>
      </w:r>
      <w:r>
        <w:rPr>
          <w:rFonts w:hint="eastAsia" w:ascii="仿宋" w:hAnsi="仿宋" w:eastAsia="仿宋"/>
          <w:snapToGrid w:val="0"/>
          <w:kern w:val="0"/>
          <w:szCs w:val="21"/>
          <w:highlight w:val="none"/>
        </w:rPr>
        <w:t xml:space="preserve"> “</w:t>
      </w:r>
      <w:r>
        <w:rPr>
          <w:rFonts w:hint="eastAsia" w:ascii="仿宋" w:hAnsi="仿宋" w:eastAsia="仿宋"/>
          <w:snapToGrid w:val="0"/>
          <w:kern w:val="0"/>
          <w:szCs w:val="21"/>
          <w:highlight w:val="none"/>
          <w:lang w:val="en-US" w:eastAsia="zh-CN"/>
        </w:rPr>
        <w:t>招标</w:t>
      </w:r>
      <w:r>
        <w:rPr>
          <w:rFonts w:hint="eastAsia" w:ascii="仿宋" w:hAnsi="仿宋" w:eastAsia="仿宋"/>
          <w:snapToGrid w:val="0"/>
          <w:kern w:val="0"/>
          <w:szCs w:val="21"/>
          <w:highlight w:val="none"/>
        </w:rPr>
        <w:t>人”系指采购公告中载明的本项目的采购人（同“</w:t>
      </w:r>
      <w:r>
        <w:rPr>
          <w:rFonts w:hint="eastAsia" w:ascii="仿宋" w:hAnsi="仿宋" w:eastAsia="仿宋"/>
          <w:snapToGrid w:val="0"/>
          <w:kern w:val="0"/>
          <w:szCs w:val="21"/>
          <w:highlight w:val="none"/>
          <w:lang w:val="en-US" w:eastAsia="zh-CN"/>
        </w:rPr>
        <w:t>采购单位</w:t>
      </w:r>
      <w:r>
        <w:rPr>
          <w:rFonts w:hint="eastAsia" w:ascii="仿宋" w:hAnsi="仿宋" w:eastAsia="仿宋"/>
          <w:snapToGrid w:val="0"/>
          <w:kern w:val="0"/>
          <w:szCs w:val="21"/>
          <w:highlight w:val="none"/>
        </w:rPr>
        <w:t>”）。</w:t>
      </w:r>
    </w:p>
    <w:p>
      <w:pPr>
        <w:adjustRightInd w:val="0"/>
        <w:snapToGrid w:val="0"/>
        <w:ind w:left="420" w:hanging="420" w:hangingChars="200"/>
        <w:rPr>
          <w:rFonts w:ascii="仿宋" w:hAnsi="仿宋" w:eastAsia="仿宋"/>
          <w:snapToGrid w:val="0"/>
          <w:kern w:val="0"/>
          <w:szCs w:val="21"/>
        </w:rPr>
      </w:pPr>
      <w:r>
        <w:rPr>
          <w:rFonts w:ascii="仿宋" w:hAnsi="仿宋" w:eastAsia="仿宋"/>
          <w:snapToGrid w:val="0"/>
          <w:kern w:val="0"/>
          <w:szCs w:val="21"/>
        </w:rPr>
        <w:t>2.2</w:t>
      </w:r>
      <w:r>
        <w:rPr>
          <w:rFonts w:hint="eastAsia" w:ascii="仿宋" w:hAnsi="仿宋" w:eastAsia="仿宋"/>
          <w:snapToGrid w:val="0"/>
          <w:kern w:val="0"/>
          <w:szCs w:val="21"/>
        </w:rPr>
        <w:t xml:space="preserve"> “采购机构”系指采购公告中载明的本项目的采购代理机构（同“</w:t>
      </w:r>
      <w:r>
        <w:rPr>
          <w:rFonts w:hint="eastAsia" w:ascii="仿宋" w:hAnsi="仿宋" w:eastAsia="仿宋"/>
          <w:snapToGrid w:val="0"/>
          <w:kern w:val="0"/>
          <w:szCs w:val="21"/>
          <w:lang w:val="en-US" w:eastAsia="zh-CN"/>
        </w:rPr>
        <w:t>代理机构</w:t>
      </w:r>
      <w:r>
        <w:rPr>
          <w:rFonts w:hint="eastAsia" w:ascii="仿宋" w:hAnsi="仿宋" w:eastAsia="仿宋"/>
          <w:snapToGrid w:val="0"/>
          <w:kern w:val="0"/>
          <w:szCs w:val="21"/>
        </w:rPr>
        <w:t>”）。</w:t>
      </w:r>
    </w:p>
    <w:p>
      <w:pPr>
        <w:adjustRightInd w:val="0"/>
        <w:snapToGrid w:val="0"/>
        <w:ind w:left="420" w:hanging="420" w:hangingChars="200"/>
        <w:rPr>
          <w:rFonts w:ascii="仿宋" w:hAnsi="仿宋" w:eastAsia="仿宋"/>
          <w:snapToGrid w:val="0"/>
          <w:kern w:val="0"/>
          <w:szCs w:val="21"/>
        </w:rPr>
      </w:pPr>
      <w:r>
        <w:rPr>
          <w:rFonts w:ascii="仿宋" w:hAnsi="仿宋" w:eastAsia="仿宋"/>
          <w:snapToGrid w:val="0"/>
          <w:kern w:val="0"/>
          <w:szCs w:val="21"/>
        </w:rPr>
        <w:t>2.3</w:t>
      </w:r>
      <w:r>
        <w:rPr>
          <w:rFonts w:hint="eastAsia" w:ascii="仿宋" w:hAnsi="仿宋" w:eastAsia="仿宋"/>
          <w:snapToGrid w:val="0"/>
          <w:kern w:val="0"/>
          <w:szCs w:val="21"/>
        </w:rPr>
        <w:t xml:space="preserve"> “供应商”系指响应磋商</w:t>
      </w:r>
      <w:r>
        <w:rPr>
          <w:rFonts w:hint="eastAsia" w:ascii="仿宋" w:hAnsi="仿宋" w:eastAsia="仿宋"/>
          <w:snapToGrid w:val="0"/>
          <w:kern w:val="0"/>
          <w:szCs w:val="21"/>
          <w:lang w:eastAsia="zh-CN"/>
        </w:rPr>
        <w:t>、</w:t>
      </w:r>
      <w:r>
        <w:rPr>
          <w:rFonts w:hint="eastAsia" w:ascii="仿宋" w:hAnsi="仿宋" w:eastAsia="仿宋"/>
          <w:snapToGrid w:val="0"/>
          <w:kern w:val="0"/>
          <w:szCs w:val="21"/>
          <w:lang w:val="en-US" w:eastAsia="zh-CN"/>
        </w:rPr>
        <w:t>提交响应文件</w:t>
      </w:r>
      <w:r>
        <w:rPr>
          <w:rFonts w:hint="eastAsia" w:ascii="仿宋" w:hAnsi="仿宋" w:eastAsia="仿宋"/>
          <w:snapToGrid w:val="0"/>
          <w:kern w:val="0"/>
          <w:szCs w:val="21"/>
        </w:rPr>
        <w:t>的法人、其他组织或者自然人（同“投标人”）。</w:t>
      </w:r>
    </w:p>
    <w:p>
      <w:pPr>
        <w:adjustRightInd w:val="0"/>
        <w:snapToGrid w:val="0"/>
        <w:ind w:left="420" w:hanging="420" w:hangingChars="200"/>
        <w:rPr>
          <w:rFonts w:hint="eastAsia"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 xml:space="preserve"> “负责人”系指法人企业的法定负责人，或其他组织为法律、行政法规规定代表单位行使职权的主要负责人，或自然人本人。</w:t>
      </w:r>
    </w:p>
    <w:p>
      <w:pPr>
        <w:adjustRightInd w:val="0"/>
        <w:snapToGrid w:val="0"/>
        <w:ind w:left="420" w:hanging="420" w:hangingChars="200"/>
        <w:rPr>
          <w:rFonts w:ascii="仿宋" w:hAnsi="仿宋" w:eastAsia="仿宋"/>
          <w:snapToGrid w:val="0"/>
          <w:kern w:val="0"/>
          <w:szCs w:val="21"/>
        </w:rPr>
      </w:pPr>
      <w:r>
        <w:rPr>
          <w:rFonts w:hint="eastAsia" w:ascii="仿宋" w:hAnsi="仿宋" w:eastAsia="仿宋"/>
          <w:snapToGrid w:val="0"/>
          <w:kern w:val="0"/>
          <w:szCs w:val="21"/>
        </w:rPr>
        <w:t>2.5 “成交人”系指经评审确定的成交供应商（同“中标人”）。</w:t>
      </w:r>
    </w:p>
    <w:p>
      <w:pPr>
        <w:adjustRightInd w:val="0"/>
        <w:snapToGrid w:val="0"/>
        <w:ind w:left="420" w:hanging="420" w:hangingChars="200"/>
        <w:rPr>
          <w:rFonts w:ascii="仿宋" w:hAnsi="仿宋" w:eastAsia="仿宋"/>
          <w:snapToGrid w:val="0"/>
          <w:kern w:val="0"/>
          <w:szCs w:val="21"/>
        </w:rPr>
      </w:pPr>
      <w:r>
        <w:rPr>
          <w:rFonts w:hint="eastAsia" w:ascii="仿宋" w:hAnsi="仿宋" w:eastAsia="仿宋"/>
          <w:snapToGrid w:val="0"/>
          <w:kern w:val="0"/>
          <w:szCs w:val="21"/>
        </w:rPr>
        <w:t>2.6 “响应文件”系指供应商提交的资格文件、商务技术文件。供应商提交最后报价后，最后报价是供应商响应文件的有效组成部分（同“投标文件”）。</w:t>
      </w:r>
    </w:p>
    <w:p>
      <w:pPr>
        <w:adjustRightInd w:val="0"/>
        <w:snapToGrid w:val="0"/>
        <w:ind w:left="420" w:hanging="420" w:hangingChars="200"/>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 xml:space="preserve">7 </w:t>
      </w:r>
      <w:r>
        <w:rPr>
          <w:rFonts w:ascii="仿宋" w:hAnsi="仿宋" w:eastAsia="仿宋"/>
          <w:snapToGrid w:val="0"/>
          <w:kern w:val="0"/>
          <w:szCs w:val="21"/>
        </w:rPr>
        <w:t>“电子交易平台”系指</w:t>
      </w:r>
      <w:r>
        <w:rPr>
          <w:rFonts w:hint="eastAsia" w:ascii="仿宋" w:hAnsi="仿宋" w:eastAsia="仿宋"/>
          <w:snapToGrid w:val="0"/>
          <w:kern w:val="0"/>
          <w:szCs w:val="21"/>
          <w:lang w:val="en-US" w:eastAsia="zh-CN"/>
        </w:rPr>
        <w:t>本项目</w:t>
      </w:r>
      <w:r>
        <w:rPr>
          <w:rFonts w:ascii="仿宋" w:hAnsi="仿宋" w:eastAsia="仿宋"/>
          <w:snapToGrid w:val="0"/>
          <w:kern w:val="0"/>
          <w:szCs w:val="21"/>
        </w:rPr>
        <w:t>政府采购活动所依托的政府采购云平台（www.zcygov.cn）。</w:t>
      </w:r>
    </w:p>
    <w:p>
      <w:pPr>
        <w:adjustRightInd w:val="0"/>
        <w:snapToGrid w:val="0"/>
        <w:ind w:left="420" w:hanging="420" w:hangingChars="200"/>
        <w:rPr>
          <w:rFonts w:hint="eastAsia" w:ascii="仿宋" w:hAnsi="仿宋" w:eastAsia="仿宋"/>
          <w:snapToGrid w:val="0"/>
          <w:kern w:val="0"/>
          <w:szCs w:val="21"/>
          <w:highlight w:val="none"/>
        </w:rPr>
      </w:pPr>
      <w:r>
        <w:rPr>
          <w:rFonts w:ascii="仿宋" w:hAnsi="仿宋" w:eastAsia="仿宋"/>
          <w:snapToGrid w:val="0"/>
          <w:kern w:val="0"/>
          <w:szCs w:val="21"/>
        </w:rPr>
        <w:t>2.</w:t>
      </w:r>
      <w:r>
        <w:rPr>
          <w:rFonts w:hint="eastAsia" w:ascii="仿宋" w:hAnsi="仿宋" w:eastAsia="仿宋"/>
          <w:snapToGrid w:val="0"/>
          <w:kern w:val="0"/>
          <w:szCs w:val="21"/>
        </w:rPr>
        <w:t xml:space="preserve">8 </w:t>
      </w:r>
      <w:r>
        <w:rPr>
          <w:rFonts w:ascii="仿宋" w:hAnsi="仿宋" w:eastAsia="仿宋"/>
          <w:snapToGrid w:val="0"/>
          <w:kern w:val="0"/>
          <w:szCs w:val="21"/>
        </w:rPr>
        <w:t>“电子签名”系指数据电文中以电子形式所含、所附用于识别签名人身份并表明签名人认可其中</w:t>
      </w:r>
      <w:r>
        <w:rPr>
          <w:rFonts w:ascii="仿宋" w:hAnsi="仿宋" w:eastAsia="仿宋"/>
          <w:snapToGrid w:val="0"/>
          <w:kern w:val="0"/>
          <w:szCs w:val="21"/>
          <w:highlight w:val="none"/>
        </w:rPr>
        <w:t>内容的数据；</w:t>
      </w:r>
      <w:r>
        <w:rPr>
          <w:rFonts w:hint="eastAsia" w:ascii="仿宋" w:hAnsi="仿宋" w:eastAsia="仿宋"/>
          <w:snapToGrid w:val="0"/>
          <w:kern w:val="0"/>
          <w:szCs w:val="21"/>
          <w:highlight w:val="none"/>
        </w:rPr>
        <w:t>“公章”系指单位法定名称章。因特殊原因需要使用冠以法定名称的业务专用章的，投标时须提供《业务专用章使用说明函》（附件</w:t>
      </w:r>
      <w:r>
        <w:rPr>
          <w:rFonts w:ascii="仿宋" w:hAnsi="仿宋" w:eastAsia="仿宋"/>
          <w:snapToGrid w:val="0"/>
          <w:kern w:val="0"/>
          <w:szCs w:val="21"/>
          <w:highlight w:val="none"/>
        </w:rPr>
        <w:t>4）</w:t>
      </w:r>
      <w:r>
        <w:rPr>
          <w:rFonts w:hint="eastAsia" w:ascii="仿宋" w:hAnsi="仿宋" w:eastAsia="仿宋"/>
          <w:snapToGrid w:val="0"/>
          <w:kern w:val="0"/>
          <w:szCs w:val="21"/>
          <w:highlight w:val="none"/>
        </w:rPr>
        <w:t>。</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2.9 “书面形式”包括数据电文形式与纸质形式，在本项目政府采购活动中具有同等法律效力。</w:t>
      </w:r>
    </w:p>
    <w:p>
      <w:pPr>
        <w:adjustRightInd w:val="0"/>
        <w:snapToGrid w:val="0"/>
        <w:ind w:left="420" w:hanging="420" w:hangingChars="200"/>
        <w:rPr>
          <w:rFonts w:hint="eastAsia" w:ascii="仿宋" w:hAnsi="仿宋" w:eastAsia="仿宋"/>
          <w:snapToGrid w:val="0"/>
          <w:kern w:val="0"/>
          <w:szCs w:val="21"/>
          <w:highlight w:val="none"/>
          <w:u w:val="single"/>
        </w:rPr>
      </w:pPr>
      <w:r>
        <w:rPr>
          <w:rFonts w:ascii="仿宋" w:hAnsi="仿宋" w:eastAsia="仿宋"/>
          <w:snapToGrid w:val="0"/>
          <w:kern w:val="0"/>
          <w:szCs w:val="21"/>
          <w:highlight w:val="none"/>
          <w:u w:val="single"/>
        </w:rPr>
        <w:t>2.</w:t>
      </w:r>
      <w:r>
        <w:rPr>
          <w:rFonts w:hint="eastAsia" w:ascii="仿宋" w:hAnsi="仿宋" w:eastAsia="仿宋"/>
          <w:snapToGrid w:val="0"/>
          <w:kern w:val="0"/>
          <w:szCs w:val="21"/>
          <w:highlight w:val="none"/>
          <w:u w:val="single"/>
        </w:rPr>
        <w:t>10 “▲”系指实质性要求条款，“★”系指采购项目中的单一产品或核心产品，“</w:t>
      </w:r>
      <w:r>
        <w:rPr>
          <w:rFonts w:ascii="仿宋" w:hAnsi="MS Gothic" w:eastAsia="仿宋" w:cs="Arial"/>
          <w:snapToGrid w:val="0"/>
          <w:kern w:val="0"/>
          <w:szCs w:val="21"/>
          <w:highlight w:val="none"/>
          <w:u w:val="single"/>
        </w:rPr>
        <w:t>☑</w:t>
      </w:r>
      <w:r>
        <w:rPr>
          <w:rFonts w:hint="eastAsia" w:ascii="仿宋" w:hAnsi="仿宋" w:eastAsia="仿宋"/>
          <w:snapToGrid w:val="0"/>
          <w:kern w:val="0"/>
          <w:szCs w:val="21"/>
          <w:highlight w:val="none"/>
          <w:u w:val="single"/>
        </w:rPr>
        <w:t>”系指适用本项目的要求，“</w:t>
      </w:r>
      <w:r>
        <w:rPr>
          <w:rFonts w:ascii="仿宋" w:hAnsi="MS Gothic" w:eastAsia="仿宋" w:cs="Arial"/>
          <w:snapToGrid w:val="0"/>
          <w:kern w:val="0"/>
          <w:szCs w:val="21"/>
          <w:highlight w:val="none"/>
          <w:u w:val="single"/>
        </w:rPr>
        <w:t>☐</w:t>
      </w:r>
      <w:r>
        <w:rPr>
          <w:rFonts w:hint="eastAsia" w:ascii="仿宋" w:hAnsi="仿宋" w:eastAsia="仿宋"/>
          <w:snapToGrid w:val="0"/>
          <w:kern w:val="0"/>
          <w:szCs w:val="21"/>
          <w:highlight w:val="none"/>
          <w:u w:val="single"/>
        </w:rPr>
        <w:t>”系指不适用本项目的要求。“</w:t>
      </w:r>
      <w:r>
        <w:rPr>
          <w:rFonts w:hint="eastAsia" w:ascii="仿宋" w:hAnsi="仿宋" w:eastAsia="仿宋"/>
          <w:b/>
          <w:snapToGrid w:val="0"/>
          <w:kern w:val="0"/>
          <w:szCs w:val="21"/>
          <w:highlight w:val="none"/>
          <w:u w:val="single"/>
        </w:rPr>
        <w:t>※</w:t>
      </w:r>
      <w:r>
        <w:rPr>
          <w:rFonts w:hint="eastAsia" w:ascii="仿宋" w:hAnsi="仿宋" w:eastAsia="仿宋"/>
          <w:snapToGrid w:val="0"/>
          <w:kern w:val="0"/>
          <w:szCs w:val="21"/>
          <w:highlight w:val="none"/>
          <w:u w:val="single"/>
        </w:rPr>
        <w:t>”系指磋商过程中可能实质性变动的内容。</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3. 响应有效期</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u w:val="single"/>
        </w:rPr>
        <w:t>3.1 ▲响应有效期为从提交响应文件的截止之日起90天。供应商的响应文件中承诺响应有效期少于采购文件中载明的投标响应有效期的，响应无效。</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3.2 响应文件合格提交后，自响应截止日期起，在响应有效期内有效。</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3.3 在原定响应有效期满之前，如果出现特殊情况，采购代理机构可以以书面形式通知供应商延长响应有效期。供应商同意延长的，不得要求或被允许修改其响应文件；供应商拒绝延长的，其响应无效。拒绝延长响应有效期的供应商不得再参与该项目后续采购活动。</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4．响应费用</w:t>
      </w:r>
    </w:p>
    <w:p>
      <w:pPr>
        <w:adjustRightInd w:val="0"/>
        <w:snapToGrid w:val="0"/>
        <w:ind w:firstLine="420" w:firstLineChars="200"/>
        <w:rPr>
          <w:rFonts w:ascii="仿宋" w:hAnsi="仿宋" w:eastAsia="仿宋"/>
          <w:snapToGrid w:val="0"/>
          <w:kern w:val="0"/>
          <w:szCs w:val="21"/>
          <w:highlight w:val="none"/>
        </w:rPr>
      </w:pPr>
      <w:r>
        <w:rPr>
          <w:rFonts w:hint="eastAsia" w:ascii="仿宋" w:hAnsi="仿宋" w:eastAsia="仿宋"/>
          <w:snapToGrid w:val="0"/>
          <w:kern w:val="0"/>
          <w:szCs w:val="21"/>
          <w:highlight w:val="none"/>
        </w:rPr>
        <w:t>供应商需自行承担涉及投标响应的一切费用</w:t>
      </w:r>
      <w:r>
        <w:rPr>
          <w:rFonts w:hint="eastAsia" w:ascii="仿宋" w:hAnsi="仿宋" w:eastAsia="仿宋"/>
          <w:snapToGrid w:val="0"/>
          <w:kern w:val="0"/>
          <w:szCs w:val="21"/>
          <w:highlight w:val="none"/>
          <w:lang w:eastAsia="zh-CN"/>
        </w:rPr>
        <w:t>，</w:t>
      </w:r>
      <w:r>
        <w:rPr>
          <w:rFonts w:hint="eastAsia" w:ascii="仿宋" w:hAnsi="仿宋" w:eastAsia="仿宋"/>
          <w:snapToGrid w:val="0"/>
          <w:kern w:val="0"/>
          <w:szCs w:val="21"/>
          <w:highlight w:val="none"/>
          <w:lang w:val="en-US" w:eastAsia="zh-CN"/>
        </w:rPr>
        <w:t>包括成交后所需支付的代理服务费等</w:t>
      </w:r>
      <w:r>
        <w:rPr>
          <w:rFonts w:hint="eastAsia" w:ascii="仿宋" w:hAnsi="仿宋" w:eastAsia="仿宋"/>
          <w:snapToGrid w:val="0"/>
          <w:kern w:val="0"/>
          <w:szCs w:val="21"/>
          <w:highlight w:val="none"/>
        </w:rPr>
        <w:t>。</w:t>
      </w:r>
    </w:p>
    <w:p>
      <w:pPr>
        <w:adjustRightInd w:val="0"/>
        <w:snapToGrid w:val="0"/>
        <w:rPr>
          <w:rFonts w:hint="eastAsia"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三、需要落实的政府采购政策</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1.是否允许采购进口产品</w:t>
      </w:r>
    </w:p>
    <w:p>
      <w:pPr>
        <w:adjustRightInd w:val="0"/>
        <w:snapToGrid w:val="0"/>
        <w:ind w:firstLine="420" w:firstLineChars="200"/>
        <w:rPr>
          <w:rFonts w:ascii="仿宋" w:hAnsi="仿宋" w:eastAsia="仿宋"/>
          <w:snapToGrid w:val="0"/>
          <w:kern w:val="0"/>
          <w:szCs w:val="21"/>
          <w:highlight w:val="none"/>
        </w:rPr>
      </w:pPr>
      <w:r>
        <w:rPr>
          <w:rFonts w:hint="eastAsia" w:ascii="仿宋" w:hAnsi="仿宋" w:eastAsia="仿宋"/>
          <w:snapToGrid w:val="0"/>
          <w:kern w:val="0"/>
          <w:szCs w:val="21"/>
          <w:highlight w:val="none"/>
        </w:rPr>
        <w:t>本项目原则上采购本国生产的货物、工程和服务，不允许采购进口产品。除非采购人已经在采购活动开始前向财政部门提出采购进口产品申请并且获得财政部门审核同意，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2.支持绿色发展</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ascii="仿宋" w:hAnsi="仿宋" w:eastAsia="仿宋"/>
          <w:snapToGrid w:val="0"/>
          <w:kern w:val="0"/>
          <w:szCs w:val="21"/>
          <w:highlight w:val="none"/>
          <w:lang w:eastAsia="zh-CN"/>
        </w:rPr>
        <w:t>采购文件</w:t>
      </w:r>
      <w:r>
        <w:rPr>
          <w:rFonts w:hint="eastAsia" w:ascii="仿宋" w:hAnsi="仿宋" w:eastAsia="仿宋"/>
          <w:snapToGrid w:val="0"/>
          <w:kern w:val="0"/>
          <w:szCs w:val="21"/>
          <w:highlight w:val="none"/>
        </w:rPr>
        <w:t>要求提供相关产品认证证书。</w:t>
      </w:r>
      <w:r>
        <w:rPr>
          <w:rFonts w:hint="eastAsia" w:ascii="仿宋" w:hAnsi="仿宋" w:eastAsia="仿宋"/>
          <w:b/>
          <w:snapToGrid w:val="0"/>
          <w:kern w:val="0"/>
          <w:szCs w:val="21"/>
          <w:highlight w:val="none"/>
          <w:u w:val="single"/>
        </w:rPr>
        <w:t>▲采购人拟采购的产品属于政府强制采购的节能产品品目清单范围的，供应商相应的响应产品未获得国家确定的认证机构出具的、处于有效期之内的节能产品认证证书的，响应无效。</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2.2 纳入政府采购管理的修缮、装修类项目采购建材的，鼓励采购单位将绿色建材性能、指标等作为实质性条件纳入采购文件和合同，具体性能指标要求参考相关绿色建材政府采购需求标准。</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2.3 为了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优先采购秸秆环保板材等资源综合利用产品；鼓励优先采购绿色物流配送服务、提供新能源交通工具的租赁服务。</w:t>
      </w:r>
    </w:p>
    <w:p>
      <w:pPr>
        <w:adjustRightInd w:val="0"/>
        <w:snapToGrid w:val="0"/>
        <w:ind w:left="420" w:hanging="420" w:hangingChars="200"/>
        <w:rPr>
          <w:rFonts w:ascii="仿宋" w:hAnsi="仿宋" w:eastAsia="仿宋"/>
          <w:snapToGrid w:val="0"/>
          <w:kern w:val="0"/>
          <w:szCs w:val="21"/>
          <w:highlight w:val="none"/>
        </w:rPr>
      </w:pPr>
      <w:r>
        <w:rPr>
          <w:rFonts w:ascii="仿宋" w:hAnsi="仿宋" w:eastAsia="仿宋"/>
          <w:snapToGrid w:val="0"/>
          <w:kern w:val="0"/>
          <w:szCs w:val="21"/>
          <w:highlight w:val="none"/>
        </w:rPr>
        <w:t>2.4</w:t>
      </w:r>
      <w:r>
        <w:rPr>
          <w:rFonts w:hint="eastAsia" w:ascii="仿宋" w:hAnsi="仿宋" w:eastAsia="仿宋"/>
          <w:snapToGrid w:val="0"/>
          <w:kern w:val="0"/>
          <w:szCs w:val="21"/>
          <w:highlight w:val="none"/>
        </w:rPr>
        <w:t xml:space="preserve"> 鼓励供应商在参加政府采购过程中开展绿色设计、选择绿色材料、打造绿色制造工艺、开展绿色运输、做好废弃产品回收处理，实现产品全周期的绿色环保。鼓励采购单位对其提高预付款比例、免收履约保证金。</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3.支持中小企业发展。</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ind w:left="420" w:leftChars="200"/>
        <w:rPr>
          <w:rFonts w:ascii="仿宋" w:hAnsi="仿宋" w:eastAsia="仿宋"/>
          <w:snapToGrid w:val="0"/>
          <w:kern w:val="0"/>
          <w:szCs w:val="21"/>
          <w:highlight w:val="none"/>
        </w:rPr>
      </w:pPr>
      <w:r>
        <w:rPr>
          <w:rFonts w:hint="eastAsia" w:ascii="仿宋" w:hAnsi="仿宋" w:eastAsia="仿宋"/>
          <w:snapToGrid w:val="0"/>
          <w:kern w:val="0"/>
          <w:szCs w:val="21"/>
          <w:highlight w:val="none"/>
        </w:rPr>
        <w:t>符合中小企业划分标准的个体工商户，在政府采购活动中视同中小企业。</w:t>
      </w:r>
    </w:p>
    <w:p>
      <w:pPr>
        <w:adjustRightInd w:val="0"/>
        <w:snapToGrid w:val="0"/>
        <w:rPr>
          <w:rFonts w:ascii="仿宋" w:hAnsi="仿宋" w:eastAsia="仿宋" w:cs="宋体"/>
          <w:snapToGrid w:val="0"/>
          <w:kern w:val="0"/>
          <w:szCs w:val="21"/>
          <w:highlight w:val="none"/>
        </w:rPr>
      </w:pPr>
      <w:r>
        <w:rPr>
          <w:rFonts w:ascii="仿宋" w:hAnsi="仿宋" w:eastAsia="仿宋"/>
          <w:snapToGrid w:val="0"/>
          <w:kern w:val="0"/>
          <w:szCs w:val="21"/>
          <w:highlight w:val="none"/>
        </w:rPr>
        <w:t>3.2</w:t>
      </w:r>
      <w:r>
        <w:rPr>
          <w:rFonts w:hint="eastAsia" w:ascii="仿宋" w:hAnsi="仿宋" w:eastAsia="仿宋"/>
          <w:bCs/>
          <w:snapToGrid w:val="0"/>
          <w:kern w:val="0"/>
          <w:szCs w:val="21"/>
          <w:highlight w:val="none"/>
        </w:rPr>
        <w:t xml:space="preserve"> </w:t>
      </w:r>
      <w:r>
        <w:rPr>
          <w:rFonts w:hint="eastAsia" w:ascii="仿宋" w:hAnsi="仿宋" w:eastAsia="仿宋" w:cs="宋体"/>
          <w:snapToGrid w:val="0"/>
          <w:kern w:val="0"/>
          <w:szCs w:val="21"/>
          <w:highlight w:val="none"/>
        </w:rPr>
        <w:t>政府采购活动中，供应商提供的货物、工程或者服务符合下列情形的，享受中小企业扶持政策：</w:t>
      </w:r>
    </w:p>
    <w:p>
      <w:pPr>
        <w:numPr>
          <w:ilvl w:val="0"/>
          <w:numId w:val="6"/>
        </w:numPr>
        <w:adjustRightInd w:val="0"/>
        <w:snapToGrid w:val="0"/>
        <w:rPr>
          <w:rFonts w:hint="eastAsia" w:ascii="仿宋" w:hAnsi="仿宋" w:eastAsia="仿宋" w:cs="宋体"/>
          <w:snapToGrid w:val="0"/>
          <w:kern w:val="0"/>
          <w:szCs w:val="21"/>
          <w:highlight w:val="none"/>
        </w:rPr>
      </w:pPr>
      <w:r>
        <w:rPr>
          <w:rFonts w:ascii="仿宋" w:hAnsi="仿宋" w:eastAsia="仿宋" w:cs="宋体"/>
          <w:snapToGrid w:val="0"/>
          <w:kern w:val="0"/>
          <w:szCs w:val="21"/>
          <w:highlight w:val="none"/>
        </w:rPr>
        <w:t>在货物采购项目中，货物由中小企业制造，即货物由中小企业生产且使用该中小企业商号或者注册商标；</w:t>
      </w:r>
    </w:p>
    <w:p>
      <w:pPr>
        <w:numPr>
          <w:ilvl w:val="0"/>
          <w:numId w:val="6"/>
        </w:numPr>
        <w:adjustRightInd w:val="0"/>
        <w:snapToGrid w:val="0"/>
        <w:rPr>
          <w:rFonts w:hint="eastAsia" w:ascii="仿宋" w:hAnsi="仿宋" w:eastAsia="仿宋" w:cs="宋体"/>
          <w:snapToGrid w:val="0"/>
          <w:kern w:val="0"/>
          <w:szCs w:val="21"/>
          <w:highlight w:val="none"/>
        </w:rPr>
      </w:pPr>
      <w:r>
        <w:rPr>
          <w:rFonts w:ascii="仿宋" w:hAnsi="仿宋" w:eastAsia="仿宋" w:cs="宋体"/>
          <w:snapToGrid w:val="0"/>
          <w:kern w:val="0"/>
          <w:szCs w:val="21"/>
          <w:highlight w:val="none"/>
        </w:rPr>
        <w:t>在工程采购项目中，工程由中小企业承建，即工程施工单位为中小企业；</w:t>
      </w:r>
    </w:p>
    <w:p>
      <w:pPr>
        <w:numPr>
          <w:ilvl w:val="0"/>
          <w:numId w:val="6"/>
        </w:numPr>
        <w:adjustRightInd w:val="0"/>
        <w:snapToGrid w:val="0"/>
        <w:rPr>
          <w:rFonts w:hint="eastAsia" w:ascii="仿宋" w:hAnsi="仿宋" w:eastAsia="仿宋" w:cs="宋体"/>
          <w:snapToGrid w:val="0"/>
          <w:kern w:val="0"/>
          <w:szCs w:val="21"/>
          <w:highlight w:val="none"/>
        </w:rPr>
      </w:pPr>
      <w:r>
        <w:rPr>
          <w:rFonts w:ascii="仿宋" w:hAnsi="仿宋" w:eastAsia="仿宋" w:cs="宋体"/>
          <w:snapToGrid w:val="0"/>
          <w:kern w:val="0"/>
          <w:szCs w:val="21"/>
          <w:highlight w:val="none"/>
        </w:rPr>
        <w:t>在服务采购项目中，服务由中小企业承接，即提供服务的人员为中小企业依照《中华人民共和国劳动合同法》订立劳动合同的从业人员。</w:t>
      </w:r>
    </w:p>
    <w:p>
      <w:pPr>
        <w:adjustRightInd w:val="0"/>
        <w:snapToGrid w:val="0"/>
        <w:ind w:firstLine="413" w:firstLineChars="196"/>
        <w:rPr>
          <w:rFonts w:hint="eastAsia" w:ascii="仿宋" w:hAnsi="仿宋" w:eastAsia="仿宋" w:cs="宋体"/>
          <w:b/>
          <w:snapToGrid w:val="0"/>
          <w:kern w:val="0"/>
          <w:szCs w:val="21"/>
          <w:highlight w:val="none"/>
        </w:rPr>
      </w:pPr>
      <w:r>
        <w:rPr>
          <w:rFonts w:hint="eastAsia" w:ascii="仿宋" w:hAnsi="仿宋" w:eastAsia="仿宋" w:cs="宋体"/>
          <w:b/>
          <w:snapToGrid w:val="0"/>
          <w:kern w:val="0"/>
          <w:szCs w:val="21"/>
          <w:highlight w:val="none"/>
        </w:rPr>
        <w:t>在货物采购项目中，供应商提供的货物既有中小企业制造货物，也有大型企业制造货物的，不享受中小企业扶持政策。</w:t>
      </w:r>
    </w:p>
    <w:p>
      <w:pPr>
        <w:adjustRightInd w:val="0"/>
        <w:snapToGrid w:val="0"/>
        <w:ind w:firstLine="413" w:firstLineChars="196"/>
        <w:rPr>
          <w:rFonts w:ascii="仿宋" w:hAnsi="仿宋" w:eastAsia="仿宋" w:cs="宋体"/>
          <w:b/>
          <w:snapToGrid w:val="0"/>
          <w:kern w:val="0"/>
          <w:szCs w:val="21"/>
          <w:highlight w:val="none"/>
        </w:rPr>
      </w:pPr>
      <w:r>
        <w:rPr>
          <w:rFonts w:hint="eastAsia" w:ascii="仿宋" w:hAnsi="仿宋" w:eastAsia="仿宋" w:cs="宋体"/>
          <w:b/>
          <w:snapToGrid w:val="0"/>
          <w:kern w:val="0"/>
          <w:szCs w:val="21"/>
          <w:highlight w:val="none"/>
        </w:rPr>
        <w:t>以联合体形式参加政府采购活动，联合体各方均为中小企业的，联合体视同中小企业。其中，联合体各方均为小微企业的，联合体视同小微企业。</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3.3 对于未预留份额专门面向中小企业的政府采购项目，以及预留份额政府采购项目中的非预留部分标项，对小型和微型企业的最后报价给予10%—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3.4 符合《关于促进残疾人就业政府采购政策的通知》（财库[2017]141号）规定的条件并提供《残疾人福利性单位声明函》</w:t>
      </w:r>
      <w:r>
        <w:rPr>
          <w:rFonts w:hint="eastAsia" w:ascii="仿宋" w:hAnsi="仿宋" w:eastAsia="仿宋"/>
          <w:snapToGrid w:val="0"/>
          <w:kern w:val="0"/>
          <w:szCs w:val="21"/>
          <w:highlight w:val="none"/>
          <w:u w:val="single"/>
        </w:rPr>
        <w:t>（附件</w:t>
      </w:r>
      <w:r>
        <w:rPr>
          <w:rFonts w:hint="eastAsia" w:ascii="仿宋" w:hAnsi="仿宋" w:eastAsia="仿宋"/>
          <w:snapToGrid w:val="0"/>
          <w:kern w:val="0"/>
          <w:szCs w:val="21"/>
          <w:highlight w:val="none"/>
          <w:u w:val="single"/>
          <w:lang w:val="en-US" w:eastAsia="zh-CN"/>
        </w:rPr>
        <w:t>3</w:t>
      </w:r>
      <w:r>
        <w:rPr>
          <w:rFonts w:hint="eastAsia" w:ascii="仿宋" w:hAnsi="仿宋" w:eastAsia="仿宋"/>
          <w:snapToGrid w:val="0"/>
          <w:kern w:val="0"/>
          <w:szCs w:val="21"/>
          <w:highlight w:val="none"/>
          <w:u w:val="single"/>
        </w:rPr>
        <w:t>）</w:t>
      </w:r>
      <w:r>
        <w:rPr>
          <w:rFonts w:hint="eastAsia" w:ascii="仿宋" w:hAnsi="仿宋" w:eastAsia="仿宋"/>
          <w:snapToGrid w:val="0"/>
          <w:kern w:val="0"/>
          <w:szCs w:val="21"/>
          <w:highlight w:val="none"/>
        </w:rPr>
        <w:t>的残疾人福利性单位视同小型、微型企业；</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3.5 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3.6 可享受中小企业扶持政策的供应商应按照采购文件格式要求提供《中小企业声明函》</w:t>
      </w:r>
      <w:r>
        <w:rPr>
          <w:rFonts w:hint="eastAsia" w:ascii="仿宋" w:hAnsi="仿宋" w:eastAsia="仿宋"/>
          <w:snapToGrid w:val="0"/>
          <w:kern w:val="0"/>
          <w:szCs w:val="21"/>
          <w:highlight w:val="none"/>
          <w:u w:val="single"/>
        </w:rPr>
        <w:t>（附件</w:t>
      </w:r>
      <w:r>
        <w:rPr>
          <w:rFonts w:hint="eastAsia" w:ascii="仿宋" w:hAnsi="仿宋" w:eastAsia="仿宋"/>
          <w:snapToGrid w:val="0"/>
          <w:kern w:val="0"/>
          <w:szCs w:val="21"/>
          <w:highlight w:val="none"/>
          <w:u w:val="single"/>
          <w:lang w:val="en-US" w:eastAsia="zh-CN"/>
        </w:rPr>
        <w:t>5</w:t>
      </w:r>
      <w:r>
        <w:rPr>
          <w:rFonts w:hint="eastAsia" w:ascii="仿宋" w:hAnsi="仿宋" w:eastAsia="仿宋"/>
          <w:snapToGrid w:val="0"/>
          <w:kern w:val="0"/>
          <w:szCs w:val="21"/>
          <w:highlight w:val="none"/>
          <w:u w:val="single"/>
        </w:rPr>
        <w:t>）</w:t>
      </w:r>
      <w:r>
        <w:rPr>
          <w:rFonts w:hint="eastAsia" w:ascii="仿宋" w:hAnsi="仿宋" w:eastAsia="仿宋"/>
          <w:snapToGrid w:val="0"/>
          <w:kern w:val="0"/>
          <w:szCs w:val="21"/>
          <w:highlight w:val="none"/>
        </w:rPr>
        <w:t>，供应商提供的《中小企业声明函》与实际情况不符的，不享受中小企业扶持政策。声明内容不实的，属于提供虚假材料谋取中标、成交的，依法承担法律责任。</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3.7 中小企业享受扶持政策获得政府采购合同的，小微企业不得将合同分包给大中型企业，中型企业不得将合同分包给大型企业。</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4.支持创新发展</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4.1 采购人优先采购被认定为首台套产品和“制造精品”的自主创新产品。</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5.平等对待内外资企业和符合条件的破产重整企业</w:t>
      </w:r>
    </w:p>
    <w:p>
      <w:pPr>
        <w:adjustRightInd w:val="0"/>
        <w:snapToGrid w:val="0"/>
        <w:ind w:left="420" w:left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平等对待内外资企业和符合条件的破产重整企业，切实保障企业公平竞争，维护企业合法利益。</w:t>
      </w:r>
    </w:p>
    <w:p>
      <w:pPr>
        <w:adjustRightInd w:val="0"/>
        <w:snapToGrid w:val="0"/>
        <w:ind w:left="420" w:leftChars="200"/>
        <w:rPr>
          <w:rFonts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ascii="仿宋" w:hAnsi="仿宋" w:eastAsia="仿宋" w:cs="仿宋_GB2312"/>
          <w:snapToGrid w:val="0"/>
          <w:kern w:val="0"/>
          <w:sz w:val="28"/>
          <w:szCs w:val="28"/>
          <w:highlight w:val="none"/>
        </w:rPr>
        <w:t>四、</w:t>
      </w:r>
      <w:r>
        <w:rPr>
          <w:rFonts w:hint="eastAsia" w:ascii="仿宋" w:hAnsi="仿宋" w:eastAsia="仿宋" w:cs="仿宋_GB2312"/>
          <w:snapToGrid w:val="0"/>
          <w:kern w:val="0"/>
          <w:sz w:val="28"/>
          <w:szCs w:val="28"/>
          <w:highlight w:val="none"/>
        </w:rPr>
        <w:t>询问、质疑、投诉</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1.在线询问、质疑、投诉</w:t>
      </w:r>
    </w:p>
    <w:p>
      <w:pPr>
        <w:adjustRightInd w:val="0"/>
        <w:snapToGrid w:val="0"/>
        <w:ind w:firstLine="420" w:firstLineChars="200"/>
        <w:rPr>
          <w:rFonts w:ascii="仿宋" w:hAnsi="仿宋" w:eastAsia="仿宋"/>
          <w:snapToGrid w:val="0"/>
          <w:kern w:val="0"/>
          <w:szCs w:val="21"/>
          <w:highlight w:val="none"/>
        </w:rPr>
      </w:pPr>
      <w:r>
        <w:rPr>
          <w:rFonts w:hint="eastAsia" w:ascii="仿宋" w:hAnsi="仿宋" w:eastAsia="仿宋"/>
          <w:snapToGrid w:val="0"/>
          <w:kern w:val="0"/>
          <w:szCs w:val="21"/>
          <w:highlight w:val="none"/>
        </w:rPr>
        <w:t>根据《浙江省财政厅关于进一步促进政府采购公平竞争打造最优营商环境的通知》（浙财采监</w:t>
      </w:r>
      <w:r>
        <w:rPr>
          <w:rFonts w:hint="eastAsia" w:ascii="仿宋" w:hAnsi="仿宋" w:eastAsia="仿宋"/>
          <w:snapToGrid w:val="0"/>
          <w:kern w:val="0"/>
          <w:szCs w:val="21"/>
          <w:highlight w:val="none"/>
          <w:lang w:val="en-US" w:eastAsia="zh-CN"/>
        </w:rPr>
        <w:t>[</w:t>
      </w:r>
      <w:r>
        <w:rPr>
          <w:rFonts w:hint="eastAsia" w:ascii="仿宋" w:hAnsi="仿宋" w:eastAsia="仿宋"/>
          <w:snapToGrid w:val="0"/>
          <w:kern w:val="0"/>
          <w:szCs w:val="21"/>
          <w:highlight w:val="none"/>
        </w:rPr>
        <w:t>2021</w:t>
      </w:r>
      <w:r>
        <w:rPr>
          <w:rFonts w:hint="eastAsia" w:ascii="仿宋" w:hAnsi="仿宋" w:eastAsia="仿宋"/>
          <w:snapToGrid w:val="0"/>
          <w:kern w:val="0"/>
          <w:szCs w:val="21"/>
          <w:highlight w:val="none"/>
          <w:lang w:val="en-US" w:eastAsia="zh-CN"/>
        </w:rPr>
        <w:t>]</w:t>
      </w:r>
      <w:r>
        <w:rPr>
          <w:rFonts w:hint="eastAsia" w:ascii="仿宋" w:hAnsi="仿宋" w:eastAsia="仿宋"/>
          <w:snapToGrid w:val="0"/>
          <w:kern w:val="0"/>
          <w:szCs w:val="21"/>
          <w:highlight w:val="none"/>
        </w:rPr>
        <w:t>22号）文件关于“健全行政裁决机制”</w:t>
      </w:r>
      <w:r>
        <w:rPr>
          <w:rFonts w:hint="eastAsia" w:ascii="仿宋" w:hAnsi="仿宋" w:eastAsia="仿宋"/>
          <w:snapToGrid w:val="0"/>
          <w:kern w:val="0"/>
          <w:szCs w:val="21"/>
          <w:highlight w:val="none"/>
          <w:lang w:val="en-US" w:eastAsia="zh-CN"/>
        </w:rPr>
        <w:t>的</w:t>
      </w:r>
      <w:r>
        <w:rPr>
          <w:rFonts w:hint="eastAsia" w:ascii="仿宋" w:hAnsi="仿宋" w:eastAsia="仿宋"/>
          <w:snapToGrid w:val="0"/>
          <w:kern w:val="0"/>
          <w:szCs w:val="21"/>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w:t>
      </w:r>
      <w:r>
        <w:rPr>
          <w:rFonts w:ascii="仿宋" w:hAnsi="仿宋" w:eastAsia="仿宋"/>
          <w:b/>
          <w:snapToGrid w:val="0"/>
          <w:kern w:val="0"/>
          <w:sz w:val="24"/>
          <w:highlight w:val="none"/>
        </w:rPr>
        <w:t>供应商询问</w:t>
      </w:r>
    </w:p>
    <w:p>
      <w:pPr>
        <w:adjustRightInd w:val="0"/>
        <w:snapToGrid w:val="0"/>
        <w:ind w:firstLine="420" w:firstLineChars="200"/>
        <w:rPr>
          <w:rFonts w:ascii="仿宋" w:hAnsi="仿宋" w:eastAsia="仿宋"/>
          <w:snapToGrid w:val="0"/>
          <w:kern w:val="0"/>
          <w:szCs w:val="21"/>
          <w:highlight w:val="none"/>
        </w:rPr>
      </w:pPr>
      <w:r>
        <w:rPr>
          <w:rFonts w:hint="eastAsia" w:ascii="仿宋" w:hAnsi="仿宋" w:eastAsia="仿宋"/>
          <w:snapToGrid w:val="0"/>
          <w:kern w:val="0"/>
          <w:szCs w:val="21"/>
          <w:highlight w:val="none"/>
        </w:rPr>
        <w:t>供应商对政府采购活动事项有疑问的，可以提出询问，采购人或者采购代理机构应当在</w:t>
      </w:r>
      <w:r>
        <w:rPr>
          <w:rFonts w:ascii="仿宋" w:hAnsi="仿宋" w:eastAsia="仿宋"/>
          <w:snapToGrid w:val="0"/>
          <w:kern w:val="0"/>
          <w:szCs w:val="21"/>
          <w:highlight w:val="none"/>
        </w:rPr>
        <w:t>3个工作日内对供应</w:t>
      </w:r>
      <w:r>
        <w:rPr>
          <w:rFonts w:hint="eastAsia" w:ascii="仿宋" w:hAnsi="仿宋" w:eastAsia="仿宋"/>
          <w:snapToGrid w:val="0"/>
          <w:kern w:val="0"/>
          <w:szCs w:val="21"/>
          <w:highlight w:val="none"/>
        </w:rPr>
        <w:t>商依法提出的询问作出答复，但答复的内容不得涉及商业秘密。供应商的询问超出采购人对采购代理机构委托授权范围的，采购代理机构应当告知供应商向采购人提出。</w:t>
      </w:r>
    </w:p>
    <w:p>
      <w:pPr>
        <w:adjustRightInd w:val="0"/>
        <w:snapToGrid w:val="0"/>
        <w:spacing w:before="120" w:beforeLines="50" w:after="120" w:afterLines="50"/>
        <w:rPr>
          <w:rFonts w:hint="eastAsia" w:ascii="仿宋" w:hAnsi="仿宋" w:eastAsia="仿宋"/>
          <w:b/>
          <w:snapToGrid w:val="0"/>
          <w:kern w:val="0"/>
          <w:sz w:val="24"/>
          <w:highlight w:val="none"/>
        </w:rPr>
      </w:pPr>
      <w:r>
        <w:rPr>
          <w:rFonts w:hint="eastAsia" w:ascii="仿宋" w:hAnsi="仿宋" w:eastAsia="仿宋"/>
          <w:b/>
          <w:snapToGrid w:val="0"/>
          <w:kern w:val="0"/>
          <w:sz w:val="24"/>
          <w:highlight w:val="none"/>
        </w:rPr>
        <w:t>3.</w:t>
      </w:r>
      <w:r>
        <w:rPr>
          <w:rFonts w:ascii="仿宋" w:hAnsi="仿宋" w:eastAsia="仿宋"/>
          <w:b/>
          <w:snapToGrid w:val="0"/>
          <w:kern w:val="0"/>
          <w:sz w:val="24"/>
          <w:highlight w:val="none"/>
        </w:rPr>
        <w:t>供应商质疑</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rPr>
        <w:t>3.1 质疑提出时效</w:t>
      </w:r>
    </w:p>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3.1.1 提出质疑的供应商应当是参与所质疑项目采购活动的供应商。潜在供应商已依法获取其可质疑的采购文件的，可以对该文件提出质疑。</w:t>
      </w:r>
    </w:p>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3.1.2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numPr>
          <w:ilvl w:val="0"/>
          <w:numId w:val="7"/>
        </w:numPr>
        <w:adjustRightInd w:val="0"/>
        <w:snapToGrid w:val="0"/>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对采购文件提出质疑的，质疑期限为供应商获得采购文件之日或者采购文件公告期限届满之日起计算，采购文件在获取截止之日后获得的，应当自采购文件公告期限届满之日起计算。</w:t>
      </w:r>
    </w:p>
    <w:p>
      <w:pPr>
        <w:numPr>
          <w:ilvl w:val="0"/>
          <w:numId w:val="7"/>
        </w:numPr>
        <w:adjustRightInd w:val="0"/>
        <w:snapToGrid w:val="0"/>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对采购过程提出质疑的，质疑期限为各采购程序环节结束之日起计算。</w:t>
      </w:r>
    </w:p>
    <w:p>
      <w:pPr>
        <w:numPr>
          <w:ilvl w:val="0"/>
          <w:numId w:val="7"/>
        </w:numPr>
        <w:adjustRightInd w:val="0"/>
        <w:snapToGrid w:val="0"/>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对采购结果提出质疑的，质疑期限自采购结果公告期限届满之日起计算。</w:t>
      </w:r>
    </w:p>
    <w:p>
      <w:pPr>
        <w:numPr>
          <w:ilvl w:val="0"/>
          <w:numId w:val="7"/>
        </w:numPr>
        <w:adjustRightInd w:val="0"/>
        <w:snapToGrid w:val="0"/>
        <w:rPr>
          <w:rFonts w:ascii="仿宋" w:hAnsi="仿宋" w:eastAsia="仿宋"/>
          <w:snapToGrid w:val="0"/>
          <w:kern w:val="0"/>
          <w:szCs w:val="21"/>
          <w:highlight w:val="none"/>
        </w:rPr>
      </w:pPr>
      <w:r>
        <w:rPr>
          <w:rFonts w:hint="eastAsia" w:ascii="仿宋" w:hAnsi="仿宋" w:eastAsia="仿宋"/>
          <w:snapToGrid w:val="0"/>
          <w:kern w:val="0"/>
          <w:szCs w:val="21"/>
          <w:highlight w:val="none"/>
        </w:rPr>
        <w:t>对同一采购程序环节的质疑，供应商须一次性提出。</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rPr>
        <w:t>3.2 质疑答复</w:t>
      </w:r>
    </w:p>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3.2.1根据政府采购代理协议相关规定，质疑答复责任主体如下：</w:t>
      </w:r>
    </w:p>
    <w:p>
      <w:pPr>
        <w:adjustRightInd w:val="0"/>
        <w:snapToGrid w:val="0"/>
        <w:spacing w:before="120" w:beforeLines="50"/>
        <w:ind w:left="422" w:hanging="422" w:hangingChars="200"/>
        <w:jc w:val="center"/>
        <w:rPr>
          <w:rFonts w:ascii="仿宋" w:hAnsi="仿宋" w:eastAsia="仿宋"/>
          <w:b/>
          <w:snapToGrid w:val="0"/>
          <w:kern w:val="0"/>
          <w:szCs w:val="21"/>
          <w:highlight w:val="none"/>
        </w:rPr>
      </w:pPr>
      <w:r>
        <w:rPr>
          <w:rFonts w:hint="eastAsia" w:ascii="仿宋" w:hAnsi="仿宋" w:eastAsia="仿宋"/>
          <w:b/>
          <w:snapToGrid w:val="0"/>
          <w:kern w:val="0"/>
          <w:szCs w:val="21"/>
          <w:highlight w:val="none"/>
        </w:rPr>
        <w:t>质疑答复责任主体一览表</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82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6" w:type="dxa"/>
            <w:gridSpan w:val="2"/>
            <w:noWrap w:val="0"/>
            <w:vAlign w:val="center"/>
          </w:tcPr>
          <w:p>
            <w:pPr>
              <w:adjustRightInd w:val="0"/>
              <w:snapToGrid w:val="0"/>
              <w:jc w:val="center"/>
              <w:rPr>
                <w:rFonts w:ascii="仿宋" w:hAnsi="仿宋" w:eastAsia="仿宋"/>
                <w:b/>
                <w:snapToGrid w:val="0"/>
                <w:kern w:val="0"/>
                <w:szCs w:val="21"/>
                <w:highlight w:val="none"/>
              </w:rPr>
            </w:pPr>
            <w:r>
              <w:rPr>
                <w:rFonts w:hint="eastAsia" w:ascii="仿宋" w:hAnsi="仿宋" w:eastAsia="仿宋"/>
                <w:b/>
                <w:snapToGrid w:val="0"/>
                <w:kern w:val="0"/>
                <w:szCs w:val="21"/>
                <w:highlight w:val="none"/>
              </w:rPr>
              <w:t>质疑内容</w:t>
            </w:r>
          </w:p>
        </w:tc>
        <w:tc>
          <w:tcPr>
            <w:tcW w:w="2090" w:type="dxa"/>
            <w:noWrap w:val="0"/>
            <w:vAlign w:val="center"/>
          </w:tcPr>
          <w:p>
            <w:pPr>
              <w:adjustRightInd w:val="0"/>
              <w:snapToGrid w:val="0"/>
              <w:jc w:val="center"/>
              <w:rPr>
                <w:rFonts w:ascii="仿宋" w:hAnsi="仿宋" w:eastAsia="仿宋"/>
                <w:b/>
                <w:snapToGrid w:val="0"/>
                <w:kern w:val="0"/>
                <w:szCs w:val="21"/>
                <w:highlight w:val="none"/>
              </w:rPr>
            </w:pPr>
            <w:r>
              <w:rPr>
                <w:rFonts w:hint="eastAsia" w:ascii="仿宋" w:hAnsi="仿宋" w:eastAsia="仿宋"/>
                <w:b/>
                <w:snapToGrid w:val="0"/>
                <w:kern w:val="0"/>
                <w:szCs w:val="21"/>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restart"/>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对采购文件提出质疑</w:t>
            </w: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对采购文件中特定资格条件、采购需求、评审办法、评审标准提出的质疑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continue"/>
            <w:noWrap w:val="0"/>
            <w:vAlign w:val="center"/>
          </w:tcPr>
          <w:p>
            <w:pPr>
              <w:adjustRightInd w:val="0"/>
              <w:snapToGrid w:val="0"/>
              <w:jc w:val="left"/>
              <w:rPr>
                <w:rFonts w:ascii="仿宋" w:hAnsi="仿宋" w:eastAsia="仿宋"/>
                <w:snapToGrid w:val="0"/>
                <w:kern w:val="0"/>
                <w:szCs w:val="21"/>
                <w:highlight w:val="none"/>
              </w:rPr>
            </w:pP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对采购文件中其他内容提出的质疑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restart"/>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对采购过程提出质疑</w:t>
            </w: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有关现场考察或开启响应文件前答疑会事项提出的质疑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continue"/>
            <w:noWrap w:val="0"/>
            <w:vAlign w:val="center"/>
          </w:tcPr>
          <w:p>
            <w:pPr>
              <w:adjustRightInd w:val="0"/>
              <w:snapToGrid w:val="0"/>
              <w:jc w:val="left"/>
              <w:rPr>
                <w:rFonts w:ascii="仿宋" w:hAnsi="仿宋" w:eastAsia="仿宋"/>
                <w:snapToGrid w:val="0"/>
                <w:kern w:val="0"/>
                <w:szCs w:val="21"/>
                <w:highlight w:val="none"/>
              </w:rPr>
            </w:pP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对采购过程中其它事项提出的质疑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对采购结果提出质疑</w:t>
            </w:r>
          </w:p>
        </w:tc>
        <w:tc>
          <w:tcPr>
            <w:tcW w:w="4820" w:type="dxa"/>
            <w:noWrap w:val="0"/>
            <w:vAlign w:val="center"/>
          </w:tcPr>
          <w:p>
            <w:pPr>
              <w:adjustRightInd w:val="0"/>
              <w:snapToGrid w:val="0"/>
              <w:jc w:val="left"/>
              <w:rPr>
                <w:rFonts w:ascii="仿宋" w:hAnsi="仿宋" w:eastAsia="仿宋"/>
                <w:snapToGrid w:val="0"/>
                <w:kern w:val="0"/>
                <w:szCs w:val="21"/>
                <w:highlight w:val="none"/>
              </w:rPr>
            </w:pPr>
            <w:r>
              <w:rPr>
                <w:rFonts w:hint="eastAsia" w:ascii="仿宋" w:hAnsi="仿宋" w:eastAsia="仿宋"/>
                <w:snapToGrid w:val="0"/>
                <w:kern w:val="0"/>
                <w:szCs w:val="21"/>
                <w:highlight w:val="none"/>
              </w:rPr>
              <w:t>对采购结果提出的质疑</w:t>
            </w:r>
          </w:p>
        </w:tc>
        <w:tc>
          <w:tcPr>
            <w:tcW w:w="2090" w:type="dxa"/>
            <w:noWrap w:val="0"/>
            <w:vAlign w:val="center"/>
          </w:tcPr>
          <w:p>
            <w:pPr>
              <w:adjustRightInd w:val="0"/>
              <w:snapToGrid w:val="0"/>
              <w:jc w:val="center"/>
              <w:rPr>
                <w:rFonts w:ascii="仿宋" w:hAnsi="仿宋" w:eastAsia="仿宋"/>
                <w:snapToGrid w:val="0"/>
                <w:kern w:val="0"/>
                <w:szCs w:val="21"/>
                <w:highlight w:val="none"/>
              </w:rPr>
            </w:pPr>
            <w:r>
              <w:rPr>
                <w:rFonts w:hint="eastAsia" w:ascii="仿宋" w:hAnsi="仿宋" w:eastAsia="仿宋"/>
                <w:snapToGrid w:val="0"/>
                <w:kern w:val="0"/>
                <w:szCs w:val="21"/>
                <w:highlight w:val="none"/>
              </w:rPr>
              <w:t>采购代理机构</w:t>
            </w:r>
          </w:p>
        </w:tc>
      </w:tr>
    </w:tbl>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3.2.2 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hint="eastAsia" w:ascii="仿宋" w:hAnsi="仿宋" w:eastAsia="仿宋"/>
          <w:snapToGrid w:val="0"/>
          <w:kern w:val="0"/>
          <w:szCs w:val="21"/>
          <w:highlight w:val="none"/>
          <w:lang w:val="en-US" w:eastAsia="zh-CN"/>
        </w:rPr>
        <w:t>[</w:t>
      </w:r>
      <w:r>
        <w:rPr>
          <w:rFonts w:hint="eastAsia" w:ascii="仿宋" w:hAnsi="仿宋" w:eastAsia="仿宋"/>
          <w:snapToGrid w:val="0"/>
          <w:kern w:val="0"/>
          <w:szCs w:val="21"/>
          <w:highlight w:val="none"/>
        </w:rPr>
        <w:t>2021</w:t>
      </w:r>
      <w:r>
        <w:rPr>
          <w:rFonts w:hint="eastAsia" w:ascii="仿宋" w:hAnsi="仿宋" w:eastAsia="仿宋"/>
          <w:snapToGrid w:val="0"/>
          <w:kern w:val="0"/>
          <w:szCs w:val="21"/>
          <w:highlight w:val="none"/>
          <w:lang w:val="en-US" w:eastAsia="zh-CN"/>
        </w:rPr>
        <w:t>]</w:t>
      </w:r>
      <w:r>
        <w:rPr>
          <w:rFonts w:hint="eastAsia" w:ascii="仿宋" w:hAnsi="仿宋" w:eastAsia="仿宋"/>
          <w:snapToGrid w:val="0"/>
          <w:kern w:val="0"/>
          <w:szCs w:val="21"/>
          <w:highlight w:val="none"/>
        </w:rPr>
        <w:t>22号）文件的要求,采购人或者采购机构在质疑回复后5个工作日内，在浙江政府采购网的“其他公告”栏目公开质疑答复，答复内容应当完整。质疑函作为附件上传。</w:t>
      </w:r>
    </w:p>
    <w:p>
      <w:pPr>
        <w:adjustRightInd w:val="0"/>
        <w:snapToGrid w:val="0"/>
        <w:ind w:left="630" w:hanging="630" w:hangingChars="3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3.2.3 询问或质疑事项可能影响采购结果的，采购人应当暂停签订合同，已经签订合同的，应当中止履行合同。</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rPr>
        <w:t>3.3 质疑函</w:t>
      </w:r>
    </w:p>
    <w:p>
      <w:pPr>
        <w:adjustRightInd w:val="0"/>
        <w:snapToGrid w:val="0"/>
        <w:ind w:left="630" w:hanging="630" w:hangingChars="300"/>
        <w:rPr>
          <w:rFonts w:ascii="仿宋" w:hAnsi="仿宋" w:eastAsia="仿宋"/>
          <w:snapToGrid w:val="0"/>
          <w:kern w:val="0"/>
          <w:szCs w:val="21"/>
          <w:highlight w:val="none"/>
        </w:rPr>
      </w:pPr>
      <w:r>
        <w:rPr>
          <w:rFonts w:hint="eastAsia" w:ascii="仿宋" w:hAnsi="仿宋" w:eastAsia="仿宋"/>
          <w:snapToGrid w:val="0"/>
          <w:kern w:val="0"/>
          <w:szCs w:val="21"/>
          <w:highlight w:val="none"/>
        </w:rPr>
        <w:t>3.3</w:t>
      </w:r>
      <w:r>
        <w:rPr>
          <w:rFonts w:ascii="仿宋" w:hAnsi="仿宋" w:eastAsia="仿宋"/>
          <w:snapToGrid w:val="0"/>
          <w:kern w:val="0"/>
          <w:szCs w:val="21"/>
          <w:highlight w:val="none"/>
        </w:rPr>
        <w:t>.</w:t>
      </w:r>
      <w:r>
        <w:rPr>
          <w:rFonts w:hint="eastAsia" w:ascii="仿宋" w:hAnsi="仿宋" w:eastAsia="仿宋"/>
          <w:snapToGrid w:val="0"/>
          <w:kern w:val="0"/>
          <w:szCs w:val="21"/>
          <w:highlight w:val="none"/>
        </w:rPr>
        <w:t>1 供应商提出质疑应当提交质疑函和必要的证明材料。质疑函应当包括下列内容：</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供应商的姓名或者名称、地址、邮编、联系人及联系电话；</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质疑项目的名称、编号；</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具体、明确的质疑事项和与质疑事项相关的请求；</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事实依据；</w:t>
      </w:r>
    </w:p>
    <w:p>
      <w:pPr>
        <w:numPr>
          <w:ilvl w:val="0"/>
          <w:numId w:val="8"/>
        </w:numPr>
        <w:adjustRightInd w:val="0"/>
        <w:snapToGrid w:val="0"/>
        <w:rPr>
          <w:rFonts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必要的法律依据；</w:t>
      </w:r>
    </w:p>
    <w:p>
      <w:pPr>
        <w:numPr>
          <w:ilvl w:val="0"/>
          <w:numId w:val="8"/>
        </w:numPr>
        <w:adjustRightInd w:val="0"/>
        <w:snapToGrid w:val="0"/>
        <w:rPr>
          <w:rFonts w:hint="eastAsia" w:ascii="仿宋" w:hAnsi="仿宋" w:eastAsia="仿宋" w:cs="微软雅黑"/>
          <w:snapToGrid w:val="0"/>
          <w:kern w:val="0"/>
          <w:highlight w:val="none"/>
          <w:lang w:val="zh-CN"/>
        </w:rPr>
      </w:pPr>
      <w:r>
        <w:rPr>
          <w:rFonts w:hint="eastAsia" w:ascii="仿宋" w:hAnsi="仿宋" w:eastAsia="仿宋" w:cs="微软雅黑"/>
          <w:snapToGrid w:val="0"/>
          <w:kern w:val="0"/>
          <w:highlight w:val="none"/>
          <w:lang w:val="zh-CN"/>
        </w:rPr>
        <w:t>提出质疑的日期。</w:t>
      </w:r>
    </w:p>
    <w:p>
      <w:pPr>
        <w:adjustRightInd w:val="0"/>
        <w:snapToGrid w:val="0"/>
        <w:ind w:firstLine="420" w:firstLineChars="200"/>
        <w:rPr>
          <w:rFonts w:hint="eastAsia" w:ascii="仿宋" w:hAnsi="仿宋" w:eastAsia="仿宋"/>
          <w:snapToGrid w:val="0"/>
          <w:kern w:val="0"/>
          <w:highlight w:val="none"/>
        </w:rPr>
      </w:pPr>
      <w:r>
        <w:rPr>
          <w:rFonts w:hint="eastAsia" w:ascii="仿宋" w:hAnsi="仿宋" w:eastAsia="仿宋"/>
          <w:snapToGrid w:val="0"/>
          <w:kern w:val="0"/>
          <w:highlight w:val="none"/>
        </w:rPr>
        <w:t>供应商提交的质疑函需一式三份。供应商为自然人的，应当由本人签字；供应商为法人或者其他组织的，应当由法定代表人、主要负责人，或者其授权代表签字或者盖章，并加盖公章。</w:t>
      </w:r>
    </w:p>
    <w:p>
      <w:pPr>
        <w:adjustRightInd w:val="0"/>
        <w:snapToGrid w:val="0"/>
        <w:ind w:firstLine="413" w:firstLineChars="196"/>
        <w:rPr>
          <w:rFonts w:ascii="仿宋" w:hAnsi="仿宋" w:eastAsia="仿宋" w:cs="微软雅黑"/>
          <w:b/>
          <w:snapToGrid w:val="0"/>
          <w:kern w:val="0"/>
          <w:highlight w:val="none"/>
          <w:lang w:val="zh-CN"/>
        </w:rPr>
      </w:pPr>
      <w:r>
        <w:rPr>
          <w:rFonts w:hint="eastAsia" w:ascii="仿宋" w:hAnsi="仿宋" w:eastAsia="仿宋"/>
          <w:b/>
          <w:snapToGrid w:val="0"/>
          <w:kern w:val="0"/>
          <w:highlight w:val="none"/>
        </w:rPr>
        <w:t>质疑函范本及制作说明详见附件1</w:t>
      </w:r>
      <w:r>
        <w:rPr>
          <w:rFonts w:ascii="仿宋" w:hAnsi="仿宋" w:eastAsia="仿宋"/>
          <w:b/>
          <w:snapToGrid w:val="0"/>
          <w:kern w:val="0"/>
          <w:highlight w:val="none"/>
        </w:rPr>
        <w:t>。</w:t>
      </w:r>
    </w:p>
    <w:p>
      <w:pPr>
        <w:adjustRightInd w:val="0"/>
        <w:snapToGrid w:val="0"/>
        <w:spacing w:before="120" w:beforeLines="50" w:after="120" w:afterLines="50"/>
        <w:rPr>
          <w:rFonts w:ascii="仿宋" w:hAnsi="仿宋" w:eastAsia="仿宋" w:cs="微软雅黑"/>
          <w:snapToGrid w:val="0"/>
          <w:szCs w:val="21"/>
          <w:highlight w:val="none"/>
          <w:lang w:val="zh-CN"/>
        </w:rPr>
      </w:pPr>
      <w:r>
        <w:rPr>
          <w:rFonts w:ascii="仿宋" w:hAnsi="仿宋" w:eastAsia="仿宋"/>
          <w:b/>
          <w:snapToGrid w:val="0"/>
          <w:kern w:val="0"/>
          <w:sz w:val="24"/>
          <w:highlight w:val="none"/>
        </w:rPr>
        <w:t>4.供应商投诉</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质疑供应商对采购人、</w:t>
      </w:r>
      <w:r>
        <w:rPr>
          <w:rFonts w:hint="eastAsia" w:ascii="仿宋" w:hAnsi="仿宋" w:eastAsia="仿宋"/>
          <w:snapToGrid w:val="0"/>
          <w:kern w:val="0"/>
          <w:szCs w:val="21"/>
          <w:highlight w:val="none"/>
        </w:rPr>
        <w:t>采购代理机构</w:t>
      </w:r>
      <w:r>
        <w:rPr>
          <w:rFonts w:ascii="仿宋" w:hAnsi="仿宋" w:eastAsia="仿宋"/>
          <w:snapToGrid w:val="0"/>
          <w:kern w:val="0"/>
          <w:szCs w:val="21"/>
          <w:highlight w:val="none"/>
        </w:rPr>
        <w:t>的答复不满意或者采购人、</w:t>
      </w:r>
      <w:r>
        <w:rPr>
          <w:rFonts w:hint="eastAsia" w:ascii="仿宋" w:hAnsi="仿宋" w:eastAsia="仿宋"/>
          <w:snapToGrid w:val="0"/>
          <w:kern w:val="0"/>
          <w:szCs w:val="21"/>
          <w:highlight w:val="none"/>
        </w:rPr>
        <w:t>采购代理机构</w:t>
      </w:r>
      <w:r>
        <w:rPr>
          <w:rFonts w:ascii="仿宋" w:hAnsi="仿宋" w:eastAsia="仿宋"/>
          <w:snapToGrid w:val="0"/>
          <w:kern w:val="0"/>
          <w:szCs w:val="21"/>
          <w:highlight w:val="none"/>
        </w:rPr>
        <w:t>未在规定的时间内</w:t>
      </w:r>
      <w:r>
        <w:rPr>
          <w:rFonts w:hint="eastAsia" w:ascii="仿宋" w:hAnsi="仿宋" w:eastAsia="仿宋"/>
          <w:snapToGrid w:val="0"/>
          <w:kern w:val="0"/>
          <w:szCs w:val="21"/>
          <w:highlight w:val="none"/>
        </w:rPr>
        <w:t>作出答复的，可以在答复期满后十五个工作日内向同级政府采购监督管理部门提出投诉。</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供应</w:t>
      </w:r>
      <w:r>
        <w:rPr>
          <w:rFonts w:hint="eastAsia" w:ascii="仿宋" w:hAnsi="仿宋" w:eastAsia="仿宋"/>
          <w:snapToGrid w:val="0"/>
          <w:kern w:val="0"/>
          <w:szCs w:val="21"/>
          <w:highlight w:val="none"/>
        </w:rPr>
        <w:t>商投诉的事项不得超出已质疑事项的范围，基于质疑答复内容提出的投诉事项除外。</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w:t>
      </w:r>
      <w:r>
        <w:rPr>
          <w:rFonts w:ascii="仿宋" w:hAnsi="仿宋" w:eastAsia="仿宋"/>
          <w:snapToGrid w:val="0"/>
          <w:kern w:val="0"/>
          <w:szCs w:val="21"/>
          <w:highlight w:val="none"/>
        </w:rPr>
        <w:t>.3</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供应</w:t>
      </w:r>
      <w:r>
        <w:rPr>
          <w:rFonts w:hint="eastAsia" w:ascii="仿宋" w:hAnsi="仿宋" w:eastAsia="仿宋"/>
          <w:snapToGrid w:val="0"/>
          <w:kern w:val="0"/>
          <w:szCs w:val="21"/>
          <w:highlight w:val="none"/>
        </w:rPr>
        <w:t>商投诉应当有明确的请求和必要的证明材料。</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4</w:t>
      </w:r>
      <w:r>
        <w:rPr>
          <w:rFonts w:ascii="仿宋" w:hAnsi="仿宋" w:eastAsia="仿宋"/>
          <w:snapToGrid w:val="0"/>
          <w:kern w:val="0"/>
          <w:szCs w:val="21"/>
          <w:highlight w:val="none"/>
        </w:rPr>
        <w:t>.4</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以联合体形</w:t>
      </w:r>
      <w:r>
        <w:rPr>
          <w:rFonts w:hint="eastAsia" w:ascii="仿宋" w:hAnsi="仿宋" w:eastAsia="仿宋"/>
          <w:snapToGrid w:val="0"/>
          <w:kern w:val="0"/>
          <w:szCs w:val="21"/>
          <w:highlight w:val="none"/>
        </w:rPr>
        <w:t>式参加政府采购活动的，其投诉应当由组成联合体的所有供应商共同提出。</w:t>
      </w:r>
    </w:p>
    <w:p>
      <w:pPr>
        <w:adjustRightInd w:val="0"/>
        <w:snapToGrid w:val="0"/>
        <w:ind w:firstLine="413" w:firstLineChars="196"/>
        <w:rPr>
          <w:rFonts w:hint="eastAsia" w:ascii="仿宋" w:hAnsi="仿宋" w:eastAsia="仿宋"/>
          <w:b/>
          <w:snapToGrid w:val="0"/>
          <w:kern w:val="0"/>
          <w:highlight w:val="none"/>
        </w:rPr>
      </w:pPr>
      <w:r>
        <w:rPr>
          <w:rFonts w:hint="eastAsia" w:ascii="仿宋" w:hAnsi="仿宋" w:eastAsia="仿宋"/>
          <w:b/>
          <w:snapToGrid w:val="0"/>
          <w:kern w:val="0"/>
          <w:highlight w:val="none"/>
        </w:rPr>
        <w:t>投诉书范本及制作说明详见附件2。</w:t>
      </w:r>
    </w:p>
    <w:p>
      <w:pPr>
        <w:adjustRightInd w:val="0"/>
        <w:snapToGrid w:val="0"/>
        <w:ind w:firstLine="413" w:firstLineChars="196"/>
        <w:rPr>
          <w:rFonts w:ascii="仿宋" w:hAnsi="仿宋" w:eastAsia="仿宋"/>
          <w:b/>
          <w:snapToGrid w:val="0"/>
          <w:kern w:val="0"/>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ascii="仿宋" w:hAnsi="仿宋" w:eastAsia="仿宋" w:cs="仿宋_GB2312"/>
          <w:snapToGrid w:val="0"/>
          <w:kern w:val="0"/>
          <w:sz w:val="28"/>
          <w:szCs w:val="28"/>
          <w:highlight w:val="none"/>
        </w:rPr>
        <w:t>五、</w:t>
      </w:r>
      <w:r>
        <w:rPr>
          <w:rFonts w:hint="eastAsia" w:ascii="仿宋" w:hAnsi="仿宋" w:eastAsia="仿宋" w:cs="仿宋_GB2312"/>
          <w:snapToGrid w:val="0"/>
          <w:kern w:val="0"/>
          <w:sz w:val="28"/>
          <w:szCs w:val="28"/>
          <w:highlight w:val="none"/>
        </w:rPr>
        <w:t>采购</w:t>
      </w:r>
      <w:r>
        <w:rPr>
          <w:rFonts w:ascii="仿宋" w:hAnsi="仿宋" w:eastAsia="仿宋" w:cs="仿宋_GB2312"/>
          <w:snapToGrid w:val="0"/>
          <w:kern w:val="0"/>
          <w:sz w:val="28"/>
          <w:szCs w:val="28"/>
          <w:highlight w:val="none"/>
        </w:rPr>
        <w:t>文件的构成、澄清、修改</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采购文件的构成</w:t>
      </w:r>
    </w:p>
    <w:p>
      <w:pPr>
        <w:pStyle w:val="38"/>
        <w:adjustRightInd w:val="0"/>
        <w:snapToGrid w:val="0"/>
        <w:rPr>
          <w:rFonts w:ascii="仿宋" w:hAnsi="仿宋" w:eastAsia="仿宋" w:cs="仿宋_GB2312"/>
          <w:snapToGrid w:val="0"/>
          <w:kern w:val="0"/>
          <w:highlight w:val="none"/>
        </w:rPr>
      </w:pPr>
      <w:r>
        <w:rPr>
          <w:rFonts w:hint="eastAsia" w:ascii="仿宋" w:hAnsi="仿宋" w:eastAsia="仿宋" w:cs="仿宋_GB2312"/>
          <w:snapToGrid w:val="0"/>
          <w:kern w:val="0"/>
          <w:highlight w:val="none"/>
        </w:rPr>
        <w:t>1</w:t>
      </w:r>
      <w:r>
        <w:rPr>
          <w:rFonts w:ascii="仿宋" w:hAnsi="仿宋" w:eastAsia="仿宋" w:cs="仿宋_GB2312"/>
          <w:snapToGrid w:val="0"/>
          <w:kern w:val="0"/>
          <w:highlight w:val="none"/>
        </w:rPr>
        <w:t>.1</w:t>
      </w:r>
      <w:r>
        <w:rPr>
          <w:rFonts w:hint="eastAsia" w:ascii="仿宋" w:hAnsi="仿宋" w:eastAsia="仿宋" w:cs="仿宋_GB2312"/>
          <w:snapToGrid w:val="0"/>
          <w:kern w:val="0"/>
          <w:highlight w:val="none"/>
        </w:rPr>
        <w:t xml:space="preserve"> 采购文件包括下列文件及附件：</w:t>
      </w:r>
    </w:p>
    <w:p>
      <w:pPr>
        <w:pStyle w:val="38"/>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采购公告</w:t>
      </w:r>
      <w:r>
        <w:rPr>
          <w:rFonts w:ascii="仿宋" w:hAnsi="仿宋" w:eastAsia="仿宋" w:cs="仿宋_GB2312"/>
          <w:snapToGrid w:val="0"/>
          <w:kern w:val="0"/>
          <w:highlight w:val="none"/>
        </w:rPr>
        <w:t>；</w:t>
      </w:r>
    </w:p>
    <w:p>
      <w:pPr>
        <w:pStyle w:val="38"/>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磋商流程</w:t>
      </w:r>
      <w:r>
        <w:rPr>
          <w:rFonts w:ascii="仿宋" w:hAnsi="仿宋" w:eastAsia="仿宋" w:cs="仿宋_GB2312"/>
          <w:snapToGrid w:val="0"/>
          <w:kern w:val="0"/>
          <w:highlight w:val="none"/>
        </w:rPr>
        <w:t>；</w:t>
      </w:r>
    </w:p>
    <w:p>
      <w:pPr>
        <w:pStyle w:val="38"/>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供应商</w:t>
      </w:r>
      <w:r>
        <w:rPr>
          <w:rFonts w:ascii="仿宋" w:hAnsi="仿宋" w:eastAsia="仿宋" w:cs="仿宋_GB2312"/>
          <w:snapToGrid w:val="0"/>
          <w:kern w:val="0"/>
          <w:highlight w:val="none"/>
        </w:rPr>
        <w:t>须知；</w:t>
      </w:r>
    </w:p>
    <w:p>
      <w:pPr>
        <w:pStyle w:val="38"/>
        <w:numPr>
          <w:ilvl w:val="0"/>
          <w:numId w:val="9"/>
        </w:numPr>
        <w:tabs>
          <w:tab w:val="left" w:pos="840"/>
        </w:tabs>
        <w:adjustRightInd w:val="0"/>
        <w:snapToGrid w:val="0"/>
        <w:rPr>
          <w:rFonts w:hint="eastAsia" w:ascii="仿宋" w:hAnsi="仿宋" w:eastAsia="仿宋" w:cs="仿宋_GB2312"/>
          <w:snapToGrid w:val="0"/>
          <w:kern w:val="0"/>
          <w:highlight w:val="none"/>
        </w:rPr>
      </w:pPr>
      <w:r>
        <w:rPr>
          <w:rFonts w:ascii="仿宋" w:hAnsi="仿宋" w:eastAsia="仿宋" w:cs="仿宋_GB2312"/>
          <w:snapToGrid w:val="0"/>
          <w:kern w:val="0"/>
          <w:highlight w:val="none"/>
        </w:rPr>
        <w:t>采购需求；</w:t>
      </w:r>
    </w:p>
    <w:p>
      <w:pPr>
        <w:pStyle w:val="38"/>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评审办</w:t>
      </w:r>
      <w:r>
        <w:rPr>
          <w:rFonts w:ascii="仿宋" w:hAnsi="仿宋" w:eastAsia="仿宋" w:cs="仿宋_GB2312"/>
          <w:snapToGrid w:val="0"/>
          <w:kern w:val="0"/>
          <w:highlight w:val="none"/>
        </w:rPr>
        <w:t>法；</w:t>
      </w:r>
    </w:p>
    <w:p>
      <w:pPr>
        <w:pStyle w:val="38"/>
        <w:numPr>
          <w:ilvl w:val="0"/>
          <w:numId w:val="9"/>
        </w:numPr>
        <w:tabs>
          <w:tab w:val="left" w:pos="840"/>
        </w:tabs>
        <w:adjustRightInd w:val="0"/>
        <w:snapToGrid w:val="0"/>
        <w:rPr>
          <w:rFonts w:hint="eastAsia" w:ascii="仿宋" w:hAnsi="仿宋" w:eastAsia="仿宋" w:cs="仿宋_GB2312"/>
          <w:snapToGrid w:val="0"/>
          <w:kern w:val="0"/>
          <w:highlight w:val="none"/>
        </w:rPr>
      </w:pPr>
      <w:r>
        <w:rPr>
          <w:rFonts w:hint="eastAsia" w:ascii="仿宋" w:hAnsi="仿宋" w:eastAsia="仿宋" w:cs="仿宋_GB2312"/>
          <w:snapToGrid w:val="0"/>
          <w:kern w:val="0"/>
          <w:highlight w:val="none"/>
        </w:rPr>
        <w:t>拟签订的合同文本；</w:t>
      </w:r>
    </w:p>
    <w:p>
      <w:pPr>
        <w:pStyle w:val="38"/>
        <w:numPr>
          <w:ilvl w:val="0"/>
          <w:numId w:val="9"/>
        </w:numPr>
        <w:tabs>
          <w:tab w:val="left" w:pos="840"/>
        </w:tabs>
        <w:adjustRightInd w:val="0"/>
        <w:snapToGrid w:val="0"/>
        <w:rPr>
          <w:rFonts w:ascii="仿宋" w:hAnsi="仿宋" w:eastAsia="仿宋" w:cs="仿宋_GB2312"/>
          <w:snapToGrid w:val="0"/>
          <w:kern w:val="0"/>
          <w:highlight w:val="none"/>
        </w:rPr>
      </w:pPr>
      <w:r>
        <w:rPr>
          <w:rFonts w:hint="eastAsia" w:ascii="仿宋" w:hAnsi="仿宋" w:eastAsia="仿宋" w:cs="仿宋_GB2312"/>
          <w:snapToGrid w:val="0"/>
          <w:kern w:val="0"/>
          <w:highlight w:val="none"/>
        </w:rPr>
        <w:t>应提交的有关格式范例。</w:t>
      </w:r>
    </w:p>
    <w:p>
      <w:pPr>
        <w:adjustRightInd w:val="0"/>
        <w:snapToGrid w:val="0"/>
        <w:rPr>
          <w:rFonts w:ascii="仿宋" w:hAnsi="仿宋" w:eastAsia="仿宋" w:cs="仿宋_GB2312"/>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与本项目有关的</w:t>
      </w:r>
      <w:r>
        <w:rPr>
          <w:rFonts w:hint="eastAsia" w:ascii="仿宋" w:hAnsi="仿宋" w:eastAsia="仿宋"/>
          <w:bCs/>
          <w:snapToGrid w:val="0"/>
          <w:kern w:val="0"/>
          <w:szCs w:val="21"/>
          <w:highlight w:val="none"/>
        </w:rPr>
        <w:t>澄清或者修改的内容为采购文件的组成部分</w:t>
      </w:r>
      <w:r>
        <w:rPr>
          <w:rFonts w:hint="eastAsia" w:ascii="仿宋" w:hAnsi="仿宋" w:eastAsia="仿宋" w:cs="仿宋_GB2312"/>
          <w:snapToGrid w:val="0"/>
          <w:kern w:val="0"/>
          <w:szCs w:val="21"/>
          <w:highlight w:val="none"/>
        </w:rPr>
        <w:t>。</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2.采购文件的澄清、修改</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已获取采购文件的潜在供应商，若有问题需要澄清，应于提交响应文件截止时间前，以书面形式向采购机构提出。</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采购机构对采购文件进行澄清或者修改的，将同时通过电子交易平台通知已获取采购文件的潜在供应商。依法应当公告的，将按规定公告，同时视情况延长提交响应文件截止时间和开标时间。该澄清或者修改的内容为采购文件的组成部分。</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2.3 澄清或者修改的内容可能影响响应文件编制的，采购人、采购代理机构应当在提交首次响应文件截止时间至少5日前，通过电子交易平台通知所有获取采购文件的供应商；不足5日的，采购人、采购代理机构应当顺延提交首次响应文件截止时间。</w:t>
      </w:r>
    </w:p>
    <w:p>
      <w:pPr>
        <w:adjustRightInd w:val="0"/>
        <w:snapToGrid w:val="0"/>
        <w:rPr>
          <w:rFonts w:hint="eastAsia" w:ascii="仿宋" w:hAnsi="仿宋" w:eastAsia="仿宋"/>
          <w:b/>
          <w:snapToGrid w:val="0"/>
          <w:kern w:val="0"/>
          <w:highlight w:val="none"/>
          <w:u w:val="single"/>
        </w:rPr>
      </w:pPr>
      <w:r>
        <w:rPr>
          <w:rFonts w:hint="eastAsia" w:ascii="仿宋" w:hAnsi="仿宋" w:eastAsia="仿宋"/>
          <w:b/>
          <w:snapToGrid w:val="0"/>
          <w:kern w:val="0"/>
          <w:highlight w:val="none"/>
          <w:u w:val="single"/>
          <w:lang w:val="en-US" w:eastAsia="zh-CN"/>
        </w:rPr>
        <w:t xml:space="preserve">2.4 </w:t>
      </w:r>
      <w:r>
        <w:rPr>
          <w:rFonts w:hint="eastAsia" w:ascii="仿宋" w:hAnsi="仿宋" w:eastAsia="仿宋"/>
          <w:b/>
          <w:snapToGrid w:val="0"/>
          <w:kern w:val="0"/>
          <w:highlight w:val="none"/>
          <w:u w:val="single"/>
        </w:rPr>
        <w:t>▲响应文件未按照采购文件的澄清、修改内容进行编制，又不符合实质性要求的，响应无效。</w:t>
      </w:r>
    </w:p>
    <w:p>
      <w:pPr>
        <w:adjustRightInd w:val="0"/>
        <w:snapToGrid w:val="0"/>
        <w:ind w:firstLine="413" w:firstLineChars="196"/>
        <w:rPr>
          <w:rFonts w:ascii="仿宋" w:hAnsi="仿宋" w:eastAsia="仿宋"/>
          <w:b/>
          <w:snapToGrid w:val="0"/>
          <w:kern w:val="0"/>
          <w:highlight w:val="none"/>
          <w:u w:val="singl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六、响应文件的编制</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1.响应文件的语言</w:t>
      </w:r>
    </w:p>
    <w:p>
      <w:pPr>
        <w:pStyle w:val="38"/>
        <w:adjustRightInd w:val="0"/>
        <w:snapToGrid w:val="0"/>
        <w:ind w:firstLine="420" w:firstLineChars="200"/>
        <w:rPr>
          <w:rFonts w:ascii="仿宋" w:hAnsi="仿宋" w:eastAsia="仿宋"/>
          <w:snapToGrid w:val="0"/>
          <w:kern w:val="0"/>
          <w:highlight w:val="none"/>
        </w:rPr>
      </w:pPr>
      <w:r>
        <w:rPr>
          <w:rFonts w:hint="eastAsia" w:ascii="仿宋" w:hAnsi="仿宋" w:eastAsia="仿宋"/>
          <w:snapToGrid w:val="0"/>
          <w:kern w:val="0"/>
          <w:highlight w:val="none"/>
        </w:rPr>
        <w:t>响应文件及供应商与采购有关的来往通知、函件和文件均应使用中文。</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2.响应文件的组成</w:t>
      </w:r>
    </w:p>
    <w:p>
      <w:pPr>
        <w:adjustRightInd w:val="0"/>
        <w:snapToGrid w:val="0"/>
        <w:rPr>
          <w:rFonts w:hint="eastAsia" w:ascii="仿宋" w:hAnsi="仿宋" w:eastAsia="仿宋" w:cs="仿宋_GB2312"/>
          <w:b/>
          <w:snapToGrid w:val="0"/>
          <w:kern w:val="0"/>
          <w:szCs w:val="21"/>
          <w:highlight w:val="none"/>
        </w:rPr>
      </w:pPr>
      <w:r>
        <w:rPr>
          <w:rFonts w:ascii="仿宋" w:hAnsi="仿宋" w:eastAsia="仿宋" w:cs="仿宋_GB2312"/>
          <w:b/>
          <w:snapToGrid w:val="0"/>
          <w:kern w:val="0"/>
          <w:szCs w:val="21"/>
          <w:highlight w:val="none"/>
        </w:rPr>
        <w:t>响应文件应当包括以下主要内容：</w:t>
      </w:r>
    </w:p>
    <w:p>
      <w:pPr>
        <w:numPr>
          <w:ilvl w:val="0"/>
          <w:numId w:val="10"/>
        </w:numPr>
        <w:adjustRightInd w:val="0"/>
        <w:snapToGrid w:val="0"/>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响应函</w:t>
      </w:r>
    </w:p>
    <w:p>
      <w:pPr>
        <w:numPr>
          <w:ilvl w:val="0"/>
          <w:numId w:val="10"/>
        </w:numPr>
        <w:adjustRightInd w:val="0"/>
        <w:snapToGrid w:val="0"/>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资格文件</w:t>
      </w:r>
    </w:p>
    <w:p>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A.</w:t>
      </w:r>
      <w:r>
        <w:rPr>
          <w:rFonts w:hint="eastAsia" w:ascii="仿宋" w:hAnsi="仿宋" w:eastAsia="仿宋" w:cs="仿宋_GB2312"/>
          <w:snapToGrid w:val="0"/>
          <w:kern w:val="0"/>
          <w:szCs w:val="21"/>
          <w:highlight w:val="none"/>
        </w:rPr>
        <w:t>符合参加政府采购活动应当具备的一般条件的承诺函（以联合体形式参加政府采购活动的，联合体各方均应提交该承诺函）；</w:t>
      </w:r>
    </w:p>
    <w:p>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B.</w:t>
      </w:r>
      <w:r>
        <w:rPr>
          <w:rFonts w:hint="eastAsia" w:ascii="仿宋" w:hAnsi="仿宋" w:eastAsia="仿宋" w:cs="仿宋_GB2312"/>
          <w:snapToGrid w:val="0"/>
          <w:kern w:val="0"/>
          <w:szCs w:val="21"/>
          <w:highlight w:val="none"/>
        </w:rPr>
        <w:t>落实政府采购政策需满足的资格要求</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C.</w:t>
      </w:r>
      <w:r>
        <w:rPr>
          <w:rFonts w:hint="eastAsia" w:ascii="仿宋" w:hAnsi="仿宋" w:eastAsia="仿宋" w:cs="仿宋_GB2312"/>
          <w:snapToGrid w:val="0"/>
          <w:kern w:val="0"/>
          <w:szCs w:val="21"/>
          <w:highlight w:val="none"/>
        </w:rPr>
        <w:t>符合特定资格条件的有关证明材料（如果有）。</w:t>
      </w:r>
      <w:r>
        <w:rPr>
          <w:rFonts w:hint="eastAsia" w:ascii="仿宋" w:hAnsi="仿宋" w:eastAsia="仿宋" w:cs="仿宋_GB2312"/>
          <w:snapToGrid w:val="0"/>
          <w:kern w:val="0"/>
          <w:szCs w:val="21"/>
          <w:highlight w:val="none"/>
        </w:rPr>
        <w:tab/>
      </w:r>
    </w:p>
    <w:p>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ascii="宋体" w:hAnsi="宋体" w:eastAsia="宋体" w:cs="仿宋_GB2312"/>
          <w:sz w:val="24"/>
          <w:highlight w:val="none"/>
        </w:rPr>
      </w:pPr>
      <w:r>
        <w:rPr>
          <w:rFonts w:hint="eastAsia" w:ascii="仿宋" w:hAnsi="仿宋" w:eastAsia="仿宋" w:cs="仿宋_GB2312"/>
          <w:snapToGrid w:val="0"/>
          <w:kern w:val="0"/>
          <w:szCs w:val="21"/>
          <w:highlight w:val="none"/>
          <w:lang w:val="en-US" w:eastAsia="zh-CN"/>
        </w:rPr>
        <w:t>D.</w:t>
      </w:r>
      <w:r>
        <w:rPr>
          <w:rFonts w:hint="eastAsia" w:ascii="仿宋" w:hAnsi="仿宋" w:eastAsia="仿宋" w:cs="仿宋_GB2312"/>
          <w:snapToGrid w:val="0"/>
          <w:kern w:val="0"/>
          <w:szCs w:val="21"/>
          <w:highlight w:val="none"/>
        </w:rPr>
        <w:t>联合协议</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授权委托书或法定代表人（单位负责人、自然人本人）身份证明；</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分包意向协议</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所有资信文件</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lang w:val="zh-CN"/>
        </w:rPr>
        <w:t>关于对</w:t>
      </w:r>
      <w:r>
        <w:rPr>
          <w:rFonts w:hint="eastAsia" w:ascii="仿宋" w:hAnsi="仿宋" w:eastAsia="仿宋" w:cs="仿宋_GB2312"/>
          <w:snapToGrid w:val="0"/>
          <w:kern w:val="0"/>
          <w:szCs w:val="21"/>
          <w:highlight w:val="none"/>
          <w:lang w:val="en-US" w:eastAsia="zh-CN"/>
        </w:rPr>
        <w:t>采购</w:t>
      </w:r>
      <w:r>
        <w:rPr>
          <w:rFonts w:hint="eastAsia" w:ascii="仿宋" w:hAnsi="仿宋" w:eastAsia="仿宋" w:cs="仿宋_GB2312"/>
          <w:snapToGrid w:val="0"/>
          <w:kern w:val="0"/>
          <w:szCs w:val="21"/>
          <w:highlight w:val="none"/>
          <w:lang w:val="zh-CN"/>
        </w:rPr>
        <w:t>文件中有关</w:t>
      </w:r>
      <w:r>
        <w:rPr>
          <w:rFonts w:hint="eastAsia" w:ascii="仿宋" w:hAnsi="仿宋" w:eastAsia="仿宋" w:cs="仿宋_GB2312"/>
          <w:snapToGrid w:val="0"/>
          <w:kern w:val="0"/>
          <w:szCs w:val="21"/>
          <w:highlight w:val="none"/>
          <w:lang w:val="en-US" w:eastAsia="zh-CN"/>
        </w:rPr>
        <w:t>磋商</w:t>
      </w:r>
      <w:r>
        <w:rPr>
          <w:rFonts w:hint="eastAsia" w:ascii="仿宋" w:hAnsi="仿宋" w:eastAsia="仿宋" w:cs="仿宋_GB2312"/>
          <w:snapToGrid w:val="0"/>
          <w:kern w:val="0"/>
          <w:szCs w:val="21"/>
          <w:highlight w:val="none"/>
          <w:lang w:val="zh-CN"/>
        </w:rPr>
        <w:t>条款的拒绝声明</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snapToGrid w:val="0"/>
          <w:kern w:val="0"/>
          <w:szCs w:val="21"/>
          <w:highlight w:val="none"/>
          <w:lang w:val="zh-CN"/>
        </w:rPr>
        <w:t>评标标准相应的商务技术资料；</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en-US" w:eastAsia="zh-CN"/>
        </w:rPr>
        <w:t xml:space="preserve"> </w:t>
      </w:r>
      <w:r>
        <w:rPr>
          <w:rFonts w:hint="eastAsia" w:ascii="仿宋" w:hAnsi="仿宋" w:eastAsia="仿宋" w:cs="仿宋_GB2312"/>
          <w:b/>
          <w:bCs/>
          <w:snapToGrid w:val="0"/>
          <w:kern w:val="0"/>
          <w:szCs w:val="21"/>
          <w:highlight w:val="none"/>
          <w:lang w:val="zh-CN"/>
        </w:rPr>
        <w:t>技术解决方案。</w:t>
      </w:r>
      <w:r>
        <w:rPr>
          <w:rFonts w:hint="eastAsia" w:ascii="仿宋" w:hAnsi="仿宋" w:eastAsia="仿宋" w:cs="仿宋_GB2312"/>
          <w:snapToGrid w:val="0"/>
          <w:kern w:val="0"/>
          <w:szCs w:val="21"/>
          <w:highlight w:val="none"/>
          <w:lang w:val="zh-CN"/>
        </w:rPr>
        <w:t>针对本项目的完整技术解决方案和实施方案；详细阐述项目方案的实现思路及关键技术；符合本项目对当前和未来发展的要求；以及对功能设计</w:t>
      </w:r>
      <w:r>
        <w:rPr>
          <w:rFonts w:hint="eastAsia" w:ascii="仿宋" w:hAnsi="仿宋" w:eastAsia="仿宋" w:cs="仿宋_GB2312"/>
          <w:snapToGrid w:val="0"/>
          <w:kern w:val="0"/>
          <w:szCs w:val="21"/>
          <w:highlight w:val="none"/>
          <w:lang w:val="en-US" w:eastAsia="zh-CN"/>
        </w:rPr>
        <w:t>或</w:t>
      </w:r>
      <w:r>
        <w:rPr>
          <w:rFonts w:hint="eastAsia" w:ascii="仿宋" w:hAnsi="仿宋" w:eastAsia="仿宋" w:cs="仿宋_GB2312"/>
          <w:snapToGrid w:val="0"/>
          <w:kern w:val="0"/>
          <w:szCs w:val="21"/>
          <w:highlight w:val="none"/>
          <w:lang w:val="zh-CN"/>
        </w:rPr>
        <w:t>实施计划的建议；</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zh-CN"/>
        </w:rPr>
        <w:t>组织实施方案。</w:t>
      </w:r>
      <w:r>
        <w:rPr>
          <w:rFonts w:hint="eastAsia" w:ascii="仿宋" w:hAnsi="仿宋" w:eastAsia="仿宋" w:cs="仿宋_GB2312"/>
          <w:snapToGrid w:val="0"/>
          <w:kern w:val="0"/>
          <w:szCs w:val="21"/>
          <w:highlight w:val="none"/>
          <w:lang w:val="zh-CN"/>
        </w:rPr>
        <w:t>本项目详细工作实施组织方案，包括(但不限于)以下内容：组织机构、工作时间进度表、工作程序和步骤、管理和协调方法、关键步骤的思路和要点；</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zh-CN"/>
        </w:rPr>
        <w:t>服务方案</w:t>
      </w:r>
      <w:r>
        <w:rPr>
          <w:rFonts w:hint="eastAsia" w:ascii="仿宋" w:hAnsi="仿宋" w:eastAsia="仿宋" w:cs="仿宋_GB2312"/>
          <w:b/>
          <w:bCs/>
          <w:snapToGrid w:val="0"/>
          <w:kern w:val="0"/>
          <w:szCs w:val="21"/>
          <w:highlight w:val="none"/>
          <w:lang w:val="en-US" w:eastAsia="zh-CN"/>
        </w:rPr>
        <w:t>及承诺</w:t>
      </w:r>
      <w:r>
        <w:rPr>
          <w:rFonts w:hint="eastAsia" w:ascii="仿宋" w:hAnsi="仿宋" w:eastAsia="仿宋" w:cs="仿宋_GB2312"/>
          <w:b/>
          <w:bCs/>
          <w:snapToGrid w:val="0"/>
          <w:kern w:val="0"/>
          <w:szCs w:val="21"/>
          <w:highlight w:val="none"/>
          <w:lang w:val="zh-CN"/>
        </w:rPr>
        <w:t>。</w:t>
      </w:r>
      <w:r>
        <w:rPr>
          <w:rFonts w:hint="eastAsia" w:ascii="仿宋" w:hAnsi="仿宋" w:eastAsia="仿宋" w:cs="仿宋_GB2312"/>
          <w:snapToGrid w:val="0"/>
          <w:kern w:val="0"/>
          <w:szCs w:val="21"/>
          <w:highlight w:val="none"/>
          <w:lang w:val="zh-CN"/>
        </w:rPr>
        <w:t>针对本项目的</w:t>
      </w:r>
      <w:r>
        <w:rPr>
          <w:rFonts w:hint="eastAsia" w:ascii="仿宋" w:hAnsi="仿宋" w:eastAsia="仿宋" w:cs="仿宋_GB2312"/>
          <w:snapToGrid w:val="0"/>
          <w:kern w:val="0"/>
          <w:szCs w:val="21"/>
          <w:highlight w:val="none"/>
          <w:lang w:val="en-US" w:eastAsia="zh-CN"/>
        </w:rPr>
        <w:t>服务</w:t>
      </w:r>
      <w:r>
        <w:rPr>
          <w:rFonts w:hint="eastAsia" w:ascii="仿宋" w:hAnsi="仿宋" w:eastAsia="仿宋" w:cs="仿宋_GB2312"/>
          <w:snapToGrid w:val="0"/>
          <w:kern w:val="0"/>
          <w:szCs w:val="21"/>
          <w:highlight w:val="none"/>
          <w:lang w:val="zh-CN"/>
        </w:rPr>
        <w:t>方案，包括本地售后服务机构及人员情况（项目验收之后的维护方案）。供应商</w:t>
      </w:r>
      <w:r>
        <w:rPr>
          <w:rFonts w:hint="eastAsia" w:ascii="仿宋" w:hAnsi="仿宋" w:eastAsia="仿宋" w:cs="仿宋_GB2312"/>
          <w:snapToGrid w:val="0"/>
          <w:kern w:val="0"/>
          <w:szCs w:val="21"/>
          <w:highlight w:val="none"/>
          <w:lang w:val="en-US" w:eastAsia="zh-CN"/>
        </w:rPr>
        <w:t>应</w:t>
      </w:r>
      <w:r>
        <w:rPr>
          <w:rFonts w:hint="eastAsia" w:ascii="仿宋" w:hAnsi="仿宋" w:eastAsia="仿宋" w:cs="仿宋_GB2312"/>
          <w:snapToGrid w:val="0"/>
          <w:kern w:val="0"/>
          <w:szCs w:val="21"/>
          <w:highlight w:val="none"/>
          <w:lang w:val="zh-CN"/>
        </w:rPr>
        <w:t>以书面形式完整准确</w:t>
      </w:r>
      <w:r>
        <w:rPr>
          <w:rFonts w:hint="eastAsia" w:ascii="仿宋" w:hAnsi="仿宋" w:eastAsia="仿宋" w:cs="仿宋_GB2312"/>
          <w:snapToGrid w:val="0"/>
          <w:kern w:val="0"/>
          <w:szCs w:val="21"/>
          <w:highlight w:val="none"/>
          <w:lang w:val="en-US" w:eastAsia="zh-CN"/>
        </w:rPr>
        <w:t>地</w:t>
      </w:r>
      <w:r>
        <w:rPr>
          <w:rFonts w:hint="eastAsia" w:ascii="仿宋" w:hAnsi="仿宋" w:eastAsia="仿宋" w:cs="仿宋_GB2312"/>
          <w:snapToGrid w:val="0"/>
          <w:kern w:val="0"/>
          <w:szCs w:val="21"/>
          <w:highlight w:val="none"/>
          <w:lang w:val="zh-CN"/>
        </w:rPr>
        <w:t>表述服务承诺(范围、标准及期限等)、供应商可能增加的服务</w:t>
      </w:r>
      <w:r>
        <w:rPr>
          <w:rFonts w:hint="eastAsia" w:ascii="仿宋" w:hAnsi="仿宋" w:eastAsia="仿宋" w:cs="仿宋_GB2312"/>
          <w:snapToGrid w:val="0"/>
          <w:kern w:val="0"/>
          <w:szCs w:val="21"/>
          <w:highlight w:val="none"/>
          <w:lang w:val="en-US" w:eastAsia="zh-CN"/>
        </w:rPr>
        <w:t>措施</w:t>
      </w:r>
      <w:r>
        <w:rPr>
          <w:rFonts w:hint="eastAsia" w:ascii="仿宋" w:hAnsi="仿宋" w:eastAsia="仿宋" w:cs="仿宋_GB2312"/>
          <w:snapToGrid w:val="0"/>
          <w:kern w:val="0"/>
          <w:szCs w:val="21"/>
          <w:highlight w:val="none"/>
          <w:lang w:val="zh-CN"/>
        </w:rPr>
        <w:t>等。</w:t>
      </w:r>
      <w:r>
        <w:rPr>
          <w:rFonts w:hint="eastAsia" w:ascii="仿宋" w:hAnsi="仿宋" w:eastAsia="仿宋" w:cs="仿宋_GB2312"/>
          <w:snapToGrid w:val="0"/>
          <w:kern w:val="0"/>
          <w:szCs w:val="21"/>
          <w:highlight w:val="none"/>
          <w:lang w:val="en-US" w:eastAsia="zh-CN"/>
        </w:rPr>
        <w:t>并明确</w:t>
      </w:r>
      <w:r>
        <w:rPr>
          <w:rFonts w:hint="eastAsia" w:ascii="仿宋" w:hAnsi="仿宋" w:eastAsia="仿宋" w:cs="仿宋_GB2312"/>
          <w:snapToGrid w:val="0"/>
          <w:kern w:val="0"/>
          <w:szCs w:val="21"/>
          <w:highlight w:val="none"/>
          <w:lang w:val="zh-CN"/>
        </w:rPr>
        <w:t>服务承诺可能涉及的前提设定和费用，否则将被认为是无条件和免费的；</w:t>
      </w:r>
      <w:r>
        <w:rPr>
          <w:rFonts w:hint="eastAsia" w:ascii="仿宋" w:hAnsi="仿宋" w:eastAsia="仿宋" w:cs="仿宋_GB2312"/>
          <w:snapToGrid w:val="0"/>
          <w:kern w:val="0"/>
          <w:szCs w:val="21"/>
          <w:highlight w:val="none"/>
          <w:lang w:val="en-US" w:eastAsia="zh-CN"/>
        </w:rPr>
        <w:t>涉及货物或工程的，还应当</w:t>
      </w:r>
      <w:r>
        <w:rPr>
          <w:rFonts w:hint="eastAsia" w:ascii="仿宋" w:hAnsi="仿宋" w:eastAsia="仿宋" w:cs="仿宋_GB2312"/>
          <w:snapToGrid w:val="0"/>
          <w:kern w:val="0"/>
          <w:szCs w:val="21"/>
          <w:highlight w:val="none"/>
          <w:lang w:val="zh-CN"/>
        </w:rPr>
        <w:t>承诺质保期内均提供免费上门服务；</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zh-CN"/>
        </w:rPr>
        <w:t>项目小组人员名单。</w:t>
      </w:r>
      <w:r>
        <w:rPr>
          <w:rFonts w:hint="eastAsia" w:ascii="仿宋" w:hAnsi="仿宋" w:eastAsia="仿宋" w:cs="仿宋_GB2312"/>
          <w:snapToGrid w:val="0"/>
          <w:kern w:val="0"/>
          <w:szCs w:val="21"/>
          <w:highlight w:val="none"/>
          <w:lang w:val="zh-CN"/>
        </w:rPr>
        <w:t>每个专业人员的情况和人员数应该明确表示，明确各阶段投入人数；在提交的响应文件中安排的人员，须为</w:t>
      </w:r>
      <w:r>
        <w:rPr>
          <w:rFonts w:hint="eastAsia" w:ascii="仿宋" w:hAnsi="仿宋" w:eastAsia="仿宋" w:cs="仿宋_GB2312"/>
          <w:snapToGrid w:val="0"/>
          <w:kern w:val="0"/>
          <w:szCs w:val="21"/>
          <w:highlight w:val="none"/>
          <w:lang w:val="en-US" w:eastAsia="zh-CN"/>
        </w:rPr>
        <w:t>所在单位</w:t>
      </w:r>
      <w:r>
        <w:rPr>
          <w:rFonts w:hint="eastAsia" w:ascii="仿宋" w:hAnsi="仿宋" w:eastAsia="仿宋" w:cs="仿宋_GB2312"/>
          <w:snapToGrid w:val="0"/>
          <w:kern w:val="0"/>
          <w:szCs w:val="21"/>
          <w:highlight w:val="none"/>
          <w:lang w:val="zh-CN"/>
        </w:rPr>
        <w:t>固定职员；每个参加项目人员的履历表随响应文件一并提交，主要内容包括学历、技术职称、工作特长、经验与业绩(包括从事相关项目的经验，该人员参与的时间以及在项目中的责任)，资质情况等；</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en-US" w:eastAsia="zh-CN"/>
        </w:rPr>
        <w:t>拟投入的技术装备和设施。</w:t>
      </w:r>
      <w:r>
        <w:rPr>
          <w:rFonts w:hint="eastAsia" w:ascii="仿宋" w:hAnsi="仿宋" w:eastAsia="仿宋" w:cs="仿宋_GB2312"/>
          <w:b w:val="0"/>
          <w:bCs w:val="0"/>
          <w:snapToGrid w:val="0"/>
          <w:kern w:val="0"/>
          <w:szCs w:val="21"/>
          <w:highlight w:val="none"/>
          <w:lang w:val="en-US" w:eastAsia="zh-CN"/>
        </w:rPr>
        <w:t>详细列出为完成项目实施所需投入的设备、工具、材料及设施等。</w:t>
      </w:r>
      <w:r>
        <w:rPr>
          <w:rFonts w:hint="eastAsia" w:ascii="仿宋" w:hAnsi="仿宋" w:eastAsia="仿宋" w:cs="仿宋_GB2312"/>
          <w:snapToGrid w:val="0"/>
          <w:kern w:val="0"/>
          <w:szCs w:val="21"/>
          <w:highlight w:val="none"/>
          <w:lang w:val="en-US" w:eastAsia="zh-CN"/>
        </w:rPr>
        <w:t>包括专用</w:t>
      </w:r>
      <w:r>
        <w:rPr>
          <w:rFonts w:hint="eastAsia" w:ascii="仿宋" w:hAnsi="仿宋" w:eastAsia="仿宋" w:cs="仿宋_GB2312"/>
          <w:snapToGrid w:val="0"/>
          <w:kern w:val="0"/>
          <w:szCs w:val="21"/>
          <w:highlight w:val="none"/>
        </w:rPr>
        <w:t>工具和</w:t>
      </w:r>
      <w:r>
        <w:rPr>
          <w:rFonts w:hint="eastAsia" w:ascii="仿宋" w:hAnsi="仿宋" w:eastAsia="仿宋" w:cs="仿宋_GB2312"/>
          <w:snapToGrid w:val="0"/>
          <w:kern w:val="0"/>
          <w:szCs w:val="21"/>
          <w:highlight w:val="none"/>
          <w:lang w:val="zh-CN"/>
        </w:rPr>
        <w:t>备品备件清单；质保期后供采购人选择的配套零部件，</w:t>
      </w:r>
      <w:r>
        <w:rPr>
          <w:rFonts w:hint="eastAsia" w:ascii="仿宋" w:hAnsi="仿宋" w:eastAsia="仿宋" w:cs="仿宋_GB2312"/>
          <w:snapToGrid w:val="0"/>
          <w:kern w:val="0"/>
          <w:szCs w:val="21"/>
          <w:highlight w:val="none"/>
          <w:lang w:val="zh-CN" w:eastAsia="zh-CN"/>
        </w:rPr>
        <w:t>易损易耗品</w:t>
      </w:r>
      <w:r>
        <w:rPr>
          <w:rFonts w:hint="eastAsia" w:ascii="仿宋" w:hAnsi="仿宋" w:eastAsia="仿宋" w:cs="仿宋_GB2312"/>
          <w:snapToGrid w:val="0"/>
          <w:kern w:val="0"/>
          <w:szCs w:val="21"/>
          <w:highlight w:val="none"/>
          <w:lang w:val="zh-CN"/>
        </w:rPr>
        <w:t>明细价格，且供货价格不高于成交价格；成交货物设备应提供易损部件的备件和整机备品</w:t>
      </w:r>
      <w:r>
        <w:rPr>
          <w:rFonts w:hint="eastAsia" w:ascii="仿宋" w:hAnsi="仿宋" w:eastAsia="仿宋" w:cs="仿宋_GB2312"/>
          <w:snapToGrid w:val="0"/>
          <w:kern w:val="0"/>
          <w:szCs w:val="21"/>
          <w:highlight w:val="none"/>
          <w:lang w:val="en-US" w:eastAsia="zh-CN"/>
        </w:rPr>
        <w:t>等</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kern w:val="0"/>
          <w:szCs w:val="21"/>
          <w:highlight w:val="none"/>
        </w:rPr>
      </w:pPr>
      <w:r>
        <w:rPr>
          <w:rFonts w:hint="eastAsia" w:ascii="仿宋" w:hAnsi="仿宋" w:eastAsia="仿宋" w:cs="仿宋_GB2312"/>
          <w:b/>
          <w:bCs/>
          <w:snapToGrid w:val="0"/>
          <w:kern w:val="0"/>
          <w:szCs w:val="21"/>
          <w:highlight w:val="none"/>
          <w:lang w:val="en-US" w:eastAsia="zh-CN"/>
        </w:rPr>
        <w:t>风险控制和</w:t>
      </w:r>
      <w:r>
        <w:rPr>
          <w:rFonts w:hint="eastAsia" w:ascii="仿宋" w:hAnsi="仿宋" w:eastAsia="仿宋" w:cs="仿宋_GB2312"/>
          <w:b/>
          <w:bCs/>
          <w:snapToGrid w:val="0"/>
          <w:kern w:val="0"/>
          <w:szCs w:val="21"/>
          <w:highlight w:val="none"/>
          <w:lang w:val="zh-CN"/>
        </w:rPr>
        <w:t>应急</w:t>
      </w:r>
      <w:r>
        <w:rPr>
          <w:rFonts w:hint="eastAsia" w:ascii="仿宋" w:hAnsi="仿宋" w:eastAsia="仿宋" w:cs="仿宋_GB2312"/>
          <w:b/>
          <w:bCs/>
          <w:snapToGrid w:val="0"/>
          <w:kern w:val="0"/>
          <w:szCs w:val="21"/>
          <w:highlight w:val="none"/>
          <w:lang w:val="en-US" w:eastAsia="zh-CN"/>
        </w:rPr>
        <w:t>预案。</w:t>
      </w:r>
      <w:r>
        <w:rPr>
          <w:rFonts w:hint="eastAsia" w:ascii="仿宋" w:hAnsi="仿宋" w:eastAsia="仿宋" w:cs="仿宋_GB2312"/>
          <w:snapToGrid w:val="0"/>
          <w:kern w:val="0"/>
          <w:szCs w:val="21"/>
          <w:highlight w:val="none"/>
          <w:lang w:val="en-US" w:eastAsia="zh-CN"/>
        </w:rPr>
        <w:t>针对</w:t>
      </w:r>
      <w:r>
        <w:rPr>
          <w:rFonts w:hint="eastAsia" w:ascii="仿宋" w:hAnsi="仿宋" w:eastAsia="仿宋" w:cs="仿宋_GB2312"/>
          <w:snapToGrid w:val="0"/>
          <w:kern w:val="0"/>
          <w:szCs w:val="21"/>
          <w:highlight w:val="none"/>
          <w:lang w:val="zh-CN"/>
        </w:rPr>
        <w:t>特殊</w:t>
      </w:r>
      <w:r>
        <w:rPr>
          <w:rFonts w:hint="eastAsia" w:ascii="仿宋" w:hAnsi="仿宋" w:eastAsia="仿宋" w:cs="仿宋_GB2312"/>
          <w:snapToGrid w:val="0"/>
          <w:kern w:val="0"/>
          <w:szCs w:val="21"/>
          <w:highlight w:val="none"/>
          <w:lang w:val="en-US" w:eastAsia="zh-CN"/>
        </w:rPr>
        <w:t>情况或</w:t>
      </w:r>
      <w:r>
        <w:rPr>
          <w:rFonts w:hint="eastAsia" w:ascii="仿宋" w:hAnsi="仿宋" w:eastAsia="仿宋" w:cs="仿宋_GB2312"/>
          <w:snapToGrid w:val="0"/>
          <w:kern w:val="0"/>
          <w:szCs w:val="21"/>
          <w:highlight w:val="none"/>
          <w:lang w:val="zh-CN"/>
        </w:rPr>
        <w:t>突发事件，</w:t>
      </w:r>
      <w:r>
        <w:rPr>
          <w:rFonts w:hint="eastAsia" w:ascii="仿宋" w:hAnsi="仿宋" w:eastAsia="仿宋" w:cs="仿宋_GB2312"/>
          <w:snapToGrid w:val="0"/>
          <w:kern w:val="0"/>
          <w:szCs w:val="21"/>
          <w:highlight w:val="none"/>
          <w:lang w:val="en-US" w:eastAsia="zh-CN"/>
        </w:rPr>
        <w:t>提供确保项目实施质量安全的应急管理措施，包括风险识别与控制等方法；提供便利于项目实施的技术创新、服务改进等措施</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zh-CN"/>
        </w:rPr>
        <w:t>培训计划</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rPr>
      </w:pPr>
      <w:r>
        <w:rPr>
          <w:rFonts w:hint="eastAsia" w:ascii="仿宋" w:hAnsi="仿宋" w:eastAsia="仿宋" w:cs="仿宋_GB2312"/>
          <w:snapToGrid w:val="0"/>
          <w:kern w:val="0"/>
          <w:szCs w:val="21"/>
          <w:highlight w:val="none"/>
          <w:lang w:val="zh-CN"/>
        </w:rPr>
        <w:t>认为需要的</w:t>
      </w:r>
      <w:r>
        <w:rPr>
          <w:rFonts w:hint="eastAsia" w:ascii="仿宋" w:hAnsi="仿宋" w:eastAsia="仿宋" w:cs="仿宋_GB2312"/>
          <w:snapToGrid w:val="0"/>
          <w:kern w:val="0"/>
          <w:szCs w:val="21"/>
          <w:highlight w:val="none"/>
          <w:lang w:val="en-US" w:eastAsia="zh-CN"/>
        </w:rPr>
        <w:t>商务</w:t>
      </w:r>
      <w:r>
        <w:rPr>
          <w:rFonts w:hint="eastAsia" w:ascii="仿宋" w:hAnsi="仿宋" w:eastAsia="仿宋" w:cs="仿宋_GB2312"/>
          <w:snapToGrid w:val="0"/>
          <w:kern w:val="0"/>
          <w:szCs w:val="21"/>
          <w:highlight w:val="none"/>
          <w:lang w:val="zh-CN"/>
        </w:rPr>
        <w:t>技术文件或说明</w:t>
      </w:r>
      <w:r>
        <w:rPr>
          <w:rFonts w:hint="eastAsia" w:ascii="仿宋" w:hAnsi="仿宋" w:eastAsia="仿宋" w:cs="仿宋_GB2312"/>
          <w:i/>
          <w:iCs/>
          <w:snapToGrid w:val="0"/>
          <w:kern w:val="0"/>
          <w:szCs w:val="21"/>
          <w:highlight w:val="none"/>
        </w:rPr>
        <w:t>（如果有)</w:t>
      </w:r>
      <w:r>
        <w:rPr>
          <w:rFonts w:hint="eastAsia" w:ascii="仿宋" w:hAnsi="仿宋" w:eastAsia="仿宋" w:cs="仿宋_GB2312"/>
          <w:snapToGrid w:val="0"/>
          <w:kern w:val="0"/>
          <w:szCs w:val="21"/>
          <w:highlight w:val="none"/>
          <w:lang w:val="zh-CN"/>
        </w:rPr>
        <w:t>；</w:t>
      </w:r>
    </w:p>
    <w:p>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zh-CN"/>
        </w:rPr>
        <w:t>政府采购供应商廉洁自律承诺书。</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3. 响应文件的编制和签署</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lang w:val="zh-CN"/>
        </w:rPr>
        <w:t>3.1</w:t>
      </w:r>
      <w:r>
        <w:rPr>
          <w:rFonts w:hint="eastAsia" w:ascii="仿宋" w:hAnsi="仿宋" w:eastAsia="仿宋" w:cs="Times New Roman"/>
          <w:snapToGrid w:val="0"/>
          <w:kern w:val="0"/>
          <w:szCs w:val="21"/>
          <w:highlight w:val="none"/>
          <w:lang w:val="en-US" w:eastAsia="zh-CN"/>
        </w:rPr>
        <w:t xml:space="preserve"> </w:t>
      </w:r>
      <w:r>
        <w:rPr>
          <w:rFonts w:hint="eastAsia" w:ascii="仿宋" w:hAnsi="仿宋" w:eastAsia="仿宋" w:cs="Times New Roman"/>
          <w:snapToGrid w:val="0"/>
          <w:kern w:val="0"/>
          <w:szCs w:val="21"/>
          <w:highlight w:val="none"/>
          <w:lang w:val="zh-CN"/>
        </w:rPr>
        <w:t>各供应商在编制响应文件时请按照</w:t>
      </w:r>
      <w:r>
        <w:rPr>
          <w:rFonts w:hint="eastAsia" w:ascii="仿宋" w:hAnsi="仿宋" w:eastAsia="仿宋" w:cs="Times New Roman"/>
          <w:snapToGrid w:val="0"/>
          <w:kern w:val="0"/>
          <w:szCs w:val="21"/>
          <w:highlight w:val="none"/>
          <w:u w:val="single"/>
          <w:lang w:val="en-US" w:eastAsia="zh-CN"/>
        </w:rPr>
        <w:t>采购</w:t>
      </w:r>
      <w:r>
        <w:rPr>
          <w:rFonts w:hint="eastAsia" w:ascii="仿宋" w:hAnsi="仿宋" w:eastAsia="仿宋" w:cs="Times New Roman"/>
          <w:snapToGrid w:val="0"/>
          <w:kern w:val="0"/>
          <w:szCs w:val="21"/>
          <w:highlight w:val="none"/>
          <w:u w:val="single"/>
          <w:lang w:val="zh-CN"/>
        </w:rPr>
        <w:t>文件第七部分</w:t>
      </w:r>
      <w:r>
        <w:rPr>
          <w:rFonts w:hint="eastAsia" w:ascii="仿宋" w:hAnsi="仿宋" w:eastAsia="仿宋" w:cs="Times New Roman"/>
          <w:snapToGrid w:val="0"/>
          <w:kern w:val="0"/>
          <w:szCs w:val="21"/>
          <w:highlight w:val="none"/>
          <w:lang w:val="zh-CN"/>
        </w:rPr>
        <w:t>规定的格式进行，混乱的编排导致响应文件被误读或磋商小组查找不到有效文件是供应商的风险。</w:t>
      </w:r>
    </w:p>
    <w:p>
      <w:pPr>
        <w:adjustRightInd w:val="0"/>
        <w:snapToGrid w:val="0"/>
        <w:ind w:left="420" w:hanging="420" w:hangingChars="200"/>
        <w:rPr>
          <w:rFonts w:hint="eastAsia" w:ascii="仿宋" w:hAnsi="仿宋" w:eastAsia="仿宋" w:cs="Times New Roman"/>
          <w:snapToGrid w:val="0"/>
          <w:kern w:val="0"/>
          <w:szCs w:val="21"/>
          <w:highlight w:val="none"/>
          <w:lang w:val="zh-CN"/>
        </w:rPr>
      </w:pPr>
      <w:r>
        <w:rPr>
          <w:rFonts w:hint="eastAsia" w:ascii="仿宋" w:hAnsi="仿宋" w:eastAsia="仿宋" w:cs="Times New Roman"/>
          <w:snapToGrid w:val="0"/>
          <w:kern w:val="0"/>
          <w:szCs w:val="21"/>
          <w:highlight w:val="none"/>
          <w:lang w:val="zh-CN"/>
        </w:rPr>
        <w:t>3.2</w:t>
      </w:r>
      <w:r>
        <w:rPr>
          <w:rFonts w:hint="eastAsia" w:ascii="仿宋" w:hAnsi="仿宋" w:eastAsia="仿宋" w:cs="Times New Roman"/>
          <w:snapToGrid w:val="0"/>
          <w:kern w:val="0"/>
          <w:szCs w:val="21"/>
          <w:highlight w:val="none"/>
          <w:lang w:val="en-US" w:eastAsia="zh-CN"/>
        </w:rPr>
        <w:t xml:space="preserve"> </w:t>
      </w:r>
      <w:r>
        <w:rPr>
          <w:rFonts w:hint="eastAsia" w:ascii="仿宋" w:hAnsi="仿宋" w:eastAsia="仿宋" w:cs="Times New Roman"/>
          <w:snapToGrid w:val="0"/>
          <w:kern w:val="0"/>
          <w:szCs w:val="21"/>
          <w:highlight w:val="none"/>
          <w:lang w:val="zh-CN"/>
        </w:rPr>
        <w:t>供应商进行电子交易应安装客户端软件—“政采云电子交易客户端”，并按照</w:t>
      </w:r>
      <w:r>
        <w:rPr>
          <w:rFonts w:hint="eastAsia" w:ascii="仿宋" w:hAnsi="仿宋" w:eastAsia="仿宋" w:cs="Times New Roman"/>
          <w:snapToGrid w:val="0"/>
          <w:kern w:val="0"/>
          <w:szCs w:val="21"/>
          <w:highlight w:val="none"/>
          <w:lang w:val="en-US" w:eastAsia="zh-CN"/>
        </w:rPr>
        <w:t>采购</w:t>
      </w:r>
      <w:r>
        <w:rPr>
          <w:rFonts w:hint="eastAsia" w:ascii="仿宋" w:hAnsi="仿宋" w:eastAsia="仿宋" w:cs="Times New Roman"/>
          <w:snapToGrid w:val="0"/>
          <w:kern w:val="0"/>
          <w:szCs w:val="21"/>
          <w:highlight w:val="none"/>
          <w:lang w:val="zh-CN"/>
        </w:rPr>
        <w:t>文件和电子交易平台的要求编制并加密响应文件。未按规定加密的响应文件，电子交易平台将拒收并提示。</w:t>
      </w:r>
    </w:p>
    <w:p>
      <w:pPr>
        <w:adjustRightInd w:val="0"/>
        <w:snapToGrid w:val="0"/>
        <w:ind w:left="420" w:hanging="420" w:hangingChars="200"/>
        <w:rPr>
          <w:rFonts w:hint="eastAsia" w:ascii="仿宋" w:hAnsi="仿宋" w:eastAsia="仿宋" w:cs="Times New Roman"/>
          <w:snapToGrid w:val="0"/>
          <w:kern w:val="0"/>
          <w:szCs w:val="21"/>
          <w:highlight w:val="none"/>
          <w:lang w:val="zh-CN"/>
        </w:rPr>
      </w:pPr>
      <w:r>
        <w:rPr>
          <w:rFonts w:hint="eastAsia" w:ascii="仿宋" w:hAnsi="仿宋" w:eastAsia="仿宋" w:cs="Times New Roman"/>
          <w:snapToGrid w:val="0"/>
          <w:kern w:val="0"/>
          <w:szCs w:val="21"/>
          <w:highlight w:val="none"/>
          <w:lang w:val="zh-CN"/>
        </w:rPr>
        <w:t>3.3</w:t>
      </w:r>
      <w:r>
        <w:rPr>
          <w:rFonts w:hint="eastAsia" w:ascii="仿宋" w:hAnsi="仿宋" w:eastAsia="仿宋" w:cs="Times New Roman"/>
          <w:snapToGrid w:val="0"/>
          <w:kern w:val="0"/>
          <w:szCs w:val="21"/>
          <w:highlight w:val="none"/>
          <w:lang w:val="en-US" w:eastAsia="zh-CN"/>
        </w:rPr>
        <w:t xml:space="preserve"> </w:t>
      </w:r>
      <w:r>
        <w:rPr>
          <w:rFonts w:hint="eastAsia" w:ascii="仿宋" w:hAnsi="仿宋" w:eastAsia="仿宋" w:cs="Times New Roman"/>
          <w:snapToGrid w:val="0"/>
          <w:kern w:val="0"/>
          <w:szCs w:val="21"/>
          <w:highlight w:val="none"/>
          <w:lang w:val="zh-CN"/>
        </w:rPr>
        <w:t>使用“政采云电子交易客户端”需要提前申领CA数字证书，申领流程请自行前往“浙江政府采购网-下载专区-电子交易客户端-CA驱动和申领流程”进行查阅。</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3.4</w:t>
      </w:r>
      <w:r>
        <w:rPr>
          <w:rFonts w:hint="eastAsia" w:ascii="仿宋" w:hAnsi="仿宋" w:eastAsia="仿宋" w:cs="Times New Roman"/>
          <w:snapToGrid w:val="0"/>
          <w:kern w:val="0"/>
          <w:szCs w:val="21"/>
          <w:highlight w:val="none"/>
          <w:lang w:val="en-US" w:eastAsia="zh-CN"/>
        </w:rPr>
        <w:t xml:space="preserve"> </w:t>
      </w:r>
      <w:r>
        <w:rPr>
          <w:rFonts w:hint="eastAsia" w:ascii="仿宋" w:hAnsi="仿宋" w:eastAsia="仿宋" w:cs="Times New Roman"/>
          <w:snapToGrid w:val="0"/>
          <w:kern w:val="0"/>
          <w:szCs w:val="21"/>
          <w:highlight w:val="none"/>
        </w:rPr>
        <w:t>响应文件按照</w:t>
      </w:r>
      <w:r>
        <w:rPr>
          <w:rFonts w:hint="eastAsia" w:ascii="仿宋" w:hAnsi="仿宋" w:eastAsia="仿宋" w:cs="Times New Roman"/>
          <w:snapToGrid w:val="0"/>
          <w:kern w:val="0"/>
          <w:szCs w:val="21"/>
          <w:highlight w:val="none"/>
          <w:u w:val="single"/>
          <w:lang w:val="en-US" w:eastAsia="zh-CN"/>
        </w:rPr>
        <w:t>采购</w:t>
      </w:r>
      <w:r>
        <w:rPr>
          <w:rFonts w:hint="eastAsia" w:ascii="仿宋" w:hAnsi="仿宋" w:eastAsia="仿宋" w:cs="Times New Roman"/>
          <w:snapToGrid w:val="0"/>
          <w:kern w:val="0"/>
          <w:szCs w:val="21"/>
          <w:highlight w:val="none"/>
          <w:u w:val="single"/>
        </w:rPr>
        <w:t>文件第七部分</w:t>
      </w:r>
      <w:r>
        <w:rPr>
          <w:rFonts w:hint="eastAsia" w:ascii="仿宋" w:hAnsi="仿宋" w:eastAsia="仿宋" w:cs="Times New Roman"/>
          <w:snapToGrid w:val="0"/>
          <w:kern w:val="0"/>
          <w:szCs w:val="21"/>
          <w:highlight w:val="none"/>
        </w:rPr>
        <w:t>格式要求进行签署、盖章。</w:t>
      </w:r>
      <w:r>
        <w:rPr>
          <w:rFonts w:hint="eastAsia" w:ascii="仿宋" w:hAnsi="仿宋" w:eastAsia="仿宋" w:cs="Times New Roman"/>
          <w:b/>
          <w:bCs/>
          <w:snapToGrid w:val="0"/>
          <w:kern w:val="0"/>
          <w:szCs w:val="21"/>
          <w:highlight w:val="none"/>
          <w:u w:val="single"/>
        </w:rPr>
        <w:t>▲供应商的响应文件未按照</w:t>
      </w:r>
      <w:r>
        <w:rPr>
          <w:rFonts w:hint="eastAsia" w:ascii="仿宋" w:hAnsi="仿宋" w:eastAsia="仿宋" w:cs="Times New Roman"/>
          <w:b/>
          <w:bCs/>
          <w:snapToGrid w:val="0"/>
          <w:kern w:val="0"/>
          <w:szCs w:val="21"/>
          <w:highlight w:val="none"/>
          <w:u w:val="single"/>
          <w:lang w:val="en-US" w:eastAsia="zh-CN"/>
        </w:rPr>
        <w:t>采购</w:t>
      </w:r>
      <w:r>
        <w:rPr>
          <w:rFonts w:hint="eastAsia" w:ascii="仿宋" w:hAnsi="仿宋" w:eastAsia="仿宋" w:cs="Times New Roman"/>
          <w:b/>
          <w:bCs/>
          <w:snapToGrid w:val="0"/>
          <w:kern w:val="0"/>
          <w:szCs w:val="21"/>
          <w:highlight w:val="none"/>
          <w:u w:val="single"/>
        </w:rPr>
        <w:t>文件要求签署、盖章的，其响应无效</w:t>
      </w:r>
      <w:r>
        <w:rPr>
          <w:rFonts w:hint="eastAsia" w:ascii="仿宋" w:hAnsi="仿宋" w:eastAsia="仿宋" w:cs="Times New Roman"/>
          <w:snapToGrid w:val="0"/>
          <w:kern w:val="0"/>
          <w:szCs w:val="21"/>
          <w:highlight w:val="none"/>
        </w:rPr>
        <w:t>。</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3.</w:t>
      </w:r>
      <w:r>
        <w:rPr>
          <w:rFonts w:hint="eastAsia" w:ascii="仿宋" w:hAnsi="仿宋" w:eastAsia="仿宋" w:cs="Times New Roman"/>
          <w:snapToGrid w:val="0"/>
          <w:kern w:val="0"/>
          <w:szCs w:val="21"/>
          <w:highlight w:val="none"/>
          <w:lang w:val="en-US" w:eastAsia="zh-CN"/>
        </w:rPr>
        <w:t xml:space="preserve">5 </w:t>
      </w:r>
      <w:r>
        <w:rPr>
          <w:rFonts w:hint="eastAsia" w:ascii="仿宋" w:hAnsi="仿宋" w:eastAsia="仿宋" w:cs="Times New Roman"/>
          <w:b/>
          <w:bCs/>
          <w:snapToGrid w:val="0"/>
          <w:kern w:val="0"/>
          <w:szCs w:val="21"/>
          <w:highlight w:val="none"/>
          <w:u w:val="single"/>
        </w:rPr>
        <w:t>▲</w:t>
      </w:r>
      <w:r>
        <w:rPr>
          <w:rFonts w:hint="eastAsia" w:ascii="仿宋" w:hAnsi="仿宋" w:eastAsia="仿宋" w:cs="Times New Roman"/>
          <w:b/>
          <w:bCs/>
          <w:snapToGrid w:val="0"/>
          <w:kern w:val="0"/>
          <w:szCs w:val="21"/>
          <w:highlight w:val="none"/>
          <w:u w:val="single"/>
          <w:lang w:val="en-US" w:eastAsia="zh-CN"/>
        </w:rPr>
        <w:t>响应</w:t>
      </w:r>
      <w:r>
        <w:rPr>
          <w:rFonts w:hint="eastAsia" w:ascii="仿宋" w:hAnsi="仿宋" w:eastAsia="仿宋" w:cs="Times New Roman"/>
          <w:b/>
          <w:bCs/>
          <w:snapToGrid w:val="0"/>
          <w:color w:val="auto"/>
          <w:kern w:val="0"/>
          <w:szCs w:val="21"/>
          <w:highlight w:val="none"/>
          <w:u w:val="single"/>
        </w:rPr>
        <w:t>文件含有采购人不能接受的附加条件的，</w:t>
      </w:r>
      <w:r>
        <w:rPr>
          <w:rFonts w:hint="eastAsia" w:ascii="仿宋" w:hAnsi="仿宋" w:eastAsia="仿宋" w:cs="Times New Roman"/>
          <w:b/>
          <w:bCs/>
          <w:snapToGrid w:val="0"/>
          <w:kern w:val="0"/>
          <w:szCs w:val="21"/>
          <w:highlight w:val="none"/>
          <w:u w:val="single"/>
        </w:rPr>
        <w:t>其响应无效。</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3.</w:t>
      </w:r>
      <w:r>
        <w:rPr>
          <w:rFonts w:hint="eastAsia" w:ascii="仿宋" w:hAnsi="仿宋" w:eastAsia="仿宋" w:cs="Times New Roman"/>
          <w:snapToGrid w:val="0"/>
          <w:kern w:val="0"/>
          <w:szCs w:val="21"/>
          <w:highlight w:val="none"/>
          <w:lang w:val="en-US" w:eastAsia="zh-CN"/>
        </w:rPr>
        <w:t xml:space="preserve">6 </w:t>
      </w:r>
      <w:r>
        <w:rPr>
          <w:rFonts w:hint="eastAsia" w:ascii="仿宋" w:hAnsi="仿宋" w:eastAsia="仿宋" w:cs="Times New Roman"/>
          <w:snapToGrid w:val="0"/>
          <w:kern w:val="0"/>
          <w:szCs w:val="21"/>
          <w:highlight w:val="none"/>
        </w:rPr>
        <w:t>为确保网上操作合法、有效和安全，供应商应当在响应截止时间前完成在“政府采购云平台”的身份认证，确保在电子交易过程中能够对相关数据电文进行加密和使用电子签名。</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3.</w:t>
      </w:r>
      <w:r>
        <w:rPr>
          <w:rFonts w:hint="eastAsia" w:ascii="仿宋" w:hAnsi="仿宋" w:eastAsia="仿宋" w:cs="Times New Roman"/>
          <w:snapToGrid w:val="0"/>
          <w:kern w:val="0"/>
          <w:szCs w:val="21"/>
          <w:highlight w:val="none"/>
          <w:lang w:val="en-US" w:eastAsia="zh-CN"/>
        </w:rPr>
        <w:t>7 采购</w:t>
      </w:r>
      <w:r>
        <w:rPr>
          <w:rFonts w:hint="eastAsia" w:ascii="仿宋" w:hAnsi="仿宋" w:eastAsia="仿宋" w:cs="Times New Roman"/>
          <w:snapToGrid w:val="0"/>
          <w:kern w:val="0"/>
          <w:szCs w:val="21"/>
          <w:highlight w:val="none"/>
        </w:rPr>
        <w:t>文件对响应文件签署、盖章的要求适用于电子签名。</w:t>
      </w:r>
    </w:p>
    <w:p>
      <w:pPr>
        <w:adjustRightInd w:val="0"/>
        <w:snapToGrid w:val="0"/>
        <w:ind w:left="420" w:hanging="420" w:hangingChars="200"/>
        <w:rPr>
          <w:rFonts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ascii="仿宋" w:hAnsi="仿宋" w:eastAsia="仿宋" w:cs="仿宋_GB2312"/>
          <w:snapToGrid w:val="0"/>
          <w:kern w:val="0"/>
          <w:sz w:val="28"/>
          <w:szCs w:val="28"/>
          <w:highlight w:val="none"/>
        </w:rPr>
        <w:t>七、</w:t>
      </w:r>
      <w:r>
        <w:rPr>
          <w:rFonts w:hint="eastAsia" w:ascii="仿宋" w:hAnsi="仿宋" w:eastAsia="仿宋" w:cs="仿宋_GB2312"/>
          <w:b/>
          <w:snapToGrid w:val="0"/>
          <w:kern w:val="0"/>
          <w:sz w:val="28"/>
          <w:szCs w:val="28"/>
          <w:highlight w:val="none"/>
        </w:rPr>
        <w:t>响应文件的提交和备份</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1.响应文件的提交、补充、修改、撤回</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1.1 供应商应当在提交响应文件截止时间前完成响应文件的传输</w:t>
      </w:r>
      <w:r>
        <w:rPr>
          <w:rFonts w:hint="eastAsia" w:ascii="仿宋" w:hAnsi="仿宋" w:eastAsia="仿宋" w:cs="Times New Roman"/>
          <w:snapToGrid w:val="0"/>
          <w:kern w:val="0"/>
          <w:szCs w:val="21"/>
          <w:highlight w:val="none"/>
          <w:lang w:eastAsia="zh-CN"/>
        </w:rPr>
        <w:t>、</w:t>
      </w:r>
      <w:r>
        <w:rPr>
          <w:rFonts w:hint="eastAsia" w:ascii="仿宋" w:hAnsi="仿宋" w:eastAsia="仿宋" w:cs="Times New Roman"/>
          <w:snapToGrid w:val="0"/>
          <w:kern w:val="0"/>
          <w:szCs w:val="21"/>
          <w:highlight w:val="none"/>
        </w:rPr>
        <w:t>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1.2 在响应截止时间以后，不能补充、修改响应文件。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1.3 在提交“最后报价”后，供应商不能退出磋商。</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 xml:space="preserve">1.5 </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可以视情况延长提交响应文件的截止时间。在上述情况下，</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与供应商以前在响应截止期方面的全部权利、责任和义务，将适用于延长至新的响应截止期。</w:t>
      </w:r>
    </w:p>
    <w:p>
      <w:pPr>
        <w:adjustRightInd w:val="0"/>
        <w:snapToGrid w:val="0"/>
        <w:ind w:left="420" w:hanging="422" w:hangingChars="200"/>
        <w:rPr>
          <w:rFonts w:hint="eastAsia" w:ascii="仿宋" w:hAnsi="仿宋" w:eastAsia="仿宋" w:cs="Times New Roman"/>
          <w:b/>
          <w:bCs/>
          <w:snapToGrid w:val="0"/>
          <w:kern w:val="0"/>
          <w:szCs w:val="21"/>
          <w:highlight w:val="none"/>
          <w:u w:val="single"/>
          <w:lang w:val="en-US" w:eastAsia="zh-CN"/>
        </w:rPr>
      </w:pPr>
      <w:r>
        <w:rPr>
          <w:rFonts w:hint="eastAsia" w:ascii="仿宋" w:hAnsi="仿宋" w:eastAsia="仿宋" w:cs="Times New Roman"/>
          <w:b/>
          <w:bCs/>
          <w:snapToGrid w:val="0"/>
          <w:kern w:val="0"/>
          <w:szCs w:val="21"/>
          <w:highlight w:val="none"/>
          <w:u w:val="single"/>
          <w:lang w:val="en-US" w:eastAsia="zh-CN"/>
        </w:rPr>
        <w:t xml:space="preserve">1.6 </w:t>
      </w:r>
      <w:r>
        <w:rPr>
          <w:rFonts w:hint="eastAsia" w:ascii="仿宋" w:hAnsi="仿宋" w:eastAsia="仿宋" w:cs="Times New Roman"/>
          <w:b/>
          <w:bCs/>
          <w:snapToGrid w:val="0"/>
          <w:kern w:val="0"/>
          <w:szCs w:val="21"/>
          <w:highlight w:val="none"/>
          <w:u w:val="single"/>
          <w:lang w:val="en-US"/>
        </w:rPr>
        <w:t>如供应商报价低于项目预算50%的，应当提交报价情况说明，详细阐述不影响产品质量或者诚信履约的具体原因</w:t>
      </w:r>
      <w:r>
        <w:rPr>
          <w:rFonts w:hint="eastAsia" w:ascii="仿宋" w:hAnsi="仿宋" w:eastAsia="仿宋" w:cs="Times New Roman"/>
          <w:b/>
          <w:bCs/>
          <w:snapToGrid w:val="0"/>
          <w:kern w:val="0"/>
          <w:szCs w:val="21"/>
          <w:highlight w:val="none"/>
          <w:u w:val="single"/>
          <w:lang w:val="en-US" w:eastAsia="zh-CN"/>
        </w:rPr>
        <w:t>。</w:t>
      </w:r>
    </w:p>
    <w:p>
      <w:pPr>
        <w:adjustRightInd w:val="0"/>
        <w:snapToGrid w:val="0"/>
        <w:ind w:left="420" w:hanging="422" w:hangingChars="200"/>
        <w:rPr>
          <w:rFonts w:hint="default" w:ascii="仿宋" w:hAnsi="仿宋" w:eastAsia="仿宋" w:cs="Times New Roman"/>
          <w:b/>
          <w:bCs/>
          <w:snapToGrid w:val="0"/>
          <w:kern w:val="0"/>
          <w:szCs w:val="21"/>
          <w:highlight w:val="none"/>
          <w:u w:val="single"/>
          <w:lang w:val="en-US"/>
        </w:rPr>
      </w:pPr>
      <w:r>
        <w:rPr>
          <w:rFonts w:hint="eastAsia" w:ascii="仿宋" w:hAnsi="仿宋" w:eastAsia="仿宋" w:cs="Times New Roman"/>
          <w:b/>
          <w:bCs/>
          <w:snapToGrid w:val="0"/>
          <w:kern w:val="0"/>
          <w:szCs w:val="21"/>
          <w:highlight w:val="none"/>
          <w:u w:val="single"/>
          <w:lang w:val="en-US" w:eastAsia="zh-CN"/>
        </w:rPr>
        <w:t xml:space="preserve">1.7 </w:t>
      </w:r>
      <w:r>
        <w:rPr>
          <w:rFonts w:hint="eastAsia" w:ascii="仿宋" w:hAnsi="仿宋" w:eastAsia="仿宋" w:cs="Times New Roman"/>
          <w:b/>
          <w:bCs/>
          <w:snapToGrid w:val="0"/>
          <w:kern w:val="0"/>
          <w:szCs w:val="21"/>
          <w:highlight w:val="none"/>
          <w:u w:val="single"/>
        </w:rPr>
        <w:t>▲</w:t>
      </w:r>
      <w:r>
        <w:rPr>
          <w:rFonts w:hint="eastAsia" w:ascii="仿宋" w:hAnsi="仿宋" w:eastAsia="仿宋" w:cs="Times New Roman"/>
          <w:b/>
          <w:bCs/>
          <w:snapToGrid w:val="0"/>
          <w:kern w:val="0"/>
          <w:szCs w:val="21"/>
          <w:highlight w:val="none"/>
          <w:u w:val="single"/>
          <w:lang w:val="en-US" w:eastAsia="zh-CN"/>
        </w:rPr>
        <w:t>供应商须对响应文件中材料的真实性、合法性负责；提交虚假材料的，响应文件无效。</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2.备份响应文件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2.1 供应商在电子交易平台传输提交响应文件后，还可在响应截止时间前直接提交或以邮政快递方式递交备份响应文件1份，但采购人、</w:t>
      </w:r>
      <w:r>
        <w:rPr>
          <w:rFonts w:hint="eastAsia" w:ascii="仿宋" w:hAnsi="仿宋" w:eastAsia="仿宋" w:cs="Times New Roman"/>
          <w:snapToGrid w:val="0"/>
          <w:kern w:val="0"/>
          <w:szCs w:val="21"/>
          <w:highlight w:val="none"/>
          <w:lang w:eastAsia="zh-CN"/>
        </w:rPr>
        <w:t>采购机构</w:t>
      </w:r>
      <w:r>
        <w:rPr>
          <w:rFonts w:hint="eastAsia" w:ascii="仿宋" w:hAnsi="仿宋" w:eastAsia="仿宋" w:cs="Times New Roman"/>
          <w:snapToGrid w:val="0"/>
          <w:kern w:val="0"/>
          <w:szCs w:val="21"/>
          <w:highlight w:val="none"/>
        </w:rPr>
        <w:t>不强制或变相强制供应商提交备份响应文件。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2.2 备份响应文件须在“政采云投标客户端”制作生成，并储存在不可修改的电子光盘</w:t>
      </w:r>
      <w:r>
        <w:rPr>
          <w:rFonts w:hint="eastAsia" w:ascii="仿宋" w:hAnsi="仿宋" w:eastAsia="仿宋" w:cs="Times New Roman"/>
          <w:snapToGrid w:val="0"/>
          <w:kern w:val="0"/>
          <w:szCs w:val="21"/>
          <w:highlight w:val="none"/>
          <w:lang w:val="en-US" w:eastAsia="zh-CN"/>
        </w:rPr>
        <w:t>等存储介质</w:t>
      </w:r>
      <w:r>
        <w:rPr>
          <w:rFonts w:hint="eastAsia" w:ascii="仿宋" w:hAnsi="仿宋" w:eastAsia="仿宋" w:cs="Times New Roman"/>
          <w:snapToGrid w:val="0"/>
          <w:kern w:val="0"/>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Times New Roman"/>
          <w:b/>
          <w:bCs/>
          <w:snapToGrid w:val="0"/>
          <w:kern w:val="0"/>
          <w:szCs w:val="21"/>
          <w:highlight w:val="none"/>
          <w:u w:val="single"/>
        </w:rPr>
        <w:t>▲不符合上述制作、存储、密封规定的备份响应文件将被视为无效或者被拒绝接收。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2.3 直接提交备份响应文件的，供应商应于响应截止时间前在</w:t>
      </w:r>
      <w:r>
        <w:rPr>
          <w:rFonts w:hint="eastAsia" w:ascii="仿宋" w:hAnsi="仿宋" w:eastAsia="仿宋" w:cs="Times New Roman"/>
          <w:snapToGrid w:val="0"/>
          <w:kern w:val="0"/>
          <w:szCs w:val="21"/>
          <w:highlight w:val="none"/>
          <w:lang w:val="en-US" w:eastAsia="zh-CN"/>
        </w:rPr>
        <w:t>采购</w:t>
      </w:r>
      <w:r>
        <w:rPr>
          <w:rFonts w:hint="eastAsia" w:ascii="仿宋" w:hAnsi="仿宋" w:eastAsia="仿宋" w:cs="Times New Roman"/>
          <w:snapToGrid w:val="0"/>
          <w:kern w:val="0"/>
          <w:szCs w:val="21"/>
          <w:highlight w:val="none"/>
        </w:rPr>
        <w:t>公告中载明的开启响应文件的地点将备份响应文件提交给</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将拒绝接受逾期送达的备份响应文件。</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Times New Roman"/>
          <w:snapToGrid w:val="0"/>
          <w:kern w:val="0"/>
          <w:szCs w:val="21"/>
          <w:highlight w:val="none"/>
          <w:u w:val="single"/>
          <w:lang w:eastAsia="zh-CN"/>
        </w:rPr>
        <w:t>采购文件</w:t>
      </w:r>
      <w:r>
        <w:rPr>
          <w:rFonts w:hint="eastAsia" w:ascii="仿宋" w:hAnsi="仿宋" w:eastAsia="仿宋" w:cs="Times New Roman"/>
          <w:snapToGrid w:val="0"/>
          <w:kern w:val="0"/>
          <w:szCs w:val="21"/>
          <w:highlight w:val="none"/>
          <w:u w:val="single"/>
        </w:rPr>
        <w:t>第三部分</w:t>
      </w:r>
      <w:r>
        <w:rPr>
          <w:rFonts w:hint="eastAsia" w:ascii="仿宋" w:hAnsi="仿宋" w:eastAsia="仿宋" w:cs="Times New Roman"/>
          <w:snapToGrid w:val="0"/>
          <w:kern w:val="0"/>
          <w:szCs w:val="21"/>
          <w:highlight w:val="none"/>
        </w:rPr>
        <w:t>供应商须知前附表规定的备份响应文件送达地点；送达时间以签收人签收时间为准。</w:t>
      </w:r>
      <w:r>
        <w:rPr>
          <w:rFonts w:hint="eastAsia" w:ascii="仿宋" w:hAnsi="仿宋" w:eastAsia="仿宋" w:cs="Times New Roman"/>
          <w:snapToGrid w:val="0"/>
          <w:kern w:val="0"/>
          <w:szCs w:val="21"/>
          <w:highlight w:val="none"/>
          <w:lang w:eastAsia="zh-CN"/>
        </w:rPr>
        <w:t>采购代理机构</w:t>
      </w:r>
      <w:r>
        <w:rPr>
          <w:rFonts w:hint="eastAsia" w:ascii="仿宋" w:hAnsi="仿宋" w:eastAsia="仿宋" w:cs="Times New Roman"/>
          <w:snapToGrid w:val="0"/>
          <w:kern w:val="0"/>
          <w:szCs w:val="21"/>
          <w:highlight w:val="none"/>
        </w:rPr>
        <w:t>将拒绝接受逾期送达的备份响应文件。邮寄过程中，电子备份响应文件发生泄露、遗失、损坏或延期送达等情况的，由供应商自行负责。</w:t>
      </w:r>
    </w:p>
    <w:p>
      <w:pPr>
        <w:adjustRightInd w:val="0"/>
        <w:snapToGrid w:val="0"/>
        <w:ind w:left="420" w:hanging="422" w:hangingChars="200"/>
        <w:rPr>
          <w:rFonts w:hint="eastAsia" w:ascii="仿宋" w:hAnsi="仿宋" w:eastAsia="仿宋"/>
          <w:b/>
          <w:bCs/>
          <w:snapToGrid w:val="0"/>
          <w:kern w:val="0"/>
          <w:szCs w:val="21"/>
          <w:highlight w:val="none"/>
          <w:u w:val="single"/>
        </w:rPr>
      </w:pPr>
      <w:r>
        <w:rPr>
          <w:rFonts w:hint="eastAsia" w:ascii="仿宋" w:hAnsi="仿宋" w:eastAsia="仿宋" w:cs="Times New Roman"/>
          <w:b/>
          <w:bCs/>
          <w:snapToGrid w:val="0"/>
          <w:kern w:val="0"/>
          <w:szCs w:val="21"/>
          <w:highlight w:val="none"/>
          <w:u w:val="single"/>
        </w:rPr>
        <w:t>2.5 ▲供应商仅提交备份响应文件，未在电子交易平台传输提交响应文件的，响应无效。</w:t>
      </w:r>
    </w:p>
    <w:p>
      <w:pPr>
        <w:adjustRightInd w:val="0"/>
        <w:snapToGrid w:val="0"/>
        <w:ind w:left="422" w:hanging="422" w:hangingChars="200"/>
        <w:rPr>
          <w:rFonts w:ascii="仿宋" w:hAnsi="仿宋" w:eastAsia="仿宋"/>
          <w:b/>
          <w:snapToGrid w:val="0"/>
          <w:kern w:val="0"/>
          <w:szCs w:val="21"/>
          <w:highlight w:val="none"/>
          <w:u w:val="singl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八、开启响应文件与信用信息查询</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开启响应文件</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采购机构按照采购文件确定的时间和地点组织开标会，开标全过程按规定录音录像监控。供应商如果没有参加开标会的，视同认可开标结果，事后不得再对采购工作人员、开标过程和开标结果提出异议。因供应商未参加开标而导致的后果由响应人自己承担。</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1.2 响应供应商数量不符合规定的，不得开启响应文件。</w:t>
      </w:r>
    </w:p>
    <w:p>
      <w:pPr>
        <w:adjustRightInd w:val="0"/>
        <w:snapToGrid w:val="0"/>
        <w:ind w:left="420" w:hanging="422" w:hangingChars="200"/>
        <w:rPr>
          <w:rFonts w:hint="eastAsia" w:ascii="仿宋" w:hAnsi="仿宋" w:eastAsia="仿宋" w:cs="Times New Roman"/>
          <w:b/>
          <w:bCs/>
          <w:snapToGrid w:val="0"/>
          <w:kern w:val="0"/>
          <w:szCs w:val="21"/>
          <w:highlight w:val="none"/>
        </w:rPr>
      </w:pPr>
      <w:r>
        <w:rPr>
          <w:rFonts w:hint="eastAsia" w:ascii="仿宋" w:hAnsi="仿宋" w:eastAsia="仿宋" w:cs="Times New Roman"/>
          <w:b/>
          <w:bCs/>
          <w:snapToGrid w:val="0"/>
          <w:kern w:val="0"/>
          <w:szCs w:val="21"/>
          <w:highlight w:val="none"/>
        </w:rPr>
        <w:t>1.3</w:t>
      </w:r>
      <w:r>
        <w:rPr>
          <w:rFonts w:hint="eastAsia" w:ascii="仿宋" w:hAnsi="仿宋" w:eastAsia="仿宋" w:cs="Times New Roman"/>
          <w:b/>
          <w:bCs/>
          <w:snapToGrid w:val="0"/>
          <w:kern w:val="0"/>
          <w:szCs w:val="21"/>
          <w:highlight w:val="none"/>
          <w:lang w:val="en-US" w:eastAsia="zh-CN"/>
        </w:rPr>
        <w:t xml:space="preserve"> </w:t>
      </w:r>
      <w:r>
        <w:rPr>
          <w:rFonts w:hint="eastAsia" w:ascii="仿宋" w:hAnsi="仿宋" w:eastAsia="仿宋" w:cs="Times New Roman"/>
          <w:b/>
          <w:bCs/>
          <w:snapToGrid w:val="0"/>
          <w:kern w:val="0"/>
          <w:szCs w:val="21"/>
          <w:highlight w:val="none"/>
        </w:rPr>
        <w:t>响应文件未在规定时间内成功解密的，</w:t>
      </w:r>
      <w:r>
        <w:rPr>
          <w:rFonts w:hint="eastAsia" w:ascii="仿宋" w:hAnsi="仿宋" w:eastAsia="仿宋" w:cs="Times New Roman"/>
          <w:b/>
          <w:bCs/>
          <w:snapToGrid w:val="0"/>
          <w:kern w:val="0"/>
          <w:szCs w:val="21"/>
          <w:highlight w:val="none"/>
          <w:lang w:val="en-US" w:eastAsia="zh-CN"/>
        </w:rPr>
        <w:t>如果</w:t>
      </w:r>
      <w:r>
        <w:rPr>
          <w:rFonts w:hint="eastAsia" w:ascii="仿宋" w:hAnsi="仿宋" w:eastAsia="仿宋" w:cs="Times New Roman"/>
          <w:b/>
          <w:bCs/>
          <w:snapToGrid w:val="0"/>
          <w:kern w:val="0"/>
          <w:szCs w:val="21"/>
          <w:highlight w:val="none"/>
        </w:rPr>
        <w:t>供应商提交了备份响应文件的，以备份响应文件作为依据，否则视为响应文件撤回。响应文件解密成功的供应商，其备份响应文件自动失效。</w:t>
      </w:r>
    </w:p>
    <w:p>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kern w:val="0"/>
          <w:szCs w:val="21"/>
          <w:highlight w:val="none"/>
          <w:lang w:val="en-US" w:eastAsia="zh-CN"/>
        </w:rPr>
        <w:t>1.4</w:t>
      </w:r>
      <w:r>
        <w:rPr>
          <w:rFonts w:hint="eastAsia" w:ascii="仿宋" w:hAnsi="仿宋" w:eastAsia="仿宋" w:cs="Times New Roman"/>
          <w:snapToGrid w:val="0"/>
          <w:color w:val="auto"/>
          <w:kern w:val="0"/>
          <w:szCs w:val="21"/>
          <w:highlight w:val="none"/>
        </w:rPr>
        <w:t xml:space="preserve"> </w:t>
      </w:r>
      <w:r>
        <w:rPr>
          <w:rFonts w:hint="eastAsia" w:ascii="仿宋" w:hAnsi="仿宋" w:eastAsia="仿宋" w:cs="Times New Roman"/>
          <w:snapToGrid w:val="0"/>
          <w:kern w:val="0"/>
          <w:szCs w:val="21"/>
          <w:highlight w:val="none"/>
          <w:lang w:val="en-US" w:eastAsia="zh-CN"/>
        </w:rPr>
        <w:t>磋商小组按照采购文件</w:t>
      </w:r>
      <w:r>
        <w:rPr>
          <w:rFonts w:hint="eastAsia" w:ascii="仿宋" w:hAnsi="仿宋" w:eastAsia="仿宋" w:cs="Times New Roman"/>
          <w:snapToGrid w:val="0"/>
          <w:color w:val="auto"/>
          <w:kern w:val="0"/>
          <w:szCs w:val="21"/>
          <w:highlight w:val="none"/>
        </w:rPr>
        <w:t>的规定，对</w:t>
      </w:r>
      <w:r>
        <w:rPr>
          <w:rFonts w:hint="eastAsia" w:ascii="仿宋" w:hAnsi="仿宋" w:eastAsia="仿宋" w:cs="Times New Roman"/>
          <w:snapToGrid w:val="0"/>
          <w:kern w:val="0"/>
          <w:szCs w:val="21"/>
          <w:highlight w:val="none"/>
          <w:lang w:val="en-US" w:eastAsia="zh-CN"/>
        </w:rPr>
        <w:t>供应商</w:t>
      </w:r>
      <w:r>
        <w:rPr>
          <w:rFonts w:hint="eastAsia" w:ascii="仿宋" w:hAnsi="仿宋" w:eastAsia="仿宋" w:cs="Times New Roman"/>
          <w:snapToGrid w:val="0"/>
          <w:color w:val="auto"/>
          <w:kern w:val="0"/>
          <w:szCs w:val="21"/>
          <w:highlight w:val="none"/>
        </w:rPr>
        <w:t>基本资格条件、特定资格条件进行审查。</w:t>
      </w:r>
    </w:p>
    <w:p>
      <w:pPr>
        <w:ind w:left="420" w:hanging="420" w:hangingChars="200"/>
        <w:rPr>
          <w:rFonts w:hint="eastAsia" w:ascii="仿宋" w:hAnsi="仿宋" w:eastAsia="仿宋" w:cs="Times New Roman"/>
          <w:snapToGrid w:val="0"/>
          <w:color w:val="auto"/>
          <w:kern w:val="0"/>
          <w:sz w:val="21"/>
          <w:szCs w:val="21"/>
          <w:highlight w:val="none"/>
        </w:rPr>
      </w:pPr>
      <w:r>
        <w:rPr>
          <w:rFonts w:hint="eastAsia" w:ascii="仿宋" w:hAnsi="仿宋" w:eastAsia="仿宋" w:cs="Times New Roman"/>
          <w:snapToGrid w:val="0"/>
          <w:kern w:val="0"/>
          <w:sz w:val="21"/>
          <w:szCs w:val="21"/>
          <w:highlight w:val="none"/>
          <w:lang w:val="en-US" w:eastAsia="zh-CN"/>
        </w:rPr>
        <w:t>1.5</w:t>
      </w:r>
      <w:r>
        <w:rPr>
          <w:rFonts w:hint="eastAsia" w:ascii="仿宋" w:hAnsi="仿宋" w:eastAsia="仿宋" w:cs="Times New Roman"/>
          <w:snapToGrid w:val="0"/>
          <w:color w:val="auto"/>
          <w:kern w:val="0"/>
          <w:sz w:val="21"/>
          <w:szCs w:val="21"/>
          <w:highlight w:val="none"/>
        </w:rPr>
        <w:t xml:space="preserve"> </w:t>
      </w:r>
      <w:r>
        <w:rPr>
          <w:rFonts w:hint="eastAsia" w:ascii="仿宋" w:hAnsi="仿宋" w:eastAsia="仿宋" w:cs="Times New Roman"/>
          <w:snapToGrid w:val="0"/>
          <w:kern w:val="0"/>
          <w:sz w:val="21"/>
          <w:szCs w:val="21"/>
          <w:highlight w:val="none"/>
          <w:lang w:val="en-US" w:eastAsia="zh-CN"/>
        </w:rPr>
        <w:t>供应商</w:t>
      </w:r>
      <w:r>
        <w:rPr>
          <w:rFonts w:hint="eastAsia" w:ascii="仿宋" w:hAnsi="仿宋" w:eastAsia="仿宋" w:cs="Times New Roman"/>
          <w:snapToGrid w:val="0"/>
          <w:color w:val="auto"/>
          <w:kern w:val="0"/>
          <w:sz w:val="21"/>
          <w:szCs w:val="21"/>
          <w:highlight w:val="none"/>
        </w:rPr>
        <w:t>未按照</w:t>
      </w:r>
      <w:r>
        <w:rPr>
          <w:rFonts w:hint="eastAsia" w:ascii="仿宋" w:hAnsi="仿宋" w:eastAsia="仿宋" w:cs="Times New Roman"/>
          <w:snapToGrid w:val="0"/>
          <w:kern w:val="0"/>
          <w:sz w:val="21"/>
          <w:szCs w:val="21"/>
          <w:highlight w:val="none"/>
          <w:lang w:val="en-US" w:eastAsia="zh-CN"/>
        </w:rPr>
        <w:t>采购</w:t>
      </w:r>
      <w:r>
        <w:rPr>
          <w:rFonts w:hint="eastAsia" w:ascii="仿宋" w:hAnsi="仿宋" w:eastAsia="仿宋" w:cs="Times New Roman"/>
          <w:snapToGrid w:val="0"/>
          <w:color w:val="auto"/>
          <w:kern w:val="0"/>
          <w:sz w:val="21"/>
          <w:szCs w:val="21"/>
          <w:highlight w:val="none"/>
        </w:rPr>
        <w:t>文件要求提供与基本资格条件、特定资格条件相应的有效资格证明材料的，视为</w:t>
      </w:r>
      <w:r>
        <w:rPr>
          <w:rFonts w:hint="eastAsia" w:ascii="仿宋" w:hAnsi="仿宋" w:eastAsia="仿宋" w:cs="Times New Roman"/>
          <w:snapToGrid w:val="0"/>
          <w:kern w:val="0"/>
          <w:sz w:val="21"/>
          <w:szCs w:val="21"/>
          <w:highlight w:val="none"/>
          <w:lang w:val="en-US" w:eastAsia="zh-CN"/>
        </w:rPr>
        <w:t>供应商</w:t>
      </w:r>
      <w:r>
        <w:rPr>
          <w:rFonts w:hint="eastAsia" w:ascii="仿宋" w:hAnsi="仿宋" w:eastAsia="仿宋" w:cs="Times New Roman"/>
          <w:snapToGrid w:val="0"/>
          <w:color w:val="auto"/>
          <w:kern w:val="0"/>
          <w:sz w:val="21"/>
          <w:szCs w:val="21"/>
          <w:highlight w:val="none"/>
        </w:rPr>
        <w:t>不具备</w:t>
      </w:r>
      <w:r>
        <w:rPr>
          <w:rFonts w:hint="eastAsia" w:ascii="仿宋" w:hAnsi="仿宋" w:eastAsia="仿宋" w:cs="Times New Roman"/>
          <w:snapToGrid w:val="0"/>
          <w:kern w:val="0"/>
          <w:sz w:val="21"/>
          <w:szCs w:val="21"/>
          <w:highlight w:val="none"/>
          <w:lang w:val="en-US" w:eastAsia="zh-CN"/>
        </w:rPr>
        <w:t>采购</w:t>
      </w:r>
      <w:r>
        <w:rPr>
          <w:rFonts w:hint="eastAsia" w:ascii="仿宋" w:hAnsi="仿宋" w:eastAsia="仿宋" w:cs="Times New Roman"/>
          <w:snapToGrid w:val="0"/>
          <w:color w:val="auto"/>
          <w:kern w:val="0"/>
          <w:sz w:val="21"/>
          <w:szCs w:val="21"/>
          <w:highlight w:val="none"/>
        </w:rPr>
        <w:t>文件中规定的资格要求，其</w:t>
      </w:r>
      <w:r>
        <w:rPr>
          <w:rFonts w:hint="eastAsia" w:ascii="仿宋" w:hAnsi="仿宋" w:eastAsia="仿宋" w:cs="Times New Roman"/>
          <w:snapToGrid w:val="0"/>
          <w:kern w:val="0"/>
          <w:sz w:val="21"/>
          <w:szCs w:val="21"/>
          <w:highlight w:val="none"/>
          <w:lang w:val="en-US" w:eastAsia="zh-CN"/>
        </w:rPr>
        <w:t>响应</w:t>
      </w:r>
      <w:r>
        <w:rPr>
          <w:rFonts w:hint="eastAsia" w:ascii="仿宋" w:hAnsi="仿宋" w:eastAsia="仿宋" w:cs="Times New Roman"/>
          <w:snapToGrid w:val="0"/>
          <w:color w:val="auto"/>
          <w:kern w:val="0"/>
          <w:sz w:val="21"/>
          <w:szCs w:val="21"/>
          <w:highlight w:val="none"/>
        </w:rPr>
        <w:t>无效。</w:t>
      </w:r>
    </w:p>
    <w:p>
      <w:pPr>
        <w:adjustRightInd w:val="0"/>
        <w:snapToGrid w:val="0"/>
        <w:ind w:left="420" w:hanging="420" w:hangingChars="200"/>
        <w:rPr>
          <w:rFonts w:hint="eastAsia" w:ascii="仿宋" w:hAnsi="仿宋" w:eastAsia="仿宋" w:cs="Times New Roman"/>
          <w:snapToGrid w:val="0"/>
          <w:color w:val="auto"/>
          <w:kern w:val="0"/>
          <w:sz w:val="21"/>
          <w:szCs w:val="21"/>
          <w:highlight w:val="none"/>
        </w:rPr>
      </w:pPr>
      <w:r>
        <w:rPr>
          <w:rFonts w:hint="eastAsia" w:ascii="仿宋" w:hAnsi="仿宋" w:eastAsia="仿宋" w:cs="Times New Roman"/>
          <w:snapToGrid w:val="0"/>
          <w:color w:val="auto"/>
          <w:kern w:val="0"/>
          <w:sz w:val="21"/>
          <w:szCs w:val="21"/>
          <w:highlight w:val="none"/>
          <w:lang w:val="en-US" w:eastAsia="zh-CN"/>
        </w:rPr>
        <w:t xml:space="preserve">1.6 </w:t>
      </w:r>
      <w:r>
        <w:rPr>
          <w:rFonts w:hint="eastAsia" w:ascii="仿宋" w:hAnsi="仿宋" w:eastAsia="仿宋" w:cs="Times New Roman"/>
          <w:snapToGrid w:val="0"/>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w:t>
      </w:r>
      <w:r>
        <w:rPr>
          <w:rFonts w:hint="eastAsia" w:ascii="仿宋" w:hAnsi="仿宋" w:eastAsia="仿宋" w:cs="Times New Roman"/>
          <w:snapToGrid w:val="0"/>
          <w:color w:val="auto"/>
          <w:kern w:val="0"/>
          <w:sz w:val="21"/>
          <w:szCs w:val="21"/>
          <w:highlight w:val="none"/>
          <w:lang w:val="en-US" w:eastAsia="zh-CN"/>
        </w:rPr>
        <w:t>的</w:t>
      </w:r>
      <w:r>
        <w:rPr>
          <w:rFonts w:hint="eastAsia" w:ascii="仿宋" w:hAnsi="仿宋" w:eastAsia="仿宋" w:cs="Times New Roman"/>
          <w:snapToGrid w:val="0"/>
          <w:color w:val="auto"/>
          <w:kern w:val="0"/>
          <w:sz w:val="21"/>
          <w:szCs w:val="21"/>
          <w:highlight w:val="none"/>
        </w:rPr>
        <w:t>，可以允许其独立参加政府采购活动。</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w:t>
      </w:r>
      <w:r>
        <w:rPr>
          <w:rFonts w:ascii="仿宋" w:hAnsi="仿宋" w:eastAsia="仿宋"/>
          <w:b/>
          <w:snapToGrid w:val="0"/>
          <w:kern w:val="0"/>
          <w:sz w:val="24"/>
          <w:highlight w:val="none"/>
        </w:rPr>
        <w:t>信用信息查询</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信用信息查询渠道及截止时间：采购机构将通过“信用中国”网站(www.creditchina.gov.cn)、中国政府采购网(www.ccgp.gov.cn)渠道查询供应商</w:t>
      </w:r>
      <w:r>
        <w:rPr>
          <w:rFonts w:hint="eastAsia" w:ascii="仿宋" w:hAnsi="仿宋" w:eastAsia="仿宋"/>
          <w:snapToGrid w:val="0"/>
          <w:kern w:val="0"/>
          <w:szCs w:val="21"/>
          <w:highlight w:val="none"/>
        </w:rPr>
        <w:t>提交响应文件截止</w:t>
      </w:r>
      <w:r>
        <w:rPr>
          <w:rFonts w:ascii="仿宋" w:hAnsi="仿宋" w:eastAsia="仿宋"/>
          <w:snapToGrid w:val="0"/>
          <w:kern w:val="0"/>
          <w:szCs w:val="21"/>
          <w:highlight w:val="none"/>
        </w:rPr>
        <w:t>时间前的信用记录。</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信用信息查询记录和证据留存的具体方式：现场查询的供应商的信用记录、查询结果经确认后与采购文件一起存档。</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.3</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.4</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napToGrid w:val="0"/>
          <w:kern w:val="0"/>
          <w:szCs w:val="21"/>
          <w:highlight w:val="none"/>
        </w:rPr>
        <w:t>。</w:t>
      </w:r>
    </w:p>
    <w:p>
      <w:pPr>
        <w:adjustRightInd w:val="0"/>
        <w:snapToGrid w:val="0"/>
        <w:ind w:left="420" w:hanging="420" w:hangingChars="200"/>
        <w:rPr>
          <w:rFonts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九、提交最后报价</w:t>
      </w:r>
    </w:p>
    <w:p>
      <w:pPr>
        <w:adjustRightInd w:val="0"/>
        <w:snapToGrid w:val="0"/>
        <w:spacing w:before="120" w:beforeLines="50" w:after="120" w:afterLines="50"/>
        <w:rPr>
          <w:rFonts w:hint="eastAsia"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最后报价</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1.1 供应商提交</w:t>
      </w:r>
      <w:r>
        <w:rPr>
          <w:rFonts w:hint="eastAsia" w:ascii="仿宋" w:hAnsi="仿宋" w:eastAsia="仿宋"/>
          <w:b/>
          <w:snapToGrid w:val="0"/>
          <w:kern w:val="0"/>
          <w:szCs w:val="21"/>
          <w:highlight w:val="none"/>
        </w:rPr>
        <w:t>最后报价文件</w:t>
      </w:r>
      <w:r>
        <w:rPr>
          <w:rFonts w:hint="eastAsia" w:ascii="仿宋" w:hAnsi="仿宋" w:eastAsia="仿宋"/>
          <w:snapToGrid w:val="0"/>
          <w:kern w:val="0"/>
          <w:szCs w:val="21"/>
          <w:highlight w:val="none"/>
        </w:rPr>
        <w:t>，应当包括以下内容</w:t>
      </w:r>
      <w:r>
        <w:rPr>
          <w:rFonts w:hint="eastAsia" w:ascii="仿宋" w:hAnsi="仿宋" w:eastAsia="仿宋" w:cs="Times New Roman"/>
          <w:snapToGrid w:val="0"/>
          <w:kern w:val="0"/>
          <w:szCs w:val="21"/>
          <w:highlight w:val="none"/>
        </w:rPr>
        <w:t>（均需使用电子签名）</w:t>
      </w:r>
      <w:r>
        <w:rPr>
          <w:rFonts w:hint="eastAsia" w:ascii="仿宋" w:hAnsi="仿宋" w:eastAsia="仿宋"/>
          <w:snapToGrid w:val="0"/>
          <w:kern w:val="0"/>
          <w:szCs w:val="21"/>
          <w:highlight w:val="none"/>
        </w:rPr>
        <w:t>：</w:t>
      </w:r>
    </w:p>
    <w:p>
      <w:pPr>
        <w:numPr>
          <w:ilvl w:val="0"/>
          <w:numId w:val="11"/>
        </w:numPr>
        <w:adjustRightInd w:val="0"/>
        <w:snapToGrid w:val="0"/>
        <w:rPr>
          <w:rFonts w:hint="eastAsia" w:ascii="仿宋" w:hAnsi="仿宋" w:eastAsia="仿宋" w:cs="仿宋_GB2312"/>
          <w:snapToGrid w:val="0"/>
          <w:kern w:val="0"/>
          <w:szCs w:val="21"/>
          <w:highlight w:val="none"/>
          <w:lang w:val="zh-CN"/>
        </w:rPr>
      </w:pPr>
      <w:r>
        <w:rPr>
          <w:rFonts w:hint="eastAsia" w:ascii="仿宋" w:hAnsi="仿宋" w:eastAsia="仿宋" w:cs="仿宋_GB2312"/>
          <w:snapToGrid w:val="0"/>
          <w:kern w:val="0"/>
          <w:szCs w:val="21"/>
          <w:highlight w:val="none"/>
          <w:lang w:val="en-US" w:eastAsia="zh-CN"/>
        </w:rPr>
        <w:t>报价</w:t>
      </w:r>
      <w:r>
        <w:rPr>
          <w:rFonts w:ascii="仿宋" w:hAnsi="仿宋" w:eastAsia="仿宋" w:cs="仿宋_GB2312"/>
          <w:snapToGrid w:val="0"/>
          <w:kern w:val="0"/>
          <w:szCs w:val="21"/>
          <w:highlight w:val="none"/>
        </w:rPr>
        <w:t>一览表（最后报价）；</w:t>
      </w:r>
    </w:p>
    <w:p>
      <w:pPr>
        <w:numPr>
          <w:ilvl w:val="0"/>
          <w:numId w:val="11"/>
        </w:numPr>
        <w:adjustRightInd w:val="0"/>
        <w:snapToGrid w:val="0"/>
        <w:rPr>
          <w:rFonts w:hint="default" w:ascii="仿宋" w:hAnsi="仿宋" w:eastAsia="仿宋" w:cs="仿宋_GB2312"/>
          <w:snapToGrid w:val="0"/>
          <w:kern w:val="0"/>
          <w:szCs w:val="21"/>
          <w:highlight w:val="none"/>
          <w:lang w:val="en-US" w:eastAsia="zh-CN"/>
        </w:rPr>
      </w:pPr>
      <w:r>
        <w:rPr>
          <w:rFonts w:hint="eastAsia" w:ascii="仿宋" w:hAnsi="仿宋" w:eastAsia="仿宋" w:cs="仿宋_GB2312"/>
          <w:snapToGrid w:val="0"/>
          <w:kern w:val="0"/>
          <w:szCs w:val="21"/>
          <w:highlight w:val="none"/>
          <w:lang w:val="en-US" w:eastAsia="zh-CN"/>
        </w:rPr>
        <w:t>报价情况说明</w:t>
      </w:r>
      <w:r>
        <w:rPr>
          <w:rFonts w:hint="eastAsia" w:ascii="仿宋" w:hAnsi="仿宋" w:eastAsia="仿宋" w:cs="仿宋_GB2312"/>
          <w:i/>
          <w:iCs/>
          <w:snapToGrid w:val="0"/>
          <w:kern w:val="0"/>
          <w:szCs w:val="21"/>
          <w:highlight w:val="none"/>
          <w:lang w:val="en-US" w:eastAsia="zh-CN"/>
        </w:rPr>
        <w:t>（如果有）</w:t>
      </w:r>
      <w:r>
        <w:rPr>
          <w:rFonts w:hint="eastAsia" w:ascii="仿宋" w:hAnsi="仿宋" w:eastAsia="仿宋" w:cs="仿宋_GB2312"/>
          <w:snapToGrid w:val="0"/>
          <w:kern w:val="0"/>
          <w:szCs w:val="21"/>
          <w:highlight w:val="none"/>
          <w:lang w:val="en-US" w:eastAsia="zh-CN"/>
        </w:rPr>
        <w:t>；</w:t>
      </w:r>
    </w:p>
    <w:p>
      <w:pPr>
        <w:numPr>
          <w:ilvl w:val="0"/>
          <w:numId w:val="11"/>
        </w:numPr>
        <w:adjustRightInd w:val="0"/>
        <w:snapToGrid w:val="0"/>
        <w:rPr>
          <w:rFonts w:ascii="仿宋" w:hAnsi="仿宋" w:eastAsia="仿宋" w:cs="仿宋_GB2312"/>
          <w:snapToGrid w:val="0"/>
          <w:kern w:val="0"/>
          <w:szCs w:val="21"/>
          <w:highlight w:val="none"/>
          <w:lang w:val="zh-CN"/>
        </w:rPr>
      </w:pPr>
      <w:r>
        <w:rPr>
          <w:rFonts w:ascii="仿宋" w:hAnsi="仿宋" w:eastAsia="仿宋" w:cs="仿宋_GB2312"/>
          <w:snapToGrid w:val="0"/>
          <w:kern w:val="0"/>
          <w:szCs w:val="21"/>
          <w:highlight w:val="none"/>
        </w:rPr>
        <w:t>中小企业声明函</w:t>
      </w:r>
      <w:r>
        <w:rPr>
          <w:rFonts w:hint="eastAsia" w:ascii="仿宋" w:hAnsi="仿宋" w:eastAsia="仿宋" w:cs="仿宋_GB2312"/>
          <w:i/>
          <w:iCs/>
          <w:snapToGrid w:val="0"/>
          <w:kern w:val="0"/>
          <w:szCs w:val="21"/>
          <w:highlight w:val="none"/>
          <w:lang w:val="en-US" w:eastAsia="zh-CN"/>
        </w:rPr>
        <w:t>（如果有）</w:t>
      </w:r>
      <w:r>
        <w:rPr>
          <w:rFonts w:ascii="仿宋" w:hAnsi="仿宋" w:eastAsia="仿宋" w:cs="仿宋_GB2312"/>
          <w:snapToGrid w:val="0"/>
          <w:kern w:val="0"/>
          <w:szCs w:val="21"/>
          <w:highlight w:val="none"/>
        </w:rPr>
        <w:t>。</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1.2 供应商提交报价文件后，应当据实填写并提交《政府采购活动确认声明书》。</w:t>
      </w:r>
    </w:p>
    <w:p>
      <w:pPr>
        <w:snapToGrid w:val="0"/>
        <w:rPr>
          <w:rFonts w:hint="eastAsia" w:ascii="仿宋" w:hAnsi="仿宋" w:eastAsia="仿宋"/>
          <w:b/>
          <w:snapToGrid w:val="0"/>
          <w:kern w:val="0"/>
          <w:sz w:val="24"/>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十、评审</w:t>
      </w:r>
    </w:p>
    <w:p>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评审办法：</w:t>
      </w:r>
      <w:r>
        <w:rPr>
          <w:rFonts w:ascii="仿宋" w:hAnsi="仿宋" w:eastAsia="仿宋"/>
          <w:snapToGrid w:val="0"/>
          <w:kern w:val="0"/>
          <w:sz w:val="24"/>
          <w:highlight w:val="none"/>
          <w:u w:val="single"/>
        </w:rPr>
        <w:t>综合评分法</w:t>
      </w:r>
      <w:r>
        <w:rPr>
          <w:rFonts w:hint="eastAsia" w:ascii="仿宋" w:hAnsi="仿宋" w:eastAsia="仿宋"/>
          <w:snapToGrid w:val="0"/>
          <w:kern w:val="0"/>
          <w:sz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ascii="仿宋" w:hAnsi="仿宋" w:eastAsia="仿宋"/>
          <w:b/>
          <w:snapToGrid w:val="0"/>
          <w:kern w:val="0"/>
          <w:sz w:val="24"/>
          <w:highlight w:val="none"/>
        </w:rPr>
      </w:pPr>
      <w:r>
        <w:rPr>
          <w:rFonts w:hint="eastAsia" w:ascii="仿宋" w:hAnsi="仿宋" w:eastAsia="仿宋"/>
          <w:b/>
          <w:snapToGrid w:val="0"/>
          <w:kern w:val="0"/>
          <w:sz w:val="24"/>
          <w:highlight w:val="none"/>
        </w:rPr>
        <w:t>2.价格分计算方法：</w:t>
      </w:r>
      <w:r>
        <w:rPr>
          <w:rFonts w:hint="eastAsia" w:ascii="仿宋" w:hAnsi="仿宋" w:eastAsia="仿宋"/>
          <w:snapToGrid w:val="0"/>
          <w:kern w:val="0"/>
          <w:sz w:val="24"/>
          <w:highlight w:val="none"/>
          <w:u w:val="single"/>
        </w:rPr>
        <w:t>低价优先法。</w:t>
      </w:r>
    </w:p>
    <w:p>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snapToGrid w:val="0"/>
          <w:kern w:val="0"/>
          <w:sz w:val="24"/>
          <w:highlight w:val="none"/>
          <w:u w:val="single"/>
        </w:rPr>
      </w:pPr>
      <w:r>
        <w:rPr>
          <w:rFonts w:hint="eastAsia" w:ascii="仿宋" w:hAnsi="仿宋" w:eastAsia="仿宋"/>
          <w:b/>
          <w:snapToGrid w:val="0"/>
          <w:kern w:val="0"/>
          <w:sz w:val="24"/>
          <w:highlight w:val="none"/>
        </w:rPr>
        <w:t>3.评审要求：</w:t>
      </w:r>
      <w:r>
        <w:rPr>
          <w:rFonts w:hint="eastAsia" w:ascii="仿宋" w:hAnsi="仿宋" w:eastAsia="仿宋"/>
          <w:snapToGrid w:val="0"/>
          <w:kern w:val="0"/>
          <w:sz w:val="24"/>
          <w:highlight w:val="none"/>
          <w:u w:val="single"/>
        </w:rPr>
        <w:t>详见采购文件第五部分“评审方法及评审标准”。</w:t>
      </w:r>
    </w:p>
    <w:p>
      <w:pPr>
        <w:keepNext w:val="0"/>
        <w:keepLines w:val="0"/>
        <w:pageBreakBefore w:val="0"/>
        <w:widowControl w:val="0"/>
        <w:kinsoku/>
        <w:wordWrap/>
        <w:overflowPunct/>
        <w:topLinePunct w:val="0"/>
        <w:autoSpaceDE/>
        <w:autoSpaceDN/>
        <w:bidi w:val="0"/>
        <w:adjustRightInd w:val="0"/>
        <w:snapToGrid w:val="0"/>
        <w:spacing w:before="0" w:beforeLines="50"/>
        <w:textAlignment w:val="auto"/>
        <w:rPr>
          <w:rFonts w:hint="default" w:ascii="仿宋" w:hAnsi="仿宋" w:eastAsia="仿宋" w:cs="Times New Roman"/>
          <w:snapToGrid w:val="0"/>
          <w:kern w:val="0"/>
          <w:sz w:val="21"/>
          <w:szCs w:val="21"/>
          <w:highlight w:val="none"/>
          <w:lang w:val="en-US" w:eastAsia="zh-CN"/>
        </w:rPr>
      </w:pPr>
      <w:r>
        <w:rPr>
          <w:rFonts w:hint="eastAsia" w:ascii="仿宋" w:hAnsi="仿宋" w:eastAsia="仿宋" w:cs="Times New Roman"/>
          <w:snapToGrid w:val="0"/>
          <w:kern w:val="0"/>
          <w:sz w:val="21"/>
          <w:szCs w:val="21"/>
          <w:highlight w:val="none"/>
          <w:lang w:val="en-US" w:eastAsia="zh-CN"/>
        </w:rPr>
        <w:t>4.</w:t>
      </w:r>
      <w:r>
        <w:rPr>
          <w:rFonts w:hint="eastAsia" w:ascii="仿宋" w:hAnsi="仿宋" w:eastAsia="仿宋" w:cs="Times New Roman"/>
          <w:snapToGrid w:val="0"/>
          <w:kern w:val="0"/>
          <w:sz w:val="21"/>
          <w:szCs w:val="21"/>
          <w:highlight w:val="none"/>
        </w:rPr>
        <w:t>磋商小组按照响应文件解密次序集中与单一供应商分别进行磋商，</w:t>
      </w:r>
      <w:r>
        <w:rPr>
          <w:rFonts w:hint="eastAsia" w:ascii="仿宋" w:hAnsi="仿宋" w:eastAsia="仿宋" w:cs="Times New Roman"/>
          <w:snapToGrid w:val="0"/>
          <w:kern w:val="0"/>
          <w:sz w:val="21"/>
          <w:szCs w:val="21"/>
          <w:highlight w:val="none"/>
          <w:lang w:val="en-US" w:eastAsia="zh-CN"/>
        </w:rPr>
        <w:t>并且</w:t>
      </w:r>
      <w:r>
        <w:rPr>
          <w:rFonts w:hint="eastAsia" w:ascii="仿宋" w:hAnsi="仿宋" w:eastAsia="仿宋" w:cs="Times New Roman"/>
          <w:snapToGrid w:val="0"/>
          <w:kern w:val="0"/>
          <w:sz w:val="21"/>
          <w:szCs w:val="21"/>
          <w:highlight w:val="none"/>
        </w:rPr>
        <w:t>给予所有参加磋商的供应商平等的磋商机会。磋商过程中，磋商小组可以根据磋商情况调整轮次。</w:t>
      </w:r>
      <w:r>
        <w:rPr>
          <w:rFonts w:hint="eastAsia" w:ascii="仿宋" w:hAnsi="仿宋" w:eastAsia="仿宋" w:cs="Times New Roman"/>
          <w:snapToGrid w:val="0"/>
          <w:kern w:val="0"/>
          <w:sz w:val="21"/>
          <w:szCs w:val="21"/>
          <w:highlight w:val="none"/>
          <w:lang w:val="en-US" w:eastAsia="zh-CN"/>
        </w:rPr>
        <w:t>如</w:t>
      </w:r>
      <w:r>
        <w:rPr>
          <w:rFonts w:hint="eastAsia" w:ascii="仿宋" w:hAnsi="仿宋" w:eastAsia="仿宋" w:cs="Times New Roman"/>
          <w:snapToGrid w:val="0"/>
          <w:kern w:val="0"/>
          <w:sz w:val="21"/>
          <w:szCs w:val="21"/>
          <w:highlight w:val="none"/>
        </w:rPr>
        <w:t>采购文件所列采购内容明确不需要修改的或供应商磋商响应文件清楚明确不需要澄清的，</w:t>
      </w:r>
      <w:r>
        <w:rPr>
          <w:rFonts w:hint="eastAsia" w:ascii="仿宋" w:hAnsi="仿宋" w:eastAsia="仿宋" w:cs="Times New Roman"/>
          <w:snapToGrid w:val="0"/>
          <w:kern w:val="0"/>
          <w:sz w:val="21"/>
          <w:szCs w:val="21"/>
          <w:highlight w:val="none"/>
          <w:lang w:val="en-US" w:eastAsia="zh-CN"/>
        </w:rPr>
        <w:t>采购机构通过电子交易平台</w:t>
      </w:r>
      <w:r>
        <w:rPr>
          <w:rFonts w:hint="eastAsia" w:ascii="仿宋" w:hAnsi="仿宋" w:eastAsia="仿宋" w:cs="Times New Roman"/>
          <w:snapToGrid w:val="0"/>
          <w:kern w:val="0"/>
          <w:sz w:val="21"/>
          <w:szCs w:val="21"/>
          <w:highlight w:val="none"/>
        </w:rPr>
        <w:t>要求供应商</w:t>
      </w:r>
      <w:r>
        <w:rPr>
          <w:rFonts w:hint="eastAsia" w:ascii="仿宋" w:hAnsi="仿宋" w:eastAsia="仿宋" w:cs="Times New Roman"/>
          <w:snapToGrid w:val="0"/>
          <w:kern w:val="0"/>
          <w:sz w:val="21"/>
          <w:szCs w:val="21"/>
          <w:highlight w:val="none"/>
          <w:lang w:val="en-US" w:eastAsia="zh-CN"/>
        </w:rPr>
        <w:t>在规定时间内提交</w:t>
      </w:r>
      <w:r>
        <w:rPr>
          <w:rFonts w:hint="eastAsia" w:ascii="仿宋" w:hAnsi="仿宋" w:eastAsia="仿宋" w:cs="Times New Roman"/>
          <w:snapToGrid w:val="0"/>
          <w:kern w:val="0"/>
          <w:sz w:val="21"/>
          <w:szCs w:val="21"/>
          <w:highlight w:val="none"/>
        </w:rPr>
        <w:t>最</w:t>
      </w:r>
      <w:r>
        <w:rPr>
          <w:rFonts w:hint="eastAsia" w:ascii="仿宋" w:hAnsi="仿宋" w:eastAsia="仿宋" w:cs="Times New Roman"/>
          <w:snapToGrid w:val="0"/>
          <w:kern w:val="0"/>
          <w:sz w:val="21"/>
          <w:szCs w:val="21"/>
          <w:highlight w:val="none"/>
          <w:lang w:val="en-US" w:eastAsia="zh-CN"/>
        </w:rPr>
        <w:t>后报价；如果需由供应商提供最终设计方案或解决方案的，按照少数服从多数的原则投票推荐3家及以上供应商，并要求其在规定时间内在电子交易平台提交最后报价。</w:t>
      </w:r>
    </w:p>
    <w:p>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b/>
          <w:snapToGrid w:val="0"/>
          <w:kern w:val="0"/>
          <w:sz w:val="24"/>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十一、定标</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1.推荐中标(成交)候选供应商</w:t>
      </w:r>
    </w:p>
    <w:p>
      <w:pPr>
        <w:adjustRightInd w:val="0"/>
        <w:snapToGrid w:val="0"/>
        <w:ind w:firstLine="420" w:firstLine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评审小组将根据综合评分情况，按照评审得分由高到低的顺序，推荐3名以上成交候选供应商，并编写评审报告。符合财政部门规定情形的，可以推荐2名成交候选供应商。评审得分相同的，按照最后报价由低到高的顺序推荐。评审得分且最后报价相同的，按照技术指标优劣顺序推荐。</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2.确定中标(成交)供应商</w:t>
      </w:r>
    </w:p>
    <w:p>
      <w:pPr>
        <w:adjustRightInd w:val="0"/>
        <w:snapToGrid w:val="0"/>
        <w:ind w:firstLine="420" w:firstLine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政府采购项目已经实行全流程电子化的，评审报告送交、采购结果确定和结果公告均在线完成。为进一步提升采购结果确定效率，采购代理机构应当依法及时将评审报告在线送交采购人。采购人应自收到评审报告之日起2个工作日内在线确定中标(成交)供应商。中标(成交)通知书和中标(成交)结果公告应当在规定时间内同时发出。</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3.中标(成交)通知与中标(成交)结果公告</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自中标</w:t>
      </w:r>
      <w:r>
        <w:rPr>
          <w:rFonts w:hint="eastAsia" w:ascii="仿宋" w:hAnsi="仿宋" w:eastAsia="仿宋"/>
          <w:snapToGrid w:val="0"/>
          <w:kern w:val="0"/>
          <w:szCs w:val="21"/>
          <w:highlight w:val="none"/>
        </w:rPr>
        <w:t>(成交)</w:t>
      </w:r>
      <w:r>
        <w:rPr>
          <w:rFonts w:ascii="仿宋" w:hAnsi="仿宋" w:eastAsia="仿宋"/>
          <w:snapToGrid w:val="0"/>
          <w:kern w:val="0"/>
          <w:szCs w:val="21"/>
          <w:highlight w:val="none"/>
        </w:rPr>
        <w:t>人确定之日起2个工作日内，采购机构通过电子交易平台向中标</w:t>
      </w:r>
      <w:r>
        <w:rPr>
          <w:rFonts w:hint="eastAsia" w:ascii="仿宋" w:hAnsi="仿宋" w:eastAsia="仿宋"/>
          <w:snapToGrid w:val="0"/>
          <w:kern w:val="0"/>
          <w:szCs w:val="21"/>
          <w:highlight w:val="none"/>
        </w:rPr>
        <w:t>(成交)</w:t>
      </w:r>
      <w:r>
        <w:rPr>
          <w:rFonts w:ascii="仿宋" w:hAnsi="仿宋" w:eastAsia="仿宋"/>
          <w:snapToGrid w:val="0"/>
          <w:kern w:val="0"/>
          <w:szCs w:val="21"/>
          <w:highlight w:val="none"/>
        </w:rPr>
        <w:t>人发出中标</w:t>
      </w:r>
      <w:r>
        <w:rPr>
          <w:rFonts w:hint="eastAsia" w:ascii="仿宋" w:hAnsi="仿宋" w:eastAsia="仿宋"/>
          <w:snapToGrid w:val="0"/>
          <w:kern w:val="0"/>
          <w:szCs w:val="21"/>
          <w:highlight w:val="none"/>
        </w:rPr>
        <w:t>(成交)</w:t>
      </w:r>
      <w:r>
        <w:rPr>
          <w:rFonts w:ascii="仿宋" w:hAnsi="仿宋" w:eastAsia="仿宋"/>
          <w:snapToGrid w:val="0"/>
          <w:kern w:val="0"/>
          <w:szCs w:val="21"/>
          <w:highlight w:val="none"/>
        </w:rPr>
        <w:t>通知书，</w:t>
      </w:r>
      <w:r>
        <w:rPr>
          <w:rFonts w:hint="eastAsia" w:ascii="仿宋" w:hAnsi="仿宋" w:eastAsia="仿宋"/>
          <w:snapToGrid w:val="0"/>
          <w:kern w:val="0"/>
          <w:szCs w:val="21"/>
          <w:highlight w:val="none"/>
        </w:rPr>
        <w:t>同时编制发布采购结果公告。采购机构也可以以纸质形式进行中标(成交)通知。</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中标</w:t>
      </w:r>
      <w:r>
        <w:rPr>
          <w:rFonts w:hint="eastAsia" w:ascii="仿宋" w:hAnsi="仿宋" w:eastAsia="仿宋"/>
          <w:snapToGrid w:val="0"/>
          <w:kern w:val="0"/>
          <w:szCs w:val="21"/>
          <w:highlight w:val="none"/>
        </w:rPr>
        <w:t>(成交)</w:t>
      </w:r>
      <w:r>
        <w:rPr>
          <w:rFonts w:ascii="仿宋" w:hAnsi="仿宋" w:eastAsia="仿宋"/>
          <w:snapToGrid w:val="0"/>
          <w:kern w:val="0"/>
          <w:szCs w:val="21"/>
          <w:highlight w:val="none"/>
        </w:rPr>
        <w:t>结果公告内容包括采购人及其委托的采购机构的名称、地址、联系方式，项目名称和项目编号，中标人名称、地址和中标金额，主要中标标的</w:t>
      </w:r>
      <w:r>
        <w:rPr>
          <w:rFonts w:hint="eastAsia" w:ascii="仿宋" w:hAnsi="仿宋" w:eastAsia="仿宋"/>
          <w:snapToGrid w:val="0"/>
          <w:kern w:val="0"/>
          <w:szCs w:val="21"/>
          <w:highlight w:val="none"/>
        </w:rPr>
        <w:t>的名称、规格型号、数量、单价、服务要求，开标记录、未中标情况说明、中标公告期限以及评审专家名单、评分汇总及明细。</w:t>
      </w:r>
    </w:p>
    <w:p>
      <w:pPr>
        <w:adjustRightInd w:val="0"/>
        <w:snapToGrid w:val="0"/>
        <w:ind w:left="422" w:hanging="422" w:hangingChars="200"/>
        <w:rPr>
          <w:rFonts w:ascii="仿宋" w:hAnsi="仿宋" w:eastAsia="仿宋"/>
          <w:b/>
          <w:snapToGrid w:val="0"/>
          <w:kern w:val="0"/>
          <w:szCs w:val="21"/>
          <w:highlight w:val="none"/>
        </w:rPr>
      </w:pPr>
      <w:r>
        <w:rPr>
          <w:rFonts w:hint="eastAsia" w:ascii="仿宋" w:hAnsi="仿宋" w:eastAsia="仿宋"/>
          <w:b/>
          <w:snapToGrid w:val="0"/>
          <w:kern w:val="0"/>
          <w:szCs w:val="21"/>
          <w:highlight w:val="none"/>
        </w:rPr>
        <w:t>3</w:t>
      </w:r>
      <w:r>
        <w:rPr>
          <w:rFonts w:ascii="仿宋" w:hAnsi="仿宋" w:eastAsia="仿宋"/>
          <w:b/>
          <w:snapToGrid w:val="0"/>
          <w:kern w:val="0"/>
          <w:szCs w:val="21"/>
          <w:highlight w:val="none"/>
        </w:rPr>
        <w:t>.3</w:t>
      </w:r>
      <w:r>
        <w:rPr>
          <w:rFonts w:hint="eastAsia" w:ascii="仿宋" w:hAnsi="仿宋" w:eastAsia="仿宋"/>
          <w:b/>
          <w:snapToGrid w:val="0"/>
          <w:kern w:val="0"/>
          <w:szCs w:val="21"/>
          <w:highlight w:val="none"/>
        </w:rPr>
        <w:t xml:space="preserve"> 中标(成交)结果</w:t>
      </w:r>
      <w:r>
        <w:rPr>
          <w:rFonts w:ascii="仿宋" w:hAnsi="仿宋" w:eastAsia="仿宋"/>
          <w:b/>
          <w:snapToGrid w:val="0"/>
          <w:kern w:val="0"/>
          <w:szCs w:val="21"/>
          <w:highlight w:val="none"/>
        </w:rPr>
        <w:t>公告期限为1个工作日。</w:t>
      </w:r>
    </w:p>
    <w:p>
      <w:pPr>
        <w:adjustRightInd w:val="0"/>
        <w:snapToGrid w:val="0"/>
        <w:ind w:left="422" w:hanging="422" w:hangingChars="200"/>
        <w:rPr>
          <w:rFonts w:ascii="仿宋" w:hAnsi="仿宋" w:eastAsia="仿宋"/>
          <w:b/>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十二、合同授予</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1.合同主要条款：</w:t>
      </w:r>
      <w:r>
        <w:rPr>
          <w:rFonts w:hint="eastAsia" w:ascii="仿宋" w:hAnsi="仿宋" w:eastAsia="仿宋"/>
          <w:snapToGrid w:val="0"/>
          <w:kern w:val="0"/>
          <w:sz w:val="24"/>
          <w:highlight w:val="none"/>
          <w:u w:val="single"/>
        </w:rPr>
        <w:t>详见采购文件“第六部分 拟签订的合同文本”。</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2.合同的签订</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除不可抗力等特殊情况外，原则上采购人应当在</w:t>
      </w:r>
      <w:r>
        <w:rPr>
          <w:rFonts w:ascii="仿宋" w:hAnsi="仿宋" w:eastAsia="仿宋"/>
          <w:snapToGrid w:val="0"/>
          <w:kern w:val="0"/>
          <w:szCs w:val="21"/>
          <w:highlight w:val="none"/>
        </w:rPr>
        <w:t>中标</w:t>
      </w:r>
      <w:r>
        <w:rPr>
          <w:rFonts w:hint="eastAsia" w:ascii="仿宋" w:hAnsi="仿宋" w:eastAsia="仿宋"/>
          <w:snapToGrid w:val="0"/>
          <w:kern w:val="0"/>
          <w:szCs w:val="21"/>
          <w:highlight w:val="none"/>
        </w:rPr>
        <w:t>(成交)通知书发出之日起30日内，与</w:t>
      </w:r>
      <w:r>
        <w:rPr>
          <w:rFonts w:ascii="仿宋" w:hAnsi="仿宋" w:eastAsia="仿宋"/>
          <w:snapToGrid w:val="0"/>
          <w:kern w:val="0"/>
          <w:szCs w:val="21"/>
          <w:highlight w:val="none"/>
        </w:rPr>
        <w:t>中标</w:t>
      </w:r>
      <w:r>
        <w:rPr>
          <w:rFonts w:hint="eastAsia" w:ascii="仿宋" w:hAnsi="仿宋" w:eastAsia="仿宋"/>
          <w:snapToGrid w:val="0"/>
          <w:kern w:val="0"/>
          <w:szCs w:val="21"/>
          <w:highlight w:val="none"/>
        </w:rPr>
        <w:t>(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中标(成交)人按规定的日期、时间、地点，由法定代表人或其授权代表与采购人代表签订合同。中标(成交)人为联合体的，由联合体成员各方法定代表人或其授权代表与采购人代表签订合同。</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2.3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2.4 如果中标(成交)供应商拒绝签订政府采购合同的，采购人可依法确定其他供应商作为中标(成交)供应商并签订政府采购合同，也可以重新开展采购活动。拒绝签订政府采购合同的供应商将不得参加对该项目重新开展的采购活动。</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2.5 合同生效后，供应商无故拒绝或延期，除按合同处理外，列入不良行为记录一次并给予通报。</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rPr>
        <w:t>2.6 由于成交</w:t>
      </w:r>
      <w:r>
        <w:rPr>
          <w:rFonts w:hint="eastAsia" w:ascii="仿宋" w:hAnsi="仿宋" w:eastAsia="仿宋" w:cs="Times New Roman"/>
          <w:snapToGrid w:val="0"/>
          <w:kern w:val="0"/>
          <w:szCs w:val="21"/>
          <w:highlight w:val="none"/>
          <w:lang w:val="en-US" w:eastAsia="zh-CN"/>
        </w:rPr>
        <w:t>人</w:t>
      </w:r>
      <w:r>
        <w:rPr>
          <w:rFonts w:hint="eastAsia" w:ascii="仿宋" w:hAnsi="仿宋" w:eastAsia="仿宋" w:cs="Times New Roman"/>
          <w:snapToGrid w:val="0"/>
          <w:kern w:val="0"/>
          <w:szCs w:val="21"/>
          <w:highlight w:val="none"/>
        </w:rPr>
        <w:t>原因导致</w:t>
      </w:r>
      <w:r>
        <w:rPr>
          <w:rFonts w:hint="eastAsia" w:ascii="仿宋" w:hAnsi="仿宋" w:eastAsia="仿宋" w:cs="Times New Roman"/>
          <w:snapToGrid w:val="0"/>
          <w:kern w:val="0"/>
          <w:szCs w:val="21"/>
          <w:highlight w:val="none"/>
          <w:lang w:val="en-US" w:eastAsia="zh-CN"/>
        </w:rPr>
        <w:t>本项目</w:t>
      </w:r>
      <w:r>
        <w:rPr>
          <w:rFonts w:hint="eastAsia" w:ascii="仿宋" w:hAnsi="仿宋" w:eastAsia="仿宋" w:cs="Times New Roman"/>
          <w:snapToGrid w:val="0"/>
          <w:kern w:val="0"/>
          <w:szCs w:val="21"/>
          <w:highlight w:val="none"/>
        </w:rPr>
        <w:t>重新采购的</w:t>
      </w:r>
      <w:r>
        <w:rPr>
          <w:rFonts w:hint="eastAsia" w:ascii="仿宋" w:hAnsi="仿宋" w:eastAsia="仿宋" w:cs="Times New Roman"/>
          <w:snapToGrid w:val="0"/>
          <w:kern w:val="0"/>
          <w:szCs w:val="21"/>
          <w:highlight w:val="none"/>
          <w:lang w:val="en-US" w:eastAsia="zh-CN"/>
        </w:rPr>
        <w:t>，</w:t>
      </w:r>
      <w:r>
        <w:rPr>
          <w:rFonts w:hint="eastAsia" w:ascii="仿宋" w:hAnsi="仿宋" w:eastAsia="仿宋" w:cs="Times New Roman"/>
          <w:snapToGrid w:val="0"/>
          <w:kern w:val="0"/>
          <w:szCs w:val="21"/>
          <w:highlight w:val="none"/>
        </w:rPr>
        <w:t>应当承担支付代理</w:t>
      </w:r>
      <w:r>
        <w:rPr>
          <w:rFonts w:hint="eastAsia" w:ascii="仿宋" w:hAnsi="仿宋" w:eastAsia="仿宋" w:cs="Times New Roman"/>
          <w:snapToGrid w:val="0"/>
          <w:kern w:val="0"/>
          <w:szCs w:val="21"/>
          <w:highlight w:val="none"/>
          <w:lang w:val="en-US" w:eastAsia="zh-CN"/>
        </w:rPr>
        <w:t>服务</w:t>
      </w:r>
      <w:r>
        <w:rPr>
          <w:rFonts w:hint="eastAsia" w:ascii="仿宋" w:hAnsi="仿宋" w:eastAsia="仿宋" w:cs="Times New Roman"/>
          <w:snapToGrid w:val="0"/>
          <w:kern w:val="0"/>
          <w:szCs w:val="21"/>
          <w:highlight w:val="none"/>
        </w:rPr>
        <w:t>费和专家评审费等赔偿责任。</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3.履约保证金</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3.1 拟签订的合同文本要求提交履约保证金的，供应商应当以支票、汇票、本票或者金融机构、担保机构出具的保函等非现金形式提交；</w:t>
      </w:r>
      <w:r>
        <w:rPr>
          <w:rFonts w:hint="eastAsia" w:ascii="仿宋" w:hAnsi="仿宋" w:eastAsia="仿宋"/>
          <w:b/>
          <w:snapToGrid w:val="0"/>
          <w:kern w:val="0"/>
          <w:szCs w:val="21"/>
          <w:highlight w:val="none"/>
          <w:u w:val="single"/>
        </w:rPr>
        <w:t>履约保证金的数额不得超过政府采购合同</w:t>
      </w:r>
      <w:r>
        <w:rPr>
          <w:rFonts w:hint="eastAsia" w:ascii="仿宋" w:hAnsi="仿宋" w:eastAsia="仿宋"/>
          <w:b/>
          <w:snapToGrid w:val="0"/>
          <w:kern w:val="0"/>
          <w:szCs w:val="21"/>
          <w:highlight w:val="none"/>
          <w:u w:val="single"/>
          <w:lang w:val="en-US" w:eastAsia="zh-CN"/>
        </w:rPr>
        <w:t>(预算)</w:t>
      </w:r>
      <w:r>
        <w:rPr>
          <w:rFonts w:hint="eastAsia" w:ascii="仿宋" w:hAnsi="仿宋" w:eastAsia="仿宋"/>
          <w:b/>
          <w:snapToGrid w:val="0"/>
          <w:kern w:val="0"/>
          <w:szCs w:val="21"/>
          <w:highlight w:val="none"/>
          <w:u w:val="single"/>
        </w:rPr>
        <w:t>金额的1%</w:t>
      </w:r>
      <w:r>
        <w:rPr>
          <w:rFonts w:hint="eastAsia" w:ascii="仿宋" w:hAnsi="仿宋" w:eastAsia="仿宋"/>
          <w:snapToGrid w:val="0"/>
          <w:kern w:val="0"/>
          <w:szCs w:val="21"/>
          <w:highlight w:val="none"/>
        </w:rPr>
        <w:t>。鼓励根据项目特点、供应商诚信等因素免收履约保证金</w:t>
      </w:r>
      <w:r>
        <w:rPr>
          <w:rFonts w:hint="eastAsia" w:ascii="仿宋" w:hAnsi="仿宋" w:eastAsia="仿宋"/>
          <w:snapToGrid w:val="0"/>
          <w:kern w:val="0"/>
          <w:szCs w:val="21"/>
          <w:highlight w:val="none"/>
          <w:lang w:val="en-US" w:eastAsia="zh-CN"/>
        </w:rPr>
        <w:t>或者</w:t>
      </w:r>
      <w:r>
        <w:rPr>
          <w:rFonts w:hint="eastAsia" w:ascii="仿宋" w:hAnsi="仿宋" w:eastAsia="仿宋"/>
          <w:snapToGrid w:val="0"/>
          <w:kern w:val="0"/>
          <w:szCs w:val="21"/>
          <w:highlight w:val="none"/>
        </w:rPr>
        <w:t>降低缴纳比例。鼓励和支持供应商以银行、保险公司出具的保函形式提供履约保证金。采购人不得拒收履约保函，项目验收结束</w:t>
      </w:r>
      <w:r>
        <w:rPr>
          <w:rFonts w:hint="eastAsia" w:ascii="仿宋" w:hAnsi="仿宋" w:eastAsia="仿宋"/>
          <w:snapToGrid w:val="0"/>
          <w:kern w:val="0"/>
          <w:szCs w:val="21"/>
          <w:highlight w:val="none"/>
          <w:lang w:val="en-US" w:eastAsia="zh-CN"/>
        </w:rPr>
        <w:t>之后</w:t>
      </w:r>
      <w:r>
        <w:rPr>
          <w:rFonts w:hint="eastAsia" w:ascii="仿宋" w:hAnsi="仿宋" w:eastAsia="仿宋"/>
          <w:snapToGrid w:val="0"/>
          <w:kern w:val="0"/>
          <w:szCs w:val="21"/>
          <w:highlight w:val="none"/>
        </w:rPr>
        <w:t>应当及时退还；</w:t>
      </w:r>
      <w:r>
        <w:rPr>
          <w:rFonts w:ascii="仿宋" w:hAnsi="仿宋" w:eastAsia="仿宋"/>
          <w:snapToGrid w:val="0"/>
          <w:kern w:val="0"/>
          <w:szCs w:val="21"/>
          <w:highlight w:val="none"/>
        </w:rPr>
        <w:t>延迟退还的，应当按照合同约定和法律规定承担相应的赔偿责任</w:t>
      </w:r>
      <w:r>
        <w:rPr>
          <w:rFonts w:hint="eastAsia" w:ascii="仿宋" w:hAnsi="仿宋" w:eastAsia="仿宋"/>
          <w:snapToGrid w:val="0"/>
          <w:kern w:val="0"/>
          <w:szCs w:val="21"/>
          <w:highlight w:val="none"/>
        </w:rPr>
        <w:t>。</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3.2 供应商可登录政府采购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adjustRightInd w:val="0"/>
        <w:snapToGrid w:val="0"/>
        <w:spacing w:before="120" w:beforeLines="50" w:after="120" w:afterLines="50"/>
        <w:rPr>
          <w:rFonts w:hint="eastAsia" w:ascii="仿宋" w:hAnsi="仿宋" w:eastAsia="仿宋" w:cs="Times New Roman"/>
          <w:b/>
          <w:snapToGrid w:val="0"/>
          <w:kern w:val="0"/>
          <w:sz w:val="24"/>
          <w:highlight w:val="none"/>
        </w:rPr>
      </w:pPr>
      <w:r>
        <w:rPr>
          <w:rFonts w:hint="eastAsia" w:ascii="仿宋" w:hAnsi="仿宋" w:eastAsia="仿宋" w:cs="Times New Roman"/>
          <w:b/>
          <w:snapToGrid w:val="0"/>
          <w:kern w:val="0"/>
          <w:sz w:val="24"/>
          <w:highlight w:val="none"/>
        </w:rPr>
        <w:t>4.预付款</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4.1 采购单位应当在政府采购合同中约定预付款</w:t>
      </w:r>
      <w:r>
        <w:rPr>
          <w:rFonts w:hint="eastAsia" w:ascii="仿宋" w:hAnsi="仿宋" w:eastAsia="仿宋"/>
          <w:snapToGrid w:val="0"/>
          <w:kern w:val="0"/>
          <w:szCs w:val="21"/>
          <w:highlight w:val="none"/>
          <w:u w:val="none"/>
        </w:rPr>
        <w:t>，对中小企业合同预付款比例原则上不低于合同金额的</w:t>
      </w:r>
      <w:r>
        <w:rPr>
          <w:rFonts w:ascii="仿宋" w:hAnsi="仿宋" w:eastAsia="仿宋"/>
          <w:snapToGrid w:val="0"/>
          <w:kern w:val="0"/>
          <w:szCs w:val="21"/>
          <w:highlight w:val="none"/>
          <w:u w:val="none"/>
        </w:rPr>
        <w:t>40％</w:t>
      </w:r>
      <w:r>
        <w:rPr>
          <w:rFonts w:hint="eastAsia" w:ascii="仿宋" w:hAnsi="仿宋" w:eastAsia="仿宋"/>
          <w:snapToGrid w:val="0"/>
          <w:kern w:val="0"/>
          <w:szCs w:val="21"/>
          <w:highlight w:val="none"/>
          <w:u w:val="none"/>
        </w:rPr>
        <w:t>，不高于合同金额的</w:t>
      </w:r>
      <w:r>
        <w:rPr>
          <w:rFonts w:ascii="仿宋" w:hAnsi="仿宋" w:eastAsia="仿宋"/>
          <w:snapToGrid w:val="0"/>
          <w:kern w:val="0"/>
          <w:szCs w:val="21"/>
          <w:highlight w:val="none"/>
          <w:u w:val="none"/>
        </w:rPr>
        <w:t>70%；项目分年安排预算的，每年预付款比例</w:t>
      </w:r>
      <w:r>
        <w:rPr>
          <w:rFonts w:hint="eastAsia" w:ascii="仿宋" w:hAnsi="仿宋" w:eastAsia="仿宋"/>
          <w:snapToGrid w:val="0"/>
          <w:kern w:val="0"/>
          <w:szCs w:val="21"/>
          <w:highlight w:val="none"/>
          <w:u w:val="none"/>
        </w:rPr>
        <w:t>不低于</w:t>
      </w:r>
      <w:r>
        <w:rPr>
          <w:rFonts w:ascii="仿宋" w:hAnsi="仿宋" w:eastAsia="仿宋"/>
          <w:snapToGrid w:val="0"/>
          <w:kern w:val="0"/>
          <w:szCs w:val="21"/>
          <w:highlight w:val="none"/>
          <w:u w:val="none"/>
        </w:rPr>
        <w:t>项目年度计划支付资金额的40％</w:t>
      </w:r>
      <w:r>
        <w:rPr>
          <w:rFonts w:hint="eastAsia" w:ascii="仿宋" w:hAnsi="仿宋" w:eastAsia="仿宋"/>
          <w:snapToGrid w:val="0"/>
          <w:kern w:val="0"/>
          <w:szCs w:val="21"/>
          <w:highlight w:val="none"/>
          <w:u w:val="none"/>
        </w:rPr>
        <w:t>，不高于合同金额的</w:t>
      </w:r>
      <w:r>
        <w:rPr>
          <w:rFonts w:ascii="仿宋" w:hAnsi="仿宋" w:eastAsia="仿宋"/>
          <w:snapToGrid w:val="0"/>
          <w:kern w:val="0"/>
          <w:szCs w:val="21"/>
          <w:highlight w:val="none"/>
          <w:u w:val="none"/>
        </w:rPr>
        <w:t>70%；采购项目实施以人工投入为主的，</w:t>
      </w:r>
      <w:r>
        <w:rPr>
          <w:rFonts w:hint="eastAsia" w:ascii="仿宋" w:hAnsi="仿宋" w:eastAsia="仿宋"/>
          <w:snapToGrid w:val="0"/>
          <w:kern w:val="0"/>
          <w:szCs w:val="21"/>
          <w:highlight w:val="none"/>
          <w:u w:val="none"/>
        </w:rPr>
        <w:t>可适当降低预付款比例，但不得低于</w:t>
      </w:r>
      <w:r>
        <w:rPr>
          <w:rFonts w:ascii="仿宋" w:hAnsi="仿宋" w:eastAsia="仿宋"/>
          <w:snapToGrid w:val="0"/>
          <w:kern w:val="0"/>
          <w:szCs w:val="21"/>
          <w:highlight w:val="none"/>
          <w:u w:val="none"/>
        </w:rPr>
        <w:t>20%。对供应商为大型企业或者以人工投入为主且实行按月定期结算支付款项的项目，预付款可低于上述比例或者不约定预付款。在签订合同时，</w:t>
      </w:r>
      <w:r>
        <w:rPr>
          <w:rFonts w:hint="eastAsia" w:ascii="仿宋" w:hAnsi="仿宋" w:eastAsia="仿宋"/>
          <w:snapToGrid w:val="0"/>
          <w:kern w:val="0"/>
          <w:szCs w:val="21"/>
          <w:highlight w:val="none"/>
          <w:u w:val="none"/>
        </w:rPr>
        <w:t>供应商</w:t>
      </w:r>
      <w:r>
        <w:rPr>
          <w:rFonts w:ascii="仿宋" w:hAnsi="仿宋" w:eastAsia="仿宋"/>
          <w:snapToGrid w:val="0"/>
          <w:kern w:val="0"/>
          <w:szCs w:val="21"/>
          <w:highlight w:val="none"/>
          <w:u w:val="none"/>
        </w:rPr>
        <w:t>明确表示无需预付款或者主动要求降低预付款比例的，</w:t>
      </w:r>
      <w:r>
        <w:rPr>
          <w:rFonts w:hint="eastAsia" w:ascii="仿宋" w:hAnsi="仿宋" w:eastAsia="仿宋"/>
          <w:snapToGrid w:val="0"/>
          <w:kern w:val="0"/>
          <w:szCs w:val="21"/>
          <w:highlight w:val="none"/>
          <w:u w:val="none"/>
        </w:rPr>
        <w:t>采购单位</w:t>
      </w:r>
      <w:r>
        <w:rPr>
          <w:rFonts w:ascii="仿宋" w:hAnsi="仿宋" w:eastAsia="仿宋"/>
          <w:snapToGrid w:val="0"/>
          <w:kern w:val="0"/>
          <w:szCs w:val="21"/>
          <w:highlight w:val="none"/>
          <w:u w:val="none"/>
        </w:rPr>
        <w:t>可不适用前述规定。</w:t>
      </w:r>
      <w:r>
        <w:rPr>
          <w:rFonts w:hint="eastAsia" w:ascii="仿宋" w:hAnsi="仿宋" w:eastAsia="仿宋"/>
          <w:snapToGrid w:val="0"/>
          <w:kern w:val="0"/>
          <w:szCs w:val="21"/>
          <w:highlight w:val="none"/>
          <w:u w:val="none"/>
        </w:rPr>
        <w:t>采购单位</w:t>
      </w:r>
      <w:r>
        <w:rPr>
          <w:rFonts w:ascii="仿宋" w:hAnsi="仿宋" w:eastAsia="仿宋"/>
          <w:snapToGrid w:val="0"/>
          <w:kern w:val="0"/>
          <w:szCs w:val="21"/>
          <w:highlight w:val="none"/>
          <w:u w:val="none"/>
        </w:rPr>
        <w:t>根据项目特点、供应商诚信等因素，可以要求</w:t>
      </w:r>
      <w:r>
        <w:rPr>
          <w:rFonts w:hint="eastAsia" w:ascii="仿宋" w:hAnsi="仿宋" w:eastAsia="仿宋"/>
          <w:snapToGrid w:val="0"/>
          <w:kern w:val="0"/>
          <w:szCs w:val="21"/>
          <w:highlight w:val="none"/>
          <w:u w:val="none"/>
        </w:rPr>
        <w:t>供应商</w:t>
      </w:r>
      <w:r>
        <w:rPr>
          <w:rFonts w:ascii="仿宋" w:hAnsi="仿宋" w:eastAsia="仿宋"/>
          <w:snapToGrid w:val="0"/>
          <w:kern w:val="0"/>
          <w:szCs w:val="21"/>
          <w:highlight w:val="none"/>
          <w:u w:val="none"/>
        </w:rPr>
        <w:t>提交银行、保险公司等金融机构出具的预付款保函或其他担保措施。政府采购预付款应在合同生效以及具备实施条件后5个工作日内支付。</w:t>
      </w:r>
      <w:r>
        <w:rPr>
          <w:rFonts w:hint="eastAsia" w:ascii="仿宋" w:hAnsi="仿宋" w:eastAsia="仿宋"/>
          <w:snapToGrid w:val="0"/>
          <w:kern w:val="0"/>
          <w:szCs w:val="21"/>
          <w:highlight w:val="none"/>
        </w:rPr>
        <w:t>政府采购工程以及与工程建设有关的货物、服务，采用招标方式采购的，预付款从其相关规定。</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4.2 供应商可登录政采云前台大厅选择金融服务</w:t>
      </w:r>
      <w:r>
        <w:rPr>
          <w:rFonts w:ascii="仿宋" w:hAnsi="仿宋" w:eastAsia="仿宋"/>
          <w:snapToGrid w:val="0"/>
          <w:kern w:val="0"/>
          <w:szCs w:val="21"/>
          <w:highlight w:val="none"/>
        </w:rPr>
        <w:t xml:space="preserve"> - </w:t>
      </w:r>
      <w:r>
        <w:rPr>
          <w:rFonts w:hint="eastAsia" w:ascii="仿宋" w:hAnsi="仿宋" w:eastAsia="仿宋"/>
          <w:snapToGrid w:val="0"/>
          <w:kern w:val="0"/>
          <w:szCs w:val="21"/>
          <w:highlight w:val="none"/>
        </w:rPr>
        <w:t>【保函保险服务】出具预付款保函，具体步骤：选择产品—填写供应商信息—选择中标项目—确认信息—等待保险</w:t>
      </w:r>
      <w:r>
        <w:rPr>
          <w:rFonts w:ascii="仿宋" w:hAnsi="仿宋" w:eastAsia="仿宋"/>
          <w:snapToGrid w:val="0"/>
          <w:kern w:val="0"/>
          <w:szCs w:val="21"/>
          <w:highlight w:val="none"/>
        </w:rPr>
        <w:t>/保函受理—确认保单—支付保费—成功出单。政</w:t>
      </w:r>
      <w:r>
        <w:rPr>
          <w:rFonts w:hint="eastAsia" w:ascii="仿宋" w:hAnsi="仿宋" w:eastAsia="仿宋"/>
          <w:snapToGrid w:val="0"/>
          <w:kern w:val="0"/>
          <w:szCs w:val="21"/>
          <w:highlight w:val="none"/>
        </w:rPr>
        <w:t>采云金融专线</w:t>
      </w:r>
      <w:r>
        <w:rPr>
          <w:rFonts w:ascii="仿宋" w:hAnsi="仿宋" w:eastAsia="仿宋"/>
          <w:snapToGrid w:val="0"/>
          <w:kern w:val="0"/>
          <w:szCs w:val="21"/>
          <w:highlight w:val="none"/>
        </w:rPr>
        <w:t>400-903-9583。</w:t>
      </w:r>
    </w:p>
    <w:p>
      <w:pPr>
        <w:adjustRightInd w:val="0"/>
        <w:snapToGrid w:val="0"/>
        <w:ind w:left="420" w:hanging="420" w:hangingChars="200"/>
        <w:rPr>
          <w:rFonts w:hint="eastAsia" w:ascii="仿宋" w:hAnsi="仿宋" w:eastAsia="仿宋"/>
          <w:snapToGrid w:val="0"/>
          <w:kern w:val="0"/>
          <w:szCs w:val="21"/>
          <w:highlight w:val="none"/>
        </w:rPr>
      </w:pPr>
    </w:p>
    <w:p>
      <w:pPr>
        <w:pStyle w:val="4"/>
        <w:snapToGrid w:val="0"/>
        <w:spacing w:before="120" w:beforeLines="50" w:afterLines="50" w:line="240" w:lineRule="auto"/>
        <w:ind w:firstLine="0" w:firstLineChars="0"/>
        <w:jc w:val="center"/>
        <w:rPr>
          <w:rFonts w:ascii="仿宋" w:hAnsi="仿宋" w:eastAsia="仿宋" w:cs="仿宋_GB2312"/>
          <w:snapToGrid w:val="0"/>
          <w:kern w:val="0"/>
          <w:sz w:val="28"/>
          <w:szCs w:val="28"/>
          <w:highlight w:val="none"/>
        </w:rPr>
      </w:pPr>
      <w:r>
        <w:rPr>
          <w:rFonts w:hint="eastAsia" w:ascii="仿宋" w:hAnsi="仿宋" w:eastAsia="仿宋" w:cs="仿宋_GB2312"/>
          <w:snapToGrid w:val="0"/>
          <w:kern w:val="0"/>
          <w:sz w:val="28"/>
          <w:szCs w:val="28"/>
          <w:highlight w:val="none"/>
        </w:rPr>
        <w:t>十三、验收</w:t>
      </w:r>
    </w:p>
    <w:p>
      <w:pPr>
        <w:adjustRightInd w:val="0"/>
        <w:snapToGrid w:val="0"/>
        <w:spacing w:before="120" w:beforeLines="50" w:after="120" w:afterLines="50"/>
        <w:rPr>
          <w:rFonts w:ascii="仿宋" w:hAnsi="仿宋" w:eastAsia="仿宋"/>
          <w:b/>
          <w:snapToGrid w:val="0"/>
          <w:kern w:val="0"/>
          <w:sz w:val="24"/>
          <w:highlight w:val="none"/>
        </w:rPr>
      </w:pPr>
      <w:r>
        <w:rPr>
          <w:rFonts w:hint="eastAsia" w:ascii="仿宋" w:hAnsi="仿宋" w:eastAsia="仿宋"/>
          <w:b/>
          <w:snapToGrid w:val="0"/>
          <w:kern w:val="0"/>
          <w:sz w:val="24"/>
          <w:highlight w:val="none"/>
        </w:rPr>
        <w:t>1</w:t>
      </w:r>
      <w:r>
        <w:rPr>
          <w:rFonts w:ascii="仿宋" w:hAnsi="仿宋" w:eastAsia="仿宋"/>
          <w:b/>
          <w:snapToGrid w:val="0"/>
          <w:kern w:val="0"/>
          <w:sz w:val="24"/>
          <w:highlight w:val="none"/>
        </w:rPr>
        <w:t>.验收</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.1</w:t>
      </w:r>
      <w:r>
        <w:rPr>
          <w:rFonts w:hint="eastAsia" w:ascii="仿宋" w:hAnsi="仿宋" w:eastAsia="仿宋"/>
          <w:snapToGrid w:val="0"/>
          <w:kern w:val="0"/>
          <w:szCs w:val="21"/>
          <w:highlight w:val="none"/>
        </w:rPr>
        <w:t xml:space="preserve"> </w:t>
      </w:r>
      <w:r>
        <w:rPr>
          <w:rFonts w:hint="eastAsia" w:ascii="仿宋" w:hAnsi="仿宋" w:eastAsia="仿宋" w:cs="Times New Roman"/>
          <w:snapToGrid w:val="0"/>
          <w:kern w:val="0"/>
          <w:szCs w:val="21"/>
          <w:highlight w:val="none"/>
        </w:rPr>
        <w:t>采购人应当根据采购项目的具体情况，自行组织项目验收或者委托采购代理机构验收。</w:t>
      </w:r>
      <w:r>
        <w:rPr>
          <w:rFonts w:ascii="仿宋" w:hAnsi="仿宋" w:eastAsia="仿宋" w:cs="Times New Roman"/>
          <w:snapToGrid w:val="0"/>
          <w:kern w:val="0"/>
          <w:szCs w:val="21"/>
          <w:highlight w:val="none"/>
        </w:rPr>
        <w:t>大</w:t>
      </w:r>
      <w:r>
        <w:rPr>
          <w:rFonts w:ascii="仿宋" w:hAnsi="仿宋" w:eastAsia="仿宋"/>
          <w:snapToGrid w:val="0"/>
          <w:kern w:val="0"/>
          <w:szCs w:val="21"/>
          <w:highlight w:val="none"/>
        </w:rPr>
        <w:t>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.2</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采购人可以邀请参加本项目的其他供应商或者第三方机构参与验收。参与验收的供应商或者第三方机构的意见作为</w:t>
      </w:r>
      <w:r>
        <w:rPr>
          <w:rFonts w:hint="eastAsia" w:ascii="仿宋" w:hAnsi="仿宋" w:eastAsia="仿宋"/>
          <w:snapToGrid w:val="0"/>
          <w:kern w:val="0"/>
          <w:szCs w:val="21"/>
          <w:highlight w:val="none"/>
        </w:rPr>
        <w:t>验收书的参考资料一并存档。</w:t>
      </w:r>
    </w:p>
    <w:p>
      <w:pPr>
        <w:adjustRightInd w:val="0"/>
        <w:snapToGrid w:val="0"/>
        <w:ind w:left="420" w:hanging="420" w:hangingChars="200"/>
        <w:rPr>
          <w:rFonts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.3</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资料应存档备查。</w:t>
      </w:r>
    </w:p>
    <w:p>
      <w:pPr>
        <w:adjustRightInd w:val="0"/>
        <w:snapToGrid w:val="0"/>
        <w:ind w:left="420" w:hanging="420" w:hangingChars="200"/>
        <w:rPr>
          <w:rFonts w:hint="eastAsia" w:ascii="仿宋" w:hAnsi="仿宋" w:eastAsia="仿宋"/>
          <w:snapToGrid w:val="0"/>
          <w:kern w:val="0"/>
          <w:szCs w:val="21"/>
          <w:highlight w:val="none"/>
        </w:rPr>
      </w:pPr>
      <w:r>
        <w:rPr>
          <w:rFonts w:hint="eastAsia" w:ascii="仿宋" w:hAnsi="仿宋" w:eastAsia="仿宋"/>
          <w:snapToGrid w:val="0"/>
          <w:kern w:val="0"/>
          <w:szCs w:val="21"/>
          <w:highlight w:val="none"/>
        </w:rPr>
        <w:t>1</w:t>
      </w:r>
      <w:r>
        <w:rPr>
          <w:rFonts w:ascii="仿宋" w:hAnsi="仿宋" w:eastAsia="仿宋"/>
          <w:snapToGrid w:val="0"/>
          <w:kern w:val="0"/>
          <w:szCs w:val="21"/>
          <w:highlight w:val="none"/>
        </w:rPr>
        <w:t>.4</w:t>
      </w:r>
      <w:r>
        <w:rPr>
          <w:rFonts w:hint="eastAsia" w:ascii="仿宋" w:hAnsi="仿宋" w:eastAsia="仿宋"/>
          <w:snapToGrid w:val="0"/>
          <w:kern w:val="0"/>
          <w:szCs w:val="21"/>
          <w:highlight w:val="none"/>
        </w:rPr>
        <w:t xml:space="preserve"> </w:t>
      </w:r>
      <w:r>
        <w:rPr>
          <w:rFonts w:ascii="仿宋" w:hAnsi="仿宋" w:eastAsia="仿宋"/>
          <w:snapToGrid w:val="0"/>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bookmarkStart w:id="34" w:name="_Toc91899903"/>
    </w:p>
    <w:p>
      <w:pPr>
        <w:pStyle w:val="4"/>
        <w:snapToGrid w:val="0"/>
        <w:spacing w:before="0" w:beforeLines="0" w:after="0" w:afterLines="0" w:line="240" w:lineRule="auto"/>
        <w:ind w:firstLine="0" w:firstLineChars="0"/>
        <w:jc w:val="center"/>
        <w:rPr>
          <w:rFonts w:hint="default" w:ascii="仿宋" w:hAnsi="仿宋" w:eastAsia="仿宋" w:cs="仿宋_GB2312"/>
          <w:snapToGrid w:val="0"/>
          <w:color w:val="auto"/>
          <w:kern w:val="0"/>
          <w:sz w:val="28"/>
          <w:szCs w:val="28"/>
          <w:highlight w:val="none"/>
          <w:lang w:val="en-US" w:eastAsia="zh-CN"/>
        </w:rPr>
      </w:pPr>
      <w:r>
        <w:rPr>
          <w:rFonts w:hint="eastAsia" w:ascii="仿宋" w:hAnsi="仿宋" w:eastAsia="仿宋" w:cs="仿宋_GB2312"/>
          <w:snapToGrid w:val="0"/>
          <w:color w:val="auto"/>
          <w:kern w:val="0"/>
          <w:sz w:val="28"/>
          <w:szCs w:val="28"/>
          <w:highlight w:val="none"/>
        </w:rPr>
        <w:t>十四、</w:t>
      </w:r>
      <w:r>
        <w:rPr>
          <w:rFonts w:hint="eastAsia" w:ascii="仿宋" w:hAnsi="仿宋" w:eastAsia="仿宋" w:cs="仿宋_GB2312"/>
          <w:snapToGrid w:val="0"/>
          <w:color w:val="auto"/>
          <w:kern w:val="0"/>
          <w:sz w:val="28"/>
          <w:szCs w:val="28"/>
          <w:highlight w:val="none"/>
          <w:lang w:val="en-US" w:eastAsia="zh-CN"/>
        </w:rPr>
        <w:t>废标与</w:t>
      </w:r>
      <w:r>
        <w:rPr>
          <w:rFonts w:hint="eastAsia" w:ascii="仿宋" w:hAnsi="仿宋" w:eastAsia="仿宋" w:cs="仿宋_GB2312"/>
          <w:snapToGrid w:val="0"/>
          <w:color w:val="auto"/>
          <w:kern w:val="0"/>
          <w:sz w:val="28"/>
          <w:szCs w:val="28"/>
          <w:highlight w:val="none"/>
        </w:rPr>
        <w:t>电子交易活动的中止</w:t>
      </w:r>
    </w:p>
    <w:p>
      <w:pPr>
        <w:adjustRightInd w:val="0"/>
        <w:snapToGrid w:val="0"/>
        <w:spacing w:before="120" w:beforeLines="50" w:after="120" w:afterLines="50"/>
        <w:rPr>
          <w:rFonts w:hint="eastAsia" w:ascii="仿宋" w:hAnsi="仿宋" w:eastAsia="仿宋" w:cs="Times New Roman"/>
          <w:b/>
          <w:snapToGrid w:val="0"/>
          <w:kern w:val="0"/>
          <w:sz w:val="24"/>
          <w:highlight w:val="none"/>
          <w:lang w:val="en-US" w:eastAsia="zh-CN"/>
        </w:rPr>
      </w:pPr>
      <w:r>
        <w:rPr>
          <w:rFonts w:hint="eastAsia" w:ascii="仿宋" w:hAnsi="仿宋" w:eastAsia="仿宋" w:cs="Times New Roman"/>
          <w:b/>
          <w:snapToGrid w:val="0"/>
          <w:kern w:val="0"/>
          <w:sz w:val="24"/>
          <w:highlight w:val="none"/>
          <w:lang w:val="en-US" w:eastAsia="zh-CN"/>
        </w:rPr>
        <w:t>1. 废标</w:t>
      </w:r>
    </w:p>
    <w:p>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ascii="仿宋" w:hAnsi="仿宋" w:eastAsia="仿宋"/>
          <w:snapToGrid w:val="0"/>
          <w:kern w:val="0"/>
          <w:sz w:val="21"/>
          <w:szCs w:val="21"/>
          <w:highlight w:val="none"/>
        </w:rPr>
      </w:pPr>
      <w:r>
        <w:rPr>
          <w:rFonts w:hint="eastAsia" w:ascii="仿宋" w:hAnsi="仿宋" w:eastAsia="仿宋"/>
          <w:snapToGrid w:val="0"/>
          <w:kern w:val="0"/>
          <w:sz w:val="21"/>
          <w:szCs w:val="21"/>
          <w:highlight w:val="none"/>
          <w:lang w:val="en-US" w:eastAsia="zh-CN"/>
        </w:rPr>
        <w:t>1</w:t>
      </w:r>
      <w:r>
        <w:rPr>
          <w:rFonts w:hint="eastAsia" w:ascii="仿宋" w:hAnsi="仿宋" w:eastAsia="仿宋"/>
          <w:snapToGrid w:val="0"/>
          <w:kern w:val="0"/>
          <w:sz w:val="21"/>
          <w:szCs w:val="21"/>
          <w:highlight w:val="none"/>
        </w:rPr>
        <w:t>.1 采购活动出现《中华人民共和国政府采购法》第三十六条之规定情形之一的，应予废标：</w:t>
      </w:r>
    </w:p>
    <w:p>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kern w:val="0"/>
          <w:sz w:val="21"/>
          <w:szCs w:val="21"/>
          <w:highlight w:val="none"/>
        </w:rPr>
      </w:pPr>
      <w:r>
        <w:rPr>
          <w:rFonts w:ascii="仿宋" w:hAnsi="仿宋" w:eastAsia="仿宋"/>
          <w:snapToGrid w:val="0"/>
          <w:kern w:val="0"/>
          <w:sz w:val="21"/>
          <w:szCs w:val="21"/>
          <w:highlight w:val="none"/>
        </w:rPr>
        <w:t>符合专业条件的供应商或者对采购文件作实质响应的供应商不符合规定的；</w:t>
      </w:r>
    </w:p>
    <w:p>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kern w:val="0"/>
          <w:sz w:val="21"/>
          <w:szCs w:val="21"/>
          <w:highlight w:val="none"/>
        </w:rPr>
      </w:pPr>
      <w:r>
        <w:rPr>
          <w:rFonts w:ascii="仿宋" w:hAnsi="仿宋" w:eastAsia="仿宋"/>
          <w:snapToGrid w:val="0"/>
          <w:kern w:val="0"/>
          <w:sz w:val="21"/>
          <w:szCs w:val="21"/>
          <w:highlight w:val="none"/>
        </w:rPr>
        <w:t>出现影响采购公正的违法、违规行为的；</w:t>
      </w:r>
    </w:p>
    <w:p>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kern w:val="0"/>
          <w:sz w:val="21"/>
          <w:szCs w:val="21"/>
          <w:highlight w:val="none"/>
        </w:rPr>
      </w:pPr>
      <w:r>
        <w:rPr>
          <w:rFonts w:ascii="仿宋" w:hAnsi="仿宋" w:eastAsia="仿宋"/>
          <w:snapToGrid w:val="0"/>
          <w:kern w:val="0"/>
          <w:sz w:val="21"/>
          <w:szCs w:val="21"/>
          <w:highlight w:val="none"/>
        </w:rPr>
        <w:t>响应人的报价均超过了采购预算，采购人不能支付的；</w:t>
      </w:r>
    </w:p>
    <w:p>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kern w:val="0"/>
          <w:sz w:val="21"/>
          <w:szCs w:val="21"/>
          <w:highlight w:val="none"/>
        </w:rPr>
      </w:pPr>
      <w:r>
        <w:rPr>
          <w:rFonts w:ascii="仿宋" w:hAnsi="仿宋" w:eastAsia="仿宋"/>
          <w:snapToGrid w:val="0"/>
          <w:kern w:val="0"/>
          <w:sz w:val="21"/>
          <w:szCs w:val="21"/>
          <w:highlight w:val="none"/>
        </w:rPr>
        <w:t>因重大变故，采购任务取消的。</w:t>
      </w:r>
    </w:p>
    <w:p>
      <w:pPr>
        <w:adjustRightInd w:val="0"/>
        <w:snapToGrid w:val="0"/>
        <w:ind w:left="420" w:hanging="420" w:hangingChars="200"/>
        <w:rPr>
          <w:rFonts w:hint="eastAsia" w:ascii="仿宋" w:hAnsi="仿宋" w:eastAsia="仿宋" w:cs="Times New Roman"/>
          <w:snapToGrid w:val="0"/>
          <w:kern w:val="0"/>
          <w:szCs w:val="21"/>
          <w:highlight w:val="none"/>
        </w:rPr>
      </w:pPr>
      <w:r>
        <w:rPr>
          <w:rFonts w:hint="eastAsia" w:ascii="仿宋" w:hAnsi="仿宋" w:eastAsia="仿宋" w:cs="Times New Roman"/>
          <w:snapToGrid w:val="0"/>
          <w:kern w:val="0"/>
          <w:szCs w:val="21"/>
          <w:highlight w:val="none"/>
          <w:lang w:val="en-US" w:eastAsia="zh-CN"/>
        </w:rPr>
        <w:t>1</w:t>
      </w:r>
      <w:r>
        <w:rPr>
          <w:rFonts w:hint="eastAsia" w:ascii="仿宋" w:hAnsi="仿宋" w:eastAsia="仿宋" w:cs="Times New Roman"/>
          <w:snapToGrid w:val="0"/>
          <w:kern w:val="0"/>
          <w:szCs w:val="21"/>
          <w:highlight w:val="none"/>
        </w:rPr>
        <w:t>.2</w:t>
      </w:r>
      <w:r>
        <w:rPr>
          <w:rFonts w:hint="eastAsia" w:ascii="仿宋" w:hAnsi="仿宋" w:eastAsia="仿宋" w:cs="Times New Roman"/>
          <w:snapToGrid w:val="0"/>
          <w:kern w:val="0"/>
          <w:szCs w:val="21"/>
          <w:highlight w:val="none"/>
          <w:lang w:val="en-US" w:eastAsia="zh-CN"/>
        </w:rPr>
        <w:t xml:space="preserve"> 出现两家及以上供应商</w:t>
      </w:r>
      <w:r>
        <w:rPr>
          <w:rFonts w:hint="eastAsia" w:ascii="仿宋" w:hAnsi="仿宋" w:eastAsia="仿宋" w:cs="Times New Roman"/>
          <w:snapToGrid w:val="0"/>
          <w:kern w:val="0"/>
          <w:szCs w:val="21"/>
          <w:highlight w:val="none"/>
          <w:lang w:eastAsia="zh-CN"/>
        </w:rPr>
        <w:t>提交电子响应文件时</w:t>
      </w:r>
      <w:r>
        <w:rPr>
          <w:rFonts w:hint="eastAsia" w:ascii="仿宋" w:hAnsi="仿宋" w:eastAsia="仿宋" w:cs="Times New Roman"/>
          <w:snapToGrid w:val="0"/>
          <w:kern w:val="0"/>
          <w:szCs w:val="21"/>
          <w:highlight w:val="none"/>
          <w:lang w:val="en-US" w:eastAsia="zh-CN"/>
        </w:rPr>
        <w:t>IP、MAC、设备硬件信息一致的，视同为</w:t>
      </w:r>
      <w:r>
        <w:rPr>
          <w:rFonts w:hint="eastAsia" w:ascii="仿宋" w:hAnsi="仿宋" w:eastAsia="仿宋" w:cs="Times New Roman"/>
          <w:snapToGrid w:val="0"/>
          <w:kern w:val="0"/>
          <w:szCs w:val="21"/>
          <w:highlight w:val="none"/>
        </w:rPr>
        <w:t>《中华人民共和国政府采购法》第三十六条</w:t>
      </w:r>
      <w:r>
        <w:rPr>
          <w:rFonts w:hint="eastAsia" w:ascii="仿宋" w:hAnsi="仿宋" w:eastAsia="仿宋" w:cs="Times New Roman"/>
          <w:snapToGrid w:val="0"/>
          <w:kern w:val="0"/>
          <w:szCs w:val="21"/>
          <w:highlight w:val="none"/>
          <w:lang w:eastAsia="zh-CN"/>
        </w:rPr>
        <w:t>第（</w:t>
      </w:r>
      <w:r>
        <w:rPr>
          <w:rFonts w:hint="eastAsia" w:ascii="仿宋" w:hAnsi="仿宋" w:eastAsia="仿宋" w:cs="Times New Roman"/>
          <w:snapToGrid w:val="0"/>
          <w:kern w:val="0"/>
          <w:szCs w:val="21"/>
          <w:highlight w:val="none"/>
          <w:lang w:val="en-US" w:eastAsia="zh-CN"/>
        </w:rPr>
        <w:t>2</w:t>
      </w:r>
      <w:r>
        <w:rPr>
          <w:rFonts w:hint="eastAsia" w:ascii="仿宋" w:hAnsi="仿宋" w:eastAsia="仿宋" w:cs="Times New Roman"/>
          <w:snapToGrid w:val="0"/>
          <w:kern w:val="0"/>
          <w:szCs w:val="21"/>
          <w:highlight w:val="none"/>
          <w:lang w:eastAsia="zh-CN"/>
        </w:rPr>
        <w:t>）类情形，应予废标。</w:t>
      </w:r>
    </w:p>
    <w:p>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hint="eastAsia" w:ascii="仿宋" w:hAnsi="仿宋" w:eastAsia="仿宋"/>
          <w:snapToGrid w:val="0"/>
          <w:kern w:val="0"/>
          <w:sz w:val="21"/>
          <w:szCs w:val="21"/>
          <w:highlight w:val="none"/>
        </w:rPr>
      </w:pPr>
      <w:r>
        <w:rPr>
          <w:rFonts w:hint="eastAsia" w:ascii="仿宋" w:hAnsi="仿宋" w:eastAsia="仿宋"/>
          <w:snapToGrid w:val="0"/>
          <w:kern w:val="0"/>
          <w:sz w:val="21"/>
          <w:szCs w:val="21"/>
          <w:highlight w:val="none"/>
          <w:lang w:val="en-US" w:eastAsia="zh-CN"/>
        </w:rPr>
        <w:t>1</w:t>
      </w:r>
      <w:r>
        <w:rPr>
          <w:rFonts w:hint="eastAsia" w:ascii="仿宋" w:hAnsi="仿宋" w:eastAsia="仿宋"/>
          <w:snapToGrid w:val="0"/>
          <w:kern w:val="0"/>
          <w:sz w:val="21"/>
          <w:szCs w:val="21"/>
          <w:highlight w:val="none"/>
        </w:rPr>
        <w:t>.</w:t>
      </w:r>
      <w:r>
        <w:rPr>
          <w:rFonts w:hint="eastAsia" w:ascii="仿宋" w:hAnsi="仿宋" w:eastAsia="仿宋"/>
          <w:snapToGrid w:val="0"/>
          <w:kern w:val="0"/>
          <w:sz w:val="21"/>
          <w:szCs w:val="21"/>
          <w:highlight w:val="none"/>
          <w:lang w:val="en-US" w:eastAsia="zh-CN"/>
        </w:rPr>
        <w:t xml:space="preserve">3 </w:t>
      </w:r>
      <w:r>
        <w:rPr>
          <w:rFonts w:hint="eastAsia" w:ascii="仿宋" w:hAnsi="仿宋" w:eastAsia="仿宋"/>
          <w:snapToGrid w:val="0"/>
          <w:kern w:val="0"/>
          <w:sz w:val="21"/>
          <w:szCs w:val="21"/>
          <w:highlight w:val="none"/>
        </w:rPr>
        <w:t>废标后，采购机构应当将废标理由通知所有供应商。</w:t>
      </w:r>
    </w:p>
    <w:p>
      <w:pPr>
        <w:adjustRightInd w:val="0"/>
        <w:snapToGrid w:val="0"/>
        <w:spacing w:before="120" w:beforeLines="50" w:after="120" w:afterLines="50"/>
        <w:rPr>
          <w:rFonts w:hint="eastAsia" w:ascii="仿宋" w:hAnsi="仿宋" w:eastAsia="仿宋" w:cs="Times New Roman"/>
          <w:b/>
          <w:snapToGrid w:val="0"/>
          <w:kern w:val="0"/>
          <w:sz w:val="24"/>
          <w:highlight w:val="none"/>
          <w:lang w:val="en-US" w:eastAsia="zh-CN"/>
        </w:rPr>
      </w:pPr>
      <w:r>
        <w:rPr>
          <w:rFonts w:hint="eastAsia" w:ascii="仿宋" w:hAnsi="仿宋" w:eastAsia="仿宋" w:cs="Times New Roman"/>
          <w:b/>
          <w:snapToGrid w:val="0"/>
          <w:kern w:val="0"/>
          <w:sz w:val="24"/>
          <w:highlight w:val="none"/>
          <w:lang w:val="en-US" w:eastAsia="zh-CN"/>
        </w:rPr>
        <w:t>2.电子交易活动的中止</w:t>
      </w:r>
    </w:p>
    <w:p>
      <w:pPr>
        <w:adjustRightInd w:val="0"/>
        <w:snapToGrid w:val="0"/>
        <w:spacing w:beforeLines="0" w:afterLines="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lang w:val="en-US" w:eastAsia="zh-CN"/>
        </w:rPr>
        <w:t>2</w:t>
      </w:r>
      <w:r>
        <w:rPr>
          <w:rFonts w:hint="eastAsia" w:ascii="仿宋" w:hAnsi="仿宋" w:eastAsia="仿宋"/>
          <w:snapToGrid w:val="0"/>
          <w:color w:val="auto"/>
          <w:kern w:val="0"/>
          <w:szCs w:val="21"/>
          <w:highlight w:val="none"/>
        </w:rPr>
        <w:t>.1 采购过程出现以下情形，导致电子交易平台无法正常运行，或者无法保证电子交易的公平、公正和安全时，采购代理机构可以中止电子交易活动：</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电子交易平台发生故障而无法登录访问的； </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电子交易平台应用或数据库出现错误，不能进行正常操作的；</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电子交易平台发现严重安全漏洞，有潜在泄密危险的；</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病毒发作导致不能进行正常操作的； </w:t>
      </w:r>
    </w:p>
    <w:p>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其他无法保证电子交易的公平、公正和安全的情况。</w:t>
      </w:r>
    </w:p>
    <w:p>
      <w:pPr>
        <w:adjustRightInd w:val="0"/>
        <w:snapToGrid w:val="0"/>
        <w:spacing w:beforeLines="0" w:afterLines="0"/>
        <w:ind w:left="420" w:hanging="422" w:hangingChars="200"/>
        <w:rPr>
          <w:rFonts w:hint="eastAsia" w:ascii="仿宋" w:hAnsi="仿宋" w:eastAsia="仿宋"/>
          <w:b/>
          <w:bCs/>
          <w:snapToGrid w:val="0"/>
          <w:color w:val="auto"/>
          <w:kern w:val="0"/>
          <w:szCs w:val="21"/>
          <w:highlight w:val="none"/>
        </w:rPr>
      </w:pPr>
      <w:r>
        <w:rPr>
          <w:rFonts w:hint="eastAsia" w:ascii="仿宋" w:hAnsi="仿宋" w:eastAsia="仿宋"/>
          <w:b/>
          <w:bCs/>
          <w:snapToGrid w:val="0"/>
          <w:color w:val="auto"/>
          <w:kern w:val="0"/>
          <w:szCs w:val="21"/>
          <w:highlight w:val="none"/>
          <w:lang w:eastAsia="zh-CN"/>
        </w:rPr>
        <w:t>2</w:t>
      </w:r>
      <w:r>
        <w:rPr>
          <w:rFonts w:hint="eastAsia" w:ascii="仿宋" w:hAnsi="仿宋" w:eastAsia="仿宋"/>
          <w:b/>
          <w:bCs/>
          <w:snapToGrid w:val="0"/>
          <w:color w:val="auto"/>
          <w:kern w:val="0"/>
          <w:szCs w:val="21"/>
          <w:highlight w:val="none"/>
        </w:rPr>
        <w:t>.2 出现以上情形，不影响采购公平、公正性的，采购机构可以待上述情形消除后继续组织电子交易，也可以决定某些环节以纸质形式进行；影响或可能影响采购公平、公正性的，应当重新采购。</w:t>
      </w:r>
      <w:bookmarkEnd w:id="34"/>
    </w:p>
    <w:p>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p>
    <w:bookmarkEnd w:id="32"/>
    <w:p>
      <w:pPr>
        <w:adjustRightInd w:val="0"/>
        <w:spacing w:line="360" w:lineRule="auto"/>
        <w:rPr>
          <w:rFonts w:hint="eastAsia"/>
          <w:color w:val="auto"/>
          <w:sz w:val="24"/>
          <w:highlight w:val="none"/>
        </w:rPr>
        <w:sectPr>
          <w:pgSz w:w="11907" w:h="16840"/>
          <w:pgMar w:top="1418" w:right="1361" w:bottom="1361" w:left="1361" w:header="936" w:footer="964" w:gutter="0"/>
          <w:cols w:space="720" w:num="1"/>
        </w:sectPr>
      </w:pPr>
    </w:p>
    <w:p>
      <w:pPr>
        <w:spacing w:before="120" w:beforeLines="50" w:after="120" w:afterLines="50"/>
        <w:jc w:val="center"/>
        <w:outlineLvl w:val="0"/>
        <w:rPr>
          <w:rFonts w:hint="eastAsia" w:ascii="仿宋" w:hAnsi="仿宋" w:eastAsia="仿宋"/>
          <w:b/>
          <w:color w:val="auto"/>
          <w:sz w:val="30"/>
          <w:szCs w:val="30"/>
          <w:highlight w:val="none"/>
        </w:rPr>
      </w:pPr>
      <w:bookmarkStart w:id="35" w:name="_Toc329265258"/>
      <w:bookmarkStart w:id="36" w:name="_Toc96999268"/>
      <w:bookmarkStart w:id="37" w:name="_Toc97000039"/>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四部分</w:t>
      </w:r>
      <w:r>
        <w:rPr>
          <w:rFonts w:ascii="仿宋" w:hAnsi="仿宋" w:eastAsia="仿宋"/>
          <w:b/>
          <w:color w:val="auto"/>
          <w:sz w:val="30"/>
          <w:szCs w:val="30"/>
          <w:highlight w:val="none"/>
        </w:rPr>
        <w:t xml:space="preserve">  </w:t>
      </w:r>
      <w:bookmarkEnd w:id="35"/>
      <w:r>
        <w:rPr>
          <w:rFonts w:hint="eastAsia" w:ascii="仿宋" w:hAnsi="仿宋" w:eastAsia="仿宋"/>
          <w:b/>
          <w:color w:val="auto"/>
          <w:sz w:val="30"/>
          <w:szCs w:val="30"/>
          <w:highlight w:val="none"/>
        </w:rPr>
        <w:t>采购需求</w:t>
      </w:r>
      <w:bookmarkEnd w:id="36"/>
      <w:bookmarkEnd w:id="37"/>
    </w:p>
    <w:p>
      <w:pPr>
        <w:pStyle w:val="406"/>
        <w:adjustRightInd w:val="0"/>
        <w:snapToGrid w:val="0"/>
        <w:spacing w:before="50" w:line="240" w:lineRule="auto"/>
        <w:ind w:firstLine="0" w:firstLineChars="0"/>
        <w:rPr>
          <w:rFonts w:hint="eastAsia" w:ascii="仿宋" w:hAnsi="仿宋" w:eastAsia="仿宋"/>
          <w:b/>
          <w:color w:val="auto"/>
          <w:sz w:val="21"/>
          <w:szCs w:val="21"/>
          <w:highlight w:val="none"/>
          <w:lang w:eastAsia="zh-CN"/>
        </w:rPr>
      </w:pPr>
      <w:bookmarkStart w:id="38" w:name="_Toc394629570"/>
      <w:bookmarkStart w:id="39" w:name="_Toc40140544"/>
      <w:bookmarkStart w:id="40" w:name="_Toc355209006"/>
      <w:bookmarkStart w:id="41" w:name="_Toc458775784"/>
      <w:bookmarkStart w:id="42" w:name="_Toc458775783"/>
      <w:bookmarkStart w:id="43" w:name="_Toc394629572"/>
    </w:p>
    <w:bookmarkEnd w:id="38"/>
    <w:bookmarkEnd w:id="39"/>
    <w:bookmarkEnd w:id="40"/>
    <w:bookmarkEnd w:id="41"/>
    <w:bookmarkEnd w:id="42"/>
    <w:bookmarkEnd w:id="43"/>
    <w:p>
      <w:pPr>
        <w:pStyle w:val="38"/>
        <w:keepNext w:val="0"/>
        <w:keepLines w:val="0"/>
        <w:pageBreakBefore w:val="0"/>
        <w:kinsoku/>
        <w:wordWrap/>
        <w:overflowPunct/>
        <w:topLinePunct w:val="0"/>
        <w:autoSpaceDE/>
        <w:autoSpaceDN/>
        <w:bidi w:val="0"/>
        <w:adjustRightInd/>
        <w:snapToGrid w:val="0"/>
        <w:spacing w:line="240" w:lineRule="auto"/>
        <w:ind w:firstLine="478" w:firstLineChars="200"/>
        <w:jc w:val="both"/>
        <w:textAlignment w:val="auto"/>
        <w:rPr>
          <w:rFonts w:hint="eastAsia" w:ascii="仿宋" w:hAnsi="仿宋" w:eastAsia="仿宋" w:cs="仿宋"/>
          <w:b/>
          <w:bCs/>
          <w:spacing w:val="-1"/>
          <w:sz w:val="24"/>
          <w:lang w:val="en-US" w:eastAsia="zh-CN"/>
        </w:rPr>
      </w:pPr>
      <w:r>
        <w:rPr>
          <w:rFonts w:hint="eastAsia" w:ascii="仿宋" w:hAnsi="仿宋" w:eastAsia="仿宋" w:cs="仿宋"/>
          <w:b/>
          <w:bCs/>
          <w:spacing w:val="-1"/>
          <w:sz w:val="24"/>
          <w:lang w:val="en-US" w:eastAsia="zh-CN"/>
        </w:rPr>
        <w:t>一、项目概述</w:t>
      </w:r>
    </w:p>
    <w:p>
      <w:pPr>
        <w:pStyle w:val="68"/>
        <w:keepNext w:val="0"/>
        <w:keepLines w:val="0"/>
        <w:pageBreakBefore w:val="0"/>
        <w:widowControl/>
        <w:kinsoku/>
        <w:wordWrap/>
        <w:overflowPunct/>
        <w:topLinePunct w:val="0"/>
        <w:autoSpaceDE/>
        <w:autoSpaceDN/>
        <w:bidi w:val="0"/>
        <w:adjustRightInd/>
        <w:snapToGrid w:val="0"/>
        <w:spacing w:before="0" w:after="0" w:line="240" w:lineRule="auto"/>
        <w:ind w:firstLine="420" w:firstLineChars="200"/>
        <w:textAlignment w:val="auto"/>
        <w:rPr>
          <w:rFonts w:hint="eastAsia" w:ascii="仿宋" w:hAnsi="仿宋" w:eastAsia="仿宋" w:cs="Times New Roman"/>
          <w:snapToGrid w:val="0"/>
          <w:color w:val="auto"/>
          <w:kern w:val="0"/>
          <w:sz w:val="21"/>
          <w:szCs w:val="21"/>
          <w:lang w:val="en-US" w:eastAsia="zh-CN"/>
        </w:rPr>
      </w:pPr>
      <w:r>
        <w:rPr>
          <w:rFonts w:hint="eastAsia" w:ascii="仿宋" w:hAnsi="仿宋" w:eastAsia="仿宋" w:cs="Times New Roman"/>
          <w:snapToGrid w:val="0"/>
          <w:color w:val="auto"/>
          <w:kern w:val="0"/>
          <w:sz w:val="21"/>
          <w:szCs w:val="21"/>
          <w:lang w:val="en-US" w:eastAsia="zh-CN"/>
        </w:rPr>
        <w:t>在新一轮改善医疗服务行动计划中，国家卫生和计划生育委员会连续印发了《医疗技术临床管理办法》《医疗质量管理办法》《医疗质量安全核心制度要点》等政策文件。这些文件是各级医疗机构提高医疗质量安全水平的基本要求。以电子病历为核心的医疗信息化建设是公立医院改革的重要内容之一，而电子病历质量管理是医疗质量管理中的难点。</w:t>
      </w:r>
    </w:p>
    <w:p>
      <w:pPr>
        <w:pStyle w:val="68"/>
        <w:keepNext w:val="0"/>
        <w:keepLines w:val="0"/>
        <w:pageBreakBefore w:val="0"/>
        <w:widowControl/>
        <w:kinsoku/>
        <w:wordWrap/>
        <w:overflowPunct/>
        <w:topLinePunct w:val="0"/>
        <w:autoSpaceDE/>
        <w:autoSpaceDN/>
        <w:bidi w:val="0"/>
        <w:adjustRightInd/>
        <w:snapToGrid w:val="0"/>
        <w:spacing w:before="0" w:after="0" w:line="240" w:lineRule="auto"/>
        <w:ind w:firstLine="420" w:firstLineChars="20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lang w:val="en-US" w:eastAsia="zh-CN"/>
        </w:rPr>
        <w:t>本项目通过NLP、搜索引擎、算法等人工智能工具，对临床医生电子病历书写的完整性、一致性、及时性、合规性进行监测分析、智能提醒、质量评分，通过可视化方式分析统计，呈现医院病历质量情况，实现对病案首页、运行病历、终末</w:t>
      </w:r>
      <w:r>
        <w:rPr>
          <w:rFonts w:hint="eastAsia" w:ascii="仿宋" w:hAnsi="仿宋" w:eastAsia="仿宋" w:cs="Times New Roman"/>
          <w:snapToGrid w:val="0"/>
          <w:color w:val="auto"/>
          <w:kern w:val="0"/>
          <w:sz w:val="21"/>
          <w:szCs w:val="21"/>
          <w:highlight w:val="none"/>
          <w:lang w:val="en-US" w:eastAsia="zh-CN"/>
        </w:rPr>
        <w:t>病历的质量控制。</w:t>
      </w:r>
    </w:p>
    <w:p>
      <w:pPr>
        <w:pStyle w:val="68"/>
        <w:keepNext w:val="0"/>
        <w:keepLines w:val="0"/>
        <w:pageBreakBefore w:val="0"/>
        <w:widowControl/>
        <w:kinsoku/>
        <w:wordWrap/>
        <w:overflowPunct/>
        <w:topLinePunct w:val="0"/>
        <w:autoSpaceDE/>
        <w:autoSpaceDN/>
        <w:bidi w:val="0"/>
        <w:adjustRightInd/>
        <w:snapToGrid w:val="0"/>
        <w:spacing w:before="0" w:after="0" w:line="240" w:lineRule="auto"/>
        <w:ind w:firstLine="420" w:firstLineChars="20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rPr>
        <w:t>本项目按照《政府采购竞争性磋商采购方式管理暂行办法》</w:t>
      </w:r>
      <w:r>
        <w:rPr>
          <w:rFonts w:hint="eastAsia" w:ascii="仿宋" w:hAnsi="仿宋" w:eastAsia="仿宋"/>
          <w:snapToGrid w:val="0"/>
          <w:color w:val="auto"/>
          <w:kern w:val="0"/>
          <w:sz w:val="21"/>
          <w:szCs w:val="21"/>
          <w:highlight w:val="none"/>
        </w:rPr>
        <w:t>(财库</w:t>
      </w:r>
      <w:r>
        <w:rPr>
          <w:rFonts w:ascii="仿宋" w:hAnsi="仿宋" w:eastAsia="仿宋"/>
          <w:snapToGrid w:val="0"/>
          <w:color w:val="auto"/>
          <w:kern w:val="0"/>
          <w:sz w:val="21"/>
          <w:szCs w:val="21"/>
          <w:highlight w:val="none"/>
        </w:rPr>
        <w:t>[20</w:t>
      </w:r>
      <w:r>
        <w:rPr>
          <w:rFonts w:hint="eastAsia" w:ascii="仿宋" w:hAnsi="仿宋" w:eastAsia="仿宋"/>
          <w:snapToGrid w:val="0"/>
          <w:color w:val="auto"/>
          <w:kern w:val="0"/>
          <w:sz w:val="21"/>
          <w:szCs w:val="21"/>
          <w:highlight w:val="none"/>
        </w:rPr>
        <w:t>14</w:t>
      </w:r>
      <w:r>
        <w:rPr>
          <w:rFonts w:ascii="仿宋" w:hAnsi="仿宋" w:eastAsia="仿宋"/>
          <w:snapToGrid w:val="0"/>
          <w:color w:val="auto"/>
          <w:kern w:val="0"/>
          <w:sz w:val="21"/>
          <w:szCs w:val="21"/>
          <w:highlight w:val="none"/>
        </w:rPr>
        <w:t>]</w:t>
      </w:r>
      <w:r>
        <w:rPr>
          <w:rFonts w:hint="eastAsia" w:ascii="仿宋" w:hAnsi="仿宋" w:eastAsia="仿宋"/>
          <w:snapToGrid w:val="0"/>
          <w:color w:val="auto"/>
          <w:kern w:val="0"/>
          <w:sz w:val="21"/>
          <w:szCs w:val="21"/>
          <w:highlight w:val="none"/>
        </w:rPr>
        <w:t>214</w:t>
      </w:r>
      <w:r>
        <w:rPr>
          <w:rFonts w:ascii="仿宋" w:hAnsi="仿宋" w:eastAsia="仿宋"/>
          <w:snapToGrid w:val="0"/>
          <w:color w:val="auto"/>
          <w:kern w:val="0"/>
          <w:sz w:val="21"/>
          <w:szCs w:val="21"/>
          <w:highlight w:val="none"/>
        </w:rPr>
        <w:t>号</w:t>
      </w:r>
      <w:r>
        <w:rPr>
          <w:rFonts w:hint="eastAsia" w:ascii="仿宋" w:hAnsi="仿宋" w:eastAsia="仿宋"/>
          <w:snapToGrid w:val="0"/>
          <w:color w:val="auto"/>
          <w:kern w:val="0"/>
          <w:sz w:val="21"/>
          <w:szCs w:val="21"/>
          <w:highlight w:val="none"/>
        </w:rPr>
        <w:t>)</w:t>
      </w:r>
      <w:r>
        <w:rPr>
          <w:rFonts w:hint="eastAsia" w:ascii="仿宋" w:hAnsi="仿宋" w:eastAsia="仿宋" w:cs="Times New Roman"/>
          <w:snapToGrid w:val="0"/>
          <w:color w:val="auto"/>
          <w:kern w:val="0"/>
          <w:sz w:val="21"/>
          <w:szCs w:val="21"/>
          <w:highlight w:val="none"/>
          <w:lang w:val="en-US" w:eastAsia="zh-CN"/>
        </w:rPr>
        <w:t>的</w:t>
      </w:r>
      <w:r>
        <w:rPr>
          <w:rFonts w:hint="eastAsia" w:ascii="仿宋" w:hAnsi="仿宋" w:eastAsia="仿宋" w:cs="Times New Roman"/>
          <w:snapToGrid w:val="0"/>
          <w:color w:val="auto"/>
          <w:kern w:val="0"/>
          <w:sz w:val="21"/>
          <w:szCs w:val="21"/>
          <w:highlight w:val="none"/>
        </w:rPr>
        <w:t>规定编制采购需求</w:t>
      </w:r>
      <w:r>
        <w:rPr>
          <w:rFonts w:hint="eastAsia" w:ascii="仿宋" w:hAnsi="仿宋" w:eastAsia="仿宋" w:cs="Times New Roman"/>
          <w:snapToGrid w:val="0"/>
          <w:color w:val="auto"/>
          <w:kern w:val="0"/>
          <w:sz w:val="21"/>
          <w:szCs w:val="21"/>
          <w:highlight w:val="none"/>
          <w:lang w:eastAsia="zh-CN"/>
        </w:rPr>
        <w:t>，</w:t>
      </w:r>
      <w:r>
        <w:rPr>
          <w:rFonts w:hint="eastAsia" w:ascii="仿宋" w:hAnsi="仿宋" w:eastAsia="仿宋" w:cs="Times New Roman"/>
          <w:snapToGrid w:val="0"/>
          <w:color w:val="auto"/>
          <w:kern w:val="0"/>
          <w:sz w:val="21"/>
          <w:szCs w:val="21"/>
          <w:highlight w:val="none"/>
        </w:rPr>
        <w:t>“※”系指磋商过程中可能实质性变动的内容</w:t>
      </w:r>
      <w:r>
        <w:rPr>
          <w:rFonts w:hint="eastAsia" w:ascii="仿宋" w:hAnsi="仿宋" w:eastAsia="仿宋" w:cs="Times New Roman"/>
          <w:snapToGrid w:val="0"/>
          <w:color w:val="auto"/>
          <w:kern w:val="0"/>
          <w:sz w:val="21"/>
          <w:szCs w:val="21"/>
          <w:highlight w:val="none"/>
          <w:lang w:eastAsia="zh-CN"/>
        </w:rPr>
        <w:t>。</w:t>
      </w:r>
      <w:r>
        <w:rPr>
          <w:rFonts w:hint="eastAsia" w:ascii="仿宋" w:hAnsi="仿宋" w:eastAsia="仿宋" w:cs="Times New Roman"/>
          <w:snapToGrid w:val="0"/>
          <w:color w:val="auto"/>
          <w:kern w:val="0"/>
          <w:sz w:val="21"/>
          <w:szCs w:val="21"/>
          <w:highlight w:val="none"/>
        </w:rPr>
        <w:t>根据《政府采购需求管理办法》的规定，属于实质性要求的已用符号“▲”标明，否则均属于非实质性要求</w:t>
      </w:r>
      <w:r>
        <w:rPr>
          <w:rFonts w:hint="eastAsia" w:ascii="仿宋" w:hAnsi="仿宋" w:eastAsia="仿宋" w:cs="Times New Roman"/>
          <w:snapToGrid w:val="0"/>
          <w:color w:val="auto"/>
          <w:kern w:val="0"/>
          <w:sz w:val="21"/>
          <w:szCs w:val="21"/>
          <w:highlight w:val="none"/>
          <w:lang w:eastAsia="zh-CN"/>
        </w:rPr>
        <w:t>。</w:t>
      </w:r>
    </w:p>
    <w:p>
      <w:pPr>
        <w:rPr>
          <w:rFonts w:hint="eastAsia"/>
          <w:highlight w:val="none"/>
          <w:lang w:eastAsia="zh-CN"/>
        </w:rPr>
      </w:pPr>
    </w:p>
    <w:p>
      <w:pPr>
        <w:pStyle w:val="38"/>
        <w:keepNext w:val="0"/>
        <w:keepLines w:val="0"/>
        <w:pageBreakBefore w:val="0"/>
        <w:kinsoku/>
        <w:wordWrap/>
        <w:overflowPunct/>
        <w:topLinePunct w:val="0"/>
        <w:autoSpaceDE/>
        <w:autoSpaceDN/>
        <w:bidi w:val="0"/>
        <w:adjustRightInd/>
        <w:snapToGrid w:val="0"/>
        <w:spacing w:line="240" w:lineRule="auto"/>
        <w:ind w:firstLine="478" w:firstLineChars="200"/>
        <w:jc w:val="both"/>
        <w:textAlignment w:val="auto"/>
        <w:rPr>
          <w:rFonts w:hint="eastAsia" w:ascii="仿宋" w:hAnsi="仿宋" w:eastAsia="仿宋" w:cs="仿宋"/>
          <w:b/>
          <w:bCs/>
          <w:spacing w:val="-1"/>
          <w:sz w:val="24"/>
          <w:highlight w:val="none"/>
          <w:lang w:val="en-US" w:eastAsia="zh-CN"/>
        </w:rPr>
      </w:pPr>
      <w:r>
        <w:rPr>
          <w:rFonts w:hint="eastAsia" w:ascii="仿宋" w:hAnsi="仿宋" w:eastAsia="仿宋" w:cs="仿宋"/>
          <w:b/>
          <w:bCs/>
          <w:spacing w:val="-1"/>
          <w:sz w:val="24"/>
          <w:highlight w:val="none"/>
          <w:lang w:val="en-US" w:eastAsia="zh-CN"/>
        </w:rPr>
        <w:t>二、基本要求</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1.项目内容：</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1.1 采购内容：</w:t>
      </w:r>
      <w:r>
        <w:rPr>
          <w:rFonts w:hint="eastAsia" w:ascii="仿宋" w:hAnsi="仿宋" w:eastAsia="仿宋"/>
          <w:color w:val="auto"/>
          <w:sz w:val="21"/>
          <w:szCs w:val="21"/>
          <w:highlight w:val="none"/>
          <w:u w:val="single"/>
          <w:lang w:eastAsia="zh-CN"/>
        </w:rPr>
        <w:t>电子病历质控系统</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1.2 采购预算(元)：</w:t>
      </w:r>
      <w:r>
        <w:rPr>
          <w:rFonts w:hint="eastAsia" w:ascii="仿宋" w:hAnsi="仿宋" w:eastAsia="仿宋" w:cs="仿宋"/>
          <w:b w:val="0"/>
          <w:bCs/>
          <w:color w:val="auto"/>
          <w:spacing w:val="0"/>
          <w:sz w:val="21"/>
          <w:szCs w:val="21"/>
          <w:highlight w:val="none"/>
          <w:u w:val="single"/>
          <w:lang w:val="en-US" w:eastAsia="zh-CN"/>
        </w:rPr>
        <w:t>1400000</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bookmarkStart w:id="206" w:name="_GoBack"/>
      <w:r>
        <w:rPr>
          <w:rFonts w:hint="eastAsia" w:ascii="仿宋" w:hAnsi="仿宋" w:eastAsia="仿宋" w:cs="仿宋"/>
          <w:b w:val="0"/>
          <w:bCs/>
          <w:color w:val="auto"/>
          <w:spacing w:val="0"/>
          <w:sz w:val="21"/>
          <w:szCs w:val="21"/>
          <w:highlight w:val="none"/>
          <w:lang w:val="en-US" w:eastAsia="zh-CN"/>
        </w:rPr>
        <w:t>1.3 最高限价(元)：</w:t>
      </w:r>
      <w:r>
        <w:rPr>
          <w:rFonts w:hint="eastAsia" w:ascii="仿宋" w:hAnsi="仿宋" w:eastAsia="仿宋" w:cs="仿宋"/>
          <w:b w:val="0"/>
          <w:bCs/>
          <w:color w:val="auto"/>
          <w:spacing w:val="0"/>
          <w:sz w:val="21"/>
          <w:szCs w:val="21"/>
          <w:highlight w:val="none"/>
          <w:u w:val="single"/>
          <w:lang w:val="en-US" w:eastAsia="zh-CN"/>
        </w:rPr>
        <w:t>1349000</w:t>
      </w:r>
    </w:p>
    <w:p>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color w:val="auto"/>
          <w:spacing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lang w:val="en-US" w:eastAsia="zh-CN"/>
        </w:rPr>
        <w:t>2.项目期限</w:t>
      </w:r>
      <w:r>
        <w:rPr>
          <w:rFonts w:hint="eastAsia" w:ascii="仿宋" w:hAnsi="仿宋" w:eastAsia="仿宋" w:cs="仿宋"/>
          <w:b/>
          <w:color w:val="auto"/>
          <w:spacing w:val="0"/>
          <w:sz w:val="21"/>
          <w:szCs w:val="21"/>
          <w:highlight w:val="none"/>
          <w:lang w:eastAsia="zh-CN"/>
        </w:rPr>
        <w:t>、</w:t>
      </w:r>
      <w:r>
        <w:rPr>
          <w:rFonts w:hint="eastAsia" w:ascii="仿宋" w:hAnsi="仿宋" w:eastAsia="仿宋" w:cs="仿宋"/>
          <w:b/>
          <w:color w:val="auto"/>
          <w:spacing w:val="0"/>
          <w:sz w:val="21"/>
          <w:szCs w:val="21"/>
          <w:highlight w:val="none"/>
        </w:rPr>
        <w:t>地点：</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2.1 交付(实施)期限：</w:t>
      </w:r>
      <w:r>
        <w:rPr>
          <w:rFonts w:hint="eastAsia" w:ascii="仿宋" w:hAnsi="仿宋" w:eastAsia="仿宋" w:cs="仿宋"/>
          <w:b w:val="0"/>
          <w:bCs/>
          <w:color w:val="auto"/>
          <w:spacing w:val="0"/>
          <w:sz w:val="21"/>
          <w:szCs w:val="21"/>
          <w:highlight w:val="none"/>
          <w:u w:val="single"/>
          <w:lang w:val="en-US" w:eastAsia="zh-CN"/>
        </w:rPr>
        <w:t>合同签订后10个月内完成系统集成、调试、上线初验，至少试运行一个月并通过验收</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2.2 交付(实施)地点：</w:t>
      </w:r>
      <w:r>
        <w:rPr>
          <w:rFonts w:hint="eastAsia" w:ascii="仿宋" w:hAnsi="仿宋" w:eastAsia="仿宋" w:cs="仿宋"/>
          <w:b w:val="0"/>
          <w:bCs/>
          <w:color w:val="auto"/>
          <w:spacing w:val="0"/>
          <w:sz w:val="21"/>
          <w:szCs w:val="21"/>
          <w:highlight w:val="none"/>
          <w:u w:val="single"/>
          <w:lang w:val="en-US" w:eastAsia="zh-CN"/>
        </w:rPr>
        <w:t>杭州市临安区中医院指定地点</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3.投标报价：</w:t>
      </w:r>
    </w:p>
    <w:p>
      <w:pPr>
        <w:pStyle w:val="272"/>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val="0"/>
          <w:bCs/>
          <w:color w:val="FF0000"/>
          <w:spacing w:val="0"/>
          <w:sz w:val="21"/>
          <w:szCs w:val="21"/>
          <w:highlight w:val="none"/>
          <w:lang w:val="zh-CN" w:eastAsia="zh-CN"/>
        </w:rPr>
      </w:pPr>
      <w:r>
        <w:rPr>
          <w:rFonts w:hint="eastAsia" w:ascii="仿宋" w:hAnsi="仿宋" w:eastAsia="仿宋" w:cs="仿宋"/>
          <w:b/>
          <w:color w:val="auto"/>
          <w:spacing w:val="0"/>
          <w:sz w:val="21"/>
          <w:szCs w:val="21"/>
          <w:highlight w:val="none"/>
        </w:rPr>
        <w:t>▲</w:t>
      </w:r>
      <w:r>
        <w:rPr>
          <w:rFonts w:hint="eastAsia" w:ascii="仿宋" w:hAnsi="仿宋" w:eastAsia="仿宋" w:cs="仿宋"/>
          <w:b/>
          <w:bCs w:val="0"/>
          <w:color w:val="auto"/>
          <w:spacing w:val="0"/>
          <w:sz w:val="21"/>
          <w:szCs w:val="21"/>
          <w:highlight w:val="none"/>
          <w:lang w:val="en-US" w:eastAsia="zh-CN"/>
        </w:rPr>
        <w:t>3.1 报价方式：</w:t>
      </w:r>
      <w:r>
        <w:rPr>
          <w:rFonts w:hint="eastAsia" w:ascii="仿宋" w:hAnsi="仿宋" w:eastAsia="仿宋" w:cs="仿宋"/>
          <w:b/>
          <w:bCs w:val="0"/>
          <w:color w:val="auto"/>
          <w:spacing w:val="0"/>
          <w:sz w:val="21"/>
          <w:szCs w:val="21"/>
          <w:highlight w:val="none"/>
          <w:u w:val="single"/>
          <w:lang w:val="en-US" w:eastAsia="zh-CN"/>
        </w:rPr>
        <w:t>固定总价（人民币）。</w:t>
      </w:r>
    </w:p>
    <w:p>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color w:val="auto"/>
          <w:spacing w:val="0"/>
          <w:sz w:val="21"/>
          <w:szCs w:val="21"/>
          <w:highlight w:val="none"/>
        </w:rPr>
        <w:t>▲</w:t>
      </w:r>
      <w:r>
        <w:rPr>
          <w:rFonts w:hint="eastAsia" w:ascii="仿宋" w:hAnsi="仿宋" w:eastAsia="仿宋" w:cs="仿宋"/>
          <w:b/>
          <w:color w:val="auto"/>
          <w:spacing w:val="0"/>
          <w:sz w:val="21"/>
          <w:szCs w:val="21"/>
          <w:highlight w:val="none"/>
          <w:lang w:val="en-US" w:eastAsia="zh-CN"/>
        </w:rPr>
        <w:t xml:space="preserve">3.2 </w:t>
      </w:r>
      <w:r>
        <w:rPr>
          <w:rFonts w:hint="eastAsia" w:ascii="仿宋" w:hAnsi="仿宋" w:eastAsia="仿宋" w:cs="仿宋"/>
          <w:b w:val="0"/>
          <w:bCs/>
          <w:color w:val="auto"/>
          <w:spacing w:val="0"/>
          <w:sz w:val="21"/>
          <w:szCs w:val="21"/>
          <w:highlight w:val="none"/>
          <w:lang w:val="en-US" w:eastAsia="zh-CN"/>
        </w:rPr>
        <w:t>本项目报价方式为报总价，提供分项价格。采购需求清单中未提到，但在实际建设过程中需要配置的内容均计入投标报价中，供应商应认真计算可能发生的各相关费用并计入投标报价内，不得籍此要求增加任何费用。</w:t>
      </w:r>
    </w:p>
    <w:p>
      <w:pPr>
        <w:keepNext w:val="0"/>
        <w:keepLines w:val="0"/>
        <w:pageBreakBefore w:val="0"/>
        <w:widowControl w:val="0"/>
        <w:kinsoku/>
        <w:wordWrap/>
        <w:overflowPunct/>
        <w:topLinePunct w:val="0"/>
        <w:autoSpaceDE/>
        <w:autoSpaceDN/>
        <w:bidi w:val="0"/>
        <w:adjustRightInd/>
        <w:snapToGrid w:val="0"/>
        <w:spacing w:line="240" w:lineRule="auto"/>
        <w:ind w:firstLine="210" w:firstLineChars="1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合同价款包括包含项目达到预期使用效果，乙方所应承担的一切费用，如项目后续信创改造、第三方检测、代码审计、验收费用（包含聘请专家费用）、税金、建设周期内因业务政策调整导致的需求变化、接口费（含被对接系统的接口改造）等因本项目而产生的一切费用。</w:t>
      </w:r>
    </w:p>
    <w:p>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color w:val="auto"/>
          <w:spacing w:val="0"/>
          <w:sz w:val="21"/>
          <w:szCs w:val="21"/>
          <w:highlight w:val="none"/>
        </w:rPr>
        <w:t>▲</w:t>
      </w:r>
      <w:r>
        <w:rPr>
          <w:rFonts w:hint="eastAsia" w:ascii="仿宋" w:hAnsi="仿宋" w:eastAsia="仿宋" w:cs="仿宋"/>
          <w:b/>
          <w:color w:val="auto"/>
          <w:spacing w:val="0"/>
          <w:sz w:val="21"/>
          <w:szCs w:val="21"/>
          <w:highlight w:val="none"/>
          <w:lang w:val="en-US" w:eastAsia="zh-CN"/>
        </w:rPr>
        <w:t xml:space="preserve">3.3 </w:t>
      </w:r>
      <w:r>
        <w:rPr>
          <w:rFonts w:hint="eastAsia" w:ascii="仿宋" w:hAnsi="仿宋" w:eastAsia="仿宋" w:cs="仿宋"/>
          <w:b w:val="0"/>
          <w:bCs/>
          <w:color w:val="auto"/>
          <w:spacing w:val="0"/>
          <w:sz w:val="21"/>
          <w:szCs w:val="21"/>
          <w:highlight w:val="none"/>
          <w:lang w:val="en-US" w:eastAsia="zh-CN"/>
        </w:rPr>
        <w:t>投标人应当提供完整的投标标的清单，核实报价完整性；报价不得缺漏招标文件要求的内容，否则，缺漏项视为已包含在报价中；未列明报价明细的，则视为已包含在报价中。</w:t>
      </w:r>
    </w:p>
    <w:p>
      <w:pPr>
        <w:keepNext w:val="0"/>
        <w:keepLines w:val="0"/>
        <w:pageBreakBefore w:val="0"/>
        <w:widowControl w:val="0"/>
        <w:kinsoku/>
        <w:wordWrap/>
        <w:overflowPunct/>
        <w:topLinePunct w:val="0"/>
        <w:autoSpaceDE/>
        <w:autoSpaceDN/>
        <w:bidi w:val="0"/>
        <w:adjustRightInd/>
        <w:snapToGrid w:val="0"/>
        <w:spacing w:line="240" w:lineRule="auto"/>
        <w:ind w:firstLine="210" w:firstLineChars="100"/>
        <w:jc w:val="left"/>
        <w:textAlignment w:val="auto"/>
        <w:rPr>
          <w:rFonts w:hint="eastAsia" w:ascii="仿宋" w:hAnsi="仿宋" w:eastAsia="仿宋" w:cs="仿宋"/>
          <w:b w:val="0"/>
          <w:bCs w:val="0"/>
          <w:color w:val="auto"/>
          <w:spacing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lang w:val="en-US" w:eastAsia="zh-CN"/>
        </w:rPr>
        <w:t>4.预付款、结算方式</w:t>
      </w:r>
      <w:r>
        <w:rPr>
          <w:rFonts w:hint="eastAsia" w:ascii="仿宋" w:hAnsi="仿宋" w:eastAsia="仿宋" w:cs="仿宋"/>
          <w:b/>
          <w:color w:val="auto"/>
          <w:spacing w:val="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4.1 第一期付款：合同签订后30个工作日内支付合同总额30%货款。</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第二期付款：系统搭建完成，经联调测试，符合初步验收要求，并在出具初步验收报告后30个工作日内，中标人可凭验收报告向采购人办理合同总额30%的货款结算手续。</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第三期付款：系统搭建完成，正式启用进入试运行，经试运行后，符合验收要求，并在出具验收报告后，中标人可凭验收报告向采购人办理合同总额30%的货款结算手续。</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第四期付款：验收合格后满一年，系统运行稳定30个工作日内支付10%。</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val="0"/>
          <w:bCs w:val="0"/>
          <w:color w:val="auto"/>
          <w:sz w:val="21"/>
          <w:szCs w:val="21"/>
          <w:highlight w:val="none"/>
          <w:u w:val="single"/>
          <w:lang w:val="en-US" w:eastAsia="zh-CN"/>
        </w:rPr>
        <w:t>甲方每次付款前，乙方应先向甲方提供符合国家规定的且开票金额与收款金额相一致的增值税专用发票，否则，甲方有权拒绝付款，且无需承担逾期付款的违约责任。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color w:val="auto"/>
          <w:spacing w:val="0"/>
          <w:sz w:val="21"/>
          <w:szCs w:val="21"/>
          <w:highlight w:val="none"/>
          <w:u w:val="single"/>
          <w:lang w:val="en-US"/>
        </w:rPr>
      </w:pPr>
      <w:r>
        <w:rPr>
          <w:rFonts w:hint="eastAsia" w:ascii="仿宋" w:hAnsi="仿宋" w:eastAsia="仿宋" w:cs="仿宋"/>
          <w:b w:val="0"/>
          <w:bCs w:val="0"/>
          <w:color w:val="auto"/>
          <w:sz w:val="21"/>
          <w:szCs w:val="21"/>
          <w:highlight w:val="none"/>
          <w:u w:val="single"/>
          <w:lang w:val="en-US" w:eastAsia="zh-CN"/>
        </w:rPr>
        <w:t>4.2 合同履行中，采购人需追加与合同标的相同的货物或服务，在不改变合同其他条款的前提下，可以与供应商协商签订补充合同，但所有补充合同的采购金额不得超过原合同采购金额的百分之十。</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val="0"/>
          <w:bCs w:val="0"/>
          <w:color w:val="auto"/>
          <w:sz w:val="21"/>
          <w:szCs w:val="21"/>
          <w:highlight w:val="none"/>
          <w:u w:val="single"/>
          <w:lang w:val="en-US" w:eastAsia="zh-CN"/>
        </w:rPr>
      </w:pPr>
      <w:r>
        <w:rPr>
          <w:rFonts w:hint="eastAsia" w:ascii="仿宋" w:hAnsi="仿宋" w:eastAsia="仿宋" w:cs="仿宋"/>
          <w:b/>
          <w:color w:val="auto"/>
          <w:spacing w:val="0"/>
          <w:sz w:val="21"/>
          <w:szCs w:val="21"/>
          <w:highlight w:val="none"/>
          <w:lang w:val="en-US" w:eastAsia="zh-CN"/>
        </w:rPr>
        <w:t>5.特别说明：</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5.1 法律和国务院行政法规规定或者授权有关部门规定供应商或产品进入市场须先行取得相关认证或许可（备案）的，供应商须在投标文件中提供相关认证或许可（备案）证明。未经认证、许可（备案）或虽经认证、许可（备案）但相关证书已经失效的，投标无效。</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5.2 本采购需求涉及有关管理方案、质量目标、履约能力，包括同类业绩、经验能力、设计方案、技术措施、组织方案、服务方案、运行成本、能耗管理以及设备兼容性，可以作为评审时考虑的因素，相关评审内容属于本采购需求的组成部分。详见采购文件第五部分评审办法。</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5.3 供应商应当保证项目实施人员的数量和素质、软件和硬件设备的配置、场地、环境和设施等满足全面履约的要求，并且接受采购人的监督检查。供应商需建立和完善履行合同的质量保证体系，并详细说明合同期内的质控计划；同时明确落实安全管理措施，针对紧急或特殊情况，制定应急预案，保证有效管控现场及人员作业的风险；因成交供应商原因造成的一切事故或纠纷，由其承担全部责任。投标文件中应当详细说明需系统建设的条件，提供相应软硬件(含数据接口)解决措施，系统能够接入采购人现有医用信息系统的，则由投标人负责接入，且相关接口费用计入报价中。</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sz w:val="24"/>
          <w:szCs w:val="24"/>
          <w:highlight w:val="none"/>
          <w:lang w:val="en-US" w:eastAsia="zh-CN"/>
        </w:rPr>
      </w:pPr>
    </w:p>
    <w:p>
      <w:pPr>
        <w:pStyle w:val="38"/>
        <w:keepNext w:val="0"/>
        <w:keepLines w:val="0"/>
        <w:pageBreakBefore w:val="0"/>
        <w:kinsoku/>
        <w:wordWrap/>
        <w:overflowPunct/>
        <w:topLinePunct w:val="0"/>
        <w:autoSpaceDE/>
        <w:autoSpaceDN/>
        <w:bidi w:val="0"/>
        <w:adjustRightInd/>
        <w:snapToGrid w:val="0"/>
        <w:spacing w:line="240" w:lineRule="auto"/>
        <w:ind w:firstLine="478" w:firstLineChars="200"/>
        <w:jc w:val="both"/>
        <w:textAlignment w:val="auto"/>
        <w:rPr>
          <w:rFonts w:hint="eastAsia" w:ascii="仿宋" w:hAnsi="仿宋" w:eastAsia="仿宋" w:cs="仿宋"/>
          <w:b/>
          <w:bCs/>
          <w:spacing w:val="-1"/>
          <w:sz w:val="24"/>
          <w:highlight w:val="none"/>
          <w:lang w:val="en-US" w:eastAsia="zh-CN"/>
        </w:rPr>
      </w:pPr>
      <w:r>
        <w:rPr>
          <w:rFonts w:hint="eastAsia" w:ascii="仿宋" w:hAnsi="仿宋" w:eastAsia="仿宋" w:cs="仿宋"/>
          <w:b/>
          <w:bCs/>
          <w:spacing w:val="-1"/>
          <w:sz w:val="24"/>
          <w:highlight w:val="none"/>
          <w:lang w:val="en-US" w:eastAsia="zh-CN"/>
        </w:rPr>
        <w:t>三、商务技术要求</w:t>
      </w:r>
    </w:p>
    <w:p>
      <w:pPr>
        <w:pStyle w:val="68"/>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1.系统总体建设要求：</w:t>
      </w:r>
      <w:r>
        <w:rPr>
          <w:rFonts w:hint="eastAsia" w:ascii="仿宋" w:hAnsi="仿宋" w:eastAsia="仿宋" w:cs="仿宋"/>
          <w:b w:val="0"/>
          <w:bCs w:val="0"/>
          <w:color w:val="auto"/>
          <w:sz w:val="21"/>
          <w:szCs w:val="21"/>
          <w:highlight w:val="none"/>
          <w:u w:val="none"/>
          <w:lang w:val="en-US" w:eastAsia="zh-CN"/>
        </w:rPr>
        <w:t>本项目采购文件未列明的技术标准或规范，均以国家有关部门最新颁布的相应标准或规范为准；具体包括但不仅限于：</w:t>
      </w:r>
    </w:p>
    <w:p>
      <w:pPr>
        <w:pStyle w:val="68"/>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满足《关于印发住院病案首页数据填写质量规范(暂行)和住院病案首页数据质量管理与控制指标(2016版)的通知》中病案首页数据质量填写规范的要求。</w:t>
      </w:r>
    </w:p>
    <w:p>
      <w:pPr>
        <w:pStyle w:val="68"/>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满足病案管理质量控制指标(2021年版)要求。</w:t>
      </w:r>
    </w:p>
    <w:p>
      <w:pPr>
        <w:pStyle w:val="68"/>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满足病历质量监测指标检查表(2021版)要求。</w:t>
      </w:r>
    </w:p>
    <w:p>
      <w:pPr>
        <w:pStyle w:val="68"/>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满足运行病历医疗核心制度检查评分标准(2021版)要求。</w:t>
      </w:r>
    </w:p>
    <w:p>
      <w:pPr>
        <w:pStyle w:val="68"/>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满足住院病历质量检查评分表(2021版)要求。</w:t>
      </w:r>
    </w:p>
    <w:p>
      <w:pPr>
        <w:pStyle w:val="68"/>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满足病案首页检查评分标准(2021版)。</w:t>
      </w:r>
    </w:p>
    <w:p>
      <w:pPr>
        <w:pStyle w:val="68"/>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845"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满足电子病历5级评审要求。</w:t>
      </w:r>
    </w:p>
    <w:p>
      <w:pPr>
        <w:pStyle w:val="68"/>
        <w:keepNext w:val="0"/>
        <w:keepLines w:val="0"/>
        <w:pageBreakBefore w:val="0"/>
        <w:widowControl/>
        <w:numPr>
          <w:ilvl w:val="0"/>
          <w:numId w:val="14"/>
        </w:numPr>
        <w:kinsoku/>
        <w:wordWrap/>
        <w:overflowPunct/>
        <w:topLinePunct w:val="0"/>
        <w:autoSpaceDE/>
        <w:autoSpaceDN/>
        <w:bidi w:val="0"/>
        <w:adjustRightInd/>
        <w:snapToGrid w:val="0"/>
        <w:spacing w:before="0" w:after="0" w:line="240" w:lineRule="auto"/>
        <w:ind w:left="845"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满足互联互通4甲评审要求。</w:t>
      </w:r>
    </w:p>
    <w:p>
      <w:pPr>
        <w:pStyle w:val="68"/>
        <w:keepNext w:val="0"/>
        <w:keepLines w:val="0"/>
        <w:pageBreakBefore w:val="0"/>
        <w:widowControl/>
        <w:kinsoku/>
        <w:wordWrap/>
        <w:overflowPunct/>
        <w:topLinePunct w:val="0"/>
        <w:autoSpaceDE/>
        <w:autoSpaceDN/>
        <w:bidi w:val="0"/>
        <w:adjustRightInd/>
        <w:snapToGrid w:val="0"/>
        <w:spacing w:before="0" w:after="0" w:line="240" w:lineRule="auto"/>
        <w:ind w:firstLine="420" w:firstLineChars="200"/>
        <w:textAlignment w:val="auto"/>
        <w:rPr>
          <w:rFonts w:hint="eastAsia" w:ascii="仿宋" w:hAnsi="仿宋" w:eastAsia="仿宋" w:cs="Times New Roman"/>
          <w:snapToGrid w:val="0"/>
          <w:color w:val="auto"/>
          <w:kern w:val="0"/>
          <w:sz w:val="21"/>
          <w:szCs w:val="21"/>
          <w:highlight w:val="none"/>
          <w:lang w:val="en-US" w:eastAsia="zh-CN"/>
        </w:rPr>
      </w:pPr>
    </w:p>
    <w:p>
      <w:pPr>
        <w:pStyle w:val="68"/>
        <w:keepNext w:val="0"/>
        <w:keepLines w:val="0"/>
        <w:pageBreakBefore w:val="0"/>
        <w:widowControl/>
        <w:kinsoku/>
        <w:wordWrap/>
        <w:overflowPunct/>
        <w:topLinePunct w:val="0"/>
        <w:autoSpaceDE/>
        <w:autoSpaceDN/>
        <w:bidi w:val="0"/>
        <w:adjustRightInd/>
        <w:snapToGrid w:val="0"/>
        <w:spacing w:before="0" w:after="0" w:line="240" w:lineRule="auto"/>
        <w:ind w:firstLine="422" w:firstLineChars="200"/>
        <w:textAlignment w:val="auto"/>
        <w:rPr>
          <w:rFonts w:hint="eastAsia" w:ascii="仿宋" w:hAnsi="仿宋" w:eastAsia="仿宋" w:cs="Times New Roman"/>
          <w:b/>
          <w:bCs/>
          <w:snapToGrid w:val="0"/>
          <w:color w:val="auto"/>
          <w:kern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lang w:val="en-US" w:eastAsia="zh-CN"/>
        </w:rPr>
        <w:t>2.系统功能、技术要求：</w:t>
      </w:r>
    </w:p>
    <w:tbl>
      <w:tblPr>
        <w:tblStyle w:val="7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101"/>
        <w:gridCol w:w="1127"/>
        <w:gridCol w:w="6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子系统</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模块</w:t>
            </w:r>
          </w:p>
        </w:tc>
        <w:tc>
          <w:tcPr>
            <w:tcW w:w="3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bCs/>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bCs/>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bCs/>
                <w:i w:val="0"/>
                <w:iCs w:val="0"/>
                <w:color w:val="000000"/>
                <w:sz w:val="21"/>
                <w:szCs w:val="21"/>
                <w:highlight w:val="none"/>
                <w:u w:val="none"/>
              </w:rPr>
            </w:pPr>
          </w:p>
        </w:tc>
        <w:tc>
          <w:tcPr>
            <w:tcW w:w="3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数据集成及治理</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数据全量治理</w:t>
            </w:r>
          </w:p>
        </w:tc>
        <w:tc>
          <w:tcPr>
            <w:tcW w:w="3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Oracle、SQLServer等主流数据库对接，对院内各个业务系统数据进行数据聚合、数据解析、字段映射、数据清洗等操作，采用ETL数据抽取方式实现复制库中的运行数据的抽取到临床数据中心。针对复制库中的数据，将通过ETL方式全量一次性抽取由ODS抽取到数据中心。对新增数据，将通过增量抽取的机制，结合使用时间戳、CDC技术，依据标志字段值来识别新增数据进行数据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后结构化处理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本项目利用人工智能（NLP）和大数据挖掘技术对非结构化的病历文本（20余种，包括但不限于入院记录、手术记录、首次病程记录、出院记录等）、医嘱（标准药库映射）、检查/检验报告、手术记录、护理记录等未结构化的业务数据进行后结构化处理，通过标准术语库汇、分词库模型，聚集大量符合SNOMED-CT、ICD-10等标准的结构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数据质量评价</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数据质量评价</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针对对接得全量数据进行质量评价以及优化，保证满足本项目的建设需求。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医生端功能</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实时提醒</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当医生在电子病历系统编辑病历点击保存，即刻以插件形式提供实时质控提醒。无需进入单独的病历质控程序就可查看实时质控内容。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小图标提醒</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实时展示病历问题数，点击小图标可以打开浮窗查看更详细的质控结果信息。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△浮窗提醒</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1、可以根据配置的评分表展示病历分数与等级。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2、展示问题汇总数量；并分类展示各个文书的问题数量，包含：入院记录；首次病程记录；病程记录；谈话记录；手术管理；出院记录等模块。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3、可展示登录医生的待反馈病例数量及待反馈问题总数；点击可展开质控明细。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质控明细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1、评分表:可根据登录his的医生账号来判定是否具有审核权限；（1）有权限：可以在提醒端进行评分表明细查看与问题审核，进行人工评分；（2）无权限：可查看整张表的打分情况与扣分理由。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质控点:（1）可根据文书分类展示，可以收起与展开;（2）展示规则名称；备注；（3）展示规则质控类型：机器、人工;（4）可对每一质控的系统质控情况及人工质控的批注进行反馈，反馈的问题会实时展示在审核端，审核人员可对反馈信息进行再反馈，再反馈信息实时同步至医生端。（5）可根据不同规则等级展示不同提示图标（6）单项否决规则重点提示：系统能够支持对病历以及文书的单项否决进行判断并提醒，当运行病历存在单项否决缺陷时，系统应实时、主动提醒医生相关质控缺陷，并用★进行重点标注，在医生修正缺陷内容后，单项否决提示实时消失。支持医院对每条规则是否属于“单向否决缺陷”进行自主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3、待反馈问题列表:可查看该医生所属数据权限下的患者及存在的问题列表；可根据患者信息；规则名称；患者在院出院、质控类型进行检索。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病历管理平台</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病历查询</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支持按医院需求配置个性化标签进行查询运行病历/终末病历：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1、支持“按患者”和“按问题”两个维度查看列表；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△（1）按患者：支持按日期、科室、问题类型、规则名称、质控医生、患者信息、病历得分（最小值 至 最大值）、病区、主治医生、主任医生、住院医生、医疗组条件检索，展示在院运行病历患者列表；支持对病历列表的标题展示列进行以下项目的选择：质控医生、病历得分、问题数量、质控状态、病区、医疗组、主治医生、主任医生、住院医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（2）按问题：支持按日期、科室、问题类型、规则名称、质控医生、患者信息、病历得分（最小值 至 最大值）、质控类型（全部/机器/人工）、医生反馈状态、病区、主治医生、主任医生、住院医生、医疗组等条件多维度检索，展示在院运行病历患者列表；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支持对病历列表的展示列进行以下项目的选择：质控医生、质控状态、规则名称、详细说明、扣分、质控类型、病区、医疗组、主治医生、主任医生、住院医生等。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支持病历查看：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 支持“全部”、“待审核”、“已审核”快速分类病历；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支持对患者列表病历进行下钻，可查看 患者“文书列表”、“评分表”结果与“质控闭环”；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（3）文书列表包括不仅限于：病案首页、入院记录、病程记录、手术记录、出院/死亡记录、谈话记录、医嘱单、检验报告、检查报告、生命体征、病理报告、诊断记录。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支持查看患者病历原文与系统审核结果，缺陷原文可以高亮并划线对应到质控规则。质控规则可以进行人工审核并备注反馈意见通知到临床端，可以批量进行整本病历的系统质控结果提交。对于系统未发现的问题，可人工添加问题，并与规则库中的规则进行关联，可对添加问题进行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可基于医院所属省份运行病历评分表内容，进行评分表展现。评分表包含：评分项目、评分标准、评分方法、扣分结果、扣分理由；可展示每位患者的分数，能查看每个患者的具体评分明细，并根据评分项目导航快速定位不同评分项目；扣分项目会进行标红处理，可以查看具体扣分点与扣分理由；人工可以修改系统评分结果，并添加备注通知到临床修改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（6）可以查看每个缺陷项目机器/人工质控时间，对是否进行修改与反馈，人工是否进行质控和确认均可进行留痕查看，并对整本病历的质控提交与审核等各个节点有时间轴记录时间轴。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任务分配管理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质控任务创建：系统能够支持质控管理人员定期创建质控任务项目，并制定任务负责人和期望完成时间。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筛选质控病历：支持通过多维度快速搜索病历添加到质控项目中，支持对搜索的病历进行批量、随机筛选。筛选的维度至少包括：有多学科会诊或外院专家诊治、ICU住院时间超48小时、有两次以上手术、肿瘤术后化疗、本次住院有5个及以上诊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查看质控项目及病历：质控管理人员可随时查看病历审核任务的进度，并支持查看对应病历的质控详情。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病历评价</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质控人员登录系统，可查看到当前的质控任务，包括质控项目批次、抽取类型、评价人、进度、剩余时间（天）、开始日期、创建人、状态、操作等。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并支持快速定位到自身需要质控的病历，在线进行病历审核。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人工审核</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缺陷总览：在质控员选择一份病历进行人工审核时，系统应展示当前病历的所有质控缺陷，根据质控员查看的文书不同展示当前文书涉及的缺陷。点击缺陷问题，系统会自动切换到相应的文书，并定位到缺陷对应的段落或原文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人工质控与结果确认：质控人员根据系统的质控结果对病历的缺陷进行人员确认，如果认为此缺陷要求医生修改，可以把修改建议反馈给医生。如果认为此缺陷对病历质量影响不大，也可以确认通过。同时可以看到医生对缺陷建议是否修改或反馈，并对反馈结果进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病历评分：系统根据医院评分表的配置及规则关联，自动对病历进行评分，质控员可以进行人工评分。可以通过添加删除缺陷进行人工干预评分，也可以通过人工修改该评估项目的得分。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△质控闭环：通过质控闭环可以清晰的看到当前病历的质控流程系统首次质控时间、人工质控时间、人工确认时间、病历提交时间以及操作人员。通过缺陷闭环可以看到某一个缺陷整个的流转过程。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病历快捷浏览</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在质控员选择一份病历进行人工审核时，系统应展示对应的病历文书，并展示当前选中病历文书的所有缺陷详情；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缺陷自动定位</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当质控员在查看缺陷条目时，点击缺陷条目后，系统支持自动跳转至该缺陷对应的病历文书原文位置，并高亮显示；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审核意见反馈交互</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临床端反馈：书写病历时，支持医生对AI质控的病历问题在线进行问题反馈；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质控员审核：支持质控员对每个质控问题的反馈情况进行查看，可再次对修改不正确的缺陷进行再次反馈并填写修改建议。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 临床端查看：临床端医生可对质控人员要求修改的病历进行查看和修改，如果对质控结果存在异议可在线进行反馈。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 质控员确认：支持质控员按缺陷反馈情况查看病历，并对医生反馈的缺陷进行再次确认通过或再次反馈修改建议。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☆多级质控配置</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支持根据医院需求，培训科室、部门、全院等三级甚至多级质控，不同业务人员可根据权限分配不同的任务角色进行对应的任务管理。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☆闭环管理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质控问题闭环：支持查看每个缺陷问题项目闭环流程，对机器/人工发现问题时间，是否进行修改与反馈，人工是否进行质控和确认均可进行留痕查看，并对整本病历的质控提交与审核等各个节点有时间轴记录时间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（2）支持查看病历缺陷问题列表，了解每个缺陷问题的状态、医生申诉情况、扣分等，及时了解医生、质控员对现存问题的处理进度及详情。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支持查看医生对病历缺陷问题是否申诉，点击回复可快速查看质控员与临床医生在线沟通历史详情，以及当前缺陷问题的整个流转过程，包括发现问题时间、人工质控回复医生时间、问题申诉时间及操作人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（4）支持一键溯源到缺陷问题对应的文书段落或原文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支持查看病历人工质控的闭环流程，需包括机器质控、人工审核、评价单下发、科室查收、医生确定、任务关闭等阶段的人工质控闭环流程。同时支持根据医院流程进行定制化配置。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统计与分析端功能</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首页</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支持按“今年、去年、本季、上季、本月、上月”快捷按钮或者“年度、季度、月份”维度自定义对全院（归档/未归档）对全院病历的质控情况进行多维度统计分析，包括病历质量分析、质控管理分析等。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质量分析：支持自动汇总病历数、问题病历数、病历平均分、平均问题数等内容及各项的同比、环比（年）情况，并支持病历数的下钻。支持以柱状图、折线图、饼图、列表等直观展示病历质量情况，包括：病历级别分布、病历质量趋势分析、科室问题病历率排名TOP 5、科室平均问题数排名TOP 5、科室病历平均分排名TOP 5、科室丙级病历率排名TOP 5 、病历问题TOP 10、及时性问题TOP 5、问题文书TOP 5、规则类型分布（内涵、形式）、问题类型分布、问题修正率、问题修正率趋势等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管理分析：支持自动汇总病历数、问题病历数、质控病历数、驳回病历数、整改病历数等内容及各项的同比、环比（年）情况，并支持详细数据的下钻。支持以图形的方式对病历的质控率占比、质控管理情况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在院监测</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支持对全院在院病例的病历质控情况进行实时监测，分别从在院病历质量、质控管理等维度进行统计分析。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△病历质量分析：包括不仅限于在院病历数、问题病历数、问题总数、平均问题数、病历平均分、科室问题病历分布、科室平均问题数分布、科室平均分分布、在院问题占比TOP 10、及时性规则完成情况（可以下钻）、问题类型分布、规则类型分布、问题文书排名TOP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质控管理分析：包括不仅限于在院病历数、问题病历数、质控病历数、驳回病历数、整改病历数、质控率分布、驳回率分布、整改率分布。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统计分析</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支持按年度、季度、月、自定义时间获取数据，对全院/已归档/未归档病历质控情况进行可视化、多维度展示，包括质量分析、评分表分析、质控管理分析、文书时效性监测。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量分析：支持以科室、医疗组、医生为统计维度，对病历质量情况进行统计分析，包括不仅限于病历数、问题病历数、病历平均分、平均问题数、问题病历占比、平均问题数、病历平均分、病历等级等。病历问题分析：系统可查看全院各科室在任意时间段的病历质控的缺陷明细，并可查看该质控缺陷对应数量的病历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评分表分析：支持以表格的形式，对医院各评分表的评分情况进行统计分析。分析内容包括：出院科室/医疗组名称/主治医生名称、病历数、平均分（当前值、环比值、环比比率）、问题数、平均问题数（当前值、环比值、环比比率）。评分表包括运行病历评分表、总体病历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管理分析：支持以科室、医疗组、主治医生、质控医生为统计维度，对病历质控情况进行统计分析，包括不仅限于病历数、问题病历数、质控病历数、驳回病历数、整改病历数、病历质控率、病历驳回率、病历整改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规则配置引擎</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规则配置引擎</w:t>
            </w:r>
          </w:p>
        </w:tc>
        <w:tc>
          <w:tcPr>
            <w:tcW w:w="3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 系统支持通过规则引擎功能维护和管理医院自己的病历质控规则库。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权限配置</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用户管理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系统应支持管理员设置不同角色权限，不同权限的角色在使用时功能模块和数据不一致。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功能权限</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系统应支持管理员对角色的功能模块权限进行自定义配置管理。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数据权限</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系统应支持管理员对角色数据查看权限的范围进行自定义配置管理。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质控规则-形式质控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质控规则覆盖</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病历文书包括入院记录、首次病程记录、手术记录、会诊记录、输血记录、转科记录等。形式质控内容包括病历文书记录的完整性、合理性、一致性、时效性。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完整性规则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支持对病历的内容的完整情况进行质控：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入院记录无专科检查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入院记录初步诊断完整性质检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 入院记录婚育史年龄完整性质检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 入院记录婚育史子女数量完整性质检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 入院记录家族史父母情况完整性质检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 入院记录家族史兄弟姐妹情况完整性质检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 入院记录完整性质检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 入院记录无辅助检查记录（注明外院机构名称及日期）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 入院记录无体格检查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 首次病程记录中无病例特点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 首次病程记录中无诊断依据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 首次病程记录中无鉴别诊断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 首次病程记录中无诊疗计划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 入院记录月经史完整性质检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 手术记录麻醉方式完整性质检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 手术记录手术经过完整性质检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 手术记录完整性质检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 手术前主刀医生查房记录完整性校验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 手术知情同意书完整性质检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 输血记录输血反应完整性质检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 术后首次病程记录麻醉方式完整性质检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 术后首次病程记录手术方式完整性质检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 术后首次病程记录手术经过完整性质检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 术后首次病程记录术后处理措施完整性质检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 术后首次病程记录术后诊断完整性质检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 术后首次病程记录完整性质检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 术后三天内无上级医师或术者查房记录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 术前讨论记录完整性质检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 术前讨论手术指征完整性质检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 术前小结术前诊断完整性质检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 死亡病例讨论记录病历摘要完整性质检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 死亡病例讨论记录死亡时间完整性质检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 死亡病例讨论记录死亡原因完整性质检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 死亡病例讨论记录死亡诊断完整性质检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 死亡病例讨论记录讨论结果完整性质检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 死亡病例讨论记录治疗及抢救经过完整性质检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 死亡记录完整性质检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 死亡记录中死亡时间不具体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 疑难病例讨论记录病历摘要完整性质检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 疑难病例讨论记录讨论记录完整性质检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 病危病人日常病程记录填写完整性质检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 出院记录完整性质检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 出院记录中出院医嘱相关描述完整性质检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 出院医嘱完整性质检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 出院记录无主要诊疗经过的内容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 会诊记录完整性质检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(47) 麻醉记录完整性质检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 抢救记录完整性质检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(49) 危重病例无科主任或主（副主）任医师查房记录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 死亡病例无抢救记录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(51) 死亡记录中未写明死亡原因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(52) 无死亡病例讨论记录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(53) 疑难病例无科主任或主（副主）任医师查房记录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(54) 输血患者是否书写输血治疗同意书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合理性规则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支持对文书内容的合理性进行质控：入院记录婚姻状况合规性质检；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时效性规则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支持检查全病历文书记录的及时性；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普通病人日常病程记录填写及时性质检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术前小结及时性质检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 术后首次病程记录及时性质检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 手术记录填写及时性质检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 手术后日常病程记录填写及时性质检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 病危病人日常病程记录填写及时性质检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 病重病人日常病程记录填写及时性质检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 出院记录及时性质检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 入院记录书写及时性质检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 首次病程记录及时性质检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 首次主任医师查房记录及时性质检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 阶段小结完成及时性质检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 入院后首次主治医师查房记录及时性质检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 死亡记录及时性质检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 主任医师|副主任医师日常查房记录时效性质检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 抢救记录时效性质控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 入院三天内的病程记录填写及时性质检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 转科后日常病程记录填写及时性质检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 抢救医嘱后抢救记录及时性质检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 术后主刀医生病程记录及时性质检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 死亡病例讨论记录及时性质检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 抢救记录及时性质检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 首次上级医师查房记录及时性质检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 转科后转入记录完成及时性质检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质控规则-内涵质控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质控规则覆盖</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内涵质控规则包括病历的完整性质控规则、合理性质控规则、一致性质控规则、雷同性质控规则。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内涵完整性规则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支持对各病历文书的记录内容是否存在缺陷进行检查：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入院记录主诉时间不完整；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出院记录中出院带药信息不完整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 抢救记录中缺少抢救中的病情变化描述；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 入院记录体格检查中缺少固定查体项目（头颈部、胸、腹、四肢、神经系统）；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 手术记录和术后首次病程记录的出血量不一致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 入院记录中过敏史记录内容遗漏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 入院记录中传染病记录内容遗漏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 入院记录现病史对一般情况描述有遗漏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 入院记录既往史中手术史记录内容遗漏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 入院记录个人史缺少必要的描述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 入院记录体格检查中缺少固定查体项目（头颈部、胸、腹、四肢、神经系统）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 既往史中，输血史未描述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 入院记录手术外伤史记录缺少具体内容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内涵一致性规则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支持检查文书中对同一情况的记录是否一致进行质控，以此来保证数据准确性：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手术记录和术后首次病程记录的出血量不一致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出院记录中的出院带药与医嘱开立的一致性；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现病史发病时间未描述或错误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入院记录病史陈述者与患者意识状态矛盾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☆诊疗过程合理性规则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支持结合患者临床医生工作站病历文书以及医嘱、检验检查结果等，判断医生的诊疗行为的记录是否符合患者病情特点：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细菌培养结果需要在病程记录中有对应记录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CT/MRI检查结果需记录在病程记录中；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 有创操作记录中未记录操作后注意事项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 入院记录体格检查中缺少数值描述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 住院患者应用抗菌药物后需记录在病程记录中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 抢救记录无对应抢救医嘱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 有创操作记录中未记录操作时间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 缺少出院前上级医师同意出院的记录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 抢救记录中描述的关键时间节点未精确到分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 抢救记录中未记录关键时间节点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 输血记录中缺少输血种类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 输血记录中缺少输血量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 输血记录中缺少输血后疗效评价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客观逻辑一致性规则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系统可检查全病历中记录的内容是否符合客观逻辑一致性：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男性患者不应存在月经史描述；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女性患者查体与性别不符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雷同性规则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支持检查全病历文书记录，对文书进行雷同性判断，当相似度超过一定比例后主动提示质控缺陷，如：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病程记录（首次病程/首次查房/日常查房/上级医师查房）高度雷同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首次病程中病例特点的内容与入院记录现病史存在高度相似情况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规则管理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△支持根据医院实际质控情况对质控规则进行开启关闭，质控级别配置，同时支持对时效性规则进行倒计时提醒时间的配置。 如：入院记录要在24小时内完成，配置成8小时倒计时提醒，患者入院16小时后如果未书写入院记录，系统进行倒计时提醒。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专科专病质控规则库</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☆专病规则库内容</w:t>
            </w:r>
          </w:p>
        </w:tc>
        <w:tc>
          <w:tcPr>
            <w:tcW w:w="3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具备专科知识库，根据医院需求建设的专病规则库内容包括：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中医、泌尿外科、肾内科、产科、肿瘤相关的专科质控点。例如：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入院记录现病史缺少舌苔和脉象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首次病程记录缺少辨病辨证依据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首次病程记录缺少中医诊断和西医诊断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慢性肾病5期患者，入院记录中专科查体结果缺失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IgA肾病患者，专科检查中缺失IgA肾病相关体征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患者诊断胎膜早破，现病史中需记录阴道流液性状描述和ph试纸检测结果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患者接受膀胱肿瘤相关手术，现病史中典型症状记录缺失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社区获得性肺炎患者-首次病程记录辅助检查缺少血气分析或血氧饱和度检测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社区获得性肺炎患者-入院记录既往史中缺少吸烟史具体内容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社区获得性肺炎患者-入院记录既往史中未明确疫苗接种史具体内容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社区获得性肺炎患者-入院记录现病史中缺少胸部影像学检查结果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哮喘急性发作患者-入院记录初步诊断中缺少病情严重程度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病历评分表</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病历评分表</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支持根据医院需求个性化研发医院所需的病案首页、运行病历、终末病历评分表。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△1.首页评分表：支持根据医院需求配置首页评分表，在事中提醒临床医生，在时候提供绩效考核，并支持同比环节的统计考核。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2.运行评分表：支持根据医院需求配置运行病历评分表，在事中提醒临床医生，在时候提供绩效考核，并支持同比环节的统计考核。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3.终末评分表：支持根据医院需求配置运行病历评分表，在事中提醒临床医生，在时候提供绩效考核，并支持同比环节的统计考核。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病案首页形式质控</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病案首页数据完整性</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满足国卫办医发〔2016〕24号《国家卫生计生委办公厅关于印发住院病案首页数据填写质量规范（暂行）和住院病案首页数据质量管理与控制指标（2016版）的通知》中病案首页数据质量填写规范的要求。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可质检首页字段完整性：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病案首页病案号完整性质检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病案首页籍贯完整性质检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 病案首页民族完整性质检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 病案首页国籍完整性质检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 病案首页身份证号完整性质检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 病案首页职业完整性质检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 病案首页婚姻状况完整性质检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 病案首页现住址完整性质检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 病案首页住址电话号码完整性质检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 病案首页现住址邮编完整性质检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 病案首页性别完整性质检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 病案首页户口地址完整性质检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 病案首页户口地址邮编完整性质检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 病案首页工作单位及地址完整性质检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 病案首页单位电话完整性质检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 病案首页单位邮编完整性质检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 病案首页联系人姓名完整性质检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 病案首页关系完整性质检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 病案首页联系人地址完整性质检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 病案首页联系人电话号码完整性质检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 病案首页出生日期完整性质检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 病案首页年龄完整性质检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 病案首页患者姓名完整性质检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 病案首页出生地完整性质检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 病案首页门诊诊断完整性质检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 病案首页手术及操作名称完整性质检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 病案首页血型完整性质检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 病案首页主任（副主任）医师完整性质检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 病案首页主治医师完整性质检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 病案首页住院医师完整性质检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 病案首页质控医师完整性质检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 病案首页抢救成功次数完整性质检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 病案首页抢救次数完整性质检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 病案首页抢救情况完整性质检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 病案首页主要诊断编码完整性质检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 病案首页损伤、中毒的外部因素完整性质检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 病案首页是否有31天内再住院计划完整性质检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 病案首页颅脑损伤患者昏迷时间完整性质检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 病案首页离院方式完整性质检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 病案首页过敏史完整性质检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 病案首页完成及时性质检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 病案首页入院时间完整性质检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 病案首页入院途径完整性质检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44. 病案首页入院科室完整性质检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45. 病案首页手术及操作日期完整性质检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46. 病案首页转科情况完整性质检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47. 病案首页出院时间完整性质检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 病案首页出院科室完整性质检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49. 病案首页医疗付费方式完整性质检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 病案首页重症监护信息完整性质检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51. 病案首页呼吸机使用时间完整性质检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52. 病案首页新生儿入院体重完整性质检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53.  病案首页新生儿出生体重完整性质检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首页一致性规则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对首页信息的与其他文书或入院信息的一致性进行校验：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病案首页与血型化验的血型一致性质检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病案首页与入院信息的联系人姓名一致性质检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病案首页与入院信息的联系人地址一致性质检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病案首页与入院信息的联系人电话号码一致性质检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病案首页与入院信息的籍贯一致性质检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病案首页与入院信息的民族一致性质检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首页合规性规则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病案首页联系人关系合规性质检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病案首页死亡患者尸检合规性质检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病案首页新生儿出生体重合规性质检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病案首页住院天数合规性质检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病案首页新生儿入院体重合规性质检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死亡病例病案首页离院方式合规性质检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死亡患者病案首页是否出院31天再住院计划合规性质检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诊断合规性规则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病案首页贫血未明确分度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病案首页电解质紊乱诊断不明确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病案首页心律失常诊断未明确分类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病案首页糖尿病诊断未明确分型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病案首页呼吸衰竭诊断未明确分型、性质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病案首页高血压诊断未明确分类、分层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病案首页内涵实时质控</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首页合规性规则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对上报数据的合规性进行质量控制，如：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 病案首页与血型化验的血型一致性质检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 当首页出院诊断ICD10编码中含有S06（颅内损伤）时，入院前颅脑损伤患者昏迷时间不能为空，不需要填写的应为“-”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 当首页出院诊断编码中含有S06（颅内损伤）时，入院后颅脑损伤患者昏迷时间不能为空，不需要填写的应为“-”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 当首页的手术名称类别为手术时，麻醉方式不应为空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 当首页的手术名称类别为手术时，手术操作切口等级不应为空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 当首页的手术名称类别为手术时，愈合等级不应为空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 当首页的手术名称类别为手术或介入时，对应的手术操作级别不应为空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 病案首页现住址邮编合规性质检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 病案首页住址电话合规性质检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 病案首页身份证号合规性质检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 病案首页联系人姓名合规性质检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首页一致性规则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对患者基本信息、诊断、手术等信息相互间矛盾的情况进行质量控制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病案首页入院病情为有的诊断与入院记录的入院诊断不一致（入院时病情不明确的情况除外）。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病案首页与入院记录过敏药物记录内容不一致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出院记录与病案首页记录的出院日期不一致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病案首页与入院记录婚姻状态不一致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☆主诊断选择合理性规则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对病案首页主诊断选择的合理性进行质量控制：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产科主诊断应选择产科并发症或伴随疾病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选择剖宫产原因作为主诊断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☆其他诊断遗漏规则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对病案首页其他诊断遗漏的情况进行质控提醒：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RIS报告中提示的疾病未加入病案首页诊断中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既往史在病案首页的遗漏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术后诊断在病案首页的遗漏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出院诊断在病案首页的遗漏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其他诊断错误</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入院记录正在治疗的疾病未列入病案首页其他诊断中：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医院入院记录特殊字段“正在治疗的疾病及用药”中明确书写的在患疾病未写入病案首页其他诊断中。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病案首页肺动脉高压诊断未明确分度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手术操作错误</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本次住院期间的手术不应书写为术后状态的诊断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☆手术操作遗漏</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手术记录|术后首次病程|术前小结中的手术/操作在病案首页中的遗漏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手术经过中血管操作在病案首页手术/操作中存在遗漏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病案首页360视图浏览</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病案及诊疗资料浏览</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支持在质控过程中随时浏览患者本次住院的360维度信息，应包括：患者基本信息、入院记录、出院/死亡记录、病程记录、医嘱、检验检查结果、谈话记录等相关信息。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病案事前提醒</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编码员实时质控</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支持病案室端在编码过程中进行实时、智能提示，编码员可根据系统提示内容和建议修改病案首页。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支持查看人工质控结果，对人工质控的问题进行实时反馈。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支持查询人工反馈有问题的病案列表，并查看问题。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病案事中质控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病案首页查询</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支持病案首页按科室、病区、出入院日期、病案号、患者、问题类型、首页得分等条件进行快速查询，可根据数据权限按科室、按病区控制数据查询范围。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质控人员实时质控</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支持质控人员快速查询病案、并对系统质控结果进行人工质控。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支持人工质控结果实时反馈给编码员。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支持对编码员反馈的病案问题快速查询，并对反馈的结果进行再次审核。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病案首页自动评分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可基于医院所属省份运首页评分表内容，进行评分表展现。评分表包含：评分项目、评分标准、评分方法、扣分结果、扣分理由。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病案事后质控</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质控任务管理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支持质控管理人员定期创建质控任务，并指定任务执行人和期望完成日期，然后选择要进行抽查的病案（支持随机选择）完成任务的创建。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支持质控管理人员实时查看质控任务的进展情况，以及质控结果，在任务完成后，可以结束任务。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质控人员接到质控任务后，对任务中的病案进行质量审核。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质控问题快速原文定位</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质控人员在质控过程中可添加系统未质控出的问题，系统质控的问题支持快速原文定位，方便人工对结果进行快速判断。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病案首页质控规则维护</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病案质控规则</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支持按规则名称、规则逻辑、规则类型、专科类型、规则分类、规则环节、规则来源等维度进行规则的查询。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支持规则的生效状态进行开启/关闭。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支持规则级别的配置，支持3级配置，3级为最高级别。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19</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360维度病案首页数据质量管理和分析</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△病案统计分析</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系统应支持按一定时间范围、科室等不同维度进行全院病案首页质控情况分析，实时显示出院患者数、入院患者数、使用抗菌药物患者数、手术患者数。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系统应支持全院病案首页问题情况在一定时间段内的多维度数据展示，至少应包括：单项否决问题数、完整性问题数、合规性问题数、一致性问题数、总体问题数、当月环比率、质量问题情况趋势等病历数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系统应支持不同病区科室/医生病案首页问题执行情况进行分析，至少包括：单项否决问题数、完整性问题数、合规性问题数、一致性问题数、总体等数据内容进行走势分析。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病案问题分析</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按日期范围统计问题数量、问题发生率、问题采纳率。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按日、月、年统计问题的数量、问题发生率、问题采纳率的趋势。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按质控问题统计科室、医疗组、医生，问题的数量、问题发生率、问题采纳率。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问题追溯</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支持统计分析结果下钻到每一份病案。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支持对全院病案首页质控情况进行可视化、多维度展示，能够帮助医院质控部门对全面及时掌握医院质控现状，并协助制定合理的质量改进计划。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编码质控</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☆诊断编码质控</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对病案首页的主诊选择错误、诊断漏编、合并编码、编码冲突、以及编码位置错误等编码问题进行质控，支持不低于3000多条编码质量控制规则。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☆手术编码质控</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系统应涵盖另编码遗漏、另编码疑似遗漏、手术省略编码多编、手术编码冲突以及合并编码等不同手术编码问题进行质控。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编码规则管理</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支持按规则原文、规则章节、专业类型、提醒类型、规则状态、提醒级别进行规则的查询。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支持对规则的生效状态进行开启/关闭。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支持规则级别的配置，支持3级配置，3级为最高级别。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1"/>
                <w:szCs w:val="21"/>
                <w:highlight w:val="none"/>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△编码统计分析</w:t>
            </w:r>
          </w:p>
        </w:tc>
        <w:tc>
          <w:tcPr>
            <w:tcW w:w="3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支持按照出院月份（起止）、病历归档状态、专业类型（至少包含主诊断选择错误、主手术选择错误、性别与疾病逻辑冲突、另编码遗漏等26类）、章节（包含肿瘤、神经系统等46章）自动统计每条质控规则的质控总数、不通过数、不通过率、修正问题数、修正率。支持点击表头排序及下载表单内容。点击规则名称可跳转至该规则的问题趋势图（失败率/修正率），并展示问题管理列表，可按科室、医疗组、主治医生展示问题病历数、失败率（当前值、环比值、环比比率）、修正病历数、问题修正率（当前值、环比值、环比比率）。</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bCs w:val="0"/>
          <w:color w:val="auto"/>
          <w:spacing w:val="0"/>
          <w:sz w:val="21"/>
          <w:szCs w:val="21"/>
          <w:highlight w:val="none"/>
          <w:lang w:val="en-US" w:eastAsia="zh-CN"/>
        </w:rPr>
        <w:t>注：</w:t>
      </w:r>
      <w:r>
        <w:rPr>
          <w:rFonts w:hint="eastAsia" w:ascii="仿宋" w:hAnsi="仿宋" w:eastAsia="仿宋" w:cs="仿宋"/>
          <w:b w:val="0"/>
          <w:bCs/>
          <w:color w:val="auto"/>
          <w:spacing w:val="0"/>
          <w:sz w:val="21"/>
          <w:szCs w:val="21"/>
          <w:highlight w:val="none"/>
          <w:lang w:val="en-US" w:eastAsia="zh-CN"/>
        </w:rPr>
        <w:t>上表内标注</w:t>
      </w:r>
      <w:r>
        <w:rPr>
          <w:rFonts w:hint="eastAsia" w:ascii="仿宋" w:hAnsi="仿宋" w:eastAsia="仿宋" w:cs="仿宋"/>
          <w:b w:val="0"/>
          <w:bCs/>
          <w:i w:val="0"/>
          <w:iCs w:val="0"/>
          <w:color w:val="000000"/>
          <w:kern w:val="0"/>
          <w:sz w:val="21"/>
          <w:szCs w:val="21"/>
          <w:highlight w:val="none"/>
          <w:u w:val="none"/>
          <w:lang w:val="en-US" w:eastAsia="zh-CN" w:bidi="ar"/>
        </w:rPr>
        <w:t>△的，要求提供系统功能截图佐证；标注☆的，要求提供操作演示视频。</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Times New Roman"/>
          <w:snapToGrid w:val="0"/>
          <w:color w:val="auto"/>
          <w:kern w:val="0"/>
          <w:sz w:val="21"/>
          <w:szCs w:val="21"/>
          <w:highlight w:val="none"/>
        </w:rPr>
        <w:t>※</w:t>
      </w:r>
      <w:r>
        <w:rPr>
          <w:rFonts w:hint="eastAsia" w:ascii="仿宋" w:hAnsi="仿宋" w:eastAsia="仿宋" w:cs="仿宋"/>
          <w:b/>
          <w:color w:val="auto"/>
          <w:spacing w:val="0"/>
          <w:sz w:val="21"/>
          <w:szCs w:val="21"/>
          <w:highlight w:val="none"/>
          <w:lang w:val="en-US" w:eastAsia="zh-CN"/>
        </w:rPr>
        <w:t>3.售后服务：</w:t>
      </w:r>
    </w:p>
    <w:p>
      <w:pPr>
        <w:pStyle w:val="68"/>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维护服务：对本项目开发的系统提供1年的免费维护服务。维护期自项目验收合格之日起开始计算，运维服务范围包括：错误修改、轻量级需求变更、性能优化、运行环境诊断及保障，以及由于技术规范变化导致的程序变更和版本内的变更。</w:t>
      </w:r>
    </w:p>
    <w:p>
      <w:pPr>
        <w:pStyle w:val="68"/>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技术支持服务：提供热线电话服务，接收系统运行出错报告电话后，立即通过电话解决问题；建立双方专用服务通道，提供7×24小时服务，接到故障通知后应在1小时内响应，在2小时内解决故障；</w:t>
      </w:r>
    </w:p>
    <w:p>
      <w:pPr>
        <w:pStyle w:val="68"/>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免费培训服务：负责免费培训使用人员和维护人员，内容包括设备操作、日常维护，确保熟练掌握全部功能为止。投标方需提供现场培训服务，并须提供具体的培训方案。培训方案中需详细描述培训内容、人数、时间、地点。</w:t>
      </w:r>
    </w:p>
    <w:p>
      <w:pPr>
        <w:pStyle w:val="68"/>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技术咨询服务：提供终身免费的技术咨询服务。</w:t>
      </w:r>
    </w:p>
    <w:p>
      <w:pPr>
        <w:pStyle w:val="68"/>
        <w:keepNext w:val="0"/>
        <w:keepLines w:val="0"/>
        <w:pageBreakBefore w:val="0"/>
        <w:widowControl/>
        <w:numPr>
          <w:ilvl w:val="0"/>
          <w:numId w:val="16"/>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技术支持团队：本项目建设的实施团队成员需具备在投标单位2年以上相关项目的实施经验，需提供社保缴费记录。</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4.验收要求</w:t>
      </w:r>
    </w:p>
    <w:p>
      <w:pPr>
        <w:pStyle w:val="68"/>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验收时间：系统上线并稳定运行后，中标人可向采购人提请验收。同时，提供包括系统安装手册、数据结构手册、用户使用手册、系统维护手册、软件系统用户使用手册等在内的完备准确的技术资料，以供验收。</w:t>
      </w:r>
    </w:p>
    <w:p>
      <w:pPr>
        <w:pStyle w:val="68"/>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采购人成立验收小组，严格按照采购合同开展履约验收。验收时，按照合同的约定对每一项技术、服务标准的履约情况进行确认。项目验收合格，采购人签署验收报告；验收不合格的，采购人有权要求中标人修改直到满足合同要求。</w:t>
      </w:r>
    </w:p>
    <w:p>
      <w:pPr>
        <w:pStyle w:val="68"/>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采购人可以邀请参加本项目的其他投标人或者第三方机构参与验收。参与验收的投标人或者第三方机构的意见作为验收书的参考资料一并存档。</w:t>
      </w:r>
    </w:p>
    <w:p>
      <w:pPr>
        <w:pStyle w:val="68"/>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验收时中标人必须在现场，验收过程中相关检测费用（如有）由中标人负责。</w:t>
      </w:r>
    </w:p>
    <w:p>
      <w:pPr>
        <w:pStyle w:val="68"/>
        <w:keepNext w:val="0"/>
        <w:keepLines w:val="0"/>
        <w:pageBreakBefore w:val="0"/>
        <w:widowControl/>
        <w:numPr>
          <w:ilvl w:val="0"/>
          <w:numId w:val="17"/>
        </w:numPr>
        <w:kinsoku/>
        <w:wordWrap/>
        <w:overflowPunct/>
        <w:topLinePunct w:val="0"/>
        <w:autoSpaceDE/>
        <w:autoSpaceDN/>
        <w:bidi w:val="0"/>
        <w:adjustRightInd/>
        <w:snapToGrid w:val="0"/>
        <w:spacing w:before="0" w:after="0" w:line="240" w:lineRule="auto"/>
        <w:ind w:left="845" w:leftChars="0" w:hanging="425" w:firstLineChars="0"/>
        <w:textAlignment w:val="auto"/>
        <w:rPr>
          <w:rFonts w:hint="eastAsia" w:ascii="仿宋" w:hAnsi="仿宋" w:eastAsia="仿宋"/>
          <w:snapToGrid w:val="0"/>
          <w:color w:val="auto"/>
          <w:kern w:val="0"/>
          <w:sz w:val="21"/>
          <w:szCs w:val="21"/>
          <w:highlight w:val="none"/>
          <w:lang w:val="en-US" w:eastAsia="zh-CN"/>
        </w:rPr>
      </w:pPr>
      <w:r>
        <w:rPr>
          <w:rFonts w:hint="eastAsia" w:ascii="仿宋" w:hAnsi="仿宋" w:eastAsia="仿宋"/>
          <w:snapToGrid w:val="0"/>
          <w:color w:val="auto"/>
          <w:kern w:val="0"/>
          <w:sz w:val="21"/>
          <w:szCs w:val="21"/>
          <w:highlight w:val="none"/>
          <w:lang w:val="en-US" w:eastAsia="zh-CN"/>
        </w:rPr>
        <w:t>满足第三方软测、代码审计要求。</w:t>
      </w:r>
    </w:p>
    <w:bookmarkEnd w:id="206"/>
    <w:p>
      <w:pPr>
        <w:keepNext w:val="0"/>
        <w:keepLines w:val="0"/>
        <w:pageBreakBefore w:val="0"/>
        <w:numPr>
          <w:ilvl w:val="0"/>
          <w:numId w:val="0"/>
        </w:numPr>
        <w:kinsoku/>
        <w:wordWrap/>
        <w:overflowPunct/>
        <w:topLinePunct w:val="0"/>
        <w:autoSpaceDE/>
        <w:autoSpaceDN/>
        <w:bidi w:val="0"/>
        <w:snapToGrid w:val="0"/>
        <w:spacing w:line="240" w:lineRule="auto"/>
        <w:ind w:left="0" w:leftChars="0" w:firstLine="420" w:firstLineChars="200"/>
        <w:textAlignment w:val="auto"/>
        <w:outlineLvl w:val="9"/>
        <w:rPr>
          <w:rFonts w:hint="eastAsia" w:ascii="仿宋" w:hAnsi="仿宋" w:eastAsia="仿宋" w:cs="仿宋"/>
          <w:b w:val="0"/>
          <w:bCs w:val="0"/>
          <w:sz w:val="21"/>
          <w:szCs w:val="21"/>
          <w:highlight w:val="none"/>
          <w:lang w:val="en-US" w:eastAsia="zh-CN"/>
        </w:rPr>
      </w:pPr>
    </w:p>
    <w:p>
      <w:pPr>
        <w:keepNext w:val="0"/>
        <w:keepLines w:val="0"/>
        <w:pageBreakBefore w:val="0"/>
        <w:kinsoku/>
        <w:wordWrap/>
        <w:overflowPunct/>
        <w:topLinePunct w:val="0"/>
        <w:autoSpaceDE/>
        <w:autoSpaceDN/>
        <w:bidi w:val="0"/>
        <w:snapToGrid w:val="0"/>
        <w:spacing w:line="240" w:lineRule="auto"/>
        <w:textAlignment w:val="auto"/>
        <w:rPr>
          <w:rFonts w:hint="eastAsia" w:ascii="仿宋" w:hAnsi="仿宋" w:eastAsia="仿宋" w:cs="仿宋"/>
          <w:b/>
          <w:snapToGrid w:val="0"/>
          <w:color w:val="auto"/>
          <w:kern w:val="0"/>
          <w:sz w:val="24"/>
          <w:szCs w:val="24"/>
          <w:highlight w:val="none"/>
          <w:lang w:val="en-US" w:eastAsia="zh-CN"/>
        </w:rPr>
      </w:pPr>
      <w:r>
        <w:rPr>
          <w:rFonts w:hint="eastAsia" w:ascii="仿宋" w:hAnsi="仿宋" w:eastAsia="仿宋" w:cs="仿宋"/>
          <w:b/>
          <w:snapToGrid w:val="0"/>
          <w:color w:val="auto"/>
          <w:kern w:val="0"/>
          <w:sz w:val="24"/>
          <w:szCs w:val="24"/>
          <w:highlight w:val="none"/>
          <w:lang w:val="en-US" w:eastAsia="zh-CN"/>
        </w:rPr>
        <w:br w:type="page"/>
      </w:r>
    </w:p>
    <w:p>
      <w:pPr>
        <w:keepNext w:val="0"/>
        <w:keepLines w:val="0"/>
        <w:pageBreakBefore w:val="0"/>
        <w:numPr>
          <w:ilvl w:val="0"/>
          <w:numId w:val="0"/>
        </w:numPr>
        <w:kinsoku/>
        <w:wordWrap/>
        <w:overflowPunct/>
        <w:topLinePunct w:val="0"/>
        <w:autoSpaceDE/>
        <w:autoSpaceDN/>
        <w:bidi w:val="0"/>
        <w:snapToGrid w:val="0"/>
        <w:spacing w:line="240" w:lineRule="auto"/>
        <w:ind w:firstLine="480" w:firstLineChars="200"/>
        <w:jc w:val="left"/>
        <w:textAlignment w:val="auto"/>
        <w:outlineLvl w:val="9"/>
        <w:rPr>
          <w:rFonts w:hint="eastAsia" w:ascii="仿宋" w:hAnsi="仿宋" w:eastAsia="仿宋" w:cs="仿宋"/>
          <w:color w:val="auto"/>
          <w:sz w:val="24"/>
          <w:highlight w:val="none"/>
        </w:rPr>
        <w:sectPr>
          <w:pgSz w:w="11906" w:h="16838"/>
          <w:pgMar w:top="1361" w:right="1361" w:bottom="1361" w:left="1361" w:header="851" w:footer="992" w:gutter="0"/>
          <w:cols w:space="720" w:num="1"/>
          <w:rtlGutter w:val="0"/>
          <w:docGrid w:linePitch="312" w:charSpace="0"/>
        </w:sectPr>
      </w:pPr>
    </w:p>
    <w:p>
      <w:pPr>
        <w:spacing w:before="120" w:beforeLines="50" w:after="120" w:afterLines="50"/>
        <w:jc w:val="center"/>
        <w:outlineLvl w:val="0"/>
        <w:rPr>
          <w:rFonts w:ascii="仿宋" w:hAnsi="仿宋" w:eastAsia="仿宋"/>
          <w:b/>
          <w:color w:val="auto"/>
          <w:sz w:val="30"/>
          <w:szCs w:val="30"/>
          <w:highlight w:val="none"/>
        </w:rPr>
      </w:pPr>
      <w:bookmarkStart w:id="44" w:name="_Toc96999269"/>
      <w:bookmarkStart w:id="45" w:name="_Toc97000040"/>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五部分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评审办法</w:t>
      </w:r>
      <w:bookmarkEnd w:id="44"/>
      <w:bookmarkEnd w:id="45"/>
    </w:p>
    <w:p>
      <w:pPr>
        <w:adjustRightInd w:val="0"/>
        <w:rPr>
          <w:rFonts w:hint="eastAsia" w:ascii="仿宋" w:hAnsi="仿宋" w:eastAsia="仿宋"/>
          <w:color w:val="auto"/>
          <w:sz w:val="24"/>
          <w:highlight w:val="none"/>
        </w:rPr>
      </w:pPr>
    </w:p>
    <w:p>
      <w:pPr>
        <w:snapToGrid w:val="0"/>
        <w:jc w:val="center"/>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评审办法前附表</w:t>
      </w:r>
    </w:p>
    <w:tbl>
      <w:tblPr>
        <w:tblStyle w:val="70"/>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7000"/>
        <w:gridCol w:w="598"/>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序号</w:t>
            </w:r>
          </w:p>
        </w:tc>
        <w:tc>
          <w:tcPr>
            <w:tcW w:w="3629" w:type="pct"/>
            <w:noWrap w:val="0"/>
            <w:vAlign w:val="center"/>
          </w:tcPr>
          <w:p>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评审标准</w:t>
            </w:r>
          </w:p>
        </w:tc>
        <w:tc>
          <w:tcPr>
            <w:tcW w:w="310" w:type="pct"/>
            <w:noWrap w:val="0"/>
            <w:vAlign w:val="center"/>
          </w:tcPr>
          <w:p>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权重</w:t>
            </w:r>
          </w:p>
        </w:tc>
        <w:tc>
          <w:tcPr>
            <w:tcW w:w="787" w:type="pct"/>
            <w:noWrap w:val="0"/>
            <w:vAlign w:val="center"/>
          </w:tcPr>
          <w:p>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响应文件中评审标准相应的商务技术资料目录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rPr>
            </w:pPr>
            <w:r>
              <w:rPr>
                <w:rFonts w:hint="eastAsia" w:ascii="仿宋" w:hAnsi="仿宋" w:eastAsia="仿宋" w:cs="仿宋"/>
                <w:b/>
                <w:snapToGrid w:val="0"/>
                <w:color w:val="auto"/>
                <w:spacing w:val="-6"/>
                <w:w w:val="90"/>
                <w:kern w:val="0"/>
                <w:sz w:val="24"/>
                <w:highlight w:val="none"/>
                <w:shd w:val="clear" w:color="auto" w:fill="FFFFFF"/>
              </w:rPr>
              <w:t>1</w:t>
            </w:r>
          </w:p>
        </w:tc>
        <w:tc>
          <w:tcPr>
            <w:tcW w:w="362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企业认证：</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1.1</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评议本项目实施有关主流信创芯片、数据、操作系统、中间件适配认证或兼容性认证的情况：</w:t>
            </w:r>
          </w:p>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u w:val="none"/>
                <w:lang w:val="en-US" w:eastAsia="zh-CN" w:bidi="ar-SA"/>
              </w:rPr>
              <w:t>(1)</w:t>
            </w:r>
            <w:r>
              <w:rPr>
                <w:rFonts w:hint="eastAsia" w:ascii="仿宋" w:hAnsi="仿宋" w:eastAsia="仿宋" w:cs="仿宋"/>
                <w:b w:val="0"/>
                <w:bCs w:val="0"/>
                <w:color w:val="auto"/>
                <w:spacing w:val="-11"/>
                <w:w w:val="90"/>
                <w:kern w:val="0"/>
                <w:sz w:val="24"/>
                <w:szCs w:val="24"/>
                <w:highlight w:val="none"/>
                <w:lang w:val="en-US" w:eastAsia="zh-CN" w:bidi="ar-SA"/>
              </w:rPr>
              <w:t>投标人或制造商获得符合国家信创要求芯片厂家认证≥3家，得1分；</w:t>
            </w:r>
          </w:p>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u w:val="none"/>
                <w:lang w:val="en-US" w:eastAsia="zh-CN" w:bidi="ar-SA"/>
              </w:rPr>
              <w:t>(2)</w:t>
            </w:r>
            <w:r>
              <w:rPr>
                <w:rFonts w:hint="eastAsia" w:ascii="仿宋" w:hAnsi="仿宋" w:eastAsia="仿宋" w:cs="仿宋"/>
                <w:b w:val="0"/>
                <w:bCs w:val="0"/>
                <w:color w:val="auto"/>
                <w:spacing w:val="-11"/>
                <w:w w:val="90"/>
                <w:kern w:val="0"/>
                <w:sz w:val="24"/>
                <w:szCs w:val="24"/>
                <w:highlight w:val="none"/>
                <w:lang w:val="en-US" w:eastAsia="zh-CN" w:bidi="ar-SA"/>
              </w:rPr>
              <w:t>投标人或制造商获得符合国家信创要求数据库厂家认证≥3家，得1分；</w:t>
            </w:r>
          </w:p>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u w:val="none"/>
                <w:lang w:val="en-US" w:eastAsia="zh-CN" w:bidi="ar-SA"/>
              </w:rPr>
              <w:t>(3)</w:t>
            </w:r>
            <w:r>
              <w:rPr>
                <w:rFonts w:hint="eastAsia" w:ascii="仿宋" w:hAnsi="仿宋" w:eastAsia="仿宋" w:cs="仿宋"/>
                <w:b w:val="0"/>
                <w:bCs w:val="0"/>
                <w:color w:val="auto"/>
                <w:spacing w:val="-11"/>
                <w:w w:val="90"/>
                <w:kern w:val="0"/>
                <w:sz w:val="24"/>
                <w:szCs w:val="24"/>
                <w:highlight w:val="none"/>
                <w:lang w:val="en-US" w:eastAsia="zh-CN" w:bidi="ar-SA"/>
              </w:rPr>
              <w:t>投标人或制造商获得符合国家信创要求操作系统厂家认证≥6家，得1分；</w:t>
            </w:r>
          </w:p>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u w:val="none"/>
                <w:lang w:val="en-US" w:eastAsia="zh-CN" w:bidi="ar-SA"/>
              </w:rPr>
              <w:t>(4)</w:t>
            </w:r>
            <w:r>
              <w:rPr>
                <w:rFonts w:hint="eastAsia" w:ascii="仿宋" w:hAnsi="仿宋" w:eastAsia="仿宋" w:cs="仿宋"/>
                <w:b w:val="0"/>
                <w:bCs w:val="0"/>
                <w:color w:val="auto"/>
                <w:spacing w:val="-11"/>
                <w:w w:val="90"/>
                <w:kern w:val="0"/>
                <w:sz w:val="24"/>
                <w:szCs w:val="24"/>
                <w:highlight w:val="none"/>
                <w:lang w:val="en-US" w:eastAsia="zh-CN" w:bidi="ar-SA"/>
              </w:rPr>
              <w:t>投标人或制造商获得符合国家信创要求中间件厂家认证≥3家，得1分。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4</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1.2</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评议投标人或制造商拥有的专利证书情况，与本项目实施有关且包含以下关键字或同义词：</w:t>
            </w:r>
            <w:r>
              <w:rPr>
                <w:rFonts w:hint="default" w:ascii="仿宋" w:hAnsi="仿宋" w:eastAsia="仿宋" w:cs="仿宋"/>
                <w:b w:val="0"/>
                <w:bCs w:val="0"/>
                <w:color w:val="auto"/>
                <w:spacing w:val="-11"/>
                <w:w w:val="90"/>
                <w:kern w:val="0"/>
                <w:sz w:val="24"/>
                <w:szCs w:val="24"/>
                <w:highlight w:val="none"/>
                <w:lang w:val="en-US" w:eastAsia="zh-CN" w:bidi="ar-SA"/>
              </w:rPr>
              <w:t>病历质控</w:t>
            </w:r>
            <w:r>
              <w:rPr>
                <w:rFonts w:hint="eastAsia" w:ascii="仿宋" w:hAnsi="仿宋" w:eastAsia="仿宋" w:cs="仿宋"/>
                <w:b w:val="0"/>
                <w:bCs w:val="0"/>
                <w:color w:val="auto"/>
                <w:spacing w:val="-11"/>
                <w:w w:val="90"/>
                <w:kern w:val="0"/>
                <w:sz w:val="24"/>
                <w:szCs w:val="24"/>
                <w:highlight w:val="none"/>
                <w:lang w:val="en-US" w:eastAsia="zh-CN" w:bidi="ar-SA"/>
              </w:rPr>
              <w:t>、</w:t>
            </w:r>
            <w:r>
              <w:rPr>
                <w:rFonts w:hint="default" w:ascii="仿宋" w:hAnsi="仿宋" w:eastAsia="仿宋" w:cs="仿宋"/>
                <w:b w:val="0"/>
                <w:bCs w:val="0"/>
                <w:color w:val="auto"/>
                <w:spacing w:val="-11"/>
                <w:w w:val="90"/>
                <w:kern w:val="0"/>
                <w:sz w:val="24"/>
                <w:szCs w:val="24"/>
                <w:highlight w:val="none"/>
                <w:lang w:val="en-US" w:eastAsia="zh-CN" w:bidi="ar-SA"/>
              </w:rPr>
              <w:t>医学规则提取</w:t>
            </w:r>
            <w:r>
              <w:rPr>
                <w:rFonts w:hint="eastAsia" w:ascii="仿宋" w:hAnsi="仿宋" w:eastAsia="仿宋" w:cs="仿宋"/>
                <w:b w:val="0"/>
                <w:bCs w:val="0"/>
                <w:color w:val="auto"/>
                <w:spacing w:val="-11"/>
                <w:w w:val="90"/>
                <w:kern w:val="0"/>
                <w:sz w:val="24"/>
                <w:szCs w:val="24"/>
                <w:highlight w:val="none"/>
                <w:lang w:val="en-US" w:eastAsia="zh-CN" w:bidi="ar-SA"/>
              </w:rPr>
              <w:t>、临床数据、医学实体</w:t>
            </w:r>
            <w:r>
              <w:rPr>
                <w:rFonts w:hint="default" w:ascii="仿宋" w:hAnsi="仿宋" w:eastAsia="仿宋" w:cs="仿宋"/>
                <w:b w:val="0"/>
                <w:bCs w:val="0"/>
                <w:color w:val="auto"/>
                <w:spacing w:val="-11"/>
                <w:w w:val="90"/>
                <w:kern w:val="0"/>
                <w:sz w:val="24"/>
                <w:szCs w:val="24"/>
                <w:highlight w:val="none"/>
                <w:lang w:val="en-US" w:eastAsia="zh-CN" w:bidi="ar-SA"/>
              </w:rPr>
              <w:t>提取</w:t>
            </w:r>
            <w:r>
              <w:rPr>
                <w:rFonts w:hint="eastAsia" w:ascii="仿宋" w:hAnsi="仿宋" w:eastAsia="仿宋" w:cs="仿宋"/>
                <w:b w:val="0"/>
                <w:bCs w:val="0"/>
                <w:color w:val="auto"/>
                <w:spacing w:val="-11"/>
                <w:w w:val="90"/>
                <w:kern w:val="0"/>
                <w:sz w:val="24"/>
                <w:szCs w:val="24"/>
                <w:highlight w:val="none"/>
                <w:lang w:val="en-US" w:eastAsia="zh-CN" w:bidi="ar-SA"/>
              </w:rPr>
              <w:t>、文本关系抽取</w:t>
            </w:r>
            <w:r>
              <w:rPr>
                <w:rFonts w:hint="default" w:ascii="仿宋" w:hAnsi="仿宋" w:eastAsia="仿宋" w:cs="仿宋"/>
                <w:b w:val="0"/>
                <w:bCs w:val="0"/>
                <w:color w:val="auto"/>
                <w:spacing w:val="-11"/>
                <w:w w:val="90"/>
                <w:kern w:val="0"/>
                <w:sz w:val="24"/>
                <w:szCs w:val="24"/>
                <w:highlight w:val="none"/>
                <w:lang w:val="en-US" w:eastAsia="zh-CN" w:bidi="ar-SA"/>
              </w:rPr>
              <w:t>、数据学习、医学实体识别、病例书切分、</w:t>
            </w:r>
            <w:r>
              <w:rPr>
                <w:rFonts w:hint="eastAsia" w:ascii="仿宋" w:hAnsi="仿宋" w:eastAsia="仿宋" w:cs="仿宋"/>
                <w:b w:val="0"/>
                <w:bCs w:val="0"/>
                <w:color w:val="auto"/>
                <w:spacing w:val="-11"/>
                <w:w w:val="90"/>
                <w:kern w:val="0"/>
                <w:sz w:val="24"/>
                <w:szCs w:val="24"/>
                <w:highlight w:val="none"/>
                <w:lang w:val="en-US" w:eastAsia="zh-CN" w:bidi="ar-SA"/>
              </w:rPr>
              <w:t>医学文本分类、标准词匹配；每提供1份专利证书扫描件得</w:t>
            </w:r>
            <w:r>
              <w:rPr>
                <w:rFonts w:hint="default" w:ascii="仿宋" w:hAnsi="仿宋" w:eastAsia="仿宋" w:cs="仿宋"/>
                <w:b w:val="0"/>
                <w:bCs w:val="0"/>
                <w:color w:val="auto"/>
                <w:spacing w:val="-11"/>
                <w:w w:val="90"/>
                <w:kern w:val="0"/>
                <w:sz w:val="24"/>
                <w:szCs w:val="24"/>
                <w:highlight w:val="none"/>
                <w:lang w:val="en-US" w:eastAsia="zh-CN" w:bidi="ar-SA"/>
              </w:rPr>
              <w:t>1</w:t>
            </w:r>
            <w:r>
              <w:rPr>
                <w:rFonts w:hint="eastAsia" w:ascii="仿宋" w:hAnsi="仿宋" w:eastAsia="仿宋" w:cs="仿宋"/>
                <w:b w:val="0"/>
                <w:bCs w:val="0"/>
                <w:color w:val="auto"/>
                <w:spacing w:val="-11"/>
                <w:w w:val="90"/>
                <w:kern w:val="0"/>
                <w:sz w:val="24"/>
                <w:szCs w:val="24"/>
                <w:highlight w:val="none"/>
                <w:lang w:val="en-US" w:eastAsia="zh-CN" w:bidi="ar-SA"/>
              </w:rPr>
              <w:t>分，最高10分，未提供的不得分。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10</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1.3</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投标人或制造商具有国家或省市认证的“专精特新小巨人”企业证书的，得2分。需提供相关证书扫描件，否则不得分。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2</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rPr>
              <w:t>2</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240" w:lineRule="auto"/>
              <w:ind w:right="0" w:rightChars="0"/>
              <w:jc w:val="left"/>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技术解决方案：</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2.1</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u w:val="none"/>
                <w:lang w:val="en-US" w:eastAsia="zh-CN"/>
              </w:rPr>
              <w:t>项目</w:t>
            </w:r>
            <w:r>
              <w:rPr>
                <w:rFonts w:hint="default" w:ascii="仿宋" w:hAnsi="仿宋" w:eastAsia="仿宋" w:cs="仿宋"/>
                <w:b w:val="0"/>
                <w:bCs w:val="0"/>
                <w:color w:val="auto"/>
                <w:spacing w:val="-6"/>
                <w:w w:val="90"/>
                <w:kern w:val="0"/>
                <w:sz w:val="24"/>
                <w:szCs w:val="24"/>
                <w:highlight w:val="none"/>
                <w:u w:val="none"/>
                <w:lang w:eastAsia="zh-CN"/>
              </w:rPr>
              <w:t>理解</w:t>
            </w:r>
            <w:r>
              <w:rPr>
                <w:rFonts w:hint="eastAsia" w:ascii="仿宋" w:hAnsi="仿宋" w:eastAsia="仿宋" w:cs="仿宋"/>
                <w:b w:val="0"/>
                <w:bCs w:val="0"/>
                <w:color w:val="auto"/>
                <w:spacing w:val="-6"/>
                <w:w w:val="90"/>
                <w:kern w:val="0"/>
                <w:sz w:val="24"/>
                <w:szCs w:val="24"/>
                <w:highlight w:val="none"/>
                <w:u w:val="none"/>
                <w:lang w:val="en-US" w:eastAsia="zh-CN"/>
              </w:rPr>
              <w:t>分析：针对</w:t>
            </w:r>
            <w:r>
              <w:rPr>
                <w:rFonts w:hint="eastAsia" w:ascii="仿宋" w:hAnsi="仿宋" w:eastAsia="仿宋" w:cs="仿宋"/>
                <w:b w:val="0"/>
                <w:bCs w:val="0"/>
                <w:color w:val="auto"/>
                <w:spacing w:val="-6"/>
                <w:w w:val="90"/>
                <w:kern w:val="0"/>
                <w:sz w:val="24"/>
                <w:szCs w:val="24"/>
                <w:highlight w:val="none"/>
                <w:lang w:val="en-US" w:eastAsia="zh-CN"/>
              </w:rPr>
              <w:t>投标人</w:t>
            </w:r>
            <w:r>
              <w:rPr>
                <w:rFonts w:hint="eastAsia" w:ascii="仿宋" w:hAnsi="仿宋" w:eastAsia="仿宋" w:cs="仿宋"/>
                <w:b w:val="0"/>
                <w:bCs w:val="0"/>
                <w:color w:val="auto"/>
                <w:spacing w:val="-6"/>
                <w:w w:val="90"/>
                <w:kern w:val="0"/>
                <w:sz w:val="24"/>
                <w:szCs w:val="24"/>
                <w:highlight w:val="none"/>
                <w:u w:val="none"/>
                <w:lang w:val="en-US" w:eastAsia="zh-CN"/>
              </w:rPr>
              <w:t>关于</w:t>
            </w:r>
            <w:r>
              <w:rPr>
                <w:rFonts w:hint="default" w:ascii="仿宋" w:hAnsi="仿宋" w:eastAsia="仿宋" w:cs="仿宋"/>
                <w:b w:val="0"/>
                <w:bCs w:val="0"/>
                <w:color w:val="auto"/>
                <w:spacing w:val="-6"/>
                <w:w w:val="90"/>
                <w:kern w:val="0"/>
                <w:sz w:val="24"/>
                <w:szCs w:val="24"/>
                <w:highlight w:val="none"/>
                <w:u w:val="none"/>
                <w:lang w:eastAsia="zh-CN"/>
              </w:rPr>
              <w:t>本项目采购</w:t>
            </w:r>
            <w:r>
              <w:rPr>
                <w:rFonts w:hint="eastAsia" w:ascii="仿宋" w:hAnsi="仿宋" w:eastAsia="仿宋" w:cs="仿宋"/>
                <w:b w:val="0"/>
                <w:bCs w:val="0"/>
                <w:color w:val="auto"/>
                <w:spacing w:val="-6"/>
                <w:w w:val="90"/>
                <w:kern w:val="0"/>
                <w:sz w:val="24"/>
                <w:szCs w:val="24"/>
                <w:highlight w:val="none"/>
                <w:u w:val="none"/>
                <w:lang w:val="en-US" w:eastAsia="zh-CN"/>
              </w:rPr>
              <w:t>需求的理解，包括重点难点</w:t>
            </w:r>
            <w:r>
              <w:rPr>
                <w:rFonts w:hint="default" w:ascii="仿宋" w:hAnsi="仿宋" w:eastAsia="仿宋" w:cs="仿宋"/>
                <w:b w:val="0"/>
                <w:bCs w:val="0"/>
                <w:color w:val="auto"/>
                <w:spacing w:val="-6"/>
                <w:w w:val="90"/>
                <w:kern w:val="0"/>
                <w:sz w:val="24"/>
                <w:szCs w:val="24"/>
                <w:highlight w:val="none"/>
                <w:u w:val="none"/>
                <w:lang w:eastAsia="zh-CN"/>
              </w:rPr>
              <w:t>分析</w:t>
            </w:r>
            <w:r>
              <w:rPr>
                <w:rFonts w:hint="eastAsia" w:ascii="仿宋" w:hAnsi="仿宋" w:eastAsia="仿宋" w:cs="仿宋"/>
                <w:b w:val="0"/>
                <w:bCs w:val="0"/>
                <w:color w:val="auto"/>
                <w:spacing w:val="-6"/>
                <w:w w:val="90"/>
                <w:kern w:val="0"/>
                <w:sz w:val="24"/>
                <w:szCs w:val="24"/>
                <w:highlight w:val="none"/>
                <w:u w:val="none"/>
                <w:lang w:val="en-US" w:eastAsia="zh-CN"/>
              </w:rPr>
              <w:t>、专业有效的</w:t>
            </w:r>
            <w:r>
              <w:rPr>
                <w:rFonts w:hint="default" w:ascii="仿宋" w:hAnsi="仿宋" w:eastAsia="仿宋" w:cs="仿宋"/>
                <w:b w:val="0"/>
                <w:bCs w:val="0"/>
                <w:color w:val="auto"/>
                <w:spacing w:val="-6"/>
                <w:w w:val="90"/>
                <w:kern w:val="0"/>
                <w:sz w:val="24"/>
                <w:szCs w:val="24"/>
                <w:highlight w:val="none"/>
                <w:u w:val="none"/>
                <w:lang w:eastAsia="zh-CN"/>
              </w:rPr>
              <w:t>技术路线</w:t>
            </w:r>
            <w:r>
              <w:rPr>
                <w:rFonts w:hint="eastAsia" w:ascii="仿宋" w:hAnsi="仿宋" w:eastAsia="仿宋" w:cs="仿宋"/>
                <w:b w:val="0"/>
                <w:bCs w:val="0"/>
                <w:color w:val="auto"/>
                <w:spacing w:val="-6"/>
                <w:w w:val="90"/>
                <w:kern w:val="0"/>
                <w:sz w:val="24"/>
                <w:szCs w:val="24"/>
                <w:highlight w:val="none"/>
                <w:u w:val="none"/>
                <w:lang w:val="en-US" w:eastAsia="zh-CN"/>
              </w:rPr>
              <w:t>或解决方法，以及</w:t>
            </w:r>
            <w:r>
              <w:rPr>
                <w:rFonts w:hint="default" w:ascii="仿宋" w:hAnsi="仿宋" w:eastAsia="仿宋" w:cs="仿宋"/>
                <w:b w:val="0"/>
                <w:bCs w:val="0"/>
                <w:color w:val="auto"/>
                <w:spacing w:val="-6"/>
                <w:w w:val="90"/>
                <w:kern w:val="0"/>
                <w:sz w:val="24"/>
                <w:szCs w:val="24"/>
                <w:highlight w:val="none"/>
                <w:u w:val="none"/>
                <w:lang w:eastAsia="zh-CN"/>
              </w:rPr>
              <w:t>技术架构、</w:t>
            </w:r>
            <w:r>
              <w:rPr>
                <w:rFonts w:hint="eastAsia" w:ascii="仿宋" w:hAnsi="仿宋" w:eastAsia="仿宋" w:cs="仿宋"/>
                <w:b w:val="0"/>
                <w:bCs w:val="0"/>
                <w:color w:val="auto"/>
                <w:spacing w:val="-6"/>
                <w:w w:val="90"/>
                <w:kern w:val="0"/>
                <w:sz w:val="24"/>
                <w:szCs w:val="24"/>
                <w:highlight w:val="none"/>
                <w:u w:val="none"/>
                <w:lang w:val="en-US" w:eastAsia="zh-CN"/>
              </w:rPr>
              <w:t>功能设计，包括</w:t>
            </w:r>
            <w:r>
              <w:rPr>
                <w:rFonts w:hint="default" w:ascii="仿宋" w:hAnsi="仿宋" w:eastAsia="仿宋" w:cs="仿宋"/>
                <w:b w:val="0"/>
                <w:bCs w:val="0"/>
                <w:color w:val="auto"/>
                <w:spacing w:val="-6"/>
                <w:w w:val="90"/>
                <w:kern w:val="0"/>
                <w:sz w:val="24"/>
                <w:szCs w:val="24"/>
                <w:highlight w:val="none"/>
                <w:u w:val="none"/>
                <w:lang w:eastAsia="zh-CN"/>
              </w:rPr>
              <w:t>建设</w:t>
            </w:r>
            <w:r>
              <w:rPr>
                <w:rFonts w:hint="eastAsia" w:ascii="仿宋" w:hAnsi="仿宋" w:eastAsia="仿宋" w:cs="仿宋"/>
                <w:b w:val="0"/>
                <w:bCs w:val="0"/>
                <w:color w:val="auto"/>
                <w:spacing w:val="-6"/>
                <w:w w:val="90"/>
                <w:kern w:val="0"/>
                <w:sz w:val="24"/>
                <w:szCs w:val="24"/>
                <w:highlight w:val="none"/>
                <w:u w:val="none"/>
                <w:lang w:val="en-US" w:eastAsia="zh-CN"/>
              </w:rPr>
              <w:t>目标、任务计划等内容满足采购需求</w:t>
            </w:r>
            <w:r>
              <w:rPr>
                <w:rFonts w:hint="default" w:ascii="仿宋" w:hAnsi="仿宋" w:eastAsia="仿宋" w:cs="仿宋"/>
                <w:b w:val="0"/>
                <w:bCs w:val="0"/>
                <w:color w:val="auto"/>
                <w:spacing w:val="-6"/>
                <w:w w:val="90"/>
                <w:kern w:val="0"/>
                <w:sz w:val="24"/>
                <w:szCs w:val="24"/>
                <w:highlight w:val="none"/>
                <w:u w:val="none"/>
                <w:lang w:eastAsia="zh-CN"/>
              </w:rPr>
              <w:t>的</w:t>
            </w:r>
            <w:r>
              <w:rPr>
                <w:rFonts w:hint="eastAsia" w:ascii="仿宋" w:hAnsi="仿宋" w:eastAsia="仿宋" w:cs="仿宋"/>
                <w:b w:val="0"/>
                <w:bCs w:val="0"/>
                <w:color w:val="auto"/>
                <w:spacing w:val="-6"/>
                <w:w w:val="90"/>
                <w:kern w:val="0"/>
                <w:sz w:val="24"/>
                <w:szCs w:val="24"/>
                <w:highlight w:val="none"/>
                <w:u w:val="none"/>
                <w:lang w:val="en-US" w:eastAsia="zh-CN"/>
              </w:rPr>
              <w:t>情况进行打分（分值5/4/3/2/1/0）。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2.2</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left="0" w:leftChars="0" w:right="0" w:rightChars="0" w:firstLine="0" w:firstLineChars="0"/>
              <w:textAlignment w:val="auto"/>
              <w:rPr>
                <w:rFonts w:hint="eastAsia" w:ascii="仿宋" w:hAnsi="仿宋" w:eastAsia="仿宋" w:cs="仿宋"/>
                <w:b w:val="0"/>
                <w:bCs w:val="0"/>
                <w:color w:val="auto"/>
                <w:spacing w:val="-6"/>
                <w:w w:val="90"/>
                <w:kern w:val="0"/>
                <w:sz w:val="24"/>
                <w:szCs w:val="24"/>
                <w:highlight w:val="none"/>
                <w:u w:val="none"/>
                <w:lang w:val="en-US" w:eastAsia="zh-CN" w:bidi="ar-SA"/>
              </w:rPr>
            </w:pPr>
            <w:r>
              <w:rPr>
                <w:rFonts w:hint="eastAsia" w:ascii="仿宋" w:hAnsi="仿宋" w:eastAsia="仿宋" w:cs="仿宋"/>
                <w:b w:val="0"/>
                <w:bCs w:val="0"/>
                <w:color w:val="auto"/>
                <w:spacing w:val="-6"/>
                <w:w w:val="90"/>
                <w:kern w:val="0"/>
                <w:sz w:val="24"/>
                <w:szCs w:val="24"/>
                <w:highlight w:val="none"/>
                <w:u w:val="none"/>
                <w:lang w:val="en-US" w:eastAsia="zh-CN"/>
              </w:rPr>
              <w:t>重点指标：对应采购需求中“系统功能、技术要求”标注“</w:t>
            </w: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b w:val="0"/>
                <w:bCs w:val="0"/>
                <w:color w:val="auto"/>
                <w:spacing w:val="-6"/>
                <w:w w:val="90"/>
                <w:kern w:val="0"/>
                <w:sz w:val="24"/>
                <w:szCs w:val="24"/>
                <w:highlight w:val="none"/>
                <w:u w:val="none"/>
                <w:lang w:val="en-US" w:eastAsia="zh-CN"/>
              </w:rPr>
              <w:t>”的重点指标，完全满足或优于采购要求且提供系统功能截图佐证的，得18分；未提供证明材料或</w:t>
            </w:r>
            <w:r>
              <w:rPr>
                <w:rFonts w:hint="eastAsia" w:ascii="仿宋" w:hAnsi="仿宋" w:eastAsia="仿宋" w:cs="仿宋"/>
                <w:b w:val="0"/>
                <w:bCs w:val="0"/>
                <w:color w:val="auto"/>
                <w:spacing w:val="-11"/>
                <w:w w:val="90"/>
                <w:kern w:val="0"/>
                <w:sz w:val="24"/>
                <w:szCs w:val="24"/>
                <w:highlight w:val="none"/>
                <w:lang w:val="en-US" w:eastAsia="zh-CN"/>
              </w:rPr>
              <w:t>不完全满足</w:t>
            </w:r>
            <w:r>
              <w:rPr>
                <w:rFonts w:hint="eastAsia" w:ascii="仿宋" w:hAnsi="仿宋" w:eastAsia="仿宋" w:cs="仿宋"/>
                <w:b w:val="0"/>
                <w:bCs w:val="0"/>
                <w:color w:val="auto"/>
                <w:spacing w:val="-6"/>
                <w:w w:val="90"/>
                <w:kern w:val="0"/>
                <w:sz w:val="24"/>
                <w:szCs w:val="24"/>
                <w:highlight w:val="none"/>
                <w:u w:val="none"/>
                <w:lang w:val="en-US" w:eastAsia="zh-CN"/>
              </w:rPr>
              <w:t>(负偏离)技术要求</w:t>
            </w:r>
            <w:r>
              <w:rPr>
                <w:rFonts w:hint="eastAsia" w:ascii="仿宋" w:hAnsi="仿宋" w:eastAsia="仿宋" w:cs="仿宋"/>
                <w:b w:val="0"/>
                <w:bCs w:val="0"/>
                <w:color w:val="auto"/>
                <w:spacing w:val="-11"/>
                <w:w w:val="90"/>
                <w:kern w:val="0"/>
                <w:sz w:val="24"/>
                <w:szCs w:val="24"/>
                <w:highlight w:val="none"/>
                <w:lang w:val="en-US" w:eastAsia="zh-CN"/>
              </w:rPr>
              <w:t>的，</w:t>
            </w:r>
            <w:r>
              <w:rPr>
                <w:rFonts w:hint="eastAsia" w:ascii="仿宋" w:hAnsi="仿宋" w:eastAsia="仿宋" w:cs="仿宋"/>
                <w:b w:val="0"/>
                <w:bCs w:val="0"/>
                <w:color w:val="auto"/>
                <w:spacing w:val="-6"/>
                <w:w w:val="90"/>
                <w:kern w:val="0"/>
                <w:sz w:val="24"/>
                <w:szCs w:val="24"/>
                <w:highlight w:val="none"/>
                <w:u w:val="none"/>
                <w:lang w:val="en-US" w:eastAsia="zh-CN"/>
              </w:rPr>
              <w:t>每1项扣2分，直至扣完为止。</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18</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lang w:val="en-US" w:eastAsia="zh-CN"/>
              </w:rPr>
            </w:pPr>
            <w:r>
              <w:rPr>
                <w:rFonts w:hint="eastAsia" w:ascii="仿宋" w:hAnsi="仿宋" w:eastAsia="仿宋" w:cs="仿宋"/>
                <w:b/>
                <w:bCs w:val="0"/>
                <w:snapToGrid w:val="0"/>
                <w:color w:val="auto"/>
                <w:spacing w:val="-6"/>
                <w:w w:val="90"/>
                <w:kern w:val="0"/>
                <w:szCs w:val="24"/>
                <w:highlight w:val="none"/>
                <w:lang w:val="en-US" w:eastAsia="zh-CN"/>
              </w:rPr>
              <w:t>组织实施方案：</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3.1</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11"/>
                <w:w w:val="90"/>
                <w:kern w:val="0"/>
                <w:sz w:val="24"/>
                <w:szCs w:val="24"/>
                <w:highlight w:val="none"/>
                <w:lang w:val="en-US" w:eastAsia="zh-CN"/>
              </w:rPr>
              <w:t>针对投标人的</w:t>
            </w:r>
            <w:r>
              <w:rPr>
                <w:rFonts w:hint="eastAsia" w:ascii="仿宋" w:hAnsi="仿宋" w:eastAsia="仿宋" w:cs="仿宋"/>
                <w:b w:val="0"/>
                <w:bCs w:val="0"/>
                <w:snapToGrid w:val="0"/>
                <w:color w:val="auto"/>
                <w:spacing w:val="-11"/>
                <w:w w:val="90"/>
                <w:kern w:val="0"/>
                <w:sz w:val="24"/>
                <w:szCs w:val="24"/>
                <w:highlight w:val="none"/>
                <w:lang w:val="en-US" w:eastAsia="zh-CN"/>
              </w:rPr>
              <w:t>组织架构及管理制度，包括技术部门岗位职责、软件开发项目管理、运维服务等制度规范</w:t>
            </w:r>
            <w:r>
              <w:rPr>
                <w:rFonts w:hint="eastAsia" w:ascii="仿宋" w:hAnsi="仿宋" w:eastAsia="仿宋" w:cs="仿宋"/>
                <w:bCs w:val="0"/>
                <w:snapToGrid w:val="0"/>
                <w:color w:val="auto"/>
                <w:spacing w:val="-11"/>
                <w:w w:val="90"/>
                <w:kern w:val="0"/>
                <w:sz w:val="24"/>
                <w:szCs w:val="24"/>
                <w:highlight w:val="none"/>
                <w:lang w:val="en-US" w:eastAsia="zh-CN"/>
              </w:rPr>
              <w:t>的优劣情况进行</w:t>
            </w:r>
            <w:r>
              <w:rPr>
                <w:rFonts w:hint="eastAsia" w:ascii="仿宋" w:hAnsi="仿宋" w:eastAsia="仿宋" w:cs="仿宋"/>
                <w:bCs w:val="0"/>
                <w:color w:val="auto"/>
                <w:spacing w:val="-11"/>
                <w:w w:val="90"/>
                <w:kern w:val="0"/>
                <w:sz w:val="24"/>
                <w:szCs w:val="24"/>
                <w:highlight w:val="none"/>
                <w:lang w:val="en-US" w:eastAsia="zh-CN"/>
              </w:rPr>
              <w:t>打分</w:t>
            </w:r>
            <w:r>
              <w:rPr>
                <w:rFonts w:hint="eastAsia" w:ascii="仿宋" w:hAnsi="仿宋" w:eastAsia="仿宋" w:cs="仿宋"/>
                <w:b w:val="0"/>
                <w:bCs w:val="0"/>
                <w:color w:val="auto"/>
                <w:spacing w:val="-6"/>
                <w:w w:val="90"/>
                <w:kern w:val="0"/>
                <w:sz w:val="24"/>
                <w:szCs w:val="24"/>
                <w:highlight w:val="none"/>
                <w:u w:val="none"/>
                <w:lang w:val="en-US" w:eastAsia="zh-CN"/>
              </w:rPr>
              <w:t>（分值3/2/1/0）。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3</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3.2</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针对投标响应的组织实施方案，包括软件开发、系统集成、试运行、测试、调优等各阶段工作内容的合理性、可行性和规范性进行打分（分值5/4/3/2/1/0）。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3.3</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rPr>
              <w:t>针对投标响应的进度安排，包括各项任务的开始和结束时间、责任人、里程碑</w:t>
            </w:r>
            <w:r>
              <w:rPr>
                <w:rFonts w:hint="eastAsia" w:ascii="仿宋" w:hAnsi="仿宋" w:eastAsia="仿宋" w:cs="仿宋"/>
                <w:b w:val="0"/>
                <w:bCs w:val="0"/>
                <w:color w:val="auto"/>
                <w:spacing w:val="-11"/>
                <w:w w:val="90"/>
                <w:kern w:val="0"/>
                <w:sz w:val="24"/>
                <w:szCs w:val="24"/>
                <w:highlight w:val="none"/>
                <w:lang w:val="en-US" w:eastAsia="zh-CN" w:bidi="ar-SA"/>
              </w:rPr>
              <w:t>和时间节点等有效推进项目实施计划的优劣情况</w:t>
            </w:r>
            <w:r>
              <w:rPr>
                <w:rFonts w:hint="eastAsia" w:ascii="仿宋" w:hAnsi="仿宋" w:eastAsia="仿宋" w:cs="仿宋"/>
                <w:bCs w:val="0"/>
                <w:snapToGrid w:val="0"/>
                <w:color w:val="auto"/>
                <w:spacing w:val="-11"/>
                <w:w w:val="90"/>
                <w:kern w:val="0"/>
                <w:sz w:val="24"/>
                <w:szCs w:val="24"/>
                <w:highlight w:val="none"/>
                <w:lang w:val="en-US" w:eastAsia="zh-CN"/>
              </w:rPr>
              <w:t>进行</w:t>
            </w:r>
            <w:r>
              <w:rPr>
                <w:rFonts w:hint="eastAsia" w:ascii="仿宋" w:hAnsi="仿宋" w:eastAsia="仿宋" w:cs="仿宋"/>
                <w:bCs w:val="0"/>
                <w:color w:val="auto"/>
                <w:spacing w:val="-11"/>
                <w:w w:val="90"/>
                <w:kern w:val="0"/>
                <w:sz w:val="24"/>
                <w:szCs w:val="24"/>
                <w:highlight w:val="none"/>
                <w:lang w:val="en-US" w:eastAsia="zh-CN"/>
              </w:rPr>
              <w:t>打分</w:t>
            </w:r>
            <w:r>
              <w:rPr>
                <w:rFonts w:hint="eastAsia" w:ascii="仿宋" w:hAnsi="仿宋" w:eastAsia="仿宋" w:cs="仿宋"/>
                <w:b w:val="0"/>
                <w:bCs w:val="0"/>
                <w:color w:val="auto"/>
                <w:spacing w:val="-11"/>
                <w:w w:val="90"/>
                <w:kern w:val="0"/>
                <w:sz w:val="24"/>
                <w:szCs w:val="24"/>
                <w:highlight w:val="none"/>
                <w:lang w:val="en-US" w:eastAsia="zh-CN"/>
              </w:rPr>
              <w:t>（分值5/4/3/2/1/0）。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w:t>
            </w:r>
          </w:p>
        </w:tc>
        <w:tc>
          <w:tcPr>
            <w:tcW w:w="36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bCs w:val="0"/>
                <w:snapToGrid w:val="0"/>
                <w:color w:val="auto"/>
                <w:spacing w:val="-6"/>
                <w:w w:val="90"/>
                <w:kern w:val="0"/>
                <w:szCs w:val="24"/>
                <w:highlight w:val="none"/>
                <w:lang w:val="en-US" w:eastAsia="zh-CN"/>
              </w:rPr>
            </w:pPr>
            <w:r>
              <w:rPr>
                <w:rFonts w:hint="eastAsia" w:ascii="仿宋" w:hAnsi="仿宋" w:eastAsia="仿宋" w:cs="仿宋"/>
                <w:b/>
                <w:bCs w:val="0"/>
                <w:snapToGrid w:val="0"/>
                <w:color w:val="auto"/>
                <w:spacing w:val="-6"/>
                <w:w w:val="90"/>
                <w:kern w:val="0"/>
                <w:sz w:val="24"/>
                <w:szCs w:val="24"/>
                <w:highlight w:val="none"/>
                <w:lang w:val="zh-CN" w:eastAsia="zh-CN" w:bidi="ar-SA"/>
              </w:rPr>
              <w:t>服务方案</w:t>
            </w:r>
            <w:r>
              <w:rPr>
                <w:rFonts w:hint="eastAsia" w:ascii="仿宋" w:hAnsi="仿宋" w:eastAsia="仿宋" w:cs="仿宋"/>
                <w:b/>
                <w:bCs w:val="0"/>
                <w:snapToGrid w:val="0"/>
                <w:color w:val="auto"/>
                <w:spacing w:val="-6"/>
                <w:w w:val="90"/>
                <w:kern w:val="0"/>
                <w:sz w:val="24"/>
                <w:szCs w:val="24"/>
                <w:highlight w:val="none"/>
                <w:lang w:val="en-US" w:eastAsia="zh-CN" w:bidi="ar-SA"/>
              </w:rPr>
              <w:t>及承诺:</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4.1</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zh-CN"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针对投标响应的售后服务方案，包括服务期内外技术支持和维护计划、服务措施及服务承诺等进行打分（分值</w:t>
            </w:r>
            <w:r>
              <w:rPr>
                <w:rFonts w:hint="eastAsia" w:ascii="仿宋" w:hAnsi="仿宋" w:eastAsia="仿宋" w:cs="仿宋"/>
                <w:b w:val="0"/>
                <w:bCs w:val="0"/>
                <w:color w:val="auto"/>
                <w:spacing w:val="-6"/>
                <w:w w:val="90"/>
                <w:kern w:val="0"/>
                <w:sz w:val="24"/>
                <w:szCs w:val="24"/>
                <w:highlight w:val="none"/>
                <w:u w:val="none"/>
                <w:lang w:val="en-US" w:eastAsia="zh-CN"/>
              </w:rPr>
              <w:t>5/4/3/2/1/0</w:t>
            </w:r>
            <w:r>
              <w:rPr>
                <w:rFonts w:hint="eastAsia" w:ascii="仿宋" w:hAnsi="仿宋" w:eastAsia="仿宋" w:cs="仿宋"/>
                <w:b w:val="0"/>
                <w:bCs w:val="0"/>
                <w:color w:val="auto"/>
                <w:spacing w:val="-11"/>
                <w:w w:val="90"/>
                <w:kern w:val="0"/>
                <w:sz w:val="24"/>
                <w:szCs w:val="24"/>
                <w:highlight w:val="none"/>
                <w:lang w:val="en-US" w:eastAsia="zh-CN" w:bidi="ar-SA"/>
              </w:rPr>
              <w:t>）。</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4.2</w:t>
            </w:r>
          </w:p>
        </w:tc>
        <w:tc>
          <w:tcPr>
            <w:tcW w:w="3629" w:type="pct"/>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针对投标响应的培训方案，包括培训计划、课程内容、授课教师、时间、地点等情况进行打分</w:t>
            </w:r>
            <w:r>
              <w:rPr>
                <w:rFonts w:hint="eastAsia" w:ascii="仿宋" w:hAnsi="仿宋" w:eastAsia="仿宋" w:cs="仿宋"/>
                <w:b w:val="0"/>
                <w:bCs w:val="0"/>
                <w:color w:val="auto"/>
                <w:spacing w:val="-6"/>
                <w:w w:val="90"/>
                <w:kern w:val="0"/>
                <w:sz w:val="24"/>
                <w:szCs w:val="24"/>
                <w:highlight w:val="none"/>
                <w:u w:val="none"/>
                <w:lang w:val="en-US" w:eastAsia="zh-CN"/>
              </w:rPr>
              <w:t>（分值5/4/3/2/1/0）</w:t>
            </w:r>
            <w:r>
              <w:rPr>
                <w:rFonts w:hint="eastAsia" w:ascii="仿宋" w:hAnsi="仿宋" w:eastAsia="仿宋" w:cs="仿宋"/>
                <w:b w:val="0"/>
                <w:bCs w:val="0"/>
                <w:color w:val="auto"/>
                <w:spacing w:val="-11"/>
                <w:w w:val="90"/>
                <w:kern w:val="0"/>
                <w:sz w:val="24"/>
                <w:szCs w:val="24"/>
                <w:highlight w:val="none"/>
                <w:lang w:val="en-US" w:eastAsia="zh-CN" w:bidi="ar-SA"/>
              </w:rPr>
              <w:t>。</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4.3</w:t>
            </w:r>
          </w:p>
        </w:tc>
        <w:tc>
          <w:tcPr>
            <w:tcW w:w="3629"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b w:val="0"/>
                <w:bCs w:val="0"/>
                <w:color w:val="auto"/>
                <w:spacing w:val="-6"/>
                <w:w w:val="90"/>
                <w:kern w:val="0"/>
                <w:sz w:val="24"/>
                <w:szCs w:val="24"/>
                <w:highlight w:val="none"/>
                <w:lang w:val="zh-CN" w:eastAsia="zh-CN" w:bidi="ar-SA"/>
              </w:rPr>
            </w:pPr>
            <w:r>
              <w:rPr>
                <w:rFonts w:hint="eastAsia" w:ascii="仿宋" w:hAnsi="仿宋" w:eastAsia="仿宋" w:cs="仿宋"/>
                <w:b w:val="0"/>
                <w:bCs w:val="0"/>
                <w:color w:val="auto"/>
                <w:spacing w:val="-6"/>
                <w:w w:val="90"/>
                <w:kern w:val="0"/>
                <w:sz w:val="24"/>
                <w:szCs w:val="24"/>
                <w:highlight w:val="none"/>
                <w:lang w:val="en-US" w:eastAsia="zh-CN"/>
              </w:rPr>
              <w:t>根据投标人结合项目实际并针对</w:t>
            </w:r>
            <w:r>
              <w:rPr>
                <w:rFonts w:hint="eastAsia" w:ascii="仿宋" w:hAnsi="仿宋" w:eastAsia="仿宋" w:cs="仿宋"/>
                <w:b w:val="0"/>
                <w:bCs w:val="0"/>
                <w:color w:val="auto"/>
                <w:spacing w:val="-11"/>
                <w:w w:val="90"/>
                <w:kern w:val="0"/>
                <w:sz w:val="24"/>
                <w:szCs w:val="24"/>
                <w:highlight w:val="none"/>
                <w:lang w:val="en-US" w:eastAsia="zh-CN" w:bidi="ar-SA"/>
              </w:rPr>
              <w:t>各类突发事件编制的应急预案，包括风险识别、应急管理、响应时间、沟通协调、处理措施等进行</w:t>
            </w:r>
            <w:r>
              <w:rPr>
                <w:rFonts w:hint="eastAsia" w:ascii="仿宋" w:hAnsi="仿宋" w:eastAsia="仿宋" w:cs="仿宋"/>
                <w:b w:val="0"/>
                <w:bCs w:val="0"/>
                <w:color w:val="auto"/>
                <w:spacing w:val="-6"/>
                <w:w w:val="90"/>
                <w:kern w:val="0"/>
                <w:sz w:val="24"/>
                <w:szCs w:val="24"/>
                <w:highlight w:val="none"/>
                <w:lang w:val="en-US" w:eastAsia="zh-CN"/>
              </w:rPr>
              <w:t>打分</w:t>
            </w:r>
            <w:r>
              <w:rPr>
                <w:rFonts w:hint="eastAsia" w:ascii="仿宋" w:hAnsi="仿宋" w:eastAsia="仿宋" w:cs="仿宋"/>
                <w:b w:val="0"/>
                <w:bCs w:val="0"/>
                <w:color w:val="auto"/>
                <w:spacing w:val="-6"/>
                <w:w w:val="90"/>
                <w:kern w:val="0"/>
                <w:sz w:val="24"/>
                <w:szCs w:val="24"/>
                <w:highlight w:val="none"/>
                <w:u w:val="none"/>
                <w:lang w:val="en-US" w:eastAsia="zh-CN"/>
              </w:rPr>
              <w:t>（分值5/4/3/2/1/0）</w:t>
            </w:r>
            <w:r>
              <w:rPr>
                <w:rFonts w:hint="eastAsia" w:ascii="仿宋" w:hAnsi="仿宋" w:eastAsia="仿宋" w:cs="仿宋"/>
                <w:b w:val="0"/>
                <w:bCs w:val="0"/>
                <w:color w:val="auto"/>
                <w:spacing w:val="-6"/>
                <w:w w:val="90"/>
                <w:kern w:val="0"/>
                <w:sz w:val="24"/>
                <w:szCs w:val="24"/>
                <w:highlight w:val="none"/>
                <w:lang w:val="en-US" w:eastAsia="zh-CN"/>
              </w:rPr>
              <w:t>。</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4.4</w:t>
            </w:r>
          </w:p>
        </w:tc>
        <w:tc>
          <w:tcPr>
            <w:tcW w:w="3629" w:type="pct"/>
            <w:shd w:val="clear" w:color="auto" w:fill="auto"/>
            <w:noWrap w:val="0"/>
            <w:vAlign w:val="center"/>
          </w:tcPr>
          <w:p>
            <w:pPr>
              <w:pStyle w:val="6"/>
              <w:adjustRightInd w:val="0"/>
              <w:snapToGrid w:val="0"/>
              <w:spacing w:before="0" w:after="0" w:line="240" w:lineRule="auto"/>
              <w:rPr>
                <w:rFonts w:hint="eastAsia" w:ascii="仿宋" w:hAnsi="仿宋" w:eastAsia="仿宋" w:cs="仿宋"/>
                <w:b w:val="0"/>
                <w:bCs w:val="0"/>
                <w:color w:val="auto"/>
                <w:spacing w:val="-11"/>
                <w:w w:val="90"/>
                <w:kern w:val="0"/>
                <w:sz w:val="24"/>
                <w:szCs w:val="24"/>
                <w:highlight w:val="none"/>
                <w:lang w:val="en-US" w:eastAsia="zh-CN" w:bidi="ar-SA"/>
              </w:rPr>
            </w:pPr>
            <w:r>
              <w:rPr>
                <w:rFonts w:hint="eastAsia" w:ascii="仿宋" w:hAnsi="仿宋" w:eastAsia="仿宋" w:cs="仿宋"/>
                <w:b w:val="0"/>
                <w:bCs w:val="0"/>
                <w:color w:val="auto"/>
                <w:spacing w:val="-11"/>
                <w:w w:val="90"/>
                <w:kern w:val="0"/>
                <w:sz w:val="24"/>
                <w:szCs w:val="24"/>
                <w:highlight w:val="none"/>
                <w:lang w:val="en-US" w:eastAsia="zh-CN" w:bidi="ar-SA"/>
              </w:rPr>
              <w:t>针对投标响应的验收方案，包括明确的验收标准和测试方法、测试流程和范围，系统功能、性能及其安全测试评价内容等进行打分（分值5/4/3/2/1/0）。</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w:t>
            </w:r>
          </w:p>
        </w:tc>
        <w:tc>
          <w:tcPr>
            <w:tcW w:w="3629" w:type="pct"/>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rightChars="0"/>
              <w:textAlignment w:val="auto"/>
              <w:rPr>
                <w:rFonts w:hint="eastAsia" w:ascii="仿宋" w:hAnsi="仿宋" w:eastAsia="仿宋" w:cs="仿宋"/>
                <w:b/>
                <w:bCs w:val="0"/>
                <w:snapToGrid w:val="0"/>
                <w:color w:val="auto"/>
                <w:spacing w:val="-6"/>
                <w:w w:val="90"/>
                <w:kern w:val="0"/>
                <w:sz w:val="24"/>
                <w:szCs w:val="24"/>
                <w:highlight w:val="none"/>
                <w:lang w:val="zh-CN" w:eastAsia="zh-CN" w:bidi="ar-SA"/>
              </w:rPr>
            </w:pPr>
            <w:r>
              <w:rPr>
                <w:rFonts w:hint="eastAsia" w:ascii="仿宋" w:hAnsi="仿宋" w:eastAsia="仿宋" w:cs="仿宋"/>
                <w:b/>
                <w:bCs w:val="0"/>
                <w:snapToGrid w:val="0"/>
                <w:color w:val="auto"/>
                <w:spacing w:val="-6"/>
                <w:w w:val="90"/>
                <w:kern w:val="0"/>
                <w:sz w:val="24"/>
                <w:szCs w:val="24"/>
                <w:highlight w:val="none"/>
                <w:lang w:val="zh-CN" w:eastAsia="zh-CN" w:bidi="ar-SA"/>
              </w:rPr>
              <w:t>项目小组：</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5.1</w:t>
            </w:r>
          </w:p>
        </w:tc>
        <w:tc>
          <w:tcPr>
            <w:tcW w:w="36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en-US" w:eastAsia="zh-CN" w:bidi="ar-SA"/>
              </w:rPr>
            </w:pPr>
            <w:r>
              <w:rPr>
                <w:rFonts w:hint="eastAsia" w:ascii="仿宋" w:hAnsi="仿宋" w:eastAsia="仿宋" w:cs="仿宋"/>
                <w:b w:val="0"/>
                <w:bCs w:val="0"/>
                <w:color w:val="auto"/>
                <w:spacing w:val="-6"/>
                <w:w w:val="90"/>
                <w:kern w:val="0"/>
                <w:sz w:val="24"/>
                <w:szCs w:val="24"/>
                <w:highlight w:val="none"/>
                <w:u w:val="none"/>
                <w:lang w:val="en-US" w:eastAsia="zh-CN"/>
              </w:rPr>
              <w:t>项目经理（1名）：同时</w:t>
            </w:r>
            <w:r>
              <w:rPr>
                <w:rFonts w:hint="default" w:ascii="仿宋" w:hAnsi="仿宋" w:eastAsia="仿宋" w:cs="仿宋"/>
                <w:b w:val="0"/>
                <w:bCs w:val="0"/>
                <w:color w:val="auto"/>
                <w:spacing w:val="-6"/>
                <w:w w:val="90"/>
                <w:kern w:val="0"/>
                <w:sz w:val="24"/>
                <w:szCs w:val="24"/>
                <w:highlight w:val="none"/>
                <w:u w:val="none"/>
                <w:lang w:val="en-US" w:eastAsia="zh-CN" w:bidi="ar-SA"/>
              </w:rPr>
              <w:t>具备</w:t>
            </w:r>
            <w:r>
              <w:rPr>
                <w:rFonts w:hint="eastAsia" w:ascii="仿宋" w:hAnsi="仿宋" w:eastAsia="仿宋" w:cs="仿宋"/>
                <w:b w:val="0"/>
                <w:bCs w:val="0"/>
                <w:color w:val="auto"/>
                <w:spacing w:val="-6"/>
                <w:w w:val="90"/>
                <w:kern w:val="0"/>
                <w:sz w:val="24"/>
                <w:szCs w:val="24"/>
                <w:highlight w:val="none"/>
                <w:u w:val="none"/>
                <w:lang w:val="en-US" w:eastAsia="zh-CN" w:bidi="ar-SA"/>
              </w:rPr>
              <w:t>本科</w:t>
            </w:r>
            <w:r>
              <w:rPr>
                <w:rFonts w:hint="default" w:ascii="仿宋" w:hAnsi="仿宋" w:eastAsia="仿宋" w:cs="仿宋"/>
                <w:b w:val="0"/>
                <w:bCs w:val="0"/>
                <w:color w:val="auto"/>
                <w:spacing w:val="-6"/>
                <w:w w:val="90"/>
                <w:kern w:val="0"/>
                <w:sz w:val="24"/>
                <w:szCs w:val="24"/>
                <w:highlight w:val="none"/>
                <w:u w:val="none"/>
                <w:lang w:val="en-US" w:eastAsia="zh-CN" w:bidi="ar-SA"/>
              </w:rPr>
              <w:t>及以上学历</w:t>
            </w:r>
            <w:r>
              <w:rPr>
                <w:rFonts w:hint="eastAsia" w:ascii="仿宋" w:hAnsi="仿宋" w:eastAsia="仿宋" w:cs="仿宋"/>
                <w:b w:val="0"/>
                <w:bCs w:val="0"/>
                <w:color w:val="auto"/>
                <w:spacing w:val="-6"/>
                <w:w w:val="90"/>
                <w:kern w:val="0"/>
                <w:sz w:val="24"/>
                <w:szCs w:val="24"/>
                <w:highlight w:val="none"/>
                <w:u w:val="none"/>
                <w:lang w:val="en-US" w:eastAsia="zh-CN" w:bidi="ar-SA"/>
              </w:rPr>
              <w:t>、</w:t>
            </w:r>
            <w:r>
              <w:rPr>
                <w:rFonts w:hint="default" w:ascii="仿宋" w:hAnsi="仿宋" w:eastAsia="仿宋" w:cs="仿宋"/>
                <w:b w:val="0"/>
                <w:bCs w:val="0"/>
                <w:color w:val="auto"/>
                <w:spacing w:val="-6"/>
                <w:w w:val="90"/>
                <w:kern w:val="0"/>
                <w:sz w:val="24"/>
                <w:szCs w:val="24"/>
                <w:highlight w:val="none"/>
                <w:u w:val="none"/>
                <w:lang w:val="en-US" w:eastAsia="zh-CN" w:bidi="ar-SA"/>
              </w:rPr>
              <w:t>通过CHIETA医疗卫生信息互联互通标准（HL7）认证</w:t>
            </w:r>
            <w:r>
              <w:rPr>
                <w:rFonts w:hint="eastAsia" w:ascii="仿宋" w:hAnsi="仿宋" w:eastAsia="仿宋" w:cs="仿宋"/>
                <w:b w:val="0"/>
                <w:bCs w:val="0"/>
                <w:color w:val="auto"/>
                <w:spacing w:val="-6"/>
                <w:w w:val="90"/>
                <w:kern w:val="0"/>
                <w:sz w:val="24"/>
                <w:szCs w:val="24"/>
                <w:highlight w:val="none"/>
                <w:u w:val="none"/>
                <w:lang w:val="en-US" w:eastAsia="zh-CN" w:bidi="ar-SA"/>
              </w:rPr>
              <w:t>、项目管理专业人员能力（高级）证书的，得4分。</w:t>
            </w:r>
          </w:p>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bidi="ar-SA"/>
              </w:rPr>
              <w:t>需提供其所在投标单位近</w:t>
            </w:r>
            <w:r>
              <w:rPr>
                <w:rFonts w:hint="default" w:ascii="仿宋" w:hAnsi="仿宋" w:eastAsia="仿宋" w:cs="仿宋"/>
                <w:b w:val="0"/>
                <w:bCs w:val="0"/>
                <w:color w:val="auto"/>
                <w:spacing w:val="-6"/>
                <w:w w:val="90"/>
                <w:kern w:val="0"/>
                <w:sz w:val="24"/>
                <w:szCs w:val="24"/>
                <w:highlight w:val="none"/>
                <w:u w:val="none"/>
                <w:lang w:val="en-US" w:eastAsia="zh-CN" w:bidi="ar-SA"/>
              </w:rPr>
              <w:t>六</w:t>
            </w:r>
            <w:r>
              <w:rPr>
                <w:rFonts w:hint="eastAsia" w:ascii="仿宋" w:hAnsi="仿宋" w:eastAsia="仿宋" w:cs="仿宋"/>
                <w:b w:val="0"/>
                <w:bCs w:val="0"/>
                <w:color w:val="auto"/>
                <w:spacing w:val="-6"/>
                <w:w w:val="90"/>
                <w:kern w:val="0"/>
                <w:sz w:val="24"/>
                <w:szCs w:val="24"/>
                <w:highlight w:val="none"/>
                <w:u w:val="none"/>
                <w:lang w:val="en-US" w:eastAsia="zh-CN" w:bidi="ar-SA"/>
              </w:rPr>
              <w:t>个月</w:t>
            </w:r>
            <w:r>
              <w:rPr>
                <w:rFonts w:hint="default" w:ascii="仿宋" w:hAnsi="仿宋" w:eastAsia="仿宋" w:cs="仿宋"/>
                <w:b w:val="0"/>
                <w:bCs w:val="0"/>
                <w:color w:val="auto"/>
                <w:spacing w:val="-6"/>
                <w:w w:val="90"/>
                <w:kern w:val="0"/>
                <w:sz w:val="24"/>
                <w:szCs w:val="24"/>
                <w:highlight w:val="none"/>
                <w:u w:val="none"/>
                <w:lang w:val="en-US" w:eastAsia="zh-CN" w:bidi="ar-SA"/>
              </w:rPr>
              <w:t>内任意一个月</w:t>
            </w:r>
            <w:r>
              <w:rPr>
                <w:rFonts w:hint="eastAsia" w:ascii="仿宋" w:hAnsi="仿宋" w:eastAsia="仿宋" w:cs="仿宋"/>
                <w:b w:val="0"/>
                <w:bCs w:val="0"/>
                <w:color w:val="auto"/>
                <w:spacing w:val="-6"/>
                <w:w w:val="90"/>
                <w:kern w:val="0"/>
                <w:sz w:val="24"/>
                <w:szCs w:val="24"/>
                <w:highlight w:val="none"/>
                <w:u w:val="none"/>
                <w:lang w:val="en-US" w:eastAsia="zh-CN" w:bidi="ar-SA"/>
              </w:rPr>
              <w:t>的缴纳社保证明及证明文件，否则不得分。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4</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5.2</w:t>
            </w:r>
          </w:p>
        </w:tc>
        <w:tc>
          <w:tcPr>
            <w:tcW w:w="36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zh-CN" w:eastAsia="zh-CN" w:bidi="ar-SA"/>
              </w:rPr>
            </w:pPr>
            <w:r>
              <w:rPr>
                <w:rFonts w:hint="eastAsia" w:ascii="仿宋" w:hAnsi="仿宋" w:eastAsia="仿宋" w:cs="仿宋"/>
                <w:b w:val="0"/>
                <w:bCs w:val="0"/>
                <w:color w:val="auto"/>
                <w:spacing w:val="-6"/>
                <w:w w:val="90"/>
                <w:kern w:val="0"/>
                <w:sz w:val="24"/>
                <w:szCs w:val="24"/>
                <w:highlight w:val="none"/>
                <w:u w:val="none"/>
                <w:lang w:val="en-US" w:eastAsia="zh-CN"/>
              </w:rPr>
              <w:t>技术负责人（1名）：</w:t>
            </w:r>
            <w:r>
              <w:rPr>
                <w:rFonts w:hint="default" w:ascii="仿宋" w:hAnsi="仿宋" w:eastAsia="仿宋" w:cs="仿宋"/>
                <w:b w:val="0"/>
                <w:bCs w:val="0"/>
                <w:color w:val="auto"/>
                <w:spacing w:val="-6"/>
                <w:w w:val="90"/>
                <w:kern w:val="0"/>
                <w:sz w:val="24"/>
                <w:szCs w:val="24"/>
                <w:highlight w:val="none"/>
                <w:u w:val="none"/>
                <w:lang w:val="en-US" w:eastAsia="zh-CN" w:bidi="ar-SA"/>
              </w:rPr>
              <w:t>具备研究生及以上学历</w:t>
            </w:r>
            <w:r>
              <w:rPr>
                <w:rFonts w:hint="eastAsia" w:ascii="仿宋" w:hAnsi="仿宋" w:eastAsia="仿宋" w:cs="仿宋"/>
                <w:b w:val="0"/>
                <w:bCs w:val="0"/>
                <w:color w:val="auto"/>
                <w:spacing w:val="-6"/>
                <w:w w:val="90"/>
                <w:kern w:val="0"/>
                <w:sz w:val="24"/>
                <w:szCs w:val="24"/>
                <w:highlight w:val="none"/>
                <w:u w:val="none"/>
                <w:lang w:val="en-US" w:eastAsia="zh-CN" w:bidi="ar-SA"/>
              </w:rPr>
              <w:t>，</w:t>
            </w:r>
            <w:r>
              <w:rPr>
                <w:rFonts w:hint="default" w:ascii="仿宋" w:hAnsi="仿宋" w:eastAsia="仿宋" w:cs="仿宋"/>
                <w:b w:val="0"/>
                <w:bCs w:val="0"/>
                <w:color w:val="auto"/>
                <w:spacing w:val="-6"/>
                <w:w w:val="90"/>
                <w:kern w:val="0"/>
                <w:sz w:val="24"/>
                <w:szCs w:val="24"/>
                <w:highlight w:val="none"/>
                <w:u w:val="none"/>
                <w:lang w:val="en-US" w:eastAsia="zh-CN" w:bidi="ar-SA"/>
              </w:rPr>
              <w:t>同时拥有系统架构设计师、数据安全管理审计高级证书</w:t>
            </w:r>
            <w:r>
              <w:rPr>
                <w:rFonts w:hint="eastAsia" w:ascii="仿宋" w:hAnsi="仿宋" w:eastAsia="仿宋" w:cs="仿宋"/>
                <w:b w:val="0"/>
                <w:bCs w:val="0"/>
                <w:color w:val="auto"/>
                <w:spacing w:val="-6"/>
                <w:w w:val="90"/>
                <w:kern w:val="0"/>
                <w:sz w:val="24"/>
                <w:szCs w:val="24"/>
                <w:highlight w:val="none"/>
                <w:u w:val="none"/>
                <w:lang w:val="en-US" w:eastAsia="zh-CN" w:bidi="ar-SA"/>
              </w:rPr>
              <w:t>的，得4分。需提供其所在投标单位近</w:t>
            </w:r>
            <w:r>
              <w:rPr>
                <w:rFonts w:hint="default" w:ascii="仿宋" w:hAnsi="仿宋" w:eastAsia="仿宋" w:cs="仿宋"/>
                <w:b w:val="0"/>
                <w:bCs w:val="0"/>
                <w:color w:val="auto"/>
                <w:spacing w:val="-6"/>
                <w:w w:val="90"/>
                <w:kern w:val="0"/>
                <w:sz w:val="24"/>
                <w:szCs w:val="24"/>
                <w:highlight w:val="none"/>
                <w:u w:val="none"/>
                <w:lang w:val="en-US" w:eastAsia="zh-CN" w:bidi="ar-SA"/>
              </w:rPr>
              <w:t>六</w:t>
            </w:r>
            <w:r>
              <w:rPr>
                <w:rFonts w:hint="eastAsia" w:ascii="仿宋" w:hAnsi="仿宋" w:eastAsia="仿宋" w:cs="仿宋"/>
                <w:b w:val="0"/>
                <w:bCs w:val="0"/>
                <w:color w:val="auto"/>
                <w:spacing w:val="-6"/>
                <w:w w:val="90"/>
                <w:kern w:val="0"/>
                <w:sz w:val="24"/>
                <w:szCs w:val="24"/>
                <w:highlight w:val="none"/>
                <w:u w:val="none"/>
                <w:lang w:val="en-US" w:eastAsia="zh-CN" w:bidi="ar-SA"/>
              </w:rPr>
              <w:t>个月</w:t>
            </w:r>
            <w:r>
              <w:rPr>
                <w:rFonts w:hint="default" w:ascii="仿宋" w:hAnsi="仿宋" w:eastAsia="仿宋" w:cs="仿宋"/>
                <w:b w:val="0"/>
                <w:bCs w:val="0"/>
                <w:color w:val="auto"/>
                <w:spacing w:val="-6"/>
                <w:w w:val="90"/>
                <w:kern w:val="0"/>
                <w:sz w:val="24"/>
                <w:szCs w:val="24"/>
                <w:highlight w:val="none"/>
                <w:u w:val="none"/>
                <w:lang w:val="en-US" w:eastAsia="zh-CN" w:bidi="ar-SA"/>
              </w:rPr>
              <w:t>内任意一个月</w:t>
            </w:r>
            <w:r>
              <w:rPr>
                <w:rFonts w:hint="eastAsia" w:ascii="仿宋" w:hAnsi="仿宋" w:eastAsia="仿宋" w:cs="仿宋"/>
                <w:b w:val="0"/>
                <w:bCs w:val="0"/>
                <w:color w:val="auto"/>
                <w:spacing w:val="-6"/>
                <w:w w:val="90"/>
                <w:kern w:val="0"/>
                <w:sz w:val="24"/>
                <w:szCs w:val="24"/>
                <w:highlight w:val="none"/>
                <w:u w:val="none"/>
                <w:lang w:val="en-US" w:eastAsia="zh-CN" w:bidi="ar-SA"/>
              </w:rPr>
              <w:t>的缴纳社保证明及证明文件，否则不得分。</w:t>
            </w:r>
          </w:p>
        </w:tc>
        <w:tc>
          <w:tcPr>
            <w:tcW w:w="3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4</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6</w:t>
            </w:r>
          </w:p>
        </w:tc>
        <w:tc>
          <w:tcPr>
            <w:tcW w:w="3629" w:type="pct"/>
            <w:noWrap w:val="0"/>
            <w:vAlign w:val="center"/>
          </w:tcPr>
          <w:p>
            <w:pPr>
              <w:keepNext w:val="0"/>
              <w:keepLines w:val="0"/>
              <w:suppressLineNumbers w:val="0"/>
              <w:snapToGrid w:val="0"/>
              <w:spacing w:before="0" w:beforeAutospacing="0" w:after="0" w:afterLines="0" w:afterAutospacing="0" w:line="240" w:lineRule="auto"/>
              <w:ind w:left="0" w:right="0"/>
              <w:rPr>
                <w:rFonts w:hint="eastAsia" w:ascii="仿宋" w:hAnsi="仿宋" w:eastAsia="仿宋" w:cs="仿宋"/>
                <w:b/>
                <w:bCs/>
                <w:color w:val="auto"/>
                <w:spacing w:val="-11"/>
                <w:w w:val="90"/>
                <w:kern w:val="0"/>
                <w:sz w:val="24"/>
                <w:szCs w:val="24"/>
                <w:highlight w:val="none"/>
                <w:lang w:val="en-US" w:eastAsia="zh-CN"/>
              </w:rPr>
            </w:pPr>
            <w:r>
              <w:rPr>
                <w:rFonts w:hint="eastAsia" w:ascii="仿宋" w:hAnsi="仿宋" w:eastAsia="仿宋" w:cs="仿宋"/>
                <w:b/>
                <w:bCs/>
                <w:color w:val="auto"/>
                <w:spacing w:val="-11"/>
                <w:w w:val="90"/>
                <w:kern w:val="0"/>
                <w:sz w:val="24"/>
                <w:szCs w:val="24"/>
                <w:highlight w:val="none"/>
                <w:lang w:val="en-US" w:eastAsia="zh-CN"/>
              </w:rPr>
              <w:t>方案演示：</w:t>
            </w:r>
          </w:p>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en-US" w:eastAsia="zh-CN" w:bidi="ar-SA"/>
              </w:rPr>
            </w:pPr>
            <w:r>
              <w:rPr>
                <w:rFonts w:hint="eastAsia" w:ascii="仿宋" w:hAnsi="仿宋" w:eastAsia="仿宋" w:cs="仿宋"/>
                <w:b w:val="0"/>
                <w:bCs w:val="0"/>
                <w:color w:val="auto"/>
                <w:spacing w:val="-6"/>
                <w:w w:val="90"/>
                <w:kern w:val="0"/>
                <w:sz w:val="24"/>
                <w:szCs w:val="24"/>
                <w:highlight w:val="none"/>
                <w:u w:val="none"/>
                <w:lang w:val="en-US" w:eastAsia="zh-CN" w:bidi="ar-SA"/>
              </w:rPr>
              <w:t>根据投标人提供的真实应用系统功能演示视频进行综合评议，非程序演示如PPT、文档演示等均不得分，具体包括：</w:t>
            </w:r>
          </w:p>
          <w:p>
            <w:pPr>
              <w:keepNext w:val="0"/>
              <w:keepLines w:val="0"/>
              <w:pageBreakBefore w:val="0"/>
              <w:widowControl w:val="0"/>
              <w:numPr>
                <w:ilvl w:val="0"/>
                <w:numId w:val="0"/>
              </w:numPr>
              <w:kinsoku/>
              <w:wordWrap/>
              <w:overflowPunct/>
              <w:topLinePunct w:val="0"/>
              <w:autoSpaceDE/>
              <w:autoSpaceDN/>
              <w:bidi w:val="0"/>
              <w:adjustRightInd w:val="0"/>
              <w:snapToGrid w:val="0"/>
              <w:ind w:left="306" w:hanging="306" w:hangingChars="150"/>
              <w:textAlignment w:val="auto"/>
              <w:rPr>
                <w:rFonts w:hint="default" w:ascii="仿宋" w:hAnsi="仿宋" w:eastAsia="仿宋" w:cs="仿宋"/>
                <w:b w:val="0"/>
                <w:bCs w:val="0"/>
                <w:color w:val="auto"/>
                <w:spacing w:val="-6"/>
                <w:w w:val="90"/>
                <w:kern w:val="0"/>
                <w:sz w:val="24"/>
                <w:szCs w:val="24"/>
                <w:highlight w:val="none"/>
                <w:u w:val="none"/>
                <w:lang w:val="en-US" w:eastAsia="zh-CN" w:bidi="ar-SA"/>
              </w:rPr>
            </w:pPr>
            <w:r>
              <w:rPr>
                <w:rFonts w:hint="eastAsia" w:ascii="仿宋" w:hAnsi="仿宋" w:eastAsia="仿宋" w:cs="仿宋"/>
                <w:b w:val="0"/>
                <w:bCs w:val="0"/>
                <w:color w:val="auto"/>
                <w:spacing w:val="-6"/>
                <w:w w:val="90"/>
                <w:kern w:val="0"/>
                <w:sz w:val="24"/>
                <w:szCs w:val="24"/>
                <w:highlight w:val="none"/>
                <w:u w:val="none"/>
                <w:lang w:val="en-US" w:eastAsia="zh-CN" w:bidi="ar-SA"/>
              </w:rPr>
              <w:t>(1)针对“功能模块、系统性能、应用管理”的整体设计，包括系统的完整性、易用性、稳定性等方面进行打分（分值5/4/</w:t>
            </w:r>
            <w:r>
              <w:rPr>
                <w:rFonts w:hint="eastAsia" w:ascii="仿宋" w:hAnsi="仿宋" w:eastAsia="仿宋" w:cs="仿宋"/>
                <w:b w:val="0"/>
                <w:bCs w:val="0"/>
                <w:color w:val="auto"/>
                <w:spacing w:val="-6"/>
                <w:w w:val="90"/>
                <w:kern w:val="0"/>
                <w:sz w:val="24"/>
                <w:szCs w:val="24"/>
                <w:highlight w:val="none"/>
                <w:u w:val="none"/>
                <w:lang w:val="en-US" w:eastAsia="zh-CN"/>
              </w:rPr>
              <w:t>3/2/1/0</w:t>
            </w:r>
            <w:r>
              <w:rPr>
                <w:rFonts w:hint="eastAsia" w:ascii="仿宋" w:hAnsi="仿宋" w:eastAsia="仿宋" w:cs="仿宋"/>
                <w:b w:val="0"/>
                <w:bCs w:val="0"/>
                <w:color w:val="auto"/>
                <w:spacing w:val="-6"/>
                <w:w w:val="90"/>
                <w:kern w:val="0"/>
                <w:sz w:val="24"/>
                <w:szCs w:val="24"/>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ind w:left="306" w:hanging="306" w:hangingChars="150"/>
              <w:textAlignment w:val="auto"/>
              <w:rPr>
                <w:rFonts w:hint="eastAsia" w:ascii="仿宋" w:hAnsi="仿宋" w:eastAsia="仿宋" w:cs="仿宋"/>
                <w:color w:val="auto"/>
                <w:spacing w:val="-11"/>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u w:val="none"/>
                <w:lang w:val="en-US" w:eastAsia="zh-CN" w:bidi="ar-SA"/>
              </w:rPr>
              <w:t>(2)对应标注“☆”的重要功能要求，针对视频演示相关功能所展现的合理性、可行性、准确性等方面进行打分（分值5/4/</w:t>
            </w:r>
            <w:r>
              <w:rPr>
                <w:rFonts w:hint="eastAsia" w:ascii="仿宋" w:hAnsi="仿宋" w:eastAsia="仿宋" w:cs="仿宋"/>
                <w:b w:val="0"/>
                <w:bCs w:val="0"/>
                <w:color w:val="auto"/>
                <w:spacing w:val="-6"/>
                <w:w w:val="90"/>
                <w:kern w:val="0"/>
                <w:sz w:val="24"/>
                <w:szCs w:val="24"/>
                <w:highlight w:val="none"/>
                <w:u w:val="none"/>
                <w:lang w:val="en-US" w:eastAsia="zh-CN"/>
              </w:rPr>
              <w:t>3/2/1/0</w:t>
            </w:r>
            <w:r>
              <w:rPr>
                <w:rFonts w:hint="eastAsia" w:ascii="仿宋" w:hAnsi="仿宋" w:eastAsia="仿宋" w:cs="仿宋"/>
                <w:b w:val="0"/>
                <w:bCs w:val="0"/>
                <w:color w:val="auto"/>
                <w:spacing w:val="-6"/>
                <w:w w:val="90"/>
                <w:kern w:val="0"/>
                <w:sz w:val="24"/>
                <w:szCs w:val="24"/>
                <w:highlight w:val="none"/>
                <w:u w:val="none"/>
                <w:lang w:val="en-US" w:eastAsia="zh-CN" w:bidi="ar-SA"/>
              </w:rPr>
              <w:t>）。</w:t>
            </w:r>
          </w:p>
        </w:tc>
        <w:tc>
          <w:tcPr>
            <w:tcW w:w="310" w:type="pct"/>
            <w:noWrap w:val="0"/>
            <w:vAlign w:val="center"/>
          </w:tcPr>
          <w:p>
            <w:pPr>
              <w:keepNext w:val="0"/>
              <w:keepLines w:val="0"/>
              <w:suppressLineNumbers w:val="0"/>
              <w:snapToGrid w:val="0"/>
              <w:spacing w:before="0" w:beforeAutospacing="0" w:after="0" w:afterLines="0" w:afterAutospacing="0" w:line="240" w:lineRule="auto"/>
              <w:ind w:left="0" w:leftChars="0" w:right="0" w:rightChars="0"/>
              <w:jc w:val="center"/>
              <w:rPr>
                <w:rFonts w:hint="default" w:ascii="仿宋" w:hAnsi="仿宋" w:eastAsia="仿宋" w:cs="仿宋"/>
                <w:b/>
                <w:snapToGrid w:val="0"/>
                <w:color w:val="auto"/>
                <w:spacing w:val="-11"/>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11"/>
                <w:w w:val="90"/>
                <w:kern w:val="0"/>
                <w:sz w:val="24"/>
                <w:szCs w:val="24"/>
                <w:highlight w:val="none"/>
                <w:shd w:val="clear" w:color="auto" w:fill="FFFFFF"/>
                <w:lang w:val="en-US" w:eastAsia="zh-CN"/>
              </w:rPr>
              <w:t>10</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pPr>
              <w:snapToGrid w:val="0"/>
              <w:jc w:val="center"/>
              <w:rPr>
                <w:rFonts w:hint="default"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7</w:t>
            </w:r>
          </w:p>
        </w:tc>
        <w:tc>
          <w:tcPr>
            <w:tcW w:w="3629" w:type="pct"/>
            <w:noWrap w:val="0"/>
            <w:vAlign w:val="top"/>
          </w:tcPr>
          <w:p>
            <w:pPr>
              <w:snapToGrid w:val="0"/>
              <w:jc w:val="left"/>
              <w:outlineLvl w:val="0"/>
              <w:rPr>
                <w:rFonts w:hint="eastAsia" w:ascii="仿宋" w:hAnsi="仿宋" w:eastAsia="仿宋" w:cs="仿宋"/>
                <w:b/>
                <w:snapToGrid w:val="0"/>
                <w:color w:val="auto"/>
                <w:spacing w:val="-6"/>
                <w:w w:val="90"/>
                <w:kern w:val="0"/>
                <w:sz w:val="24"/>
                <w:highlight w:val="none"/>
              </w:rPr>
            </w:pPr>
            <w:r>
              <w:rPr>
                <w:rFonts w:hint="eastAsia" w:ascii="仿宋" w:hAnsi="仿宋" w:eastAsia="仿宋" w:cs="仿宋"/>
                <w:b/>
                <w:snapToGrid w:val="0"/>
                <w:color w:val="auto"/>
                <w:spacing w:val="-6"/>
                <w:w w:val="90"/>
                <w:kern w:val="0"/>
                <w:sz w:val="24"/>
                <w:highlight w:val="none"/>
              </w:rPr>
              <w:t>价格分：</w:t>
            </w:r>
          </w:p>
          <w:p>
            <w:pPr>
              <w:keepNext w:val="0"/>
              <w:keepLines w:val="0"/>
              <w:pageBreakBefore w:val="0"/>
              <w:kinsoku/>
              <w:wordWrap/>
              <w:overflowPunct/>
              <w:topLinePunct w:val="0"/>
              <w:autoSpaceDE/>
              <w:autoSpaceDN/>
              <w:bidi w:val="0"/>
              <w:adjustRightInd/>
              <w:snapToGrid w:val="0"/>
              <w:ind w:left="294" w:hanging="306" w:hangingChars="150"/>
              <w:jc w:val="left"/>
              <w:textAlignment w:val="auto"/>
              <w:outlineLvl w:val="0"/>
              <w:rPr>
                <w:rFonts w:hint="eastAsia" w:ascii="仿宋" w:hAnsi="仿宋" w:eastAsia="仿宋" w:cs="仿宋"/>
                <w:snapToGrid w:val="0"/>
                <w:color w:val="auto"/>
                <w:spacing w:val="-6"/>
                <w:w w:val="90"/>
                <w:kern w:val="0"/>
                <w:sz w:val="24"/>
                <w:highlight w:val="none"/>
              </w:rPr>
            </w:pPr>
            <w:r>
              <w:rPr>
                <w:rFonts w:hint="eastAsia" w:ascii="仿宋" w:hAnsi="仿宋" w:eastAsia="仿宋" w:cs="仿宋"/>
                <w:snapToGrid w:val="0"/>
                <w:color w:val="auto"/>
                <w:spacing w:val="-6"/>
                <w:w w:val="90"/>
                <w:kern w:val="0"/>
                <w:sz w:val="24"/>
                <w:highlight w:val="none"/>
                <w:lang w:val="en-US" w:eastAsia="zh-CN"/>
              </w:rPr>
              <w:t>(1)</w:t>
            </w:r>
            <w:r>
              <w:rPr>
                <w:rFonts w:hint="eastAsia" w:ascii="仿宋" w:hAnsi="仿宋" w:eastAsia="仿宋" w:cs="仿宋"/>
                <w:snapToGrid w:val="0"/>
                <w:color w:val="auto"/>
                <w:spacing w:val="-6"/>
                <w:w w:val="90"/>
                <w:kern w:val="0"/>
                <w:sz w:val="24"/>
                <w:highlight w:val="none"/>
              </w:rPr>
              <w:t>有效</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报价的最低价作为评审基准价，其最低报价为满分；</w:t>
            </w:r>
            <w:r>
              <w:rPr>
                <w:rFonts w:hint="eastAsia" w:ascii="仿宋" w:hAnsi="仿宋" w:eastAsia="仿宋" w:cs="仿宋"/>
                <w:snapToGrid w:val="0"/>
                <w:color w:val="auto"/>
                <w:spacing w:val="-6"/>
                <w:w w:val="90"/>
                <w:kern w:val="0"/>
                <w:sz w:val="24"/>
                <w:highlight w:val="none"/>
                <w:lang w:val="en-US" w:eastAsia="zh-CN"/>
              </w:rPr>
              <w:t>其他报价得分计算公式为：</w:t>
            </w:r>
            <w:r>
              <w:rPr>
                <w:rFonts w:hint="eastAsia" w:ascii="仿宋" w:hAnsi="仿宋" w:eastAsia="仿宋" w:cs="仿宋"/>
                <w:snapToGrid w:val="0"/>
                <w:color w:val="auto"/>
                <w:spacing w:val="-6"/>
                <w:w w:val="90"/>
                <w:kern w:val="0"/>
                <w:sz w:val="24"/>
                <w:highlight w:val="none"/>
              </w:rPr>
              <w:t>［</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报价得分=（评审基准价/</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w:t>
            </w:r>
            <w:r>
              <w:rPr>
                <w:rFonts w:hint="eastAsia" w:ascii="仿宋" w:hAnsi="仿宋" w:eastAsia="仿宋" w:cs="仿宋"/>
                <w:snapToGrid w:val="0"/>
                <w:color w:val="auto"/>
                <w:spacing w:val="-6"/>
                <w:w w:val="90"/>
                <w:kern w:val="0"/>
                <w:sz w:val="24"/>
                <w:highlight w:val="none"/>
                <w:lang w:val="en-US" w:eastAsia="zh-CN"/>
              </w:rPr>
              <w:t>10</w:t>
            </w:r>
            <w:r>
              <w:rPr>
                <w:rFonts w:hint="eastAsia" w:ascii="仿宋" w:hAnsi="仿宋" w:eastAsia="仿宋" w:cs="仿宋"/>
                <w:snapToGrid w:val="0"/>
                <w:color w:val="auto"/>
                <w:spacing w:val="-6"/>
                <w:w w:val="90"/>
                <w:kern w:val="0"/>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val="0"/>
              <w:ind w:left="294" w:hanging="306" w:hangingChars="150"/>
              <w:jc w:val="left"/>
              <w:textAlignment w:val="auto"/>
              <w:rPr>
                <w:rFonts w:hint="eastAsia" w:ascii="仿宋" w:hAnsi="仿宋" w:eastAsia="仿宋" w:cs="仿宋"/>
                <w:snapToGrid w:val="0"/>
                <w:color w:val="auto"/>
                <w:spacing w:val="-6"/>
                <w:w w:val="90"/>
                <w:kern w:val="0"/>
                <w:sz w:val="24"/>
                <w:highlight w:val="none"/>
              </w:rPr>
            </w:pPr>
            <w:r>
              <w:rPr>
                <w:rFonts w:hint="eastAsia" w:ascii="仿宋" w:hAnsi="仿宋" w:eastAsia="仿宋" w:cs="仿宋"/>
                <w:snapToGrid w:val="0"/>
                <w:color w:val="auto"/>
                <w:spacing w:val="-6"/>
                <w:w w:val="90"/>
                <w:kern w:val="0"/>
                <w:sz w:val="24"/>
                <w:highlight w:val="none"/>
                <w:lang w:val="en-US" w:eastAsia="zh-CN"/>
              </w:rPr>
              <w:t>(2)</w:t>
            </w:r>
            <w:r>
              <w:rPr>
                <w:rFonts w:hint="eastAsia" w:ascii="仿宋" w:hAnsi="仿宋" w:eastAsia="仿宋" w:cs="仿宋"/>
                <w:snapToGrid w:val="0"/>
                <w:color w:val="auto"/>
                <w:spacing w:val="-6"/>
                <w:w w:val="90"/>
                <w:kern w:val="0"/>
                <w:sz w:val="24"/>
                <w:highlight w:val="none"/>
              </w:rPr>
              <w:t>评审过程中，不得去掉报价中的最高报价和最低报价。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val="0"/>
              <w:ind w:left="294" w:hanging="306" w:hangingChars="150"/>
              <w:jc w:val="left"/>
              <w:textAlignment w:val="auto"/>
              <w:rPr>
                <w:rFonts w:hint="eastAsia" w:ascii="仿宋" w:hAnsi="仿宋" w:eastAsia="仿宋" w:cs="仿宋"/>
                <w:snapToGrid w:val="0"/>
                <w:color w:val="auto"/>
                <w:spacing w:val="-6"/>
                <w:w w:val="90"/>
                <w:kern w:val="0"/>
                <w:sz w:val="24"/>
                <w:szCs w:val="24"/>
                <w:highlight w:val="none"/>
                <w:lang w:val="en-US" w:eastAsia="zh-CN" w:bidi="ar-SA"/>
              </w:rPr>
            </w:pPr>
            <w:r>
              <w:rPr>
                <w:rFonts w:hint="eastAsia" w:ascii="仿宋" w:hAnsi="仿宋" w:eastAsia="仿宋" w:cs="仿宋"/>
                <w:snapToGrid w:val="0"/>
                <w:color w:val="auto"/>
                <w:spacing w:val="-6"/>
                <w:w w:val="90"/>
                <w:kern w:val="0"/>
                <w:sz w:val="24"/>
                <w:highlight w:val="none"/>
                <w:lang w:val="en-US" w:eastAsia="zh-CN"/>
              </w:rPr>
              <w:t>(3)</w:t>
            </w:r>
            <w:r>
              <w:rPr>
                <w:rFonts w:hint="eastAsia" w:ascii="仿宋" w:hAnsi="仿宋" w:eastAsia="仿宋" w:cs="仿宋"/>
                <w:snapToGrid w:val="0"/>
                <w:color w:val="auto"/>
                <w:spacing w:val="-6"/>
                <w:w w:val="90"/>
                <w:kern w:val="0"/>
                <w:sz w:val="24"/>
                <w:highlight w:val="none"/>
              </w:rPr>
              <w:t>因落实政府采购政策需要进行价格调整的，以调整后的价格计算评审基准价和</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w:t>
            </w:r>
          </w:p>
        </w:tc>
        <w:tc>
          <w:tcPr>
            <w:tcW w:w="310" w:type="pct"/>
            <w:noWrap w:val="0"/>
            <w:vAlign w:val="center"/>
          </w:tcPr>
          <w:p>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10</w:t>
            </w:r>
          </w:p>
        </w:tc>
        <w:tc>
          <w:tcPr>
            <w:tcW w:w="787" w:type="pct"/>
            <w:noWrap w:val="0"/>
            <w:vAlign w:val="center"/>
          </w:tcPr>
          <w:p>
            <w:pPr>
              <w:pStyle w:val="4"/>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r>
              <w:rPr>
                <w:rFonts w:hint="eastAsia" w:ascii="仿宋" w:hAnsi="仿宋" w:eastAsia="仿宋" w:cs="仿宋"/>
                <w:b w:val="0"/>
                <w:snapToGrid w:val="0"/>
                <w:color w:val="auto"/>
                <w:spacing w:val="-6"/>
                <w:w w:val="90"/>
                <w:kern w:val="0"/>
                <w:sz w:val="24"/>
                <w:szCs w:val="24"/>
                <w:highlight w:val="none"/>
              </w:rPr>
              <w:t>/</w:t>
            </w:r>
          </w:p>
        </w:tc>
      </w:tr>
    </w:tbl>
    <w:p>
      <w:pPr>
        <w:adjustRightInd w:val="0"/>
        <w:rPr>
          <w:rFonts w:hint="eastAsia" w:ascii="仿宋" w:hAnsi="仿宋" w:eastAsia="仿宋" w:cs="仿宋_GB2312"/>
          <w:color w:val="auto"/>
          <w:spacing w:val="-10"/>
          <w:w w:val="90"/>
          <w:highlight w:val="none"/>
        </w:rPr>
      </w:pPr>
      <w:r>
        <w:rPr>
          <w:rFonts w:ascii="仿宋" w:hAnsi="仿宋" w:eastAsia="仿宋" w:cs="Arial"/>
          <w:color w:val="auto"/>
          <w:spacing w:val="-10"/>
          <w:w w:val="90"/>
          <w:szCs w:val="20"/>
          <w:highlight w:val="none"/>
          <w:shd w:val="clear" w:color="auto" w:fill="FFFFFF"/>
        </w:rPr>
        <w:t>*</w:t>
      </w:r>
      <w:r>
        <w:rPr>
          <w:rFonts w:hint="eastAsia" w:ascii="仿宋" w:hAnsi="仿宋" w:eastAsia="仿宋" w:cs="仿宋_GB2312"/>
          <w:b/>
          <w:bCs w:val="0"/>
          <w:color w:val="auto"/>
          <w:spacing w:val="-10"/>
          <w:w w:val="90"/>
          <w:sz w:val="24"/>
          <w:highlight w:val="none"/>
        </w:rPr>
        <w:t>备注：供应商编制商务技术文件时，建议按此表目录(序号和内容)提供评审标准相应的商务技术资料。</w:t>
      </w:r>
    </w:p>
    <w:p>
      <w:pPr>
        <w:rPr>
          <w:rFonts w:hint="eastAsia"/>
          <w:highlight w:val="none"/>
        </w:rPr>
      </w:pPr>
    </w:p>
    <w:p>
      <w:pPr>
        <w:adjustRightInd w:val="0"/>
        <w:rPr>
          <w:rFonts w:hint="eastAsia" w:ascii="仿宋" w:hAnsi="仿宋" w:eastAsia="仿宋" w:cs="仿宋_GB2312"/>
          <w:color w:val="auto"/>
          <w:spacing w:val="-10"/>
          <w:w w:val="90"/>
          <w:sz w:val="24"/>
          <w:highlight w:val="none"/>
        </w:rPr>
      </w:pPr>
    </w:p>
    <w:p>
      <w:pPr>
        <w:adjustRightInd w:val="0"/>
        <w:snapToGrid w:val="0"/>
        <w:spacing w:before="0" w:beforeLines="0" w:afterLines="0"/>
        <w:rPr>
          <w:rFonts w:hint="eastAsia" w:ascii="仿宋" w:hAnsi="仿宋" w:eastAsia="仿宋" w:cs="Arial"/>
          <w:b/>
          <w:kern w:val="0"/>
          <w:sz w:val="28"/>
          <w:szCs w:val="28"/>
        </w:rPr>
      </w:pPr>
    </w:p>
    <w:p>
      <w:pPr>
        <w:adjustRightInd w:val="0"/>
        <w:snapToGrid w:val="0"/>
        <w:spacing w:before="0" w:beforeLines="0" w:afterLines="0"/>
        <w:rPr>
          <w:rFonts w:ascii="仿宋" w:hAnsi="仿宋" w:eastAsia="仿宋" w:cs="Arial"/>
          <w:b/>
          <w:kern w:val="0"/>
          <w:sz w:val="28"/>
          <w:szCs w:val="28"/>
        </w:rPr>
      </w:pPr>
      <w:r>
        <w:rPr>
          <w:rFonts w:hint="eastAsia" w:ascii="仿宋" w:hAnsi="仿宋" w:eastAsia="仿宋" w:cs="Arial"/>
          <w:b/>
          <w:kern w:val="0"/>
          <w:sz w:val="28"/>
          <w:szCs w:val="28"/>
        </w:rPr>
        <w:t>一、评审方法</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1.综合评分法。</w:t>
      </w:r>
      <w:r>
        <w:rPr>
          <w:rFonts w:hint="eastAsia" w:ascii="仿宋" w:hAnsi="仿宋" w:eastAsia="仿宋" w:cs="Arial"/>
          <w:b w:val="0"/>
          <w:bCs/>
          <w:kern w:val="0"/>
          <w:sz w:val="24"/>
        </w:rPr>
        <w:t>综合评分法，是指响应文件满足磋商</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文件全部实质性要求，且按照评审因素的量化指标评审得分最高的供应商为成交候选人的评审方法。</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hint="eastAsia" w:ascii="仿宋" w:hAnsi="仿宋" w:eastAsia="仿宋" w:cs="Arial"/>
          <w:b/>
          <w:kern w:val="0"/>
          <w:sz w:val="28"/>
          <w:szCs w:val="28"/>
        </w:rPr>
      </w:pPr>
      <w:r>
        <w:rPr>
          <w:rFonts w:hint="eastAsia" w:ascii="仿宋" w:hAnsi="仿宋" w:eastAsia="仿宋" w:cs="Arial"/>
          <w:b/>
          <w:kern w:val="0"/>
          <w:sz w:val="28"/>
          <w:szCs w:val="28"/>
        </w:rPr>
        <w:t>二、磋商小组的组成</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1.磋商小组的组成。</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rPr>
        <w:t>磋商小组</w:t>
      </w:r>
      <w:r>
        <w:rPr>
          <w:rFonts w:hint="eastAsia" w:ascii="仿宋" w:hAnsi="仿宋" w:eastAsia="仿宋" w:cs="Arial"/>
          <w:b w:val="0"/>
          <w:bCs/>
          <w:kern w:val="0"/>
          <w:sz w:val="24"/>
          <w:lang w:eastAsia="zh-CN"/>
        </w:rPr>
        <w:t>（</w:t>
      </w:r>
      <w:r>
        <w:rPr>
          <w:rFonts w:hint="eastAsia" w:ascii="仿宋" w:hAnsi="仿宋" w:eastAsia="仿宋" w:cs="Arial"/>
          <w:b w:val="0"/>
          <w:bCs/>
          <w:kern w:val="0"/>
          <w:sz w:val="24"/>
          <w:lang w:val="en-US" w:eastAsia="zh-CN"/>
        </w:rPr>
        <w:t>同“评审小组”</w:t>
      </w:r>
      <w:r>
        <w:rPr>
          <w:rFonts w:hint="eastAsia" w:ascii="仿宋" w:hAnsi="仿宋" w:eastAsia="仿宋" w:cs="Arial"/>
          <w:b w:val="0"/>
          <w:bCs/>
          <w:kern w:val="0"/>
          <w:sz w:val="24"/>
          <w:lang w:eastAsia="zh-CN"/>
        </w:rPr>
        <w:t>）</w:t>
      </w:r>
      <w:r>
        <w:rPr>
          <w:rFonts w:hint="eastAsia" w:ascii="仿宋" w:hAnsi="仿宋" w:eastAsia="仿宋" w:cs="Arial"/>
          <w:b w:val="0"/>
          <w:bCs/>
          <w:kern w:val="0"/>
          <w:sz w:val="24"/>
        </w:rPr>
        <w:t>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人员不得参加本机构代理项目的评审。</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rPr>
        <w:t>采用竞争性磋商方式的政府采购项目，评审专家应当从政府采购评审专家库内相关专业的专家名单中随机抽取。符合《政府采购竞争性磋商采购方式管理暂行办法》的通知(财库</w:t>
      </w:r>
      <w:r>
        <w:rPr>
          <w:rFonts w:hint="eastAsia" w:ascii="仿宋" w:hAnsi="仿宋" w:eastAsia="仿宋" w:cs="Arial"/>
          <w:b w:val="0"/>
          <w:bCs/>
          <w:kern w:val="0"/>
          <w:sz w:val="24"/>
          <w:lang w:val="en-US" w:eastAsia="zh-CN"/>
        </w:rPr>
        <w:t>[</w:t>
      </w:r>
      <w:r>
        <w:rPr>
          <w:rFonts w:hint="eastAsia" w:ascii="仿宋" w:hAnsi="仿宋" w:eastAsia="仿宋" w:cs="Arial"/>
          <w:b w:val="0"/>
          <w:bCs/>
          <w:kern w:val="0"/>
          <w:sz w:val="24"/>
        </w:rPr>
        <w:t>2014</w:t>
      </w:r>
      <w:r>
        <w:rPr>
          <w:rFonts w:hint="eastAsia" w:ascii="仿宋" w:hAnsi="仿宋" w:eastAsia="仿宋" w:cs="Arial"/>
          <w:b w:val="0"/>
          <w:bCs/>
          <w:kern w:val="0"/>
          <w:sz w:val="24"/>
          <w:lang w:val="en-US" w:eastAsia="zh-CN"/>
        </w:rPr>
        <w:t>]</w:t>
      </w:r>
      <w:r>
        <w:rPr>
          <w:rFonts w:hint="eastAsia" w:ascii="仿宋" w:hAnsi="仿宋" w:eastAsia="仿宋" w:cs="Arial"/>
          <w:b w:val="0"/>
          <w:bCs/>
          <w:kern w:val="0"/>
          <w:sz w:val="24"/>
        </w:rPr>
        <w:t>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2.磋商小组成员的回避。</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rPr>
        <w:t>在政府采购活动中，磋商小组成员与供应商有下列利害关系之一的，应当回避：</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参加采购活动前3年内与供应商存在劳动关系；</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参加采购活动前3年内担任供应商的董事、监事；</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参加采购活动前3年内是供应商的控股股东或者实际控制人；</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hint="eastAsia" w:ascii="仿宋" w:hAnsi="仿宋" w:eastAsia="仿宋" w:cs="Arial"/>
          <w:b/>
          <w:kern w:val="0"/>
          <w:sz w:val="28"/>
          <w:szCs w:val="28"/>
        </w:rPr>
      </w:pPr>
      <w:r>
        <w:rPr>
          <w:rFonts w:hint="eastAsia" w:ascii="仿宋" w:hAnsi="仿宋" w:eastAsia="仿宋" w:cs="Arial"/>
          <w:b/>
          <w:kern w:val="0"/>
          <w:sz w:val="28"/>
          <w:szCs w:val="28"/>
        </w:rPr>
        <w:t>三、磋商小组的职责</w:t>
      </w:r>
    </w:p>
    <w:p>
      <w:pPr>
        <w:adjustRightInd w:val="0"/>
        <w:snapToGrid w:val="0"/>
        <w:spacing w:before="0" w:beforeLines="0" w:afterLines="0"/>
        <w:rPr>
          <w:rFonts w:ascii="仿宋" w:hAnsi="仿宋" w:eastAsia="仿宋" w:cs="Arial"/>
          <w:b/>
          <w:bCs w:val="0"/>
          <w:kern w:val="0"/>
          <w:sz w:val="24"/>
        </w:rPr>
      </w:pPr>
      <w:r>
        <w:rPr>
          <w:rFonts w:hint="eastAsia" w:ascii="仿宋" w:hAnsi="仿宋" w:eastAsia="仿宋" w:cs="Arial"/>
          <w:b/>
          <w:bCs w:val="0"/>
          <w:kern w:val="0"/>
          <w:sz w:val="24"/>
        </w:rPr>
        <w:t>1.磋商小组负责具体评审事务，并独立履行下列职责：</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对供应商的资格进行审查；对响应文件的有效性、完整性和响应程度进行审查；</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审查、评价响应文件是否符合磋商</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文件的商务、技术等实质性要求；</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要求供应商对响应文件有关事项作出澄清、说明或者更正；</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磋商小组集中与单一供应商分别进行磋商；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确定磋商</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文件的变动情况，并确定提交最后报价的供应商；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1.6</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根据磋商</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文件确定的评审办法及评审标准对提交最后报价的供应商的响应文件和最后报价采用综合评分法进行综合评分；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1.7</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编制评审报告，确定成交候选人名单，以及根据采购人委托直接确定成交人；</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1.8</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向采购人、</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或者有关部门报告评审中发现的违法行为；</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kern w:val="0"/>
          <w:sz w:val="24"/>
        </w:rPr>
      </w:pPr>
      <w:r>
        <w:rPr>
          <w:rFonts w:hint="eastAsia" w:ascii="仿宋" w:hAnsi="仿宋" w:eastAsia="仿宋" w:cs="Arial"/>
          <w:b w:val="0"/>
          <w:bCs/>
          <w:kern w:val="0"/>
          <w:sz w:val="24"/>
        </w:rPr>
        <w:t>1.9</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法律、法规、规章、</w:t>
      </w:r>
      <w:r>
        <w:rPr>
          <w:rFonts w:hint="eastAsia" w:ascii="仿宋" w:hAnsi="仿宋" w:eastAsia="仿宋" w:cs="Arial"/>
          <w:b w:val="0"/>
          <w:bCs/>
          <w:kern w:val="0"/>
          <w:sz w:val="24"/>
          <w:lang w:eastAsia="zh-CN"/>
        </w:rPr>
        <w:t>采购文件</w:t>
      </w:r>
      <w:r>
        <w:rPr>
          <w:rFonts w:hint="eastAsia" w:ascii="仿宋" w:hAnsi="仿宋" w:eastAsia="仿宋" w:cs="Arial"/>
          <w:b w:val="0"/>
          <w:bCs/>
          <w:kern w:val="0"/>
          <w:sz w:val="24"/>
        </w:rPr>
        <w:t>等规定的其它事项。</w:t>
      </w:r>
    </w:p>
    <w:p>
      <w:pPr>
        <w:adjustRightInd w:val="0"/>
        <w:snapToGrid w:val="0"/>
        <w:spacing w:before="0" w:beforeLines="0" w:afterLines="0"/>
        <w:rPr>
          <w:rFonts w:ascii="仿宋" w:hAnsi="仿宋" w:eastAsia="仿宋" w:cs="Arial"/>
          <w:b/>
          <w:bCs w:val="0"/>
          <w:kern w:val="0"/>
          <w:sz w:val="24"/>
        </w:rPr>
      </w:pPr>
      <w:r>
        <w:rPr>
          <w:rFonts w:hint="eastAsia" w:ascii="仿宋" w:hAnsi="仿宋" w:eastAsia="仿宋" w:cs="Arial"/>
          <w:b/>
          <w:bCs w:val="0"/>
          <w:kern w:val="0"/>
          <w:sz w:val="24"/>
        </w:rPr>
        <w:t>2.磋商小组及其成员不得有下列行为：</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确定参与本项目至评审结束前私自接触供应商；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 xml:space="preserve">接受供应商提出的“超出响应文件的范围或者改变响应文件的实质性内容”的澄清、说明或者更正； </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违反评审纪律发表倾向性意见或者征询采购人的倾向性意见；</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对需要专业判断的主观评审因素协商评分；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在评审过程中擅离职守，影响评审程序正常进行的；</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2.6</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记录、复制或者带走任何评审资料；</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2.7</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其他不遵守评审纪律的行为。</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val="0"/>
          <w:bCs/>
          <w:kern w:val="0"/>
          <w:sz w:val="24"/>
        </w:rPr>
      </w:pPr>
      <w:r>
        <w:rPr>
          <w:rFonts w:hint="eastAsia" w:ascii="仿宋" w:hAnsi="仿宋" w:eastAsia="仿宋" w:cs="Arial"/>
          <w:b w:val="0"/>
          <w:bCs/>
          <w:kern w:val="0"/>
          <w:sz w:val="24"/>
        </w:rPr>
        <w:t>磋商小组成员有2.1-2.5行为之一的，其评审意见无效，</w:t>
      </w:r>
      <w:r>
        <w:rPr>
          <w:rFonts w:hint="eastAsia" w:ascii="仿宋" w:hAnsi="仿宋" w:eastAsia="仿宋" w:cs="Arial"/>
          <w:b w:val="0"/>
          <w:bCs/>
          <w:kern w:val="0"/>
          <w:sz w:val="24"/>
          <w:lang w:val="en-US" w:eastAsia="zh-CN"/>
        </w:rPr>
        <w:t>并且</w:t>
      </w:r>
      <w:r>
        <w:rPr>
          <w:rFonts w:hint="eastAsia" w:ascii="仿宋" w:hAnsi="仿宋" w:eastAsia="仿宋" w:cs="Arial"/>
          <w:b w:val="0"/>
          <w:bCs/>
          <w:kern w:val="0"/>
          <w:sz w:val="24"/>
        </w:rPr>
        <w:t>不得获取评审劳务报酬和报销异地评审差旅费。</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hint="eastAsia" w:ascii="仿宋" w:hAnsi="仿宋" w:eastAsia="仿宋" w:cs="Arial"/>
          <w:b/>
          <w:kern w:val="0"/>
          <w:sz w:val="28"/>
          <w:szCs w:val="28"/>
        </w:rPr>
      </w:pPr>
      <w:r>
        <w:rPr>
          <w:rFonts w:hint="eastAsia" w:ascii="仿宋" w:hAnsi="仿宋" w:eastAsia="仿宋" w:cs="Arial"/>
          <w:b/>
          <w:kern w:val="0"/>
          <w:sz w:val="28"/>
          <w:szCs w:val="28"/>
        </w:rPr>
        <w:t>四、评审程序</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详见磋商</w:t>
      </w:r>
      <w:r>
        <w:rPr>
          <w:rFonts w:hint="eastAsia" w:ascii="仿宋" w:hAnsi="仿宋" w:eastAsia="仿宋" w:cs="Arial"/>
          <w:b/>
          <w:kern w:val="0"/>
          <w:sz w:val="24"/>
          <w:lang w:val="en-US" w:eastAsia="zh-CN"/>
        </w:rPr>
        <w:t>采购</w:t>
      </w:r>
      <w:r>
        <w:rPr>
          <w:rFonts w:hint="eastAsia" w:ascii="仿宋" w:hAnsi="仿宋" w:eastAsia="仿宋" w:cs="Arial"/>
          <w:b/>
          <w:kern w:val="0"/>
          <w:sz w:val="24"/>
        </w:rPr>
        <w:t>文件“第二部分 竞争性磋商流程”。</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hint="eastAsia" w:ascii="仿宋" w:hAnsi="仿宋" w:eastAsia="仿宋" w:cs="Arial"/>
          <w:b/>
          <w:kern w:val="0"/>
          <w:sz w:val="28"/>
          <w:szCs w:val="28"/>
        </w:rPr>
      </w:pPr>
      <w:r>
        <w:rPr>
          <w:rFonts w:hint="eastAsia" w:ascii="仿宋" w:hAnsi="仿宋" w:eastAsia="仿宋" w:cs="Arial"/>
          <w:b/>
          <w:kern w:val="0"/>
          <w:sz w:val="28"/>
          <w:szCs w:val="28"/>
        </w:rPr>
        <w:t>五、评审须知</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1. 响应文件的澄清</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w:t>
      </w:r>
      <w:r>
        <w:rPr>
          <w:rFonts w:hint="eastAsia" w:ascii="仿宋" w:hAnsi="仿宋" w:eastAsia="仿宋" w:cs="Arial"/>
          <w:b w:val="0"/>
          <w:bCs/>
          <w:kern w:val="0"/>
          <w:sz w:val="24"/>
          <w:lang w:val="en-US" w:eastAsia="zh-CN"/>
        </w:rPr>
        <w:t>或者</w:t>
      </w:r>
      <w:r>
        <w:rPr>
          <w:rFonts w:hint="eastAsia" w:ascii="仿宋" w:hAnsi="仿宋" w:eastAsia="仿宋" w:cs="Arial"/>
          <w:b w:val="0"/>
          <w:bCs/>
          <w:kern w:val="0"/>
          <w:sz w:val="24"/>
        </w:rPr>
        <w:t>补正完毕的除外。供应商的澄清、说明或者补正不得超出响应文件的范围或者改变响应文件的实质性内容。</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2.最后报价的修正原则</w:t>
      </w:r>
    </w:p>
    <w:p>
      <w:pPr>
        <w:adjustRightInd w:val="0"/>
        <w:snapToGrid w:val="0"/>
        <w:spacing w:before="0" w:beforeLines="0" w:afterLines="0"/>
        <w:ind w:firstLine="480" w:firstLineChars="200"/>
        <w:rPr>
          <w:rFonts w:ascii="仿宋" w:hAnsi="仿宋" w:eastAsia="仿宋" w:cs="Arial"/>
          <w:b w:val="0"/>
          <w:bCs/>
          <w:kern w:val="0"/>
          <w:sz w:val="24"/>
        </w:rPr>
      </w:pPr>
      <w:r>
        <w:rPr>
          <w:rFonts w:hint="eastAsia" w:ascii="仿宋" w:hAnsi="仿宋" w:eastAsia="仿宋" w:cs="Arial"/>
          <w:b w:val="0"/>
          <w:bCs/>
          <w:kern w:val="0"/>
          <w:sz w:val="24"/>
        </w:rPr>
        <w:t>审核</w:t>
      </w:r>
      <w:r>
        <w:rPr>
          <w:rFonts w:hint="eastAsia" w:ascii="仿宋" w:hAnsi="仿宋" w:eastAsia="仿宋" w:cs="Arial"/>
          <w:b w:val="0"/>
          <w:bCs/>
          <w:kern w:val="0"/>
          <w:sz w:val="24"/>
          <w:lang w:val="en-US" w:eastAsia="zh-CN"/>
        </w:rPr>
        <w:t>发现</w:t>
      </w:r>
      <w:r>
        <w:rPr>
          <w:rFonts w:hint="eastAsia" w:ascii="仿宋" w:hAnsi="仿宋" w:eastAsia="仿宋" w:cs="Arial"/>
          <w:b w:val="0"/>
          <w:bCs/>
          <w:kern w:val="0"/>
          <w:sz w:val="24"/>
        </w:rPr>
        <w:t>响应文件的最后报价</w:t>
      </w:r>
      <w:r>
        <w:rPr>
          <w:rFonts w:hint="eastAsia" w:ascii="仿宋" w:hAnsi="仿宋" w:eastAsia="仿宋" w:cs="Arial"/>
          <w:b w:val="0"/>
          <w:bCs/>
          <w:kern w:val="0"/>
          <w:sz w:val="24"/>
          <w:lang w:val="en-US" w:eastAsia="zh-CN"/>
        </w:rPr>
        <w:t>有</w:t>
      </w:r>
      <w:r>
        <w:rPr>
          <w:rFonts w:hint="eastAsia" w:ascii="仿宋" w:hAnsi="仿宋" w:eastAsia="仿宋" w:cs="Arial"/>
          <w:b w:val="0"/>
          <w:bCs/>
          <w:kern w:val="0"/>
          <w:sz w:val="24"/>
        </w:rPr>
        <w:t>计算、书写等错误的，</w:t>
      </w:r>
      <w:r>
        <w:rPr>
          <w:rFonts w:hint="eastAsia" w:ascii="仿宋" w:hAnsi="仿宋" w:eastAsia="仿宋" w:cs="Arial"/>
          <w:b w:val="0"/>
          <w:bCs/>
          <w:kern w:val="0"/>
          <w:sz w:val="24"/>
          <w:lang w:val="en-US" w:eastAsia="zh-CN"/>
        </w:rPr>
        <w:t>按照</w:t>
      </w:r>
      <w:r>
        <w:rPr>
          <w:rFonts w:hint="eastAsia" w:ascii="仿宋" w:hAnsi="仿宋" w:eastAsia="仿宋" w:cs="Arial"/>
          <w:b w:val="0"/>
          <w:bCs/>
          <w:kern w:val="0"/>
          <w:sz w:val="24"/>
        </w:rPr>
        <w:t>以下原则进行修正：</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最后报价内容与响应文件中</w:t>
      </w:r>
      <w:r>
        <w:rPr>
          <w:rFonts w:hint="eastAsia" w:ascii="仿宋" w:hAnsi="仿宋" w:eastAsia="仿宋" w:cs="Arial"/>
          <w:b w:val="0"/>
          <w:bCs/>
          <w:kern w:val="0"/>
          <w:sz w:val="24"/>
          <w:lang w:val="en-US" w:eastAsia="zh-CN"/>
        </w:rPr>
        <w:t>相应</w:t>
      </w:r>
      <w:r>
        <w:rPr>
          <w:rFonts w:hint="eastAsia" w:ascii="仿宋" w:hAnsi="仿宋" w:eastAsia="仿宋" w:cs="Arial"/>
          <w:b w:val="0"/>
          <w:bCs/>
          <w:kern w:val="0"/>
          <w:sz w:val="24"/>
        </w:rPr>
        <w:t>内容不一致的，以最后报价为准;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2.2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rPr>
        <w:t>2.3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单价金额小数点或者百分</w:t>
      </w:r>
      <w:r>
        <w:rPr>
          <w:rFonts w:hint="eastAsia" w:ascii="仿宋" w:hAnsi="仿宋" w:eastAsia="仿宋" w:cs="Arial"/>
          <w:b w:val="0"/>
          <w:bCs/>
          <w:kern w:val="0"/>
          <w:sz w:val="24"/>
          <w:highlight w:val="none"/>
        </w:rPr>
        <w:t>比有明显错位</w:t>
      </w:r>
      <w:r>
        <w:rPr>
          <w:rFonts w:hint="eastAsia" w:ascii="仿宋" w:hAnsi="仿宋" w:eastAsia="仿宋" w:cs="Arial"/>
          <w:b w:val="0"/>
          <w:bCs/>
          <w:kern w:val="0"/>
          <w:sz w:val="24"/>
          <w:highlight w:val="none"/>
          <w:lang w:val="en-US" w:eastAsia="zh-CN"/>
        </w:rPr>
        <w:t>的</w:t>
      </w:r>
      <w:r>
        <w:rPr>
          <w:rFonts w:hint="eastAsia" w:ascii="仿宋" w:hAnsi="仿宋" w:eastAsia="仿宋" w:cs="Arial"/>
          <w:b w:val="0"/>
          <w:bCs/>
          <w:kern w:val="0"/>
          <w:sz w:val="24"/>
          <w:highlight w:val="none"/>
        </w:rPr>
        <w:t>，以最后报价的总价为准，并修改单价;</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highlight w:val="none"/>
        </w:rPr>
        <w:t>2.4</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highlight w:val="none"/>
        </w:rPr>
        <w:t>2.5</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同时出现两种以上不一致的，按照前款规定的顺序修正。</w:t>
      </w:r>
    </w:p>
    <w:p>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highlight w:val="none"/>
        </w:rPr>
        <w:t>2.6</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以修正后的总价作为最后报价。</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 w:hAnsi="仿宋" w:eastAsia="仿宋" w:cs="Arial"/>
          <w:b/>
          <w:bCs w:val="0"/>
          <w:kern w:val="0"/>
          <w:sz w:val="24"/>
          <w:highlight w:val="none"/>
          <w:u w:val="single"/>
        </w:rPr>
      </w:pPr>
      <w:r>
        <w:rPr>
          <w:rFonts w:hint="eastAsia" w:ascii="仿宋" w:hAnsi="仿宋" w:eastAsia="仿宋" w:cs="Arial"/>
          <w:b/>
          <w:bCs w:val="0"/>
          <w:kern w:val="0"/>
          <w:sz w:val="24"/>
          <w:highlight w:val="none"/>
          <w:u w:val="single"/>
        </w:rPr>
        <w:t>▲</w:t>
      </w:r>
      <w:r>
        <w:rPr>
          <w:rFonts w:hint="eastAsia" w:ascii="仿宋" w:hAnsi="仿宋" w:eastAsia="仿宋" w:cs="Arial"/>
          <w:b/>
          <w:bCs w:val="0"/>
          <w:kern w:val="0"/>
          <w:sz w:val="24"/>
          <w:highlight w:val="none"/>
          <w:u w:val="single"/>
          <w:lang w:val="en-US" w:eastAsia="zh-CN"/>
        </w:rPr>
        <w:t>2.7</w:t>
      </w:r>
      <w:r>
        <w:rPr>
          <w:rFonts w:hint="eastAsia" w:ascii="仿宋" w:hAnsi="仿宋" w:eastAsia="仿宋" w:cs="Arial"/>
          <w:b/>
          <w:bCs w:val="0"/>
          <w:kern w:val="0"/>
          <w:sz w:val="24"/>
          <w:highlight w:val="none"/>
          <w:u w:val="single"/>
        </w:rPr>
        <w:t>供应商对根据修正原则修正后的最后报价不确认的，响应无效。</w:t>
      </w:r>
    </w:p>
    <w:p>
      <w:pPr>
        <w:adjustRightInd w:val="0"/>
        <w:snapToGrid w:val="0"/>
        <w:spacing w:before="0" w:beforeLines="0" w:afterLines="0"/>
        <w:rPr>
          <w:rFonts w:ascii="仿宋" w:hAnsi="仿宋" w:eastAsia="仿宋" w:cs="Arial"/>
          <w:b/>
          <w:kern w:val="0"/>
          <w:sz w:val="24"/>
          <w:highlight w:val="none"/>
        </w:rPr>
      </w:pPr>
      <w:r>
        <w:rPr>
          <w:rFonts w:hint="eastAsia" w:ascii="仿宋" w:hAnsi="仿宋" w:eastAsia="仿宋" w:cs="Arial"/>
          <w:b/>
          <w:kern w:val="0"/>
          <w:sz w:val="24"/>
          <w:highlight w:val="none"/>
        </w:rPr>
        <w:t>3.响应无效</w:t>
      </w:r>
    </w:p>
    <w:p>
      <w:pPr>
        <w:adjustRightInd w:val="0"/>
        <w:snapToGrid w:val="0"/>
        <w:spacing w:before="0" w:beforeLines="0" w:afterLines="0"/>
        <w:ind w:firstLine="480" w:firstLineChars="200"/>
        <w:rPr>
          <w:rFonts w:ascii="仿宋" w:hAnsi="仿宋" w:eastAsia="仿宋" w:cs="Arial"/>
          <w:b w:val="0"/>
          <w:bCs/>
          <w:kern w:val="0"/>
          <w:sz w:val="24"/>
          <w:highlight w:val="none"/>
        </w:rPr>
      </w:pPr>
      <w:r>
        <w:rPr>
          <w:rFonts w:hint="eastAsia" w:ascii="仿宋" w:hAnsi="仿宋" w:eastAsia="仿宋" w:cs="Arial"/>
          <w:b w:val="0"/>
          <w:bCs/>
          <w:kern w:val="0"/>
          <w:sz w:val="24"/>
          <w:highlight w:val="none"/>
        </w:rPr>
        <w:t>有下列情况之一的，响应无效：</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highlight w:val="none"/>
        </w:rPr>
      </w:pPr>
      <w:r>
        <w:rPr>
          <w:rFonts w:hint="eastAsia" w:ascii="仿宋" w:hAnsi="仿宋" w:eastAsia="仿宋" w:cs="Arial"/>
          <w:b w:val="0"/>
          <w:bCs/>
          <w:kern w:val="0"/>
          <w:sz w:val="24"/>
          <w:highlight w:val="none"/>
        </w:rPr>
        <w:t>3.1</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highlight w:val="none"/>
        </w:rPr>
        <w:t>3.2</w:t>
      </w:r>
      <w:r>
        <w:rPr>
          <w:rFonts w:hint="eastAsia" w:ascii="仿宋" w:hAnsi="仿宋" w:eastAsia="仿宋" w:cs="Arial"/>
          <w:b w:val="0"/>
          <w:bCs/>
          <w:kern w:val="0"/>
          <w:sz w:val="24"/>
          <w:highlight w:val="none"/>
          <w:lang w:val="en-US" w:eastAsia="zh-CN"/>
        </w:rPr>
        <w:t xml:space="preserve">  </w:t>
      </w:r>
      <w:r>
        <w:rPr>
          <w:rFonts w:hint="eastAsia" w:ascii="仿宋" w:hAnsi="仿宋" w:eastAsia="仿宋" w:cs="Arial"/>
          <w:b w:val="0"/>
          <w:bCs/>
          <w:kern w:val="0"/>
          <w:sz w:val="24"/>
          <w:highlight w:val="none"/>
        </w:rPr>
        <w:t>为采购项目提供整体设计、规范编制或者项目管理、监理、检测等</w:t>
      </w:r>
      <w:r>
        <w:rPr>
          <w:rFonts w:hint="eastAsia" w:ascii="仿宋" w:hAnsi="仿宋" w:eastAsia="仿宋" w:cs="Arial"/>
          <w:b w:val="0"/>
          <w:bCs/>
          <w:kern w:val="0"/>
          <w:sz w:val="24"/>
        </w:rPr>
        <w:t xml:space="preserve">服务的供应商再参加该采购项目的其他采购活动的； </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供应商不具备</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文件规定的资格要求的（供应商未提供有效的资格证明文件的，视为供应商不具备</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文件中规定的资格要求）；</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以联合体形式参加采购活动，联合协议不符合</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文件规定的联合协议要求的；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响应文件未按</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文件的澄清、修改的内容编制，又不符合实质性要求的；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3.6</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响应文件组成漏项，内容不全或内容字迹模糊辨认不清的；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3.7</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响应文件中法人授权书所载内容与本项目内容有异的；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3.8</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响应文件未按照</w:t>
      </w:r>
      <w:r>
        <w:rPr>
          <w:rFonts w:hint="eastAsia" w:ascii="仿宋" w:hAnsi="仿宋" w:eastAsia="仿宋" w:cs="Arial"/>
          <w:b w:val="0"/>
          <w:bCs/>
          <w:kern w:val="0"/>
          <w:sz w:val="24"/>
          <w:lang w:val="en-US" w:eastAsia="zh-CN"/>
        </w:rPr>
        <w:t>采购</w:t>
      </w:r>
      <w:r>
        <w:rPr>
          <w:rFonts w:hint="eastAsia" w:ascii="仿宋" w:hAnsi="仿宋" w:eastAsia="仿宋" w:cs="Arial"/>
          <w:b w:val="0"/>
          <w:bCs/>
          <w:kern w:val="0"/>
          <w:sz w:val="24"/>
        </w:rPr>
        <w:t>文件要求签署、盖章的；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3.9</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采购人拟采购的产品属于政府强制采购的节能产品品目清单范围的，供应商</w:t>
      </w:r>
      <w:r>
        <w:rPr>
          <w:rFonts w:hint="eastAsia" w:ascii="仿宋" w:hAnsi="仿宋" w:eastAsia="仿宋" w:cs="Arial"/>
          <w:b w:val="0"/>
          <w:bCs/>
          <w:kern w:val="0"/>
          <w:sz w:val="24"/>
          <w:lang w:val="en-US" w:eastAsia="zh-CN"/>
        </w:rPr>
        <w:t>未提供相应</w:t>
      </w:r>
      <w:r>
        <w:rPr>
          <w:rFonts w:hint="eastAsia" w:ascii="仿宋" w:hAnsi="仿宋" w:eastAsia="仿宋" w:cs="Arial"/>
          <w:b w:val="0"/>
          <w:bCs/>
          <w:kern w:val="0"/>
          <w:sz w:val="24"/>
        </w:rPr>
        <w:t>产品获得国家确定的认证机构出具的、处于有效期之内的节能产品认证证书；</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3.10</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响应文件含有采购人不能接受的附加条件的；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响应文件中承诺的响应有效期少于</w:t>
      </w:r>
      <w:r>
        <w:rPr>
          <w:rFonts w:hint="eastAsia" w:ascii="仿宋" w:hAnsi="仿宋" w:eastAsia="仿宋" w:cs="Arial"/>
          <w:b w:val="0"/>
          <w:bCs/>
          <w:kern w:val="0"/>
          <w:sz w:val="24"/>
          <w:lang w:eastAsia="zh-CN"/>
        </w:rPr>
        <w:t>采购文件</w:t>
      </w:r>
      <w:r>
        <w:rPr>
          <w:rFonts w:hint="eastAsia" w:ascii="仿宋" w:hAnsi="仿宋" w:eastAsia="仿宋" w:cs="Arial"/>
          <w:b w:val="0"/>
          <w:bCs/>
          <w:kern w:val="0"/>
          <w:sz w:val="24"/>
        </w:rPr>
        <w:t>中载明的响应有效期的；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3.12</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响应文件内容不符合</w:t>
      </w:r>
      <w:r>
        <w:rPr>
          <w:rFonts w:hint="eastAsia" w:ascii="仿宋" w:hAnsi="仿宋" w:eastAsia="仿宋" w:cs="Arial"/>
          <w:b w:val="0"/>
          <w:bCs/>
          <w:kern w:val="0"/>
          <w:sz w:val="24"/>
          <w:lang w:eastAsia="zh-CN"/>
        </w:rPr>
        <w:t>采购文件</w:t>
      </w:r>
      <w:r>
        <w:rPr>
          <w:rFonts w:hint="eastAsia" w:ascii="仿宋" w:hAnsi="仿宋" w:eastAsia="仿宋" w:cs="Arial"/>
          <w:b w:val="0"/>
          <w:bCs/>
          <w:kern w:val="0"/>
          <w:sz w:val="24"/>
        </w:rPr>
        <w:t>中实质性要求的；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3.13</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所提交的最后报价中出现不是唯一的、有选择性的报价的;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3.14</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最后报价高于本项目采购预算或者最高限价的;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3.15</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最后报价明显低于其他供应商的最后报价，有可能影响产品质量或者不能诚信履约的，未能按要求提供书面说明或者提交相关证明材料，不能证明其报价合理性的;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3.16</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《最后报价》填写不完整或字迹不能辨认或有漏项的；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3.17</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供应商对根据修正原则修正后的最后报价不确认的；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3.18</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供应商提供虚假材料响应的（包括但不限于以下情节）；</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使用伪造、变造的许可证件；</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提供虚假的财务状况或者业绩；</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提供虚假的项目负责人或者主要技术人员简历、劳动关系证明；</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提供虚假的信用状况；</w:t>
      </w:r>
    </w:p>
    <w:p>
      <w:pPr>
        <w:keepNext w:val="0"/>
        <w:keepLines w:val="0"/>
        <w:pageBreakBefore w:val="0"/>
        <w:widowControl w:val="0"/>
        <w:numPr>
          <w:ilvl w:val="0"/>
          <w:numId w:val="18"/>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其他弄虚作假的行为。</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3.19</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供应商有恶意串通、妨碍其他供应商的竞争行为、损害采购人或者其他供应商的合法权益情形的。</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有下列情形之一的，属于或视为恶意串通，其响应无效：</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供应商直接或者间接从采购人或者</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处获得其他供应商相关情况并修改其响应文件；</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供应商按照采购人或者</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的授意撤换、修改投标文件或者响应文件；</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供应商之间协商报价、技术方案等投标文件或者响应文件的实质性内容；</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属于同一集团、协会、商会等组织的供应商按照该组织要求协同参加</w:t>
      </w:r>
      <w:r>
        <w:rPr>
          <w:rFonts w:hint="eastAsia" w:ascii="仿宋" w:hAnsi="仿宋" w:eastAsia="仿宋" w:cs="Arial"/>
          <w:b w:val="0"/>
          <w:bCs/>
          <w:kern w:val="0"/>
          <w:sz w:val="24"/>
          <w:lang w:val="en-US" w:eastAsia="zh-CN"/>
        </w:rPr>
        <w:t>政府</w:t>
      </w:r>
      <w:r>
        <w:rPr>
          <w:rFonts w:hint="eastAsia" w:ascii="仿宋" w:hAnsi="仿宋" w:eastAsia="仿宋" w:cs="Arial"/>
          <w:b w:val="0"/>
          <w:bCs/>
          <w:kern w:val="0"/>
          <w:sz w:val="24"/>
        </w:rPr>
        <w:t>采购活动；</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供应商之间事先约定由某一特定供应商中标、成交；</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供应商之间商定部分供应商放弃参加政府采购活动或者放弃中标、成交；</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供应商与采购人或者</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之间、供应商相互之间，为谋求特定供应商中标、成交或者排斥其他供应商的其他串通行为</w:t>
      </w:r>
      <w:r>
        <w:rPr>
          <w:rFonts w:hint="eastAsia" w:ascii="仿宋" w:hAnsi="仿宋" w:eastAsia="仿宋" w:cs="Arial"/>
          <w:b w:val="0"/>
          <w:bCs/>
          <w:kern w:val="0"/>
          <w:sz w:val="24"/>
          <w:lang w:eastAsia="zh-CN"/>
        </w:rPr>
        <w:t>；</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不同供应商的响应文件由同一单位或者个人编制；</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不同供应商委托同一单位或者个人办理响应事宜；</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不同供应商的响应文件载明的项目管理成员或者联系人员为同一人；</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不同供应商的响应文件异常一致或者最后报价呈规律性差异；</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不同供应商的响应文件相互混装。</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3.20</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供应商仅提交备份响应文件，没有在电子交易平台传输提交响应文件的，响应无效；</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3.21</w:t>
      </w:r>
      <w:r>
        <w:rPr>
          <w:rFonts w:hint="eastAsia" w:ascii="仿宋" w:hAnsi="仿宋" w:eastAsia="仿宋" w:cs="Arial"/>
          <w:b w:val="0"/>
          <w:bCs/>
          <w:kern w:val="0"/>
          <w:sz w:val="24"/>
          <w:lang w:val="en-US" w:eastAsia="zh-CN"/>
        </w:rPr>
        <w:t xml:space="preserve"> </w:t>
      </w:r>
      <w:r>
        <w:rPr>
          <w:rFonts w:hint="eastAsia" w:ascii="仿宋" w:hAnsi="仿宋" w:eastAsia="仿宋" w:cs="Arial"/>
          <w:b w:val="0"/>
          <w:bCs/>
          <w:kern w:val="0"/>
          <w:sz w:val="24"/>
        </w:rPr>
        <w:t>法律、法规、规章及省级以上规范性文件规定的其他无效情形。</w:t>
      </w:r>
    </w:p>
    <w:p>
      <w:pPr>
        <w:adjustRightInd w:val="0"/>
        <w:snapToGrid w:val="0"/>
        <w:spacing w:before="0" w:beforeLines="0" w:afterLines="0"/>
        <w:rPr>
          <w:rFonts w:hint="eastAsia" w:ascii="仿宋" w:hAnsi="仿宋" w:eastAsia="仿宋" w:cs="Arial"/>
          <w:b/>
          <w:kern w:val="0"/>
          <w:sz w:val="24"/>
        </w:rPr>
      </w:pPr>
      <w:r>
        <w:rPr>
          <w:rFonts w:hint="eastAsia" w:ascii="仿宋" w:hAnsi="仿宋" w:eastAsia="仿宋" w:cs="Arial"/>
          <w:b/>
          <w:kern w:val="0"/>
          <w:sz w:val="24"/>
        </w:rPr>
        <w:t>4.重新开展采购活动</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出现下列情形之一的，</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应当终止竞争性磋商采购活动，通过电子交易平台发布项目终止公告并说明原因，重新开展采购活动：</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（1）因情况变化，不再符合规定的竞争性磋商采购方式适用情形的；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kern w:val="0"/>
          <w:sz w:val="24"/>
        </w:rPr>
      </w:pPr>
      <w:r>
        <w:rPr>
          <w:rFonts w:hint="eastAsia" w:ascii="仿宋" w:hAnsi="仿宋" w:eastAsia="仿宋" w:cs="Arial"/>
          <w:b w:val="0"/>
          <w:bCs/>
          <w:kern w:val="0"/>
          <w:sz w:val="24"/>
        </w:rPr>
        <w:t>（3）在采购过程中符合要求的供应商或者最后报价未超过采购预算的供应商不足3家的（有特殊规定的从其规定）。</w:t>
      </w:r>
    </w:p>
    <w:p>
      <w:pPr>
        <w:adjustRightInd w:val="0"/>
        <w:snapToGrid w:val="0"/>
        <w:spacing w:before="0" w:beforeLines="0" w:afterLines="0"/>
        <w:rPr>
          <w:rFonts w:ascii="仿宋" w:hAnsi="仿宋" w:eastAsia="仿宋" w:cs="Arial"/>
          <w:b/>
          <w:kern w:val="0"/>
          <w:sz w:val="24"/>
        </w:rPr>
      </w:pPr>
      <w:r>
        <w:rPr>
          <w:rFonts w:hint="eastAsia" w:ascii="仿宋" w:hAnsi="仿宋" w:eastAsia="仿宋" w:cs="Arial"/>
          <w:b/>
          <w:kern w:val="0"/>
          <w:sz w:val="24"/>
        </w:rPr>
        <w:t>5.终止采购活动</w:t>
      </w:r>
    </w:p>
    <w:p>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kern w:val="0"/>
          <w:sz w:val="24"/>
        </w:rPr>
      </w:pPr>
      <w:r>
        <w:rPr>
          <w:rFonts w:hint="eastAsia" w:ascii="仿宋" w:hAnsi="仿宋" w:eastAsia="仿宋" w:cs="Arial"/>
          <w:b w:val="0"/>
          <w:bCs/>
          <w:kern w:val="0"/>
          <w:sz w:val="24"/>
        </w:rPr>
        <w:t>在采购活动中因重大变故，采购任务取消的，</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将终止采购活动，通过电子交易平台通知所有参加采购活动的供应商，并将项目实施情况和采购任务取消原因报送本级财政部门。</w:t>
      </w:r>
    </w:p>
    <w:p>
      <w:pPr>
        <w:adjustRightInd w:val="0"/>
        <w:snapToGrid w:val="0"/>
        <w:spacing w:before="0" w:beforeLines="0" w:afterLines="0"/>
        <w:rPr>
          <w:rFonts w:ascii="仿宋" w:hAnsi="仿宋" w:eastAsia="仿宋" w:cs="Arial"/>
          <w:b/>
          <w:kern w:val="0"/>
          <w:sz w:val="24"/>
        </w:rPr>
      </w:pPr>
      <w:r>
        <w:rPr>
          <w:rFonts w:ascii="仿宋" w:hAnsi="仿宋" w:eastAsia="仿宋" w:cs="Arial"/>
          <w:b/>
          <w:kern w:val="0"/>
          <w:sz w:val="24"/>
        </w:rPr>
        <w:t>6.</w:t>
      </w:r>
      <w:r>
        <w:rPr>
          <w:rFonts w:hint="eastAsia" w:ascii="仿宋" w:hAnsi="仿宋" w:eastAsia="仿宋" w:cs="Arial"/>
          <w:b/>
          <w:kern w:val="0"/>
          <w:sz w:val="24"/>
          <w:lang w:eastAsia="zh-CN"/>
        </w:rPr>
        <w:t>采购机构</w:t>
      </w:r>
      <w:r>
        <w:rPr>
          <w:rFonts w:hint="eastAsia" w:ascii="仿宋" w:hAnsi="仿宋" w:eastAsia="仿宋" w:cs="Arial"/>
          <w:b/>
          <w:kern w:val="0"/>
          <w:sz w:val="24"/>
        </w:rPr>
        <w:t>有权对磋商小组各成员的评分情况和评审意见进行合理性和合规性审查</w:t>
      </w:r>
      <w:r>
        <w:rPr>
          <w:rFonts w:hint="eastAsia" w:ascii="仿宋" w:hAnsi="仿宋" w:eastAsia="仿宋" w:cs="Arial"/>
          <w:b/>
          <w:kern w:val="0"/>
          <w:sz w:val="24"/>
          <w:lang w:eastAsia="zh-CN"/>
        </w:rPr>
        <w:t>。</w:t>
      </w:r>
      <w:r>
        <w:rPr>
          <w:rFonts w:hint="eastAsia" w:ascii="仿宋" w:hAnsi="仿宋" w:eastAsia="仿宋" w:cs="Arial"/>
          <w:b w:val="0"/>
          <w:bCs/>
          <w:kern w:val="0"/>
          <w:sz w:val="24"/>
        </w:rPr>
        <w:t>如发现磋商小组成员的评审意见带有明显倾向性，或不按规定程序和标准评审、计分的，磋商小组成员</w:t>
      </w:r>
      <w:r>
        <w:rPr>
          <w:rFonts w:hint="eastAsia" w:ascii="仿宋" w:hAnsi="仿宋" w:eastAsia="仿宋" w:cs="Arial"/>
          <w:b w:val="0"/>
          <w:bCs/>
          <w:kern w:val="0"/>
          <w:sz w:val="24"/>
          <w:lang w:val="en-US" w:eastAsia="zh-CN"/>
        </w:rPr>
        <w:t>应当</w:t>
      </w:r>
      <w:r>
        <w:rPr>
          <w:rFonts w:hint="eastAsia" w:ascii="仿宋" w:hAnsi="仿宋" w:eastAsia="仿宋" w:cs="Arial"/>
          <w:b w:val="0"/>
          <w:bCs/>
          <w:kern w:val="0"/>
          <w:sz w:val="24"/>
        </w:rPr>
        <w:t>进行书面澄清和说明；磋商小组成员拒不接受</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审查的，</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将向同级政府采购监督管理部门报告并予以处理。</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kern w:val="0"/>
          <w:sz w:val="24"/>
        </w:rPr>
      </w:pPr>
    </w:p>
    <w:p>
      <w:pPr>
        <w:adjustRightInd w:val="0"/>
        <w:snapToGrid w:val="0"/>
        <w:spacing w:before="0" w:beforeLines="0" w:afterLines="0"/>
        <w:rPr>
          <w:rFonts w:ascii="仿宋" w:hAnsi="仿宋" w:eastAsia="仿宋" w:cs="Arial"/>
          <w:b/>
          <w:kern w:val="0"/>
          <w:sz w:val="28"/>
          <w:szCs w:val="28"/>
        </w:rPr>
      </w:pPr>
      <w:r>
        <w:rPr>
          <w:rFonts w:hint="eastAsia" w:ascii="仿宋" w:hAnsi="仿宋" w:eastAsia="仿宋" w:cs="Arial"/>
          <w:b/>
          <w:kern w:val="0"/>
          <w:sz w:val="28"/>
          <w:szCs w:val="28"/>
        </w:rPr>
        <w:t>六、评审过程的保密与录像</w:t>
      </w:r>
    </w:p>
    <w:p>
      <w:pPr>
        <w:adjustRightInd w:val="0"/>
        <w:snapToGrid w:val="0"/>
        <w:spacing w:before="0" w:beforeLines="0" w:afterLines="0"/>
        <w:rPr>
          <w:rFonts w:hint="eastAsia" w:ascii="仿宋" w:hAnsi="仿宋" w:eastAsia="仿宋" w:cs="Arial"/>
          <w:b/>
          <w:kern w:val="0"/>
          <w:sz w:val="24"/>
        </w:rPr>
      </w:pPr>
      <w:r>
        <w:rPr>
          <w:rFonts w:hint="eastAsia" w:ascii="仿宋" w:hAnsi="仿宋" w:eastAsia="仿宋" w:cs="Arial"/>
          <w:b/>
          <w:kern w:val="0"/>
          <w:sz w:val="24"/>
        </w:rPr>
        <w:t>1.保密。</w:t>
      </w:r>
      <w:r>
        <w:rPr>
          <w:rFonts w:hint="eastAsia" w:ascii="仿宋" w:hAnsi="仿宋" w:eastAsia="仿宋" w:cs="Arial"/>
          <w:b w:val="0"/>
          <w:bCs/>
          <w:kern w:val="0"/>
          <w:sz w:val="24"/>
        </w:rPr>
        <w:t>评审活动在严格保密情况下进行。评审过程中凡是与采购响应文件评审和比较、成交人推荐等评审有关的情况，以及涉及国家秘密和商业秘密等信息，磋商小组成员、采购人和</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工作人员、相关监督人员等与评审有关的人员应当予以保密。</w:t>
      </w:r>
    </w:p>
    <w:p>
      <w:pPr>
        <w:adjustRightInd w:val="0"/>
        <w:snapToGrid w:val="0"/>
        <w:spacing w:beforeLines="0" w:afterLines="0"/>
        <w:rPr>
          <w:rFonts w:hint="eastAsia" w:ascii="仿宋" w:hAnsi="仿宋" w:eastAsia="仿宋" w:cs="仿宋_GB2312"/>
          <w:color w:val="auto"/>
          <w:sz w:val="24"/>
          <w:highlight w:val="none"/>
        </w:rPr>
      </w:pPr>
      <w:r>
        <w:rPr>
          <w:rFonts w:hint="eastAsia" w:ascii="仿宋" w:hAnsi="仿宋" w:eastAsia="仿宋" w:cs="Arial"/>
          <w:b/>
          <w:kern w:val="0"/>
          <w:sz w:val="24"/>
        </w:rPr>
        <w:t>2.录音录像。</w:t>
      </w:r>
      <w:r>
        <w:rPr>
          <w:rFonts w:hint="eastAsia" w:ascii="仿宋" w:hAnsi="仿宋" w:eastAsia="仿宋" w:cs="Arial"/>
          <w:b w:val="0"/>
          <w:bCs/>
          <w:kern w:val="0"/>
          <w:sz w:val="24"/>
          <w:lang w:eastAsia="zh-CN"/>
        </w:rPr>
        <w:t>采购代理机构</w:t>
      </w:r>
      <w:r>
        <w:rPr>
          <w:rFonts w:hint="eastAsia" w:ascii="仿宋" w:hAnsi="仿宋" w:eastAsia="仿宋" w:cs="Arial"/>
          <w:b w:val="0"/>
          <w:bCs/>
          <w:kern w:val="0"/>
          <w:sz w:val="24"/>
        </w:rPr>
        <w:t>对评审工作现场进行全过程录音录像，录音录像资料</w:t>
      </w:r>
      <w:r>
        <w:rPr>
          <w:rFonts w:hint="eastAsia" w:ascii="仿宋" w:hAnsi="仿宋" w:eastAsia="仿宋" w:cs="Arial"/>
          <w:b w:val="0"/>
          <w:bCs/>
          <w:kern w:val="0"/>
          <w:sz w:val="24"/>
          <w:lang w:val="en-US" w:eastAsia="zh-CN"/>
        </w:rPr>
        <w:t>将</w:t>
      </w:r>
      <w:r>
        <w:rPr>
          <w:rFonts w:hint="eastAsia" w:ascii="仿宋" w:hAnsi="仿宋" w:eastAsia="仿宋" w:cs="Arial"/>
          <w:b w:val="0"/>
          <w:bCs/>
          <w:kern w:val="0"/>
          <w:sz w:val="24"/>
        </w:rPr>
        <w:t>作为采购项目文件随其他文件一并存档。</w:t>
      </w:r>
    </w:p>
    <w:p>
      <w:pPr>
        <w:widowControl/>
        <w:shd w:val="clear" w:color="auto" w:fill="FFFFFF"/>
        <w:ind w:firstLine="465"/>
        <w:jc w:val="left"/>
        <w:rPr>
          <w:rFonts w:hint="eastAsia" w:ascii="仿宋" w:hAnsi="仿宋" w:eastAsia="仿宋" w:cs="宋体"/>
          <w:color w:val="auto"/>
          <w:kern w:val="0"/>
          <w:sz w:val="22"/>
          <w:szCs w:val="22"/>
          <w:highlight w:val="none"/>
        </w:rPr>
        <w:sectPr>
          <w:pgSz w:w="11906" w:h="16838"/>
          <w:pgMar w:top="1361" w:right="1361" w:bottom="1361" w:left="1361" w:header="851" w:footer="992" w:gutter="0"/>
          <w:cols w:space="720" w:num="1"/>
          <w:docGrid w:linePitch="312" w:charSpace="0"/>
        </w:sectPr>
      </w:pPr>
    </w:p>
    <w:p>
      <w:pPr>
        <w:spacing w:before="120" w:beforeLines="50" w:after="120" w:afterLines="50"/>
        <w:jc w:val="center"/>
        <w:outlineLvl w:val="0"/>
        <w:rPr>
          <w:rFonts w:ascii="仿宋" w:hAnsi="仿宋" w:eastAsia="仿宋"/>
          <w:b/>
          <w:color w:val="auto"/>
          <w:sz w:val="30"/>
          <w:szCs w:val="30"/>
          <w:highlight w:val="none"/>
        </w:rPr>
      </w:pPr>
      <w:bookmarkStart w:id="46" w:name="_Toc23782321"/>
      <w:bookmarkStart w:id="47" w:name="_Toc47510540"/>
      <w:bookmarkStart w:id="48" w:name="_Toc50536090"/>
      <w:bookmarkStart w:id="49" w:name="_Toc97000041"/>
      <w:bookmarkStart w:id="50" w:name="_Toc96999270"/>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六部分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w:t>
      </w:r>
      <w:bookmarkEnd w:id="46"/>
      <w:bookmarkEnd w:id="47"/>
      <w:bookmarkEnd w:id="48"/>
      <w:r>
        <w:rPr>
          <w:rFonts w:hint="eastAsia" w:ascii="仿宋" w:hAnsi="仿宋" w:eastAsia="仿宋"/>
          <w:b/>
          <w:color w:val="auto"/>
          <w:sz w:val="30"/>
          <w:szCs w:val="30"/>
          <w:highlight w:val="none"/>
        </w:rPr>
        <w:t>拟签订的合同文本</w:t>
      </w:r>
      <w:bookmarkEnd w:id="49"/>
      <w:bookmarkEnd w:id="50"/>
    </w:p>
    <w:p>
      <w:pPr>
        <w:snapToGrid w:val="0"/>
        <w:spacing w:before="120" w:beforeLines="50" w:after="120" w:afterLines="50"/>
        <w:jc w:val="center"/>
        <w:rPr>
          <w:rFonts w:ascii="仿宋" w:hAnsi="仿宋" w:eastAsia="仿宋"/>
          <w:b/>
          <w:color w:val="auto"/>
          <w:sz w:val="28"/>
          <w:szCs w:val="28"/>
          <w:highlight w:val="none"/>
        </w:rPr>
      </w:pPr>
    </w:p>
    <w:p>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w:t>
      </w: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pPr>
        <w:pStyle w:val="498"/>
        <w:rPr>
          <w:rFonts w:ascii="仿宋" w:hAnsi="仿宋" w:eastAsia="仿宋"/>
          <w:color w:val="auto"/>
          <w:szCs w:val="24"/>
          <w:highlight w:val="none"/>
        </w:rPr>
      </w:pPr>
    </w:p>
    <w:p>
      <w:pPr>
        <w:pStyle w:val="498"/>
        <w:jc w:val="center"/>
        <w:rPr>
          <w:rFonts w:ascii="仿宋" w:hAnsi="仿宋" w:eastAsia="仿宋"/>
          <w:color w:val="auto"/>
          <w:szCs w:val="24"/>
          <w:highlight w:val="none"/>
        </w:rPr>
      </w:pPr>
    </w:p>
    <w:p>
      <w:pPr>
        <w:pStyle w:val="498"/>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 合同书</w:t>
      </w:r>
    </w:p>
    <w:p>
      <w:pPr>
        <w:spacing w:before="120" w:line="22" w:lineRule="atLeast"/>
        <w:rPr>
          <w:rFonts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pPr>
      <w:r>
        <w:rPr>
          <w:rFonts w:hint="eastAsia" w:ascii="仿宋" w:hAnsi="仿宋" w:eastAsia="仿宋"/>
          <w:color w:val="auto"/>
          <w:sz w:val="24"/>
          <w:highlight w:val="none"/>
        </w:rPr>
        <w:t>项目名称：</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pPr>
      <w:r>
        <w:rPr>
          <w:rFonts w:hint="eastAsia" w:ascii="仿宋" w:hAnsi="仿宋" w:eastAsia="仿宋"/>
          <w:color w:val="auto"/>
          <w:sz w:val="24"/>
          <w:highlight w:val="none"/>
        </w:rPr>
        <w:t>甲方：</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pPr>
      <w:r>
        <w:rPr>
          <w:rFonts w:hint="eastAsia" w:ascii="仿宋" w:hAnsi="仿宋" w:eastAsia="仿宋"/>
          <w:color w:val="auto"/>
          <w:sz w:val="24"/>
          <w:highlight w:val="none"/>
        </w:rPr>
        <w:t>乙方：</w:t>
      </w: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u w:val="single"/>
          <w:lang w:val="en-US" w:eastAsia="zh-CN"/>
        </w:rPr>
      </w:pPr>
      <w:r>
        <w:rPr>
          <w:rFonts w:hint="eastAsia" w:ascii="仿宋" w:hAnsi="仿宋" w:eastAsia="仿宋"/>
          <w:color w:val="auto"/>
          <w:sz w:val="24"/>
          <w:highlight w:val="none"/>
        </w:rPr>
        <w:t>签订地：</w:t>
      </w: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ascii="仿宋" w:hAnsi="仿宋" w:eastAsia="仿宋"/>
          <w:color w:val="auto"/>
          <w:sz w:val="24"/>
          <w:highlight w:val="none"/>
          <w:u w:val="single"/>
        </w:rPr>
      </w:pPr>
      <w:r>
        <w:rPr>
          <w:rFonts w:hint="eastAsia" w:ascii="仿宋" w:hAnsi="仿宋" w:eastAsia="仿宋"/>
          <w:color w:val="auto"/>
          <w:sz w:val="24"/>
          <w:highlight w:val="none"/>
        </w:rPr>
        <w:t>签订日期：    年  月  日</w:t>
      </w:r>
    </w:p>
    <w:p>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ind w:firstLine="480" w:firstLineChars="200"/>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w:t>
      </w:r>
      <w:r>
        <w:rPr>
          <w:rFonts w:hint="eastAsia" w:ascii="仿宋" w:hAnsi="仿宋" w:eastAsia="仿宋"/>
          <w:color w:val="auto"/>
          <w:sz w:val="24"/>
          <w:highlight w:val="none"/>
          <w:u w:val="single"/>
        </w:rPr>
        <w:t>采购人名称</w:t>
      </w:r>
      <w:r>
        <w:rPr>
          <w:rFonts w:ascii="仿宋" w:hAnsi="仿宋" w:eastAsia="仿宋"/>
          <w:color w:val="auto"/>
          <w:sz w:val="24"/>
          <w:highlight w:val="none"/>
          <w:u w:val="single"/>
        </w:rPr>
        <w:t>）</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w:t>
      </w:r>
      <w:r>
        <w:rPr>
          <w:rFonts w:hint="eastAsia" w:ascii="仿宋" w:hAnsi="仿宋" w:eastAsia="仿宋"/>
          <w:color w:val="auto"/>
          <w:sz w:val="24"/>
          <w:highlight w:val="none"/>
          <w:u w:val="single"/>
        </w:rPr>
        <w:t>采购人名称</w:t>
      </w:r>
      <w:r>
        <w:rPr>
          <w:rFonts w:ascii="仿宋" w:hAnsi="仿宋" w:eastAsia="仿宋"/>
          <w:color w:val="auto"/>
          <w:sz w:val="24"/>
          <w:highlight w:val="none"/>
          <w:u w:val="single"/>
        </w:rPr>
        <w:t>）</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（中标供应商名称）</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rPr>
          <w:rFonts w:ascii="仿宋" w:hAnsi="仿宋" w:eastAsia="仿宋"/>
          <w:b/>
          <w:color w:val="auto"/>
          <w:sz w:val="24"/>
          <w:highlight w:val="none"/>
        </w:rPr>
      </w:pPr>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1.1.5</w:t>
      </w:r>
      <w:r>
        <w:rPr>
          <w:rFonts w:hint="eastAsia" w:ascii="仿宋" w:hAnsi="仿宋" w:eastAsia="仿宋"/>
          <w:color w:val="auto"/>
          <w:sz w:val="24"/>
          <w:highlight w:val="none"/>
        </w:rPr>
        <w:t xml:space="preserve"> 其他相关采购文件（附件：采购需求）。</w:t>
      </w:r>
    </w:p>
    <w:p>
      <w:pPr>
        <w:rPr>
          <w:rFonts w:ascii="仿宋" w:hAnsi="仿宋" w:eastAsia="仿宋"/>
          <w:b/>
          <w:color w:val="auto"/>
          <w:sz w:val="24"/>
          <w:highlight w:val="none"/>
        </w:rPr>
      </w:pPr>
      <w:bookmarkStart w:id="51" w:name="_Toc24300"/>
      <w:bookmarkStart w:id="52" w:name="_Toc21295"/>
      <w:bookmarkStart w:id="53" w:name="_Toc27126"/>
      <w:r>
        <w:rPr>
          <w:rFonts w:ascii="仿宋" w:hAnsi="仿宋" w:eastAsia="仿宋"/>
          <w:b/>
          <w:color w:val="auto"/>
          <w:sz w:val="24"/>
          <w:highlight w:val="none"/>
        </w:rPr>
        <w:t xml:space="preserve">1.2 </w:t>
      </w:r>
      <w:bookmarkEnd w:id="51"/>
      <w:bookmarkEnd w:id="52"/>
      <w:bookmarkEnd w:id="53"/>
      <w:r>
        <w:rPr>
          <w:rFonts w:hint="eastAsia" w:ascii="仿宋" w:hAnsi="仿宋" w:eastAsia="仿宋"/>
          <w:b/>
          <w:color w:val="auto"/>
          <w:sz w:val="24"/>
          <w:highlight w:val="none"/>
        </w:rPr>
        <w:t>标的</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i/>
          <w:iCs/>
          <w:color w:val="auto"/>
          <w:sz w:val="24"/>
          <w:highlight w:val="yellow"/>
          <w:u w:val="single"/>
        </w:rPr>
        <w:t>（项目管理实施人员</w:t>
      </w:r>
      <w:r>
        <w:rPr>
          <w:rFonts w:hint="eastAsia" w:ascii="仿宋" w:hAnsi="仿宋" w:eastAsia="仿宋"/>
          <w:i/>
          <w:iCs/>
          <w:color w:val="auto"/>
          <w:sz w:val="24"/>
          <w:highlight w:val="yellow"/>
          <w:u w:val="single"/>
        </w:rPr>
        <w:t>）</w:t>
      </w:r>
      <w:r>
        <w:rPr>
          <w:rFonts w:hint="eastAsia" w:ascii="仿宋" w:hAnsi="仿宋" w:eastAsia="仿宋"/>
          <w:color w:val="auto"/>
          <w:sz w:val="24"/>
          <w:highlight w:val="none"/>
        </w:rPr>
        <w:t>。</w:t>
      </w: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1.2.5合同</w:t>
      </w:r>
      <w:r>
        <w:rPr>
          <w:rFonts w:hint="eastAsia" w:ascii="仿宋" w:hAnsi="仿宋" w:eastAsia="仿宋"/>
          <w:color w:val="auto"/>
          <w:sz w:val="24"/>
          <w:highlight w:val="yellow"/>
        </w:rPr>
        <w:t>（</w:t>
      </w:r>
      <w:r>
        <w:rPr>
          <w:rFonts w:ascii="仿宋" w:hAnsi="MS Gothic" w:eastAsia="仿宋" w:cs="Arial"/>
          <w:color w:val="auto"/>
          <w:kern w:val="0"/>
          <w:sz w:val="24"/>
          <w:highlight w:val="yellow"/>
        </w:rPr>
        <w:t>☐</w:t>
      </w:r>
      <w:r>
        <w:rPr>
          <w:rFonts w:hint="eastAsia" w:ascii="仿宋" w:hAnsi="仿宋" w:eastAsia="仿宋"/>
          <w:color w:val="auto"/>
          <w:sz w:val="24"/>
          <w:highlight w:val="yellow"/>
        </w:rPr>
        <w:t>是/</w:t>
      </w:r>
      <w:r>
        <w:rPr>
          <w:rFonts w:ascii="仿宋" w:hAnsi="MS Gothic" w:eastAsia="仿宋" w:cs="Arial"/>
          <w:color w:val="auto"/>
          <w:kern w:val="0"/>
          <w:sz w:val="24"/>
          <w:highlight w:val="yellow"/>
        </w:rPr>
        <w:t>☐</w:t>
      </w:r>
      <w:r>
        <w:rPr>
          <w:rFonts w:hint="eastAsia" w:ascii="仿宋" w:hAnsi="仿宋" w:eastAsia="仿宋"/>
          <w:color w:val="auto"/>
          <w:sz w:val="24"/>
          <w:highlight w:val="yellow"/>
        </w:rPr>
        <w:t>否）</w:t>
      </w:r>
      <w:r>
        <w:rPr>
          <w:rFonts w:hint="eastAsia" w:ascii="仿宋" w:hAnsi="仿宋" w:eastAsia="仿宋"/>
          <w:color w:val="auto"/>
          <w:sz w:val="24"/>
          <w:highlight w:val="none"/>
        </w:rPr>
        <w:t>涉及货物。若涉及货物的，则：</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1.2.5.1 货物名称、品牌、规格型号、花色：</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1.2.5.2 货物数量：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1.2.5.3 货物质量：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rPr>
          <w:rFonts w:hint="default"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1.3价款</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本项目采用以下第</w:t>
      </w:r>
      <w:r>
        <w:rPr>
          <w:rFonts w:hint="eastAsia" w:ascii="仿宋" w:hAnsi="仿宋" w:eastAsia="仿宋"/>
          <w:b/>
          <w:bCs w:val="0"/>
          <w:color w:val="auto"/>
          <w:sz w:val="24"/>
          <w:highlight w:val="yellow"/>
          <w:u w:val="single"/>
        </w:rPr>
        <w:t xml:space="preserve"> </w:t>
      </w:r>
      <w:r>
        <w:rPr>
          <w:rFonts w:hint="eastAsia" w:ascii="仿宋" w:hAnsi="仿宋" w:eastAsia="仿宋"/>
          <w:b/>
          <w:bCs w:val="0"/>
          <w:color w:val="auto"/>
          <w:sz w:val="24"/>
          <w:highlight w:val="yellow"/>
          <w:u w:val="single"/>
          <w:lang w:val="en-US" w:eastAsia="zh-CN"/>
        </w:rPr>
        <w:t>1.3.2</w:t>
      </w:r>
      <w:r>
        <w:rPr>
          <w:rFonts w:hint="eastAsia" w:ascii="仿宋" w:hAnsi="仿宋" w:eastAsia="仿宋"/>
          <w:b/>
          <w:bCs w:val="0"/>
          <w:color w:val="auto"/>
          <w:sz w:val="24"/>
          <w:highlight w:val="yellow"/>
          <w:u w:val="single"/>
        </w:rPr>
        <w:t xml:space="preserve"> </w:t>
      </w:r>
      <w:r>
        <w:rPr>
          <w:rFonts w:hint="eastAsia" w:ascii="仿宋" w:hAnsi="仿宋" w:eastAsia="仿宋"/>
          <w:color w:val="auto"/>
          <w:sz w:val="24"/>
          <w:highlight w:val="none"/>
        </w:rPr>
        <w:t>条款规定的计价方式计价。</w:t>
      </w:r>
    </w:p>
    <w:p>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1.3.1 总价合同，本合同总价(含税)为：</w:t>
      </w:r>
      <w:r>
        <w:rPr>
          <w:rFonts w:hint="eastAsia" w:ascii="仿宋" w:hAnsi="仿宋" w:eastAsia="仿宋" w:cs="Times New Roman"/>
          <w:color w:val="auto"/>
          <w:sz w:val="24"/>
          <w:highlight w:val="none"/>
          <w:u w:val="single"/>
        </w:rPr>
        <w:t>￥     元（大写：     元人民币）</w:t>
      </w:r>
      <w:r>
        <w:rPr>
          <w:rFonts w:hint="eastAsia" w:ascii="仿宋" w:hAnsi="仿宋" w:eastAsia="仿宋" w:cs="Times New Roman"/>
          <w:color w:val="auto"/>
          <w:sz w:val="24"/>
          <w:highlight w:val="none"/>
        </w:rPr>
        <w:t>。</w:t>
      </w:r>
    </w:p>
    <w:p>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分项价格：</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146"/>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noWrap w:val="0"/>
            <w:vAlign w:val="center"/>
          </w:tcPr>
          <w:p>
            <w:pPr>
              <w:pStyle w:val="146"/>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noWrap w:val="0"/>
            <w:vAlign w:val="center"/>
          </w:tcPr>
          <w:p>
            <w:pPr>
              <w:pStyle w:val="146"/>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pPr>
              <w:pStyle w:val="146"/>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pPr>
              <w:pStyle w:val="146"/>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68"/>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pPr>
              <w:pStyle w:val="146"/>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146"/>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合同</w:t>
            </w:r>
            <w:r>
              <w:rPr>
                <w:rFonts w:hint="eastAsia" w:ascii="仿宋" w:hAnsi="仿宋" w:eastAsia="仿宋"/>
                <w:color w:val="auto"/>
                <w:sz w:val="24"/>
                <w:szCs w:val="24"/>
                <w:highlight w:val="none"/>
              </w:rPr>
              <w:t>总价</w:t>
            </w:r>
          </w:p>
        </w:tc>
        <w:tc>
          <w:tcPr>
            <w:tcW w:w="2552" w:type="dxa"/>
            <w:noWrap w:val="0"/>
            <w:vAlign w:val="center"/>
          </w:tcPr>
          <w:p>
            <w:pPr>
              <w:pStyle w:val="146"/>
              <w:ind w:firstLine="200"/>
              <w:jc w:val="center"/>
              <w:rPr>
                <w:rFonts w:ascii="仿宋" w:hAnsi="仿宋" w:eastAsia="仿宋"/>
                <w:color w:val="auto"/>
                <w:sz w:val="24"/>
                <w:szCs w:val="24"/>
                <w:highlight w:val="none"/>
              </w:rPr>
            </w:pPr>
          </w:p>
        </w:tc>
      </w:tr>
    </w:tbl>
    <w:p>
      <w:pPr>
        <w:ind w:firstLine="480" w:firstLineChars="200"/>
        <w:rPr>
          <w:rFonts w:hint="eastAsia" w:ascii="仿宋" w:hAnsi="仿宋" w:eastAsia="仿宋"/>
          <w:color w:val="auto"/>
          <w:sz w:val="24"/>
          <w:highlight w:val="none"/>
        </w:rPr>
      </w:pPr>
      <w:bookmarkStart w:id="54" w:name="_Toc10340"/>
      <w:bookmarkStart w:id="55" w:name="_Toc1814"/>
      <w:bookmarkStart w:id="56" w:name="_Toc22618"/>
      <w:r>
        <w:rPr>
          <w:rFonts w:hint="eastAsia" w:ascii="仿宋" w:hAnsi="仿宋" w:eastAsia="仿宋"/>
          <w:color w:val="auto"/>
          <w:sz w:val="24"/>
          <w:highlight w:val="none"/>
        </w:rPr>
        <w:t>1.3.2 单价合同，本合同单价(含税)标准为：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rPr>
          <w:rFonts w:hint="eastAsia" w:ascii="仿宋" w:hAnsi="仿宋" w:eastAsia="仿宋"/>
          <w:color w:val="auto"/>
          <w:sz w:val="24"/>
          <w:highlight w:val="none"/>
        </w:rPr>
      </w:pPr>
      <w:r>
        <w:rPr>
          <w:rFonts w:hint="eastAsia" w:ascii="仿宋" w:hAnsi="仿宋" w:eastAsia="仿宋"/>
          <w:color w:val="auto"/>
          <w:sz w:val="24"/>
          <w:highlight w:val="none"/>
        </w:rPr>
        <w:t>服务工作量的计量方式为：</w:t>
      </w:r>
      <w:r>
        <w:rPr>
          <w:rFonts w:hint="eastAsia" w:ascii="仿宋" w:hAnsi="仿宋" w:eastAsia="仿宋"/>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1.3.3 其他计价方式：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本合同所约定的总价还包括与执行本合同相关的一切费用。</w:t>
      </w:r>
    </w:p>
    <w:bookmarkEnd w:id="54"/>
    <w:bookmarkEnd w:id="55"/>
    <w:bookmarkEnd w:id="56"/>
    <w:p>
      <w:pPr>
        <w:rPr>
          <w:rFonts w:ascii="仿宋" w:hAnsi="仿宋" w:eastAsia="仿宋"/>
          <w:b/>
          <w:color w:val="auto"/>
          <w:sz w:val="24"/>
          <w:highlight w:val="none"/>
        </w:rPr>
      </w:pPr>
      <w:bookmarkStart w:id="57" w:name="_Toc19304"/>
      <w:bookmarkStart w:id="58" w:name="_Toc32071"/>
      <w:bookmarkStart w:id="59" w:name="_Toc2846"/>
      <w:r>
        <w:rPr>
          <w:rFonts w:hint="eastAsia" w:ascii="仿宋" w:hAnsi="仿宋" w:eastAsia="仿宋"/>
          <w:b/>
          <w:color w:val="auto"/>
          <w:sz w:val="24"/>
          <w:highlight w:val="none"/>
        </w:rPr>
        <w:t>1.4 履约保证金</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b w:val="0"/>
          <w:bCs w:val="0"/>
          <w:color w:val="auto"/>
          <w:sz w:val="24"/>
          <w:highlight w:val="yellow"/>
          <w:u w:val="single"/>
        </w:rPr>
        <w:t>（</w:t>
      </w:r>
      <w:r>
        <w:rPr>
          <w:rFonts w:hint="eastAsia" w:ascii="仿宋" w:hAnsi="MS Gothic" w:eastAsia="仿宋" w:cs="Arial"/>
          <w:b w:val="0"/>
          <w:bCs w:val="0"/>
          <w:color w:val="auto"/>
          <w:kern w:val="0"/>
          <w:sz w:val="24"/>
          <w:highlight w:val="yellow"/>
          <w:u w:val="single"/>
          <w:lang w:eastAsia="zh-CN"/>
        </w:rPr>
        <w:t>□</w:t>
      </w:r>
      <w:r>
        <w:rPr>
          <w:rFonts w:hint="eastAsia" w:ascii="仿宋" w:hAnsi="仿宋" w:eastAsia="仿宋"/>
          <w:b w:val="0"/>
          <w:bCs w:val="0"/>
          <w:color w:val="auto"/>
          <w:sz w:val="24"/>
          <w:highlight w:val="yellow"/>
          <w:u w:val="single"/>
        </w:rPr>
        <w:t>是/</w:t>
      </w:r>
      <w:r>
        <w:rPr>
          <w:rFonts w:hint="eastAsia" w:ascii="仿宋" w:hAnsi="MS Gothic" w:eastAsia="仿宋" w:cs="Arial"/>
          <w:b w:val="0"/>
          <w:bCs w:val="0"/>
          <w:color w:val="auto"/>
          <w:kern w:val="0"/>
          <w:sz w:val="24"/>
          <w:highlight w:val="yellow"/>
          <w:u w:val="single"/>
          <w:lang w:eastAsia="zh-CN"/>
        </w:rPr>
        <w:t>□</w:t>
      </w:r>
      <w:r>
        <w:rPr>
          <w:rFonts w:hint="eastAsia" w:ascii="仿宋" w:hAnsi="仿宋" w:eastAsia="仿宋"/>
          <w:b w:val="0"/>
          <w:bCs w:val="0"/>
          <w:color w:val="auto"/>
          <w:sz w:val="24"/>
          <w:highlight w:val="yellow"/>
          <w:u w:val="single"/>
        </w:rPr>
        <w:t>否）</w:t>
      </w:r>
      <w:r>
        <w:rPr>
          <w:rFonts w:hint="eastAsia" w:ascii="仿宋" w:hAnsi="仿宋" w:eastAsia="仿宋"/>
          <w:color w:val="auto"/>
          <w:sz w:val="24"/>
          <w:highlight w:val="none"/>
        </w:rPr>
        <w:t>需要支付履约保证金</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履约保证金不计利息</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。若需要支付履约保证金的，则：</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1.4.1 履约保证金的比例为合同金额的</w:t>
      </w:r>
      <w:r>
        <w:rPr>
          <w:rFonts w:hint="eastAsia" w:ascii="仿宋" w:hAnsi="仿宋" w:eastAsia="仿宋"/>
          <w:b/>
          <w:i/>
          <w:color w:val="auto"/>
          <w:sz w:val="24"/>
          <w:highlight w:val="none"/>
          <w:u w:val="single"/>
          <w:lang w:val="en-US" w:eastAsia="zh-CN"/>
        </w:rPr>
        <w:t xml:space="preserve">   </w:t>
      </w:r>
      <w:r>
        <w:rPr>
          <w:rFonts w:hint="eastAsia" w:ascii="仿宋" w:hAnsi="仿宋" w:eastAsia="仿宋"/>
          <w:b w:val="0"/>
          <w:bCs/>
          <w:i w:val="0"/>
          <w:iCs/>
          <w:color w:val="auto"/>
          <w:sz w:val="24"/>
          <w:highlight w:val="none"/>
          <w:u w:val="single"/>
          <w:lang w:val="en-US" w:eastAsia="zh-CN"/>
        </w:rPr>
        <w:t>（不超过合同金额的1%）</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1.4.2 履约保证金支付方式：详见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hint="eastAsia" w:ascii="仿宋" w:hAnsi="仿宋" w:eastAsia="仿宋"/>
          <w:color w:val="auto"/>
          <w:sz w:val="24"/>
          <w:highlight w:val="none"/>
        </w:rPr>
        <w:t>计算，最高限额为本合同履约保证金的</w:t>
      </w:r>
      <w:r>
        <w:rPr>
          <w:rFonts w:hint="eastAsia" w:ascii="仿宋" w:hAnsi="仿宋" w:eastAsia="仿宋"/>
          <w:b/>
          <w:color w:val="auto"/>
          <w:sz w:val="24"/>
          <w:highlight w:val="none"/>
          <w:u w:val="single"/>
        </w:rPr>
        <w:t>20%</w:t>
      </w:r>
      <w:r>
        <w:rPr>
          <w:rFonts w:hint="eastAsia" w:ascii="仿宋" w:hAnsi="仿宋" w:eastAsia="仿宋"/>
          <w:color w:val="auto"/>
          <w:sz w:val="24"/>
          <w:highlight w:val="none"/>
        </w:rPr>
        <w:t>。</w:t>
      </w:r>
    </w:p>
    <w:p>
      <w:pPr>
        <w:rPr>
          <w:rFonts w:ascii="仿宋" w:hAnsi="仿宋" w:eastAsia="仿宋"/>
          <w:b/>
          <w:color w:val="auto"/>
          <w:sz w:val="24"/>
          <w:highlight w:val="none"/>
        </w:rPr>
      </w:pPr>
      <w:r>
        <w:rPr>
          <w:rFonts w:hint="eastAsia" w:ascii="仿宋" w:hAnsi="仿宋" w:eastAsia="仿宋"/>
          <w:b/>
          <w:color w:val="auto"/>
          <w:sz w:val="24"/>
          <w:highlight w:val="none"/>
        </w:rPr>
        <w:t>1.5 预付款</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yellow"/>
          <w:u w:val="single"/>
        </w:rPr>
        <w:t>（</w:t>
      </w:r>
      <w:r>
        <w:rPr>
          <w:rFonts w:hint="eastAsia" w:ascii="仿宋" w:hAnsi="MS Gothic" w:eastAsia="仿宋" w:cs="Arial"/>
          <w:color w:val="auto"/>
          <w:kern w:val="0"/>
          <w:sz w:val="24"/>
          <w:highlight w:val="yellow"/>
          <w:u w:val="single"/>
          <w:lang w:eastAsia="zh-CN"/>
        </w:rPr>
        <w:t>□</w:t>
      </w:r>
      <w:r>
        <w:rPr>
          <w:rFonts w:hint="eastAsia" w:ascii="仿宋" w:hAnsi="仿宋" w:eastAsia="仿宋"/>
          <w:color w:val="auto"/>
          <w:sz w:val="24"/>
          <w:highlight w:val="yellow"/>
          <w:u w:val="single"/>
        </w:rPr>
        <w:t>是/</w:t>
      </w:r>
      <w:r>
        <w:rPr>
          <w:rFonts w:ascii="仿宋" w:hAnsi="MS Gothic" w:eastAsia="仿宋" w:cs="Arial"/>
          <w:color w:val="auto"/>
          <w:kern w:val="0"/>
          <w:sz w:val="24"/>
          <w:highlight w:val="yellow"/>
          <w:u w:val="single"/>
        </w:rPr>
        <w:t>☐</w:t>
      </w:r>
      <w:r>
        <w:rPr>
          <w:rFonts w:hint="eastAsia" w:ascii="仿宋" w:hAnsi="仿宋" w:eastAsia="仿宋"/>
          <w:color w:val="auto"/>
          <w:sz w:val="24"/>
          <w:highlight w:val="yellow"/>
          <w:u w:val="single"/>
        </w:rPr>
        <w:t>否）</w:t>
      </w:r>
      <w:r>
        <w:rPr>
          <w:rFonts w:hint="eastAsia" w:ascii="仿宋" w:hAnsi="仿宋" w:eastAsia="仿宋"/>
          <w:color w:val="auto"/>
          <w:sz w:val="24"/>
          <w:highlight w:val="none"/>
        </w:rPr>
        <w:t>需要支付预付款。若需要支付预付款的，则：</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 预付款比例、支付方式、时间：详见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 预付款的扣回方式：详见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 预付款的担保措施：详见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rPr>
          <w:rFonts w:ascii="仿宋" w:hAnsi="仿宋" w:eastAsia="仿宋"/>
          <w:b/>
          <w:color w:val="auto"/>
          <w:sz w:val="24"/>
          <w:highlight w:val="none"/>
        </w:rPr>
      </w:pPr>
      <w:r>
        <w:rPr>
          <w:rFonts w:hint="eastAsia" w:ascii="仿宋" w:hAnsi="仿宋" w:eastAsia="仿宋"/>
          <w:b/>
          <w:color w:val="auto"/>
          <w:sz w:val="24"/>
          <w:highlight w:val="none"/>
        </w:rPr>
        <w:t>1.6 资金支付</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 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ascii="仿宋" w:hAnsi="仿宋" w:eastAsia="仿宋"/>
          <w:color w:val="auto"/>
          <w:sz w:val="24"/>
          <w:highlight w:val="none"/>
          <w:lang w:val="en-US" w:eastAsia="zh-CN"/>
        </w:rPr>
        <w:t>关于付款的相关约定以本合同专用条款的约定为准。</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1.6.2 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 xml:space="preserve"> 服务交付（实施）的时间（期限）</w:t>
      </w:r>
      <w:r>
        <w:rPr>
          <w:rFonts w:ascii="仿宋" w:hAnsi="仿宋" w:eastAsia="仿宋"/>
          <w:color w:val="auto"/>
          <w:sz w:val="24"/>
          <w:highlight w:val="none"/>
        </w:rPr>
        <w:t>：</w:t>
      </w:r>
      <w:r>
        <w:rPr>
          <w:rFonts w:hint="eastAsia"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.2</w:t>
      </w:r>
      <w:r>
        <w:rPr>
          <w:rFonts w:hint="eastAsia" w:ascii="仿宋" w:hAnsi="仿宋" w:eastAsia="仿宋"/>
          <w:color w:val="auto"/>
          <w:sz w:val="24"/>
          <w:highlight w:val="none"/>
        </w:rPr>
        <w:t xml:space="preserve"> 服务交付（实施）的地点（地域范围）：详见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.3</w:t>
      </w:r>
      <w:r>
        <w:rPr>
          <w:rFonts w:hint="eastAsia" w:ascii="仿宋" w:hAnsi="仿宋" w:eastAsia="仿宋"/>
          <w:color w:val="auto"/>
          <w:sz w:val="24"/>
          <w:highlight w:val="none"/>
        </w:rPr>
        <w:t xml:space="preserve"> 服务交付（实施）的方式：详见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 若服务涉及货物的，则货物的：</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1.7.4.1 交付期限：详见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1.7.4.2 交付地点：详见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1.7.4.3 交付方式：详见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bookmarkEnd w:id="57"/>
    <w:bookmarkEnd w:id="58"/>
    <w:bookmarkEnd w:id="59"/>
    <w:p>
      <w:pPr>
        <w:rPr>
          <w:rFonts w:ascii="仿宋" w:hAnsi="仿宋" w:eastAsia="仿宋"/>
          <w:b/>
          <w:color w:val="auto"/>
          <w:sz w:val="24"/>
          <w:highlight w:val="none"/>
        </w:rPr>
      </w:pPr>
      <w:bookmarkStart w:id="60" w:name="_Toc27250"/>
      <w:bookmarkStart w:id="61" w:name="_Toc21423"/>
      <w:bookmarkStart w:id="62" w:name="_Toc19554"/>
      <w:r>
        <w:rPr>
          <w:rFonts w:ascii="仿宋" w:hAnsi="仿宋" w:eastAsia="仿宋"/>
          <w:b/>
          <w:color w:val="auto"/>
          <w:sz w:val="24"/>
          <w:highlight w:val="none"/>
        </w:rPr>
        <w:t>1.</w:t>
      </w:r>
      <w:r>
        <w:rPr>
          <w:rFonts w:hint="eastAsia" w:ascii="仿宋" w:hAnsi="仿宋" w:eastAsia="仿宋"/>
          <w:b/>
          <w:color w:val="auto"/>
          <w:sz w:val="24"/>
          <w:highlight w:val="none"/>
        </w:rPr>
        <w:t>8</w:t>
      </w:r>
      <w:r>
        <w:rPr>
          <w:rFonts w:ascii="仿宋" w:hAnsi="仿宋" w:eastAsia="仿宋"/>
          <w:b/>
          <w:color w:val="auto"/>
          <w:sz w:val="24"/>
          <w:highlight w:val="none"/>
        </w:rPr>
        <w:t xml:space="preserve"> </w:t>
      </w:r>
      <w:r>
        <w:rPr>
          <w:rFonts w:hint="eastAsia" w:ascii="仿宋" w:hAnsi="仿宋" w:eastAsia="仿宋"/>
          <w:b/>
          <w:color w:val="auto"/>
          <w:sz w:val="24"/>
          <w:highlight w:val="none"/>
        </w:rPr>
        <w:t>违约责任</w:t>
      </w:r>
      <w:bookmarkEnd w:id="60"/>
      <w:bookmarkEnd w:id="61"/>
      <w:bookmarkEnd w:id="62"/>
    </w:p>
    <w:p>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除不可抗力外，如果乙方没有按照本合同约定的期限、地点和方式履行，那么甲方可要求乙方支付违约金，违约金按每迟延履行一日的</w:t>
      </w:r>
      <w:r>
        <w:rPr>
          <w:rFonts w:hint="eastAsia" w:ascii="仿宋" w:hAnsi="仿宋" w:eastAsia="仿宋"/>
          <w:color w:val="auto"/>
          <w:sz w:val="24"/>
          <w:highlight w:val="none"/>
          <w:lang w:val="en-US" w:eastAsia="zh-CN"/>
        </w:rPr>
        <w:t>合同总价</w:t>
      </w:r>
      <w:r>
        <w:rPr>
          <w:rFonts w:hint="eastAsia" w:ascii="仿宋" w:hAnsi="仿宋" w:eastAsia="仿宋"/>
          <w:color w:val="auto"/>
          <w:sz w:val="24"/>
          <w:highlight w:val="none"/>
        </w:rPr>
        <w:t>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的违约金计算数额达到前述最高限额之日起，甲方有权在要求乙方支付违约金的同时，书面通知乙方解除本合同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1.8.2 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hint="eastAsia"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hint="eastAsia" w:ascii="仿宋" w:hAnsi="仿宋" w:eastAsia="仿宋"/>
          <w:color w:val="auto"/>
          <w:sz w:val="24"/>
          <w:highlight w:val="none"/>
          <w:u w:val="single"/>
        </w:rPr>
        <w:t>（可根据情况修改）</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hint="eastAsia" w:ascii="仿宋" w:hAnsi="仿宋" w:eastAsia="仿宋"/>
          <w:color w:val="auto"/>
          <w:sz w:val="24"/>
          <w:highlight w:val="none"/>
          <w:u w:val="single"/>
        </w:rPr>
        <w:t>（可根据情况修改）</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1.8.6 如果出现政府采购监督管理部门在处理投诉事项期间，书面通知甲方暂停采购活动的情形，或者询问或质疑事项可能影响中标或者成交结果的，导致甲方中止履行合同的情形，均不视为甲方违约</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pPr>
        <w:ind w:left="-420" w:leftChars="-200" w:right="-420" w:rightChars="-200" w:firstLine="960" w:firstLineChars="400"/>
        <w:rPr>
          <w:rFonts w:ascii="仿宋" w:hAnsi="仿宋" w:eastAsia="仿宋"/>
          <w:color w:val="auto"/>
          <w:highlight w:val="none"/>
        </w:rPr>
      </w:pPr>
      <w:r>
        <w:rPr>
          <w:rFonts w:hint="eastAsia" w:ascii="仿宋" w:hAnsi="仿宋" w:eastAsia="仿宋"/>
          <w:color w:val="auto"/>
          <w:sz w:val="24"/>
          <w:highlight w:val="none"/>
        </w:rPr>
        <w:t>1.8.7 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rPr>
          <w:rFonts w:ascii="仿宋" w:hAnsi="仿宋" w:eastAsia="仿宋"/>
          <w:b/>
          <w:color w:val="auto"/>
          <w:sz w:val="24"/>
          <w:highlight w:val="none"/>
        </w:rPr>
      </w:pPr>
      <w:bookmarkStart w:id="63" w:name="_Toc16021"/>
      <w:bookmarkStart w:id="64" w:name="_Toc15583"/>
      <w:bookmarkStart w:id="65" w:name="_Toc28375"/>
      <w:r>
        <w:rPr>
          <w:rFonts w:ascii="仿宋" w:hAnsi="仿宋" w:eastAsia="仿宋"/>
          <w:b/>
          <w:color w:val="auto"/>
          <w:sz w:val="24"/>
          <w:highlight w:val="none"/>
        </w:rPr>
        <w:t>1.</w:t>
      </w:r>
      <w:r>
        <w:rPr>
          <w:rFonts w:hint="eastAsia" w:ascii="仿宋" w:hAnsi="仿宋" w:eastAsia="仿宋"/>
          <w:b/>
          <w:color w:val="auto"/>
          <w:sz w:val="24"/>
          <w:highlight w:val="none"/>
        </w:rPr>
        <w:t>9</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合同争议的解决</w:t>
      </w:r>
      <w:bookmarkEnd w:id="63"/>
      <w:bookmarkEnd w:id="64"/>
      <w:bookmarkEnd w:id="65"/>
    </w:p>
    <w:p>
      <w:pPr>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bCs/>
          <w:color w:val="auto"/>
          <w:sz w:val="24"/>
          <w:highlight w:val="yellow"/>
          <w:u w:val="single"/>
          <w:lang w:val="en-US" w:eastAsia="zh-CN"/>
        </w:rPr>
        <w:t xml:space="preserve"> 1.9.2 </w:t>
      </w:r>
      <w:r>
        <w:rPr>
          <w:rFonts w:hint="eastAsia" w:ascii="仿宋" w:hAnsi="仿宋" w:eastAsia="仿宋"/>
          <w:color w:val="auto"/>
          <w:sz w:val="24"/>
          <w:highlight w:val="none"/>
        </w:rPr>
        <w:t>条款规定的方式解决：</w:t>
      </w:r>
    </w:p>
    <w:p>
      <w:pPr>
        <w:ind w:right="-420" w:rightChars="-200"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 xml:space="preserve">.1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ind w:right="-420" w:rightChars="-200"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 xml:space="preserve">.2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rPr>
          <w:rFonts w:ascii="仿宋" w:hAnsi="仿宋" w:eastAsia="仿宋"/>
          <w:b/>
          <w:color w:val="auto"/>
          <w:sz w:val="24"/>
          <w:highlight w:val="none"/>
        </w:rPr>
      </w:pPr>
      <w:bookmarkStart w:id="66" w:name="_Toc11173"/>
      <w:bookmarkStart w:id="67" w:name="_Toc7245"/>
      <w:bookmarkStart w:id="68" w:name="_Toc15322"/>
      <w:r>
        <w:rPr>
          <w:rFonts w:ascii="仿宋" w:hAnsi="仿宋" w:eastAsia="仿宋"/>
          <w:b/>
          <w:color w:val="auto"/>
          <w:sz w:val="24"/>
          <w:highlight w:val="none"/>
        </w:rPr>
        <w:t>1.</w:t>
      </w:r>
      <w:r>
        <w:rPr>
          <w:rFonts w:hint="eastAsia" w:ascii="仿宋" w:hAnsi="仿宋" w:eastAsia="仿宋"/>
          <w:b/>
          <w:color w:val="auto"/>
          <w:sz w:val="24"/>
          <w:highlight w:val="none"/>
        </w:rPr>
        <w:t>10</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合同生效</w:t>
      </w:r>
      <w:bookmarkEnd w:id="66"/>
      <w:bookmarkEnd w:id="67"/>
      <w:bookmarkEnd w:id="68"/>
    </w:p>
    <w:p>
      <w:pPr>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w:t>
      </w:r>
      <w:r>
        <w:rPr>
          <w:rFonts w:hint="eastAsia" w:ascii="仿宋" w:hAnsi="仿宋" w:eastAsia="仿宋"/>
          <w:color w:val="auto"/>
          <w:sz w:val="24"/>
          <w:highlight w:val="none"/>
          <w:lang w:val="en-US" w:eastAsia="zh-CN"/>
        </w:rPr>
        <w:t>且</w:t>
      </w:r>
      <w:r>
        <w:rPr>
          <w:rFonts w:hint="eastAsia" w:ascii="仿宋" w:hAnsi="仿宋" w:eastAsia="仿宋"/>
          <w:color w:val="auto"/>
          <w:sz w:val="24"/>
          <w:highlight w:val="none"/>
        </w:rPr>
        <w:t>签字时生效。</w:t>
      </w:r>
    </w:p>
    <w:p>
      <w:pPr>
        <w:autoSpaceDE w:val="0"/>
        <w:autoSpaceDN w:val="0"/>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w:t>
      </w:r>
      <w:r>
        <w:rPr>
          <w:rFonts w:ascii="仿宋" w:hAnsi="仿宋" w:eastAsia="仿宋"/>
          <w:color w:val="auto"/>
          <w:sz w:val="24"/>
          <w:highlight w:val="none"/>
          <w:lang w:val="zh-CN"/>
        </w:rPr>
        <w:t>或</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授权代表（签字）： </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电话: </w:t>
      </w:r>
    </w:p>
    <w:p>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开户银行： </w:t>
      </w:r>
    </w:p>
    <w:p>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开户名称： </w:t>
      </w:r>
    </w:p>
    <w:p>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开户账号：                         开户账号：</w:t>
      </w:r>
    </w:p>
    <w:p>
      <w:pPr>
        <w:pStyle w:val="146"/>
        <w:rPr>
          <w:rFonts w:ascii="宋体" w:hAnsi="宋体" w:eastAsia="宋体"/>
          <w:color w:val="auto"/>
          <w:highlight w:val="none"/>
        </w:rPr>
      </w:pPr>
      <w:bookmarkStart w:id="69" w:name="_Toc331685783"/>
    </w:p>
    <w:p>
      <w:pPr>
        <w:pStyle w:val="498"/>
        <w:spacing w:line="240" w:lineRule="auto"/>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 合同一般条款</w:t>
      </w:r>
      <w:bookmarkEnd w:id="69"/>
    </w:p>
    <w:p>
      <w:pPr>
        <w:rPr>
          <w:rFonts w:ascii="仿宋" w:hAnsi="仿宋" w:eastAsia="仿宋"/>
          <w:b/>
          <w:color w:val="auto"/>
          <w:sz w:val="24"/>
          <w:highlight w:val="none"/>
        </w:rPr>
      </w:pPr>
      <w:bookmarkStart w:id="70" w:name="_Toc16917"/>
      <w:bookmarkStart w:id="71" w:name="_Toc19614"/>
      <w:bookmarkStart w:id="72" w:name="_Ref467379101"/>
      <w:bookmarkStart w:id="73" w:name="_Ref467379094"/>
      <w:bookmarkStart w:id="74" w:name="_Ref467379214"/>
      <w:bookmarkStart w:id="75" w:name="_Ref467379205"/>
      <w:bookmarkStart w:id="76" w:name="_Ref467378499"/>
      <w:bookmarkStart w:id="77" w:name="_Ref467378463"/>
      <w:bookmarkStart w:id="78" w:name="_Toc259093669"/>
      <w:bookmarkStart w:id="79" w:name="_Ref467378404"/>
      <w:bookmarkStart w:id="80" w:name="_Toc487900349"/>
      <w:bookmarkStart w:id="81" w:name="_Toc279701240"/>
      <w:bookmarkStart w:id="82" w:name="_Toc28763"/>
      <w:bookmarkStart w:id="83" w:name="_Ref467379195"/>
      <w:bookmarkStart w:id="84" w:name="_Ref467379109"/>
      <w:bookmarkStart w:id="85" w:name="_Ref467379225"/>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.1 </w:t>
      </w:r>
      <w:r>
        <w:rPr>
          <w:rFonts w:ascii="仿宋" w:hAnsi="仿宋" w:eastAsia="仿宋"/>
          <w:color w:val="auto"/>
          <w:sz w:val="24"/>
          <w:highlight w:val="none"/>
        </w:rPr>
        <w:t>“合同”系指采购人和成交供应商签订的载明双方当事人所达成的协议，并包括所有的附件、附录和构成合同的其他文件。</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1.2</w:t>
      </w:r>
      <w:r>
        <w:rPr>
          <w:rFonts w:hint="eastAsia" w:ascii="仿宋" w:hAnsi="仿宋" w:eastAsia="仿宋"/>
          <w:color w:val="auto"/>
          <w:sz w:val="24"/>
          <w:highlight w:val="none"/>
        </w:rPr>
        <w:t xml:space="preserve"> </w:t>
      </w:r>
      <w:r>
        <w:rPr>
          <w:rFonts w:ascii="仿宋" w:hAnsi="仿宋" w:eastAsia="仿宋"/>
          <w:color w:val="auto"/>
          <w:sz w:val="24"/>
          <w:highlight w:val="none"/>
        </w:rPr>
        <w:t>“合同价”系指根据合同约定，成交供应商在完全履行合同义务后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采购人应支付给成交供应商的价格。</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1.3</w:t>
      </w:r>
      <w:r>
        <w:rPr>
          <w:rFonts w:hint="eastAsia" w:ascii="仿宋" w:hAnsi="仿宋" w:eastAsia="仿宋"/>
          <w:color w:val="auto"/>
          <w:sz w:val="24"/>
          <w:highlight w:val="none"/>
        </w:rPr>
        <w:t xml:space="preserve"> </w:t>
      </w:r>
      <w:r>
        <w:rPr>
          <w:rFonts w:ascii="仿宋" w:hAnsi="仿宋" w:eastAsia="仿宋"/>
          <w:color w:val="auto"/>
          <w:sz w:val="24"/>
          <w:highlight w:val="none"/>
        </w:rPr>
        <w:t>“</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成交供应商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pPr>
        <w:ind w:firstLine="480" w:firstLineChars="200"/>
        <w:rPr>
          <w:rFonts w:ascii="仿宋" w:hAnsi="仿宋" w:eastAsia="仿宋"/>
          <w:color w:val="auto"/>
          <w:sz w:val="24"/>
          <w:highlight w:val="none"/>
        </w:rPr>
      </w:pPr>
      <w:bookmarkStart w:id="86" w:name="_Ref46737884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4 </w:t>
      </w:r>
      <w:r>
        <w:rPr>
          <w:rFonts w:ascii="仿宋" w:hAnsi="仿宋" w:eastAsia="仿宋"/>
          <w:color w:val="auto"/>
          <w:sz w:val="24"/>
          <w:highlight w:val="none"/>
        </w:rPr>
        <w:t>“</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成交供应商</w:t>
      </w:r>
      <w:r>
        <w:rPr>
          <w:rFonts w:ascii="仿宋" w:hAnsi="仿宋" w:eastAsia="仿宋"/>
          <w:color w:val="auto"/>
          <w:sz w:val="24"/>
          <w:highlight w:val="none"/>
        </w:rPr>
        <w:t>签署合同的采购人</w:t>
      </w:r>
      <w:bookmarkEnd w:id="86"/>
      <w:r>
        <w:rPr>
          <w:rFonts w:hint="eastAsia" w:ascii="仿宋" w:hAnsi="仿宋" w:eastAsia="仿宋"/>
          <w:color w:val="auto"/>
          <w:sz w:val="24"/>
          <w:highlight w:val="none"/>
        </w:rPr>
        <w:t>；采购人委托采购代理机构代表其与乙方签订合同的，采购人的授权委托书作为合同附件。</w:t>
      </w:r>
    </w:p>
    <w:p>
      <w:pPr>
        <w:ind w:firstLine="480" w:firstLineChars="200"/>
        <w:rPr>
          <w:rFonts w:ascii="仿宋" w:hAnsi="仿宋" w:eastAsia="仿宋"/>
          <w:color w:val="auto"/>
          <w:sz w:val="24"/>
          <w:highlight w:val="none"/>
        </w:rPr>
      </w:pPr>
      <w:bookmarkStart w:id="87" w:name="_Ref46737940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5 </w:t>
      </w:r>
      <w:r>
        <w:rPr>
          <w:rFonts w:ascii="仿宋" w:hAnsi="仿宋" w:eastAsia="仿宋"/>
          <w:color w:val="auto"/>
          <w:sz w:val="24"/>
          <w:highlight w:val="none"/>
        </w:rPr>
        <w:t>“乙方”系指根据合同约定</w:t>
      </w:r>
      <w:r>
        <w:rPr>
          <w:rFonts w:hint="eastAsia" w:ascii="仿宋" w:hAnsi="仿宋" w:eastAsia="仿宋"/>
          <w:color w:val="auto"/>
          <w:sz w:val="24"/>
          <w:highlight w:val="none"/>
        </w:rPr>
        <w:t>提供服务</w:t>
      </w:r>
      <w:r>
        <w:rPr>
          <w:rFonts w:ascii="仿宋" w:hAnsi="仿宋" w:eastAsia="仿宋"/>
          <w:color w:val="auto"/>
          <w:sz w:val="24"/>
          <w:highlight w:val="none"/>
        </w:rPr>
        <w:t>的成交供应商</w:t>
      </w:r>
      <w:bookmarkEnd w:id="87"/>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ind w:firstLine="480" w:firstLineChars="200"/>
        <w:rPr>
          <w:rFonts w:ascii="仿宋" w:hAnsi="仿宋" w:eastAsia="仿宋"/>
          <w:color w:val="auto"/>
          <w:sz w:val="24"/>
          <w:highlight w:val="none"/>
        </w:rPr>
      </w:pPr>
      <w:bookmarkStart w:id="88" w:name="_Ref467379436"/>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6 </w:t>
      </w:r>
      <w:r>
        <w:rPr>
          <w:rFonts w:ascii="仿宋" w:hAnsi="仿宋" w:eastAsia="仿宋"/>
          <w:color w:val="auto"/>
          <w:sz w:val="24"/>
          <w:highlight w:val="none"/>
        </w:rPr>
        <w:t>“现场”系指合同约定</w:t>
      </w:r>
      <w:r>
        <w:rPr>
          <w:rFonts w:hint="eastAsia" w:ascii="仿宋" w:hAnsi="仿宋" w:eastAsia="仿宋"/>
          <w:color w:val="auto"/>
          <w:sz w:val="24"/>
          <w:highlight w:val="none"/>
        </w:rPr>
        <w:t>提供服务</w:t>
      </w:r>
      <w:r>
        <w:rPr>
          <w:rFonts w:ascii="仿宋" w:hAnsi="仿宋" w:eastAsia="仿宋"/>
          <w:color w:val="auto"/>
          <w:sz w:val="24"/>
          <w:highlight w:val="none"/>
        </w:rPr>
        <w:t>的地点。</w:t>
      </w:r>
      <w:bookmarkEnd w:id="88"/>
    </w:p>
    <w:p>
      <w:pPr>
        <w:rPr>
          <w:rFonts w:ascii="仿宋" w:hAnsi="仿宋" w:eastAsia="仿宋"/>
          <w:b/>
          <w:color w:val="auto"/>
          <w:sz w:val="24"/>
          <w:highlight w:val="none"/>
        </w:rPr>
      </w:pPr>
      <w:bookmarkStart w:id="89" w:name="_Toc259093670"/>
      <w:bookmarkStart w:id="90" w:name="_Toc279701241"/>
      <w:bookmarkStart w:id="91" w:name="_Toc487900350"/>
      <w:bookmarkStart w:id="92" w:name="_Toc27635"/>
      <w:bookmarkStart w:id="93" w:name="_Toc32504"/>
      <w:bookmarkStart w:id="94" w:name="_Toc13336"/>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89"/>
      <w:bookmarkEnd w:id="90"/>
      <w:bookmarkEnd w:id="91"/>
      <w:bookmarkEnd w:id="92"/>
      <w:bookmarkEnd w:id="93"/>
      <w:bookmarkEnd w:id="94"/>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合同标的物所应遵守的技术规范应与采购文件规定的技术规范和技术规范附件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rPr>
          <w:rFonts w:ascii="仿宋" w:hAnsi="仿宋" w:eastAsia="仿宋"/>
          <w:b/>
          <w:color w:val="auto"/>
          <w:sz w:val="24"/>
          <w:highlight w:val="none"/>
        </w:rPr>
      </w:pPr>
      <w:bookmarkStart w:id="95" w:name="_Toc259093671"/>
      <w:bookmarkStart w:id="96" w:name="_Toc9829"/>
      <w:bookmarkStart w:id="97" w:name="_Toc487900351"/>
      <w:bookmarkStart w:id="98" w:name="_Toc27853"/>
      <w:bookmarkStart w:id="99" w:name="_Toc31634"/>
      <w:bookmarkStart w:id="100" w:name="_Toc279701242"/>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95"/>
      <w:bookmarkEnd w:id="96"/>
      <w:bookmarkEnd w:id="97"/>
      <w:bookmarkEnd w:id="98"/>
      <w:bookmarkEnd w:id="99"/>
      <w:bookmarkEnd w:id="100"/>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 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 xml:space="preserve"> </w:t>
      </w:r>
      <w:r>
        <w:rPr>
          <w:rFonts w:ascii="仿宋" w:hAnsi="仿宋" w:eastAsia="仿宋"/>
          <w:color w:val="auto"/>
          <w:sz w:val="24"/>
          <w:highlight w:val="none"/>
        </w:rPr>
        <w:t>具有知识产权的计算机软件等知识产权归属，详见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outlineLvl w:val="3"/>
        <w:rPr>
          <w:rFonts w:ascii="仿宋" w:hAnsi="仿宋" w:eastAsia="仿宋"/>
          <w:b/>
          <w:bCs/>
          <w:color w:val="auto"/>
          <w:sz w:val="24"/>
          <w:highlight w:val="none"/>
          <w:lang w:val="zh-CN"/>
        </w:rPr>
      </w:pPr>
      <w:bookmarkStart w:id="101" w:name="_Ref467378591"/>
      <w:bookmarkStart w:id="102" w:name="_Ref467379542"/>
      <w:bookmarkStart w:id="103" w:name="_Ref467379536"/>
      <w:bookmarkStart w:id="104" w:name="_Ref467379527"/>
      <w:bookmarkStart w:id="105" w:name="_Ref467378541"/>
      <w:bookmarkStart w:id="106" w:name="_Toc487900354"/>
      <w:bookmarkStart w:id="107" w:name="_Toc279701245"/>
      <w:bookmarkStart w:id="108" w:name="_Toc259093674"/>
      <w:bookmarkStart w:id="109" w:name="_Toc30272"/>
      <w:bookmarkStart w:id="110" w:name="_Toc19074"/>
      <w:bookmarkStart w:id="111" w:name="_Toc26182"/>
      <w:r>
        <w:rPr>
          <w:rFonts w:hint="eastAsia" w:ascii="仿宋" w:hAnsi="仿宋" w:eastAsia="仿宋"/>
          <w:b/>
          <w:bCs/>
          <w:color w:val="auto"/>
          <w:sz w:val="24"/>
          <w:highlight w:val="none"/>
          <w:lang w:val="zh-CN"/>
        </w:rPr>
        <w:t>2.</w:t>
      </w:r>
      <w:bookmarkEnd w:id="101"/>
      <w:bookmarkEnd w:id="102"/>
      <w:bookmarkEnd w:id="103"/>
      <w:bookmarkEnd w:id="104"/>
      <w:bookmarkEnd w:id="105"/>
      <w:bookmarkEnd w:id="106"/>
      <w:bookmarkEnd w:id="107"/>
      <w:bookmarkEnd w:id="108"/>
      <w:r>
        <w:rPr>
          <w:rFonts w:ascii="仿宋" w:hAnsi="仿宋" w:eastAsia="仿宋"/>
          <w:b/>
          <w:bCs/>
          <w:color w:val="auto"/>
          <w:sz w:val="24"/>
          <w:highlight w:val="none"/>
          <w:lang w:val="zh-CN"/>
        </w:rPr>
        <w:t xml:space="preserve">4 </w:t>
      </w:r>
      <w:r>
        <w:rPr>
          <w:rFonts w:hint="eastAsia" w:ascii="仿宋" w:hAnsi="仿宋" w:eastAsia="仿宋"/>
          <w:b/>
          <w:bCs/>
          <w:color w:val="auto"/>
          <w:sz w:val="24"/>
          <w:highlight w:val="none"/>
          <w:lang w:val="zh-CN"/>
        </w:rPr>
        <w:t>履约检查和问题反馈</w:t>
      </w:r>
      <w:bookmarkEnd w:id="109"/>
      <w:bookmarkEnd w:id="110"/>
      <w:bookmarkEnd w:id="111"/>
    </w:p>
    <w:p>
      <w:pPr>
        <w:ind w:firstLine="480" w:firstLineChars="200"/>
        <w:rPr>
          <w:rFonts w:ascii="仿宋" w:hAnsi="仿宋" w:eastAsia="仿宋"/>
          <w:color w:val="auto"/>
          <w:sz w:val="24"/>
          <w:highlight w:val="none"/>
        </w:rPr>
      </w:pPr>
      <w:bookmarkStart w:id="112" w:name="_Toc186431854"/>
      <w:bookmarkStart w:id="113" w:name="_Toc487900357"/>
      <w:bookmarkStart w:id="114" w:name="_Ref467379807"/>
      <w:bookmarkStart w:id="115" w:name="_Ref467379793"/>
      <w:bookmarkStart w:id="116" w:name="_Toc259093676"/>
      <w:bookmarkStart w:id="117" w:name="_Toc279701247"/>
      <w:r>
        <w:rPr>
          <w:rFonts w:hint="eastAsia" w:ascii="仿宋" w:hAnsi="仿宋" w:eastAsia="仿宋"/>
          <w:color w:val="auto"/>
          <w:sz w:val="24"/>
          <w:highlight w:val="none"/>
        </w:rPr>
        <w:t>2.4</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，对乙方是否能够按照合同约定提供服务进行履约检查，以确保乙方所提供的服务能够依约满足甲方项目需求，但不得因履约检查妨碍乙方的正常工作，乙方应予积极配合；</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4</w:t>
      </w:r>
      <w:r>
        <w:rPr>
          <w:rFonts w:hint="eastAsia" w:ascii="仿宋" w:hAnsi="仿宋" w:eastAsia="仿宋"/>
          <w:color w:val="auto"/>
          <w:sz w:val="24"/>
          <w:highlight w:val="none"/>
        </w:rPr>
        <w:t>.2 合同履行期间，甲方有权将履行过程中出现的问题反馈给乙方，双方当事人应以书面形式约定需要完善和改进的内容</w:t>
      </w:r>
      <w:bookmarkEnd w:id="112"/>
      <w:bookmarkStart w:id="118" w:name="_Toc186431855"/>
      <w:r>
        <w:rPr>
          <w:rFonts w:hint="eastAsia" w:ascii="仿宋" w:hAnsi="仿宋" w:eastAsia="仿宋"/>
          <w:color w:val="auto"/>
          <w:sz w:val="24"/>
          <w:highlight w:val="none"/>
        </w:rPr>
        <w:t>。</w:t>
      </w:r>
    </w:p>
    <w:bookmarkEnd w:id="118"/>
    <w:p>
      <w:pPr>
        <w:outlineLvl w:val="3"/>
        <w:rPr>
          <w:rFonts w:ascii="仿宋" w:hAnsi="仿宋" w:eastAsia="仿宋"/>
          <w:b/>
          <w:bCs/>
          <w:color w:val="auto"/>
          <w:sz w:val="24"/>
          <w:highlight w:val="none"/>
          <w:lang w:val="zh-CN"/>
        </w:rPr>
      </w:pPr>
      <w:bookmarkStart w:id="119" w:name="_Toc19219"/>
      <w:bookmarkStart w:id="120" w:name="_Toc7836"/>
      <w:bookmarkStart w:id="121" w:name="_Toc28451"/>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5</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结算方式和付款条件</w:t>
      </w:r>
      <w:bookmarkEnd w:id="113"/>
      <w:bookmarkEnd w:id="114"/>
      <w:bookmarkEnd w:id="115"/>
      <w:bookmarkEnd w:id="116"/>
      <w:bookmarkEnd w:id="117"/>
      <w:bookmarkEnd w:id="119"/>
      <w:bookmarkEnd w:id="120"/>
      <w:bookmarkEnd w:id="121"/>
    </w:p>
    <w:p>
      <w:pPr>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outlineLvl w:val="3"/>
        <w:rPr>
          <w:rFonts w:ascii="仿宋" w:hAnsi="仿宋" w:eastAsia="仿宋"/>
          <w:b/>
          <w:bCs/>
          <w:color w:val="auto"/>
          <w:sz w:val="24"/>
          <w:highlight w:val="none"/>
          <w:lang w:val="zh-CN"/>
        </w:rPr>
      </w:pPr>
      <w:bookmarkStart w:id="122" w:name="_Ref467379923"/>
      <w:bookmarkStart w:id="123" w:name="_Toc487900358"/>
      <w:bookmarkStart w:id="124" w:name="_Ref467379863"/>
      <w:bookmarkStart w:id="125" w:name="_Ref467379852"/>
      <w:bookmarkStart w:id="126" w:name="_Toc259093677"/>
      <w:bookmarkStart w:id="127" w:name="_Toc279701248"/>
      <w:bookmarkStart w:id="128" w:name="_Toc774"/>
      <w:bookmarkStart w:id="129" w:name="_Toc16110"/>
      <w:bookmarkStart w:id="130" w:name="_Toc3225"/>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6</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技术资料</w:t>
      </w:r>
      <w:bookmarkEnd w:id="122"/>
      <w:bookmarkEnd w:id="123"/>
      <w:bookmarkEnd w:id="124"/>
      <w:bookmarkEnd w:id="125"/>
      <w:bookmarkEnd w:id="126"/>
      <w:bookmarkEnd w:id="127"/>
      <w:r>
        <w:rPr>
          <w:rFonts w:ascii="仿宋" w:hAnsi="仿宋" w:eastAsia="仿宋"/>
          <w:b/>
          <w:bCs/>
          <w:color w:val="auto"/>
          <w:sz w:val="24"/>
          <w:highlight w:val="none"/>
          <w:lang w:val="zh-CN"/>
        </w:rPr>
        <w:t>和保密义务</w:t>
      </w:r>
      <w:bookmarkEnd w:id="128"/>
      <w:bookmarkEnd w:id="129"/>
      <w:bookmarkEnd w:id="130"/>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6.1</w:t>
      </w:r>
      <w:r>
        <w:rPr>
          <w:rFonts w:hint="eastAsia" w:ascii="仿宋" w:hAnsi="仿宋" w:eastAsia="仿宋"/>
          <w:color w:val="auto"/>
          <w:sz w:val="24"/>
          <w:highlight w:val="none"/>
        </w:rPr>
        <w:t xml:space="preserve"> 乙方有权依据合同约定和项目需要，向甲方了解有关情况，调阅有关资料等，甲方应予积极配合；</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.2 乙方有义务妥善保管和保护由甲方提供的前款信息和资料等；</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pPr>
        <w:outlineLvl w:val="3"/>
        <w:rPr>
          <w:rFonts w:ascii="仿宋" w:hAnsi="仿宋" w:eastAsia="仿宋"/>
          <w:b/>
          <w:bCs/>
          <w:color w:val="auto"/>
          <w:sz w:val="24"/>
          <w:highlight w:val="none"/>
          <w:lang w:val="zh-CN"/>
        </w:rPr>
      </w:pPr>
      <w:bookmarkStart w:id="131" w:name="_Toc7860"/>
      <w:r>
        <w:rPr>
          <w:rFonts w:ascii="仿宋" w:hAnsi="仿宋" w:eastAsia="仿宋"/>
          <w:b/>
          <w:bCs/>
          <w:color w:val="auto"/>
          <w:sz w:val="24"/>
          <w:highlight w:val="none"/>
          <w:lang w:val="zh-CN"/>
        </w:rPr>
        <w:t>2.7 质量保证</w:t>
      </w:r>
      <w:bookmarkEnd w:id="131"/>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.1 乙方应建立和完善履行合同的内部质量保证体系，并提供相关内部规章制度给甲方，以便甲方进行监督检查；</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.2 乙方应保证履行合同的人员数量和素质、软件和硬件设备的配置、场地、环境和设施等满足全面履行合同的要求，并应接受甲方的监督检查。</w:t>
      </w:r>
    </w:p>
    <w:p>
      <w:pPr>
        <w:outlineLvl w:val="3"/>
        <w:rPr>
          <w:rFonts w:ascii="仿宋" w:hAnsi="仿宋" w:eastAsia="仿宋"/>
          <w:b/>
          <w:color w:val="auto"/>
          <w:sz w:val="24"/>
          <w:highlight w:val="none"/>
        </w:rPr>
      </w:pPr>
      <w:bookmarkStart w:id="132" w:name="_Toc22267"/>
      <w:r>
        <w:rPr>
          <w:rFonts w:hint="eastAsia" w:ascii="仿宋" w:hAnsi="仿宋" w:eastAsia="仿宋"/>
          <w:b/>
          <w:color w:val="auto"/>
          <w:sz w:val="24"/>
          <w:highlight w:val="none"/>
        </w:rPr>
        <w:t>2.8 延迟履行</w:t>
      </w:r>
      <w:bookmarkEnd w:id="132"/>
    </w:p>
    <w:p>
      <w:pPr>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pPr>
        <w:outlineLvl w:val="3"/>
        <w:rPr>
          <w:rFonts w:ascii="仿宋" w:hAnsi="仿宋" w:eastAsia="仿宋"/>
          <w:b/>
          <w:bCs/>
          <w:color w:val="auto"/>
          <w:sz w:val="24"/>
          <w:highlight w:val="none"/>
          <w:lang w:val="zh-CN"/>
        </w:rPr>
      </w:pPr>
      <w:bookmarkStart w:id="133" w:name="_Toc7502"/>
      <w:bookmarkStart w:id="134" w:name="_Ref467378121"/>
      <w:bookmarkStart w:id="135" w:name="_Toc487900364"/>
      <w:bookmarkStart w:id="136" w:name="_Toc279701254"/>
      <w:bookmarkStart w:id="137" w:name="_Toc259093683"/>
      <w:r>
        <w:rPr>
          <w:rFonts w:ascii="仿宋" w:hAnsi="仿宋" w:eastAsia="仿宋"/>
          <w:b/>
          <w:bCs/>
          <w:color w:val="auto"/>
          <w:sz w:val="24"/>
          <w:highlight w:val="none"/>
          <w:lang w:val="zh-CN"/>
        </w:rPr>
        <w:t>2.9 合同变更</w:t>
      </w:r>
      <w:bookmarkEnd w:id="133"/>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w:t>
      </w:r>
      <w:r>
        <w:rPr>
          <w:rFonts w:hint="eastAsia" w:ascii="仿宋" w:hAnsi="仿宋" w:eastAsia="仿宋"/>
          <w:color w:val="auto"/>
          <w:sz w:val="24"/>
          <w:highlight w:val="none"/>
        </w:rPr>
        <w:t>.1 双方当事人协商一致，可以签订书面补充合同的形式变更合同，但不得违背采购文件确定的事项；</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w:t>
      </w:r>
      <w:r>
        <w:rPr>
          <w:rFonts w:hint="eastAsia" w:ascii="仿宋" w:hAnsi="仿宋" w:eastAsia="仿宋"/>
          <w:color w:val="auto"/>
          <w:sz w:val="24"/>
          <w:highlight w:val="none"/>
        </w:rPr>
        <w:t>.2 合同继续履行将损害国家利益和社会公共利益的，双方当事人应当以书面形式变更合同。有过错的一方应当承担赔偿责任，双方当事人都有过错的，各自承担相应的责任。</w:t>
      </w:r>
      <w:bookmarkStart w:id="138" w:name="_Toc279701259"/>
      <w:bookmarkStart w:id="139" w:name="_Toc259093688"/>
      <w:bookmarkStart w:id="140" w:name="_Toc487900369"/>
    </w:p>
    <w:p>
      <w:pPr>
        <w:outlineLvl w:val="3"/>
        <w:rPr>
          <w:rFonts w:ascii="仿宋" w:hAnsi="仿宋" w:eastAsia="仿宋"/>
          <w:b/>
          <w:bCs/>
          <w:color w:val="auto"/>
          <w:sz w:val="24"/>
          <w:highlight w:val="none"/>
          <w:lang w:val="zh-CN"/>
        </w:rPr>
      </w:pPr>
      <w:bookmarkStart w:id="141" w:name="_Toc22955"/>
      <w:bookmarkStart w:id="142" w:name="_Toc10366"/>
      <w:bookmarkStart w:id="143" w:name="_Toc15237"/>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0合同转让</w:t>
      </w:r>
      <w:bookmarkEnd w:id="138"/>
      <w:bookmarkEnd w:id="139"/>
      <w:bookmarkEnd w:id="140"/>
      <w:r>
        <w:rPr>
          <w:rFonts w:ascii="仿宋" w:hAnsi="仿宋" w:eastAsia="仿宋"/>
          <w:b/>
          <w:bCs/>
          <w:color w:val="auto"/>
          <w:sz w:val="24"/>
          <w:highlight w:val="none"/>
          <w:lang w:val="zh-CN"/>
        </w:rPr>
        <w:t>和分包</w:t>
      </w:r>
      <w:bookmarkEnd w:id="141"/>
      <w:bookmarkEnd w:id="142"/>
      <w:bookmarkEnd w:id="143"/>
    </w:p>
    <w:p>
      <w:pPr>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pPr>
        <w:outlineLvl w:val="3"/>
        <w:rPr>
          <w:rFonts w:ascii="仿宋" w:hAnsi="仿宋" w:eastAsia="仿宋"/>
          <w:b/>
          <w:bCs/>
          <w:color w:val="auto"/>
          <w:sz w:val="24"/>
          <w:highlight w:val="none"/>
          <w:lang w:val="zh-CN"/>
        </w:rPr>
      </w:pPr>
      <w:bookmarkStart w:id="144" w:name="_Toc14066"/>
      <w:bookmarkStart w:id="145" w:name="_Toc13566"/>
      <w:bookmarkStart w:id="146" w:name="_Toc16508"/>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1 不可抗力</w:t>
      </w:r>
      <w:bookmarkEnd w:id="144"/>
      <w:bookmarkEnd w:id="145"/>
      <w:bookmarkEnd w:id="146"/>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1.1</w:t>
      </w:r>
      <w:r>
        <w:rPr>
          <w:rFonts w:hint="eastAsia" w:ascii="仿宋" w:hAnsi="仿宋" w:eastAsia="仿宋"/>
          <w:color w:val="auto"/>
          <w:sz w:val="24"/>
          <w:highlight w:val="none"/>
        </w:rPr>
        <w:t xml:space="preserve"> </w:t>
      </w:r>
      <w:r>
        <w:rPr>
          <w:rFonts w:ascii="仿宋" w:hAnsi="仿宋" w:eastAsia="仿宋"/>
          <w:color w:val="auto"/>
          <w:sz w:val="24"/>
          <w:highlight w:val="none"/>
        </w:rPr>
        <w:t>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.2因不可抗力致使不能实现合同目的的，当事人可以解除合同；</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.3因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4</w:t>
      </w:r>
      <w:r>
        <w:rPr>
          <w:rFonts w:ascii="仿宋" w:hAnsi="仿宋" w:eastAsia="仿宋"/>
          <w:color w:val="auto"/>
          <w:sz w:val="24"/>
          <w:highlight w:val="none"/>
        </w:rPr>
        <w:t>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pPr>
        <w:outlineLvl w:val="3"/>
        <w:rPr>
          <w:rFonts w:ascii="仿宋" w:hAnsi="仿宋" w:eastAsia="仿宋"/>
          <w:b/>
          <w:bCs/>
          <w:color w:val="auto"/>
          <w:sz w:val="24"/>
          <w:highlight w:val="none"/>
          <w:lang w:val="zh-CN"/>
        </w:rPr>
      </w:pPr>
      <w:bookmarkStart w:id="147" w:name="_Toc689"/>
      <w:bookmarkStart w:id="148" w:name="_Toc279701255"/>
      <w:bookmarkStart w:id="149" w:name="_Toc30676"/>
      <w:bookmarkStart w:id="150" w:name="_Toc487900365"/>
      <w:bookmarkStart w:id="151" w:name="_Toc259093684"/>
      <w:bookmarkStart w:id="152" w:name="_Toc6969"/>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12</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税费</w:t>
      </w:r>
      <w:bookmarkEnd w:id="147"/>
      <w:bookmarkEnd w:id="148"/>
      <w:bookmarkEnd w:id="149"/>
      <w:bookmarkEnd w:id="150"/>
      <w:bookmarkEnd w:id="151"/>
      <w:bookmarkEnd w:id="152"/>
    </w:p>
    <w:p>
      <w:pPr>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w:t>
      </w:r>
      <w:r>
        <w:rPr>
          <w:rFonts w:hint="eastAsia" w:ascii="仿宋" w:hAnsi="仿宋" w:eastAsia="仿宋"/>
          <w:color w:val="auto"/>
          <w:sz w:val="24"/>
          <w:highlight w:val="none"/>
        </w:rPr>
        <w:t>缴纳</w:t>
      </w:r>
      <w:r>
        <w:rPr>
          <w:rFonts w:ascii="仿宋" w:hAnsi="仿宋" w:eastAsia="仿宋"/>
          <w:color w:val="auto"/>
          <w:sz w:val="24"/>
          <w:highlight w:val="none"/>
        </w:rPr>
        <w:t>。</w:t>
      </w:r>
    </w:p>
    <w:p>
      <w:pPr>
        <w:outlineLvl w:val="3"/>
        <w:rPr>
          <w:rFonts w:ascii="仿宋" w:hAnsi="仿宋" w:eastAsia="仿宋"/>
          <w:b/>
          <w:bCs/>
          <w:color w:val="auto"/>
          <w:sz w:val="24"/>
          <w:highlight w:val="none"/>
          <w:lang w:val="zh-CN"/>
        </w:rPr>
      </w:pPr>
      <w:bookmarkStart w:id="153" w:name="_Toc259093687"/>
      <w:bookmarkStart w:id="154" w:name="_Toc279701258"/>
      <w:bookmarkStart w:id="155" w:name="_Toc487900368"/>
      <w:bookmarkStart w:id="156" w:name="_Toc8298"/>
      <w:bookmarkStart w:id="157" w:name="_Toc7102"/>
      <w:bookmarkStart w:id="158" w:name="_Toc16959"/>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13</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乙方破产</w:t>
      </w:r>
      <w:bookmarkEnd w:id="153"/>
      <w:bookmarkEnd w:id="154"/>
      <w:bookmarkEnd w:id="155"/>
      <w:bookmarkEnd w:id="156"/>
      <w:bookmarkEnd w:id="157"/>
      <w:bookmarkEnd w:id="158"/>
    </w:p>
    <w:p>
      <w:pPr>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pPr>
        <w:outlineLvl w:val="3"/>
        <w:rPr>
          <w:rFonts w:ascii="仿宋" w:hAnsi="仿宋" w:eastAsia="仿宋"/>
          <w:b/>
          <w:color w:val="auto"/>
          <w:sz w:val="24"/>
          <w:highlight w:val="none"/>
        </w:rPr>
      </w:pPr>
      <w:bookmarkStart w:id="159" w:name="_Toc6134"/>
      <w:bookmarkStart w:id="160" w:name="_Toc29333"/>
      <w:bookmarkStart w:id="161" w:name="_Toc15387"/>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4</w:t>
      </w:r>
      <w:r>
        <w:rPr>
          <w:rFonts w:hint="eastAsia" w:ascii="仿宋" w:hAnsi="仿宋" w:eastAsia="仿宋"/>
          <w:b/>
          <w:bCs/>
          <w:color w:val="auto"/>
          <w:sz w:val="24"/>
          <w:highlight w:val="none"/>
          <w:lang w:val="zh-CN"/>
        </w:rPr>
        <w:t xml:space="preserve"> 合同中止、终止</w:t>
      </w:r>
      <w:bookmarkEnd w:id="159"/>
      <w:bookmarkEnd w:id="160"/>
      <w:bookmarkEnd w:id="161"/>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4</w:t>
      </w:r>
      <w:r>
        <w:rPr>
          <w:rFonts w:hint="eastAsia" w:ascii="仿宋" w:hAnsi="仿宋" w:eastAsia="仿宋"/>
          <w:color w:val="auto"/>
          <w:sz w:val="24"/>
          <w:highlight w:val="none"/>
        </w:rPr>
        <w:t>.1 双方当事人不得擅自中止或者终止合同；</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4</w:t>
      </w:r>
      <w:r>
        <w:rPr>
          <w:rFonts w:hint="eastAsia" w:ascii="仿宋" w:hAnsi="仿宋" w:eastAsia="仿宋"/>
          <w:color w:val="auto"/>
          <w:sz w:val="24"/>
          <w:highlight w:val="none"/>
        </w:rPr>
        <w:t>.2 合同继续履行将损害国家利益和社会公共利益的，双方当事人应当中止或者终止合同。有过错的一方应当承担赔偿责任，双方当事人都有过错的，各自承担相应的责任。</w:t>
      </w:r>
    </w:p>
    <w:p>
      <w:pPr>
        <w:outlineLvl w:val="3"/>
        <w:rPr>
          <w:rFonts w:ascii="仿宋" w:hAnsi="仿宋" w:eastAsia="仿宋"/>
          <w:b/>
          <w:bCs/>
          <w:color w:val="auto"/>
          <w:sz w:val="24"/>
          <w:highlight w:val="none"/>
          <w:lang w:val="zh-CN"/>
        </w:rPr>
      </w:pPr>
      <w:bookmarkStart w:id="162" w:name="_Toc6596"/>
      <w:bookmarkStart w:id="163" w:name="_Toc1125"/>
      <w:bookmarkStart w:id="164" w:name="_Toc14563"/>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5</w:t>
      </w:r>
      <w:r>
        <w:rPr>
          <w:rFonts w:hint="eastAsia" w:ascii="仿宋" w:hAnsi="仿宋" w:eastAsia="仿宋"/>
          <w:b/>
          <w:bCs/>
          <w:color w:val="auto"/>
          <w:sz w:val="24"/>
          <w:highlight w:val="none"/>
          <w:lang w:val="zh-CN"/>
        </w:rPr>
        <w:t xml:space="preserve"> 检验和验收</w:t>
      </w:r>
      <w:bookmarkEnd w:id="162"/>
      <w:bookmarkEnd w:id="163"/>
      <w:bookmarkEnd w:id="164"/>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5</w:t>
      </w:r>
      <w:r>
        <w:rPr>
          <w:rFonts w:ascii="仿宋" w:hAnsi="仿宋" w:eastAsia="仿宋"/>
          <w:color w:val="auto"/>
          <w:sz w:val="24"/>
          <w:highlight w:val="none"/>
        </w:rPr>
        <w:t>.</w:t>
      </w:r>
      <w:r>
        <w:rPr>
          <w:rFonts w:hint="eastAsia" w:ascii="仿宋" w:hAnsi="仿宋" w:eastAsia="仿宋"/>
          <w:color w:val="auto"/>
          <w:sz w:val="24"/>
          <w:highlight w:val="none"/>
        </w:rPr>
        <w:t>1 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2.15.3 检验和验收标准、程序等内容以及前述验收书的效力详见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134"/>
    <w:bookmarkEnd w:id="135"/>
    <w:bookmarkEnd w:id="136"/>
    <w:bookmarkEnd w:id="137"/>
    <w:p>
      <w:pPr>
        <w:outlineLvl w:val="3"/>
        <w:rPr>
          <w:rFonts w:ascii="仿宋" w:hAnsi="仿宋" w:eastAsia="仿宋"/>
          <w:b/>
          <w:bCs/>
          <w:color w:val="auto"/>
          <w:sz w:val="24"/>
          <w:highlight w:val="none"/>
        </w:rPr>
      </w:pPr>
      <w:bookmarkStart w:id="165" w:name="_Toc9808"/>
      <w:bookmarkStart w:id="166" w:name="_Toc31892"/>
      <w:bookmarkStart w:id="167" w:name="_Toc2308"/>
      <w:bookmarkStart w:id="168" w:name="_Toc25198"/>
      <w:bookmarkStart w:id="169" w:name="_Toc12666"/>
      <w:bookmarkStart w:id="170" w:name="_Toc12773"/>
      <w:bookmarkStart w:id="171" w:name="_Toc279701263"/>
      <w:bookmarkStart w:id="172" w:name="_Toc487900373"/>
      <w:bookmarkStart w:id="173" w:name="_Toc259093692"/>
      <w:bookmarkStart w:id="174" w:name="_Toc18567"/>
      <w:bookmarkStart w:id="175" w:name="_Toc10330"/>
      <w:r>
        <w:rPr>
          <w:rFonts w:ascii="仿宋" w:hAnsi="仿宋" w:eastAsia="仿宋"/>
          <w:b/>
          <w:bCs/>
          <w:color w:val="auto"/>
          <w:sz w:val="24"/>
          <w:highlight w:val="none"/>
        </w:rPr>
        <w:t>2.16</w:t>
      </w:r>
      <w:r>
        <w:rPr>
          <w:rFonts w:hint="eastAsia" w:ascii="仿宋" w:hAnsi="仿宋" w:eastAsia="仿宋"/>
          <w:b/>
          <w:bCs/>
          <w:color w:val="auto"/>
          <w:sz w:val="24"/>
          <w:highlight w:val="none"/>
        </w:rPr>
        <w:t xml:space="preserve"> </w:t>
      </w:r>
      <w:r>
        <w:rPr>
          <w:rFonts w:ascii="仿宋" w:hAnsi="仿宋" w:eastAsia="仿宋"/>
          <w:b/>
          <w:bCs/>
          <w:color w:val="auto"/>
          <w:sz w:val="24"/>
          <w:highlight w:val="none"/>
        </w:rPr>
        <w:t>通知和送达</w:t>
      </w:r>
      <w:bookmarkEnd w:id="165"/>
      <w:bookmarkEnd w:id="166"/>
      <w:bookmarkEnd w:id="167"/>
      <w:bookmarkEnd w:id="168"/>
      <w:bookmarkEnd w:id="169"/>
    </w:p>
    <w:p>
      <w:pPr>
        <w:ind w:firstLine="480" w:firstLineChars="200"/>
        <w:rPr>
          <w:rFonts w:ascii="仿宋" w:hAnsi="仿宋" w:eastAsia="仿宋"/>
          <w:color w:val="auto"/>
          <w:sz w:val="24"/>
          <w:highlight w:val="none"/>
        </w:rPr>
      </w:pPr>
      <w:bookmarkStart w:id="176" w:name="_Toc18401"/>
      <w:bookmarkStart w:id="177" w:name="_Toc27674"/>
      <w:r>
        <w:rPr>
          <w:rFonts w:ascii="仿宋" w:hAnsi="仿宋" w:eastAsia="仿宋"/>
          <w:color w:val="auto"/>
          <w:sz w:val="24"/>
          <w:highlight w:val="none"/>
        </w:rPr>
        <w:t>2.</w:t>
      </w:r>
      <w:r>
        <w:rPr>
          <w:rFonts w:hint="eastAsia" w:ascii="仿宋" w:hAnsi="仿宋" w:eastAsia="仿宋"/>
          <w:color w:val="auto"/>
          <w:sz w:val="24"/>
          <w:highlight w:val="none"/>
        </w:rPr>
        <w:t>16</w:t>
      </w:r>
      <w:r>
        <w:rPr>
          <w:rFonts w:ascii="仿宋" w:hAnsi="仿宋" w:eastAsia="仿宋"/>
          <w:color w:val="auto"/>
          <w:sz w:val="24"/>
          <w:highlight w:val="none"/>
        </w:rPr>
        <w:t>.1</w:t>
      </w:r>
      <w:r>
        <w:rPr>
          <w:rFonts w:hint="eastAsia" w:ascii="仿宋" w:hAnsi="仿宋" w:eastAsia="仿宋"/>
          <w:color w:val="auto"/>
          <w:sz w:val="24"/>
          <w:highlight w:val="none"/>
        </w:rPr>
        <w:t xml:space="preserve"> 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16</w:t>
      </w:r>
      <w:r>
        <w:rPr>
          <w:rFonts w:ascii="仿宋" w:hAnsi="仿宋" w:eastAsia="仿宋"/>
          <w:color w:val="auto"/>
          <w:sz w:val="24"/>
          <w:highlight w:val="none"/>
        </w:rPr>
        <w:t>.2</w:t>
      </w:r>
      <w:r>
        <w:rPr>
          <w:rFonts w:hint="eastAsia" w:ascii="仿宋" w:hAnsi="仿宋" w:eastAsia="仿宋"/>
          <w:color w:val="auto"/>
          <w:sz w:val="24"/>
          <w:highlight w:val="none"/>
        </w:rPr>
        <w:t xml:space="preserve"> </w:t>
      </w:r>
      <w:r>
        <w:rPr>
          <w:rFonts w:ascii="仿宋" w:hAnsi="仿宋" w:eastAsia="仿宋"/>
          <w:color w:val="auto"/>
          <w:sz w:val="24"/>
          <w:highlight w:val="none"/>
        </w:rPr>
        <w:t>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176"/>
      <w:bookmarkEnd w:id="177"/>
    </w:p>
    <w:p>
      <w:pPr>
        <w:outlineLvl w:val="3"/>
        <w:rPr>
          <w:rFonts w:ascii="仿宋" w:hAnsi="仿宋" w:eastAsia="仿宋"/>
          <w:b/>
          <w:bCs/>
          <w:color w:val="auto"/>
          <w:sz w:val="24"/>
          <w:highlight w:val="none"/>
        </w:rPr>
      </w:pPr>
      <w:r>
        <w:rPr>
          <w:rFonts w:hint="eastAsia" w:ascii="仿宋" w:hAnsi="仿宋" w:eastAsia="仿宋"/>
          <w:b/>
          <w:bCs/>
          <w:color w:val="auto"/>
          <w:sz w:val="24"/>
          <w:highlight w:val="none"/>
        </w:rPr>
        <w:t>2.</w:t>
      </w:r>
      <w:r>
        <w:rPr>
          <w:rFonts w:ascii="仿宋" w:hAnsi="仿宋" w:eastAsia="仿宋"/>
          <w:b/>
          <w:bCs/>
          <w:color w:val="auto"/>
          <w:sz w:val="24"/>
          <w:highlight w:val="none"/>
        </w:rPr>
        <w:t>1</w:t>
      </w:r>
      <w:r>
        <w:rPr>
          <w:rFonts w:hint="eastAsia" w:ascii="仿宋" w:hAnsi="仿宋" w:eastAsia="仿宋"/>
          <w:b/>
          <w:bCs/>
          <w:color w:val="auto"/>
          <w:sz w:val="24"/>
          <w:highlight w:val="none"/>
        </w:rPr>
        <w:t xml:space="preserve">7 </w:t>
      </w:r>
      <w:r>
        <w:rPr>
          <w:rFonts w:hint="eastAsia" w:ascii="仿宋" w:hAnsi="仿宋" w:eastAsia="仿宋"/>
          <w:b/>
          <w:bCs/>
          <w:color w:val="auto"/>
          <w:sz w:val="24"/>
          <w:highlight w:val="none"/>
          <w:lang w:val="zh-CN"/>
        </w:rPr>
        <w:t>合同使用的文字和</w:t>
      </w:r>
      <w:r>
        <w:rPr>
          <w:rFonts w:ascii="仿宋" w:hAnsi="仿宋" w:eastAsia="仿宋"/>
          <w:b/>
          <w:bCs/>
          <w:color w:val="auto"/>
          <w:sz w:val="24"/>
          <w:highlight w:val="none"/>
          <w:lang w:val="zh-CN"/>
        </w:rPr>
        <w:t>适用的法律</w:t>
      </w:r>
      <w:bookmarkEnd w:id="170"/>
      <w:bookmarkEnd w:id="171"/>
      <w:bookmarkEnd w:id="172"/>
      <w:bookmarkEnd w:id="173"/>
      <w:bookmarkEnd w:id="174"/>
      <w:bookmarkEnd w:id="175"/>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7.2 合同适用</w:t>
      </w:r>
      <w:r>
        <w:rPr>
          <w:rFonts w:ascii="仿宋" w:hAnsi="仿宋" w:eastAsia="仿宋"/>
          <w:color w:val="auto"/>
          <w:sz w:val="24"/>
          <w:highlight w:val="none"/>
        </w:rPr>
        <w:t>中华人民共和国法律。</w:t>
      </w:r>
    </w:p>
    <w:p>
      <w:pPr>
        <w:outlineLvl w:val="3"/>
        <w:rPr>
          <w:rFonts w:ascii="仿宋" w:hAnsi="仿宋" w:eastAsia="仿宋"/>
          <w:b/>
          <w:color w:val="auto"/>
          <w:sz w:val="24"/>
          <w:highlight w:val="none"/>
        </w:rPr>
      </w:pPr>
      <w:bookmarkStart w:id="178" w:name="_Toc3148"/>
      <w:bookmarkStart w:id="179" w:name="_Toc279701264"/>
      <w:bookmarkStart w:id="180" w:name="_Toc12004"/>
      <w:bookmarkStart w:id="181" w:name="_Toc16673"/>
      <w:bookmarkStart w:id="182" w:name="_Toc259093693"/>
      <w:bookmarkStart w:id="183" w:name="_Toc487900374"/>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w:t>
      </w:r>
      <w:r>
        <w:rPr>
          <w:rFonts w:hint="eastAsia" w:ascii="仿宋" w:hAnsi="仿宋" w:eastAsia="仿宋"/>
          <w:b/>
          <w:bCs/>
          <w:color w:val="auto"/>
          <w:sz w:val="24"/>
          <w:highlight w:val="none"/>
          <w:lang w:val="zh-CN"/>
        </w:rPr>
        <w:t>8</w:t>
      </w:r>
      <w:bookmarkEnd w:id="178"/>
      <w:bookmarkEnd w:id="179"/>
      <w:bookmarkEnd w:id="180"/>
      <w:bookmarkEnd w:id="181"/>
      <w:bookmarkEnd w:id="182"/>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计量单位</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bookmarkEnd w:id="183"/>
    <w:p>
      <w:pPr>
        <w:outlineLvl w:val="3"/>
        <w:rPr>
          <w:rFonts w:ascii="仿宋" w:hAnsi="仿宋" w:eastAsia="仿宋"/>
          <w:b/>
          <w:color w:val="auto"/>
          <w:sz w:val="24"/>
          <w:highlight w:val="none"/>
        </w:rPr>
      </w:pPr>
      <w:bookmarkStart w:id="184" w:name="_Toc14001"/>
      <w:bookmarkStart w:id="185" w:name="_Toc6885"/>
      <w:bookmarkStart w:id="186" w:name="_Toc19890"/>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w:t>
      </w:r>
      <w:r>
        <w:rPr>
          <w:rFonts w:hint="eastAsia" w:ascii="仿宋" w:hAnsi="仿宋" w:eastAsia="仿宋"/>
          <w:b/>
          <w:bCs/>
          <w:color w:val="auto"/>
          <w:sz w:val="24"/>
          <w:highlight w:val="none"/>
          <w:lang w:val="zh-CN"/>
        </w:rPr>
        <w:t>9 合同份数</w:t>
      </w:r>
      <w:bookmarkEnd w:id="184"/>
      <w:bookmarkEnd w:id="185"/>
      <w:bookmarkEnd w:id="186"/>
    </w:p>
    <w:p>
      <w:pPr>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pPr>
        <w:pStyle w:val="146"/>
        <w:rPr>
          <w:rFonts w:eastAsia="宋体"/>
          <w:color w:val="auto"/>
          <w:highlight w:val="none"/>
        </w:rPr>
      </w:pPr>
    </w:p>
    <w:p>
      <w:pPr>
        <w:pStyle w:val="498"/>
        <w:spacing w:line="240" w:lineRule="auto"/>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第三部分 合同专用条款</w:t>
      </w:r>
    </w:p>
    <w:p>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3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b/>
                <w:color w:val="auto"/>
                <w:sz w:val="24"/>
                <w:highlight w:val="none"/>
              </w:rPr>
            </w:pPr>
            <w:r>
              <w:rPr>
                <w:rFonts w:hint="eastAsia" w:ascii="仿宋" w:hAnsi="仿宋" w:eastAsia="仿宋"/>
                <w:b/>
                <w:color w:val="auto"/>
                <w:sz w:val="24"/>
                <w:highlight w:val="none"/>
              </w:rPr>
              <w:t>条款号</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b/>
                <w:color w:val="auto"/>
                <w:sz w:val="24"/>
                <w:highlight w:val="none"/>
              </w:rPr>
            </w:pPr>
            <w:r>
              <w:rPr>
                <w:rFonts w:hint="eastAsia" w:ascii="仿宋" w:hAnsi="仿宋" w:eastAsia="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乙方实际服务工作量（以双方共同确认的检测数量为准）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olor w:val="auto"/>
                <w:kern w:val="2"/>
                <w:sz w:val="24"/>
                <w:szCs w:val="24"/>
                <w:highlight w:val="none"/>
                <w:lang w:val="en-US" w:eastAsia="zh-CN" w:bidi="ar-SA"/>
              </w:rPr>
            </w:pPr>
            <w:r>
              <w:rPr>
                <w:rFonts w:hint="eastAsia" w:ascii="仿宋" w:hAnsi="仿宋" w:eastAsia="仿宋"/>
                <w:color w:val="auto"/>
                <w:sz w:val="24"/>
                <w:highlight w:val="none"/>
              </w:rPr>
              <w:t>1.4.2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kern w:val="2"/>
                <w:sz w:val="21"/>
                <w:szCs w:val="24"/>
                <w:highlight w:val="none"/>
                <w:u w:val="none"/>
                <w:lang w:val="en-US" w:eastAsia="zh-CN" w:bidi="ar-SA"/>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1.5.1 </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1.5.2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1.5.3 </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1.6.2</w:t>
            </w:r>
          </w:p>
        </w:tc>
        <w:tc>
          <w:tcPr>
            <w:tcW w:w="8344"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仿宋"/>
                <w:b w:val="0"/>
                <w:bCs w:val="0"/>
                <w:color w:val="auto"/>
                <w:sz w:val="21"/>
                <w:szCs w:val="21"/>
                <w:highlight w:val="yellow"/>
                <w:u w:val="single"/>
                <w:lang w:val="en-US" w:eastAsia="zh-CN"/>
              </w:rPr>
              <w:t>合同生效且具备实施条件后7个工作日内支付合同金额的40％，项目验收合格后支付合同金额的60%；对于大型企业或者签约时中标人表明无需预付款的，不适用该规定。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1.7.1</w:t>
            </w:r>
          </w:p>
        </w:tc>
        <w:tc>
          <w:tcPr>
            <w:tcW w:w="8344"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根据采购文件规定的服务期要求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1.7.2</w:t>
            </w:r>
          </w:p>
        </w:tc>
        <w:tc>
          <w:tcPr>
            <w:tcW w:w="8344"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1.7.3</w:t>
            </w:r>
          </w:p>
        </w:tc>
        <w:tc>
          <w:tcPr>
            <w:tcW w:w="8344"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color w:val="auto"/>
                <w:sz w:val="21"/>
                <w:szCs w:val="21"/>
                <w:highlight w:val="none"/>
                <w:u w:val="none"/>
                <w:lang w:val="en-US" w:eastAsia="zh-CN"/>
              </w:rPr>
              <w:t>按照</w:t>
            </w:r>
            <w:r>
              <w:rPr>
                <w:rFonts w:hint="eastAsia" w:ascii="仿宋" w:hAnsi="仿宋" w:eastAsia="仿宋" w:cs="Times New Roman"/>
                <w:b w:val="0"/>
                <w:bCs w:val="0"/>
                <w:highlight w:val="none"/>
                <w:u w:val="none"/>
                <w:lang w:val="en-US" w:eastAsia="zh-CN"/>
              </w:rPr>
              <w:t>响应文件</w:t>
            </w:r>
            <w:r>
              <w:rPr>
                <w:rFonts w:hint="eastAsia" w:ascii="仿宋" w:hAnsi="仿宋" w:eastAsia="仿宋" w:cs="Times New Roman"/>
                <w:color w:val="auto"/>
                <w:sz w:val="21"/>
                <w:szCs w:val="21"/>
                <w:highlight w:val="none"/>
                <w:u w:val="none"/>
                <w:lang w:val="en-US" w:eastAsia="zh-CN"/>
              </w:rPr>
              <w:t>提供对应</w:t>
            </w:r>
            <w:r>
              <w:rPr>
                <w:rFonts w:hint="eastAsia" w:ascii="仿宋" w:hAnsi="仿宋" w:eastAsia="仿宋" w:cs="Times New Roman"/>
                <w:b w:val="0"/>
                <w:bCs w:val="0"/>
                <w:highlight w:val="none"/>
                <w:u w:val="none"/>
                <w:lang w:val="en-US" w:eastAsia="zh-CN"/>
              </w:rPr>
              <w:t>服务并提交成果报告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1.7.4.1</w:t>
            </w:r>
          </w:p>
        </w:tc>
        <w:tc>
          <w:tcPr>
            <w:tcW w:w="8344"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仿宋"/>
                <w:b w:val="0"/>
                <w:bCs/>
                <w:color w:val="auto"/>
                <w:spacing w:val="0"/>
                <w:sz w:val="21"/>
                <w:szCs w:val="21"/>
                <w:highlight w:val="yellow"/>
                <w:u w:val="single"/>
                <w:lang w:val="en-US" w:eastAsia="zh-CN"/>
              </w:rPr>
              <w:t>合同签订后1年内完成系统集成、调试、试运行并通过验收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1.7.4.3</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响应文件及其承诺书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1.8.7</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1.9.1</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1.9.2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2.3.2</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乙方应保证提供的服务不侵犯第三方的专利权、商标权或者其他知识产权；如果乙方行为侵犯第三方知识产权并造成第三方追究甲方责任的，甲方因此受到的损失均由乙方承担。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5</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仿宋"/>
                <w:b w:val="0"/>
                <w:bCs w:val="0"/>
                <w:color w:val="auto"/>
                <w:sz w:val="21"/>
                <w:szCs w:val="21"/>
                <w:highlight w:val="yellow"/>
                <w:u w:val="single"/>
                <w:lang w:val="en-US" w:eastAsia="zh-CN"/>
              </w:rPr>
              <w:t>合同生效且具备实施条件后7个工作日内支付合同金额的40％，项目验收合格后支付合同金额的60%；对于大型企业或者签约时中标人表明无需预付款的，不适用该规定。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11</w:t>
            </w:r>
            <w:r>
              <w:rPr>
                <w:rFonts w:hint="eastAsia" w:ascii="仿宋" w:hAnsi="仿宋" w:eastAsia="仿宋"/>
                <w:color w:val="auto"/>
                <w:sz w:val="24"/>
                <w:highlight w:val="none"/>
              </w:rPr>
              <w:t>.</w:t>
            </w:r>
            <w:r>
              <w:rPr>
                <w:rFonts w:ascii="仿宋" w:hAnsi="仿宋" w:eastAsia="仿宋"/>
                <w:color w:val="auto"/>
                <w:sz w:val="24"/>
                <w:highlight w:val="none"/>
              </w:rPr>
              <w:t>3</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15个工作日内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11.4</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15个工作日内；15个工作日内。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15</w:t>
            </w:r>
            <w:r>
              <w:rPr>
                <w:rFonts w:hint="eastAsia" w:ascii="仿宋" w:hAnsi="仿宋" w:eastAsia="仿宋"/>
                <w:color w:val="auto"/>
                <w:sz w:val="24"/>
                <w:highlight w:val="none"/>
              </w:rPr>
              <w:t>.</w:t>
            </w:r>
            <w:r>
              <w:rPr>
                <w:rFonts w:ascii="仿宋" w:hAnsi="仿宋" w:eastAsia="仿宋"/>
                <w:color w:val="auto"/>
                <w:sz w:val="24"/>
                <w:highlight w:val="none"/>
              </w:rPr>
              <w:t>1</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采购文件；与响应文件技术规格一致，且符合国家有关技术规范和技术标准。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15</w:t>
            </w:r>
            <w:r>
              <w:rPr>
                <w:rFonts w:hint="eastAsia" w:ascii="仿宋" w:hAnsi="仿宋" w:eastAsia="仿宋"/>
                <w:color w:val="auto"/>
                <w:sz w:val="24"/>
                <w:highlight w:val="none"/>
              </w:rPr>
              <w:t>.</w:t>
            </w:r>
            <w:r>
              <w:rPr>
                <w:rFonts w:ascii="仿宋" w:hAnsi="仿宋" w:eastAsia="仿宋"/>
                <w:color w:val="auto"/>
                <w:sz w:val="24"/>
                <w:highlight w:val="none"/>
              </w:rPr>
              <w:t>3</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2.19</w:t>
            </w:r>
          </w:p>
        </w:tc>
        <w:tc>
          <w:tcPr>
            <w:tcW w:w="4515" w:type="pct"/>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highlight w:val="none"/>
                <w:u w:val="none"/>
                <w:lang w:val="en-US" w:eastAsia="zh-CN"/>
              </w:rPr>
            </w:pPr>
            <w:r>
              <w:rPr>
                <w:rFonts w:hint="eastAsia" w:ascii="仿宋" w:hAnsi="仿宋" w:eastAsia="仿宋" w:cs="Times New Roman"/>
                <w:b w:val="0"/>
                <w:bCs w:val="0"/>
                <w:highlight w:val="none"/>
                <w:u w:val="none"/>
                <w:lang w:val="en-US" w:eastAsia="zh-CN"/>
              </w:rPr>
              <w:t>本合同一式肆份，甲方执贰份、乙方执贰份。</w:t>
            </w:r>
          </w:p>
        </w:tc>
      </w:tr>
    </w:tbl>
    <w:p>
      <w:pPr>
        <w:rPr>
          <w:rFonts w:ascii="仿宋" w:hAnsi="仿宋" w:eastAsia="仿宋"/>
          <w:color w:val="auto"/>
          <w:sz w:val="24"/>
          <w:highlight w:val="none"/>
        </w:rPr>
      </w:pPr>
    </w:p>
    <w:p>
      <w:pPr>
        <w:rPr>
          <w:rFonts w:hint="eastAsia" w:hAnsi="宋体"/>
          <w:b/>
          <w:color w:val="auto"/>
          <w:sz w:val="28"/>
          <w:szCs w:val="28"/>
          <w:highlight w:val="none"/>
        </w:rPr>
        <w:sectPr>
          <w:pgSz w:w="11906" w:h="16838"/>
          <w:pgMar w:top="1361" w:right="1361" w:bottom="1361" w:left="1361" w:header="851" w:footer="992" w:gutter="0"/>
          <w:cols w:space="720" w:num="1"/>
          <w:docGrid w:linePitch="312" w:charSpace="0"/>
        </w:sectPr>
      </w:pPr>
    </w:p>
    <w:p>
      <w:pPr>
        <w:spacing w:before="120" w:beforeLines="50" w:after="120" w:afterLines="50"/>
        <w:jc w:val="center"/>
        <w:outlineLvl w:val="0"/>
        <w:rPr>
          <w:rFonts w:ascii="仿宋" w:hAnsi="仿宋" w:eastAsia="仿宋"/>
          <w:b/>
          <w:color w:val="auto"/>
          <w:sz w:val="30"/>
          <w:szCs w:val="30"/>
          <w:highlight w:val="none"/>
        </w:rPr>
      </w:pPr>
      <w:bookmarkStart w:id="187" w:name="_Toc96999272"/>
      <w:bookmarkStart w:id="188" w:name="_Toc97000042"/>
      <w:bookmarkStart w:id="189" w:name="_Toc96999558"/>
      <w:r>
        <w:rPr>
          <w:rFonts w:ascii="仿宋" w:hAnsi="仿宋" w:eastAsia="仿宋"/>
          <w:b/>
          <w:color w:val="auto"/>
          <w:sz w:val="30"/>
          <w:szCs w:val="30"/>
          <w:highlight w:val="none"/>
        </w:rPr>
        <w:t>第</w:t>
      </w:r>
      <w:r>
        <w:rPr>
          <w:rFonts w:hint="eastAsia" w:ascii="仿宋" w:hAnsi="仿宋" w:eastAsia="仿宋"/>
          <w:b/>
          <w:color w:val="auto"/>
          <w:sz w:val="30"/>
          <w:szCs w:val="30"/>
          <w:highlight w:val="none"/>
          <w:lang w:val="en-US" w:eastAsia="zh-CN"/>
        </w:rPr>
        <w:t>七</w:t>
      </w:r>
      <w:r>
        <w:rPr>
          <w:rFonts w:hint="eastAsia" w:ascii="仿宋" w:hAnsi="仿宋" w:eastAsia="仿宋"/>
          <w:b/>
          <w:color w:val="auto"/>
          <w:sz w:val="30"/>
          <w:szCs w:val="30"/>
          <w:highlight w:val="none"/>
        </w:rPr>
        <w:t>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应提交的有关格式范例</w:t>
      </w:r>
      <w:bookmarkEnd w:id="187"/>
      <w:bookmarkEnd w:id="188"/>
      <w:bookmarkEnd w:id="189"/>
    </w:p>
    <w:p>
      <w:pPr>
        <w:snapToGrid w:val="0"/>
        <w:spacing w:line="360" w:lineRule="auto"/>
        <w:jc w:val="left"/>
        <w:rPr>
          <w:rFonts w:hint="eastAsia" w:ascii="宋体" w:hAnsi="宋体"/>
          <w:b/>
          <w:snapToGrid w:val="0"/>
          <w:color w:val="auto"/>
          <w:kern w:val="0"/>
          <w:szCs w:val="21"/>
          <w:highlight w:val="none"/>
        </w:rPr>
      </w:pPr>
    </w:p>
    <w:p>
      <w:pPr>
        <w:snapToGrid w:val="0"/>
        <w:spacing w:line="360" w:lineRule="auto"/>
        <w:jc w:val="left"/>
        <w:rPr>
          <w:rFonts w:hint="eastAsia" w:ascii="仿宋" w:hAnsi="仿宋" w:eastAsia="仿宋" w:cs="仿宋_GB2312"/>
          <w:b/>
          <w:color w:val="auto"/>
          <w:sz w:val="24"/>
          <w:highlight w:val="yellow"/>
          <w:u w:val="single"/>
        </w:rPr>
      </w:pPr>
      <w:r>
        <w:rPr>
          <w:rFonts w:hint="eastAsia" w:ascii="仿宋" w:hAnsi="仿宋" w:eastAsia="仿宋" w:cs="仿宋_GB2312"/>
          <w:b/>
          <w:color w:val="auto"/>
          <w:sz w:val="24"/>
          <w:highlight w:val="yellow"/>
          <w:u w:val="single"/>
        </w:rPr>
        <w:t>注：供应商按照以下格式编制响应文件。</w:t>
      </w:r>
    </w:p>
    <w:p>
      <w:pPr>
        <w:snapToGrid w:val="0"/>
        <w:spacing w:line="360" w:lineRule="auto"/>
        <w:jc w:val="center"/>
        <w:rPr>
          <w:rFonts w:hint="eastAsia" w:hAnsi="宋体"/>
          <w:b/>
          <w:color w:val="auto"/>
          <w:highlight w:val="none"/>
        </w:rPr>
      </w:pPr>
    </w:p>
    <w:p>
      <w:pPr>
        <w:pStyle w:val="4"/>
        <w:ind w:firstLine="0" w:firstLineChars="0"/>
        <w:jc w:val="center"/>
        <w:rPr>
          <w:rFonts w:hint="eastAsia" w:ascii="仿宋" w:hAnsi="仿宋" w:eastAsia="仿宋" w:cs="仿宋_GB2312"/>
          <w:b/>
          <w:kern w:val="0"/>
          <w:sz w:val="36"/>
          <w:szCs w:val="36"/>
        </w:rPr>
      </w:pPr>
      <w:bookmarkStart w:id="190" w:name="_Toc96999653"/>
      <w:r>
        <w:rPr>
          <w:rFonts w:hint="eastAsia" w:ascii="仿宋" w:hAnsi="仿宋" w:eastAsia="仿宋" w:cs="仿宋_GB2312"/>
          <w:b/>
          <w:kern w:val="0"/>
          <w:sz w:val="36"/>
          <w:szCs w:val="36"/>
        </w:rPr>
        <w:t>目录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（1）响应函………………………………………………………………………（页码）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（2）资格文件……………………………………………………………………（页码）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（3）法人授权书</w:t>
      </w:r>
      <w:r>
        <w:rPr>
          <w:rFonts w:hint="eastAsia" w:ascii="仿宋" w:hAnsi="仿宋" w:eastAsia="仿宋" w:cs="仿宋_GB2312"/>
          <w:sz w:val="24"/>
          <w:lang w:val="zh-CN"/>
        </w:rPr>
        <w:t>………………………………</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（4）分包意向协议………………………………………………………………（页码）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（5）所有资信文件（复印件）…………………………………………………（页码）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（6）主要业绩证明</w:t>
      </w:r>
      <w:r>
        <w:rPr>
          <w:rFonts w:hint="eastAsia" w:ascii="仿宋" w:hAnsi="仿宋" w:eastAsia="仿宋" w:cs="仿宋_GB2312"/>
          <w:sz w:val="24"/>
          <w:lang w:val="zh-CN"/>
        </w:rPr>
        <w:t>…………………………………………</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w:t>
      </w:r>
      <w:r>
        <w:rPr>
          <w:rFonts w:hint="eastAsia" w:ascii="仿宋" w:hAnsi="仿宋" w:eastAsia="仿宋" w:cs="仿宋_GB2312"/>
          <w:sz w:val="24"/>
          <w:lang w:val="zh-CN"/>
        </w:rPr>
        <w:t>关于对</w:t>
      </w:r>
      <w:r>
        <w:rPr>
          <w:rFonts w:hint="eastAsia" w:ascii="仿宋" w:hAnsi="仿宋" w:eastAsia="仿宋" w:cs="仿宋_GB2312"/>
          <w:sz w:val="24"/>
          <w:lang w:val="en-US" w:eastAsia="zh-CN"/>
        </w:rPr>
        <w:t>采购</w:t>
      </w:r>
      <w:r>
        <w:rPr>
          <w:rFonts w:hint="eastAsia" w:ascii="仿宋" w:hAnsi="仿宋" w:eastAsia="仿宋" w:cs="仿宋_GB2312"/>
          <w:sz w:val="24"/>
          <w:lang w:val="zh-CN"/>
        </w:rPr>
        <w:t>文件中有关条款的拒绝声明……………</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（8）</w:t>
      </w:r>
      <w:r>
        <w:rPr>
          <w:rFonts w:hint="eastAsia" w:ascii="仿宋" w:hAnsi="仿宋" w:eastAsia="仿宋" w:cs="仿宋_GB2312"/>
          <w:sz w:val="24"/>
          <w:lang w:val="en-US" w:eastAsia="zh-CN"/>
        </w:rPr>
        <w:t>评标标准相应的商务技术资料</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（9）技术解决方案………………………………………………………………（页码）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（10）组织实施方案………………………………………………………………（页码）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（11）服务方案</w:t>
      </w:r>
      <w:r>
        <w:rPr>
          <w:rFonts w:hint="eastAsia" w:ascii="仿宋" w:hAnsi="仿宋" w:eastAsia="仿宋" w:cs="仿宋_GB2312"/>
          <w:sz w:val="24"/>
          <w:lang w:val="en-US" w:eastAsia="zh-CN"/>
        </w:rPr>
        <w:t>及承诺</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（12）项目小组人员名单…………………………………………………………（页码）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3</w:t>
      </w:r>
      <w:r>
        <w:rPr>
          <w:rFonts w:hint="eastAsia" w:ascii="仿宋" w:hAnsi="仿宋" w:eastAsia="仿宋" w:cs="仿宋_GB2312"/>
          <w:sz w:val="24"/>
        </w:rPr>
        <w:t>）</w:t>
      </w:r>
      <w:r>
        <w:rPr>
          <w:rFonts w:hint="eastAsia" w:ascii="仿宋" w:hAnsi="仿宋" w:eastAsia="仿宋" w:cs="仿宋_GB2312"/>
          <w:sz w:val="24"/>
          <w:lang w:val="en-US" w:eastAsia="zh-CN"/>
        </w:rPr>
        <w:t>拟投入的技术装备、设备和工具</w:t>
      </w:r>
      <w:r>
        <w:rPr>
          <w:rFonts w:hint="eastAsia" w:ascii="仿宋" w:hAnsi="仿宋" w:eastAsia="仿宋" w:cs="仿宋_GB2312"/>
          <w:sz w:val="24"/>
          <w:lang w:val="zh-CN"/>
        </w:rPr>
        <w:t>………………</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4</w:t>
      </w:r>
      <w:r>
        <w:rPr>
          <w:rFonts w:hint="eastAsia" w:ascii="仿宋" w:hAnsi="仿宋" w:eastAsia="仿宋" w:cs="仿宋_GB2312"/>
          <w:sz w:val="24"/>
        </w:rPr>
        <w:t>）</w:t>
      </w:r>
      <w:r>
        <w:rPr>
          <w:rFonts w:hint="eastAsia" w:ascii="仿宋" w:hAnsi="仿宋" w:eastAsia="仿宋" w:cs="仿宋_GB2312"/>
          <w:sz w:val="24"/>
          <w:lang w:val="zh-CN"/>
        </w:rPr>
        <w:t>风险控制和应急预案………………………………</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5</w:t>
      </w:r>
      <w:r>
        <w:rPr>
          <w:rFonts w:hint="eastAsia" w:ascii="仿宋" w:hAnsi="仿宋" w:eastAsia="仿宋" w:cs="仿宋_GB2312"/>
          <w:sz w:val="24"/>
        </w:rPr>
        <w:t>）</w:t>
      </w:r>
      <w:r>
        <w:rPr>
          <w:rFonts w:hint="eastAsia" w:ascii="仿宋" w:hAnsi="仿宋" w:eastAsia="仿宋" w:cs="仿宋_GB2312"/>
          <w:sz w:val="24"/>
          <w:lang w:val="zh-CN"/>
        </w:rPr>
        <w:t>培训计划……………………………………………</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（16）</w:t>
      </w:r>
      <w:r>
        <w:rPr>
          <w:rFonts w:hint="eastAsia" w:ascii="仿宋" w:hAnsi="仿宋" w:eastAsia="仿宋" w:cs="仿宋_GB2312"/>
          <w:sz w:val="24"/>
          <w:lang w:val="zh-CN"/>
        </w:rPr>
        <w:t>认为需要的</w:t>
      </w:r>
      <w:r>
        <w:rPr>
          <w:rFonts w:hint="eastAsia" w:ascii="仿宋" w:hAnsi="仿宋" w:eastAsia="仿宋" w:cs="仿宋_GB2312"/>
          <w:sz w:val="24"/>
          <w:lang w:val="en-US" w:eastAsia="zh-CN"/>
        </w:rPr>
        <w:t>商务</w:t>
      </w:r>
      <w:r>
        <w:rPr>
          <w:rFonts w:hint="eastAsia" w:ascii="仿宋" w:hAnsi="仿宋" w:eastAsia="仿宋" w:cs="仿宋_GB2312"/>
          <w:sz w:val="24"/>
          <w:lang w:val="zh-CN"/>
        </w:rPr>
        <w:t>技术文件或说明…………………</w:t>
      </w:r>
      <w:r>
        <w:rPr>
          <w:rFonts w:hint="eastAsia" w:ascii="仿宋" w:hAnsi="仿宋" w:eastAsia="仿宋" w:cs="仿宋_GB2312"/>
          <w:sz w:val="24"/>
        </w:rPr>
        <w:t>…………</w:t>
      </w:r>
      <w:r>
        <w:rPr>
          <w:rFonts w:hint="eastAsia" w:ascii="仿宋" w:hAnsi="仿宋" w:eastAsia="仿宋" w:cs="仿宋_GB2312"/>
          <w:sz w:val="24"/>
          <w:lang w:val="zh-CN"/>
        </w:rPr>
        <w:t>……………</w:t>
      </w:r>
      <w:r>
        <w:rPr>
          <w:rFonts w:hint="eastAsia" w:ascii="仿宋" w:hAnsi="仿宋" w:eastAsia="仿宋" w:cs="仿宋_GB2312"/>
          <w:sz w:val="24"/>
        </w:rPr>
        <w:t>（页码）</w:t>
      </w:r>
    </w:p>
    <w:p>
      <w:pPr>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rPr>
        <w:t>（17）</w:t>
      </w:r>
      <w:r>
        <w:rPr>
          <w:rFonts w:hint="eastAsia" w:ascii="仿宋" w:hAnsi="仿宋" w:eastAsia="仿宋" w:cs="仿宋_GB2312"/>
          <w:sz w:val="24"/>
          <w:lang w:val="zh-CN"/>
        </w:rPr>
        <w:t>政府采购供应商廉洁自律承诺书…………………………………………</w:t>
      </w:r>
      <w:r>
        <w:rPr>
          <w:rFonts w:hint="eastAsia" w:ascii="仿宋" w:hAnsi="仿宋" w:eastAsia="仿宋" w:cs="仿宋_GB2312"/>
          <w:sz w:val="24"/>
        </w:rPr>
        <w:t>（页码）</w:t>
      </w:r>
    </w:p>
    <w:p>
      <w:pPr>
        <w:snapToGrid w:val="0"/>
        <w:spacing w:line="360" w:lineRule="auto"/>
        <w:ind w:firstLine="241" w:firstLineChars="100"/>
        <w:rPr>
          <w:rFonts w:hint="eastAsia" w:ascii="仿宋" w:hAnsi="仿宋" w:eastAsia="仿宋" w:cs="仿宋_GB2312"/>
          <w:b/>
          <w:bCs/>
          <w:sz w:val="24"/>
          <w:u w:val="single"/>
        </w:rPr>
      </w:pPr>
      <w:r>
        <w:rPr>
          <w:rFonts w:hint="eastAsia" w:ascii="仿宋" w:hAnsi="仿宋" w:eastAsia="仿宋" w:cs="仿宋_GB2312"/>
          <w:b/>
          <w:bCs/>
          <w:sz w:val="24"/>
          <w:u w:val="none"/>
        </w:rPr>
        <w:t>注：</w:t>
      </w:r>
      <w:r>
        <w:rPr>
          <w:rFonts w:hint="eastAsia" w:ascii="仿宋" w:hAnsi="仿宋" w:eastAsia="仿宋" w:cs="仿宋_GB2312"/>
          <w:b/>
          <w:bCs/>
          <w:sz w:val="24"/>
          <w:u w:val="single"/>
        </w:rPr>
        <w:t>以上目录是编制响应文件的基本格式要求，各供应商可根据自身情况进一步细化。</w:t>
      </w:r>
    </w:p>
    <w:p>
      <w:pPr>
        <w:spacing w:line="360" w:lineRule="auto"/>
        <w:ind w:firstLine="480" w:firstLineChars="200"/>
        <w:rPr>
          <w:rFonts w:ascii="仿宋" w:hAnsi="仿宋" w:eastAsia="仿宋" w:cs="仿宋_GB2312"/>
          <w:sz w:val="24"/>
        </w:rPr>
      </w:pPr>
    </w:p>
    <w:p>
      <w:pPr>
        <w:snapToGrid w:val="0"/>
        <w:spacing w:line="360" w:lineRule="auto"/>
        <w:jc w:val="center"/>
        <w:rPr>
          <w:rFonts w:ascii="仿宋" w:hAnsi="仿宋" w:eastAsia="仿宋" w:cs="仿宋_GB2312"/>
          <w:b/>
          <w:kern w:val="0"/>
          <w:sz w:val="32"/>
          <w:szCs w:val="32"/>
        </w:rPr>
      </w:pPr>
      <w:r>
        <w:rPr>
          <w:rFonts w:ascii="仿宋" w:hAnsi="仿宋" w:eastAsia="仿宋" w:cs="仿宋_GB2312"/>
          <w:kern w:val="0"/>
          <w:sz w:val="24"/>
        </w:rPr>
        <w:br w:type="page"/>
      </w:r>
      <w:r>
        <w:rPr>
          <w:rFonts w:hint="eastAsia" w:ascii="仿宋" w:hAnsi="仿宋" w:eastAsia="仿宋" w:cs="仿宋_GB2312"/>
          <w:b/>
          <w:kern w:val="0"/>
          <w:sz w:val="32"/>
          <w:szCs w:val="32"/>
        </w:rPr>
        <w:t>一、</w:t>
      </w:r>
      <w:r>
        <w:rPr>
          <w:rFonts w:hint="eastAsia" w:ascii="仿宋" w:hAnsi="仿宋" w:eastAsia="仿宋" w:cs="仿宋_GB2312"/>
          <w:b/>
          <w:kern w:val="0"/>
          <w:sz w:val="32"/>
          <w:szCs w:val="32"/>
          <w:lang w:val="en-US" w:eastAsia="zh-CN"/>
        </w:rPr>
        <w:t>响应</w:t>
      </w:r>
      <w:r>
        <w:rPr>
          <w:rFonts w:hint="eastAsia" w:ascii="仿宋" w:hAnsi="仿宋" w:eastAsia="仿宋" w:cs="仿宋_GB2312"/>
          <w:b/>
          <w:kern w:val="0"/>
          <w:sz w:val="32"/>
          <w:szCs w:val="32"/>
        </w:rPr>
        <w:t>函</w:t>
      </w:r>
    </w:p>
    <w:p>
      <w:pPr>
        <w:snapToGrid w:val="0"/>
        <w:spacing w:line="276" w:lineRule="auto"/>
        <w:rPr>
          <w:rFonts w:ascii="仿宋" w:hAnsi="仿宋" w:eastAsia="仿宋" w:cs="仿宋_GB2312"/>
          <w:b/>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u w:val="single"/>
          <w:lang w:val="zh-CN"/>
        </w:rPr>
        <w:t xml:space="preserve">                        </w:t>
      </w:r>
      <w:r>
        <w:rPr>
          <w:rFonts w:hint="eastAsia" w:ascii="仿宋" w:hAnsi="仿宋" w:eastAsia="仿宋" w:cs="仿宋_GB2312"/>
          <w:sz w:val="24"/>
          <w:u w:val="single"/>
        </w:rPr>
        <w:t>(供应商全称)</w:t>
      </w:r>
      <w:r>
        <w:rPr>
          <w:rFonts w:hint="eastAsia" w:ascii="仿宋" w:hAnsi="仿宋" w:eastAsia="仿宋" w:cs="仿宋_GB2312"/>
          <w:sz w:val="24"/>
        </w:rPr>
        <w:t>授权</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rPr>
        <w:t>(全权代表姓名)</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rPr>
        <w:t>(职务、职称)</w:t>
      </w:r>
      <w:r>
        <w:rPr>
          <w:rFonts w:hint="eastAsia" w:ascii="仿宋" w:hAnsi="仿宋" w:eastAsia="仿宋" w:cs="仿宋_GB2312"/>
          <w:sz w:val="24"/>
        </w:rPr>
        <w:t>为全权代表，参加贵方组织的</w:t>
      </w:r>
      <w:r>
        <w:rPr>
          <w:rFonts w:hint="eastAsia" w:ascii="仿宋" w:hAnsi="仿宋" w:eastAsia="仿宋" w:cs="仿宋_GB2312"/>
          <w:sz w:val="24"/>
          <w:u w:val="single"/>
          <w:lang w:eastAsia="zh-CN"/>
        </w:rPr>
        <w:t>杭州市临安区中医院电子病历质控系统</w:t>
      </w:r>
      <w:r>
        <w:rPr>
          <w:rFonts w:hint="eastAsia" w:ascii="仿宋" w:hAnsi="仿宋" w:eastAsia="仿宋" w:cs="仿宋_GB2312"/>
          <w:sz w:val="24"/>
          <w:u w:val="single"/>
        </w:rPr>
        <w:t>【</w:t>
      </w:r>
      <w:r>
        <w:rPr>
          <w:rFonts w:hint="eastAsia" w:ascii="仿宋" w:hAnsi="仿宋" w:eastAsia="仿宋" w:cs="仿宋_GB2312"/>
          <w:sz w:val="24"/>
          <w:u w:val="single"/>
          <w:lang w:val="en-US" w:eastAsia="zh-CN"/>
        </w:rPr>
        <w:t>项目</w:t>
      </w:r>
      <w:r>
        <w:rPr>
          <w:rFonts w:hint="eastAsia" w:ascii="仿宋" w:hAnsi="仿宋" w:eastAsia="仿宋" w:cs="仿宋_GB2312"/>
          <w:sz w:val="24"/>
          <w:u w:val="single"/>
        </w:rPr>
        <w:t>编号：</w:t>
      </w:r>
      <w:r>
        <w:rPr>
          <w:rFonts w:hint="eastAsia" w:ascii="仿宋" w:hAnsi="仿宋" w:eastAsia="仿宋"/>
          <w:sz w:val="24"/>
          <w:u w:val="single"/>
          <w:lang w:eastAsia="zh-CN"/>
        </w:rPr>
        <w:t>临[2024]3427号</w:t>
      </w:r>
      <w:r>
        <w:rPr>
          <w:rFonts w:hint="eastAsia" w:ascii="仿宋" w:hAnsi="仿宋" w:eastAsia="仿宋" w:cs="仿宋_GB2312"/>
          <w:sz w:val="24"/>
          <w:u w:val="single"/>
        </w:rPr>
        <w:t>】</w:t>
      </w:r>
      <w:r>
        <w:rPr>
          <w:rFonts w:hint="eastAsia" w:ascii="仿宋" w:hAnsi="仿宋" w:eastAsia="仿宋" w:cs="仿宋_GB2312"/>
          <w:sz w:val="24"/>
        </w:rPr>
        <w:t>的有关</w:t>
      </w:r>
      <w:r>
        <w:rPr>
          <w:rFonts w:hint="eastAsia" w:ascii="仿宋" w:hAnsi="仿宋" w:eastAsia="仿宋" w:cs="仿宋_GB2312"/>
          <w:sz w:val="24"/>
          <w:lang w:val="en-US" w:eastAsia="zh-CN"/>
        </w:rPr>
        <w:t>采购</w:t>
      </w:r>
      <w:r>
        <w:rPr>
          <w:rFonts w:hint="eastAsia" w:ascii="仿宋" w:hAnsi="仿宋" w:eastAsia="仿宋" w:cs="仿宋_GB2312"/>
          <w:sz w:val="24"/>
        </w:rPr>
        <w:t>活动，并对此项目进行响应。为此：</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1、</w:t>
      </w:r>
      <w:r>
        <w:rPr>
          <w:rFonts w:hint="eastAsia" w:ascii="仿宋" w:hAnsi="仿宋" w:eastAsia="仿宋" w:cs="仿宋_GB2312"/>
          <w:sz w:val="24"/>
        </w:rPr>
        <w:t>我方承诺响应有效期从提交响应文件的截止之日起</w:t>
      </w:r>
      <w:r>
        <w:rPr>
          <w:rFonts w:hint="eastAsia" w:ascii="仿宋" w:hAnsi="仿宋" w:eastAsia="仿宋" w:cs="仿宋_GB2312"/>
          <w:sz w:val="24"/>
          <w:u w:val="single"/>
        </w:rPr>
        <w:t xml:space="preserve">     天</w:t>
      </w:r>
      <w:r>
        <w:rPr>
          <w:rFonts w:hint="eastAsia" w:ascii="仿宋" w:hAnsi="仿宋" w:eastAsia="仿宋" w:cs="仿宋_GB2312"/>
          <w:sz w:val="24"/>
        </w:rPr>
        <w:t>（不少于90天），本响应文件在响应有效期满之前均具有约束力。</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2、</w:t>
      </w:r>
      <w:r>
        <w:rPr>
          <w:rFonts w:hint="eastAsia" w:ascii="仿宋" w:hAnsi="仿宋" w:eastAsia="仿宋" w:cs="仿宋_GB2312"/>
          <w:sz w:val="24"/>
        </w:rPr>
        <w:t>提供磋商</w:t>
      </w:r>
      <w:r>
        <w:rPr>
          <w:rFonts w:hint="eastAsia" w:ascii="仿宋" w:hAnsi="仿宋" w:eastAsia="仿宋" w:cs="仿宋_GB2312"/>
          <w:sz w:val="24"/>
          <w:lang w:val="en-US" w:eastAsia="zh-CN"/>
        </w:rPr>
        <w:t>采购</w:t>
      </w:r>
      <w:r>
        <w:rPr>
          <w:rFonts w:hint="eastAsia" w:ascii="仿宋" w:hAnsi="仿宋" w:eastAsia="仿宋" w:cs="仿宋_GB2312"/>
          <w:sz w:val="24"/>
        </w:rPr>
        <w:t>文件中规定的全部响应文件。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我方承诺除响应文件列出的偏离外，</w:t>
      </w:r>
      <w:r>
        <w:rPr>
          <w:rFonts w:hint="eastAsia" w:ascii="仿宋" w:hAnsi="仿宋" w:eastAsia="仿宋" w:cs="仿宋_GB2312"/>
          <w:sz w:val="24"/>
          <w:lang w:val="en-US" w:eastAsia="zh-CN"/>
        </w:rPr>
        <w:t>完全</w:t>
      </w:r>
      <w:r>
        <w:rPr>
          <w:rFonts w:hint="eastAsia" w:ascii="仿宋" w:hAnsi="仿宋" w:eastAsia="仿宋" w:cs="仿宋_GB2312"/>
          <w:sz w:val="24"/>
        </w:rPr>
        <w:t>响应磋商</w:t>
      </w:r>
      <w:r>
        <w:rPr>
          <w:rFonts w:hint="eastAsia" w:ascii="仿宋" w:hAnsi="仿宋" w:eastAsia="仿宋" w:cs="仿宋_GB2312"/>
          <w:sz w:val="24"/>
          <w:lang w:val="en-US" w:eastAsia="zh-CN"/>
        </w:rPr>
        <w:t>采购</w:t>
      </w:r>
      <w:r>
        <w:rPr>
          <w:rFonts w:hint="eastAsia" w:ascii="仿宋" w:hAnsi="仿宋" w:eastAsia="仿宋" w:cs="仿宋_GB2312"/>
          <w:sz w:val="24"/>
        </w:rPr>
        <w:t>文件的全部要求。</w:t>
      </w:r>
      <w:r>
        <w:rPr>
          <w:rFonts w:hint="eastAsia" w:ascii="仿宋" w:hAnsi="仿宋" w:eastAsia="仿宋" w:cs="仿宋_GB2312"/>
          <w:sz w:val="24"/>
          <w:lang w:val="en-US" w:eastAsia="zh-CN"/>
        </w:rPr>
        <w:t>我方</w:t>
      </w:r>
      <w:r>
        <w:rPr>
          <w:rFonts w:hint="eastAsia" w:ascii="仿宋" w:hAnsi="仿宋" w:eastAsia="仿宋" w:cs="仿宋_GB2312"/>
          <w:sz w:val="24"/>
        </w:rPr>
        <w:t>对</w:t>
      </w:r>
      <w:r>
        <w:rPr>
          <w:rFonts w:hint="eastAsia" w:ascii="仿宋" w:hAnsi="仿宋" w:eastAsia="仿宋" w:cs="仿宋_GB2312"/>
          <w:sz w:val="24"/>
          <w:lang w:val="en-US" w:eastAsia="zh-CN"/>
        </w:rPr>
        <w:t>响应</w:t>
      </w:r>
      <w:r>
        <w:rPr>
          <w:rFonts w:hint="eastAsia" w:ascii="仿宋" w:hAnsi="仿宋" w:eastAsia="仿宋" w:cs="仿宋_GB2312"/>
          <w:sz w:val="24"/>
        </w:rPr>
        <w:t>文件中材料的真实性、合法性负</w:t>
      </w:r>
      <w:r>
        <w:rPr>
          <w:rFonts w:hint="eastAsia" w:ascii="仿宋" w:hAnsi="仿宋" w:eastAsia="仿宋" w:cs="仿宋_GB2312"/>
          <w:sz w:val="24"/>
          <w:lang w:val="en-US" w:eastAsia="zh-CN"/>
        </w:rPr>
        <w:t>全部法律责任</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4、</w:t>
      </w:r>
      <w:r>
        <w:rPr>
          <w:rFonts w:hint="eastAsia" w:ascii="仿宋" w:hAnsi="仿宋" w:eastAsia="仿宋" w:cs="仿宋_GB2312"/>
          <w:sz w:val="24"/>
        </w:rPr>
        <w:t>保证遵守磋商</w:t>
      </w:r>
      <w:r>
        <w:rPr>
          <w:rFonts w:hint="eastAsia" w:ascii="仿宋" w:hAnsi="仿宋" w:eastAsia="仿宋" w:cs="仿宋_GB2312"/>
          <w:sz w:val="24"/>
          <w:lang w:val="en-US" w:eastAsia="zh-CN"/>
        </w:rPr>
        <w:t>采购</w:t>
      </w:r>
      <w:r>
        <w:rPr>
          <w:rFonts w:hint="eastAsia" w:ascii="仿宋" w:hAnsi="仿宋" w:eastAsia="仿宋" w:cs="仿宋_GB2312"/>
          <w:sz w:val="24"/>
        </w:rPr>
        <w:t>文件中的其他有关规定。</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5、</w:t>
      </w:r>
      <w:r>
        <w:rPr>
          <w:rFonts w:hint="eastAsia" w:ascii="仿宋" w:hAnsi="仿宋" w:eastAsia="仿宋" w:cs="仿宋_GB2312"/>
          <w:sz w:val="24"/>
        </w:rPr>
        <w:t>我方愿意向贵方提供任何与该项目响应有关的数据、情况和技术资料。若贵方需要，我方愿意提供我方作出的一切承诺的证明材料。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6、</w:t>
      </w:r>
      <w:r>
        <w:rPr>
          <w:rFonts w:hint="eastAsia" w:ascii="仿宋" w:hAnsi="仿宋" w:eastAsia="仿宋" w:cs="仿宋_GB2312"/>
          <w:sz w:val="24"/>
        </w:rPr>
        <w:t>我方已详细阅读全部</w:t>
      </w:r>
      <w:r>
        <w:rPr>
          <w:rFonts w:hint="eastAsia" w:ascii="仿宋" w:hAnsi="仿宋" w:eastAsia="仿宋" w:cs="仿宋_GB2312"/>
          <w:sz w:val="24"/>
          <w:lang w:val="en-US" w:eastAsia="zh-CN"/>
        </w:rPr>
        <w:t>采购</w:t>
      </w:r>
      <w:r>
        <w:rPr>
          <w:rFonts w:hint="eastAsia" w:ascii="仿宋" w:hAnsi="仿宋" w:eastAsia="仿宋" w:cs="仿宋_GB2312"/>
          <w:sz w:val="24"/>
        </w:rPr>
        <w:t>文件，包括</w:t>
      </w:r>
      <w:r>
        <w:rPr>
          <w:rFonts w:hint="eastAsia" w:ascii="仿宋" w:hAnsi="仿宋" w:eastAsia="仿宋" w:cs="仿宋_GB2312"/>
          <w:sz w:val="24"/>
          <w:lang w:val="en-US" w:eastAsia="zh-CN"/>
        </w:rPr>
        <w:t>采购</w:t>
      </w:r>
      <w:r>
        <w:rPr>
          <w:rFonts w:hint="eastAsia" w:ascii="仿宋" w:hAnsi="仿宋" w:eastAsia="仿宋" w:cs="仿宋_GB2312"/>
          <w:sz w:val="24"/>
        </w:rPr>
        <w:t>文件“更正（延期）公告”（如果有）、参考资料及有关附件，确认无误。</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如我方成交，我方承诺：</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 xml:space="preserve">.1在收到成交通知书后，在成交通知书规定的期限内与你方签订合同；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 xml:space="preserve">.2在签订合同时不向你方提出附加条件；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.3按照</w:t>
      </w:r>
      <w:r>
        <w:rPr>
          <w:rFonts w:hint="eastAsia" w:ascii="仿宋" w:hAnsi="仿宋" w:eastAsia="仿宋" w:cs="仿宋_GB2312"/>
          <w:sz w:val="24"/>
          <w:lang w:val="en-US" w:eastAsia="zh-CN"/>
        </w:rPr>
        <w:t>采购</w:t>
      </w:r>
      <w:r>
        <w:rPr>
          <w:rFonts w:hint="eastAsia" w:ascii="仿宋" w:hAnsi="仿宋" w:eastAsia="仿宋" w:cs="仿宋_GB2312"/>
          <w:sz w:val="24"/>
        </w:rPr>
        <w:t xml:space="preserve">文件要求提交履约保证金；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7</w:t>
      </w:r>
      <w:r>
        <w:rPr>
          <w:rFonts w:hint="eastAsia" w:ascii="仿宋" w:hAnsi="仿宋" w:eastAsia="仿宋" w:cs="仿宋_GB2312"/>
          <w:sz w:val="24"/>
        </w:rPr>
        <w:t xml:space="preserve">.4在合同约定的期限内完成合同规定的全部义务。 </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lang w:val="en-US" w:eastAsia="zh-CN"/>
        </w:rPr>
        <w:t>8、</w:t>
      </w:r>
      <w:r>
        <w:rPr>
          <w:rFonts w:hint="eastAsia" w:ascii="仿宋" w:hAnsi="仿宋" w:eastAsia="仿宋" w:cs="仿宋_GB2312"/>
          <w:sz w:val="24"/>
        </w:rPr>
        <w:t>其他补充说明:</w:t>
      </w:r>
      <w:r>
        <w:rPr>
          <w:rFonts w:hint="eastAsia" w:ascii="仿宋" w:hAnsi="仿宋" w:eastAsia="仿宋" w:cs="仿宋_GB2312"/>
          <w:sz w:val="24"/>
          <w:u w:val="single"/>
        </w:rPr>
        <w:t xml:space="preserve">                                        </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p>
    <w:p>
      <w:pPr>
        <w:spacing w:line="360" w:lineRule="auto"/>
        <w:ind w:left="5670" w:leftChars="2700"/>
        <w:rPr>
          <w:rFonts w:hint="eastAsia" w:ascii="仿宋" w:hAnsi="仿宋" w:eastAsia="仿宋" w:cs="仿宋_GB2312"/>
          <w:sz w:val="24"/>
        </w:rPr>
      </w:pPr>
      <w:r>
        <w:rPr>
          <w:rFonts w:hint="eastAsia" w:ascii="仿宋" w:hAnsi="仿宋" w:eastAsia="仿宋" w:cs="仿宋_GB2312"/>
          <w:sz w:val="24"/>
        </w:rPr>
        <w:t>供应商名称（电子签名）：</w:t>
      </w:r>
    </w:p>
    <w:p>
      <w:pPr>
        <w:spacing w:line="360" w:lineRule="auto"/>
        <w:ind w:left="5670" w:leftChars="2700"/>
        <w:rPr>
          <w:rFonts w:ascii="仿宋" w:hAnsi="仿宋" w:eastAsia="仿宋" w:cs="仿宋_GB2312"/>
          <w:sz w:val="24"/>
        </w:rPr>
      </w:pPr>
      <w:r>
        <w:rPr>
          <w:rFonts w:ascii="仿宋" w:hAnsi="仿宋" w:eastAsia="仿宋" w:cs="仿宋_GB2312"/>
          <w:sz w:val="24"/>
        </w:rPr>
        <w:t>日期：</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jc w:val="center"/>
        <w:rPr>
          <w:rFonts w:ascii="仿宋" w:hAnsi="仿宋" w:eastAsia="仿宋" w:cs="仿宋_GB2312"/>
          <w:b/>
          <w:kern w:val="0"/>
          <w:sz w:val="32"/>
          <w:szCs w:val="32"/>
          <w:lang w:val="zh-CN"/>
        </w:rPr>
      </w:pPr>
    </w:p>
    <w:p>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pPr>
        <w:widowControl/>
        <w:jc w:val="left"/>
        <w:rPr>
          <w:rFonts w:ascii="仿宋" w:hAnsi="仿宋" w:eastAsia="仿宋" w:cs="仿宋_GB2312"/>
          <w:b/>
          <w:kern w:val="0"/>
          <w:sz w:val="32"/>
          <w:szCs w:val="32"/>
          <w:lang w:val="zh-CN"/>
        </w:rPr>
      </w:pPr>
    </w:p>
    <w:p>
      <w:pPr>
        <w:widowControl/>
        <w:tabs>
          <w:tab w:val="left" w:pos="1200"/>
        </w:tabs>
        <w:adjustRightInd/>
        <w:spacing w:line="360" w:lineRule="auto"/>
        <w:jc w:val="center"/>
        <w:rPr>
          <w:rFonts w:ascii="宋体" w:hAnsi="宋体" w:eastAsia="宋体" w:cs="仿宋_GB2312"/>
          <w:b/>
          <w:kern w:val="0"/>
          <w:sz w:val="32"/>
          <w:szCs w:val="32"/>
          <w:lang w:val="zh-CN"/>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lang w:val="zh-CN"/>
        </w:rPr>
        <w:t>二、资格文件</w:t>
      </w:r>
    </w:p>
    <w:p>
      <w:pPr>
        <w:pStyle w:val="272"/>
        <w:widowControl/>
        <w:tabs>
          <w:tab w:val="left" w:pos="1200"/>
          <w:tab w:val="left" w:pos="1560"/>
        </w:tabs>
        <w:adjustRightInd/>
        <w:ind w:left="1560" w:firstLine="0" w:firstLineChars="0"/>
        <w:jc w:val="left"/>
        <w:rPr>
          <w:rFonts w:ascii="宋体" w:hAnsi="宋体" w:eastAsia="宋体" w:cs="仿宋_GB2312"/>
          <w:b/>
          <w:sz w:val="30"/>
          <w:szCs w:val="30"/>
        </w:rPr>
      </w:pPr>
    </w:p>
    <w:p>
      <w:pPr>
        <w:snapToGrid w:val="0"/>
        <w:spacing w:line="276" w:lineRule="auto"/>
        <w:jc w:val="center"/>
        <w:rPr>
          <w:rFonts w:hint="eastAsia" w:ascii="仿宋" w:hAnsi="仿宋" w:eastAsia="仿宋" w:cs="仿宋_GB2312"/>
          <w:b/>
          <w:sz w:val="28"/>
          <w:szCs w:val="28"/>
        </w:rPr>
      </w:pPr>
      <w:r>
        <w:rPr>
          <w:rFonts w:hint="eastAsia" w:ascii="仿宋" w:hAnsi="仿宋" w:eastAsia="仿宋" w:cs="仿宋_GB2312"/>
          <w:b/>
          <w:sz w:val="28"/>
          <w:szCs w:val="28"/>
        </w:rPr>
        <w:t>A、符合参加政府采购活动应当具备的一般条件的承诺函</w:t>
      </w:r>
    </w:p>
    <w:p>
      <w:pPr>
        <w:snapToGrid w:val="0"/>
        <w:spacing w:line="360" w:lineRule="auto"/>
        <w:rPr>
          <w:rFonts w:hint="eastAsia" w:ascii="仿宋" w:hAnsi="仿宋" w:eastAsia="仿宋" w:cs="仿宋_GB2312"/>
          <w:b/>
          <w:sz w:val="24"/>
        </w:rPr>
      </w:pPr>
    </w:p>
    <w:p>
      <w:pPr>
        <w:snapToGrid w:val="0"/>
        <w:spacing w:line="360" w:lineRule="auto"/>
        <w:rPr>
          <w:rFonts w:ascii="仿宋" w:hAnsi="仿宋" w:eastAsia="仿宋" w:cs="仿宋_GB2312"/>
          <w:b/>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u w:val="single"/>
          <w:lang w:eastAsia="zh-CN"/>
        </w:rPr>
        <w:t>杭州市临安区中医院电子病历质控系统</w:t>
      </w:r>
      <w:r>
        <w:rPr>
          <w:rFonts w:hint="eastAsia" w:ascii="仿宋" w:hAnsi="仿宋" w:eastAsia="仿宋" w:cs="仿宋_GB2312"/>
          <w:sz w:val="24"/>
          <w:lang w:eastAsia="zh-CN"/>
        </w:rPr>
        <w:t>【项目编号：临[2024]3427号】</w:t>
      </w:r>
      <w:r>
        <w:rPr>
          <w:rFonts w:hint="eastAsia" w:ascii="仿宋" w:hAnsi="仿宋" w:eastAsia="仿宋" w:cs="仿宋_GB2312"/>
          <w:sz w:val="24"/>
          <w:lang w:val="en-US" w:eastAsia="zh-CN"/>
        </w:rPr>
        <w:t>的</w:t>
      </w:r>
      <w:r>
        <w:rPr>
          <w:rFonts w:hint="eastAsia" w:ascii="仿宋" w:hAnsi="仿宋" w:eastAsia="仿宋" w:cs="仿宋_GB2312"/>
          <w:sz w:val="24"/>
        </w:rPr>
        <w:t>政府采购活动，郑重承诺：</w:t>
      </w:r>
    </w:p>
    <w:p>
      <w:pPr>
        <w:snapToGrid w:val="0"/>
        <w:spacing w:line="360" w:lineRule="auto"/>
        <w:ind w:firstLine="240" w:firstLineChars="10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240" w:firstLineChars="1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www.creditchina.gov.cn)、中国政府采购网（www.ccgp.gov.cn）列入失信被执行人、重大税收违法案件当事人名单、严重违法失信行为记录名单。</w:t>
      </w:r>
    </w:p>
    <w:p>
      <w:pPr>
        <w:snapToGrid w:val="0"/>
        <w:spacing w:line="360" w:lineRule="auto"/>
        <w:ind w:firstLine="240" w:firstLineChars="1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napToGrid w:val="0"/>
        <w:spacing w:before="120" w:beforeLines="50" w:after="120" w:afterLines="50" w:line="360" w:lineRule="auto"/>
        <w:jc w:val="center"/>
        <w:rPr>
          <w:rFonts w:hint="default" w:ascii="仿宋" w:hAnsi="仿宋" w:eastAsia="仿宋" w:cs="仿宋_GB2312"/>
          <w:b/>
          <w:sz w:val="28"/>
          <w:szCs w:val="28"/>
          <w:lang w:val="en-US" w:eastAsia="zh-CN"/>
        </w:rPr>
      </w:pPr>
      <w:r>
        <w:rPr>
          <w:rFonts w:hint="eastAsia" w:ascii="仿宋" w:hAnsi="仿宋" w:eastAsia="仿宋" w:cs="仿宋_GB2312"/>
          <w:b/>
          <w:kern w:val="0"/>
          <w:sz w:val="32"/>
          <w:szCs w:val="32"/>
        </w:rPr>
        <w:br w:type="page"/>
      </w:r>
      <w:r>
        <w:rPr>
          <w:rFonts w:hint="eastAsia" w:ascii="仿宋" w:hAnsi="仿宋" w:eastAsia="仿宋" w:cs="仿宋_GB2312"/>
          <w:b/>
          <w:sz w:val="28"/>
          <w:szCs w:val="28"/>
          <w:lang w:val="en-US" w:eastAsia="zh-CN"/>
        </w:rPr>
        <w:t>B、落实政府采购政策需满足的资格要求(如果有)</w:t>
      </w:r>
    </w:p>
    <w:p>
      <w:pPr>
        <w:widowControl/>
        <w:spacing w:line="276" w:lineRule="auto"/>
        <w:ind w:firstLine="482" w:firstLineChars="200"/>
        <w:jc w:val="left"/>
        <w:rPr>
          <w:rFonts w:hint="eastAsia" w:ascii="仿宋" w:hAnsi="仿宋" w:eastAsia="仿宋" w:cs="仿宋_GB2312"/>
          <w:b/>
          <w:sz w:val="24"/>
          <w:lang w:val="en-US" w:eastAsia="zh-CN"/>
        </w:rPr>
      </w:pPr>
      <w:r>
        <w:rPr>
          <w:rFonts w:hint="eastAsia" w:ascii="仿宋" w:hAnsi="仿宋" w:eastAsia="仿宋" w:cs="仿宋_GB2312"/>
          <w:b/>
          <w:sz w:val="24"/>
          <w:lang w:val="en-US" w:eastAsia="zh-CN"/>
        </w:rPr>
        <w:t>[根据采购文件第一部分采购公告中落实政府采购政策需满足的资格要求选择提供相应的材料；未要求的，无需提供]</w:t>
      </w:r>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highlight w:val="yellow"/>
        </w:rPr>
        <w:t>①</w:t>
      </w:r>
      <w:r>
        <w:rPr>
          <w:rFonts w:hint="eastAsia" w:ascii="仿宋" w:hAnsi="仿宋" w:eastAsia="仿宋" w:cs="仿宋_GB2312"/>
          <w:color w:val="auto"/>
          <w:sz w:val="24"/>
          <w:highlight w:val="yellow"/>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_GB2312"/>
          <w:color w:val="auto"/>
          <w:sz w:val="24"/>
          <w:highlight w:val="yellow"/>
          <w:u w:val="single"/>
        </w:rPr>
        <w:t>（附件</w:t>
      </w:r>
      <w:r>
        <w:rPr>
          <w:rFonts w:ascii="仿宋" w:hAnsi="仿宋" w:eastAsia="仿宋" w:cs="仿宋_GB2312"/>
          <w:color w:val="auto"/>
          <w:sz w:val="24"/>
          <w:highlight w:val="yellow"/>
          <w:u w:val="single"/>
        </w:rPr>
        <w:t>5</w:t>
      </w:r>
      <w:r>
        <w:rPr>
          <w:rFonts w:hint="eastAsia" w:ascii="仿宋" w:hAnsi="仿宋" w:eastAsia="仿宋" w:cs="仿宋_GB2312"/>
          <w:color w:val="auto"/>
          <w:sz w:val="24"/>
          <w:highlight w:val="yellow"/>
          <w:u w:val="single"/>
        </w:rPr>
        <w:t>）</w:t>
      </w:r>
      <w:r>
        <w:rPr>
          <w:rFonts w:hint="eastAsia" w:ascii="仿宋" w:hAnsi="仿宋" w:eastAsia="仿宋" w:cs="仿宋_GB2312"/>
          <w:color w:val="auto"/>
          <w:sz w:val="24"/>
          <w:highlight w:val="yellow"/>
        </w:rPr>
        <w:t>。</w:t>
      </w:r>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②要求以联合体形式参加的，提供联合协议和中小企业声明函</w:t>
      </w:r>
      <w:r>
        <w:rPr>
          <w:rFonts w:hint="eastAsia" w:ascii="仿宋" w:hAnsi="仿宋" w:eastAsia="仿宋" w:cs="仿宋"/>
          <w:sz w:val="24"/>
          <w:u w:val="single"/>
        </w:rPr>
        <w:t>（附件5）</w:t>
      </w:r>
      <w:r>
        <w:rPr>
          <w:rFonts w:hint="eastAsia" w:ascii="仿宋" w:hAnsi="仿宋" w:eastAsia="仿宋" w:cs="仿宋"/>
          <w:sz w:val="24"/>
        </w:rPr>
        <w:t>，联合协议中中小企业合同金额应当达到</w:t>
      </w:r>
      <w:r>
        <w:rPr>
          <w:rFonts w:hint="eastAsia" w:ascii="仿宋" w:hAnsi="仿宋" w:eastAsia="仿宋" w:cs="仿宋"/>
          <w:sz w:val="24"/>
          <w:lang w:val="en-US" w:eastAsia="zh-CN"/>
        </w:rPr>
        <w:t>采购</w:t>
      </w:r>
      <w:r>
        <w:rPr>
          <w:rFonts w:hint="eastAsia" w:ascii="仿宋" w:hAnsi="仿宋" w:eastAsia="仿宋" w:cs="仿宋"/>
          <w:sz w:val="24"/>
        </w:rPr>
        <w:t>公告载明的比例；如果供应商本身提供所有标的均由中小企业承接的，并相应达到了前述比例要求，视同符合了资格条件，无需再与其他中小企业组成联合体参加政府采购活动，无需提供联合协议。</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③要求合同分包的，提供分包意向协议和中小企业声明函</w:t>
      </w:r>
      <w:r>
        <w:rPr>
          <w:rFonts w:hint="eastAsia" w:ascii="仿宋" w:hAnsi="仿宋" w:eastAsia="仿宋" w:cs="仿宋"/>
          <w:sz w:val="24"/>
          <w:u w:val="single"/>
        </w:rPr>
        <w:t>（附件5）</w:t>
      </w:r>
      <w:r>
        <w:rPr>
          <w:rFonts w:hint="eastAsia" w:ascii="仿宋" w:hAnsi="仿宋" w:eastAsia="仿宋" w:cs="仿宋"/>
          <w:sz w:val="24"/>
        </w:rPr>
        <w:t>，分包意向协议中中小企业合同金额应当达到</w:t>
      </w:r>
      <w:r>
        <w:rPr>
          <w:rFonts w:hint="eastAsia" w:ascii="仿宋" w:hAnsi="仿宋" w:eastAsia="仿宋" w:cs="仿宋"/>
          <w:sz w:val="24"/>
          <w:lang w:val="en-US" w:eastAsia="zh-CN"/>
        </w:rPr>
        <w:t>采购</w:t>
      </w:r>
      <w:r>
        <w:rPr>
          <w:rFonts w:hint="eastAsia" w:ascii="仿宋" w:hAnsi="仿宋" w:eastAsia="仿宋" w:cs="仿宋"/>
          <w:sz w:val="24"/>
        </w:rPr>
        <w:t>公告载明的比例；如果供应商本身提供的所有标的均由中小企业承接的，并相应达到了前述比例要求，视同符合了资格条件，无需再向中小企业分包，无需提供分包意向协议。</w:t>
      </w:r>
    </w:p>
    <w:p>
      <w:pPr>
        <w:snapToGrid w:val="0"/>
        <w:spacing w:line="360" w:lineRule="auto"/>
        <w:ind w:firstLine="480" w:firstLineChars="200"/>
        <w:rPr>
          <w:rFonts w:hint="eastAsia" w:ascii="仿宋" w:hAnsi="仿宋" w:eastAsia="仿宋" w:cs="仿宋_GB2312"/>
          <w:sz w:val="24"/>
        </w:rPr>
      </w:pPr>
    </w:p>
    <w:p>
      <w:pPr>
        <w:snapToGrid w:val="0"/>
        <w:spacing w:line="360" w:lineRule="auto"/>
        <w:ind w:firstLine="480" w:firstLineChars="200"/>
        <w:rPr>
          <w:rFonts w:hint="eastAsia" w:ascii="仿宋" w:hAnsi="仿宋" w:eastAsia="仿宋" w:cs="仿宋_GB2312"/>
          <w:sz w:val="24"/>
        </w:rPr>
      </w:pPr>
    </w:p>
    <w:p>
      <w:pPr>
        <w:snapToGrid w:val="0"/>
        <w:spacing w:before="120" w:beforeLines="50" w:after="120" w:afterLines="50" w:line="360" w:lineRule="auto"/>
        <w:jc w:val="center"/>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C、符合特定资格条件的有关证明文件</w:t>
      </w:r>
      <w:r>
        <w:rPr>
          <w:rFonts w:hint="eastAsia" w:ascii="仿宋" w:hAnsi="仿宋" w:eastAsia="仿宋" w:cs="仿宋_GB2312"/>
          <w:b/>
          <w:sz w:val="28"/>
          <w:szCs w:val="28"/>
          <w:lang w:val="zh-CN" w:eastAsia="zh-CN"/>
        </w:rPr>
        <w:t>（</w:t>
      </w:r>
      <w:r>
        <w:rPr>
          <w:rFonts w:hint="eastAsia" w:ascii="仿宋" w:hAnsi="仿宋" w:eastAsia="仿宋" w:cs="仿宋_GB2312"/>
          <w:b/>
          <w:sz w:val="28"/>
          <w:szCs w:val="28"/>
          <w:lang w:val="en-US" w:eastAsia="zh-CN"/>
        </w:rPr>
        <w:t>如果有</w:t>
      </w:r>
      <w:r>
        <w:rPr>
          <w:rFonts w:hint="eastAsia" w:ascii="仿宋" w:hAnsi="仿宋" w:eastAsia="仿宋" w:cs="仿宋_GB2312"/>
          <w:b/>
          <w:sz w:val="28"/>
          <w:szCs w:val="28"/>
          <w:lang w:val="zh-CN" w:eastAsia="zh-CN"/>
        </w:rPr>
        <w:t>）</w:t>
      </w:r>
    </w:p>
    <w:p>
      <w:pPr>
        <w:widowControl/>
        <w:spacing w:line="276" w:lineRule="auto"/>
        <w:ind w:firstLine="482" w:firstLineChars="200"/>
        <w:jc w:val="left"/>
        <w:rPr>
          <w:rFonts w:hint="eastAsia" w:ascii="仿宋" w:hAnsi="仿宋" w:eastAsia="仿宋" w:cs="仿宋_GB2312"/>
          <w:b/>
          <w:sz w:val="24"/>
          <w:lang w:val="en-US" w:eastAsia="zh-CN"/>
        </w:rPr>
      </w:pPr>
      <w:r>
        <w:rPr>
          <w:rFonts w:hint="eastAsia" w:ascii="仿宋" w:hAnsi="仿宋" w:eastAsia="仿宋" w:cs="仿宋_GB2312"/>
          <w:b/>
          <w:sz w:val="24"/>
          <w:lang w:val="en-US" w:eastAsia="zh-CN"/>
        </w:rPr>
        <w:t>[由供应商根据“采购文件第一部分”中“合格的供应商应具备的特定资格要求”编制；如果本项目没有设置特定资格条件，则不需要提供]</w:t>
      </w:r>
    </w:p>
    <w:p>
      <w:pPr>
        <w:snapToGrid w:val="0"/>
        <w:spacing w:line="360" w:lineRule="auto"/>
        <w:ind w:firstLine="480" w:firstLineChars="200"/>
        <w:rPr>
          <w:rFonts w:ascii="仿宋" w:hAnsi="仿宋" w:eastAsia="仿宋" w:cs="仿宋_GB2312"/>
          <w:sz w:val="24"/>
        </w:rPr>
      </w:pPr>
    </w:p>
    <w:p>
      <w:pPr>
        <w:snapToGrid w:val="0"/>
        <w:spacing w:line="360" w:lineRule="auto"/>
        <w:ind w:firstLine="5520" w:firstLineChars="2300"/>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rPr>
          <w:rFonts w:hint="eastAsia" w:ascii="仿宋" w:hAnsi="仿宋" w:eastAsia="仿宋" w:cs="仿宋_GB2312"/>
          <w:b/>
          <w:kern w:val="0"/>
          <w:sz w:val="32"/>
          <w:szCs w:val="32"/>
        </w:rPr>
      </w:pPr>
      <w:r>
        <w:rPr>
          <w:rFonts w:hint="eastAsia" w:ascii="仿宋" w:hAnsi="仿宋" w:eastAsia="仿宋" w:cs="仿宋_GB2312"/>
          <w:b/>
          <w:kern w:val="0"/>
          <w:sz w:val="32"/>
          <w:szCs w:val="32"/>
        </w:rPr>
        <w:br w:type="page"/>
      </w:r>
    </w:p>
    <w:p>
      <w:pPr>
        <w:snapToGrid w:val="0"/>
        <w:spacing w:before="120" w:beforeLines="50" w:after="120" w:afterLines="50" w:line="360" w:lineRule="auto"/>
        <w:jc w:val="center"/>
        <w:rPr>
          <w:rFonts w:hint="eastAsia" w:ascii="仿宋" w:hAnsi="仿宋" w:eastAsia="仿宋" w:cs="仿宋_GB2312"/>
          <w:b/>
          <w:kern w:val="0"/>
          <w:sz w:val="32"/>
          <w:szCs w:val="32"/>
          <w:lang w:eastAsia="zh-CN"/>
        </w:rPr>
      </w:pPr>
      <w:r>
        <w:rPr>
          <w:rFonts w:hint="eastAsia" w:ascii="仿宋" w:hAnsi="仿宋" w:eastAsia="仿宋" w:cs="仿宋_GB2312"/>
          <w:b/>
          <w:sz w:val="28"/>
          <w:szCs w:val="28"/>
          <w:lang w:val="en-US" w:eastAsia="zh-CN"/>
        </w:rPr>
        <w:t>D、</w:t>
      </w:r>
      <w:r>
        <w:rPr>
          <w:rFonts w:hint="eastAsia" w:ascii="仿宋" w:hAnsi="仿宋" w:eastAsia="仿宋" w:cs="仿宋_GB2312"/>
          <w:b/>
          <w:sz w:val="28"/>
          <w:szCs w:val="28"/>
        </w:rPr>
        <w:t>联合协议</w:t>
      </w:r>
      <w:r>
        <w:rPr>
          <w:rFonts w:hint="eastAsia" w:ascii="仿宋" w:hAnsi="仿宋" w:eastAsia="仿宋" w:cs="仿宋_GB2312"/>
          <w:b/>
          <w:sz w:val="28"/>
          <w:szCs w:val="28"/>
          <w:lang w:eastAsia="zh-CN"/>
        </w:rPr>
        <w:t>（</w:t>
      </w:r>
      <w:r>
        <w:rPr>
          <w:rFonts w:hint="eastAsia" w:ascii="仿宋" w:hAnsi="仿宋" w:eastAsia="仿宋" w:cs="仿宋_GB2312"/>
          <w:b/>
          <w:sz w:val="28"/>
          <w:szCs w:val="28"/>
          <w:lang w:val="en-US" w:eastAsia="zh-CN"/>
        </w:rPr>
        <w:t>如果有</w:t>
      </w:r>
      <w:r>
        <w:rPr>
          <w:rFonts w:hint="eastAsia" w:ascii="仿宋" w:hAnsi="仿宋" w:eastAsia="仿宋" w:cs="仿宋_GB2312"/>
          <w:b/>
          <w:sz w:val="28"/>
          <w:szCs w:val="28"/>
          <w:lang w:eastAsia="zh-CN"/>
        </w:rPr>
        <w:t>）</w:t>
      </w:r>
    </w:p>
    <w:p>
      <w:pPr>
        <w:widowControl/>
        <w:spacing w:line="276" w:lineRule="auto"/>
        <w:ind w:firstLine="482" w:firstLineChars="200"/>
        <w:jc w:val="left"/>
        <w:rPr>
          <w:rFonts w:hint="eastAsia" w:ascii="仿宋" w:hAnsi="仿宋" w:eastAsia="仿宋" w:cs="仿宋_GB2312"/>
          <w:b/>
          <w:sz w:val="24"/>
          <w:lang w:eastAsia="zh-CN"/>
        </w:rPr>
      </w:pPr>
      <w:r>
        <w:rPr>
          <w:rFonts w:hint="eastAsia" w:ascii="仿宋" w:hAnsi="仿宋" w:eastAsia="仿宋" w:cs="仿宋_GB2312"/>
          <w:b/>
          <w:sz w:val="24"/>
          <w:lang w:val="en-US" w:eastAsia="zh-CN"/>
        </w:rPr>
        <w:t>[</w:t>
      </w:r>
      <w:r>
        <w:rPr>
          <w:rFonts w:hint="eastAsia" w:ascii="仿宋" w:hAnsi="仿宋" w:eastAsia="仿宋" w:cs="仿宋_GB2312"/>
          <w:b/>
          <w:sz w:val="24"/>
        </w:rPr>
        <w:t>以联合体形式投标的，提供联合协议；本项目不接受联合体投标或者供应商不以联合体形式投标的，则不需要提供</w:t>
      </w:r>
      <w:r>
        <w:rPr>
          <w:rFonts w:hint="eastAsia" w:ascii="仿宋" w:hAnsi="仿宋" w:eastAsia="仿宋" w:cs="仿宋_GB2312"/>
          <w:b/>
          <w:sz w:val="24"/>
          <w:lang w:val="en-US" w:eastAsia="zh-CN"/>
        </w:rPr>
        <w:t>]</w:t>
      </w:r>
    </w:p>
    <w:p>
      <w:pPr>
        <w:snapToGrid w:val="0"/>
        <w:spacing w:line="24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组成一个联合体，以一个供应商的身份</w:t>
      </w:r>
      <w:r>
        <w:rPr>
          <w:rFonts w:hint="eastAsia" w:ascii="仿宋" w:hAnsi="仿宋" w:eastAsia="仿宋" w:cs="仿宋_GB2312"/>
          <w:kern w:val="0"/>
          <w:sz w:val="24"/>
        </w:rPr>
        <w:t>参加</w:t>
      </w:r>
      <w:r>
        <w:rPr>
          <w:rFonts w:hint="eastAsia" w:ascii="仿宋" w:hAnsi="仿宋" w:eastAsia="仿宋" w:cs="仿宋_GB2312"/>
          <w:sz w:val="24"/>
          <w:u w:val="single"/>
          <w:lang w:eastAsia="zh-CN"/>
        </w:rPr>
        <w:t>杭州市临安区中医院电子病历质控系统【项目编号：临[2024]3427号】</w:t>
      </w:r>
      <w:r>
        <w:rPr>
          <w:rFonts w:hint="eastAsia" w:ascii="仿宋" w:hAnsi="仿宋" w:eastAsia="仿宋" w:cs="仿宋_GB2312"/>
          <w:kern w:val="0"/>
          <w:sz w:val="24"/>
          <w:lang w:val="en-US" w:eastAsia="zh-CN"/>
        </w:rPr>
        <w:t>响应</w:t>
      </w: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（某联合体成员名称）</w:t>
      </w:r>
      <w:r>
        <w:rPr>
          <w:rFonts w:hint="eastAsia" w:ascii="仿宋" w:hAnsi="仿宋" w:eastAsia="仿宋" w:cs="仿宋_GB2312"/>
          <w:kern w:val="0"/>
          <w:sz w:val="24"/>
          <w:lang w:val="zh-CN"/>
        </w:rPr>
        <w:t>为联合体牵头人，代表所有联合体成员负责响应和合同实施阶段的主办、协调工作。</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二、所有联合体成员各方签署授权书，授权书载明的授权代表根据</w:t>
      </w:r>
      <w:r>
        <w:rPr>
          <w:rFonts w:hint="eastAsia" w:ascii="仿宋" w:hAnsi="仿宋" w:eastAsia="仿宋" w:cs="仿宋_GB2312"/>
          <w:kern w:val="0"/>
          <w:sz w:val="24"/>
          <w:lang w:val="en-US" w:eastAsia="zh-CN"/>
        </w:rPr>
        <w:t>采购</w:t>
      </w:r>
      <w:r>
        <w:rPr>
          <w:rFonts w:hint="eastAsia" w:ascii="仿宋" w:hAnsi="仿宋" w:eastAsia="仿宋" w:cs="仿宋_GB2312"/>
          <w:kern w:val="0"/>
          <w:sz w:val="24"/>
          <w:lang w:val="zh-CN"/>
        </w:rPr>
        <w:t>文件规定及采购内容而对采购人、采购代理机构所作的任何合法承诺，包括书面澄清等</w:t>
      </w:r>
      <w:r>
        <w:rPr>
          <w:rFonts w:hint="eastAsia" w:ascii="仿宋" w:hAnsi="仿宋" w:eastAsia="仿宋" w:cs="仿宋_GB2312"/>
          <w:kern w:val="0"/>
          <w:sz w:val="24"/>
          <w:lang w:val="en-US" w:eastAsia="zh-CN"/>
        </w:rPr>
        <w:t>响应</w:t>
      </w:r>
      <w:r>
        <w:rPr>
          <w:rFonts w:hint="eastAsia" w:ascii="仿宋" w:hAnsi="仿宋" w:eastAsia="仿宋" w:cs="仿宋_GB2312"/>
          <w:kern w:val="0"/>
          <w:sz w:val="24"/>
          <w:lang w:val="zh-CN"/>
        </w:rPr>
        <w:t>均对联合体各方产生约束力。</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三、本次联合响应中，分工如下：</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u w:val="single"/>
          <w:lang w:val="zh-CN"/>
        </w:rPr>
        <w:t>（联合体成员1）</w:t>
      </w:r>
      <w:r>
        <w:rPr>
          <w:rFonts w:hint="eastAsia" w:ascii="仿宋" w:hAnsi="仿宋" w:eastAsia="仿宋" w:cs="仿宋_GB2312"/>
          <w:kern w:val="0"/>
          <w:sz w:val="24"/>
          <w:lang w:val="zh-CN"/>
        </w:rPr>
        <w:t>承担的工作和义务为：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u w:val="single"/>
          <w:lang w:val="zh-CN"/>
        </w:rPr>
        <w:t>（联合体成员2）</w:t>
      </w:r>
      <w:r>
        <w:rPr>
          <w:rFonts w:hint="eastAsia" w:ascii="仿宋" w:hAnsi="仿宋" w:eastAsia="仿宋" w:cs="仿宋_GB2312"/>
          <w:kern w:val="0"/>
          <w:sz w:val="24"/>
          <w:lang w:val="zh-CN"/>
        </w:rPr>
        <w:t>承担的工作和义务为：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四、联合体成员中小企业合同份额</w:t>
      </w:r>
      <w:r>
        <w:rPr>
          <w:rFonts w:hint="eastAsia" w:ascii="仿宋" w:hAnsi="仿宋" w:eastAsia="仿宋" w:cs="仿宋_GB2312"/>
          <w:i/>
          <w:iCs/>
          <w:kern w:val="0"/>
          <w:sz w:val="24"/>
          <w:lang w:val="zh-CN"/>
        </w:rPr>
        <w:t>（如果有）</w:t>
      </w:r>
      <w:r>
        <w:rPr>
          <w:rFonts w:hint="eastAsia" w:ascii="仿宋" w:hAnsi="仿宋" w:eastAsia="仿宋" w:cs="仿宋_GB2312"/>
          <w:kern w:val="0"/>
          <w:sz w:val="24"/>
          <w:lang w:val="zh-CN"/>
        </w:rPr>
        <w:t>。</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1、</w:t>
      </w:r>
      <w:r>
        <w:rPr>
          <w:rFonts w:hint="eastAsia" w:ascii="仿宋" w:hAnsi="仿宋" w:eastAsia="仿宋" w:cs="仿宋_GB2312"/>
          <w:kern w:val="0"/>
          <w:sz w:val="24"/>
          <w:u w:val="single"/>
          <w:lang w:val="zh-CN"/>
        </w:rPr>
        <w:t>（</w:t>
      </w:r>
      <w:bookmarkStart w:id="191" w:name="_Hlk101131882"/>
      <w:r>
        <w:rPr>
          <w:rFonts w:hint="eastAsia" w:ascii="仿宋" w:hAnsi="仿宋" w:eastAsia="仿宋" w:cs="仿宋_GB2312"/>
          <w:kern w:val="0"/>
          <w:sz w:val="24"/>
          <w:u w:val="single"/>
          <w:lang w:val="zh-CN"/>
        </w:rPr>
        <w:t>联合体成员X,……</w:t>
      </w:r>
      <w:bookmarkEnd w:id="191"/>
      <w:r>
        <w:rPr>
          <w:rFonts w:hint="eastAsia" w:ascii="仿宋" w:hAnsi="仿宋" w:eastAsia="仿宋" w:cs="仿宋_GB2312"/>
          <w:kern w:val="0"/>
          <w:sz w:val="24"/>
          <w:u w:val="single"/>
          <w:lang w:val="zh-CN"/>
        </w:rPr>
        <w:t>）</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制造、承接或</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w:t>
      </w:r>
      <w:r>
        <w:rPr>
          <w:rFonts w:hint="eastAsia" w:ascii="仿宋" w:hAnsi="仿宋" w:eastAsia="仿宋" w:cs="仿宋_GB2312"/>
          <w:kern w:val="0"/>
          <w:sz w:val="24"/>
          <w:lang w:val="zh-CN"/>
        </w:rPr>
        <w:t>，其合同份额占到合同总金额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以上。</w:t>
      </w:r>
      <w:r>
        <w:rPr>
          <w:rFonts w:hint="eastAsia" w:ascii="仿宋" w:hAnsi="仿宋" w:eastAsia="仿宋" w:cs="仿宋_GB2312"/>
          <w:b/>
          <w:bCs/>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2、中小企业合同金额达到</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，其中小微企业合同金额达到</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w:t>
      </w:r>
      <w:r>
        <w:rPr>
          <w:rFonts w:hint="eastAsia" w:ascii="仿宋" w:hAnsi="仿宋" w:eastAsia="仿宋" w:cs="仿宋_GB2312"/>
          <w:kern w:val="0"/>
          <w:sz w:val="24"/>
          <w:lang w:val="zh-CN"/>
        </w:rPr>
        <w:t>。</w:t>
      </w:r>
      <w:r>
        <w:rPr>
          <w:rFonts w:hint="eastAsia" w:ascii="仿宋" w:hAnsi="仿宋" w:eastAsia="仿宋" w:cs="仿宋_GB2312"/>
          <w:b/>
          <w:bCs/>
          <w:kern w:val="0"/>
          <w:sz w:val="24"/>
          <w:lang w:val="zh-CN"/>
        </w:rPr>
        <w:t>（要求以联合体形式参加的项目或采购包，供应商按采购文件第一部分竞争性磋商邀请公告申请人的资格要求中规定的联合协议中中小企业、小微企业合同金额应当达到的比例要求填写。）</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五、如果成交，联合体各成员方共同与采购人签订合同，</w:t>
      </w:r>
      <w:r>
        <w:rPr>
          <w:rFonts w:hint="eastAsia" w:ascii="仿宋" w:hAnsi="仿宋" w:eastAsia="仿宋" w:cs="仿宋_GB2312"/>
          <w:kern w:val="0"/>
          <w:sz w:val="24"/>
          <w:lang w:val="en-US" w:eastAsia="zh-CN"/>
        </w:rPr>
        <w:t>并且</w:t>
      </w:r>
      <w:r>
        <w:rPr>
          <w:rFonts w:hint="eastAsia" w:ascii="仿宋" w:hAnsi="仿宋" w:eastAsia="仿宋" w:cs="仿宋_GB2312"/>
          <w:kern w:val="0"/>
          <w:sz w:val="24"/>
          <w:lang w:val="zh-CN"/>
        </w:rPr>
        <w:t>就采购合同约定的事项对采购人承担连带责任。</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六、有关本次联合响应的其他事宜：</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24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3、本协议提交采购人、采购代理机构后，联合体各方不得以任何形式对上述内容进行修改或撤销。</w:t>
      </w:r>
    </w:p>
    <w:p>
      <w:pPr>
        <w:snapToGrid w:val="0"/>
        <w:spacing w:line="24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24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before="120" w:beforeLines="50" w:after="120" w:afterLines="50" w:line="24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pPr>
        <w:pStyle w:val="4"/>
        <w:rPr>
          <w:rFonts w:hint="eastAsia"/>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ascii="仿宋" w:hAnsi="仿宋" w:eastAsia="仿宋"/>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lang w:val="en-US" w:eastAsia="zh-CN"/>
        </w:rPr>
        <w:t>三、法人</w:t>
      </w:r>
      <w:r>
        <w:rPr>
          <w:rFonts w:hint="eastAsia" w:ascii="仿宋" w:hAnsi="仿宋" w:eastAsia="仿宋" w:cs="仿宋_GB2312"/>
          <w:b/>
          <w:kern w:val="0"/>
          <w:sz w:val="32"/>
          <w:szCs w:val="32"/>
          <w:lang w:val="zh-CN"/>
        </w:rPr>
        <w:t>授权书</w:t>
      </w:r>
    </w:p>
    <w:p>
      <w:pPr>
        <w:snapToGrid w:val="0"/>
        <w:spacing w:line="240" w:lineRule="auto"/>
        <w:rPr>
          <w:rFonts w:ascii="仿宋" w:hAnsi="仿宋" w:eastAsia="仿宋" w:cs="仿宋_GB2312"/>
          <w:b/>
          <w:kern w:val="0"/>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r>
        <w:rPr>
          <w:rFonts w:hint="eastAsia" w:ascii="仿宋" w:hAnsi="仿宋" w:eastAsia="仿宋" w:cs="仿宋_GB2312"/>
          <w:b/>
          <w:kern w:val="0"/>
          <w:sz w:val="24"/>
          <w:lang w:val="zh-CN"/>
        </w:rPr>
        <w:t>：</w:t>
      </w:r>
    </w:p>
    <w:p>
      <w:pPr>
        <w:snapToGrid w:val="0"/>
        <w:spacing w:line="24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兹委派我公司</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先生/女士(其在本公司的职务是：</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，联系电话：</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手机：</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传真：</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lang w:val="zh-CN"/>
        </w:rPr>
        <w:t>)，代表我公司全权处理</w:t>
      </w:r>
      <w:r>
        <w:rPr>
          <w:rFonts w:hint="eastAsia" w:ascii="仿宋" w:hAnsi="仿宋" w:eastAsia="仿宋" w:cs="仿宋_GB2312"/>
          <w:sz w:val="24"/>
          <w:u w:val="single"/>
          <w:lang w:eastAsia="zh-CN"/>
        </w:rPr>
        <w:t>杭州市临安区中医院电子病历质控系统【项目编号：临[2024]3427号】</w:t>
      </w:r>
      <w:r>
        <w:rPr>
          <w:rFonts w:hint="eastAsia" w:ascii="仿宋" w:hAnsi="仿宋" w:eastAsia="仿宋" w:cs="仿宋_GB2312"/>
          <w:sz w:val="24"/>
          <w:lang w:val="zh-CN"/>
        </w:rPr>
        <w:t>政府采购响应的一切事项，若成交则全权代表本公司签订相关合同，并负责处理合同履行等事宜。</w:t>
      </w:r>
    </w:p>
    <w:p>
      <w:pPr>
        <w:snapToGrid w:val="0"/>
        <w:spacing w:line="24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本委托书有效期：自</w:t>
      </w:r>
      <w:r>
        <w:rPr>
          <w:rFonts w:hint="eastAsia" w:ascii="仿宋" w:hAnsi="仿宋" w:eastAsia="仿宋" w:cs="仿宋_GB2312"/>
          <w:sz w:val="24"/>
          <w:u w:val="single"/>
          <w:lang w:val="zh-CN"/>
        </w:rPr>
        <w:t xml:space="preserve">    年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月  日</w:t>
      </w:r>
      <w:r>
        <w:rPr>
          <w:rFonts w:hint="eastAsia" w:ascii="仿宋" w:hAnsi="仿宋" w:eastAsia="仿宋" w:cs="仿宋_GB2312"/>
          <w:sz w:val="24"/>
          <w:lang w:val="zh-CN"/>
        </w:rPr>
        <w:t>起至</w:t>
      </w:r>
      <w:r>
        <w:rPr>
          <w:rFonts w:hint="eastAsia" w:ascii="仿宋" w:hAnsi="仿宋" w:eastAsia="仿宋" w:cs="仿宋_GB2312"/>
          <w:sz w:val="24"/>
          <w:u w:val="single"/>
          <w:lang w:val="zh-CN"/>
        </w:rPr>
        <w:t xml:space="preserve">    年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月  日</w:t>
      </w:r>
      <w:r>
        <w:rPr>
          <w:rFonts w:hint="eastAsia" w:ascii="仿宋" w:hAnsi="仿宋" w:eastAsia="仿宋" w:cs="仿宋_GB2312"/>
          <w:sz w:val="24"/>
          <w:lang w:val="zh-CN"/>
        </w:rPr>
        <w:t>止。</w:t>
      </w:r>
    </w:p>
    <w:p>
      <w:pPr>
        <w:snapToGrid w:val="0"/>
        <w:spacing w:line="24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特此告知。</w:t>
      </w:r>
    </w:p>
    <w:p>
      <w:pPr>
        <w:snapToGrid w:val="0"/>
        <w:spacing w:line="240" w:lineRule="auto"/>
        <w:ind w:firstLine="5520" w:firstLineChars="2300"/>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snapToGrid w:val="0"/>
        <w:spacing w:line="240" w:lineRule="auto"/>
        <w:ind w:firstLine="5520" w:firstLineChars="230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r>
        <w:rPr>
          <w:rFonts w:hint="eastAsia" w:ascii="仿宋" w:hAnsi="仿宋" w:eastAsia="仿宋" w:cs="仿宋_GB2312"/>
          <w:b/>
          <w:sz w:val="28"/>
          <w:szCs w:val="28"/>
          <w:lang w:val="zh-CN" w:eastAsia="zh-CN"/>
        </w:rPr>
        <w:t>联合体响应授权书（扫描件加盖上传单位电子签名）</w:t>
      </w: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r>
        <w:rPr>
          <w:rFonts w:hint="eastAsia" w:ascii="仿宋" w:hAnsi="仿宋" w:eastAsia="仿宋" w:cs="仿宋_GB2312"/>
          <w:b/>
          <w:sz w:val="28"/>
          <w:szCs w:val="28"/>
          <w:lang w:val="en-US" w:eastAsia="zh-CN"/>
        </w:rPr>
        <w:t>[</w:t>
      </w:r>
      <w:r>
        <w:rPr>
          <w:rFonts w:hint="eastAsia" w:ascii="仿宋" w:hAnsi="仿宋" w:eastAsia="仿宋" w:cs="仿宋_GB2312"/>
          <w:b/>
          <w:sz w:val="28"/>
          <w:szCs w:val="28"/>
          <w:lang w:val="zh-CN" w:eastAsia="zh-CN"/>
        </w:rPr>
        <w:t>适用于联合体响应</w:t>
      </w:r>
      <w:r>
        <w:rPr>
          <w:rFonts w:hint="eastAsia" w:ascii="仿宋" w:hAnsi="仿宋" w:eastAsia="仿宋" w:cs="仿宋_GB2312"/>
          <w:b/>
          <w:sz w:val="28"/>
          <w:szCs w:val="28"/>
          <w:lang w:val="en-US" w:eastAsia="zh-CN"/>
        </w:rPr>
        <w:t>]</w:t>
      </w:r>
    </w:p>
    <w:p>
      <w:pPr>
        <w:snapToGrid w:val="0"/>
        <w:spacing w:line="240" w:lineRule="auto"/>
        <w:rPr>
          <w:rFonts w:ascii="仿宋" w:hAnsi="仿宋" w:eastAsia="仿宋" w:cs="仿宋_GB2312"/>
          <w:b/>
          <w:kern w:val="0"/>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r>
        <w:rPr>
          <w:rFonts w:hint="eastAsia" w:ascii="仿宋" w:hAnsi="仿宋" w:eastAsia="仿宋" w:cs="仿宋_GB2312"/>
          <w:b/>
          <w:kern w:val="0"/>
          <w:sz w:val="24"/>
          <w:lang w:val="zh-CN"/>
        </w:rPr>
        <w:t>：</w:t>
      </w:r>
    </w:p>
    <w:p>
      <w:pPr>
        <w:snapToGrid w:val="0"/>
        <w:spacing w:line="24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现委托</w:t>
      </w:r>
      <w:r>
        <w:rPr>
          <w:rFonts w:hint="eastAsia" w:ascii="仿宋" w:hAnsi="仿宋" w:eastAsia="仿宋" w:cs="仿宋_GB2312"/>
          <w:sz w:val="24"/>
          <w:u w:val="single"/>
          <w:lang w:val="zh-CN"/>
        </w:rPr>
        <w:t xml:space="preserve">          （姓名）</w:t>
      </w:r>
      <w:r>
        <w:rPr>
          <w:rFonts w:hint="eastAsia" w:ascii="仿宋" w:hAnsi="仿宋" w:eastAsia="仿宋" w:cs="仿宋_GB2312"/>
          <w:sz w:val="24"/>
          <w:lang w:val="zh-CN"/>
        </w:rPr>
        <w:t>为我方代理人（身份证号码：</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zh-CN"/>
        </w:rPr>
        <w:t>，手机：</w:t>
      </w:r>
      <w:r>
        <w:rPr>
          <w:rFonts w:hint="eastAsia" w:ascii="仿宋" w:hAnsi="仿宋" w:eastAsia="仿宋" w:cs="仿宋_GB2312"/>
          <w:sz w:val="24"/>
          <w:u w:val="single"/>
          <w:lang w:val="zh-CN"/>
        </w:rPr>
        <w:t xml:space="preserve">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 xml:space="preserve">   </w:t>
      </w:r>
      <w:r>
        <w:rPr>
          <w:rFonts w:hint="eastAsia" w:ascii="仿宋" w:hAnsi="仿宋" w:eastAsia="仿宋" w:cs="仿宋_GB2312"/>
          <w:sz w:val="24"/>
          <w:lang w:val="en-US" w:eastAsia="zh-CN"/>
        </w:rPr>
        <w:t>，所在单位：</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lang w:val="zh-CN"/>
        </w:rPr>
        <w:t>），以我方名义处理</w:t>
      </w:r>
      <w:r>
        <w:rPr>
          <w:rFonts w:hint="eastAsia" w:ascii="仿宋" w:hAnsi="仿宋" w:eastAsia="仿宋" w:cs="仿宋_GB2312"/>
          <w:sz w:val="24"/>
          <w:u w:val="single"/>
          <w:lang w:eastAsia="zh-CN"/>
        </w:rPr>
        <w:t>杭州市临安区中医院电子病历质控系统【项目编号：临[2024]3427号】</w:t>
      </w:r>
      <w:r>
        <w:rPr>
          <w:rFonts w:hint="eastAsia" w:ascii="仿宋" w:hAnsi="仿宋" w:eastAsia="仿宋" w:cs="仿宋_GB2312"/>
          <w:sz w:val="24"/>
          <w:lang w:val="zh-CN"/>
        </w:rPr>
        <w:t>政府采购响应的一切事项，其法律后果由我方承担。</w:t>
      </w:r>
    </w:p>
    <w:p>
      <w:pPr>
        <w:snapToGrid w:val="0"/>
        <w:spacing w:line="24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本授权书有效期：自</w:t>
      </w:r>
      <w:r>
        <w:rPr>
          <w:rFonts w:hint="eastAsia" w:ascii="仿宋" w:hAnsi="仿宋" w:eastAsia="仿宋" w:cs="仿宋_GB2312"/>
          <w:sz w:val="24"/>
          <w:u w:val="single"/>
          <w:lang w:val="zh-CN"/>
        </w:rPr>
        <w:t xml:space="preserve">    年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月  日</w:t>
      </w:r>
      <w:r>
        <w:rPr>
          <w:rFonts w:hint="eastAsia" w:ascii="仿宋" w:hAnsi="仿宋" w:eastAsia="仿宋" w:cs="仿宋_GB2312"/>
          <w:sz w:val="24"/>
          <w:lang w:val="zh-CN"/>
        </w:rPr>
        <w:t>起至</w:t>
      </w:r>
      <w:r>
        <w:rPr>
          <w:rFonts w:hint="eastAsia" w:ascii="仿宋" w:hAnsi="仿宋" w:eastAsia="仿宋" w:cs="仿宋_GB2312"/>
          <w:sz w:val="24"/>
          <w:u w:val="single"/>
          <w:lang w:val="zh-CN"/>
        </w:rPr>
        <w:t xml:space="preserve">    年 </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u w:val="single"/>
          <w:lang w:val="zh-CN"/>
        </w:rPr>
        <w:t>月  日</w:t>
      </w:r>
      <w:r>
        <w:rPr>
          <w:rFonts w:hint="eastAsia" w:ascii="仿宋" w:hAnsi="仿宋" w:eastAsia="仿宋" w:cs="仿宋_GB2312"/>
          <w:sz w:val="24"/>
          <w:lang w:val="zh-CN"/>
        </w:rPr>
        <w:t>止。</w:t>
      </w:r>
    </w:p>
    <w:p>
      <w:pPr>
        <w:snapToGrid w:val="0"/>
        <w:spacing w:line="240" w:lineRule="auto"/>
        <w:ind w:firstLine="480" w:firstLineChars="200"/>
        <w:rPr>
          <w:rFonts w:ascii="宋体" w:hAnsi="宋体" w:eastAsia="宋体" w:cs="仿宋_GB2312"/>
          <w:kern w:val="0"/>
          <w:sz w:val="24"/>
          <w:lang w:val="zh-CN"/>
        </w:rPr>
      </w:pPr>
      <w:r>
        <w:rPr>
          <w:rFonts w:hint="eastAsia" w:ascii="仿宋" w:hAnsi="仿宋" w:eastAsia="仿宋" w:cs="仿宋_GB2312"/>
          <w:sz w:val="24"/>
          <w:lang w:val="zh-CN"/>
        </w:rPr>
        <w:t>特此告知。</w:t>
      </w:r>
      <w:r>
        <w:rPr>
          <w:rFonts w:hint="eastAsia" w:ascii="宋体" w:hAnsi="宋体" w:eastAsia="宋体" w:cs="仿宋_GB2312"/>
          <w:kern w:val="0"/>
          <w:sz w:val="24"/>
          <w:lang w:val="zh-CN"/>
        </w:rPr>
        <w:t xml:space="preserve">                                                </w:t>
      </w:r>
    </w:p>
    <w:p>
      <w:pPr>
        <w:snapToGrid w:val="0"/>
        <w:spacing w:line="240" w:lineRule="auto"/>
        <w:ind w:leftChars="2400"/>
        <w:rPr>
          <w:rFonts w:hint="eastAsia" w:ascii="仿宋" w:hAnsi="仿宋" w:eastAsia="仿宋" w:cs="仿宋_GB2312"/>
          <w:kern w:val="0"/>
          <w:sz w:val="24"/>
          <w:lang w:val="zh-CN"/>
        </w:rPr>
      </w:pPr>
      <w:r>
        <w:rPr>
          <w:rFonts w:hint="eastAsia" w:ascii="仿宋" w:hAnsi="仿宋" w:eastAsia="仿宋" w:cs="仿宋_GB2312"/>
          <w:kern w:val="0"/>
          <w:sz w:val="24"/>
          <w:lang w:val="zh-CN"/>
        </w:rPr>
        <w:t>联合体成员</w:t>
      </w:r>
      <w:r>
        <w:rPr>
          <w:rFonts w:hint="eastAsia" w:ascii="仿宋" w:hAnsi="仿宋" w:eastAsia="仿宋" w:cs="仿宋_GB2312"/>
          <w:kern w:val="0"/>
          <w:sz w:val="24"/>
          <w:lang w:val="en-US" w:eastAsia="zh-CN"/>
        </w:rPr>
        <w:t>1</w:t>
      </w:r>
      <w:r>
        <w:rPr>
          <w:rFonts w:hint="eastAsia" w:ascii="仿宋" w:hAnsi="仿宋" w:eastAsia="仿宋" w:cs="仿宋_GB2312"/>
          <w:kern w:val="0"/>
          <w:sz w:val="24"/>
          <w:lang w:val="zh-CN"/>
        </w:rPr>
        <w:t>名称(电子签名/公章)：</w:t>
      </w:r>
    </w:p>
    <w:p>
      <w:pPr>
        <w:snapToGrid w:val="0"/>
        <w:spacing w:line="240" w:lineRule="auto"/>
        <w:ind w:leftChars="2400"/>
        <w:rPr>
          <w:rFonts w:hint="eastAsia" w:ascii="仿宋" w:hAnsi="仿宋" w:eastAsia="仿宋" w:cs="仿宋_GB2312"/>
          <w:kern w:val="0"/>
          <w:sz w:val="24"/>
          <w:lang w:val="zh-CN"/>
        </w:rPr>
      </w:pPr>
      <w:r>
        <w:rPr>
          <w:rFonts w:hint="eastAsia" w:ascii="仿宋" w:hAnsi="仿宋" w:eastAsia="仿宋" w:cs="仿宋_GB2312"/>
          <w:kern w:val="0"/>
          <w:sz w:val="24"/>
          <w:lang w:val="zh-CN"/>
        </w:rPr>
        <w:t>联合体成员</w:t>
      </w:r>
      <w:r>
        <w:rPr>
          <w:rFonts w:hint="eastAsia" w:ascii="仿宋" w:hAnsi="仿宋" w:eastAsia="仿宋" w:cs="仿宋_GB2312"/>
          <w:kern w:val="0"/>
          <w:sz w:val="24"/>
          <w:lang w:val="en-US" w:eastAsia="zh-CN"/>
        </w:rPr>
        <w:t>2</w:t>
      </w:r>
      <w:r>
        <w:rPr>
          <w:rFonts w:hint="eastAsia" w:ascii="仿宋" w:hAnsi="仿宋" w:eastAsia="仿宋" w:cs="仿宋_GB2312"/>
          <w:kern w:val="0"/>
          <w:sz w:val="24"/>
          <w:lang w:val="zh-CN"/>
        </w:rPr>
        <w:t>名称(电子签名/公章)：</w:t>
      </w:r>
    </w:p>
    <w:p>
      <w:pPr>
        <w:snapToGrid w:val="0"/>
        <w:spacing w:line="240" w:lineRule="auto"/>
        <w:ind w:leftChars="2400"/>
        <w:rPr>
          <w:rFonts w:hint="eastAsia"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240" w:lineRule="auto"/>
        <w:ind w:leftChars="2400"/>
        <w:rPr>
          <w:rFonts w:hint="eastAsia" w:ascii="仿宋" w:hAnsi="仿宋" w:eastAsia="仿宋" w:cs="仿宋_GB2312"/>
          <w:kern w:val="0"/>
          <w:sz w:val="24"/>
          <w:lang w:val="zh-CN"/>
        </w:rPr>
      </w:pPr>
      <w:r>
        <w:rPr>
          <w:rFonts w:hint="eastAsia" w:ascii="仿宋" w:hAnsi="仿宋" w:eastAsia="仿宋" w:cs="仿宋_GB2312"/>
          <w:kern w:val="0"/>
          <w:sz w:val="24"/>
          <w:lang w:val="zh-CN"/>
        </w:rPr>
        <w:t>日期：  年  月   日</w:t>
      </w: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p>
    <w:p>
      <w:pPr>
        <w:snapToGrid w:val="0"/>
        <w:spacing w:before="120" w:beforeLines="50" w:after="120" w:afterLines="50" w:line="240" w:lineRule="auto"/>
        <w:jc w:val="center"/>
        <w:rPr>
          <w:rFonts w:hint="eastAsia" w:ascii="仿宋" w:hAnsi="仿宋" w:eastAsia="仿宋" w:cs="仿宋_GB2312"/>
          <w:b/>
          <w:sz w:val="28"/>
          <w:szCs w:val="28"/>
          <w:lang w:val="zh-CN" w:eastAsia="zh-CN"/>
        </w:rPr>
      </w:pPr>
      <w:r>
        <w:rPr>
          <w:rFonts w:hint="eastAsia" w:ascii="仿宋" w:hAnsi="仿宋" w:eastAsia="仿宋" w:cs="仿宋_GB2312"/>
          <w:b/>
          <w:sz w:val="28"/>
          <w:szCs w:val="28"/>
          <w:lang w:val="zh-CN" w:eastAsia="zh-CN"/>
        </w:rPr>
        <w:t>授权代表的身份证（复印件）</w:t>
      </w:r>
    </w:p>
    <w:p>
      <w:pPr>
        <w:snapToGrid w:val="0"/>
        <w:spacing w:line="360" w:lineRule="auto"/>
        <w:rPr>
          <w:rFonts w:hint="eastAsia" w:ascii="仿宋" w:hAnsi="仿宋" w:eastAsia="仿宋" w:cs="仿宋_GB2312"/>
          <w:b/>
          <w:sz w:val="24"/>
        </w:rPr>
      </w:pPr>
      <w:r>
        <w:rPr>
          <w:rFonts w:hint="eastAsia" w:ascii="仿宋" w:hAnsi="仿宋" w:eastAsia="仿宋" w:cs="仿宋_GB2312"/>
          <w:b/>
          <w:sz w:val="24"/>
        </w:rPr>
        <w:t>授权代表身份证件扫描件：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207" w:type="dxa"/>
            <w:noWrap w:val="0"/>
            <w:vAlign w:val="top"/>
          </w:tcPr>
          <w:p>
            <w:pPr>
              <w:snapToGrid w:val="0"/>
              <w:spacing w:line="360" w:lineRule="auto"/>
              <w:rPr>
                <w:rFonts w:hint="eastAsia" w:ascii="仿宋" w:hAnsi="仿宋" w:eastAsia="仿宋" w:cs="仿宋_GB2312"/>
                <w:b w:val="0"/>
                <w:bCs/>
                <w:sz w:val="24"/>
              </w:rPr>
            </w:pPr>
            <w:r>
              <w:rPr>
                <w:rFonts w:hint="eastAsia" w:ascii="仿宋" w:hAnsi="仿宋" w:eastAsia="仿宋" w:cs="仿宋_GB2312"/>
                <w:b w:val="0"/>
                <w:bCs/>
                <w:sz w:val="24"/>
              </w:rPr>
              <w:t>正面：                                 反面：</w:t>
            </w:r>
          </w:p>
          <w:p>
            <w:pPr>
              <w:pStyle w:val="493"/>
              <w:spacing w:line="360" w:lineRule="auto"/>
              <w:rPr>
                <w:rFonts w:ascii="宋体" w:hAnsi="宋体" w:eastAsia="宋体"/>
                <w:bCs/>
                <w:sz w:val="24"/>
              </w:rPr>
            </w:pPr>
          </w:p>
        </w:tc>
      </w:tr>
    </w:tbl>
    <w:p>
      <w:pPr>
        <w:snapToGrid w:val="0"/>
        <w:spacing w:line="240" w:lineRule="auto"/>
        <w:ind w:firstLine="5520" w:firstLineChars="2300"/>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snapToGrid w:val="0"/>
        <w:spacing w:line="24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napToGrid w:val="0"/>
        <w:spacing w:line="360" w:lineRule="auto"/>
        <w:ind w:right="480"/>
        <w:rPr>
          <w:rFonts w:ascii="仿宋" w:hAnsi="仿宋" w:eastAsia="仿宋" w:cs="仿宋_GB2312"/>
          <w:b/>
          <w:kern w:val="0"/>
          <w:sz w:val="32"/>
          <w:szCs w:val="32"/>
          <w:lang w:val="zh-CN"/>
        </w:rPr>
        <w:sectPr>
          <w:footerReference r:id="rId8" w:type="first"/>
          <w:headerReference r:id="rId6"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before="120" w:beforeLines="50" w:after="120" w:afterLines="50" w:line="360" w:lineRule="auto"/>
        <w:jc w:val="center"/>
        <w:rPr>
          <w:rFonts w:ascii="仿宋" w:hAnsi="仿宋" w:eastAsia="仿宋" w:cs="仿宋_GB2312"/>
          <w:b/>
          <w:kern w:val="0"/>
          <w:sz w:val="32"/>
          <w:szCs w:val="32"/>
        </w:rPr>
      </w:pPr>
      <w:bookmarkStart w:id="192" w:name="_Toc96999663"/>
      <w:r>
        <w:rPr>
          <w:rFonts w:hint="eastAsia" w:ascii="仿宋" w:hAnsi="仿宋" w:eastAsia="仿宋" w:cs="仿宋_GB2312"/>
          <w:b/>
          <w:kern w:val="0"/>
          <w:sz w:val="32"/>
          <w:szCs w:val="32"/>
        </w:rPr>
        <w:t>四、分包意向协议</w:t>
      </w:r>
      <w:bookmarkEnd w:id="192"/>
      <w:r>
        <w:rPr>
          <w:rFonts w:hint="eastAsia" w:ascii="仿宋" w:hAnsi="仿宋" w:eastAsia="仿宋" w:cs="仿宋_GB2312"/>
          <w:b/>
          <w:kern w:val="0"/>
          <w:sz w:val="32"/>
          <w:szCs w:val="32"/>
          <w:lang w:val="zh-CN" w:eastAsia="zh-CN"/>
        </w:rPr>
        <w:t>（</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361" w:firstLineChars="150"/>
        <w:jc w:val="left"/>
        <w:rPr>
          <w:rFonts w:hint="eastAsia" w:ascii="仿宋" w:hAnsi="仿宋" w:eastAsia="仿宋" w:cs="仿宋_GB2312"/>
          <w:b/>
          <w:bCs/>
          <w:sz w:val="24"/>
          <w:lang w:eastAsia="zh-CN"/>
        </w:rPr>
      </w:pPr>
      <w:r>
        <w:rPr>
          <w:rFonts w:hint="eastAsia" w:ascii="仿宋" w:hAnsi="仿宋" w:eastAsia="仿宋" w:cs="仿宋_GB2312"/>
          <w:b/>
          <w:bCs/>
          <w:sz w:val="24"/>
          <w:lang w:val="en-US" w:eastAsia="zh-CN"/>
        </w:rPr>
        <w:t>[</w:t>
      </w:r>
      <w:r>
        <w:rPr>
          <w:rFonts w:hint="eastAsia" w:ascii="仿宋" w:hAnsi="仿宋" w:eastAsia="仿宋" w:cs="仿宋_GB2312"/>
          <w:b/>
          <w:bCs/>
          <w:sz w:val="24"/>
        </w:rPr>
        <w:t>中标后以分包方式履行合同的，提供分包意向协议；采购人不同意分包或者供应商中标后不以分包方式履行合同的，则不需要提供。</w:t>
      </w:r>
      <w:r>
        <w:rPr>
          <w:rFonts w:hint="eastAsia" w:ascii="仿宋" w:hAnsi="仿宋" w:eastAsia="仿宋" w:cs="仿宋_GB2312"/>
          <w:b/>
          <w:bCs/>
          <w:sz w:val="24"/>
          <w:lang w:val="en-US" w:eastAsia="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（供应商名称）</w:t>
      </w:r>
      <w:r>
        <w:rPr>
          <w:rFonts w:hint="eastAsia" w:ascii="仿宋" w:hAnsi="仿宋" w:eastAsia="仿宋" w:cs="仿宋_GB2312"/>
          <w:kern w:val="0"/>
          <w:sz w:val="24"/>
          <w:lang w:val="zh-CN"/>
        </w:rPr>
        <w:t>若成为</w:t>
      </w:r>
      <w:r>
        <w:rPr>
          <w:rFonts w:hint="eastAsia" w:ascii="仿宋" w:hAnsi="仿宋" w:eastAsia="仿宋" w:cs="仿宋_GB2312"/>
          <w:sz w:val="24"/>
          <w:u w:val="single"/>
          <w:lang w:eastAsia="zh-CN"/>
        </w:rPr>
        <w:t>杭州市临安区中医院电子病历质控系统【项目编号：临[2024]3427号】</w:t>
      </w:r>
      <w:r>
        <w:rPr>
          <w:rFonts w:hint="eastAsia" w:ascii="仿宋" w:hAnsi="仿宋" w:eastAsia="仿宋" w:cs="仿宋_GB2312"/>
          <w:kern w:val="0"/>
          <w:sz w:val="24"/>
          <w:lang w:val="zh-CN"/>
        </w:rPr>
        <w:t>的</w:t>
      </w:r>
      <w:r>
        <w:rPr>
          <w:rFonts w:hint="eastAsia" w:ascii="仿宋" w:hAnsi="仿宋" w:eastAsia="仿宋" w:cs="仿宋_GB2312"/>
          <w:kern w:val="0"/>
          <w:sz w:val="24"/>
          <w:lang w:val="en-US" w:eastAsia="zh-CN"/>
        </w:rPr>
        <w:t>成交</w:t>
      </w:r>
      <w:r>
        <w:rPr>
          <w:rFonts w:hint="eastAsia" w:ascii="仿宋" w:hAnsi="仿宋" w:eastAsia="仿宋" w:cs="仿宋_GB2312"/>
          <w:kern w:val="0"/>
          <w:sz w:val="24"/>
          <w:lang w:val="zh-CN"/>
        </w:rPr>
        <w:t>供应商，将依法采取分包方式履行合同。</w:t>
      </w:r>
      <w:r>
        <w:rPr>
          <w:rFonts w:hint="eastAsia" w:ascii="仿宋" w:hAnsi="仿宋" w:eastAsia="仿宋" w:cs="仿宋_GB2312"/>
          <w:kern w:val="0"/>
          <w:sz w:val="24"/>
          <w:u w:val="single"/>
        </w:rPr>
        <w:t>（供应商名称）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276"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（供应商名称）</w:t>
      </w:r>
      <w:r>
        <w:rPr>
          <w:rFonts w:hint="eastAsia" w:ascii="仿宋" w:hAnsi="仿宋" w:eastAsia="仿宋" w:cs="仿宋_GB2312"/>
          <w:kern w:val="0"/>
          <w:sz w:val="24"/>
          <w:lang w:val="zh-CN"/>
        </w:rPr>
        <w:t>将</w:t>
      </w:r>
      <w:r>
        <w:rPr>
          <w:rFonts w:hint="eastAsia" w:ascii="仿宋" w:hAnsi="仿宋" w:eastAsia="仿宋" w:cs="仿宋_GB2312"/>
          <w:kern w:val="0"/>
          <w:sz w:val="24"/>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（分包供应商</w:t>
      </w:r>
      <w:r>
        <w:rPr>
          <w:rFonts w:hint="eastAsia" w:ascii="仿宋" w:hAnsi="仿宋" w:eastAsia="仿宋" w:cs="仿宋_GB2312"/>
          <w:kern w:val="0"/>
          <w:sz w:val="24"/>
          <w:u w:val="single"/>
          <w:lang w:val="en-US" w:eastAsia="zh-CN"/>
        </w:rPr>
        <w:t>1</w:t>
      </w:r>
      <w:r>
        <w:rPr>
          <w:rFonts w:hint="eastAsia" w:ascii="仿宋" w:hAnsi="仿宋" w:eastAsia="仿宋" w:cs="仿宋_GB2312"/>
          <w:kern w:val="0"/>
          <w:sz w:val="24"/>
          <w:u w:val="single"/>
        </w:rPr>
        <w:t>名称</w:t>
      </w:r>
      <w:r>
        <w:rPr>
          <w:rFonts w:hint="eastAsia" w:ascii="仿宋" w:hAnsi="仿宋" w:eastAsia="仿宋" w:cs="仿宋_GB2312"/>
          <w:kern w:val="0"/>
          <w:sz w:val="24"/>
          <w:u w:val="single"/>
          <w:lang w:eastAsia="zh-CN"/>
        </w:rPr>
        <w:t>，……</w:t>
      </w:r>
      <w:r>
        <w:rPr>
          <w:rFonts w:hint="eastAsia" w:ascii="仿宋" w:hAnsi="仿宋" w:eastAsia="仿宋" w:cs="仿宋_GB2312"/>
          <w:kern w:val="0"/>
          <w:sz w:val="24"/>
          <w:u w:val="single"/>
        </w:rPr>
        <w:t>）</w:t>
      </w:r>
      <w:r>
        <w:rPr>
          <w:rFonts w:hint="eastAsia" w:ascii="仿宋" w:hAnsi="仿宋" w:eastAsia="仿宋" w:cs="仿宋_GB2312"/>
          <w:kern w:val="0"/>
          <w:sz w:val="24"/>
          <w:u w:val="none"/>
        </w:rPr>
        <w:t>，</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hint="eastAsia" w:ascii="仿宋" w:hAnsi="仿宋" w:eastAsia="仿宋" w:cs="仿宋_GB2312"/>
          <w:kern w:val="0"/>
          <w:sz w:val="24"/>
          <w:u w:val="single"/>
        </w:rPr>
        <w:t xml:space="preserve">  XX工作内容 </w:t>
      </w:r>
      <w:r>
        <w:rPr>
          <w:rFonts w:hint="eastAsia" w:ascii="仿宋" w:hAnsi="仿宋" w:eastAsia="仿宋" w:cs="仿宋_GB2312"/>
          <w:kern w:val="0"/>
          <w:sz w:val="24"/>
          <w:lang w:val="zh-CN"/>
        </w:rPr>
        <w:t>相应资质条件且不得再次分包；</w:t>
      </w:r>
    </w:p>
    <w:p>
      <w:pPr>
        <w:snapToGrid w:val="0"/>
        <w:spacing w:line="276" w:lineRule="auto"/>
        <w:ind w:firstLine="576"/>
        <w:rPr>
          <w:rFonts w:ascii="仿宋" w:hAnsi="仿宋" w:eastAsia="仿宋"/>
          <w:sz w:val="24"/>
        </w:rPr>
      </w:pPr>
      <w:r>
        <w:rPr>
          <w:rFonts w:hint="eastAsia" w:ascii="仿宋" w:hAnsi="仿宋" w:eastAsia="仿宋"/>
          <w:sz w:val="24"/>
        </w:rPr>
        <w:t>……</w:t>
      </w: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二、分包供应商中小企业合同份额</w:t>
      </w:r>
      <w:r>
        <w:rPr>
          <w:rFonts w:hint="eastAsia" w:ascii="仿宋" w:hAnsi="仿宋" w:eastAsia="仿宋" w:cs="仿宋_GB2312"/>
          <w:i/>
          <w:iCs/>
          <w:kern w:val="0"/>
          <w:sz w:val="24"/>
          <w:lang w:val="zh-CN"/>
        </w:rPr>
        <w:t>（如果有）</w:t>
      </w: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1、</w:t>
      </w:r>
      <w:r>
        <w:rPr>
          <w:rFonts w:hint="eastAsia" w:ascii="仿宋" w:hAnsi="仿宋" w:eastAsia="仿宋" w:cs="仿宋_GB2312"/>
          <w:kern w:val="0"/>
          <w:sz w:val="24"/>
          <w:u w:val="single"/>
          <w:lang w:val="zh-CN"/>
        </w:rPr>
        <w:t>（分包供应商X,……）</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制造、承接或</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w:t>
      </w:r>
      <w:r>
        <w:rPr>
          <w:rFonts w:hint="eastAsia" w:ascii="仿宋" w:hAnsi="仿宋" w:eastAsia="仿宋" w:cs="仿宋_GB2312"/>
          <w:kern w:val="0"/>
          <w:sz w:val="24"/>
          <w:lang w:val="zh-CN"/>
        </w:rPr>
        <w:t>，其合同份额占到合同总金额</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以上。</w:t>
      </w:r>
      <w:r>
        <w:rPr>
          <w:rFonts w:hint="eastAsia" w:ascii="仿宋" w:hAnsi="仿宋" w:eastAsia="仿宋" w:cs="仿宋_GB2312"/>
          <w:b/>
          <w:bCs/>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pPr>
        <w:snapToGrid w:val="0"/>
        <w:spacing w:line="276" w:lineRule="auto"/>
        <w:ind w:firstLine="576"/>
        <w:rPr>
          <w:rFonts w:hint="eastAsia" w:ascii="仿宋" w:hAnsi="仿宋" w:eastAsia="仿宋" w:cs="仿宋_GB2312"/>
          <w:b/>
          <w:bCs/>
          <w:kern w:val="0"/>
          <w:sz w:val="24"/>
          <w:lang w:val="zh-CN"/>
        </w:rPr>
      </w:pPr>
      <w:r>
        <w:rPr>
          <w:rFonts w:hint="eastAsia" w:ascii="仿宋" w:hAnsi="仿宋" w:eastAsia="仿宋" w:cs="仿宋_GB2312"/>
          <w:kern w:val="0"/>
          <w:sz w:val="24"/>
          <w:lang w:val="zh-CN"/>
        </w:rPr>
        <w:t>2、中小企业合同金额达到</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，其中小微企业合同金额达到</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b/>
          <w:bCs/>
          <w:kern w:val="0"/>
          <w:sz w:val="24"/>
          <w:lang w:val="zh-CN"/>
        </w:rPr>
        <w:t>（要求合同分包形式参加的项目或采购包，供应商</w:t>
      </w:r>
      <w:r>
        <w:rPr>
          <w:rFonts w:hint="eastAsia" w:ascii="仿宋" w:hAnsi="仿宋" w:eastAsia="仿宋" w:cs="仿宋_GB2312"/>
          <w:b/>
          <w:bCs/>
          <w:kern w:val="0"/>
          <w:sz w:val="24"/>
          <w:lang w:val="en-US" w:eastAsia="zh-CN"/>
        </w:rPr>
        <w:t>按照采购</w:t>
      </w:r>
      <w:r>
        <w:rPr>
          <w:rFonts w:hint="eastAsia" w:ascii="仿宋" w:hAnsi="仿宋" w:eastAsia="仿宋" w:cs="仿宋_GB2312"/>
          <w:b/>
          <w:bCs/>
          <w:kern w:val="0"/>
          <w:sz w:val="24"/>
          <w:lang w:val="zh-CN"/>
        </w:rPr>
        <w:t>文件第一部分</w:t>
      </w:r>
      <w:r>
        <w:rPr>
          <w:rFonts w:hint="eastAsia" w:ascii="仿宋" w:hAnsi="仿宋" w:eastAsia="仿宋" w:cs="仿宋_GB2312"/>
          <w:b/>
          <w:bCs/>
          <w:kern w:val="0"/>
          <w:sz w:val="24"/>
          <w:lang w:val="en-US" w:eastAsia="zh-CN"/>
        </w:rPr>
        <w:t>采购</w:t>
      </w:r>
      <w:r>
        <w:rPr>
          <w:rFonts w:hint="eastAsia" w:ascii="仿宋" w:hAnsi="仿宋" w:eastAsia="仿宋" w:cs="仿宋_GB2312"/>
          <w:b/>
          <w:bCs/>
          <w:kern w:val="0"/>
          <w:sz w:val="24"/>
          <w:lang w:val="zh-CN"/>
        </w:rPr>
        <w:t>公告申请人的资格要求中规定的分包意向协议中中小企业、小微企业合同金额应当达到的比例要求填写。）</w:t>
      </w: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三、分包工作履行期限、地点、方式</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四、质量                                                                   </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五、价款或者报酬                                                           </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六、违约责任               </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七、争议解决的办法                                                     </w:t>
      </w:r>
    </w:p>
    <w:p>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sz w:val="24"/>
          <w:szCs w:val="24"/>
          <w:lang w:val="zh-CN"/>
        </w:rPr>
      </w:pP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八、其他</w:t>
      </w:r>
    </w:p>
    <w:p>
      <w:pPr>
        <w:snapToGrid w:val="0"/>
        <w:spacing w:line="276"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中小企业合同金额达到</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，小微企业合同金额达到</w:t>
      </w:r>
      <w:r>
        <w:rPr>
          <w:rFonts w:hint="eastAsia" w:ascii="仿宋" w:hAnsi="仿宋" w:eastAsia="仿宋" w:cs="仿宋_GB2312"/>
          <w:b/>
          <w:bCs/>
          <w:kern w:val="0"/>
          <w:sz w:val="24"/>
          <w:u w:val="single"/>
          <w:lang w:val="zh-CN"/>
        </w:rPr>
        <w:t xml:space="preserve">  %</w:t>
      </w:r>
      <w:r>
        <w:rPr>
          <w:rFonts w:hint="eastAsia" w:ascii="仿宋" w:hAnsi="仿宋" w:eastAsia="仿宋" w:cs="仿宋_GB2312"/>
          <w:kern w:val="0"/>
          <w:sz w:val="24"/>
          <w:lang w:val="zh-CN"/>
        </w:rPr>
        <w:t xml:space="preserve">  。</w:t>
      </w:r>
    </w:p>
    <w:p>
      <w:pPr>
        <w:snapToGrid w:val="0"/>
        <w:spacing w:line="276" w:lineRule="auto"/>
        <w:ind w:firstLine="576"/>
        <w:rPr>
          <w:rFonts w:hint="eastAsia" w:ascii="仿宋" w:hAnsi="仿宋" w:eastAsia="仿宋" w:cs="仿宋_GB2312"/>
          <w:kern w:val="0"/>
          <w:sz w:val="24"/>
          <w:lang w:val="zh-CN"/>
        </w:rPr>
      </w:pPr>
    </w:p>
    <w:p>
      <w:pPr>
        <w:snapToGrid w:val="0"/>
        <w:spacing w:line="276" w:lineRule="auto"/>
        <w:ind w:left="5040" w:leftChars="2400"/>
        <w:rPr>
          <w:rFonts w:ascii="仿宋" w:hAnsi="仿宋" w:eastAsia="仿宋" w:cs="仿宋_GB2312"/>
          <w:kern w:val="0"/>
          <w:sz w:val="24"/>
          <w:lang w:val="zh-CN"/>
        </w:rPr>
      </w:pPr>
      <w:r>
        <w:rPr>
          <w:rFonts w:ascii="仿宋" w:hAnsi="仿宋" w:eastAsia="仿宋" w:cs="仿宋_GB2312"/>
          <w:kern w:val="0"/>
          <w:sz w:val="24"/>
          <w:lang w:val="zh-CN"/>
        </w:rPr>
        <w:t>供应商名称(电子签名)：</w:t>
      </w:r>
    </w:p>
    <w:p>
      <w:pPr>
        <w:snapToGrid w:val="0"/>
        <w:spacing w:line="276" w:lineRule="auto"/>
        <w:ind w:leftChars="240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r>
        <w:rPr>
          <w:rFonts w:ascii="仿宋" w:hAnsi="仿宋" w:eastAsia="仿宋" w:cs="仿宋_GB2312"/>
          <w:kern w:val="0"/>
          <w:sz w:val="24"/>
          <w:lang w:val="zh-CN"/>
        </w:rPr>
        <w:t>(电子签名</w:t>
      </w:r>
      <w:r>
        <w:rPr>
          <w:rFonts w:hint="eastAsia" w:ascii="仿宋" w:hAnsi="仿宋" w:eastAsia="仿宋" w:cs="仿宋_GB2312"/>
          <w:kern w:val="0"/>
          <w:sz w:val="24"/>
          <w:lang w:val="en-US" w:eastAsia="zh-CN"/>
        </w:rPr>
        <w:t>/公章</w:t>
      </w:r>
      <w:r>
        <w:rPr>
          <w:rFonts w:ascii="仿宋" w:hAnsi="仿宋" w:eastAsia="仿宋" w:cs="仿宋_GB2312"/>
          <w:kern w:val="0"/>
          <w:sz w:val="24"/>
          <w:lang w:val="zh-CN"/>
        </w:rPr>
        <w:t>)</w:t>
      </w:r>
      <w:r>
        <w:rPr>
          <w:rFonts w:hint="eastAsia" w:ascii="仿宋" w:hAnsi="仿宋" w:eastAsia="仿宋" w:cs="仿宋_GB2312"/>
          <w:kern w:val="0"/>
          <w:sz w:val="24"/>
          <w:lang w:val="zh-CN"/>
        </w:rPr>
        <w:t>：</w:t>
      </w:r>
    </w:p>
    <w:p>
      <w:pPr>
        <w:snapToGrid w:val="0"/>
        <w:spacing w:line="276" w:lineRule="auto"/>
        <w:ind w:leftChars="2400"/>
        <w:rPr>
          <w:rFonts w:ascii="仿宋" w:hAnsi="仿宋" w:eastAsia="仿宋"/>
        </w:rPr>
      </w:pPr>
      <w:r>
        <w:rPr>
          <w:rFonts w:hint="eastAsia" w:ascii="仿宋" w:hAnsi="仿宋" w:eastAsia="仿宋" w:cs="仿宋_GB2312"/>
          <w:kern w:val="0"/>
          <w:sz w:val="24"/>
          <w:lang w:val="zh-CN"/>
        </w:rPr>
        <w:t>……</w:t>
      </w:r>
    </w:p>
    <w:p>
      <w:pPr>
        <w:snapToGrid w:val="0"/>
        <w:spacing w:line="276" w:lineRule="auto"/>
        <w:ind w:left="5040" w:leftChars="2400"/>
        <w:rPr>
          <w:rFonts w:ascii="仿宋" w:hAnsi="仿宋" w:eastAsia="仿宋" w:cs="仿宋_GB2312"/>
          <w:kern w:val="0"/>
          <w:sz w:val="24"/>
          <w:lang w:val="zh-CN"/>
        </w:rPr>
      </w:pPr>
      <w:r>
        <w:rPr>
          <w:rFonts w:ascii="仿宋" w:hAnsi="仿宋" w:eastAsia="仿宋" w:cs="仿宋_GB2312"/>
          <w:kern w:val="0"/>
          <w:sz w:val="24"/>
          <w:lang w:val="zh-CN"/>
        </w:rPr>
        <w:t>日期：  年  月   日</w:t>
      </w:r>
    </w:p>
    <w:p>
      <w:pPr>
        <w:snapToGrid w:val="0"/>
        <w:spacing w:line="276" w:lineRule="auto"/>
        <w:ind w:firstLine="576"/>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lang w:val="zh-CN"/>
        </w:rPr>
        <w:t>五</w:t>
      </w:r>
      <w:r>
        <w:rPr>
          <w:rFonts w:hint="eastAsia" w:ascii="仿宋" w:hAnsi="仿宋" w:eastAsia="仿宋" w:cs="仿宋_GB2312"/>
          <w:b/>
          <w:kern w:val="0"/>
          <w:sz w:val="32"/>
          <w:szCs w:val="32"/>
        </w:rPr>
        <w:t>、所有资信文件</w:t>
      </w:r>
      <w:r>
        <w:rPr>
          <w:rFonts w:hint="eastAsia" w:ascii="仿宋" w:hAnsi="仿宋" w:eastAsia="仿宋" w:cs="仿宋_GB2312"/>
          <w:b/>
          <w:kern w:val="0"/>
          <w:sz w:val="32"/>
          <w:szCs w:val="32"/>
          <w:lang w:val="zh-CN" w:eastAsia="zh-CN"/>
        </w:rPr>
        <w:t>（</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widowControl/>
        <w:jc w:val="left"/>
        <w:rPr>
          <w:rFonts w:ascii="仿宋" w:hAnsi="仿宋" w:eastAsia="仿宋" w:cs="仿宋_GB2312"/>
          <w:b/>
          <w:kern w:val="0"/>
          <w:sz w:val="32"/>
          <w:szCs w:val="32"/>
        </w:rPr>
      </w:pPr>
    </w:p>
    <w:p>
      <w:pPr>
        <w:pStyle w:val="4"/>
        <w:rPr>
          <w:rFonts w:ascii="仿宋" w:hAnsi="仿宋" w:eastAsia="仿宋" w:cs="仿宋_GB2312"/>
          <w:b w:val="0"/>
          <w:kern w:val="0"/>
          <w:sz w:val="32"/>
          <w:szCs w:val="32"/>
        </w:rPr>
      </w:pPr>
    </w:p>
    <w:p>
      <w:pPr>
        <w:rPr>
          <w:rFonts w:ascii="仿宋" w:hAnsi="仿宋" w:eastAsia="仿宋" w:cs="仿宋_GB2312"/>
          <w:b/>
          <w:kern w:val="0"/>
          <w:sz w:val="32"/>
          <w:szCs w:val="32"/>
        </w:rPr>
      </w:pPr>
    </w:p>
    <w:p>
      <w:pPr>
        <w:pStyle w:val="4"/>
        <w:rPr>
          <w:rFonts w:ascii="仿宋" w:hAnsi="仿宋" w:eastAsia="仿宋" w:cs="仿宋_GB2312"/>
          <w:b w:val="0"/>
          <w:kern w:val="0"/>
          <w:sz w:val="32"/>
          <w:szCs w:val="32"/>
        </w:rPr>
      </w:pPr>
    </w:p>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六、主要业绩证明</w:t>
      </w:r>
    </w:p>
    <w:p>
      <w:pPr>
        <w:widowControl/>
        <w:spacing w:line="276" w:lineRule="auto"/>
        <w:ind w:firstLine="120" w:firstLineChars="50"/>
        <w:jc w:val="both"/>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附表:同类项目业绩一览表</w:t>
      </w:r>
    </w:p>
    <w:tbl>
      <w:tblPr>
        <w:tblStyle w:val="70"/>
        <w:tblW w:w="4996" w:type="pct"/>
        <w:jc w:val="center"/>
        <w:tblLayout w:type="autofit"/>
        <w:tblCellMar>
          <w:top w:w="0" w:type="dxa"/>
          <w:left w:w="28" w:type="dxa"/>
          <w:bottom w:w="0" w:type="dxa"/>
          <w:right w:w="28" w:type="dxa"/>
        </w:tblCellMar>
      </w:tblPr>
      <w:tblGrid>
        <w:gridCol w:w="1796"/>
        <w:gridCol w:w="1033"/>
        <w:gridCol w:w="1265"/>
        <w:gridCol w:w="1141"/>
        <w:gridCol w:w="1661"/>
        <w:gridCol w:w="1201"/>
        <w:gridCol w:w="1022"/>
      </w:tblGrid>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项目名称</w:t>
            </w:r>
          </w:p>
        </w:tc>
        <w:tc>
          <w:tcPr>
            <w:tcW w:w="56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项目类型</w:t>
            </w:r>
          </w:p>
        </w:tc>
        <w:tc>
          <w:tcPr>
            <w:tcW w:w="69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简要描述</w:t>
            </w:r>
          </w:p>
        </w:tc>
        <w:tc>
          <w:tcPr>
            <w:tcW w:w="62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rPr>
              <w:t>项目</w:t>
            </w:r>
            <w:r>
              <w:rPr>
                <w:rFonts w:hint="eastAsia" w:ascii="仿宋" w:hAnsi="仿宋" w:eastAsia="仿宋" w:cs="仿宋"/>
                <w:sz w:val="21"/>
                <w:szCs w:val="21"/>
                <w:lang w:val="en-US" w:eastAsia="zh-CN"/>
              </w:rPr>
              <w:t>金额</w:t>
            </w: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91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履行</w:t>
            </w:r>
            <w:r>
              <w:rPr>
                <w:rFonts w:hint="eastAsia" w:ascii="仿宋" w:hAnsi="仿宋" w:eastAsia="仿宋" w:cs="仿宋"/>
                <w:sz w:val="21"/>
                <w:szCs w:val="21"/>
              </w:rPr>
              <w:t>日期</w:t>
            </w:r>
          </w:p>
        </w:tc>
        <w:tc>
          <w:tcPr>
            <w:tcW w:w="65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用户</w:t>
            </w:r>
            <w:r>
              <w:rPr>
                <w:rFonts w:hint="eastAsia" w:ascii="仿宋" w:hAnsi="仿宋" w:eastAsia="仿宋" w:cs="仿宋"/>
                <w:sz w:val="21"/>
                <w:szCs w:val="21"/>
              </w:rPr>
              <w:t>单位</w:t>
            </w:r>
            <w:r>
              <w:rPr>
                <w:rFonts w:hint="eastAsia" w:ascii="仿宋" w:hAnsi="仿宋" w:eastAsia="仿宋" w:cs="仿宋"/>
                <w:sz w:val="21"/>
                <w:szCs w:val="21"/>
                <w:lang w:eastAsia="zh-CN"/>
              </w:rPr>
              <w:t>、</w:t>
            </w:r>
            <w:r>
              <w:rPr>
                <w:rFonts w:hint="eastAsia" w:ascii="仿宋" w:hAnsi="仿宋" w:eastAsia="仿宋" w:cs="仿宋"/>
                <w:sz w:val="21"/>
                <w:szCs w:val="21"/>
              </w:rPr>
              <w:t>联系电话</w:t>
            </w:r>
          </w:p>
        </w:tc>
        <w:tc>
          <w:tcPr>
            <w:tcW w:w="56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所在页码</w:t>
            </w: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r>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6"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93"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25"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91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658"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c>
          <w:tcPr>
            <w:tcW w:w="560" w:type="pct"/>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sz w:val="21"/>
                <w:szCs w:val="21"/>
              </w:rPr>
            </w:pPr>
          </w:p>
        </w:tc>
      </w:tr>
    </w:tbl>
    <w:p>
      <w:pPr>
        <w:keepNext w:val="0"/>
        <w:keepLines w:val="0"/>
        <w:pageBreakBefore w:val="0"/>
        <w:widowControl/>
        <w:kinsoku/>
        <w:wordWrap/>
        <w:overflowPunct/>
        <w:topLinePunct w:val="0"/>
        <w:autoSpaceDE/>
        <w:autoSpaceDN/>
        <w:bidi w:val="0"/>
        <w:adjustRightInd/>
        <w:snapToGrid/>
        <w:spacing w:line="276" w:lineRule="auto"/>
        <w:ind w:left="482" w:hanging="482" w:hangingChars="200"/>
        <w:jc w:val="left"/>
        <w:textAlignment w:val="auto"/>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注：</w:t>
      </w:r>
      <w:r>
        <w:rPr>
          <w:rFonts w:hint="eastAsia" w:ascii="仿宋" w:hAnsi="仿宋" w:eastAsia="仿宋" w:cs="仿宋_GB2312"/>
          <w:b w:val="0"/>
          <w:bCs w:val="0"/>
          <w:sz w:val="24"/>
          <w:u w:val="single"/>
          <w:lang w:val="en-US" w:eastAsia="zh-CN"/>
        </w:rPr>
        <w:t>供应商可按上述的格式自行编制，并且随表提交相应的合同复印件和用户单位验收证明并注明所在文件页码</w:t>
      </w:r>
      <w:r>
        <w:rPr>
          <w:rFonts w:hint="eastAsia" w:ascii="仿宋" w:hAnsi="仿宋" w:eastAsia="仿宋" w:cs="仿宋_GB2312"/>
          <w:b w:val="0"/>
          <w:bCs w:val="0"/>
          <w:sz w:val="24"/>
          <w:lang w:val="en-US" w:eastAsia="zh-CN"/>
        </w:rPr>
        <w:t>。</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autoSpaceDE w:val="0"/>
        <w:autoSpaceDN w:val="0"/>
        <w:spacing w:line="360" w:lineRule="auto"/>
        <w:rPr>
          <w:rFonts w:ascii="宋体" w:hAnsi="宋体" w:eastAsia="宋体" w:cs="仿宋_GB2312"/>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kern w:val="0"/>
          <w:sz w:val="32"/>
          <w:szCs w:val="32"/>
          <w:lang w:val="zh-CN"/>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lang w:val="zh-CN" w:eastAsia="zh-CN"/>
        </w:rPr>
        <w:t>七、关于对</w:t>
      </w:r>
      <w:r>
        <w:rPr>
          <w:rFonts w:hint="eastAsia" w:ascii="仿宋" w:hAnsi="仿宋" w:eastAsia="仿宋" w:cs="仿宋_GB2312"/>
          <w:b/>
          <w:kern w:val="0"/>
          <w:sz w:val="32"/>
          <w:szCs w:val="32"/>
          <w:lang w:val="en-US" w:eastAsia="zh-CN"/>
        </w:rPr>
        <w:t>采购</w:t>
      </w:r>
      <w:r>
        <w:rPr>
          <w:rFonts w:hint="eastAsia" w:ascii="仿宋" w:hAnsi="仿宋" w:eastAsia="仿宋" w:cs="仿宋_GB2312"/>
          <w:b/>
          <w:kern w:val="0"/>
          <w:sz w:val="32"/>
          <w:szCs w:val="32"/>
          <w:lang w:val="zh-CN" w:eastAsia="zh-CN"/>
        </w:rPr>
        <w:t>文件中有关条款的拒绝声明（</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[由供应商根据采购需求自行编制]</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spacing w:line="360" w:lineRule="auto"/>
        <w:jc w:val="center"/>
        <w:rPr>
          <w:rFonts w:ascii="宋体" w:hAnsi="宋体" w:eastAsia="宋体" w:cs="仿宋_GB2312"/>
          <w:b/>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en-US" w:eastAsia="zh-CN"/>
        </w:rPr>
        <w:t>八</w:t>
      </w:r>
      <w:r>
        <w:rPr>
          <w:rFonts w:hint="eastAsia" w:ascii="仿宋" w:hAnsi="仿宋" w:eastAsia="仿宋" w:cs="仿宋_GB2312"/>
          <w:b/>
          <w:kern w:val="0"/>
          <w:sz w:val="32"/>
          <w:szCs w:val="32"/>
          <w:lang w:val="zh-CN"/>
        </w:rPr>
        <w:t>、评标标准相应的商务技术资料</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[根据采购文件第五部分评审办法相关规定提供资料]</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pacing w:line="360" w:lineRule="auto"/>
        <w:jc w:val="center"/>
        <w:rPr>
          <w:rFonts w:ascii="宋体" w:hAnsi="宋体" w:eastAsia="宋体" w:cs="仿宋_GB2312"/>
          <w:b/>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bCs/>
          <w:sz w:val="32"/>
          <w:szCs w:val="32"/>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lang w:val="zh-CN"/>
        </w:rPr>
        <w:t>九、技术解决方案</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pStyle w:val="4"/>
        <w:keepNext w:val="0"/>
        <w:keepLines w:val="0"/>
        <w:pageBreakBefore w:val="0"/>
        <w:widowControl w:val="0"/>
        <w:kinsoku/>
        <w:wordWrap/>
        <w:overflowPunct/>
        <w:topLinePunct w:val="0"/>
        <w:autoSpaceDE/>
        <w:autoSpaceDN/>
        <w:bidi w:val="0"/>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pStyle w:val="4"/>
      </w:pP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十、组织实施方案</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tabs>
          <w:tab w:val="left" w:pos="2790"/>
          <w:tab w:val="left" w:pos="4230"/>
        </w:tabs>
        <w:autoSpaceDE w:val="0"/>
        <w:autoSpaceDN w:val="0"/>
        <w:spacing w:line="360" w:lineRule="auto"/>
        <w:ind w:right="1400"/>
        <w:rPr>
          <w:rFonts w:hint="eastAsia" w:ascii="宋体" w:hAnsi="宋体" w:eastAsia="宋体" w:cs="仿宋_GB2312"/>
          <w:b/>
          <w:bCs/>
          <w:kern w:val="0"/>
          <w:sz w:val="24"/>
          <w:lang w:val="zh-CN"/>
        </w:rPr>
      </w:pPr>
    </w:p>
    <w:p>
      <w:pPr>
        <w:tabs>
          <w:tab w:val="left" w:pos="2790"/>
          <w:tab w:val="left" w:pos="4230"/>
        </w:tabs>
        <w:autoSpaceDE w:val="0"/>
        <w:autoSpaceDN w:val="0"/>
        <w:spacing w:line="24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7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94"/>
        <w:gridCol w:w="494"/>
        <w:gridCol w:w="494"/>
        <w:gridCol w:w="494"/>
        <w:gridCol w:w="494"/>
        <w:gridCol w:w="494"/>
        <w:gridCol w:w="494"/>
        <w:gridCol w:w="494"/>
        <w:gridCol w:w="494"/>
        <w:gridCol w:w="494"/>
        <w:gridCol w:w="494"/>
        <w:gridCol w:w="494"/>
        <w:gridCol w:w="494"/>
        <w:gridCol w:w="494"/>
        <w:gridCol w:w="494"/>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8" w:type="pct"/>
            <w:tcBorders>
              <w:tl2br w:val="single" w:color="auto" w:sz="4" w:space="0"/>
            </w:tcBorders>
            <w:noWrap w:val="0"/>
            <w:vAlign w:val="center"/>
          </w:tcPr>
          <w:p>
            <w:pPr>
              <w:spacing w:line="240" w:lineRule="auto"/>
              <w:jc w:val="righ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工作日</w:t>
            </w:r>
          </w:p>
          <w:p>
            <w:pPr>
              <w:spacing w:line="240" w:lineRule="auto"/>
              <w:jc w:val="left"/>
              <w:rPr>
                <w:rFonts w:hint="eastAsia" w:ascii="仿宋" w:hAnsi="仿宋" w:eastAsia="仿宋" w:cs="仿宋"/>
                <w:sz w:val="21"/>
                <w:szCs w:val="21"/>
              </w:rPr>
            </w:pPr>
            <w:r>
              <w:rPr>
                <w:rFonts w:hint="eastAsia" w:ascii="仿宋" w:hAnsi="仿宋" w:eastAsia="仿宋" w:cs="仿宋"/>
                <w:sz w:val="21"/>
                <w:szCs w:val="21"/>
              </w:rPr>
              <w:t>内容</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7</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9</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10</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11</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12</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13</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14</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15</w:t>
            </w:r>
          </w:p>
        </w:tc>
        <w:tc>
          <w:tcPr>
            <w:tcW w:w="266" w:type="pct"/>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c>
          <w:tcPr>
            <w:tcW w:w="266" w:type="pct"/>
            <w:noWrap w:val="0"/>
            <w:vAlign w:val="top"/>
          </w:tcPr>
          <w:p>
            <w:pPr>
              <w:spacing w:line="240" w:lineRule="auto"/>
              <w:jc w:val="center"/>
              <w:rPr>
                <w:rFonts w:hint="eastAsia" w:ascii="仿宋" w:hAnsi="仿宋" w:eastAsia="仿宋" w:cs="仿宋"/>
                <w:sz w:val="21"/>
                <w:szCs w:val="21"/>
              </w:rPr>
            </w:pPr>
          </w:p>
        </w:tc>
      </w:tr>
    </w:tbl>
    <w:p>
      <w:pPr>
        <w:autoSpaceDE w:val="0"/>
        <w:autoSpaceDN w:val="0"/>
        <w:spacing w:line="360" w:lineRule="auto"/>
        <w:rPr>
          <w:rFonts w:hint="eastAsia"/>
          <w:lang w:val="en-US" w:eastAsia="zh-CN"/>
        </w:rPr>
      </w:pPr>
      <w:r>
        <w:rPr>
          <w:rFonts w:hint="eastAsia" w:ascii="仿宋" w:hAnsi="仿宋" w:eastAsia="仿宋" w:cs="仿宋"/>
          <w:b/>
          <w:sz w:val="24"/>
        </w:rPr>
        <w:t>注：</w:t>
      </w:r>
      <w:r>
        <w:rPr>
          <w:rFonts w:hint="eastAsia" w:ascii="仿宋" w:hAnsi="仿宋" w:eastAsia="仿宋" w:cs="仿宋"/>
          <w:b w:val="0"/>
          <w:bCs/>
          <w:sz w:val="24"/>
          <w:u w:val="single"/>
        </w:rPr>
        <w:t>供应商可按上述时间表的格式自行编制切合实际的具体时间表。</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 w:hAnsi="仿宋" w:eastAsia="仿宋" w:cs="仿宋_GB2312"/>
          <w:b/>
          <w:kern w:val="0"/>
          <w:sz w:val="32"/>
          <w:szCs w:val="32"/>
          <w:lang w:val="en-US" w:eastAsia="zh-CN"/>
        </w:rPr>
      </w:pPr>
      <w:r>
        <w:rPr>
          <w:rFonts w:hint="eastAsia" w:ascii="仿宋" w:hAnsi="仿宋" w:eastAsia="仿宋" w:cs="仿宋_GB2312"/>
          <w:b/>
          <w:kern w:val="0"/>
          <w:sz w:val="32"/>
          <w:szCs w:val="32"/>
          <w:lang w:val="en-US" w:eastAsia="zh-CN"/>
        </w:rPr>
        <w:t>十一、</w:t>
      </w:r>
      <w:r>
        <w:rPr>
          <w:rFonts w:hint="eastAsia" w:ascii="仿宋" w:hAnsi="仿宋" w:eastAsia="仿宋" w:cs="仿宋_GB2312"/>
          <w:b/>
          <w:kern w:val="0"/>
          <w:sz w:val="32"/>
          <w:szCs w:val="32"/>
          <w:lang w:val="zh-CN"/>
        </w:rPr>
        <w:t>服务方案</w:t>
      </w:r>
      <w:r>
        <w:rPr>
          <w:rFonts w:hint="eastAsia" w:ascii="仿宋" w:hAnsi="仿宋" w:eastAsia="仿宋" w:cs="仿宋_GB2312"/>
          <w:b/>
          <w:kern w:val="0"/>
          <w:sz w:val="32"/>
          <w:szCs w:val="32"/>
          <w:lang w:val="en-US" w:eastAsia="zh-CN"/>
        </w:rPr>
        <w:t>及承诺</w:t>
      </w:r>
    </w:p>
    <w:p>
      <w:pPr>
        <w:widowControl/>
        <w:spacing w:line="240"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jc w:val="center"/>
        <w:rPr>
          <w:rFonts w:ascii="仿宋" w:hAnsi="仿宋" w:eastAsia="仿宋"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en-US" w:eastAsia="zh-CN"/>
        </w:rPr>
      </w:pPr>
      <w:r>
        <w:rPr>
          <w:rFonts w:hint="eastAsia" w:ascii="仿宋" w:hAnsi="仿宋" w:eastAsia="仿宋" w:cs="仿宋_GB2312"/>
          <w:b/>
          <w:kern w:val="0"/>
          <w:sz w:val="32"/>
          <w:szCs w:val="32"/>
          <w:lang w:val="en-US" w:eastAsia="zh-CN"/>
        </w:rPr>
        <w:t>十二、项目小组人员名单</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[由供应商根据采购需求及采购文件要求编制]</w:t>
      </w:r>
    </w:p>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70"/>
        <w:tblW w:w="9286" w:type="dxa"/>
        <w:tblInd w:w="0" w:type="dxa"/>
        <w:tblLayout w:type="fixed"/>
        <w:tblCellMar>
          <w:top w:w="0" w:type="dxa"/>
          <w:left w:w="108" w:type="dxa"/>
          <w:bottom w:w="0" w:type="dxa"/>
          <w:right w:w="108" w:type="dxa"/>
        </w:tblCellMar>
      </w:tblPr>
      <w:tblGrid>
        <w:gridCol w:w="1666"/>
        <w:gridCol w:w="2340"/>
        <w:gridCol w:w="5280"/>
      </w:tblGrid>
      <w:tr>
        <w:tblPrEx>
          <w:tblCellMar>
            <w:top w:w="0" w:type="dxa"/>
            <w:left w:w="108" w:type="dxa"/>
            <w:bottom w:w="0" w:type="dxa"/>
            <w:right w:w="108" w:type="dxa"/>
          </w:tblCellMar>
        </w:tblPrEx>
        <w:trPr>
          <w:trHeight w:val="340" w:hRule="atLeast"/>
        </w:trPr>
        <w:tc>
          <w:tcPr>
            <w:tcW w:w="1666"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234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rPr>
                <w:rFonts w:hint="eastAsia" w:ascii="仿宋" w:hAnsi="仿宋" w:eastAsia="仿宋" w:cs="仿宋"/>
                <w:sz w:val="21"/>
                <w:szCs w:val="21"/>
              </w:rPr>
            </w:pPr>
            <w:r>
              <w:rPr>
                <w:rFonts w:hint="eastAsia" w:ascii="仿宋" w:hAnsi="仿宋" w:eastAsia="仿宋" w:cs="仿宋"/>
                <w:sz w:val="21"/>
                <w:szCs w:val="21"/>
              </w:rPr>
              <w:t>响应截止时间近3年业绩及承担的主要工作情况，</w:t>
            </w:r>
          </w:p>
          <w:p>
            <w:pPr>
              <w:autoSpaceDE w:val="0"/>
              <w:autoSpaceDN w:val="0"/>
              <w:spacing w:line="240" w:lineRule="auto"/>
              <w:rPr>
                <w:rFonts w:hint="eastAsia" w:ascii="仿宋" w:hAnsi="仿宋" w:eastAsia="仿宋" w:cs="仿宋"/>
                <w:sz w:val="21"/>
                <w:szCs w:val="21"/>
                <w:lang w:eastAsia="zh-CN"/>
              </w:rPr>
            </w:pPr>
            <w:r>
              <w:rPr>
                <w:rFonts w:hint="eastAsia" w:ascii="仿宋" w:hAnsi="仿宋" w:eastAsia="仿宋" w:cs="仿宋"/>
                <w:sz w:val="21"/>
                <w:szCs w:val="21"/>
              </w:rPr>
              <w:t>曾担任项目经理的项目应列明细</w:t>
            </w:r>
            <w:r>
              <w:rPr>
                <w:rFonts w:hint="eastAsia" w:ascii="仿宋" w:hAnsi="仿宋" w:eastAsia="仿宋" w:cs="仿宋"/>
                <w:sz w:val="21"/>
                <w:szCs w:val="21"/>
                <w:lang w:eastAsia="zh-CN"/>
              </w:rPr>
              <w:t>。</w:t>
            </w: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性别</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年龄</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职称</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毕业时间</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所学专业</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学历</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资质证书</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其他资质情况</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r>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234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240" w:lineRule="auto"/>
              <w:jc w:val="center"/>
              <w:rPr>
                <w:rFonts w:hint="eastAsia" w:ascii="仿宋" w:hAnsi="仿宋" w:eastAsia="仿宋" w:cs="仿宋"/>
                <w:sz w:val="21"/>
                <w:szCs w:val="21"/>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p>
        </w:tc>
      </w:tr>
    </w:tbl>
    <w:p>
      <w:pPr>
        <w:keepNext/>
        <w:autoSpaceDE w:val="0"/>
        <w:autoSpaceDN w:val="0"/>
        <w:spacing w:line="240" w:lineRule="auto"/>
        <w:rPr>
          <w:rFonts w:hint="eastAsia" w:ascii="仿宋" w:hAnsi="仿宋" w:eastAsia="仿宋" w:cs="仿宋"/>
          <w:b w:val="0"/>
          <w:bCs/>
          <w:sz w:val="24"/>
        </w:rPr>
      </w:pPr>
      <w:r>
        <w:rPr>
          <w:rFonts w:hint="eastAsia" w:ascii="仿宋" w:hAnsi="仿宋" w:eastAsia="仿宋" w:cs="仿宋"/>
          <w:b/>
          <w:sz w:val="24"/>
        </w:rPr>
        <w:t>注：</w:t>
      </w:r>
      <w:r>
        <w:rPr>
          <w:rFonts w:hint="eastAsia" w:ascii="仿宋" w:hAnsi="仿宋" w:eastAsia="仿宋" w:cs="仿宋"/>
          <w:b w:val="0"/>
          <w:bCs/>
          <w:sz w:val="24"/>
        </w:rPr>
        <w:t>须随表提交相应的证书复印件并注明所在响应文件页码。</w:t>
      </w:r>
    </w:p>
    <w:p>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rPr>
      </w:pPr>
    </w:p>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附表B:本项目的项目小组人员情况表（按此格式自制）</w:t>
      </w:r>
    </w:p>
    <w:tbl>
      <w:tblPr>
        <w:tblStyle w:val="7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1078"/>
        <w:gridCol w:w="1292"/>
      </w:tblGrid>
      <w:tr>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学历</w:t>
            </w:r>
          </w:p>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专业</w:t>
            </w:r>
          </w:p>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职称</w:t>
            </w:r>
          </w:p>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本项目中的职责</w:t>
            </w:r>
          </w:p>
        </w:tc>
        <w:tc>
          <w:tcPr>
            <w:tcW w:w="10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项目经历</w:t>
            </w: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参与本项目的到位情况</w:t>
            </w:r>
          </w:p>
        </w:tc>
      </w:tr>
      <w:tr>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jc w:val="center"/>
              <w:rPr>
                <w:rFonts w:hint="eastAsia" w:ascii="仿宋" w:hAnsi="仿宋" w:eastAsia="仿宋" w:cs="仿宋"/>
                <w:sz w:val="21"/>
                <w:szCs w:val="21"/>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7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r>
      <w:tr>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jc w:val="center"/>
              <w:rPr>
                <w:rFonts w:hint="eastAsia" w:ascii="仿宋" w:hAnsi="仿宋" w:eastAsia="仿宋" w:cs="仿宋"/>
                <w:sz w:val="21"/>
                <w:szCs w:val="21"/>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7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r>
      <w:tr>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jc w:val="center"/>
              <w:rPr>
                <w:rFonts w:hint="eastAsia" w:ascii="仿宋" w:hAnsi="仿宋" w:eastAsia="仿宋" w:cs="仿宋"/>
                <w:sz w:val="21"/>
                <w:szCs w:val="21"/>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07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c>
          <w:tcPr>
            <w:tcW w:w="12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240" w:lineRule="auto"/>
              <w:rPr>
                <w:rFonts w:hint="eastAsia" w:ascii="仿宋" w:hAnsi="仿宋" w:eastAsia="仿宋" w:cs="仿宋"/>
                <w:sz w:val="21"/>
                <w:szCs w:val="21"/>
              </w:rPr>
            </w:pPr>
          </w:p>
        </w:tc>
      </w:tr>
    </w:tbl>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b w:val="0"/>
          <w:bCs/>
          <w:sz w:val="24"/>
        </w:rPr>
        <w:t>可按上述的格式自行编制，随表提交相应证书复印件并注明所在响应文件页码。</w:t>
      </w:r>
    </w:p>
    <w:p>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rPr>
      </w:pPr>
    </w:p>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附表C:本项目的项目经理和小组人员交纳社保记录情况表（以社保局缴纳凭证作附件）</w:t>
      </w:r>
    </w:p>
    <w:p>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spacing w:line="360" w:lineRule="auto"/>
        <w:rPr>
          <w:rFonts w:ascii="宋体" w:hAnsi="宋体" w:eastAsia="宋体" w:cs="仿宋_GB2312"/>
          <w:b/>
          <w:bCs/>
          <w:sz w:val="24"/>
        </w:rPr>
      </w:pPr>
    </w:p>
    <w:p>
      <w:pPr>
        <w:jc w:val="center"/>
        <w:rPr>
          <w:rFonts w:ascii="仿宋" w:hAnsi="仿宋" w:eastAsia="仿宋"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en-US" w:eastAsia="zh-CN"/>
        </w:rPr>
        <w:t>十三</w:t>
      </w:r>
      <w:r>
        <w:rPr>
          <w:rFonts w:hint="eastAsia" w:ascii="仿宋" w:hAnsi="仿宋" w:eastAsia="仿宋" w:cs="仿宋_GB2312"/>
          <w:b/>
          <w:kern w:val="0"/>
          <w:sz w:val="32"/>
          <w:szCs w:val="32"/>
          <w:lang w:val="zh-CN"/>
        </w:rPr>
        <w:t>、</w:t>
      </w:r>
      <w:r>
        <w:rPr>
          <w:rFonts w:hint="eastAsia" w:ascii="仿宋" w:hAnsi="仿宋" w:eastAsia="仿宋" w:cs="仿宋_GB2312"/>
          <w:b/>
          <w:kern w:val="0"/>
          <w:sz w:val="32"/>
          <w:szCs w:val="32"/>
          <w:lang w:val="en-US" w:eastAsia="zh-CN"/>
        </w:rPr>
        <w:t>拟投入的技术装备、设备和工具</w:t>
      </w:r>
      <w:r>
        <w:rPr>
          <w:rFonts w:hint="eastAsia" w:ascii="仿宋" w:hAnsi="仿宋" w:eastAsia="仿宋" w:cs="仿宋_GB2312"/>
          <w:b/>
          <w:kern w:val="0"/>
          <w:sz w:val="32"/>
          <w:szCs w:val="32"/>
          <w:lang w:val="zh-CN" w:eastAsia="zh-CN"/>
        </w:rPr>
        <w:t>（</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tbl>
      <w:tblPr>
        <w:tblStyle w:val="7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05"/>
        <w:gridCol w:w="1298"/>
        <w:gridCol w:w="995"/>
        <w:gridCol w:w="2791"/>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1026"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品牌</w:t>
            </w:r>
            <w:r>
              <w:rPr>
                <w:rFonts w:hint="eastAsia" w:ascii="仿宋" w:hAnsi="仿宋" w:eastAsia="仿宋" w:cs="仿宋"/>
                <w:sz w:val="21"/>
                <w:szCs w:val="21"/>
                <w:lang w:eastAsia="zh-CN"/>
              </w:rPr>
              <w:t>、</w:t>
            </w:r>
            <w:r>
              <w:rPr>
                <w:rFonts w:hint="eastAsia" w:ascii="仿宋" w:hAnsi="仿宋" w:eastAsia="仿宋" w:cs="仿宋"/>
                <w:sz w:val="21"/>
                <w:szCs w:val="21"/>
              </w:rPr>
              <w:t>产地</w:t>
            </w:r>
          </w:p>
        </w:tc>
        <w:tc>
          <w:tcPr>
            <w:tcW w:w="699"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规格型号</w:t>
            </w:r>
          </w:p>
        </w:tc>
        <w:tc>
          <w:tcPr>
            <w:tcW w:w="536"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数量</w:t>
            </w:r>
          </w:p>
        </w:tc>
        <w:tc>
          <w:tcPr>
            <w:tcW w:w="1503"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适用条件</w:t>
            </w:r>
          </w:p>
        </w:tc>
        <w:tc>
          <w:tcPr>
            <w:tcW w:w="643" w:type="pct"/>
            <w:noWrap w:val="0"/>
            <w:vAlign w:val="center"/>
          </w:tcPr>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02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99"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536"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150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c>
          <w:tcPr>
            <w:tcW w:w="643" w:type="pct"/>
            <w:noWrap w:val="0"/>
            <w:vAlign w:val="center"/>
          </w:tcPr>
          <w:p>
            <w:pPr>
              <w:pStyle w:val="38"/>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sz w:val="21"/>
                <w:szCs w:val="21"/>
              </w:rPr>
            </w:pPr>
          </w:p>
        </w:tc>
      </w:tr>
    </w:tbl>
    <w:p>
      <w:pPr>
        <w:keepNext/>
        <w:autoSpaceDE w:val="0"/>
        <w:autoSpaceDN w:val="0"/>
        <w:spacing w:line="240" w:lineRule="auto"/>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b w:val="0"/>
          <w:bCs/>
          <w:sz w:val="24"/>
        </w:rPr>
        <w:t>完成项目</w:t>
      </w:r>
      <w:r>
        <w:rPr>
          <w:rFonts w:hint="eastAsia" w:ascii="仿宋" w:hAnsi="仿宋" w:eastAsia="仿宋" w:cs="仿宋"/>
          <w:b w:val="0"/>
          <w:bCs/>
          <w:sz w:val="24"/>
          <w:lang w:val="en-US" w:eastAsia="zh-CN"/>
        </w:rPr>
        <w:t>实施和</w:t>
      </w:r>
      <w:r>
        <w:rPr>
          <w:rFonts w:hint="eastAsia" w:ascii="仿宋" w:hAnsi="仿宋" w:eastAsia="仿宋" w:cs="仿宋"/>
          <w:b w:val="0"/>
          <w:bCs/>
          <w:sz w:val="24"/>
        </w:rPr>
        <w:t>履行合同所必需的技术</w:t>
      </w:r>
      <w:r>
        <w:rPr>
          <w:rFonts w:hint="eastAsia" w:ascii="仿宋" w:hAnsi="仿宋" w:eastAsia="仿宋" w:cs="仿宋"/>
          <w:b w:val="0"/>
          <w:bCs/>
          <w:sz w:val="24"/>
          <w:lang w:val="en-US" w:eastAsia="zh-CN"/>
        </w:rPr>
        <w:t>装备、</w:t>
      </w:r>
      <w:r>
        <w:rPr>
          <w:rFonts w:hint="eastAsia" w:ascii="仿宋" w:hAnsi="仿宋" w:eastAsia="仿宋" w:cs="仿宋"/>
          <w:b w:val="0"/>
          <w:bCs/>
          <w:sz w:val="24"/>
        </w:rPr>
        <w:t>设备</w:t>
      </w:r>
      <w:r>
        <w:rPr>
          <w:rFonts w:hint="eastAsia" w:ascii="仿宋" w:hAnsi="仿宋" w:eastAsia="仿宋" w:cs="仿宋"/>
          <w:b w:val="0"/>
          <w:bCs/>
          <w:sz w:val="24"/>
          <w:lang w:val="en-US" w:eastAsia="zh-CN"/>
        </w:rPr>
        <w:t>和工具，均应计入投标总价。</w:t>
      </w:r>
    </w:p>
    <w:p>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p>
    <w:p>
      <w:pPr>
        <w:spacing w:line="360" w:lineRule="auto"/>
        <w:jc w:val="center"/>
        <w:rPr>
          <w:rFonts w:ascii="宋体" w:hAnsi="宋体" w:eastAsia="宋体" w:cs="仿宋_GB2312"/>
          <w:sz w:val="24"/>
        </w:rPr>
      </w:pPr>
    </w:p>
    <w:p>
      <w:pPr>
        <w:pStyle w:val="4"/>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eastAsia="zh-CN"/>
        </w:rPr>
      </w:pPr>
      <w:r>
        <w:rPr>
          <w:rFonts w:hint="eastAsia" w:ascii="仿宋" w:hAnsi="仿宋" w:eastAsia="仿宋" w:cs="仿宋_GB2312"/>
          <w:b/>
          <w:kern w:val="0"/>
          <w:sz w:val="32"/>
          <w:szCs w:val="32"/>
          <w:lang w:val="zh-CN" w:eastAsia="zh-CN"/>
        </w:rPr>
        <w:t>十</w:t>
      </w:r>
      <w:r>
        <w:rPr>
          <w:rFonts w:hint="eastAsia" w:ascii="仿宋" w:hAnsi="仿宋" w:eastAsia="仿宋" w:cs="仿宋_GB2312"/>
          <w:b/>
          <w:kern w:val="0"/>
          <w:sz w:val="32"/>
          <w:szCs w:val="32"/>
          <w:lang w:val="en-US" w:eastAsia="zh-CN"/>
        </w:rPr>
        <w:t>四、</w:t>
      </w:r>
      <w:r>
        <w:rPr>
          <w:rFonts w:hint="eastAsia" w:ascii="仿宋" w:hAnsi="仿宋" w:eastAsia="仿宋" w:cs="仿宋_GB2312"/>
          <w:b/>
          <w:kern w:val="0"/>
          <w:sz w:val="32"/>
          <w:szCs w:val="32"/>
          <w:lang w:val="zh-CN" w:eastAsia="zh-CN"/>
        </w:rPr>
        <w:t>风险控制和应急预案</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[由供应商根据采购需求自行编制]</w:t>
      </w:r>
    </w:p>
    <w:p>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z w:val="21"/>
          <w:szCs w:val="21"/>
        </w:rPr>
      </w:pP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z w:val="21"/>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eastAsia="zh-CN"/>
        </w:rPr>
      </w:pPr>
      <w:r>
        <w:rPr>
          <w:rFonts w:hint="eastAsia" w:ascii="仿宋" w:hAnsi="仿宋" w:eastAsia="仿宋" w:cs="仿宋_GB2312"/>
          <w:b/>
          <w:kern w:val="0"/>
          <w:sz w:val="32"/>
          <w:szCs w:val="32"/>
          <w:lang w:val="zh-CN" w:eastAsia="zh-CN"/>
        </w:rPr>
        <w:br w:type="page"/>
      </w:r>
      <w:r>
        <w:rPr>
          <w:rFonts w:hint="eastAsia" w:ascii="仿宋" w:hAnsi="仿宋" w:eastAsia="仿宋" w:cs="仿宋_GB2312"/>
          <w:b/>
          <w:kern w:val="0"/>
          <w:sz w:val="32"/>
          <w:szCs w:val="32"/>
          <w:lang w:val="zh-CN" w:eastAsia="zh-CN"/>
        </w:rPr>
        <w:t>十</w:t>
      </w:r>
      <w:r>
        <w:rPr>
          <w:rFonts w:hint="eastAsia" w:ascii="仿宋" w:hAnsi="仿宋" w:eastAsia="仿宋" w:cs="仿宋_GB2312"/>
          <w:b/>
          <w:kern w:val="0"/>
          <w:sz w:val="32"/>
          <w:szCs w:val="32"/>
          <w:lang w:val="en-US" w:eastAsia="zh-CN"/>
        </w:rPr>
        <w:t>五</w:t>
      </w:r>
      <w:r>
        <w:rPr>
          <w:rFonts w:hint="eastAsia" w:ascii="仿宋" w:hAnsi="仿宋" w:eastAsia="仿宋" w:cs="仿宋_GB2312"/>
          <w:b/>
          <w:kern w:val="0"/>
          <w:sz w:val="32"/>
          <w:szCs w:val="32"/>
          <w:lang w:val="zh-CN" w:eastAsia="zh-CN"/>
        </w:rPr>
        <w:t>、培训计划（</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[由供应商根据采购需求自行编制]</w:t>
      </w:r>
    </w:p>
    <w:p>
      <w:pPr>
        <w:keepNext/>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附表: 培训日程及费用</w:t>
      </w:r>
    </w:p>
    <w:tbl>
      <w:tblPr>
        <w:tblStyle w:val="70"/>
        <w:tblW w:w="4997" w:type="pct"/>
        <w:tblInd w:w="0" w:type="dxa"/>
        <w:tblLayout w:type="autofit"/>
        <w:tblCellMar>
          <w:top w:w="0" w:type="dxa"/>
          <w:left w:w="120" w:type="dxa"/>
          <w:bottom w:w="0" w:type="dxa"/>
          <w:right w:w="120" w:type="dxa"/>
        </w:tblCellMar>
      </w:tblPr>
      <w:tblGrid>
        <w:gridCol w:w="1750"/>
        <w:gridCol w:w="1414"/>
        <w:gridCol w:w="1228"/>
        <w:gridCol w:w="1228"/>
        <w:gridCol w:w="1228"/>
        <w:gridCol w:w="1228"/>
        <w:gridCol w:w="1228"/>
      </w:tblGrid>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169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课程名称</w:t>
            </w:r>
          </w:p>
        </w:tc>
        <w:tc>
          <w:tcPr>
            <w:tcW w:w="759" w:type="pct"/>
            <w:tcBorders>
              <w:top w:val="single" w:color="auto" w:sz="6" w:space="0"/>
              <w:left w:val="single" w:color="auto" w:sz="6" w:space="0"/>
              <w:bottom w:val="nil"/>
              <w:right w:val="single" w:color="auto" w:sz="6" w:space="0"/>
            </w:tcBorders>
            <w:shd w:val="pct10" w:color="auto" w:fill="auto"/>
            <w:noWrap w:val="0"/>
            <w:vAlign w:val="center"/>
          </w:tcPr>
          <w:p>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提供的资料</w:t>
            </w:r>
          </w:p>
        </w:tc>
        <w:tc>
          <w:tcPr>
            <w:tcW w:w="659"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持续时间</w:t>
            </w:r>
          </w:p>
        </w:tc>
        <w:tc>
          <w:tcPr>
            <w:tcW w:w="659"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102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授课教师</w:t>
            </w:r>
          </w:p>
        </w:tc>
        <w:tc>
          <w:tcPr>
            <w:tcW w:w="659"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培训对象</w:t>
            </w:r>
          </w:p>
        </w:tc>
        <w:tc>
          <w:tcPr>
            <w:tcW w:w="659" w:type="pct"/>
            <w:tcBorders>
              <w:top w:val="single" w:color="auto" w:sz="6" w:space="0"/>
              <w:left w:val="single" w:color="auto" w:sz="6" w:space="0"/>
              <w:bottom w:val="nil"/>
              <w:right w:val="nil"/>
            </w:tcBorders>
            <w:shd w:val="pct10" w:color="auto" w:fill="auto"/>
            <w:noWrap w:val="0"/>
            <w:vAlign w:val="center"/>
          </w:tcPr>
          <w:p>
            <w:pPr>
              <w:keepLines w:val="0"/>
              <w:pageBreakBefore w:val="0"/>
              <w:widowControl w:val="0"/>
              <w:tabs>
                <w:tab w:val="center" w:pos="52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培训地点</w:t>
            </w:r>
          </w:p>
        </w:tc>
        <w:tc>
          <w:tcPr>
            <w:tcW w:w="659" w:type="pct"/>
            <w:tcBorders>
              <w:top w:val="single" w:color="auto" w:sz="6" w:space="0"/>
              <w:left w:val="single" w:color="auto" w:sz="6" w:space="0"/>
              <w:bottom w:val="nil"/>
              <w:right w:val="single" w:color="auto" w:sz="6" w:space="0"/>
            </w:tcBorders>
            <w:shd w:val="pct10" w:color="auto" w:fill="auto"/>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课程费用</w:t>
            </w:r>
          </w:p>
        </w:tc>
      </w:tr>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7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nil"/>
            </w:tcBorders>
            <w:noWrap w:val="0"/>
            <w:vAlign w:val="center"/>
          </w:tcPr>
          <w:p>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nil"/>
              <w:right w:val="single" w:color="auto" w:sz="6" w:space="0"/>
            </w:tcBorders>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费用总计</w:t>
            </w:r>
          </w:p>
        </w:tc>
        <w:tc>
          <w:tcPr>
            <w:tcW w:w="7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c>
          <w:tcPr>
            <w:tcW w:w="659" w:type="pct"/>
            <w:tcBorders>
              <w:top w:val="single" w:color="auto" w:sz="6" w:space="0"/>
              <w:left w:val="single" w:color="auto" w:sz="6" w:space="0"/>
              <w:bottom w:val="single" w:color="auto" w:sz="6" w:space="0"/>
              <w:right w:val="single" w:color="auto" w:sz="6" w:space="0"/>
            </w:tcBorders>
            <w:noWrap w:val="0"/>
            <w:vAlign w:val="center"/>
          </w:tcPr>
          <w:p>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sz w:val="21"/>
                <w:szCs w:val="21"/>
              </w:rPr>
            </w:pPr>
          </w:p>
        </w:tc>
      </w:tr>
    </w:tbl>
    <w:p>
      <w:pPr>
        <w:keepLines w:val="0"/>
        <w:pageBreakBefore w:val="0"/>
        <w:widowControl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注解</w:t>
      </w:r>
      <w:r>
        <w:rPr>
          <w:rFonts w:hint="eastAsia" w:ascii="仿宋" w:hAnsi="仿宋" w:eastAsia="仿宋" w:cs="仿宋"/>
          <w:sz w:val="24"/>
          <w:szCs w:val="24"/>
          <w:lang w:eastAsia="zh-CN"/>
        </w:rPr>
        <w:t>：</w:t>
      </w:r>
      <w:r>
        <w:rPr>
          <w:rFonts w:hint="eastAsia" w:ascii="仿宋" w:hAnsi="仿宋" w:eastAsia="仿宋" w:cs="仿宋"/>
          <w:sz w:val="24"/>
          <w:szCs w:val="24"/>
        </w:rPr>
        <w:t>A课程清单按时间顺序排列，并提供以下详细资料：</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课程概要</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课程目的</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教学方式</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先决条件</w:t>
      </w:r>
    </w:p>
    <w:p>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sz w:val="24"/>
          <w:szCs w:val="24"/>
        </w:rPr>
      </w:pPr>
      <w:r>
        <w:rPr>
          <w:rFonts w:hint="eastAsia" w:ascii="仿宋" w:hAnsi="MS Gothic" w:eastAsia="仿宋" w:cs="Arial"/>
          <w:kern w:val="0"/>
          <w:sz w:val="22"/>
          <w:szCs w:val="22"/>
          <w:lang w:eastAsia="zh-CN"/>
        </w:rPr>
        <w:t>☑</w:t>
      </w:r>
      <w:r>
        <w:rPr>
          <w:rFonts w:hint="eastAsia" w:ascii="仿宋" w:hAnsi="仿宋" w:eastAsia="仿宋" w:cs="仿宋"/>
          <w:sz w:val="24"/>
          <w:szCs w:val="24"/>
        </w:rPr>
        <w:t>教材目录</w:t>
      </w:r>
    </w:p>
    <w:p>
      <w:pPr>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B按照附表A提供授课教师的简历</w:t>
      </w:r>
    </w:p>
    <w:p>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sz w:val="24"/>
          <w:szCs w:val="24"/>
        </w:rPr>
      </w:pPr>
      <w:r>
        <w:rPr>
          <w:rFonts w:hint="eastAsia" w:ascii="仿宋" w:hAnsi="仿宋" w:eastAsia="仿宋" w:cs="仿宋"/>
          <w:b/>
          <w:sz w:val="24"/>
          <w:szCs w:val="24"/>
        </w:rPr>
        <w:t>注：须随表提交相应的证书复印件并注明所在响应文件页码。</w:t>
      </w:r>
    </w:p>
    <w:p>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sz w:val="21"/>
          <w:szCs w:val="21"/>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z w:val="21"/>
          <w:szCs w:val="21"/>
        </w:rPr>
      </w:pP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kern w:val="0"/>
          <w:sz w:val="21"/>
          <w:szCs w:val="21"/>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en-US" w:eastAsia="zh-CN"/>
        </w:rPr>
        <w:t>十六</w:t>
      </w:r>
      <w:r>
        <w:rPr>
          <w:rFonts w:hint="eastAsia" w:ascii="仿宋" w:hAnsi="仿宋" w:eastAsia="仿宋" w:cs="仿宋_GB2312"/>
          <w:b/>
          <w:kern w:val="0"/>
          <w:sz w:val="32"/>
          <w:szCs w:val="32"/>
          <w:lang w:val="zh-CN"/>
        </w:rPr>
        <w:t>、认为需要的</w:t>
      </w:r>
      <w:r>
        <w:rPr>
          <w:rFonts w:hint="eastAsia" w:ascii="仿宋" w:hAnsi="仿宋" w:eastAsia="仿宋" w:cs="仿宋_GB2312"/>
          <w:b/>
          <w:kern w:val="0"/>
          <w:sz w:val="32"/>
          <w:szCs w:val="32"/>
          <w:lang w:val="en-US" w:eastAsia="zh-CN"/>
        </w:rPr>
        <w:t>商务技术</w:t>
      </w:r>
      <w:r>
        <w:rPr>
          <w:rFonts w:hint="eastAsia" w:ascii="仿宋" w:hAnsi="仿宋" w:eastAsia="仿宋" w:cs="仿宋_GB2312"/>
          <w:b/>
          <w:kern w:val="0"/>
          <w:sz w:val="32"/>
          <w:szCs w:val="32"/>
          <w:lang w:val="zh-CN"/>
        </w:rPr>
        <w:t>文件或说明</w:t>
      </w:r>
      <w:r>
        <w:rPr>
          <w:rFonts w:hint="eastAsia" w:ascii="仿宋" w:hAnsi="仿宋" w:eastAsia="仿宋" w:cs="仿宋_GB2312"/>
          <w:b/>
          <w:kern w:val="0"/>
          <w:sz w:val="32"/>
          <w:szCs w:val="32"/>
          <w:lang w:val="zh-CN" w:eastAsia="zh-CN"/>
        </w:rPr>
        <w:t>（</w:t>
      </w:r>
      <w:r>
        <w:rPr>
          <w:rFonts w:hint="eastAsia" w:ascii="仿宋" w:hAnsi="仿宋" w:eastAsia="仿宋" w:cs="仿宋_GB2312"/>
          <w:b/>
          <w:kern w:val="0"/>
          <w:sz w:val="32"/>
          <w:szCs w:val="32"/>
          <w:lang w:val="en-US" w:eastAsia="zh-CN"/>
        </w:rPr>
        <w:t>如果有</w:t>
      </w:r>
      <w:r>
        <w:rPr>
          <w:rFonts w:hint="eastAsia" w:ascii="仿宋" w:hAnsi="仿宋" w:eastAsia="仿宋" w:cs="仿宋_GB2312"/>
          <w:b/>
          <w:kern w:val="0"/>
          <w:sz w:val="32"/>
          <w:szCs w:val="32"/>
          <w:lang w:val="zh-CN" w:eastAsia="zh-CN"/>
        </w:rPr>
        <w:t>）</w:t>
      </w:r>
    </w:p>
    <w:p>
      <w:pPr>
        <w:widowControl/>
        <w:spacing w:line="276" w:lineRule="auto"/>
        <w:ind w:firstLine="120" w:firstLineChars="50"/>
        <w:jc w:val="center"/>
        <w:rPr>
          <w:rFonts w:hint="eastAsia" w:ascii="仿宋" w:hAnsi="仿宋" w:eastAsia="仿宋" w:cs="仿宋_GB2312"/>
          <w:b/>
          <w:bCs/>
          <w:sz w:val="24"/>
          <w:lang w:val="en-US" w:eastAsia="zh-CN"/>
        </w:rPr>
      </w:pPr>
      <w:r>
        <w:rPr>
          <w:rFonts w:hint="eastAsia" w:ascii="仿宋" w:hAnsi="仿宋" w:eastAsia="仿宋" w:cs="仿宋_GB2312"/>
          <w:b/>
          <w:bCs/>
          <w:sz w:val="24"/>
          <w:lang w:val="en-US" w:eastAsia="zh-CN"/>
        </w:rPr>
        <w:t>[由供应商根据采购需求自行编制]</w:t>
      </w:r>
    </w:p>
    <w:p>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kern w:val="0"/>
          <w:sz w:val="24"/>
        </w:rPr>
      </w:pPr>
      <w:r>
        <w:rPr>
          <w:rFonts w:hint="eastAsia" w:ascii="仿宋" w:hAnsi="仿宋" w:eastAsia="仿宋" w:cs="仿宋_GB2312"/>
          <w:kern w:val="0"/>
          <w:sz w:val="24"/>
          <w:lang w:val="zh-CN"/>
        </w:rPr>
        <w:t>供应商名称</w:t>
      </w:r>
      <w:r>
        <w:rPr>
          <w:rFonts w:ascii="仿宋" w:hAnsi="仿宋" w:eastAsia="仿宋" w:cs="仿宋_GB2312"/>
          <w:kern w:val="0"/>
          <w:sz w:val="24"/>
          <w:lang w:val="zh-CN"/>
        </w:rPr>
        <w:t>(电子签名)：</w:t>
      </w:r>
    </w:p>
    <w:p>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sz w:val="21"/>
          <w:szCs w:val="21"/>
        </w:rPr>
      </w:pPr>
    </w:p>
    <w:p>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kern w:val="0"/>
          <w:sz w:val="21"/>
          <w:szCs w:val="21"/>
        </w:rPr>
      </w:pP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仿宋" w:hAnsi="仿宋" w:eastAsia="仿宋" w:cs="仿宋_GB2312"/>
          <w:b/>
          <w:kern w:val="0"/>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lang w:val="en-US" w:eastAsia="zh-CN"/>
        </w:rPr>
        <w:t>十七</w:t>
      </w:r>
      <w:r>
        <w:rPr>
          <w:rFonts w:hint="eastAsia" w:ascii="仿宋" w:hAnsi="仿宋" w:eastAsia="仿宋" w:cs="仿宋_GB2312"/>
          <w:b/>
          <w:kern w:val="0"/>
          <w:sz w:val="32"/>
          <w:szCs w:val="32"/>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b/>
          <w:kern w:val="0"/>
          <w:sz w:val="24"/>
        </w:rPr>
      </w:pPr>
      <w:r>
        <w:rPr>
          <w:rFonts w:hint="eastAsia" w:ascii="仿宋" w:hAnsi="仿宋" w:eastAsia="仿宋" w:cs="仿宋_GB2312"/>
          <w:b/>
          <w:sz w:val="24"/>
          <w:lang w:eastAsia="zh-CN"/>
        </w:rPr>
        <w:t>杭州市临安区中医院</w:t>
      </w:r>
      <w:r>
        <w:rPr>
          <w:rFonts w:hint="eastAsia" w:ascii="仿宋" w:hAnsi="仿宋" w:eastAsia="仿宋" w:cs="仿宋_GB2312"/>
          <w:b/>
          <w:sz w:val="24"/>
        </w:rPr>
        <w:t>、杭州中易招标代理有限公司</w:t>
      </w:r>
      <w:r>
        <w:rPr>
          <w:rFonts w:hint="eastAsia" w:ascii="仿宋" w:hAnsi="仿宋" w:eastAsia="仿宋" w:cs="仿宋_GB2312"/>
          <w:b/>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w:t>
      </w:r>
      <w:r>
        <w:rPr>
          <w:rFonts w:hint="eastAsia" w:ascii="仿宋" w:hAnsi="仿宋" w:eastAsia="仿宋" w:cs="仿宋_GB2312"/>
          <w:kern w:val="0"/>
          <w:sz w:val="24"/>
          <w:lang w:val="en-US" w:eastAsia="zh-CN"/>
        </w:rPr>
        <w:t>采购</w:t>
      </w:r>
      <w:r>
        <w:rPr>
          <w:rFonts w:hint="eastAsia" w:ascii="仿宋" w:hAnsi="仿宋" w:eastAsia="仿宋" w:cs="仿宋_GB2312"/>
          <w:kern w:val="0"/>
          <w:sz w:val="24"/>
          <w:lang w:val="zh-CN"/>
        </w:rPr>
        <w:t>要求参加</w:t>
      </w:r>
      <w:r>
        <w:rPr>
          <w:rFonts w:hint="eastAsia" w:ascii="仿宋" w:hAnsi="仿宋" w:eastAsia="仿宋" w:cs="仿宋_GB2312"/>
          <w:kern w:val="0"/>
          <w:sz w:val="24"/>
          <w:lang w:val="en-US" w:eastAsia="zh-CN"/>
        </w:rPr>
        <w:t>投标</w:t>
      </w:r>
      <w:r>
        <w:rPr>
          <w:rFonts w:hint="eastAsia" w:ascii="仿宋" w:hAnsi="仿宋" w:eastAsia="仿宋" w:cs="仿宋_GB2312"/>
          <w:kern w:val="0"/>
          <w:sz w:val="24"/>
          <w:lang w:val="zh-CN"/>
        </w:rPr>
        <w:t>。在这次投标过程中和中标</w:t>
      </w:r>
      <w:r>
        <w:rPr>
          <w:rFonts w:hint="eastAsia" w:ascii="仿宋" w:hAnsi="仿宋" w:eastAsia="仿宋" w:cs="仿宋_GB2312"/>
          <w:kern w:val="0"/>
          <w:sz w:val="24"/>
          <w:lang w:val="en-US" w:eastAsia="zh-CN"/>
        </w:rPr>
        <w:t>成交</w:t>
      </w:r>
      <w:r>
        <w:rPr>
          <w:rFonts w:hint="eastAsia" w:ascii="仿宋" w:hAnsi="仿宋" w:eastAsia="仿宋" w:cs="仿宋_GB2312"/>
          <w:kern w:val="0"/>
          <w:sz w:val="24"/>
          <w:lang w:val="zh-CN"/>
        </w:rPr>
        <w:t>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lang w:val="en-US" w:eastAsia="zh-CN"/>
        </w:rPr>
        <w:t>方</w:t>
      </w:r>
      <w:r>
        <w:rPr>
          <w:rFonts w:hint="eastAsia" w:ascii="仿宋" w:hAnsi="仿宋" w:eastAsia="仿宋" w:cs="仿宋_GB2312"/>
          <w:color w:val="auto"/>
          <w:kern w:val="0"/>
          <w:sz w:val="24"/>
          <w:highlight w:val="none"/>
          <w:lang w:val="zh-CN"/>
        </w:rPr>
        <w:t>有权立即取消我</w:t>
      </w:r>
      <w:r>
        <w:rPr>
          <w:rFonts w:hint="eastAsia" w:ascii="仿宋" w:hAnsi="仿宋" w:eastAsia="仿宋" w:cs="仿宋_GB2312"/>
          <w:color w:val="auto"/>
          <w:kern w:val="0"/>
          <w:sz w:val="24"/>
          <w:highlight w:val="none"/>
          <w:lang w:val="en-US" w:eastAsia="zh-CN"/>
        </w:rPr>
        <w:t>方继续参与本次采购活动的资格或</w:t>
      </w:r>
      <w:r>
        <w:rPr>
          <w:rFonts w:hint="eastAsia" w:ascii="仿宋" w:hAnsi="仿宋" w:eastAsia="仿宋" w:cs="仿宋_GB2312"/>
          <w:color w:val="auto"/>
          <w:kern w:val="0"/>
          <w:sz w:val="24"/>
          <w:highlight w:val="none"/>
          <w:lang w:val="zh-CN"/>
        </w:rPr>
        <w:t>中标资格，有权拒绝我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在一定时期内进入你</w:t>
      </w:r>
      <w:r>
        <w:rPr>
          <w:rFonts w:hint="eastAsia" w:ascii="仿宋" w:hAnsi="仿宋" w:eastAsia="仿宋" w:cs="仿宋_GB2312"/>
          <w:color w:val="auto"/>
          <w:sz w:val="24"/>
          <w:highlight w:val="none"/>
          <w:lang w:val="en-US" w:eastAsia="zh-CN"/>
        </w:rPr>
        <w:t>方</w:t>
      </w:r>
      <w:r>
        <w:rPr>
          <w:rFonts w:hint="eastAsia" w:ascii="仿宋" w:hAnsi="仿宋" w:eastAsia="仿宋" w:cs="仿宋_GB2312"/>
          <w:color w:val="auto"/>
          <w:kern w:val="0"/>
          <w:sz w:val="24"/>
          <w:highlight w:val="none"/>
          <w:lang w:val="en-US" w:eastAsia="zh-CN"/>
        </w:rPr>
        <w:t>参与</w:t>
      </w:r>
      <w:r>
        <w:rPr>
          <w:rFonts w:hint="eastAsia" w:ascii="仿宋" w:hAnsi="仿宋" w:eastAsia="仿宋" w:cs="仿宋_GB2312"/>
          <w:color w:val="auto"/>
          <w:kern w:val="0"/>
          <w:sz w:val="24"/>
          <w:highlight w:val="none"/>
          <w:lang w:val="zh-CN"/>
        </w:rPr>
        <w:t>项目建设</w:t>
      </w:r>
      <w:r>
        <w:rPr>
          <w:rFonts w:hint="eastAsia" w:ascii="仿宋" w:hAnsi="仿宋" w:eastAsia="仿宋" w:cs="仿宋_GB2312"/>
          <w:color w:val="auto"/>
          <w:kern w:val="0"/>
          <w:sz w:val="24"/>
          <w:highlight w:val="none"/>
          <w:lang w:val="en-US" w:eastAsia="zh-CN"/>
        </w:rPr>
        <w:t>或者</w:t>
      </w:r>
      <w:r>
        <w:rPr>
          <w:rFonts w:hint="eastAsia" w:ascii="仿宋" w:hAnsi="仿宋" w:eastAsia="仿宋" w:cs="仿宋_GB2312"/>
          <w:color w:val="auto"/>
          <w:kern w:val="0"/>
          <w:sz w:val="24"/>
          <w:highlight w:val="none"/>
          <w:lang w:val="zh-CN"/>
        </w:rPr>
        <w:t>其他经营活动，并通报财政部门。由此引起的</w:t>
      </w:r>
      <w:r>
        <w:rPr>
          <w:rFonts w:hint="eastAsia" w:ascii="仿宋" w:hAnsi="仿宋" w:eastAsia="仿宋" w:cs="仿宋_GB2312"/>
          <w:color w:val="auto"/>
          <w:kern w:val="0"/>
          <w:sz w:val="24"/>
          <w:highlight w:val="none"/>
          <w:lang w:val="en-US" w:eastAsia="zh-CN"/>
        </w:rPr>
        <w:t>一切</w:t>
      </w:r>
      <w:r>
        <w:rPr>
          <w:rFonts w:hint="eastAsia" w:ascii="仿宋" w:hAnsi="仿宋" w:eastAsia="仿宋" w:cs="仿宋_GB2312"/>
          <w:color w:val="auto"/>
          <w:kern w:val="0"/>
          <w:sz w:val="24"/>
          <w:highlight w:val="none"/>
          <w:lang w:val="zh-CN"/>
        </w:rPr>
        <w:t>损失均由我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供应商名称（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line="360" w:lineRule="auto"/>
        <w:ind w:left="2" w:leftChars="1" w:right="1120" w:firstLine="4560" w:firstLineChars="1900"/>
        <w:jc w:val="left"/>
        <w:rPr>
          <w:rFonts w:hint="eastAsia" w:ascii="仿宋" w:hAnsi="仿宋" w:eastAsia="仿宋" w:cs="仿宋_GB2312"/>
          <w:b/>
          <w:kern w:val="0"/>
          <w:sz w:val="36"/>
          <w:szCs w:val="36"/>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p>
    <w:bookmarkEnd w:id="190"/>
    <w:p>
      <w:pPr>
        <w:spacing w:line="360" w:lineRule="auto"/>
        <w:jc w:val="center"/>
        <w:rPr>
          <w:rFonts w:ascii="仿宋" w:hAnsi="仿宋" w:eastAsia="仿宋" w:cs="仿宋_GB2312"/>
          <w:b/>
          <w:bCs/>
          <w:color w:val="auto"/>
          <w:sz w:val="24"/>
          <w:highlight w:val="none"/>
        </w:rPr>
      </w:pPr>
    </w:p>
    <w:p>
      <w:pPr>
        <w:widowControl/>
        <w:jc w:val="left"/>
        <w:rPr>
          <w:rFonts w:hint="eastAsia" w:ascii="仿宋" w:hAnsi="仿宋" w:eastAsia="仿宋" w:cs="仿宋_GB2312"/>
          <w:b/>
          <w:color w:val="auto"/>
          <w:kern w:val="0"/>
          <w:sz w:val="36"/>
          <w:szCs w:val="36"/>
          <w:highlight w:val="none"/>
        </w:rPr>
      </w:pPr>
    </w:p>
    <w:p>
      <w:pPr>
        <w:widowControl/>
        <w:jc w:val="left"/>
        <w:rPr>
          <w:rFonts w:hint="eastAsia" w:ascii="仿宋" w:hAnsi="仿宋" w:eastAsia="仿宋" w:cs="仿宋_GB2312"/>
          <w:b/>
          <w:color w:val="auto"/>
          <w:kern w:val="0"/>
          <w:sz w:val="36"/>
          <w:szCs w:val="36"/>
          <w:highlight w:val="none"/>
        </w:rPr>
      </w:pPr>
    </w:p>
    <w:p>
      <w:pPr>
        <w:widowControl/>
        <w:jc w:val="left"/>
        <w:rPr>
          <w:rFonts w:ascii="仿宋" w:hAnsi="仿宋" w:eastAsia="仿宋" w:cs="仿宋_GB2312"/>
          <w:b/>
          <w:color w:val="auto"/>
          <w:kern w:val="0"/>
          <w:sz w:val="36"/>
          <w:szCs w:val="36"/>
          <w:highlight w:val="none"/>
        </w:rPr>
      </w:pPr>
    </w:p>
    <w:p>
      <w:pPr>
        <w:pStyle w:val="496"/>
        <w:keepNext w:val="0"/>
        <w:pageBreakBefore w:val="0"/>
        <w:tabs>
          <w:tab w:val="clear" w:pos="720"/>
        </w:tabs>
        <w:snapToGrid w:val="0"/>
        <w:spacing w:before="120" w:after="120"/>
        <w:ind w:firstLine="643"/>
        <w:outlineLvl w:val="2"/>
        <w:rPr>
          <w:rFonts w:hint="eastAsia" w:ascii="仿宋" w:hAnsi="仿宋" w:eastAsia="仿宋" w:cs="仿宋_GB2312"/>
          <w:kern w:val="2"/>
          <w:sz w:val="32"/>
          <w:szCs w:val="32"/>
          <w:lang w:val="en-US" w:eastAsia="zh-CN"/>
        </w:rPr>
        <w:sectPr>
          <w:footerReference r:id="rId11" w:type="first"/>
          <w:headerReference r:id="rId9" w:type="default"/>
          <w:footerReference r:id="rId10" w:type="default"/>
          <w:pgSz w:w="11906" w:h="16838"/>
          <w:pgMar w:top="1247" w:right="1418" w:bottom="1276" w:left="1418" w:header="851" w:footer="992" w:gutter="0"/>
          <w:cols w:space="720" w:num="1"/>
          <w:titlePg/>
          <w:docGrid w:linePitch="312" w:charSpace="0"/>
        </w:sectPr>
      </w:pPr>
      <w:bookmarkStart w:id="193" w:name="_Toc96999273"/>
      <w:bookmarkStart w:id="194" w:name="_Toc97000043"/>
      <w:bookmarkStart w:id="195" w:name="_Toc96999559"/>
    </w:p>
    <w:p>
      <w:pPr>
        <w:pStyle w:val="496"/>
        <w:keepNext w:val="0"/>
        <w:pageBreakBefore w:val="0"/>
        <w:tabs>
          <w:tab w:val="clear" w:pos="720"/>
        </w:tabs>
        <w:snapToGrid w:val="0"/>
        <w:spacing w:before="120" w:after="120"/>
        <w:ind w:firstLine="643"/>
        <w:outlineLvl w:val="2"/>
        <w:rPr>
          <w:rFonts w:hint="eastAsia" w:ascii="仿宋" w:hAnsi="仿宋" w:eastAsia="仿宋" w:cs="仿宋_GB2312"/>
          <w:kern w:val="2"/>
          <w:sz w:val="32"/>
          <w:szCs w:val="32"/>
          <w:lang w:eastAsia="zh-CN"/>
        </w:rPr>
      </w:pPr>
      <w:r>
        <w:rPr>
          <w:rFonts w:hint="eastAsia" w:ascii="仿宋" w:hAnsi="仿宋" w:eastAsia="仿宋" w:cs="仿宋_GB2312"/>
          <w:kern w:val="2"/>
          <w:sz w:val="32"/>
          <w:szCs w:val="32"/>
          <w:lang w:val="en-US" w:eastAsia="zh-CN"/>
        </w:rPr>
        <w:t>第八部分  最后报价格式</w:t>
      </w:r>
    </w:p>
    <w:p>
      <w:pPr>
        <w:snapToGrid w:val="0"/>
        <w:jc w:val="center"/>
        <w:rPr>
          <w:rFonts w:hint="default" w:ascii="仿宋" w:hAnsi="仿宋" w:eastAsia="仿宋" w:cs="仿宋_GB2312"/>
          <w:b/>
          <w:sz w:val="28"/>
          <w:szCs w:val="28"/>
          <w:lang w:val="en-US" w:eastAsia="zh-CN"/>
        </w:rPr>
      </w:pPr>
      <w:r>
        <w:rPr>
          <w:rFonts w:hint="eastAsia" w:ascii="仿宋" w:hAnsi="仿宋" w:eastAsia="仿宋" w:cs="仿宋_GB2312"/>
          <w:b/>
          <w:sz w:val="28"/>
          <w:szCs w:val="28"/>
          <w:lang w:eastAsia="zh-CN"/>
        </w:rPr>
        <w:t>（</w:t>
      </w:r>
      <w:r>
        <w:rPr>
          <w:rFonts w:hint="eastAsia" w:ascii="仿宋" w:hAnsi="仿宋" w:eastAsia="仿宋" w:cs="仿宋_GB2312"/>
          <w:b/>
          <w:sz w:val="28"/>
          <w:szCs w:val="28"/>
          <w:lang w:val="en-US" w:eastAsia="zh-CN"/>
        </w:rPr>
        <w:t>一</w:t>
      </w:r>
      <w:r>
        <w:rPr>
          <w:rFonts w:hint="eastAsia" w:ascii="仿宋" w:hAnsi="仿宋" w:eastAsia="仿宋" w:cs="仿宋_GB2312"/>
          <w:b/>
          <w:sz w:val="28"/>
          <w:szCs w:val="28"/>
          <w:lang w:eastAsia="zh-CN"/>
        </w:rPr>
        <w:t>）</w:t>
      </w:r>
      <w:r>
        <w:rPr>
          <w:rFonts w:hint="eastAsia" w:ascii="仿宋" w:hAnsi="仿宋" w:eastAsia="仿宋" w:cs="仿宋_GB2312"/>
          <w:b/>
          <w:sz w:val="28"/>
          <w:szCs w:val="28"/>
          <w:lang w:val="en-US" w:eastAsia="zh-CN"/>
        </w:rPr>
        <w:t>最后报价一览表</w:t>
      </w:r>
    </w:p>
    <w:bookmarkEnd w:id="193"/>
    <w:bookmarkEnd w:id="194"/>
    <w:bookmarkEnd w:id="195"/>
    <w:p>
      <w:pPr>
        <w:snapToGrid w:val="0"/>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杭州市临安区中医院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pPr>
        <w:snapToGrid w:val="0"/>
        <w:ind w:firstLine="482"/>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按你方采购文件要求，我们，本响应文件签字方，谨此向你方发出要约如下：如你方接受本投标，我方承诺按照如下</w:t>
      </w:r>
      <w:r>
        <w:rPr>
          <w:rFonts w:hint="eastAsia" w:ascii="仿宋" w:hAnsi="仿宋" w:eastAsia="仿宋" w:cs="仿宋_GB2312"/>
          <w:color w:val="auto"/>
          <w:kern w:val="0"/>
          <w:sz w:val="24"/>
          <w:highlight w:val="none"/>
          <w:lang w:val="zh-CN" w:eastAsia="zh-CN"/>
        </w:rPr>
        <w:t>最后报价</w:t>
      </w:r>
      <w:r>
        <w:rPr>
          <w:rFonts w:hint="eastAsia" w:ascii="仿宋" w:hAnsi="仿宋" w:eastAsia="仿宋" w:cs="仿宋_GB2312"/>
          <w:color w:val="auto"/>
          <w:kern w:val="0"/>
          <w:sz w:val="24"/>
          <w:highlight w:val="none"/>
          <w:lang w:val="zh-CN"/>
        </w:rPr>
        <w:t>一览表的价格完成</w:t>
      </w:r>
      <w:r>
        <w:rPr>
          <w:rFonts w:hint="eastAsia" w:ascii="仿宋" w:hAnsi="仿宋" w:eastAsia="仿宋" w:cs="仿宋_GB2312"/>
          <w:color w:val="auto"/>
          <w:sz w:val="24"/>
          <w:highlight w:val="none"/>
          <w:u w:val="single"/>
          <w:lang w:eastAsia="zh-CN"/>
        </w:rPr>
        <w:t>杭州市临安区中医院电子病历质控系统项目</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en-US" w:eastAsia="zh-CN"/>
        </w:rPr>
        <w:t>项目</w:t>
      </w:r>
      <w:r>
        <w:rPr>
          <w:rFonts w:hint="eastAsia" w:ascii="仿宋" w:hAnsi="仿宋" w:eastAsia="仿宋" w:cs="仿宋_GB2312"/>
          <w:color w:val="auto"/>
          <w:kern w:val="0"/>
          <w:sz w:val="24"/>
          <w:highlight w:val="none"/>
          <w:u w:val="single"/>
          <w:lang w:val="zh-CN"/>
        </w:rPr>
        <w:t>编号：</w:t>
      </w:r>
      <w:r>
        <w:rPr>
          <w:rFonts w:hint="eastAsia" w:ascii="仿宋" w:hAnsi="仿宋" w:eastAsia="仿宋"/>
          <w:color w:val="auto"/>
          <w:sz w:val="24"/>
          <w:highlight w:val="none"/>
          <w:u w:val="single"/>
          <w:lang w:eastAsia="zh-CN"/>
        </w:rPr>
        <w:t>临[2024]3427号</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tbl>
      <w:tblPr>
        <w:tblStyle w:val="7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73"/>
        <w:gridCol w:w="1720"/>
        <w:gridCol w:w="2630"/>
        <w:gridCol w:w="1247"/>
        <w:gridCol w:w="2330"/>
        <w:gridCol w:w="143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序号</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名称</w:t>
            </w:r>
          </w:p>
        </w:tc>
        <w:tc>
          <w:tcPr>
            <w:tcW w:w="172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服务范围</w:t>
            </w:r>
          </w:p>
        </w:tc>
        <w:tc>
          <w:tcPr>
            <w:tcW w:w="26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服务要求</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服务时间</w:t>
            </w:r>
          </w:p>
        </w:tc>
        <w:tc>
          <w:tcPr>
            <w:tcW w:w="23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服务标准</w:t>
            </w:r>
          </w:p>
        </w:tc>
        <w:tc>
          <w:tcPr>
            <w:tcW w:w="1431"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sz w:val="24"/>
              </w:rPr>
              <w:t>服务人数</w:t>
            </w:r>
          </w:p>
        </w:tc>
        <w:tc>
          <w:tcPr>
            <w:tcW w:w="17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备注（如果有）</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pPr>
              <w:jc w:val="center"/>
              <w:rPr>
                <w:rFonts w:hint="eastAsia" w:ascii="仿宋" w:hAnsi="仿宋" w:eastAsia="仿宋" w:cs="仿宋"/>
                <w:b/>
                <w:bCs/>
                <w:color w:val="auto"/>
                <w:sz w:val="24"/>
                <w:highlight w:val="none"/>
                <w:lang w:eastAsia="zh-CN"/>
              </w:rPr>
            </w:pPr>
            <w:r>
              <w:rPr>
                <w:rFonts w:hint="eastAsia" w:ascii="仿宋" w:hAnsi="仿宋" w:eastAsia="仿宋" w:cs="仿宋"/>
                <w:b/>
                <w:bCs/>
                <w:sz w:val="24"/>
              </w:rPr>
              <w:t>1</w:t>
            </w:r>
          </w:p>
        </w:tc>
        <w:tc>
          <w:tcPr>
            <w:tcW w:w="2973" w:type="dxa"/>
            <w:noWrap w:val="0"/>
            <w:vAlign w:val="center"/>
          </w:tcPr>
          <w:p>
            <w:pPr>
              <w:snapToGrid w:val="0"/>
              <w:jc w:val="center"/>
              <w:rPr>
                <w:rFonts w:hint="eastAsia" w:ascii="仿宋" w:hAnsi="仿宋" w:eastAsia="仿宋" w:cs="Times New Roman"/>
                <w:b w:val="0"/>
                <w:bCs/>
                <w:color w:val="auto"/>
                <w:sz w:val="24"/>
                <w:highlight w:val="none"/>
                <w:lang w:val="en-US" w:eastAsia="zh-CN"/>
              </w:rPr>
            </w:pPr>
            <w:r>
              <w:rPr>
                <w:rFonts w:hint="eastAsia" w:ascii="仿宋" w:hAnsi="仿宋" w:eastAsia="仿宋" w:cs="仿宋_GB2312"/>
                <w:color w:val="auto"/>
                <w:sz w:val="24"/>
                <w:highlight w:val="none"/>
                <w:u w:val="single"/>
                <w:lang w:eastAsia="zh-CN"/>
              </w:rPr>
              <w:t>杭州市临安区中医院电子病历质控系统项目</w:t>
            </w:r>
          </w:p>
        </w:tc>
        <w:tc>
          <w:tcPr>
            <w:tcW w:w="1720" w:type="dxa"/>
            <w:noWrap w:val="0"/>
            <w:vAlign w:val="center"/>
          </w:tcPr>
          <w:p>
            <w:pPr>
              <w:snapToGrid w:val="0"/>
              <w:jc w:val="center"/>
              <w:rPr>
                <w:rFonts w:hint="eastAsia" w:ascii="仿宋" w:hAnsi="仿宋" w:eastAsia="仿宋" w:cs="Times New Roman"/>
                <w:b w:val="0"/>
                <w:bCs/>
                <w:color w:val="auto"/>
                <w:sz w:val="24"/>
                <w:highlight w:val="none"/>
                <w:lang w:val="en-US" w:eastAsia="zh-CN"/>
              </w:rPr>
            </w:pPr>
          </w:p>
        </w:tc>
        <w:tc>
          <w:tcPr>
            <w:tcW w:w="2630" w:type="dxa"/>
            <w:noWrap w:val="0"/>
            <w:vAlign w:val="center"/>
          </w:tcPr>
          <w:p>
            <w:pPr>
              <w:snapToGrid w:val="0"/>
              <w:jc w:val="center"/>
              <w:rPr>
                <w:rFonts w:hint="eastAsia" w:ascii="仿宋" w:hAnsi="仿宋" w:eastAsia="仿宋" w:cs="Times New Roman"/>
                <w:b/>
                <w:color w:val="auto"/>
                <w:sz w:val="24"/>
                <w:highlight w:val="none"/>
                <w:lang w:val="en-US" w:eastAsia="zh-CN"/>
              </w:rPr>
            </w:pPr>
          </w:p>
        </w:tc>
        <w:tc>
          <w:tcPr>
            <w:tcW w:w="1247" w:type="dxa"/>
            <w:noWrap w:val="0"/>
            <w:vAlign w:val="center"/>
          </w:tcPr>
          <w:p>
            <w:pPr>
              <w:snapToGrid w:val="0"/>
              <w:jc w:val="center"/>
              <w:rPr>
                <w:rFonts w:hint="eastAsia" w:ascii="仿宋" w:hAnsi="仿宋" w:eastAsia="仿宋" w:cs="Times New Roman"/>
                <w:b/>
                <w:color w:val="auto"/>
                <w:sz w:val="24"/>
                <w:highlight w:val="none"/>
                <w:lang w:val="en-US" w:eastAsia="zh-CN"/>
              </w:rPr>
            </w:pPr>
          </w:p>
        </w:tc>
        <w:tc>
          <w:tcPr>
            <w:tcW w:w="2330" w:type="dxa"/>
            <w:noWrap w:val="0"/>
            <w:vAlign w:val="center"/>
          </w:tcPr>
          <w:p>
            <w:pPr>
              <w:snapToGrid w:val="0"/>
              <w:jc w:val="center"/>
              <w:rPr>
                <w:rFonts w:hint="eastAsia" w:ascii="仿宋" w:hAnsi="仿宋" w:eastAsia="仿宋" w:cs="Times New Roman"/>
                <w:b/>
                <w:color w:val="auto"/>
                <w:sz w:val="24"/>
                <w:highlight w:val="none"/>
                <w:lang w:val="en-US" w:eastAsia="zh-CN"/>
              </w:rPr>
            </w:pPr>
          </w:p>
        </w:tc>
        <w:tc>
          <w:tcPr>
            <w:tcW w:w="1431" w:type="dxa"/>
            <w:noWrap w:val="0"/>
            <w:vAlign w:val="top"/>
          </w:tcPr>
          <w:p>
            <w:pPr>
              <w:snapToGrid w:val="0"/>
              <w:jc w:val="center"/>
              <w:rPr>
                <w:rFonts w:hint="eastAsia" w:ascii="仿宋" w:hAnsi="仿宋" w:eastAsia="仿宋" w:cs="Times New Roman"/>
                <w:b/>
                <w:color w:val="auto"/>
                <w:sz w:val="24"/>
                <w:highlight w:val="none"/>
                <w:lang w:val="en-US" w:eastAsia="zh-CN"/>
              </w:rPr>
            </w:pPr>
          </w:p>
        </w:tc>
        <w:tc>
          <w:tcPr>
            <w:tcW w:w="1702" w:type="dxa"/>
            <w:noWrap w:val="0"/>
            <w:vAlign w:val="center"/>
          </w:tcPr>
          <w:p>
            <w:pPr>
              <w:snapToGrid w:val="0"/>
              <w:jc w:val="center"/>
              <w:rPr>
                <w:rFonts w:hint="eastAsia" w:ascii="仿宋" w:hAnsi="仿宋" w:eastAsia="仿宋" w:cs="Times New Roman"/>
                <w:b/>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7" w:type="dxa"/>
            <w:gridSpan w:val="3"/>
            <w:noWrap w:val="0"/>
            <w:vAlign w:val="center"/>
          </w:tcPr>
          <w:p>
            <w:pPr>
              <w:snapToGrid w:val="0"/>
              <w:jc w:val="center"/>
              <w:rPr>
                <w:rFonts w:hint="eastAsia"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投标报价（小写）</w:t>
            </w:r>
          </w:p>
        </w:tc>
        <w:tc>
          <w:tcPr>
            <w:tcW w:w="9340" w:type="dxa"/>
            <w:gridSpan w:val="5"/>
            <w:noWrap w:val="0"/>
            <w:vAlign w:val="center"/>
          </w:tcPr>
          <w:p>
            <w:pPr>
              <w:snapToGrid w:val="0"/>
              <w:jc w:val="both"/>
              <w:rPr>
                <w:rFonts w:hint="default" w:ascii="仿宋" w:hAnsi="仿宋" w:eastAsia="仿宋" w:cs="Times New Roman"/>
                <w:b/>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7" w:type="dxa"/>
            <w:gridSpan w:val="3"/>
            <w:noWrap w:val="0"/>
            <w:vAlign w:val="center"/>
          </w:tcPr>
          <w:p>
            <w:pPr>
              <w:snapToGrid w:val="0"/>
              <w:jc w:val="center"/>
              <w:rPr>
                <w:rFonts w:ascii="Times New Roman" w:hAnsi="Times New Roman" w:eastAsia="宋体" w:cs="Times New Roman"/>
              </w:rPr>
            </w:pPr>
            <w:r>
              <w:rPr>
                <w:rFonts w:hint="eastAsia" w:ascii="仿宋" w:hAnsi="仿宋" w:eastAsia="仿宋" w:cs="Times New Roman"/>
                <w:b/>
                <w:color w:val="auto"/>
                <w:sz w:val="24"/>
                <w:highlight w:val="none"/>
                <w:lang w:val="en-US" w:eastAsia="zh-CN"/>
              </w:rPr>
              <w:t>投标报价（大写）</w:t>
            </w:r>
          </w:p>
        </w:tc>
        <w:tc>
          <w:tcPr>
            <w:tcW w:w="934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09" w:leftChars="0" w:hanging="209" w:hangingChars="100"/>
              <w:jc w:val="both"/>
              <w:textAlignment w:val="auto"/>
              <w:rPr>
                <w:rFonts w:hint="default" w:ascii="仿宋" w:hAnsi="仿宋" w:eastAsia="仿宋" w:cs="仿宋"/>
                <w:b/>
                <w:bCs/>
                <w:color w:val="auto"/>
                <w:spacing w:val="-4"/>
                <w:w w:val="90"/>
                <w:sz w:val="24"/>
                <w:highlight w:val="none"/>
                <w:u w:val="single"/>
                <w:lang w:val="en-US" w:eastAsia="zh-CN"/>
              </w:rPr>
            </w:pPr>
          </w:p>
        </w:tc>
      </w:tr>
    </w:tbl>
    <w:p>
      <w:pPr>
        <w:autoSpaceDE w:val="0"/>
        <w:autoSpaceDN w:val="0"/>
        <w:spacing w:line="240" w:lineRule="auto"/>
        <w:ind w:left="6092" w:leftChars="2901" w:right="1120" w:firstLine="4560" w:firstLineChars="19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供应商名称（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autoSpaceDE w:val="0"/>
        <w:autoSpaceDN w:val="0"/>
        <w:spacing w:line="240" w:lineRule="auto"/>
        <w:ind w:left="6092" w:leftChars="2901" w:right="1120" w:firstLine="4560" w:firstLineChars="1900"/>
        <w:jc w:val="left"/>
        <w:rPr>
          <w:rFonts w:hint="default" w:ascii="仿宋" w:hAnsi="仿宋" w:eastAsia="仿宋" w:cs="仿宋_GB2312"/>
          <w:b w:val="0"/>
          <w:bCs/>
          <w:color w:val="auto"/>
          <w:kern w:val="0"/>
          <w:sz w:val="24"/>
          <w:highlight w:val="none"/>
          <w:lang w:val="en-US" w:eastAsia="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年</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月</w:t>
      </w:r>
      <w:r>
        <w:rPr>
          <w:rFonts w:hint="eastAsia" w:ascii="仿宋" w:hAnsi="仿宋" w:eastAsia="仿宋" w:cs="仿宋_GB2312"/>
          <w:kern w:val="0"/>
          <w:sz w:val="24"/>
          <w:lang w:val="zh-CN"/>
        </w:rPr>
        <w:t xml:space="preserve">  </w:t>
      </w:r>
      <w:r>
        <w:rPr>
          <w:rFonts w:ascii="仿宋" w:hAnsi="仿宋" w:eastAsia="仿宋" w:cs="仿宋_GB2312"/>
          <w:kern w:val="0"/>
          <w:sz w:val="24"/>
          <w:lang w:val="zh-CN"/>
        </w:rPr>
        <w:t>日</w:t>
      </w:r>
      <w:r>
        <w:rPr>
          <w:rFonts w:hint="eastAsia" w:ascii="仿宋" w:hAnsi="仿宋" w:eastAsia="仿宋" w:cs="仿宋_GB2312"/>
          <w:b w:val="0"/>
          <w:bCs/>
          <w:color w:val="auto"/>
          <w:kern w:val="0"/>
          <w:sz w:val="24"/>
          <w:highlight w:val="none"/>
          <w:lang w:val="en-US" w:eastAsia="zh-CN"/>
        </w:rPr>
        <w:t xml:space="preserve"> </w:t>
      </w:r>
    </w:p>
    <w:p>
      <w:pPr>
        <w:snapToGrid w:val="0"/>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pacing w:line="240" w:lineRule="auto"/>
        <w:ind w:left="-2" w:leftChars="-1" w:firstLine="420" w:firstLineChars="200"/>
        <w:rPr>
          <w:rFonts w:ascii="仿宋" w:hAnsi="仿宋" w:eastAsia="仿宋" w:cs="仿宋_GB2312"/>
          <w:color w:val="auto"/>
          <w:kern w:val="0"/>
          <w:sz w:val="21"/>
          <w:szCs w:val="21"/>
          <w:highlight w:val="none"/>
          <w:lang w:val="zh-CN"/>
        </w:rPr>
      </w:pPr>
      <w:r>
        <w:rPr>
          <w:rFonts w:ascii="仿宋" w:hAnsi="仿宋" w:eastAsia="仿宋" w:cs="仿宋_GB2312"/>
          <w:color w:val="auto"/>
          <w:kern w:val="0"/>
          <w:sz w:val="21"/>
          <w:szCs w:val="21"/>
          <w:highlight w:val="none"/>
          <w:lang w:val="zh-CN"/>
        </w:rPr>
        <w:t>1</w:t>
      </w:r>
      <w:r>
        <w:rPr>
          <w:rFonts w:hint="eastAsia" w:ascii="仿宋" w:hAnsi="仿宋" w:eastAsia="仿宋" w:cs="仿宋_GB2312"/>
          <w:color w:val="auto"/>
          <w:kern w:val="0"/>
          <w:sz w:val="21"/>
          <w:szCs w:val="21"/>
          <w:highlight w:val="none"/>
          <w:lang w:val="en-US" w:eastAsia="zh-CN"/>
        </w:rPr>
        <w:t>.</w:t>
      </w:r>
      <w:r>
        <w:rPr>
          <w:rFonts w:ascii="仿宋" w:hAnsi="仿宋" w:eastAsia="仿宋" w:cs="仿宋_GB2312"/>
          <w:color w:val="auto"/>
          <w:kern w:val="0"/>
          <w:sz w:val="21"/>
          <w:szCs w:val="21"/>
          <w:highlight w:val="none"/>
          <w:lang w:val="zh-CN"/>
        </w:rPr>
        <w:t>供应商需按本表格式填写，</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ascii="仿宋" w:hAnsi="仿宋" w:eastAsia="仿宋" w:cs="仿宋_GB2312"/>
          <w:color w:val="auto"/>
          <w:kern w:val="0"/>
          <w:sz w:val="21"/>
          <w:szCs w:val="21"/>
          <w:highlight w:val="none"/>
          <w:lang w:val="zh-CN"/>
        </w:rPr>
        <w:t>。</w:t>
      </w:r>
    </w:p>
    <w:p>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有关本项目实施所涉及的一切费用均</w:t>
      </w:r>
      <w:r>
        <w:rPr>
          <w:rFonts w:hint="eastAsia" w:ascii="仿宋" w:hAnsi="仿宋" w:eastAsia="仿宋" w:cs="仿宋"/>
          <w:color w:val="auto"/>
          <w:kern w:val="0"/>
          <w:sz w:val="21"/>
          <w:szCs w:val="21"/>
          <w:highlight w:val="none"/>
          <w:lang w:val="en-US" w:eastAsia="zh-CN"/>
        </w:rPr>
        <w:t>应</w:t>
      </w:r>
      <w:r>
        <w:rPr>
          <w:rFonts w:hint="eastAsia" w:ascii="仿宋" w:hAnsi="仿宋" w:eastAsia="仿宋" w:cs="仿宋"/>
          <w:color w:val="auto"/>
          <w:kern w:val="0"/>
          <w:sz w:val="21"/>
          <w:szCs w:val="21"/>
          <w:highlight w:val="none"/>
          <w:lang w:val="zh-CN"/>
        </w:rPr>
        <w:t>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最后报价</w:t>
      </w:r>
      <w:r>
        <w:rPr>
          <w:rFonts w:hint="eastAsia" w:ascii="仿宋" w:hAnsi="仿宋" w:eastAsia="仿宋" w:cs="仿宋"/>
          <w:color w:val="auto"/>
          <w:kern w:val="0"/>
          <w:sz w:val="21"/>
          <w:szCs w:val="21"/>
          <w:highlight w:val="none"/>
          <w:lang w:val="en-US" w:eastAsia="zh-CN"/>
        </w:rPr>
        <w:t>一览</w:t>
      </w:r>
      <w:r>
        <w:rPr>
          <w:rFonts w:hint="eastAsia" w:ascii="仿宋" w:hAnsi="仿宋" w:eastAsia="仿宋" w:cs="仿宋"/>
          <w:color w:val="auto"/>
          <w:kern w:val="0"/>
          <w:sz w:val="21"/>
          <w:szCs w:val="21"/>
          <w:highlight w:val="none"/>
          <w:lang w:val="zh-CN"/>
        </w:rPr>
        <w:t>表》名称栏中，</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val="zh-CN"/>
        </w:rPr>
        <w:t>不能作出合理解释的，视为</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val="zh-CN"/>
        </w:rPr>
        <w:t>文件含有采购人不能接受的附加条件的，</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val="zh-CN"/>
        </w:rPr>
        <w:t>无效。</w:t>
      </w:r>
    </w:p>
    <w:p>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240" w:lineRule="auto"/>
        <w:ind w:firstLine="420" w:firstLineChars="200"/>
        <w:jc w:val="left"/>
        <w:rPr>
          <w:rFonts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符合</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lang w:val="zh-CN"/>
        </w:rPr>
        <w:t>文件中列明的可享受中小企业扶持政策的投标人，请填写中小企业声明函。注：</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val="zh-CN"/>
        </w:rPr>
        <w:t>提供的中小企业声明函内容不实的，属于提供虚假材料谋取中标、成交，依照《中华人民共和国政府采购法》等国家有关规定追究相应责任。</w:t>
      </w:r>
    </w:p>
    <w:p>
      <w:pPr>
        <w:pStyle w:val="496"/>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napToGrid w:val="0"/>
        <w:spacing w:line="360" w:lineRule="auto"/>
        <w:jc w:val="center"/>
        <w:rPr>
          <w:rFonts w:hint="eastAsia" w:ascii="仿宋" w:hAnsi="仿宋" w:eastAsia="仿宋" w:cs="仿宋_GB2312"/>
          <w:b/>
          <w:sz w:val="28"/>
          <w:szCs w:val="28"/>
          <w:lang w:val="en-US" w:eastAsia="zh-CN"/>
        </w:rPr>
      </w:pPr>
      <w:bookmarkStart w:id="196" w:name="_Toc96999560"/>
      <w:bookmarkStart w:id="197" w:name="_Toc96999274"/>
      <w:bookmarkStart w:id="198" w:name="_Toc97000044"/>
    </w:p>
    <w:p>
      <w:pPr>
        <w:snapToGrid w:val="0"/>
        <w:spacing w:line="360" w:lineRule="auto"/>
        <w:jc w:val="center"/>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（二）报价情况说明（如果有）</w:t>
      </w:r>
    </w:p>
    <w:p>
      <w:pPr>
        <w:pStyle w:val="4"/>
        <w:keepNext w:val="0"/>
        <w:pageBreakBefore w:val="0"/>
        <w:numPr>
          <w:ilvl w:val="0"/>
          <w:numId w:val="0"/>
        </w:numPr>
        <w:snapToGrid w:val="0"/>
        <w:spacing w:before="120" w:after="120" w:line="240" w:lineRule="auto"/>
        <w:ind w:firstLine="241" w:firstLineChars="100"/>
        <w:outlineLvl w:val="9"/>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rPr>
        <w:t>如供应商报价低于项目预算50%的，应当提交本文档，详细阐述不影响</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lang w:val="en-US"/>
        </w:rPr>
        <w:t>质量或者诚信履约的具体原因</w:t>
      </w:r>
      <w:r>
        <w:rPr>
          <w:rFonts w:hint="eastAsia" w:ascii="仿宋" w:hAnsi="仿宋" w:eastAsia="仿宋" w:cs="仿宋"/>
          <w:b/>
          <w:bCs/>
          <w:color w:val="auto"/>
          <w:sz w:val="24"/>
          <w:szCs w:val="24"/>
          <w:highlight w:val="none"/>
          <w:lang w:val="en-US" w:eastAsia="zh-CN"/>
        </w:rPr>
        <w:t>。]</w:t>
      </w:r>
    </w:p>
    <w:p>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pPr>
        <w:snapToGrid w:val="0"/>
        <w:spacing w:line="360" w:lineRule="auto"/>
        <w:jc w:val="center"/>
        <w:rPr>
          <w:rFonts w:hint="eastAsia" w:ascii="仿宋" w:hAnsi="仿宋" w:eastAsia="仿宋" w:cs="仿宋_GB2312"/>
          <w:b/>
          <w:sz w:val="28"/>
          <w:szCs w:val="28"/>
          <w:lang w:val="en-US" w:eastAsia="zh-CN"/>
        </w:rPr>
      </w:pPr>
      <w:r>
        <w:rPr>
          <w:rFonts w:hint="eastAsia" w:ascii="仿宋" w:hAnsi="仿宋" w:eastAsia="仿宋" w:cs="仿宋_GB2312"/>
          <w:b/>
          <w:sz w:val="28"/>
          <w:szCs w:val="28"/>
          <w:lang w:val="en-US" w:eastAsia="zh-CN"/>
        </w:rPr>
        <w:t>（三）中小企业声明函（如果有）</w:t>
      </w:r>
    </w:p>
    <w:p>
      <w:pPr>
        <w:widowControl/>
        <w:spacing w:line="24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w:t>
      </w:r>
      <w:r>
        <w:rPr>
          <w:rFonts w:hint="eastAsia" w:ascii="仿宋" w:hAnsi="仿宋" w:eastAsia="仿宋" w:cs="仿宋_GB2312"/>
          <w:b/>
          <w:color w:val="auto"/>
          <w:sz w:val="24"/>
          <w:highlight w:val="none"/>
          <w:lang w:val="en-US" w:eastAsia="zh-CN"/>
        </w:rPr>
        <w:t>采购</w:t>
      </w:r>
      <w:r>
        <w:rPr>
          <w:rFonts w:hint="eastAsia" w:ascii="仿宋" w:hAnsi="仿宋" w:eastAsia="仿宋" w:cs="仿宋_GB2312"/>
          <w:b/>
          <w:color w:val="auto"/>
          <w:sz w:val="24"/>
          <w:highlight w:val="none"/>
        </w:rPr>
        <w:t>公告落实政府采购政策需满足的资格要求为“无”</w:t>
      </w:r>
      <w:r>
        <w:rPr>
          <w:rFonts w:hint="eastAsia" w:ascii="仿宋" w:hAnsi="仿宋" w:eastAsia="仿宋" w:cs="仿宋_GB2312"/>
          <w:b/>
          <w:color w:val="auto"/>
          <w:sz w:val="24"/>
          <w:highlight w:val="none"/>
          <w:lang w:eastAsia="zh-CN"/>
        </w:rPr>
        <w:t>，</w:t>
      </w:r>
      <w:r>
        <w:rPr>
          <w:rFonts w:hint="eastAsia" w:ascii="仿宋" w:hAnsi="仿宋" w:eastAsia="仿宋" w:cs="仿宋_GB2312"/>
          <w:b/>
          <w:color w:val="auto"/>
          <w:sz w:val="24"/>
          <w:highlight w:val="none"/>
        </w:rPr>
        <w:t>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pPr>
        <w:pStyle w:val="496"/>
        <w:keepNext w:val="0"/>
        <w:pageBreakBefore w:val="0"/>
        <w:tabs>
          <w:tab w:val="clear" w:pos="720"/>
        </w:tabs>
        <w:snapToGrid w:val="0"/>
        <w:spacing w:before="120" w:after="120"/>
        <w:ind w:firstLine="643"/>
        <w:outlineLvl w:val="9"/>
        <w:rPr>
          <w:rFonts w:ascii="仿宋" w:hAnsi="仿宋" w:eastAsia="仿宋"/>
          <w:b w:val="0"/>
          <w:sz w:val="32"/>
          <w:szCs w:val="32"/>
        </w:rPr>
      </w:pPr>
    </w:p>
    <w:p>
      <w:pPr>
        <w:spacing w:line="360" w:lineRule="auto"/>
        <w:ind w:right="420" w:firstLine="3614" w:firstLineChars="1000"/>
        <w:rPr>
          <w:rFonts w:ascii="仿宋" w:hAnsi="仿宋" w:eastAsia="仿宋" w:cs="仿宋_GB2312"/>
          <w:b/>
          <w:kern w:val="0"/>
          <w:sz w:val="36"/>
          <w:szCs w:val="36"/>
        </w:rPr>
      </w:pPr>
    </w:p>
    <w:p>
      <w:pPr>
        <w:widowControl/>
        <w:spacing w:before="360" w:after="120" w:line="360" w:lineRule="auto"/>
        <w:jc w:val="left"/>
        <w:rPr>
          <w:rFonts w:hint="eastAsia" w:ascii="仿宋" w:hAnsi="仿宋" w:eastAsia="仿宋" w:cs="Times New Roman"/>
          <w:b w:val="0"/>
          <w:bCs/>
          <w:color w:val="auto"/>
          <w:spacing w:val="6"/>
          <w:sz w:val="32"/>
          <w:szCs w:val="32"/>
          <w:highlight w:val="none"/>
        </w:rPr>
      </w:pPr>
      <w:r>
        <w:rPr>
          <w:rFonts w:ascii="仿宋" w:hAnsi="仿宋" w:eastAsia="仿宋" w:cs="仿宋_GB2312"/>
          <w:b/>
          <w:sz w:val="32"/>
          <w:szCs w:val="32"/>
        </w:rPr>
        <w:br w:type="page"/>
      </w:r>
      <w:bookmarkEnd w:id="196"/>
      <w:bookmarkEnd w:id="197"/>
      <w:bookmarkEnd w:id="198"/>
      <w:bookmarkStart w:id="199" w:name="_Toc96999673"/>
      <w:r>
        <w:rPr>
          <w:rFonts w:hint="eastAsia" w:ascii="仿宋" w:hAnsi="仿宋" w:eastAsia="仿宋" w:cs="Times New Roman"/>
          <w:b w:val="0"/>
          <w:bCs/>
          <w:color w:val="auto"/>
          <w:spacing w:val="6"/>
          <w:sz w:val="32"/>
          <w:szCs w:val="32"/>
          <w:highlight w:val="none"/>
        </w:rPr>
        <w:t>附件</w:t>
      </w:r>
      <w:r>
        <w:rPr>
          <w:rFonts w:hint="eastAsia" w:ascii="仿宋" w:hAnsi="仿宋" w:eastAsia="仿宋" w:cs="Times New Roman"/>
          <w:b w:val="0"/>
          <w:bCs/>
          <w:color w:val="auto"/>
          <w:spacing w:val="6"/>
          <w:sz w:val="32"/>
          <w:szCs w:val="32"/>
          <w:highlight w:val="none"/>
          <w:lang w:val="en-US" w:eastAsia="zh-CN"/>
        </w:rPr>
        <w:t>1</w:t>
      </w:r>
      <w:r>
        <w:rPr>
          <w:rFonts w:hint="eastAsia" w:ascii="仿宋" w:hAnsi="仿宋" w:eastAsia="仿宋" w:cs="Times New Roman"/>
          <w:b w:val="0"/>
          <w:bCs/>
          <w:color w:val="auto"/>
          <w:spacing w:val="6"/>
          <w:sz w:val="32"/>
          <w:szCs w:val="32"/>
          <w:highlight w:val="none"/>
        </w:rPr>
        <w:t>：质疑函范本及制作说明</w:t>
      </w:r>
      <w:bookmarkEnd w:id="199"/>
    </w:p>
    <w:p>
      <w:pPr>
        <w:spacing w:line="360" w:lineRule="auto"/>
        <w:jc w:val="center"/>
        <w:rPr>
          <w:rFonts w:hint="eastAsia"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240" w:beforeLines="10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b/>
          <w:color w:val="auto"/>
          <w:spacing w:val="6"/>
          <w:sz w:val="32"/>
          <w:szCs w:val="32"/>
          <w:highlight w:val="none"/>
        </w:rPr>
      </w:pPr>
    </w:p>
    <w:p>
      <w:pPr>
        <w:pStyle w:val="4"/>
        <w:ind w:firstLine="0" w:firstLineChars="0"/>
        <w:rPr>
          <w:rFonts w:ascii="仿宋" w:hAnsi="仿宋" w:eastAsia="仿宋"/>
          <w:b w:val="0"/>
          <w:color w:val="auto"/>
          <w:spacing w:val="6"/>
          <w:sz w:val="32"/>
          <w:szCs w:val="32"/>
          <w:highlight w:val="none"/>
        </w:rPr>
      </w:pPr>
      <w:bookmarkStart w:id="200" w:name="_Toc96999674"/>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hint="eastAsia" w:ascii="仿宋" w:hAnsi="仿宋" w:eastAsia="仿宋"/>
          <w:b w:val="0"/>
          <w:color w:val="auto"/>
          <w:spacing w:val="6"/>
          <w:sz w:val="32"/>
          <w:szCs w:val="32"/>
          <w:highlight w:val="none"/>
          <w:lang w:val="en-US" w:eastAsia="zh-CN"/>
        </w:rPr>
        <w:t>2</w:t>
      </w:r>
      <w:r>
        <w:rPr>
          <w:rFonts w:ascii="仿宋" w:hAnsi="仿宋" w:eastAsia="仿宋"/>
          <w:b w:val="0"/>
          <w:color w:val="auto"/>
          <w:spacing w:val="6"/>
          <w:sz w:val="32"/>
          <w:szCs w:val="32"/>
          <w:highlight w:val="none"/>
        </w:rPr>
        <w:t>：投诉书范本及制作说明</w:t>
      </w:r>
      <w:bookmarkEnd w:id="200"/>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三、质疑基本情况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投诉人于  年  月  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  年  月  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pPr>
        <w:spacing w:line="360" w:lineRule="auto"/>
        <w:rPr>
          <w:rFonts w:ascii="仿宋" w:hAnsi="仿宋" w:eastAsia="仿宋"/>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pStyle w:val="4"/>
        <w:ind w:firstLine="0" w:firstLineChars="0"/>
        <w:rPr>
          <w:rFonts w:ascii="仿宋" w:hAnsi="仿宋" w:eastAsia="仿宋"/>
          <w:b w:val="0"/>
          <w:color w:val="auto"/>
          <w:spacing w:val="6"/>
          <w:sz w:val="32"/>
          <w:szCs w:val="32"/>
          <w:highlight w:val="none"/>
        </w:rPr>
      </w:pPr>
      <w:bookmarkStart w:id="201" w:name="_Toc96999675"/>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附件3</w:t>
      </w:r>
      <w:r>
        <w:rPr>
          <w:rFonts w:ascii="仿宋" w:hAnsi="仿宋" w:eastAsia="仿宋"/>
          <w:b w:val="0"/>
          <w:color w:val="auto"/>
          <w:spacing w:val="6"/>
          <w:sz w:val="32"/>
          <w:szCs w:val="32"/>
          <w:highlight w:val="none"/>
        </w:rPr>
        <w:t>：</w:t>
      </w:r>
    </w:p>
    <w:p>
      <w:pPr>
        <w:spacing w:line="360" w:lineRule="auto"/>
        <w:jc w:val="center"/>
        <w:rPr>
          <w:rFonts w:ascii="仿宋" w:hAnsi="仿宋" w:eastAsia="仿宋"/>
          <w:b/>
          <w:color w:val="auto"/>
          <w:spacing w:val="6"/>
          <w:sz w:val="32"/>
          <w:szCs w:val="32"/>
          <w:highlight w:val="none"/>
        </w:rPr>
      </w:pPr>
      <w:bookmarkStart w:id="202" w:name="OLE_LINK14"/>
      <w:bookmarkStart w:id="203" w:name="OLE_LINK13"/>
      <w:r>
        <w:rPr>
          <w:rFonts w:hint="eastAsia" w:ascii="仿宋" w:hAnsi="仿宋" w:eastAsia="仿宋"/>
          <w:b/>
          <w:color w:val="auto"/>
          <w:spacing w:val="6"/>
          <w:sz w:val="32"/>
          <w:szCs w:val="32"/>
          <w:highlight w:val="none"/>
        </w:rPr>
        <w:t>残疾人福利性单位声明函</w:t>
      </w:r>
    </w:p>
    <w:bookmarkEnd w:id="202"/>
    <w:bookmarkEnd w:id="203"/>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单位的</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sz w:val="24"/>
          <w:highlight w:val="none"/>
        </w:rPr>
      </w:pPr>
    </w:p>
    <w:p>
      <w:pPr>
        <w:pStyle w:val="4"/>
        <w:ind w:firstLine="0" w:firstLineChars="0"/>
        <w:rPr>
          <w:rFonts w:ascii="仿宋" w:hAnsi="仿宋" w:eastAsia="仿宋"/>
          <w:b w:val="0"/>
          <w:bCs/>
          <w:color w:val="auto"/>
          <w:sz w:val="32"/>
          <w:szCs w:val="32"/>
          <w:highlight w:val="none"/>
        </w:rPr>
      </w:pPr>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4：</w:t>
      </w:r>
      <w:r>
        <w:rPr>
          <w:rFonts w:hint="eastAsia" w:ascii="仿宋" w:hAnsi="仿宋" w:eastAsia="仿宋"/>
          <w:b w:val="0"/>
          <w:bCs/>
          <w:color w:val="auto"/>
          <w:sz w:val="32"/>
          <w:szCs w:val="32"/>
          <w:highlight w:val="none"/>
        </w:rPr>
        <w:t>业务专用章使用说明函</w:t>
      </w:r>
      <w:bookmarkEnd w:id="201"/>
    </w:p>
    <w:p>
      <w:pPr>
        <w:spacing w:line="360" w:lineRule="auto"/>
        <w:rPr>
          <w:rFonts w:ascii="仿宋" w:hAnsi="仿宋" w:eastAsia="仿宋" w:cs="仿宋_GB2312"/>
          <w:b/>
          <w:color w:val="auto"/>
          <w:sz w:val="24"/>
          <w:highlight w:val="none"/>
          <w:u w:val="single"/>
        </w:rPr>
      </w:pPr>
    </w:p>
    <w:p>
      <w:pPr>
        <w:spacing w:line="360" w:lineRule="auto"/>
        <w:rPr>
          <w:rFonts w:ascii="仿宋" w:hAnsi="仿宋" w:eastAsia="仿宋"/>
          <w:b/>
          <w:color w:val="auto"/>
          <w:sz w:val="24"/>
          <w:highlight w:val="none"/>
        </w:rPr>
      </w:pPr>
      <w:r>
        <w:rPr>
          <w:rFonts w:hint="eastAsia" w:ascii="仿宋" w:hAnsi="仿宋" w:eastAsia="仿宋" w:cs="仿宋_GB2312"/>
          <w:b/>
          <w:color w:val="auto"/>
          <w:sz w:val="24"/>
          <w:highlight w:val="none"/>
          <w:u w:val="single"/>
          <w:lang w:eastAsia="zh-CN"/>
        </w:rPr>
        <w:t>杭州市临安区中医院</w:t>
      </w:r>
      <w:r>
        <w:rPr>
          <w:rFonts w:hint="eastAsia" w:ascii="仿宋" w:hAnsi="仿宋" w:eastAsia="仿宋" w:cs="仿宋_GB2312"/>
          <w:b/>
          <w:color w:val="auto"/>
          <w:sz w:val="24"/>
          <w:highlight w:val="none"/>
          <w:u w:val="single"/>
        </w:rPr>
        <w:t>、杭州中易招标代理有限公司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u w:val="single"/>
        </w:rPr>
        <w:t>(供应商全称)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 w:hAnsi="仿宋" w:eastAsia="仿宋" w:cs="仿宋_GB2312"/>
          <w:color w:val="auto"/>
          <w:sz w:val="24"/>
          <w:highlight w:val="none"/>
          <w:u w:val="single"/>
          <w:lang w:eastAsia="zh-CN"/>
        </w:rPr>
        <w:t>杭州市临安区中医院电子病历质控系统项目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临[2024]3427号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”与法定名称章具有同等的法律效力，对使用“</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left="5040" w:leftChars="2400" w:right="481" w:rightChars="229"/>
        <w:rPr>
          <w:rFonts w:hint="eastAsia"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pacing w:line="360" w:lineRule="auto"/>
        <w:ind w:left="5040" w:leftChars="2400" w:right="481" w:rightChars="229"/>
        <w:rPr>
          <w:rFonts w:ascii="仿宋" w:hAnsi="仿宋" w:eastAsia="仿宋" w:cs="宋体"/>
          <w:color w:val="auto"/>
          <w:sz w:val="24"/>
          <w:highlight w:val="none"/>
        </w:rPr>
      </w:pPr>
      <w:r>
        <w:rPr>
          <w:rFonts w:ascii="仿宋" w:hAnsi="仿宋" w:eastAsia="仿宋" w:cs="宋体"/>
          <w:color w:val="auto"/>
          <w:sz w:val="24"/>
          <w:highlight w:val="none"/>
        </w:rPr>
        <w:t>日期：</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年</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月</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widowControl/>
        <w:jc w:val="left"/>
        <w:rPr>
          <w:rFonts w:ascii="仿宋" w:hAnsi="仿宋" w:eastAsia="仿宋"/>
          <w:b/>
          <w:color w:val="auto"/>
          <w:spacing w:val="6"/>
          <w:sz w:val="32"/>
          <w:szCs w:val="32"/>
          <w:highlight w:val="none"/>
        </w:rPr>
      </w:pPr>
    </w:p>
    <w:p>
      <w:pPr>
        <w:pStyle w:val="4"/>
        <w:ind w:firstLine="0" w:firstLineChars="0"/>
        <w:rPr>
          <w:rFonts w:ascii="仿宋" w:hAnsi="仿宋" w:eastAsia="仿宋"/>
          <w:b w:val="0"/>
          <w:bCs/>
          <w:color w:val="auto"/>
          <w:sz w:val="32"/>
          <w:szCs w:val="32"/>
          <w:highlight w:val="none"/>
        </w:rPr>
      </w:pPr>
      <w:bookmarkStart w:id="204" w:name="_Toc96999676"/>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5</w:t>
      </w:r>
      <w:r>
        <w:rPr>
          <w:rFonts w:hint="eastAsia" w:ascii="仿宋" w:hAnsi="仿宋" w:eastAsia="仿宋"/>
          <w:b w:val="0"/>
          <w:color w:val="auto"/>
          <w:spacing w:val="6"/>
          <w:sz w:val="32"/>
          <w:szCs w:val="32"/>
          <w:highlight w:val="none"/>
        </w:rPr>
        <w:t>：</w:t>
      </w:r>
      <w:r>
        <w:rPr>
          <w:rFonts w:hint="eastAsia" w:ascii="仿宋" w:hAnsi="仿宋" w:eastAsia="仿宋"/>
          <w:b w:val="0"/>
          <w:color w:val="auto"/>
          <w:sz w:val="32"/>
          <w:szCs w:val="32"/>
          <w:highlight w:val="none"/>
        </w:rPr>
        <w:t>中小企业声明函</w:t>
      </w:r>
      <w:bookmarkEnd w:id="204"/>
    </w:p>
    <w:p>
      <w:pPr>
        <w:spacing w:line="240" w:lineRule="auto"/>
        <w:ind w:firstLine="643" w:firstLineChars="200"/>
        <w:jc w:val="left"/>
        <w:rPr>
          <w:rFonts w:hint="eastAsia"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napToGrid w:val="0"/>
        <w:spacing w:before="120" w:beforeLines="50" w:line="24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2020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w:t>
      </w:r>
      <w:r>
        <w:rPr>
          <w:rFonts w:ascii="仿宋" w:hAnsi="仿宋" w:eastAsia="仿宋"/>
          <w:color w:val="auto"/>
          <w:sz w:val="24"/>
          <w:highlight w:val="none"/>
        </w:rPr>
        <w:t>）</w:t>
      </w:r>
      <w:r>
        <w:rPr>
          <w:rFonts w:hint="eastAsia" w:ascii="仿宋" w:hAnsi="仿宋" w:eastAsia="仿宋"/>
          <w:color w:val="auto"/>
          <w:sz w:val="24"/>
          <w:highlight w:val="none"/>
        </w:rPr>
        <w:t>的规定，本公司（联合体）参加</w:t>
      </w:r>
      <w:r>
        <w:rPr>
          <w:rFonts w:hint="eastAsia" w:ascii="仿宋" w:hAnsi="仿宋" w:eastAsia="仿宋"/>
          <w:color w:val="auto"/>
          <w:sz w:val="24"/>
          <w:highlight w:val="none"/>
          <w:u w:val="single"/>
          <w:lang w:eastAsia="zh-CN"/>
        </w:rPr>
        <w:t>杭州市临安区中医院电子病历质控系统项目</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before="120" w:beforeLines="50" w:line="24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before="120" w:beforeLines="50" w:line="240" w:lineRule="auto"/>
        <w:ind w:firstLine="480" w:firstLineChars="200"/>
        <w:jc w:val="left"/>
        <w:rPr>
          <w:rFonts w:hint="eastAsia" w:ascii="仿宋" w:hAnsi="仿宋" w:eastAsia="仿宋"/>
          <w:color w:val="auto"/>
          <w:sz w:val="24"/>
          <w:highlight w:val="none"/>
        </w:rPr>
      </w:pPr>
    </w:p>
    <w:p>
      <w:pPr>
        <w:autoSpaceDE/>
        <w:autoSpaceDN/>
        <w:snapToGrid w:val="0"/>
        <w:spacing w:before="120" w:beforeLines="50" w:line="24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autoSpaceDE/>
        <w:autoSpaceDN/>
        <w:snapToGrid w:val="0"/>
        <w:spacing w:before="120" w:beforeLines="50" w:line="24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pPr>
        <w:spacing w:line="360" w:lineRule="auto"/>
        <w:jc w:val="left"/>
        <w:rPr>
          <w:rFonts w:hint="eastAsia" w:ascii="仿宋" w:hAnsi="仿宋" w:eastAsia="仿宋"/>
          <w:b/>
          <w:color w:val="auto"/>
          <w:szCs w:val="21"/>
          <w:highlight w:val="none"/>
        </w:rPr>
      </w:pPr>
    </w:p>
    <w:p>
      <w:pPr>
        <w:spacing w:line="360" w:lineRule="auto"/>
        <w:jc w:val="left"/>
        <w:rPr>
          <w:rFonts w:hint="eastAsia" w:ascii="仿宋" w:hAnsi="仿宋" w:eastAsia="仿宋"/>
          <w:b/>
          <w:color w:val="auto"/>
          <w:szCs w:val="21"/>
          <w:highlight w:val="none"/>
          <w:lang w:val="en-US" w:eastAsia="zh-CN"/>
        </w:rPr>
      </w:pPr>
      <w:r>
        <w:rPr>
          <w:rFonts w:hint="eastAsia" w:ascii="仿宋" w:hAnsi="仿宋" w:eastAsia="仿宋"/>
          <w:b/>
          <w:color w:val="auto"/>
          <w:szCs w:val="21"/>
          <w:highlight w:val="none"/>
          <w:lang w:val="en-US" w:eastAsia="zh-CN"/>
        </w:rPr>
        <w:t>注：</w:t>
      </w:r>
    </w:p>
    <w:p>
      <w:pPr>
        <w:spacing w:line="240" w:lineRule="auto"/>
        <w:ind w:firstLine="420" w:firstLineChars="200"/>
        <w:jc w:val="left"/>
        <w:rPr>
          <w:rFonts w:hint="default" w:ascii="仿宋" w:hAnsi="仿宋" w:eastAsia="仿宋" w:cs="Times New Roman"/>
          <w:b w:val="0"/>
          <w:bCs/>
          <w:color w:val="auto"/>
          <w:szCs w:val="21"/>
          <w:highlight w:val="none"/>
          <w:lang w:val="en-US" w:eastAsia="zh-CN"/>
        </w:rPr>
      </w:pPr>
      <w:r>
        <w:rPr>
          <w:rFonts w:hint="eastAsia" w:ascii="仿宋" w:hAnsi="仿宋" w:eastAsia="仿宋" w:cs="Times New Roman"/>
          <w:b w:val="0"/>
          <w:bCs/>
          <w:color w:val="auto"/>
          <w:szCs w:val="21"/>
          <w:highlight w:val="none"/>
        </w:rPr>
        <w:t>1</w:t>
      </w:r>
      <w:r>
        <w:rPr>
          <w:rFonts w:hint="eastAsia" w:ascii="仿宋" w:hAnsi="仿宋" w:eastAsia="仿宋" w:cs="Times New Roman"/>
          <w:b w:val="0"/>
          <w:bCs/>
          <w:color w:val="auto"/>
          <w:szCs w:val="21"/>
          <w:highlight w:val="none"/>
          <w:lang w:val="en-US" w:eastAsia="zh-CN"/>
        </w:rPr>
        <w:t>.根据采购</w:t>
      </w:r>
      <w:r>
        <w:rPr>
          <w:rFonts w:hint="eastAsia" w:ascii="仿宋" w:hAnsi="仿宋" w:eastAsia="仿宋" w:cs="Times New Roman"/>
          <w:b w:val="0"/>
          <w:bCs/>
          <w:color w:val="auto"/>
          <w:szCs w:val="21"/>
          <w:highlight w:val="none"/>
        </w:rPr>
        <w:t>文件第</w:t>
      </w:r>
      <w:r>
        <w:rPr>
          <w:rFonts w:hint="eastAsia" w:ascii="仿宋" w:hAnsi="仿宋" w:eastAsia="仿宋" w:cs="Times New Roman"/>
          <w:b w:val="0"/>
          <w:bCs/>
          <w:color w:val="auto"/>
          <w:szCs w:val="21"/>
          <w:highlight w:val="none"/>
          <w:lang w:val="en-US"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val="en-US" w:eastAsia="zh-CN"/>
        </w:rPr>
        <w:t>供应商</w:t>
      </w:r>
      <w:r>
        <w:rPr>
          <w:rFonts w:hint="eastAsia" w:ascii="仿宋" w:hAnsi="仿宋" w:eastAsia="仿宋" w:cs="Times New Roman"/>
          <w:b w:val="0"/>
          <w:bCs/>
          <w:color w:val="auto"/>
          <w:szCs w:val="21"/>
          <w:highlight w:val="none"/>
        </w:rPr>
        <w:t>须知前附表中“项目属性</w:t>
      </w:r>
      <w:r>
        <w:rPr>
          <w:rFonts w:hint="eastAsia" w:ascii="仿宋" w:hAnsi="仿宋" w:eastAsia="仿宋" w:cs="Times New Roman"/>
          <w:b w:val="0"/>
          <w:bCs/>
          <w:color w:val="auto"/>
          <w:szCs w:val="21"/>
          <w:highlight w:val="none"/>
          <w:lang w:eastAsia="zh-CN"/>
        </w:rPr>
        <w:t>”</w:t>
      </w:r>
      <w:r>
        <w:rPr>
          <w:rFonts w:hint="eastAsia" w:ascii="仿宋" w:hAnsi="仿宋" w:eastAsia="仿宋" w:cs="Times New Roman"/>
          <w:b w:val="0"/>
          <w:bCs/>
          <w:color w:val="auto"/>
          <w:szCs w:val="21"/>
          <w:highlight w:val="none"/>
          <w:lang w:val="en-US" w:eastAsia="zh-CN"/>
        </w:rPr>
        <w:t>选择适用的中小企业声明函格式。</w:t>
      </w:r>
    </w:p>
    <w:p>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lang w:val="en-US" w:eastAsia="zh-CN"/>
        </w:rPr>
        <w:t>2.</w:t>
      </w:r>
      <w:r>
        <w:rPr>
          <w:rFonts w:hint="eastAsia" w:ascii="仿宋" w:hAnsi="仿宋" w:eastAsia="仿宋" w:cs="Times New Roman"/>
          <w:b w:val="0"/>
          <w:bCs/>
          <w:color w:val="auto"/>
          <w:szCs w:val="21"/>
          <w:highlight w:val="none"/>
        </w:rPr>
        <w:t>填写要求：①“标的名称”、“</w:t>
      </w:r>
      <w:r>
        <w:rPr>
          <w:rFonts w:hint="eastAsia" w:ascii="仿宋" w:hAnsi="仿宋" w:eastAsia="仿宋" w:cs="Times New Roman"/>
          <w:b w:val="0"/>
          <w:bCs/>
          <w:color w:val="auto"/>
          <w:szCs w:val="21"/>
          <w:highlight w:val="none"/>
          <w:lang w:eastAsia="zh-CN"/>
        </w:rPr>
        <w:t>采购</w:t>
      </w:r>
      <w:r>
        <w:rPr>
          <w:rFonts w:hint="eastAsia" w:ascii="仿宋" w:hAnsi="仿宋" w:eastAsia="仿宋" w:cs="Times New Roman"/>
          <w:b w:val="0"/>
          <w:bCs/>
          <w:color w:val="auto"/>
          <w:szCs w:val="21"/>
          <w:highlight w:val="none"/>
        </w:rPr>
        <w:t>文件中明确的所属行业”依据</w:t>
      </w:r>
      <w:r>
        <w:rPr>
          <w:rFonts w:hint="eastAsia" w:ascii="仿宋" w:hAnsi="仿宋" w:eastAsia="仿宋" w:cs="Times New Roman"/>
          <w:b w:val="0"/>
          <w:bCs/>
          <w:color w:val="auto"/>
          <w:szCs w:val="21"/>
          <w:highlight w:val="none"/>
          <w:lang w:eastAsia="zh-CN"/>
        </w:rPr>
        <w:t>采购</w:t>
      </w:r>
      <w:r>
        <w:rPr>
          <w:rFonts w:hint="eastAsia" w:ascii="仿宋" w:hAnsi="仿宋" w:eastAsia="仿宋" w:cs="Times New Roman"/>
          <w:b w:val="0"/>
          <w:bCs/>
          <w:color w:val="auto"/>
          <w:szCs w:val="21"/>
          <w:highlight w:val="none"/>
        </w:rPr>
        <w:t>文件第</w:t>
      </w:r>
      <w:r>
        <w:rPr>
          <w:rFonts w:hint="eastAsia" w:ascii="仿宋" w:hAnsi="仿宋" w:eastAsia="仿宋" w:cs="Times New Roman"/>
          <w:b w:val="0"/>
          <w:bCs/>
          <w:color w:val="auto"/>
          <w:szCs w:val="21"/>
          <w:highlight w:val="none"/>
          <w:lang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eastAsia="zh-CN"/>
        </w:rPr>
        <w:t>供应商</w:t>
      </w:r>
      <w:r>
        <w:rPr>
          <w:rFonts w:hint="eastAsia" w:ascii="仿宋" w:hAnsi="仿宋" w:eastAsia="仿宋" w:cs="Times New Roman"/>
          <w:b w:val="0"/>
          <w:bCs/>
          <w:color w:val="auto"/>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lang w:val="en-US" w:eastAsia="zh-CN"/>
        </w:rPr>
        <w:t>3.</w:t>
      </w:r>
      <w:r>
        <w:rPr>
          <w:rFonts w:hint="eastAsia" w:ascii="仿宋" w:hAnsi="仿宋" w:eastAsia="仿宋" w:cs="Times New Roman"/>
          <w:b w:val="0"/>
          <w:bCs/>
          <w:color w:val="auto"/>
          <w:szCs w:val="21"/>
          <w:highlight w:val="none"/>
        </w:rPr>
        <w:t>符合《关于促进残疾人就业政府采购政策的通知》（财库</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2017</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141号）规定的条件并提供《残疾人福利性单位声明函》（附件</w:t>
      </w:r>
      <w:r>
        <w:rPr>
          <w:rFonts w:hint="eastAsia" w:ascii="仿宋" w:hAnsi="仿宋" w:eastAsia="仿宋" w:cs="Times New Roman"/>
          <w:b w:val="0"/>
          <w:bCs/>
          <w:color w:val="auto"/>
          <w:szCs w:val="21"/>
          <w:highlight w:val="none"/>
          <w:lang w:val="en-US" w:eastAsia="zh-CN"/>
        </w:rPr>
        <w:t>3</w:t>
      </w:r>
      <w:r>
        <w:rPr>
          <w:rFonts w:hint="eastAsia" w:ascii="仿宋" w:hAnsi="仿宋" w:eastAsia="仿宋" w:cs="Times New Roman"/>
          <w:b w:val="0"/>
          <w:bCs/>
          <w:color w:val="auto"/>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ind w:firstLine="0" w:firstLineChars="0"/>
        <w:rPr>
          <w:rFonts w:hint="eastAsia" w:ascii="仿宋" w:hAnsi="仿宋" w:eastAsia="仿宋" w:cs="仿宋_GB2312"/>
          <w:b w:val="0"/>
          <w:bCs/>
          <w:color w:val="auto"/>
          <w:sz w:val="32"/>
          <w:szCs w:val="32"/>
          <w:highlight w:val="none"/>
        </w:rPr>
      </w:pPr>
      <w:r>
        <w:rPr>
          <w:rFonts w:hint="eastAsia" w:ascii="仿宋" w:hAnsi="仿宋" w:eastAsia="仿宋"/>
          <w:color w:val="auto"/>
          <w:sz w:val="24"/>
          <w:highlight w:val="none"/>
        </w:rPr>
        <w:br w:type="page"/>
      </w:r>
      <w:bookmarkStart w:id="205" w:name="_Toc455807044"/>
      <w:r>
        <w:rPr>
          <w:rFonts w:hint="eastAsia" w:ascii="仿宋" w:hAnsi="仿宋" w:eastAsia="仿宋" w:cs="Times New Roman"/>
          <w:b w:val="0"/>
          <w:bCs/>
          <w:color w:val="auto"/>
          <w:spacing w:val="6"/>
          <w:sz w:val="32"/>
          <w:szCs w:val="32"/>
          <w:highlight w:val="none"/>
          <w:lang w:val="en-US" w:eastAsia="zh-CN"/>
        </w:rPr>
        <w:t>附件6：</w:t>
      </w:r>
      <w:r>
        <w:rPr>
          <w:rFonts w:hint="eastAsia" w:ascii="仿宋" w:hAnsi="仿宋" w:eastAsia="仿宋" w:cs="仿宋_GB2312"/>
          <w:b w:val="0"/>
          <w:bCs/>
          <w:color w:val="auto"/>
          <w:sz w:val="32"/>
          <w:szCs w:val="32"/>
          <w:highlight w:val="none"/>
          <w:lang w:val="en-US" w:eastAsia="zh-CN"/>
        </w:rPr>
        <w:t>政府</w:t>
      </w:r>
      <w:r>
        <w:rPr>
          <w:rFonts w:hint="eastAsia" w:ascii="仿宋" w:hAnsi="仿宋" w:eastAsia="仿宋" w:cs="仿宋_GB2312"/>
          <w:b w:val="0"/>
          <w:bCs/>
          <w:color w:val="auto"/>
          <w:sz w:val="32"/>
          <w:szCs w:val="32"/>
          <w:highlight w:val="none"/>
        </w:rPr>
        <w:t>采购活动</w:t>
      </w:r>
      <w:r>
        <w:rPr>
          <w:rFonts w:hint="eastAsia" w:ascii="仿宋" w:hAnsi="仿宋" w:eastAsia="仿宋" w:cs="仿宋_GB2312"/>
          <w:b w:val="0"/>
          <w:bCs/>
          <w:color w:val="auto"/>
          <w:sz w:val="32"/>
          <w:szCs w:val="32"/>
          <w:highlight w:val="none"/>
          <w:lang w:val="en-US" w:eastAsia="zh-CN"/>
        </w:rPr>
        <w:t>现场确认</w:t>
      </w:r>
      <w:r>
        <w:rPr>
          <w:rFonts w:hint="eastAsia" w:ascii="仿宋" w:hAnsi="仿宋" w:eastAsia="仿宋" w:cs="仿宋_GB2312"/>
          <w:b w:val="0"/>
          <w:bCs/>
          <w:color w:val="auto"/>
          <w:sz w:val="32"/>
          <w:szCs w:val="32"/>
          <w:highlight w:val="none"/>
        </w:rPr>
        <w:t>声明书</w:t>
      </w:r>
      <w:bookmarkEnd w:id="205"/>
    </w:p>
    <w:p>
      <w:pPr>
        <w:pStyle w:val="421"/>
        <w:widowControl w:val="0"/>
        <w:snapToGrid w:val="0"/>
        <w:spacing w:line="300" w:lineRule="auto"/>
        <w:jc w:val="center"/>
        <w:rPr>
          <w:rFonts w:hint="eastAsia" w:ascii="仿宋" w:hAnsi="仿宋" w:eastAsia="仿宋" w:cs="仿宋"/>
          <w:b/>
          <w:color w:val="000000"/>
          <w:w w:val="90"/>
          <w:sz w:val="30"/>
          <w:szCs w:val="30"/>
          <w:u w:val="none"/>
          <w:lang w:val="en-US" w:eastAsia="zh-CN"/>
        </w:rPr>
      </w:pPr>
    </w:p>
    <w:p>
      <w:pPr>
        <w:pStyle w:val="421"/>
        <w:widowControl w:val="0"/>
        <w:snapToGrid w:val="0"/>
        <w:spacing w:line="300" w:lineRule="auto"/>
        <w:jc w:val="center"/>
        <w:rPr>
          <w:rFonts w:hint="eastAsia" w:ascii="仿宋" w:hAnsi="仿宋" w:eastAsia="仿宋" w:cs="仿宋_GB2312"/>
          <w:b/>
          <w:color w:val="auto"/>
          <w:kern w:val="2"/>
          <w:sz w:val="32"/>
          <w:szCs w:val="32"/>
          <w:highlight w:val="none"/>
          <w:lang w:val="en-US" w:eastAsia="zh-CN" w:bidi="ar-SA"/>
        </w:rPr>
      </w:pPr>
      <w:r>
        <w:rPr>
          <w:rFonts w:hint="eastAsia" w:ascii="仿宋" w:hAnsi="仿宋" w:eastAsia="仿宋" w:cs="仿宋_GB2312"/>
          <w:b/>
          <w:color w:val="auto"/>
          <w:kern w:val="2"/>
          <w:sz w:val="32"/>
          <w:szCs w:val="32"/>
          <w:highlight w:val="none"/>
          <w:lang w:val="en-US" w:eastAsia="zh-CN" w:bidi="ar-SA"/>
        </w:rPr>
        <w:t>声明书</w:t>
      </w:r>
    </w:p>
    <w:p>
      <w:pPr>
        <w:pStyle w:val="421"/>
        <w:widowControl w:val="0"/>
        <w:snapToGrid w:val="0"/>
        <w:spacing w:line="300" w:lineRule="auto"/>
        <w:jc w:val="both"/>
        <w:rPr>
          <w:rFonts w:hint="eastAsia" w:ascii="仿宋" w:hAnsi="仿宋" w:eastAsia="仿宋" w:cs="仿宋"/>
          <w:b/>
          <w:color w:val="000000"/>
          <w:w w:val="90"/>
          <w:sz w:val="24"/>
          <w:szCs w:val="24"/>
        </w:rPr>
      </w:pPr>
      <w:r>
        <w:rPr>
          <w:rFonts w:hint="eastAsia" w:ascii="仿宋" w:hAnsi="仿宋" w:eastAsia="仿宋" w:cs="仿宋"/>
          <w:b/>
          <w:color w:val="000000"/>
          <w:w w:val="90"/>
          <w:sz w:val="24"/>
          <w:szCs w:val="24"/>
          <w:u w:val="single"/>
        </w:rPr>
        <w:t>杭州中易招标代理有限公司</w:t>
      </w:r>
      <w:r>
        <w:rPr>
          <w:rFonts w:hint="eastAsia" w:ascii="仿宋" w:hAnsi="仿宋" w:eastAsia="仿宋" w:cs="仿宋"/>
          <w:b/>
          <w:color w:val="000000"/>
          <w:w w:val="90"/>
          <w:sz w:val="24"/>
          <w:szCs w:val="24"/>
        </w:rPr>
        <w:t>：</w:t>
      </w:r>
    </w:p>
    <w:p>
      <w:pPr>
        <w:pStyle w:val="421"/>
        <w:widowControl w:val="0"/>
        <w:snapToGrid w:val="0"/>
        <w:spacing w:line="300" w:lineRule="auto"/>
        <w:ind w:firstLine="480" w:firstLineChars="200"/>
        <w:jc w:val="both"/>
        <w:rPr>
          <w:rFonts w:hint="eastAsia" w:ascii="仿宋" w:hAnsi="仿宋" w:eastAsia="仿宋" w:cs="仿宋"/>
          <w:color w:val="000000"/>
          <w:w w:val="100"/>
          <w:kern w:val="0"/>
          <w:sz w:val="24"/>
          <w:szCs w:val="24"/>
        </w:rPr>
      </w:pPr>
      <w:r>
        <w:rPr>
          <w:rFonts w:hint="eastAsia" w:ascii="仿宋" w:hAnsi="仿宋" w:eastAsia="仿宋" w:cs="仿宋"/>
          <w:i w:val="0"/>
          <w:iCs w:val="0"/>
          <w:color w:val="000000"/>
          <w:w w:val="100"/>
          <w:kern w:val="0"/>
          <w:sz w:val="24"/>
          <w:szCs w:val="24"/>
        </w:rPr>
        <w:t>本人经由</w:t>
      </w:r>
      <w:r>
        <w:rPr>
          <w:rFonts w:hint="eastAsia" w:ascii="仿宋" w:hAnsi="仿宋" w:eastAsia="仿宋" w:cs="仿宋"/>
          <w:i/>
          <w:iCs/>
          <w:color w:val="000000"/>
          <w:w w:val="100"/>
          <w:kern w:val="0"/>
          <w:sz w:val="24"/>
          <w:szCs w:val="24"/>
          <w:u w:val="single"/>
        </w:rPr>
        <w:t>（单位）</w:t>
      </w:r>
      <w:r>
        <w:rPr>
          <w:rFonts w:hint="eastAsia" w:ascii="仿宋" w:hAnsi="仿宋" w:eastAsia="仿宋" w:cs="仿宋"/>
          <w:i/>
          <w:iCs/>
          <w:color w:val="000000"/>
          <w:w w:val="100"/>
          <w:kern w:val="0"/>
          <w:sz w:val="24"/>
          <w:szCs w:val="24"/>
          <w:u w:val="single"/>
          <w:lang w:val="en-US" w:eastAsia="zh-CN"/>
        </w:rPr>
        <w:t xml:space="preserve">           </w:t>
      </w:r>
      <w:r>
        <w:rPr>
          <w:rFonts w:hint="eastAsia" w:ascii="仿宋" w:hAnsi="仿宋" w:eastAsia="仿宋" w:cs="仿宋"/>
          <w:i w:val="0"/>
          <w:iCs w:val="0"/>
          <w:color w:val="000000"/>
          <w:w w:val="100"/>
          <w:kern w:val="0"/>
          <w:sz w:val="24"/>
          <w:szCs w:val="24"/>
        </w:rPr>
        <w:t>负责人</w:t>
      </w:r>
      <w:r>
        <w:rPr>
          <w:rFonts w:hint="eastAsia" w:ascii="仿宋" w:hAnsi="仿宋" w:eastAsia="仿宋" w:cs="仿宋"/>
          <w:i/>
          <w:iCs/>
          <w:color w:val="000000"/>
          <w:w w:val="100"/>
          <w:kern w:val="0"/>
          <w:sz w:val="24"/>
          <w:szCs w:val="24"/>
          <w:u w:val="single"/>
        </w:rPr>
        <w:t xml:space="preserve">（姓名） </w:t>
      </w:r>
      <w:r>
        <w:rPr>
          <w:rFonts w:hint="eastAsia" w:ascii="仿宋" w:hAnsi="仿宋" w:eastAsia="仿宋" w:cs="仿宋"/>
          <w:i/>
          <w:iCs/>
          <w:color w:val="000000"/>
          <w:w w:val="100"/>
          <w:kern w:val="0"/>
          <w:sz w:val="24"/>
          <w:szCs w:val="24"/>
          <w:u w:val="single"/>
          <w:lang w:val="en-US" w:eastAsia="zh-CN"/>
        </w:rPr>
        <w:t xml:space="preserve">  </w:t>
      </w:r>
      <w:r>
        <w:rPr>
          <w:rFonts w:hint="eastAsia" w:ascii="仿宋" w:hAnsi="仿宋" w:eastAsia="仿宋" w:cs="仿宋"/>
          <w:i/>
          <w:iCs/>
          <w:color w:val="000000"/>
          <w:w w:val="100"/>
          <w:kern w:val="0"/>
          <w:sz w:val="24"/>
          <w:szCs w:val="24"/>
          <w:u w:val="single"/>
        </w:rPr>
        <w:t xml:space="preserve"> </w:t>
      </w:r>
      <w:r>
        <w:rPr>
          <w:rFonts w:hint="eastAsia" w:ascii="仿宋" w:hAnsi="仿宋" w:eastAsia="仿宋" w:cs="仿宋"/>
          <w:i/>
          <w:iCs/>
          <w:color w:val="000000"/>
          <w:w w:val="100"/>
          <w:kern w:val="0"/>
          <w:sz w:val="24"/>
          <w:szCs w:val="24"/>
          <w:u w:val="single"/>
          <w:lang w:val="en-US" w:eastAsia="zh-CN"/>
        </w:rPr>
        <w:t xml:space="preserve">  </w:t>
      </w:r>
      <w:r>
        <w:rPr>
          <w:rFonts w:hint="eastAsia" w:ascii="仿宋" w:hAnsi="仿宋" w:eastAsia="仿宋" w:cs="仿宋"/>
          <w:i/>
          <w:iCs/>
          <w:color w:val="000000"/>
          <w:w w:val="100"/>
          <w:kern w:val="0"/>
          <w:sz w:val="24"/>
          <w:szCs w:val="24"/>
          <w:u w:val="single"/>
        </w:rPr>
        <w:t xml:space="preserve"> </w:t>
      </w:r>
      <w:r>
        <w:rPr>
          <w:rFonts w:hint="eastAsia" w:ascii="仿宋" w:hAnsi="仿宋" w:eastAsia="仿宋" w:cs="仿宋"/>
          <w:color w:val="000000"/>
          <w:w w:val="100"/>
          <w:kern w:val="0"/>
          <w:sz w:val="24"/>
          <w:szCs w:val="24"/>
        </w:rPr>
        <w:t>合法授权参加</w:t>
      </w:r>
      <w:r>
        <w:rPr>
          <w:rFonts w:hint="eastAsia" w:ascii="仿宋" w:hAnsi="仿宋" w:eastAsia="仿宋" w:cs="仿宋"/>
          <w:i/>
          <w:iCs/>
          <w:color w:val="000000"/>
          <w:w w:val="100"/>
          <w:kern w:val="0"/>
          <w:sz w:val="24"/>
          <w:szCs w:val="24"/>
          <w:u w:val="single"/>
        </w:rPr>
        <w:t>（</w:t>
      </w:r>
      <w:r>
        <w:rPr>
          <w:rFonts w:hint="eastAsia" w:ascii="仿宋" w:hAnsi="仿宋" w:eastAsia="仿宋" w:cs="仿宋"/>
          <w:i/>
          <w:iCs/>
          <w:color w:val="000000"/>
          <w:w w:val="100"/>
          <w:kern w:val="0"/>
          <w:sz w:val="24"/>
          <w:szCs w:val="24"/>
          <w:u w:val="single"/>
          <w:lang w:val="en-US" w:eastAsia="zh-CN"/>
        </w:rPr>
        <w:t>项目名称、项目编号</w:t>
      </w:r>
      <w:r>
        <w:rPr>
          <w:rFonts w:hint="eastAsia" w:ascii="仿宋" w:hAnsi="仿宋" w:eastAsia="仿宋" w:cs="仿宋"/>
          <w:i/>
          <w:iCs/>
          <w:color w:val="000000"/>
          <w:w w:val="100"/>
          <w:kern w:val="0"/>
          <w:sz w:val="24"/>
          <w:szCs w:val="24"/>
          <w:u w:val="single"/>
        </w:rPr>
        <w:t>）</w:t>
      </w:r>
      <w:r>
        <w:rPr>
          <w:rFonts w:hint="eastAsia" w:ascii="仿宋" w:hAnsi="仿宋" w:eastAsia="仿宋" w:cs="仿宋"/>
          <w:i/>
          <w:iCs/>
          <w:color w:val="000000"/>
          <w:w w:val="100"/>
          <w:kern w:val="0"/>
          <w:sz w:val="24"/>
          <w:szCs w:val="24"/>
          <w:u w:val="single"/>
          <w:lang w:val="en-US" w:eastAsia="zh-CN"/>
        </w:rPr>
        <w:t xml:space="preserve">        </w:t>
      </w:r>
      <w:r>
        <w:rPr>
          <w:rFonts w:hint="eastAsia" w:ascii="仿宋" w:hAnsi="仿宋" w:eastAsia="仿宋" w:cs="仿宋"/>
          <w:i w:val="0"/>
          <w:iCs w:val="0"/>
          <w:color w:val="000000"/>
          <w:w w:val="100"/>
          <w:kern w:val="0"/>
          <w:sz w:val="24"/>
          <w:szCs w:val="24"/>
          <w:u w:val="none"/>
          <w:lang w:val="en-US" w:eastAsia="zh-CN"/>
        </w:rPr>
        <w:t>的</w:t>
      </w:r>
      <w:r>
        <w:rPr>
          <w:rFonts w:hint="eastAsia" w:ascii="仿宋" w:hAnsi="仿宋" w:eastAsia="仿宋" w:cs="仿宋"/>
          <w:color w:val="000000"/>
          <w:w w:val="100"/>
          <w:kern w:val="0"/>
          <w:sz w:val="24"/>
          <w:szCs w:val="24"/>
          <w:lang w:val="en-US" w:eastAsia="zh-CN"/>
        </w:rPr>
        <w:t>政府</w:t>
      </w:r>
      <w:r>
        <w:rPr>
          <w:rFonts w:hint="eastAsia" w:ascii="仿宋" w:hAnsi="仿宋" w:eastAsia="仿宋" w:cs="仿宋"/>
          <w:color w:val="000000"/>
          <w:w w:val="100"/>
          <w:kern w:val="0"/>
          <w:sz w:val="24"/>
          <w:szCs w:val="24"/>
        </w:rPr>
        <w:t xml:space="preserve">采购活动，经与本单位法人代表（负责人）联系确认，现就有关公平竞争事项郑重声明如下： </w:t>
      </w:r>
    </w:p>
    <w:p>
      <w:pPr>
        <w:pStyle w:val="422"/>
        <w:widowControl/>
        <w:numPr>
          <w:ilvl w:val="0"/>
          <w:numId w:val="0"/>
        </w:numPr>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lang w:val="en-US" w:eastAsia="zh-CN"/>
        </w:rPr>
        <w:t>一、</w:t>
      </w:r>
      <w:r>
        <w:rPr>
          <w:rFonts w:hint="eastAsia" w:ascii="仿宋" w:hAnsi="仿宋" w:eastAsia="仿宋" w:cs="仿宋"/>
          <w:color w:val="000000"/>
          <w:w w:val="100"/>
          <w:kern w:val="0"/>
          <w:sz w:val="24"/>
          <w:szCs w:val="24"/>
        </w:rPr>
        <w:t>本单位与采购人之间</w:t>
      </w:r>
      <w:r>
        <w:rPr>
          <w:rFonts w:hint="eastAsia" w:ascii="仿宋" w:hAnsi="仿宋" w:eastAsia="仿宋" w:cs="仿宋"/>
          <w:color w:val="000000"/>
          <w:w w:val="100"/>
          <w:kern w:val="0"/>
          <w:sz w:val="24"/>
          <w:szCs w:val="24"/>
          <w:u w:val="single"/>
        </w:rPr>
        <w:t>□不存在利害关系</w:t>
      </w:r>
      <w:r>
        <w:rPr>
          <w:rFonts w:hint="eastAsia" w:ascii="仿宋" w:hAnsi="仿宋" w:eastAsia="仿宋" w:cs="仿宋"/>
          <w:color w:val="000000"/>
          <w:w w:val="100"/>
          <w:kern w:val="0"/>
          <w:sz w:val="24"/>
          <w:szCs w:val="24"/>
          <w:u w:val="single"/>
          <w:lang w:val="en-US" w:eastAsia="zh-CN"/>
        </w:rPr>
        <w:t>/</w:t>
      </w:r>
      <w:r>
        <w:rPr>
          <w:rFonts w:hint="eastAsia" w:ascii="仿宋" w:hAnsi="仿宋" w:eastAsia="仿宋" w:cs="仿宋"/>
          <w:color w:val="000000"/>
          <w:w w:val="100"/>
          <w:kern w:val="0"/>
          <w:sz w:val="24"/>
          <w:szCs w:val="24"/>
          <w:u w:val="single"/>
        </w:rPr>
        <w:t>□存在下列利害关系(   )</w:t>
      </w:r>
      <w:r>
        <w:rPr>
          <w:rFonts w:hint="eastAsia" w:ascii="仿宋" w:hAnsi="仿宋" w:eastAsia="仿宋" w:cs="仿宋"/>
          <w:color w:val="000000"/>
          <w:w w:val="100"/>
          <w:kern w:val="0"/>
          <w:sz w:val="24"/>
          <w:szCs w:val="24"/>
        </w:rPr>
        <w:t>：</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A.投资关系    B.行政隶属关系    C.业务指导关系</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D.其他可能影响采购公正的利害关系</w:t>
      </w:r>
      <w:r>
        <w:rPr>
          <w:rFonts w:hint="eastAsia" w:ascii="仿宋" w:hAnsi="仿宋" w:eastAsia="仿宋" w:cs="仿宋"/>
          <w:i/>
          <w:color w:val="000000"/>
          <w:w w:val="100"/>
          <w:kern w:val="0"/>
          <w:sz w:val="24"/>
          <w:szCs w:val="24"/>
          <w:u w:val="single"/>
        </w:rPr>
        <w:t>(如有,请如实说明)</w:t>
      </w:r>
      <w:r>
        <w:rPr>
          <w:rFonts w:hint="eastAsia" w:ascii="仿宋" w:hAnsi="仿宋" w:eastAsia="仿宋" w:cs="仿宋"/>
          <w:color w:val="000000"/>
          <w:w w:val="100"/>
          <w:kern w:val="0"/>
          <w:sz w:val="24"/>
          <w:szCs w:val="24"/>
          <w:u w:val="single"/>
        </w:rPr>
        <w:t xml:space="preserve">:            </w:t>
      </w:r>
      <w:r>
        <w:rPr>
          <w:rFonts w:hint="eastAsia" w:ascii="仿宋" w:hAnsi="仿宋" w:eastAsia="仿宋" w:cs="仿宋"/>
          <w:color w:val="000000"/>
          <w:w w:val="100"/>
          <w:kern w:val="0"/>
          <w:sz w:val="24"/>
          <w:szCs w:val="24"/>
        </w:rPr>
        <w:t>。</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二、现已清楚知道参加本项目采购活动的其他所有供应商名称，本单位：</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w:t>
      </w:r>
      <w:r>
        <w:rPr>
          <w:rFonts w:hint="eastAsia" w:ascii="仿宋" w:hAnsi="仿宋" w:eastAsia="仿宋" w:cs="仿宋"/>
          <w:color w:val="000000"/>
          <w:w w:val="100"/>
          <w:kern w:val="0"/>
          <w:sz w:val="24"/>
          <w:szCs w:val="24"/>
          <w:u w:val="single"/>
        </w:rPr>
        <w:t>与其他所有供应商之间均不存在利害关系</w:t>
      </w:r>
      <w:r>
        <w:rPr>
          <w:rFonts w:hint="eastAsia" w:ascii="仿宋" w:hAnsi="仿宋" w:eastAsia="仿宋" w:cs="仿宋"/>
          <w:color w:val="000000"/>
          <w:w w:val="100"/>
          <w:kern w:val="0"/>
          <w:sz w:val="24"/>
          <w:szCs w:val="24"/>
        </w:rPr>
        <w:t>；</w:t>
      </w:r>
    </w:p>
    <w:p>
      <w:pPr>
        <w:pStyle w:val="422"/>
        <w:widowControl/>
        <w:snapToGrid w:val="0"/>
        <w:spacing w:line="300" w:lineRule="auto"/>
        <w:ind w:firstLine="480" w:firstLineChars="200"/>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lang w:eastAsia="zh-CN"/>
        </w:rPr>
        <w:t>□</w:t>
      </w:r>
      <w:r>
        <w:rPr>
          <w:rFonts w:hint="eastAsia" w:ascii="仿宋" w:hAnsi="仿宋" w:eastAsia="仿宋" w:cs="仿宋"/>
          <w:color w:val="000000"/>
          <w:w w:val="100"/>
          <w:kern w:val="0"/>
          <w:sz w:val="24"/>
          <w:szCs w:val="24"/>
          <w:u w:val="single"/>
        </w:rPr>
        <w:t>与</w:t>
      </w:r>
      <w:r>
        <w:rPr>
          <w:rFonts w:hint="eastAsia" w:ascii="仿宋" w:hAnsi="仿宋" w:eastAsia="仿宋" w:cs="仿宋"/>
          <w:i/>
          <w:color w:val="000000"/>
          <w:w w:val="100"/>
          <w:kern w:val="0"/>
          <w:sz w:val="24"/>
          <w:szCs w:val="24"/>
          <w:u w:val="single"/>
        </w:rPr>
        <w:t>（供应商名称</w:t>
      </w:r>
      <w:r>
        <w:rPr>
          <w:rFonts w:hint="eastAsia" w:ascii="仿宋" w:hAnsi="仿宋" w:eastAsia="仿宋" w:cs="仿宋"/>
          <w:i/>
          <w:color w:val="000000"/>
          <w:w w:val="100"/>
          <w:kern w:val="0"/>
          <w:sz w:val="24"/>
          <w:szCs w:val="24"/>
          <w:u w:val="single"/>
          <w:lang w:eastAsia="zh-CN"/>
        </w:rPr>
        <w:t>…</w:t>
      </w:r>
      <w:r>
        <w:rPr>
          <w:rFonts w:hint="eastAsia" w:ascii="仿宋" w:hAnsi="仿宋" w:eastAsia="仿宋" w:cs="仿宋"/>
          <w:i/>
          <w:color w:val="000000"/>
          <w:w w:val="100"/>
          <w:kern w:val="0"/>
          <w:sz w:val="24"/>
          <w:szCs w:val="24"/>
          <w:u w:val="single"/>
        </w:rPr>
        <w:t>）</w:t>
      </w:r>
      <w:r>
        <w:rPr>
          <w:rFonts w:hint="eastAsia" w:ascii="仿宋" w:hAnsi="仿宋" w:eastAsia="仿宋" w:cs="仿宋"/>
          <w:color w:val="000000"/>
          <w:w w:val="100"/>
          <w:kern w:val="0"/>
          <w:sz w:val="24"/>
          <w:szCs w:val="24"/>
          <w:u w:val="single"/>
        </w:rPr>
        <w:t>之间存在下列利害关系(   )</w:t>
      </w:r>
      <w:r>
        <w:rPr>
          <w:rFonts w:hint="eastAsia" w:ascii="仿宋" w:hAnsi="仿宋" w:eastAsia="仿宋" w:cs="仿宋"/>
          <w:color w:val="000000"/>
          <w:w w:val="100"/>
          <w:kern w:val="0"/>
          <w:sz w:val="24"/>
          <w:szCs w:val="24"/>
        </w:rPr>
        <w:t>：</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A.法定代表人或负责人或实际控制人是同一人；</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B.法定代表人或负责人或实际控制人是夫妻关系；</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C.法定代表人或负责人或实际控制人是直系血亲关系；</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D.法定代表人或负责人或实际控制人存在三代以内旁系血亲关系；</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E.法定代表人或负责人或实际控制人存在近姻亲关系；</w:t>
      </w:r>
    </w:p>
    <w:p>
      <w:pPr>
        <w:pStyle w:val="421"/>
        <w:widowControl w:val="0"/>
        <w:snapToGrid w:val="0"/>
        <w:spacing w:line="300" w:lineRule="auto"/>
        <w:ind w:left="630" w:leftChars="300"/>
        <w:jc w:val="both"/>
        <w:rPr>
          <w:rFonts w:hint="eastAsia" w:ascii="仿宋" w:hAnsi="仿宋" w:eastAsia="仿宋" w:cs="仿宋"/>
          <w:w w:val="100"/>
          <w:kern w:val="0"/>
          <w:sz w:val="24"/>
          <w:szCs w:val="24"/>
        </w:rPr>
      </w:pPr>
      <w:r>
        <w:rPr>
          <w:rFonts w:hint="eastAsia" w:ascii="仿宋" w:hAnsi="仿宋" w:eastAsia="仿宋" w:cs="仿宋"/>
          <w:w w:val="100"/>
          <w:kern w:val="0"/>
          <w:sz w:val="24"/>
          <w:szCs w:val="24"/>
        </w:rPr>
        <w:t>F.法定代表人或负责人或实际控制人存在股份控制或实际控制关系；</w:t>
      </w:r>
    </w:p>
    <w:p>
      <w:pPr>
        <w:pStyle w:val="421"/>
        <w:widowControl w:val="0"/>
        <w:snapToGrid w:val="0"/>
        <w:spacing w:line="300" w:lineRule="auto"/>
        <w:ind w:left="630" w:leftChars="300"/>
        <w:jc w:val="both"/>
        <w:rPr>
          <w:rFonts w:hint="eastAsia" w:ascii="仿宋" w:hAnsi="仿宋" w:eastAsia="仿宋" w:cs="仿宋"/>
          <w:w w:val="100"/>
          <w:kern w:val="0"/>
          <w:sz w:val="24"/>
          <w:szCs w:val="24"/>
        </w:rPr>
      </w:pPr>
      <w:r>
        <w:rPr>
          <w:rFonts w:hint="eastAsia" w:ascii="仿宋" w:hAnsi="仿宋" w:eastAsia="仿宋" w:cs="仿宋"/>
          <w:w w:val="100"/>
          <w:kern w:val="0"/>
          <w:sz w:val="24"/>
          <w:szCs w:val="24"/>
        </w:rPr>
        <w:t>G.存在共同直接或间接投资设立子公司、联营企业和合营企业情况；</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H.存在分级代理或代销关系、同一生产制造商关系、管理关系、重要业务（占主营业务收入50%以上）或重要财务往来关系（如融资）等其他实质性控制关系；</w:t>
      </w:r>
    </w:p>
    <w:p>
      <w:pPr>
        <w:pStyle w:val="421"/>
        <w:widowControl w:val="0"/>
        <w:snapToGrid w:val="0"/>
        <w:spacing w:line="300" w:lineRule="auto"/>
        <w:ind w:left="630" w:leftChars="300"/>
        <w:jc w:val="both"/>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I.其他利害关系情况：</w:t>
      </w:r>
      <w:r>
        <w:rPr>
          <w:rFonts w:hint="eastAsia" w:ascii="仿宋" w:hAnsi="仿宋" w:eastAsia="仿宋" w:cs="仿宋"/>
          <w:color w:val="000000"/>
          <w:w w:val="100"/>
          <w:kern w:val="0"/>
          <w:sz w:val="24"/>
          <w:szCs w:val="24"/>
          <w:u w:val="single"/>
        </w:rPr>
        <w:t xml:space="preserve">         </w:t>
      </w:r>
      <w:r>
        <w:rPr>
          <w:rFonts w:hint="eastAsia" w:ascii="仿宋" w:hAnsi="仿宋" w:eastAsia="仿宋" w:cs="仿宋"/>
          <w:color w:val="000000"/>
          <w:w w:val="100"/>
          <w:kern w:val="0"/>
          <w:sz w:val="24"/>
          <w:szCs w:val="24"/>
        </w:rPr>
        <w:t>。</w:t>
      </w:r>
    </w:p>
    <w:p>
      <w:pPr>
        <w:pStyle w:val="422"/>
        <w:widowControl/>
        <w:numPr>
          <w:ilvl w:val="0"/>
          <w:numId w:val="20"/>
        </w:numPr>
        <w:snapToGrid w:val="0"/>
        <w:spacing w:line="300" w:lineRule="auto"/>
        <w:ind w:firstLine="453" w:firstLineChars="189"/>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现已清楚知道并严格遵守政府采购法律法规和现场纪律。</w:t>
      </w:r>
    </w:p>
    <w:p>
      <w:pPr>
        <w:pStyle w:val="422"/>
        <w:widowControl/>
        <w:numPr>
          <w:ilvl w:val="0"/>
          <w:numId w:val="20"/>
        </w:numPr>
        <w:snapToGrid w:val="0"/>
        <w:spacing w:line="300" w:lineRule="auto"/>
        <w:ind w:firstLine="453" w:firstLineChars="189"/>
        <w:rPr>
          <w:rFonts w:hint="eastAsia" w:ascii="仿宋" w:hAnsi="仿宋" w:eastAsia="仿宋" w:cs="仿宋"/>
          <w:color w:val="000000"/>
          <w:w w:val="100"/>
          <w:kern w:val="0"/>
          <w:sz w:val="24"/>
          <w:szCs w:val="24"/>
        </w:rPr>
      </w:pPr>
      <w:r>
        <w:rPr>
          <w:rFonts w:hint="eastAsia" w:ascii="仿宋" w:hAnsi="仿宋" w:eastAsia="仿宋" w:cs="仿宋"/>
          <w:color w:val="000000"/>
          <w:w w:val="100"/>
          <w:kern w:val="0"/>
          <w:sz w:val="24"/>
          <w:szCs w:val="24"/>
        </w:rPr>
        <w:t>我发现</w:t>
      </w:r>
      <w:r>
        <w:rPr>
          <w:rFonts w:hint="eastAsia" w:ascii="仿宋" w:hAnsi="仿宋" w:eastAsia="仿宋" w:cs="仿宋"/>
          <w:i/>
          <w:color w:val="000000"/>
          <w:w w:val="100"/>
          <w:kern w:val="0"/>
          <w:sz w:val="24"/>
          <w:szCs w:val="24"/>
          <w:u w:val="single"/>
        </w:rPr>
        <w:t>（供应商名称</w:t>
      </w:r>
      <w:r>
        <w:rPr>
          <w:rFonts w:hint="eastAsia" w:ascii="仿宋" w:hAnsi="仿宋" w:eastAsia="仿宋" w:cs="仿宋"/>
          <w:i/>
          <w:color w:val="000000"/>
          <w:w w:val="100"/>
          <w:kern w:val="0"/>
          <w:sz w:val="24"/>
          <w:szCs w:val="24"/>
          <w:u w:val="single"/>
          <w:lang w:eastAsia="zh-CN"/>
        </w:rPr>
        <w:t>…</w:t>
      </w:r>
      <w:r>
        <w:rPr>
          <w:rFonts w:hint="eastAsia" w:ascii="仿宋" w:hAnsi="仿宋" w:eastAsia="仿宋" w:cs="仿宋"/>
          <w:i/>
          <w:color w:val="000000"/>
          <w:w w:val="100"/>
          <w:kern w:val="0"/>
          <w:sz w:val="24"/>
          <w:szCs w:val="24"/>
          <w:u w:val="single"/>
        </w:rPr>
        <w:t>）</w:t>
      </w:r>
      <w:r>
        <w:rPr>
          <w:rFonts w:hint="eastAsia" w:ascii="仿宋" w:hAnsi="仿宋" w:eastAsia="仿宋" w:cs="仿宋"/>
          <w:color w:val="000000"/>
          <w:w w:val="100"/>
          <w:kern w:val="0"/>
          <w:sz w:val="24"/>
          <w:szCs w:val="24"/>
        </w:rPr>
        <w:t>存在或可能存在上述第二条第</w:t>
      </w:r>
      <w:r>
        <w:rPr>
          <w:rFonts w:hint="eastAsia" w:ascii="仿宋" w:hAnsi="仿宋" w:eastAsia="仿宋" w:cs="仿宋"/>
          <w:color w:val="000000"/>
          <w:w w:val="100"/>
          <w:kern w:val="0"/>
          <w:sz w:val="24"/>
          <w:szCs w:val="24"/>
          <w:u w:val="single"/>
        </w:rPr>
        <w:t xml:space="preserve">    </w:t>
      </w:r>
      <w:r>
        <w:rPr>
          <w:rFonts w:hint="eastAsia" w:ascii="仿宋" w:hAnsi="仿宋" w:eastAsia="仿宋" w:cs="仿宋"/>
          <w:color w:val="000000"/>
          <w:w w:val="100"/>
          <w:kern w:val="0"/>
          <w:sz w:val="24"/>
          <w:szCs w:val="24"/>
        </w:rPr>
        <w:t>项利害关系。</w:t>
      </w:r>
    </w:p>
    <w:p>
      <w:pPr>
        <w:pStyle w:val="421"/>
        <w:widowControl w:val="0"/>
        <w:snapToGrid w:val="0"/>
        <w:spacing w:line="300" w:lineRule="auto"/>
        <w:ind w:firstLine="468" w:firstLineChars="200"/>
        <w:jc w:val="both"/>
        <w:rPr>
          <w:rFonts w:hint="eastAsia" w:ascii="仿宋" w:hAnsi="仿宋" w:eastAsia="仿宋" w:cs="仿宋"/>
          <w:color w:val="000000"/>
          <w:w w:val="90"/>
          <w:sz w:val="26"/>
          <w:szCs w:val="26"/>
          <w:lang w:val="en-US" w:eastAsia="zh-CN"/>
        </w:rPr>
      </w:pPr>
      <w:r>
        <w:rPr>
          <w:rFonts w:hint="eastAsia" w:ascii="仿宋" w:hAnsi="仿宋" w:eastAsia="仿宋" w:cs="仿宋"/>
          <w:color w:val="000000"/>
          <w:w w:val="90"/>
          <w:sz w:val="26"/>
          <w:szCs w:val="26"/>
        </w:rPr>
        <w:t xml:space="preserve">                        </w:t>
      </w:r>
      <w:r>
        <w:rPr>
          <w:rFonts w:hint="eastAsia" w:ascii="仿宋" w:hAnsi="仿宋" w:eastAsia="仿宋" w:cs="仿宋"/>
          <w:color w:val="000000"/>
          <w:w w:val="90"/>
          <w:sz w:val="26"/>
          <w:szCs w:val="26"/>
          <w:lang w:val="en-US" w:eastAsia="zh-CN"/>
        </w:rPr>
        <w:t xml:space="preserve">                     </w:t>
      </w:r>
    </w:p>
    <w:p>
      <w:pPr>
        <w:autoSpaceDE w:val="0"/>
        <w:autoSpaceDN w:val="0"/>
        <w:spacing w:before="120" w:beforeLines="50" w:line="276"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供应商</w:t>
      </w:r>
      <w:r>
        <w:rPr>
          <w:rFonts w:hint="eastAsia" w:ascii="仿宋" w:hAnsi="仿宋" w:eastAsia="仿宋" w:cs="仿宋_GB2312"/>
          <w:color w:val="auto"/>
          <w:kern w:val="0"/>
          <w:sz w:val="24"/>
          <w:highlight w:val="none"/>
          <w:lang w:val="zh-CN"/>
        </w:rPr>
        <w:t>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autoSpaceDE w:val="0"/>
        <w:autoSpaceDN w:val="0"/>
        <w:spacing w:before="120" w:beforeLines="50" w:line="276"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pPr>
        <w:spacing w:line="360" w:lineRule="auto"/>
        <w:jc w:val="left"/>
        <w:rPr>
          <w:rFonts w:hint="eastAsia" w:ascii="仿宋" w:hAnsi="仿宋" w:eastAsia="仿宋" w:cs="Times New Roman"/>
          <w:b/>
          <w:bCs w:val="0"/>
          <w:color w:val="auto"/>
          <w:szCs w:val="21"/>
          <w:highlight w:val="none"/>
        </w:rPr>
      </w:pPr>
    </w:p>
    <w:p>
      <w:pPr>
        <w:spacing w:line="360" w:lineRule="auto"/>
        <w:jc w:val="left"/>
        <w:rPr>
          <w:rFonts w:hint="eastAsia" w:ascii="仿宋" w:hAnsi="仿宋" w:eastAsia="仿宋" w:cs="Times New Roman"/>
          <w:b w:val="0"/>
          <w:bCs/>
          <w:color w:val="auto"/>
          <w:szCs w:val="21"/>
          <w:highlight w:val="none"/>
          <w:lang w:val="en-US" w:eastAsia="zh-CN"/>
        </w:rPr>
      </w:pPr>
      <w:r>
        <w:rPr>
          <w:rFonts w:hint="eastAsia" w:ascii="仿宋" w:hAnsi="仿宋" w:eastAsia="仿宋" w:cs="Times New Roman"/>
          <w:b/>
          <w:bCs w:val="0"/>
          <w:color w:val="auto"/>
          <w:szCs w:val="21"/>
          <w:highlight w:val="none"/>
        </w:rPr>
        <w:t>注：</w:t>
      </w:r>
      <w:r>
        <w:rPr>
          <w:rFonts w:hint="eastAsia" w:ascii="仿宋" w:hAnsi="仿宋" w:eastAsia="仿宋" w:cs="Times New Roman"/>
          <w:b w:val="0"/>
          <w:bCs/>
          <w:color w:val="auto"/>
          <w:szCs w:val="21"/>
          <w:highlight w:val="none"/>
          <w:lang w:val="en-US" w:eastAsia="zh-CN"/>
        </w:rPr>
        <w:t>开标后，投标人已经知晓参加本项目采购活动的所有供应商，填写确认并提交本格式文件。</w:t>
      </w:r>
    </w:p>
    <w:p>
      <w:pPr>
        <w:spacing w:line="240" w:lineRule="auto"/>
        <w:ind w:firstLine="420" w:firstLineChars="200"/>
        <w:jc w:val="left"/>
        <w:rPr>
          <w:rFonts w:hint="eastAsia" w:ascii="仿宋" w:hAnsi="仿宋" w:eastAsia="仿宋" w:cs="Times New Roman"/>
          <w:b w:val="0"/>
          <w:bCs/>
          <w:color w:val="auto"/>
          <w:szCs w:val="21"/>
          <w:highlight w:val="none"/>
        </w:rPr>
      </w:pPr>
    </w:p>
    <w:p>
      <w:pPr>
        <w:spacing w:line="240" w:lineRule="auto"/>
        <w:ind w:firstLine="480" w:firstLineChars="200"/>
        <w:jc w:val="left"/>
        <w:rPr>
          <w:rFonts w:ascii="仿宋" w:hAnsi="仿宋" w:eastAsia="仿宋" w:cs="仿宋_GB2312"/>
          <w:color w:val="auto"/>
          <w:sz w:val="24"/>
          <w:highlight w:val="none"/>
        </w:rPr>
      </w:pPr>
    </w:p>
    <w:sectPr>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imesNewRomanPSMT">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font-weight : 400">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NumberOnly">
    <w:panose1 w:val="020B0500000000000000"/>
    <w:charset w:val="00"/>
    <w:family w:val="auto"/>
    <w:pitch w:val="default"/>
    <w:sig w:usb0="8000002F" w:usb1="10000048" w:usb2="00000000" w:usb3="00000000" w:csb0="00000111" w:csb1="4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0"/>
      </w:pBdr>
      <w:jc w:val="both"/>
    </w:pPr>
    <w:r>
      <w:drawing>
        <wp:anchor distT="0" distB="0" distL="114300" distR="114300" simplePos="0" relativeHeight="251659264" behindDoc="0" locked="0" layoutInCell="1" allowOverlap="1">
          <wp:simplePos x="0" y="0"/>
          <wp:positionH relativeFrom="column">
            <wp:posOffset>0</wp:posOffset>
          </wp:positionH>
          <wp:positionV relativeFrom="paragraph">
            <wp:posOffset>-139065</wp:posOffset>
          </wp:positionV>
          <wp:extent cx="1743075" cy="459105"/>
          <wp:effectExtent l="0" t="0" r="9525" b="17145"/>
          <wp:wrapNone/>
          <wp:docPr id="23"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hint="eastAsia"/>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116205</wp:posOffset>
          </wp:positionH>
          <wp:positionV relativeFrom="paragraph">
            <wp:posOffset>13335</wp:posOffset>
          </wp:positionV>
          <wp:extent cx="1743075" cy="459105"/>
          <wp:effectExtent l="0" t="0" r="9525" b="17145"/>
          <wp:wrapNone/>
          <wp:docPr id="24"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pPr>
      <w:pStyle w:val="48"/>
      <w:rPr>
        <w:rFonts w:hint="eastAsia"/>
        <w:sz w:val="21"/>
        <w:szCs w:val="21"/>
      </w:rPr>
    </w:pPr>
  </w:p>
  <w:p>
    <w:pPr>
      <w:pStyle w:val="48"/>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hint="eastAsia"/>
        <w:sz w:val="21"/>
        <w:szCs w:val="21"/>
      </w:rPr>
    </w:pPr>
    <w:r>
      <w:rPr>
        <w:rFonts w:hint="eastAsia"/>
        <w:sz w:val="21"/>
        <w:szCs w:val="21"/>
      </w:rPr>
      <w:drawing>
        <wp:anchor distT="0" distB="0" distL="114300" distR="114300" simplePos="0" relativeHeight="251662336"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6"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pPr>
      <w:pStyle w:val="48"/>
      <w:rPr>
        <w:rFonts w:hint="eastAsia"/>
        <w:sz w:val="21"/>
        <w:szCs w:val="21"/>
      </w:rPr>
    </w:pPr>
  </w:p>
  <w:p>
    <w:pPr>
      <w:pStyle w:val="48"/>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hint="eastAsia"/>
        <w:sz w:val="21"/>
        <w:szCs w:val="21"/>
      </w:rPr>
    </w:pPr>
    <w:r>
      <w:rPr>
        <w:rFonts w:hint="eastAsia"/>
        <w:sz w:val="21"/>
        <w:szCs w:val="21"/>
      </w:rPr>
      <w:drawing>
        <wp:anchor distT="0" distB="0" distL="114300" distR="114300" simplePos="0" relativeHeight="251661312"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5"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pPr>
      <w:pStyle w:val="48"/>
      <w:rPr>
        <w:rFonts w:hint="eastAsia"/>
        <w:sz w:val="21"/>
        <w:szCs w:val="21"/>
      </w:rPr>
    </w:pPr>
  </w:p>
  <w:p>
    <w:pPr>
      <w:pStyle w:val="4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5F9D2"/>
    <w:multiLevelType w:val="singleLevel"/>
    <w:tmpl w:val="9335F9D2"/>
    <w:lvl w:ilvl="0" w:tentative="0">
      <w:start w:val="2"/>
      <w:numFmt w:val="decimal"/>
      <w:suff w:val="nothing"/>
      <w:lvlText w:val="%1、"/>
      <w:lvlJc w:val="left"/>
    </w:lvl>
  </w:abstractNum>
  <w:abstractNum w:abstractNumId="1">
    <w:nsid w:val="FFFFFF80"/>
    <w:multiLevelType w:val="singleLevel"/>
    <w:tmpl w:val="FFFFFF80"/>
    <w:lvl w:ilvl="0" w:tentative="0">
      <w:start w:val="1"/>
      <w:numFmt w:val="bullet"/>
      <w:pStyle w:val="301"/>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157"/>
      <w:lvlText w:val=""/>
      <w:lvlJc w:val="left"/>
      <w:pPr>
        <w:tabs>
          <w:tab w:val="left" w:pos="1620"/>
        </w:tabs>
        <w:ind w:left="1620" w:hanging="360"/>
      </w:pPr>
      <w:rPr>
        <w:rFonts w:hint="default" w:ascii="Wingdings" w:hAnsi="Wingdings"/>
      </w:rPr>
    </w:lvl>
  </w:abstractNum>
  <w:abstractNum w:abstractNumId="3">
    <w:nsid w:val="FFFFFF82"/>
    <w:multiLevelType w:val="singleLevel"/>
    <w:tmpl w:val="FFFFFF82"/>
    <w:lvl w:ilvl="0" w:tentative="0">
      <w:start w:val="1"/>
      <w:numFmt w:val="bullet"/>
      <w:pStyle w:val="434"/>
      <w:lvlText w:val=""/>
      <w:lvlJc w:val="left"/>
      <w:pPr>
        <w:tabs>
          <w:tab w:val="left" w:pos="1200"/>
        </w:tabs>
        <w:ind w:left="1200" w:hanging="360"/>
      </w:pPr>
      <w:rPr>
        <w:rFonts w:hint="default" w:ascii="Wingdings" w:hAnsi="Wingdings"/>
      </w:rPr>
    </w:lvl>
  </w:abstractNum>
  <w:abstractNum w:abstractNumId="4">
    <w:nsid w:val="FFFFFF89"/>
    <w:multiLevelType w:val="singleLevel"/>
    <w:tmpl w:val="FFFFFF89"/>
    <w:lvl w:ilvl="0" w:tentative="0">
      <w:start w:val="1"/>
      <w:numFmt w:val="bullet"/>
      <w:pStyle w:val="430"/>
      <w:lvlText w:val=""/>
      <w:lvlJc w:val="left"/>
      <w:pPr>
        <w:tabs>
          <w:tab w:val="left" w:pos="360"/>
        </w:tabs>
        <w:ind w:left="360" w:hanging="360"/>
      </w:pPr>
      <w:rPr>
        <w:rFonts w:hint="default" w:ascii="Wingdings" w:hAnsi="Wingdings"/>
      </w:rPr>
    </w:lvl>
  </w:abstractNum>
  <w:abstractNum w:abstractNumId="5">
    <w:nsid w:val="01496B23"/>
    <w:multiLevelType w:val="multilevel"/>
    <w:tmpl w:val="01496B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2774E20"/>
    <w:multiLevelType w:val="multilevel"/>
    <w:tmpl w:val="02774E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840F00"/>
    <w:multiLevelType w:val="multilevel"/>
    <w:tmpl w:val="0E840F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A94E80"/>
    <w:multiLevelType w:val="multilevel"/>
    <w:tmpl w:val="10A94E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0DF18F"/>
    <w:multiLevelType w:val="singleLevel"/>
    <w:tmpl w:val="210DF18F"/>
    <w:lvl w:ilvl="0" w:tentative="0">
      <w:start w:val="1"/>
      <w:numFmt w:val="decimal"/>
      <w:lvlText w:val="(%1)"/>
      <w:lvlJc w:val="left"/>
      <w:pPr>
        <w:tabs>
          <w:tab w:val="left" w:pos="420"/>
        </w:tabs>
        <w:ind w:left="845" w:hanging="425"/>
      </w:pPr>
      <w:rPr>
        <w:rFonts w:hint="default"/>
      </w:rPr>
    </w:lvl>
  </w:abstractNum>
  <w:abstractNum w:abstractNumId="10">
    <w:nsid w:val="2EA31FCB"/>
    <w:multiLevelType w:val="singleLevel"/>
    <w:tmpl w:val="2EA31FCB"/>
    <w:lvl w:ilvl="0" w:tentative="0">
      <w:start w:val="1"/>
      <w:numFmt w:val="decimal"/>
      <w:lvlText w:val="(%1)"/>
      <w:lvlJc w:val="left"/>
      <w:pPr>
        <w:tabs>
          <w:tab w:val="left" w:pos="420"/>
        </w:tabs>
        <w:ind w:left="845" w:hanging="425"/>
      </w:pPr>
      <w:rPr>
        <w:rFonts w:hint="default"/>
      </w:rPr>
    </w:lvl>
  </w:abstractNum>
  <w:abstractNum w:abstractNumId="11">
    <w:nsid w:val="309E4E24"/>
    <w:multiLevelType w:val="multilevel"/>
    <w:tmpl w:val="309E4E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590227A"/>
    <w:multiLevelType w:val="multilevel"/>
    <w:tmpl w:val="3590227A"/>
    <w:lvl w:ilvl="0" w:tentative="0">
      <w:start w:val="1"/>
      <w:numFmt w:val="decimal"/>
      <w:pStyle w:val="469"/>
      <w:lvlText w:val="%1"/>
      <w:lvlJc w:val="left"/>
      <w:pPr>
        <w:tabs>
          <w:tab w:val="left" w:pos="432"/>
        </w:tabs>
        <w:ind w:left="432" w:hanging="432"/>
      </w:pPr>
    </w:lvl>
    <w:lvl w:ilvl="1" w:tentative="0">
      <w:start w:val="1"/>
      <w:numFmt w:val="decimal"/>
      <w:pStyle w:val="346"/>
      <w:lvlText w:val="%1.%2"/>
      <w:lvlJc w:val="left"/>
      <w:pPr>
        <w:tabs>
          <w:tab w:val="left" w:pos="576"/>
        </w:tabs>
        <w:ind w:left="576" w:hanging="576"/>
      </w:pPr>
    </w:lvl>
    <w:lvl w:ilvl="2" w:tentative="0">
      <w:start w:val="1"/>
      <w:numFmt w:val="decimal"/>
      <w:pStyle w:val="40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36D7252B"/>
    <w:multiLevelType w:val="multilevel"/>
    <w:tmpl w:val="36D7252B"/>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4">
    <w:nsid w:val="48355D6D"/>
    <w:multiLevelType w:val="multilevel"/>
    <w:tmpl w:val="48355D6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61583167"/>
    <w:multiLevelType w:val="multilevel"/>
    <w:tmpl w:val="6158316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6472046"/>
    <w:multiLevelType w:val="singleLevel"/>
    <w:tmpl w:val="76472046"/>
    <w:lvl w:ilvl="0" w:tentative="0">
      <w:start w:val="1"/>
      <w:numFmt w:val="decimalEnclosedCircleChinese"/>
      <w:suff w:val="nothing"/>
      <w:lvlText w:val="%1　"/>
      <w:lvlJc w:val="left"/>
      <w:pPr>
        <w:ind w:left="840" w:firstLine="400"/>
      </w:pPr>
      <w:rPr>
        <w:rFonts w:hint="eastAsia"/>
      </w:rPr>
    </w:lvl>
  </w:abstractNum>
  <w:abstractNum w:abstractNumId="18">
    <w:nsid w:val="77F8F848"/>
    <w:multiLevelType w:val="singleLevel"/>
    <w:tmpl w:val="77F8F848"/>
    <w:lvl w:ilvl="0" w:tentative="0">
      <w:start w:val="1"/>
      <w:numFmt w:val="decimal"/>
      <w:lvlText w:val="(%1)"/>
      <w:lvlJc w:val="left"/>
      <w:pPr>
        <w:tabs>
          <w:tab w:val="left" w:pos="420"/>
        </w:tabs>
        <w:ind w:left="845" w:hanging="425"/>
      </w:pPr>
      <w:rPr>
        <w:rFonts w:hint="default"/>
      </w:rPr>
    </w:lvl>
  </w:abstractNum>
  <w:abstractNum w:abstractNumId="19">
    <w:nsid w:val="7AC268EC"/>
    <w:multiLevelType w:val="singleLevel"/>
    <w:tmpl w:val="7AC268EC"/>
    <w:lvl w:ilvl="0" w:tentative="0">
      <w:start w:val="1"/>
      <w:numFmt w:val="decimalEnclosedCircleChinese"/>
      <w:suff w:val="nothing"/>
      <w:lvlText w:val="%1　"/>
      <w:lvlJc w:val="left"/>
      <w:pPr>
        <w:ind w:left="840" w:firstLine="400"/>
      </w:pPr>
      <w:rPr>
        <w:rFonts w:hint="eastAsia"/>
      </w:rPr>
    </w:lvl>
  </w:abstractNum>
  <w:num w:numId="1">
    <w:abstractNumId w:val="2"/>
  </w:num>
  <w:num w:numId="2">
    <w:abstractNumId w:val="4"/>
  </w:num>
  <w:num w:numId="3">
    <w:abstractNumId w:val="1"/>
  </w:num>
  <w:num w:numId="4">
    <w:abstractNumId w:val="12"/>
  </w:num>
  <w:num w:numId="5">
    <w:abstractNumId w:val="3"/>
  </w:num>
  <w:num w:numId="6">
    <w:abstractNumId w:val="7"/>
  </w:num>
  <w:num w:numId="7">
    <w:abstractNumId w:val="11"/>
  </w:num>
  <w:num w:numId="8">
    <w:abstractNumId w:val="14"/>
  </w:num>
  <w:num w:numId="9">
    <w:abstractNumId w:val="5"/>
  </w:num>
  <w:num w:numId="10">
    <w:abstractNumId w:val="8"/>
  </w:num>
  <w:num w:numId="11">
    <w:abstractNumId w:val="6"/>
  </w:num>
  <w:num w:numId="12">
    <w:abstractNumId w:val="13"/>
  </w:num>
  <w:num w:numId="13">
    <w:abstractNumId w:val="16"/>
  </w:num>
  <w:num w:numId="14">
    <w:abstractNumId w:val="9"/>
  </w:num>
  <w:num w:numId="15">
    <w:abstractNumId w:val="0"/>
  </w:num>
  <w:num w:numId="16">
    <w:abstractNumId w:val="10"/>
  </w:num>
  <w:num w:numId="17">
    <w:abstractNumId w:val="18"/>
  </w:num>
  <w:num w:numId="18">
    <w:abstractNumId w:val="19"/>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WQ5MTRjZTQ1YTlmMmQ0ODc3ZDExODA1ZjJlMTUifQ=="/>
  </w:docVars>
  <w:rsids>
    <w:rsidRoot w:val="00172A27"/>
    <w:rsid w:val="00000022"/>
    <w:rsid w:val="0000032F"/>
    <w:rsid w:val="00000D14"/>
    <w:rsid w:val="000010DF"/>
    <w:rsid w:val="00001108"/>
    <w:rsid w:val="00001197"/>
    <w:rsid w:val="000015AC"/>
    <w:rsid w:val="00001616"/>
    <w:rsid w:val="00001902"/>
    <w:rsid w:val="0000199F"/>
    <w:rsid w:val="0000278D"/>
    <w:rsid w:val="000028C0"/>
    <w:rsid w:val="0000331C"/>
    <w:rsid w:val="00003F45"/>
    <w:rsid w:val="0000416A"/>
    <w:rsid w:val="000043D4"/>
    <w:rsid w:val="00005417"/>
    <w:rsid w:val="00005D50"/>
    <w:rsid w:val="000063E2"/>
    <w:rsid w:val="0000662F"/>
    <w:rsid w:val="000068AD"/>
    <w:rsid w:val="00007532"/>
    <w:rsid w:val="000075C8"/>
    <w:rsid w:val="000076BB"/>
    <w:rsid w:val="000107F5"/>
    <w:rsid w:val="00010D98"/>
    <w:rsid w:val="000110D9"/>
    <w:rsid w:val="0001171B"/>
    <w:rsid w:val="000119D8"/>
    <w:rsid w:val="00012075"/>
    <w:rsid w:val="000121AD"/>
    <w:rsid w:val="00012563"/>
    <w:rsid w:val="00012676"/>
    <w:rsid w:val="00012689"/>
    <w:rsid w:val="00012F3C"/>
    <w:rsid w:val="00013134"/>
    <w:rsid w:val="00013BFA"/>
    <w:rsid w:val="00014444"/>
    <w:rsid w:val="00015208"/>
    <w:rsid w:val="000153E0"/>
    <w:rsid w:val="0001603A"/>
    <w:rsid w:val="00017C79"/>
    <w:rsid w:val="00020EE9"/>
    <w:rsid w:val="00021710"/>
    <w:rsid w:val="0002173B"/>
    <w:rsid w:val="000218E0"/>
    <w:rsid w:val="00021BB4"/>
    <w:rsid w:val="00021D47"/>
    <w:rsid w:val="00021E11"/>
    <w:rsid w:val="00021F69"/>
    <w:rsid w:val="0002277C"/>
    <w:rsid w:val="00022B68"/>
    <w:rsid w:val="00022FD0"/>
    <w:rsid w:val="000231E1"/>
    <w:rsid w:val="00023393"/>
    <w:rsid w:val="00024E58"/>
    <w:rsid w:val="00025319"/>
    <w:rsid w:val="00026254"/>
    <w:rsid w:val="000264BB"/>
    <w:rsid w:val="000268AD"/>
    <w:rsid w:val="00026DD0"/>
    <w:rsid w:val="0002732D"/>
    <w:rsid w:val="00027666"/>
    <w:rsid w:val="000279CE"/>
    <w:rsid w:val="00027A3C"/>
    <w:rsid w:val="00027A65"/>
    <w:rsid w:val="00030194"/>
    <w:rsid w:val="00030331"/>
    <w:rsid w:val="00030492"/>
    <w:rsid w:val="00030E73"/>
    <w:rsid w:val="0003116A"/>
    <w:rsid w:val="000318A2"/>
    <w:rsid w:val="00031D8E"/>
    <w:rsid w:val="0003240B"/>
    <w:rsid w:val="000325B2"/>
    <w:rsid w:val="00032A60"/>
    <w:rsid w:val="00032EF4"/>
    <w:rsid w:val="000330D9"/>
    <w:rsid w:val="000331C7"/>
    <w:rsid w:val="00033457"/>
    <w:rsid w:val="000335DD"/>
    <w:rsid w:val="0003382D"/>
    <w:rsid w:val="000338C5"/>
    <w:rsid w:val="000347EF"/>
    <w:rsid w:val="00034A91"/>
    <w:rsid w:val="000350DE"/>
    <w:rsid w:val="00035130"/>
    <w:rsid w:val="0003552A"/>
    <w:rsid w:val="000355F5"/>
    <w:rsid w:val="000356FE"/>
    <w:rsid w:val="00036027"/>
    <w:rsid w:val="00036461"/>
    <w:rsid w:val="00036C40"/>
    <w:rsid w:val="000371B6"/>
    <w:rsid w:val="00037A95"/>
    <w:rsid w:val="00037D8D"/>
    <w:rsid w:val="00040AEF"/>
    <w:rsid w:val="000411CD"/>
    <w:rsid w:val="00041C9C"/>
    <w:rsid w:val="0004285E"/>
    <w:rsid w:val="00043421"/>
    <w:rsid w:val="00043A19"/>
    <w:rsid w:val="00043ED4"/>
    <w:rsid w:val="00044211"/>
    <w:rsid w:val="000452F1"/>
    <w:rsid w:val="00045C9E"/>
    <w:rsid w:val="00045FD5"/>
    <w:rsid w:val="00046CEC"/>
    <w:rsid w:val="00046EFC"/>
    <w:rsid w:val="00046F52"/>
    <w:rsid w:val="0004717B"/>
    <w:rsid w:val="00047362"/>
    <w:rsid w:val="00047431"/>
    <w:rsid w:val="000474C2"/>
    <w:rsid w:val="00047CF2"/>
    <w:rsid w:val="000502AC"/>
    <w:rsid w:val="000509B1"/>
    <w:rsid w:val="00050D5F"/>
    <w:rsid w:val="00051648"/>
    <w:rsid w:val="00051E9C"/>
    <w:rsid w:val="00051EF4"/>
    <w:rsid w:val="000520C3"/>
    <w:rsid w:val="00052370"/>
    <w:rsid w:val="000525B8"/>
    <w:rsid w:val="000526CA"/>
    <w:rsid w:val="00052895"/>
    <w:rsid w:val="00052D71"/>
    <w:rsid w:val="00052D96"/>
    <w:rsid w:val="00052E0D"/>
    <w:rsid w:val="00054470"/>
    <w:rsid w:val="00054AA8"/>
    <w:rsid w:val="00054BFF"/>
    <w:rsid w:val="00054CC7"/>
    <w:rsid w:val="00054ED8"/>
    <w:rsid w:val="0005521B"/>
    <w:rsid w:val="00055456"/>
    <w:rsid w:val="000558B9"/>
    <w:rsid w:val="00056114"/>
    <w:rsid w:val="00056BFC"/>
    <w:rsid w:val="00057526"/>
    <w:rsid w:val="00057E09"/>
    <w:rsid w:val="000602C1"/>
    <w:rsid w:val="000604E5"/>
    <w:rsid w:val="0006057E"/>
    <w:rsid w:val="000607B3"/>
    <w:rsid w:val="000612D5"/>
    <w:rsid w:val="000614E1"/>
    <w:rsid w:val="00061500"/>
    <w:rsid w:val="00061BA0"/>
    <w:rsid w:val="000621DF"/>
    <w:rsid w:val="000629C3"/>
    <w:rsid w:val="000634A0"/>
    <w:rsid w:val="000646FC"/>
    <w:rsid w:val="000649B9"/>
    <w:rsid w:val="000649C2"/>
    <w:rsid w:val="00064BD2"/>
    <w:rsid w:val="0006503B"/>
    <w:rsid w:val="000651F3"/>
    <w:rsid w:val="00065B08"/>
    <w:rsid w:val="00065B5F"/>
    <w:rsid w:val="00065DDA"/>
    <w:rsid w:val="000668A0"/>
    <w:rsid w:val="00066991"/>
    <w:rsid w:val="00066BB9"/>
    <w:rsid w:val="00066D62"/>
    <w:rsid w:val="000670A4"/>
    <w:rsid w:val="00067750"/>
    <w:rsid w:val="00070052"/>
    <w:rsid w:val="00070399"/>
    <w:rsid w:val="0007039C"/>
    <w:rsid w:val="000704F3"/>
    <w:rsid w:val="0007146B"/>
    <w:rsid w:val="00071747"/>
    <w:rsid w:val="00071F79"/>
    <w:rsid w:val="0007246F"/>
    <w:rsid w:val="000730A4"/>
    <w:rsid w:val="000737EB"/>
    <w:rsid w:val="00073F78"/>
    <w:rsid w:val="00074456"/>
    <w:rsid w:val="00075B3B"/>
    <w:rsid w:val="00075C82"/>
    <w:rsid w:val="00075D75"/>
    <w:rsid w:val="00077098"/>
    <w:rsid w:val="00077417"/>
    <w:rsid w:val="00077750"/>
    <w:rsid w:val="000779AC"/>
    <w:rsid w:val="00077C00"/>
    <w:rsid w:val="00077C84"/>
    <w:rsid w:val="00077E2F"/>
    <w:rsid w:val="000801B5"/>
    <w:rsid w:val="0008042D"/>
    <w:rsid w:val="000809D0"/>
    <w:rsid w:val="00080BC3"/>
    <w:rsid w:val="00081452"/>
    <w:rsid w:val="000815F4"/>
    <w:rsid w:val="00081605"/>
    <w:rsid w:val="000819D2"/>
    <w:rsid w:val="00081ABE"/>
    <w:rsid w:val="000828A9"/>
    <w:rsid w:val="00082947"/>
    <w:rsid w:val="00082B53"/>
    <w:rsid w:val="00082CDD"/>
    <w:rsid w:val="00083040"/>
    <w:rsid w:val="00083152"/>
    <w:rsid w:val="000835AA"/>
    <w:rsid w:val="0008382A"/>
    <w:rsid w:val="000838C4"/>
    <w:rsid w:val="00084403"/>
    <w:rsid w:val="0008456B"/>
    <w:rsid w:val="0008598A"/>
    <w:rsid w:val="00085B5E"/>
    <w:rsid w:val="00086800"/>
    <w:rsid w:val="00086E42"/>
    <w:rsid w:val="00086F3B"/>
    <w:rsid w:val="0008729B"/>
    <w:rsid w:val="00087A87"/>
    <w:rsid w:val="00090FA4"/>
    <w:rsid w:val="000910A3"/>
    <w:rsid w:val="000912D7"/>
    <w:rsid w:val="00091359"/>
    <w:rsid w:val="000916B3"/>
    <w:rsid w:val="0009215D"/>
    <w:rsid w:val="0009270F"/>
    <w:rsid w:val="0009363F"/>
    <w:rsid w:val="00093A3D"/>
    <w:rsid w:val="00093ADA"/>
    <w:rsid w:val="00093D66"/>
    <w:rsid w:val="00093EE8"/>
    <w:rsid w:val="000944E3"/>
    <w:rsid w:val="0009537E"/>
    <w:rsid w:val="00095450"/>
    <w:rsid w:val="00095739"/>
    <w:rsid w:val="000959DB"/>
    <w:rsid w:val="00095BB5"/>
    <w:rsid w:val="00095F07"/>
    <w:rsid w:val="0009636E"/>
    <w:rsid w:val="0009648C"/>
    <w:rsid w:val="000A0148"/>
    <w:rsid w:val="000A0F81"/>
    <w:rsid w:val="000A1B3E"/>
    <w:rsid w:val="000A1E1D"/>
    <w:rsid w:val="000A2394"/>
    <w:rsid w:val="000A266A"/>
    <w:rsid w:val="000A2AE7"/>
    <w:rsid w:val="000A2E5D"/>
    <w:rsid w:val="000A2FDA"/>
    <w:rsid w:val="000A3A88"/>
    <w:rsid w:val="000A3B01"/>
    <w:rsid w:val="000A44B3"/>
    <w:rsid w:val="000A46B8"/>
    <w:rsid w:val="000A4723"/>
    <w:rsid w:val="000A4B84"/>
    <w:rsid w:val="000A5498"/>
    <w:rsid w:val="000A551B"/>
    <w:rsid w:val="000A5523"/>
    <w:rsid w:val="000A58F9"/>
    <w:rsid w:val="000A64F3"/>
    <w:rsid w:val="000A6C81"/>
    <w:rsid w:val="000A6DC0"/>
    <w:rsid w:val="000A7B60"/>
    <w:rsid w:val="000B02CD"/>
    <w:rsid w:val="000B055B"/>
    <w:rsid w:val="000B1AA9"/>
    <w:rsid w:val="000B1F78"/>
    <w:rsid w:val="000B22B1"/>
    <w:rsid w:val="000B274D"/>
    <w:rsid w:val="000B295A"/>
    <w:rsid w:val="000B33EE"/>
    <w:rsid w:val="000B3625"/>
    <w:rsid w:val="000B3AF2"/>
    <w:rsid w:val="000B3DF1"/>
    <w:rsid w:val="000B3E38"/>
    <w:rsid w:val="000B3E6B"/>
    <w:rsid w:val="000B3E73"/>
    <w:rsid w:val="000B44BD"/>
    <w:rsid w:val="000B45FC"/>
    <w:rsid w:val="000B4D9B"/>
    <w:rsid w:val="000B6044"/>
    <w:rsid w:val="000B6295"/>
    <w:rsid w:val="000B7352"/>
    <w:rsid w:val="000B7705"/>
    <w:rsid w:val="000C1A9B"/>
    <w:rsid w:val="000C1BFA"/>
    <w:rsid w:val="000C23E0"/>
    <w:rsid w:val="000C251B"/>
    <w:rsid w:val="000C2601"/>
    <w:rsid w:val="000C2CFC"/>
    <w:rsid w:val="000C41B0"/>
    <w:rsid w:val="000C4B94"/>
    <w:rsid w:val="000C4DD7"/>
    <w:rsid w:val="000C59EB"/>
    <w:rsid w:val="000C6199"/>
    <w:rsid w:val="000C63EC"/>
    <w:rsid w:val="000C681E"/>
    <w:rsid w:val="000C6A4B"/>
    <w:rsid w:val="000C71D0"/>
    <w:rsid w:val="000C725E"/>
    <w:rsid w:val="000C794F"/>
    <w:rsid w:val="000D071B"/>
    <w:rsid w:val="000D0E71"/>
    <w:rsid w:val="000D0FFA"/>
    <w:rsid w:val="000D130F"/>
    <w:rsid w:val="000D1732"/>
    <w:rsid w:val="000D20BD"/>
    <w:rsid w:val="000D2529"/>
    <w:rsid w:val="000D29C1"/>
    <w:rsid w:val="000D2B6A"/>
    <w:rsid w:val="000D2CE2"/>
    <w:rsid w:val="000D2D1A"/>
    <w:rsid w:val="000D3088"/>
    <w:rsid w:val="000D30CE"/>
    <w:rsid w:val="000D3166"/>
    <w:rsid w:val="000D37B8"/>
    <w:rsid w:val="000D4231"/>
    <w:rsid w:val="000D4362"/>
    <w:rsid w:val="000D4D03"/>
    <w:rsid w:val="000D4E13"/>
    <w:rsid w:val="000D57C9"/>
    <w:rsid w:val="000D582E"/>
    <w:rsid w:val="000D5FA7"/>
    <w:rsid w:val="000D62B3"/>
    <w:rsid w:val="000D6608"/>
    <w:rsid w:val="000D68AF"/>
    <w:rsid w:val="000E0209"/>
    <w:rsid w:val="000E022C"/>
    <w:rsid w:val="000E0496"/>
    <w:rsid w:val="000E0659"/>
    <w:rsid w:val="000E0995"/>
    <w:rsid w:val="000E1F29"/>
    <w:rsid w:val="000E1F47"/>
    <w:rsid w:val="000E2335"/>
    <w:rsid w:val="000E29AA"/>
    <w:rsid w:val="000E2D0F"/>
    <w:rsid w:val="000E3023"/>
    <w:rsid w:val="000E3292"/>
    <w:rsid w:val="000E3709"/>
    <w:rsid w:val="000E3CEB"/>
    <w:rsid w:val="000E3E35"/>
    <w:rsid w:val="000E444E"/>
    <w:rsid w:val="000E47CB"/>
    <w:rsid w:val="000E4B8E"/>
    <w:rsid w:val="000E4ED3"/>
    <w:rsid w:val="000E5323"/>
    <w:rsid w:val="000E5621"/>
    <w:rsid w:val="000E586A"/>
    <w:rsid w:val="000E5A55"/>
    <w:rsid w:val="000E5DFB"/>
    <w:rsid w:val="000E70BC"/>
    <w:rsid w:val="000E70CA"/>
    <w:rsid w:val="000E7360"/>
    <w:rsid w:val="000E74C1"/>
    <w:rsid w:val="000E78B4"/>
    <w:rsid w:val="000E7D09"/>
    <w:rsid w:val="000E7D9A"/>
    <w:rsid w:val="000F07C5"/>
    <w:rsid w:val="000F0AD2"/>
    <w:rsid w:val="000F0C49"/>
    <w:rsid w:val="000F0DCE"/>
    <w:rsid w:val="000F1619"/>
    <w:rsid w:val="000F1DFC"/>
    <w:rsid w:val="000F22E6"/>
    <w:rsid w:val="000F2525"/>
    <w:rsid w:val="000F2782"/>
    <w:rsid w:val="000F3A1B"/>
    <w:rsid w:val="000F3CD7"/>
    <w:rsid w:val="000F3D92"/>
    <w:rsid w:val="000F3E95"/>
    <w:rsid w:val="000F45B0"/>
    <w:rsid w:val="000F4C8B"/>
    <w:rsid w:val="000F4D86"/>
    <w:rsid w:val="000F4E55"/>
    <w:rsid w:val="000F515B"/>
    <w:rsid w:val="000F5244"/>
    <w:rsid w:val="000F545E"/>
    <w:rsid w:val="000F66DB"/>
    <w:rsid w:val="000F6C0C"/>
    <w:rsid w:val="000F6D7F"/>
    <w:rsid w:val="000F7001"/>
    <w:rsid w:val="000F7155"/>
    <w:rsid w:val="00100FB2"/>
    <w:rsid w:val="001012B1"/>
    <w:rsid w:val="00101583"/>
    <w:rsid w:val="001016B8"/>
    <w:rsid w:val="00101B01"/>
    <w:rsid w:val="00101CF2"/>
    <w:rsid w:val="00101D4F"/>
    <w:rsid w:val="00101EBD"/>
    <w:rsid w:val="00101ED9"/>
    <w:rsid w:val="0010222E"/>
    <w:rsid w:val="0010231C"/>
    <w:rsid w:val="00102ADE"/>
    <w:rsid w:val="00102C07"/>
    <w:rsid w:val="00102C53"/>
    <w:rsid w:val="001042C8"/>
    <w:rsid w:val="0010451C"/>
    <w:rsid w:val="001052A7"/>
    <w:rsid w:val="0010590B"/>
    <w:rsid w:val="00105AC1"/>
    <w:rsid w:val="00106291"/>
    <w:rsid w:val="001062E3"/>
    <w:rsid w:val="001066B7"/>
    <w:rsid w:val="001066B9"/>
    <w:rsid w:val="00106802"/>
    <w:rsid w:val="00106933"/>
    <w:rsid w:val="00107840"/>
    <w:rsid w:val="00107AAF"/>
    <w:rsid w:val="00107C02"/>
    <w:rsid w:val="00107EBC"/>
    <w:rsid w:val="00110039"/>
    <w:rsid w:val="001102CD"/>
    <w:rsid w:val="001108EB"/>
    <w:rsid w:val="00110B9E"/>
    <w:rsid w:val="001111CB"/>
    <w:rsid w:val="00111317"/>
    <w:rsid w:val="00111503"/>
    <w:rsid w:val="00112BCD"/>
    <w:rsid w:val="00112CA7"/>
    <w:rsid w:val="00113C64"/>
    <w:rsid w:val="00114729"/>
    <w:rsid w:val="00114C1D"/>
    <w:rsid w:val="00114CE3"/>
    <w:rsid w:val="001153C3"/>
    <w:rsid w:val="00115501"/>
    <w:rsid w:val="00115AE4"/>
    <w:rsid w:val="00115C87"/>
    <w:rsid w:val="00115F1B"/>
    <w:rsid w:val="00115F83"/>
    <w:rsid w:val="00116092"/>
    <w:rsid w:val="00116BDE"/>
    <w:rsid w:val="00116DBE"/>
    <w:rsid w:val="00116DC0"/>
    <w:rsid w:val="00117137"/>
    <w:rsid w:val="001173EA"/>
    <w:rsid w:val="00117827"/>
    <w:rsid w:val="00117C5F"/>
    <w:rsid w:val="001207E6"/>
    <w:rsid w:val="00120A39"/>
    <w:rsid w:val="00121192"/>
    <w:rsid w:val="00121E90"/>
    <w:rsid w:val="00122248"/>
    <w:rsid w:val="00122273"/>
    <w:rsid w:val="001224DD"/>
    <w:rsid w:val="001228DE"/>
    <w:rsid w:val="0012297B"/>
    <w:rsid w:val="00122D26"/>
    <w:rsid w:val="00122D4F"/>
    <w:rsid w:val="00122D80"/>
    <w:rsid w:val="00122DBE"/>
    <w:rsid w:val="00122F69"/>
    <w:rsid w:val="00123448"/>
    <w:rsid w:val="00125202"/>
    <w:rsid w:val="00125E28"/>
    <w:rsid w:val="00126464"/>
    <w:rsid w:val="0012679A"/>
    <w:rsid w:val="0012698D"/>
    <w:rsid w:val="00126A81"/>
    <w:rsid w:val="001276CE"/>
    <w:rsid w:val="00127C7E"/>
    <w:rsid w:val="00130070"/>
    <w:rsid w:val="00130227"/>
    <w:rsid w:val="00130335"/>
    <w:rsid w:val="00130F8A"/>
    <w:rsid w:val="001313DB"/>
    <w:rsid w:val="00131413"/>
    <w:rsid w:val="0013172E"/>
    <w:rsid w:val="00131ACD"/>
    <w:rsid w:val="00131E60"/>
    <w:rsid w:val="001327E7"/>
    <w:rsid w:val="00132973"/>
    <w:rsid w:val="00132C04"/>
    <w:rsid w:val="001332E8"/>
    <w:rsid w:val="00133440"/>
    <w:rsid w:val="001335E3"/>
    <w:rsid w:val="001336BC"/>
    <w:rsid w:val="0013372C"/>
    <w:rsid w:val="00133ADB"/>
    <w:rsid w:val="001341E4"/>
    <w:rsid w:val="00134D8C"/>
    <w:rsid w:val="00134DA2"/>
    <w:rsid w:val="00134FB0"/>
    <w:rsid w:val="00134FBC"/>
    <w:rsid w:val="0013504E"/>
    <w:rsid w:val="001354AA"/>
    <w:rsid w:val="00135698"/>
    <w:rsid w:val="00135987"/>
    <w:rsid w:val="00136973"/>
    <w:rsid w:val="00136B51"/>
    <w:rsid w:val="0013700E"/>
    <w:rsid w:val="00140210"/>
    <w:rsid w:val="001405D5"/>
    <w:rsid w:val="00140740"/>
    <w:rsid w:val="001409A0"/>
    <w:rsid w:val="00140FB0"/>
    <w:rsid w:val="0014187C"/>
    <w:rsid w:val="001418DB"/>
    <w:rsid w:val="00141998"/>
    <w:rsid w:val="00141BA8"/>
    <w:rsid w:val="00141EB3"/>
    <w:rsid w:val="00142489"/>
    <w:rsid w:val="0014293E"/>
    <w:rsid w:val="00142A14"/>
    <w:rsid w:val="00143222"/>
    <w:rsid w:val="001432EB"/>
    <w:rsid w:val="001435ED"/>
    <w:rsid w:val="00143835"/>
    <w:rsid w:val="00143B1B"/>
    <w:rsid w:val="00143D62"/>
    <w:rsid w:val="00143E75"/>
    <w:rsid w:val="00143E7A"/>
    <w:rsid w:val="00143F25"/>
    <w:rsid w:val="001441D3"/>
    <w:rsid w:val="001443FC"/>
    <w:rsid w:val="0014445D"/>
    <w:rsid w:val="00144496"/>
    <w:rsid w:val="0014492E"/>
    <w:rsid w:val="00145500"/>
    <w:rsid w:val="001457C9"/>
    <w:rsid w:val="001458A2"/>
    <w:rsid w:val="001460BD"/>
    <w:rsid w:val="001461EE"/>
    <w:rsid w:val="00146365"/>
    <w:rsid w:val="00146420"/>
    <w:rsid w:val="0014661E"/>
    <w:rsid w:val="00146792"/>
    <w:rsid w:val="00146DCA"/>
    <w:rsid w:val="00146ED8"/>
    <w:rsid w:val="00146F9F"/>
    <w:rsid w:val="0014761C"/>
    <w:rsid w:val="00150229"/>
    <w:rsid w:val="00150DBB"/>
    <w:rsid w:val="00151141"/>
    <w:rsid w:val="00151667"/>
    <w:rsid w:val="00151923"/>
    <w:rsid w:val="00151E10"/>
    <w:rsid w:val="0015248F"/>
    <w:rsid w:val="001525DC"/>
    <w:rsid w:val="00152F74"/>
    <w:rsid w:val="0015355C"/>
    <w:rsid w:val="0015394F"/>
    <w:rsid w:val="00153D6D"/>
    <w:rsid w:val="00153EF3"/>
    <w:rsid w:val="001541BA"/>
    <w:rsid w:val="001541EB"/>
    <w:rsid w:val="0015464A"/>
    <w:rsid w:val="00155021"/>
    <w:rsid w:val="0015582C"/>
    <w:rsid w:val="00155E0B"/>
    <w:rsid w:val="001565C3"/>
    <w:rsid w:val="0015746C"/>
    <w:rsid w:val="001575C8"/>
    <w:rsid w:val="001576FE"/>
    <w:rsid w:val="001577CA"/>
    <w:rsid w:val="00157980"/>
    <w:rsid w:val="00157FCD"/>
    <w:rsid w:val="001600BB"/>
    <w:rsid w:val="00160359"/>
    <w:rsid w:val="0016050C"/>
    <w:rsid w:val="00160610"/>
    <w:rsid w:val="0016082C"/>
    <w:rsid w:val="00160E14"/>
    <w:rsid w:val="00160F36"/>
    <w:rsid w:val="00160FF7"/>
    <w:rsid w:val="001612FE"/>
    <w:rsid w:val="00161633"/>
    <w:rsid w:val="00161C47"/>
    <w:rsid w:val="00163222"/>
    <w:rsid w:val="0016380A"/>
    <w:rsid w:val="00163B86"/>
    <w:rsid w:val="00164B1F"/>
    <w:rsid w:val="00164B96"/>
    <w:rsid w:val="00165045"/>
    <w:rsid w:val="00165081"/>
    <w:rsid w:val="001657FB"/>
    <w:rsid w:val="00165919"/>
    <w:rsid w:val="0016659D"/>
    <w:rsid w:val="001667ED"/>
    <w:rsid w:val="00166A96"/>
    <w:rsid w:val="001672E7"/>
    <w:rsid w:val="001672FB"/>
    <w:rsid w:val="001677B1"/>
    <w:rsid w:val="00167DA3"/>
    <w:rsid w:val="00167FAB"/>
    <w:rsid w:val="0017038F"/>
    <w:rsid w:val="001711F6"/>
    <w:rsid w:val="00171302"/>
    <w:rsid w:val="00171316"/>
    <w:rsid w:val="0017149F"/>
    <w:rsid w:val="00171B27"/>
    <w:rsid w:val="00171D21"/>
    <w:rsid w:val="00172092"/>
    <w:rsid w:val="001730BB"/>
    <w:rsid w:val="00173A02"/>
    <w:rsid w:val="00173A71"/>
    <w:rsid w:val="00174264"/>
    <w:rsid w:val="001743CD"/>
    <w:rsid w:val="0017463F"/>
    <w:rsid w:val="00174B9B"/>
    <w:rsid w:val="00174DD9"/>
    <w:rsid w:val="00175A25"/>
    <w:rsid w:val="00175F36"/>
    <w:rsid w:val="0017652A"/>
    <w:rsid w:val="001770A5"/>
    <w:rsid w:val="001773A5"/>
    <w:rsid w:val="0017757D"/>
    <w:rsid w:val="00177786"/>
    <w:rsid w:val="00177938"/>
    <w:rsid w:val="00177CCD"/>
    <w:rsid w:val="00177F6F"/>
    <w:rsid w:val="00180D3E"/>
    <w:rsid w:val="001817B5"/>
    <w:rsid w:val="00181A31"/>
    <w:rsid w:val="00181FE3"/>
    <w:rsid w:val="001821D3"/>
    <w:rsid w:val="00182D49"/>
    <w:rsid w:val="00183265"/>
    <w:rsid w:val="00183CFE"/>
    <w:rsid w:val="001840F0"/>
    <w:rsid w:val="0018417F"/>
    <w:rsid w:val="0018422B"/>
    <w:rsid w:val="0018474F"/>
    <w:rsid w:val="00185055"/>
    <w:rsid w:val="0018515A"/>
    <w:rsid w:val="00185BD3"/>
    <w:rsid w:val="001860FC"/>
    <w:rsid w:val="001861D6"/>
    <w:rsid w:val="00187717"/>
    <w:rsid w:val="001878FD"/>
    <w:rsid w:val="00190F49"/>
    <w:rsid w:val="001918AE"/>
    <w:rsid w:val="00191B6A"/>
    <w:rsid w:val="00191D7D"/>
    <w:rsid w:val="001921B9"/>
    <w:rsid w:val="0019290C"/>
    <w:rsid w:val="00192C1F"/>
    <w:rsid w:val="001939B3"/>
    <w:rsid w:val="00193E08"/>
    <w:rsid w:val="001940F6"/>
    <w:rsid w:val="0019454B"/>
    <w:rsid w:val="001948D6"/>
    <w:rsid w:val="001950EA"/>
    <w:rsid w:val="0019542B"/>
    <w:rsid w:val="00195B73"/>
    <w:rsid w:val="00195EFE"/>
    <w:rsid w:val="001965B7"/>
    <w:rsid w:val="0019682F"/>
    <w:rsid w:val="00196D01"/>
    <w:rsid w:val="00197250"/>
    <w:rsid w:val="00197338"/>
    <w:rsid w:val="00197365"/>
    <w:rsid w:val="0019772B"/>
    <w:rsid w:val="00197ACB"/>
    <w:rsid w:val="00197CCE"/>
    <w:rsid w:val="00197E09"/>
    <w:rsid w:val="00197F6F"/>
    <w:rsid w:val="001A0AE6"/>
    <w:rsid w:val="001A15AB"/>
    <w:rsid w:val="001A1774"/>
    <w:rsid w:val="001A1C78"/>
    <w:rsid w:val="001A2615"/>
    <w:rsid w:val="001A2B92"/>
    <w:rsid w:val="001A2D1E"/>
    <w:rsid w:val="001A30C0"/>
    <w:rsid w:val="001A33C4"/>
    <w:rsid w:val="001A3A93"/>
    <w:rsid w:val="001A3F1A"/>
    <w:rsid w:val="001A3FFC"/>
    <w:rsid w:val="001A4064"/>
    <w:rsid w:val="001A4A38"/>
    <w:rsid w:val="001A4D11"/>
    <w:rsid w:val="001A4E73"/>
    <w:rsid w:val="001A507E"/>
    <w:rsid w:val="001A524C"/>
    <w:rsid w:val="001A593C"/>
    <w:rsid w:val="001A5F54"/>
    <w:rsid w:val="001A5F9F"/>
    <w:rsid w:val="001A60B2"/>
    <w:rsid w:val="001A60C7"/>
    <w:rsid w:val="001A6319"/>
    <w:rsid w:val="001A679C"/>
    <w:rsid w:val="001A67E9"/>
    <w:rsid w:val="001A6F77"/>
    <w:rsid w:val="001A71CC"/>
    <w:rsid w:val="001A7939"/>
    <w:rsid w:val="001B05DA"/>
    <w:rsid w:val="001B0B32"/>
    <w:rsid w:val="001B0B85"/>
    <w:rsid w:val="001B0C05"/>
    <w:rsid w:val="001B0E74"/>
    <w:rsid w:val="001B0F17"/>
    <w:rsid w:val="001B0F90"/>
    <w:rsid w:val="001B0FFA"/>
    <w:rsid w:val="001B121C"/>
    <w:rsid w:val="001B145C"/>
    <w:rsid w:val="001B1788"/>
    <w:rsid w:val="001B18A4"/>
    <w:rsid w:val="001B1E1D"/>
    <w:rsid w:val="001B1F53"/>
    <w:rsid w:val="001B1FF8"/>
    <w:rsid w:val="001B21D9"/>
    <w:rsid w:val="001B23A2"/>
    <w:rsid w:val="001B29D6"/>
    <w:rsid w:val="001B2A90"/>
    <w:rsid w:val="001B2D3B"/>
    <w:rsid w:val="001B3096"/>
    <w:rsid w:val="001B3161"/>
    <w:rsid w:val="001B3D16"/>
    <w:rsid w:val="001B3D72"/>
    <w:rsid w:val="001B42FB"/>
    <w:rsid w:val="001B4D92"/>
    <w:rsid w:val="001B596B"/>
    <w:rsid w:val="001B5BA4"/>
    <w:rsid w:val="001B6565"/>
    <w:rsid w:val="001B683D"/>
    <w:rsid w:val="001B6FEA"/>
    <w:rsid w:val="001B7072"/>
    <w:rsid w:val="001B736B"/>
    <w:rsid w:val="001B7EFB"/>
    <w:rsid w:val="001C12C4"/>
    <w:rsid w:val="001C1FFD"/>
    <w:rsid w:val="001C226B"/>
    <w:rsid w:val="001C2F15"/>
    <w:rsid w:val="001C3271"/>
    <w:rsid w:val="001C32D2"/>
    <w:rsid w:val="001C3578"/>
    <w:rsid w:val="001C3B1D"/>
    <w:rsid w:val="001C42AC"/>
    <w:rsid w:val="001C48AF"/>
    <w:rsid w:val="001C4A4B"/>
    <w:rsid w:val="001C4A79"/>
    <w:rsid w:val="001C4ACA"/>
    <w:rsid w:val="001C4DC2"/>
    <w:rsid w:val="001C577E"/>
    <w:rsid w:val="001C65F3"/>
    <w:rsid w:val="001C66F6"/>
    <w:rsid w:val="001C6E2C"/>
    <w:rsid w:val="001C72C0"/>
    <w:rsid w:val="001C7DF9"/>
    <w:rsid w:val="001D0714"/>
    <w:rsid w:val="001D0DC2"/>
    <w:rsid w:val="001D105C"/>
    <w:rsid w:val="001D1177"/>
    <w:rsid w:val="001D15B4"/>
    <w:rsid w:val="001D1FBF"/>
    <w:rsid w:val="001D2060"/>
    <w:rsid w:val="001D25B3"/>
    <w:rsid w:val="001D3007"/>
    <w:rsid w:val="001D30A1"/>
    <w:rsid w:val="001D3124"/>
    <w:rsid w:val="001D3149"/>
    <w:rsid w:val="001D3596"/>
    <w:rsid w:val="001D35A9"/>
    <w:rsid w:val="001D3808"/>
    <w:rsid w:val="001D3AD7"/>
    <w:rsid w:val="001D3DBC"/>
    <w:rsid w:val="001D48AC"/>
    <w:rsid w:val="001D4AF2"/>
    <w:rsid w:val="001D5128"/>
    <w:rsid w:val="001D5551"/>
    <w:rsid w:val="001D55D0"/>
    <w:rsid w:val="001D5F57"/>
    <w:rsid w:val="001D6B4E"/>
    <w:rsid w:val="001D6FC0"/>
    <w:rsid w:val="001D716F"/>
    <w:rsid w:val="001D78F2"/>
    <w:rsid w:val="001D79A6"/>
    <w:rsid w:val="001E06CF"/>
    <w:rsid w:val="001E0801"/>
    <w:rsid w:val="001E0ABD"/>
    <w:rsid w:val="001E0FC4"/>
    <w:rsid w:val="001E1333"/>
    <w:rsid w:val="001E135F"/>
    <w:rsid w:val="001E262D"/>
    <w:rsid w:val="001E267D"/>
    <w:rsid w:val="001E26B7"/>
    <w:rsid w:val="001E28C0"/>
    <w:rsid w:val="001E34E1"/>
    <w:rsid w:val="001E38D5"/>
    <w:rsid w:val="001E3AAD"/>
    <w:rsid w:val="001E3B2E"/>
    <w:rsid w:val="001E3C69"/>
    <w:rsid w:val="001E3EFB"/>
    <w:rsid w:val="001E455F"/>
    <w:rsid w:val="001E475B"/>
    <w:rsid w:val="001E4A0B"/>
    <w:rsid w:val="001E4C95"/>
    <w:rsid w:val="001E4E34"/>
    <w:rsid w:val="001E4EA1"/>
    <w:rsid w:val="001E54D7"/>
    <w:rsid w:val="001E68C1"/>
    <w:rsid w:val="001E691B"/>
    <w:rsid w:val="001E6B4D"/>
    <w:rsid w:val="001E6BEF"/>
    <w:rsid w:val="001E6E2D"/>
    <w:rsid w:val="001E736C"/>
    <w:rsid w:val="001F02D0"/>
    <w:rsid w:val="001F045C"/>
    <w:rsid w:val="001F0AA9"/>
    <w:rsid w:val="001F0FEE"/>
    <w:rsid w:val="001F160F"/>
    <w:rsid w:val="001F1759"/>
    <w:rsid w:val="001F1CAE"/>
    <w:rsid w:val="001F1E3E"/>
    <w:rsid w:val="001F2035"/>
    <w:rsid w:val="001F2DA2"/>
    <w:rsid w:val="001F2E70"/>
    <w:rsid w:val="001F3132"/>
    <w:rsid w:val="001F34A3"/>
    <w:rsid w:val="001F3A2E"/>
    <w:rsid w:val="001F3AD6"/>
    <w:rsid w:val="001F3BC3"/>
    <w:rsid w:val="001F421B"/>
    <w:rsid w:val="001F46E3"/>
    <w:rsid w:val="001F470A"/>
    <w:rsid w:val="001F4D0F"/>
    <w:rsid w:val="001F5AF3"/>
    <w:rsid w:val="001F5C07"/>
    <w:rsid w:val="001F67E3"/>
    <w:rsid w:val="001F6A95"/>
    <w:rsid w:val="001F6EA2"/>
    <w:rsid w:val="001F72FF"/>
    <w:rsid w:val="001F77A3"/>
    <w:rsid w:val="001F7B52"/>
    <w:rsid w:val="001F7D2B"/>
    <w:rsid w:val="00200045"/>
    <w:rsid w:val="00200068"/>
    <w:rsid w:val="00200E3D"/>
    <w:rsid w:val="002029C6"/>
    <w:rsid w:val="00202AC6"/>
    <w:rsid w:val="00202B44"/>
    <w:rsid w:val="00202D1E"/>
    <w:rsid w:val="002034C7"/>
    <w:rsid w:val="002042D4"/>
    <w:rsid w:val="0020444E"/>
    <w:rsid w:val="002058B6"/>
    <w:rsid w:val="00205BC5"/>
    <w:rsid w:val="00206201"/>
    <w:rsid w:val="00206274"/>
    <w:rsid w:val="00206BC6"/>
    <w:rsid w:val="00207A09"/>
    <w:rsid w:val="00207BE8"/>
    <w:rsid w:val="00207E75"/>
    <w:rsid w:val="002100F4"/>
    <w:rsid w:val="0021018F"/>
    <w:rsid w:val="00210359"/>
    <w:rsid w:val="0021073D"/>
    <w:rsid w:val="002109D8"/>
    <w:rsid w:val="00210A6F"/>
    <w:rsid w:val="00210C14"/>
    <w:rsid w:val="00210C46"/>
    <w:rsid w:val="00210F55"/>
    <w:rsid w:val="00211FEC"/>
    <w:rsid w:val="00212771"/>
    <w:rsid w:val="00212CFC"/>
    <w:rsid w:val="00212D6C"/>
    <w:rsid w:val="00212F04"/>
    <w:rsid w:val="00213289"/>
    <w:rsid w:val="00214144"/>
    <w:rsid w:val="002145F9"/>
    <w:rsid w:val="0021544A"/>
    <w:rsid w:val="00215DBE"/>
    <w:rsid w:val="00215E22"/>
    <w:rsid w:val="00215F4D"/>
    <w:rsid w:val="0021634F"/>
    <w:rsid w:val="002166AA"/>
    <w:rsid w:val="00216DBE"/>
    <w:rsid w:val="00216EE8"/>
    <w:rsid w:val="00216F34"/>
    <w:rsid w:val="00216F46"/>
    <w:rsid w:val="0021729D"/>
    <w:rsid w:val="002174AF"/>
    <w:rsid w:val="002174EF"/>
    <w:rsid w:val="00217739"/>
    <w:rsid w:val="0022007D"/>
    <w:rsid w:val="002203FF"/>
    <w:rsid w:val="00220636"/>
    <w:rsid w:val="00220778"/>
    <w:rsid w:val="002208F7"/>
    <w:rsid w:val="002210B4"/>
    <w:rsid w:val="0022113D"/>
    <w:rsid w:val="002211E8"/>
    <w:rsid w:val="00221216"/>
    <w:rsid w:val="00221662"/>
    <w:rsid w:val="00221ABB"/>
    <w:rsid w:val="00221DF7"/>
    <w:rsid w:val="00221FCA"/>
    <w:rsid w:val="00222146"/>
    <w:rsid w:val="00222219"/>
    <w:rsid w:val="00222742"/>
    <w:rsid w:val="00222A1D"/>
    <w:rsid w:val="00222ECA"/>
    <w:rsid w:val="0022374D"/>
    <w:rsid w:val="0022386D"/>
    <w:rsid w:val="00223914"/>
    <w:rsid w:val="00223E41"/>
    <w:rsid w:val="0022455C"/>
    <w:rsid w:val="00224AA8"/>
    <w:rsid w:val="00225108"/>
    <w:rsid w:val="0022518B"/>
    <w:rsid w:val="00225747"/>
    <w:rsid w:val="00225FE9"/>
    <w:rsid w:val="00226530"/>
    <w:rsid w:val="00227050"/>
    <w:rsid w:val="002271CF"/>
    <w:rsid w:val="00227778"/>
    <w:rsid w:val="00227DA3"/>
    <w:rsid w:val="0023067D"/>
    <w:rsid w:val="0023099F"/>
    <w:rsid w:val="00231201"/>
    <w:rsid w:val="0023194E"/>
    <w:rsid w:val="00231DEE"/>
    <w:rsid w:val="00231F95"/>
    <w:rsid w:val="002320C5"/>
    <w:rsid w:val="00232489"/>
    <w:rsid w:val="0023402E"/>
    <w:rsid w:val="00234077"/>
    <w:rsid w:val="00234450"/>
    <w:rsid w:val="00234C91"/>
    <w:rsid w:val="00235345"/>
    <w:rsid w:val="00235487"/>
    <w:rsid w:val="002356E5"/>
    <w:rsid w:val="002356F5"/>
    <w:rsid w:val="002357DD"/>
    <w:rsid w:val="00235973"/>
    <w:rsid w:val="00236774"/>
    <w:rsid w:val="00236A63"/>
    <w:rsid w:val="00236C72"/>
    <w:rsid w:val="00236EE2"/>
    <w:rsid w:val="0023749B"/>
    <w:rsid w:val="00237785"/>
    <w:rsid w:val="00237CF6"/>
    <w:rsid w:val="0024006E"/>
    <w:rsid w:val="002401F8"/>
    <w:rsid w:val="0024053C"/>
    <w:rsid w:val="0024099F"/>
    <w:rsid w:val="0024100D"/>
    <w:rsid w:val="00241E1A"/>
    <w:rsid w:val="002429CE"/>
    <w:rsid w:val="00243282"/>
    <w:rsid w:val="00243593"/>
    <w:rsid w:val="00243801"/>
    <w:rsid w:val="00243D37"/>
    <w:rsid w:val="00243E37"/>
    <w:rsid w:val="002448A3"/>
    <w:rsid w:val="00245229"/>
    <w:rsid w:val="002452C1"/>
    <w:rsid w:val="00245CA8"/>
    <w:rsid w:val="002463C5"/>
    <w:rsid w:val="002467F7"/>
    <w:rsid w:val="0024713B"/>
    <w:rsid w:val="00247342"/>
    <w:rsid w:val="00247527"/>
    <w:rsid w:val="00247D18"/>
    <w:rsid w:val="00247DA5"/>
    <w:rsid w:val="00250218"/>
    <w:rsid w:val="00250231"/>
    <w:rsid w:val="00250768"/>
    <w:rsid w:val="00250867"/>
    <w:rsid w:val="00250B78"/>
    <w:rsid w:val="00250E8E"/>
    <w:rsid w:val="00251340"/>
    <w:rsid w:val="00251651"/>
    <w:rsid w:val="002516BF"/>
    <w:rsid w:val="00251833"/>
    <w:rsid w:val="00251972"/>
    <w:rsid w:val="00251A16"/>
    <w:rsid w:val="00251C4F"/>
    <w:rsid w:val="00251CA4"/>
    <w:rsid w:val="00251EBE"/>
    <w:rsid w:val="0025217E"/>
    <w:rsid w:val="002521B8"/>
    <w:rsid w:val="002523B5"/>
    <w:rsid w:val="00252732"/>
    <w:rsid w:val="00252DB0"/>
    <w:rsid w:val="002533B0"/>
    <w:rsid w:val="002533CB"/>
    <w:rsid w:val="00253E17"/>
    <w:rsid w:val="00254062"/>
    <w:rsid w:val="002548F1"/>
    <w:rsid w:val="00254957"/>
    <w:rsid w:val="0025498C"/>
    <w:rsid w:val="00255372"/>
    <w:rsid w:val="0025541C"/>
    <w:rsid w:val="002554E8"/>
    <w:rsid w:val="00255784"/>
    <w:rsid w:val="00255892"/>
    <w:rsid w:val="00255FCA"/>
    <w:rsid w:val="00256E43"/>
    <w:rsid w:val="00257039"/>
    <w:rsid w:val="0025789C"/>
    <w:rsid w:val="00257FDE"/>
    <w:rsid w:val="002602D6"/>
    <w:rsid w:val="00260566"/>
    <w:rsid w:val="00260960"/>
    <w:rsid w:val="00260AB4"/>
    <w:rsid w:val="0026167B"/>
    <w:rsid w:val="0026175B"/>
    <w:rsid w:val="00262A41"/>
    <w:rsid w:val="00262B2C"/>
    <w:rsid w:val="00262BF7"/>
    <w:rsid w:val="00262E7C"/>
    <w:rsid w:val="0026334C"/>
    <w:rsid w:val="00263431"/>
    <w:rsid w:val="00264021"/>
    <w:rsid w:val="00264097"/>
    <w:rsid w:val="002640CA"/>
    <w:rsid w:val="002644CF"/>
    <w:rsid w:val="002645AA"/>
    <w:rsid w:val="00264870"/>
    <w:rsid w:val="002648BB"/>
    <w:rsid w:val="00264B72"/>
    <w:rsid w:val="00264C8D"/>
    <w:rsid w:val="0026549B"/>
    <w:rsid w:val="002657E4"/>
    <w:rsid w:val="00265994"/>
    <w:rsid w:val="00265A95"/>
    <w:rsid w:val="00265B23"/>
    <w:rsid w:val="00265DAD"/>
    <w:rsid w:val="00265F0E"/>
    <w:rsid w:val="002660D9"/>
    <w:rsid w:val="002660EC"/>
    <w:rsid w:val="00266D0F"/>
    <w:rsid w:val="00267263"/>
    <w:rsid w:val="00267530"/>
    <w:rsid w:val="002708ED"/>
    <w:rsid w:val="00270E3E"/>
    <w:rsid w:val="0027148C"/>
    <w:rsid w:val="002717E0"/>
    <w:rsid w:val="00271A12"/>
    <w:rsid w:val="002720B5"/>
    <w:rsid w:val="00272547"/>
    <w:rsid w:val="00272587"/>
    <w:rsid w:val="0027270B"/>
    <w:rsid w:val="00272D30"/>
    <w:rsid w:val="00272DCF"/>
    <w:rsid w:val="00272E0C"/>
    <w:rsid w:val="00273118"/>
    <w:rsid w:val="0027344E"/>
    <w:rsid w:val="0027394C"/>
    <w:rsid w:val="00273E38"/>
    <w:rsid w:val="002740D3"/>
    <w:rsid w:val="00274C60"/>
    <w:rsid w:val="00274D21"/>
    <w:rsid w:val="00274DFF"/>
    <w:rsid w:val="00275034"/>
    <w:rsid w:val="00275DD5"/>
    <w:rsid w:val="00276E89"/>
    <w:rsid w:val="00276FDE"/>
    <w:rsid w:val="002770CD"/>
    <w:rsid w:val="00277B45"/>
    <w:rsid w:val="00277B5A"/>
    <w:rsid w:val="00277DD7"/>
    <w:rsid w:val="00280430"/>
    <w:rsid w:val="00280477"/>
    <w:rsid w:val="002806B2"/>
    <w:rsid w:val="00280946"/>
    <w:rsid w:val="00280D0F"/>
    <w:rsid w:val="00281FB8"/>
    <w:rsid w:val="0028206A"/>
    <w:rsid w:val="002823AF"/>
    <w:rsid w:val="00282B99"/>
    <w:rsid w:val="0028360A"/>
    <w:rsid w:val="00283D00"/>
    <w:rsid w:val="00283D62"/>
    <w:rsid w:val="00283FA7"/>
    <w:rsid w:val="002842B5"/>
    <w:rsid w:val="00284C1F"/>
    <w:rsid w:val="00284CC5"/>
    <w:rsid w:val="00284D8A"/>
    <w:rsid w:val="002851C2"/>
    <w:rsid w:val="00285392"/>
    <w:rsid w:val="00285A42"/>
    <w:rsid w:val="00285ADD"/>
    <w:rsid w:val="00285DDC"/>
    <w:rsid w:val="00285E62"/>
    <w:rsid w:val="00286154"/>
    <w:rsid w:val="00286534"/>
    <w:rsid w:val="0028662C"/>
    <w:rsid w:val="00286CA2"/>
    <w:rsid w:val="0028705A"/>
    <w:rsid w:val="002873A6"/>
    <w:rsid w:val="00287899"/>
    <w:rsid w:val="0028789B"/>
    <w:rsid w:val="002878DA"/>
    <w:rsid w:val="002878EB"/>
    <w:rsid w:val="0028797B"/>
    <w:rsid w:val="002902A9"/>
    <w:rsid w:val="00290AAB"/>
    <w:rsid w:val="0029122B"/>
    <w:rsid w:val="00291D79"/>
    <w:rsid w:val="00292011"/>
    <w:rsid w:val="00292C08"/>
    <w:rsid w:val="00292C4C"/>
    <w:rsid w:val="002941BE"/>
    <w:rsid w:val="00294427"/>
    <w:rsid w:val="00294D29"/>
    <w:rsid w:val="00294EA1"/>
    <w:rsid w:val="002959D0"/>
    <w:rsid w:val="00296183"/>
    <w:rsid w:val="00296AA0"/>
    <w:rsid w:val="002974B0"/>
    <w:rsid w:val="00297590"/>
    <w:rsid w:val="00297F1D"/>
    <w:rsid w:val="00297FC8"/>
    <w:rsid w:val="002A04A4"/>
    <w:rsid w:val="002A08DC"/>
    <w:rsid w:val="002A2234"/>
    <w:rsid w:val="002A2246"/>
    <w:rsid w:val="002A2A45"/>
    <w:rsid w:val="002A2C31"/>
    <w:rsid w:val="002A2E80"/>
    <w:rsid w:val="002A2F98"/>
    <w:rsid w:val="002A3076"/>
    <w:rsid w:val="002A3208"/>
    <w:rsid w:val="002A3581"/>
    <w:rsid w:val="002A44A7"/>
    <w:rsid w:val="002A46CA"/>
    <w:rsid w:val="002A4DFC"/>
    <w:rsid w:val="002A5599"/>
    <w:rsid w:val="002A5D89"/>
    <w:rsid w:val="002A76A8"/>
    <w:rsid w:val="002A76B0"/>
    <w:rsid w:val="002A7737"/>
    <w:rsid w:val="002A778D"/>
    <w:rsid w:val="002A7DBB"/>
    <w:rsid w:val="002A7FA3"/>
    <w:rsid w:val="002B04A7"/>
    <w:rsid w:val="002B0937"/>
    <w:rsid w:val="002B1058"/>
    <w:rsid w:val="002B15C1"/>
    <w:rsid w:val="002B1A10"/>
    <w:rsid w:val="002B224F"/>
    <w:rsid w:val="002B3080"/>
    <w:rsid w:val="002B3316"/>
    <w:rsid w:val="002B36D7"/>
    <w:rsid w:val="002B371D"/>
    <w:rsid w:val="002B3C64"/>
    <w:rsid w:val="002B4057"/>
    <w:rsid w:val="002B4168"/>
    <w:rsid w:val="002B46E7"/>
    <w:rsid w:val="002B4763"/>
    <w:rsid w:val="002B4B28"/>
    <w:rsid w:val="002B4B3D"/>
    <w:rsid w:val="002B4C23"/>
    <w:rsid w:val="002B4D32"/>
    <w:rsid w:val="002B4D41"/>
    <w:rsid w:val="002B521E"/>
    <w:rsid w:val="002B5C0F"/>
    <w:rsid w:val="002B72FB"/>
    <w:rsid w:val="002B7326"/>
    <w:rsid w:val="002B753F"/>
    <w:rsid w:val="002B7860"/>
    <w:rsid w:val="002C0663"/>
    <w:rsid w:val="002C0848"/>
    <w:rsid w:val="002C0D3F"/>
    <w:rsid w:val="002C1337"/>
    <w:rsid w:val="002C154B"/>
    <w:rsid w:val="002C1553"/>
    <w:rsid w:val="002C157A"/>
    <w:rsid w:val="002C1965"/>
    <w:rsid w:val="002C1B22"/>
    <w:rsid w:val="002C2275"/>
    <w:rsid w:val="002C260C"/>
    <w:rsid w:val="002C2776"/>
    <w:rsid w:val="002C2FDD"/>
    <w:rsid w:val="002C32D0"/>
    <w:rsid w:val="002C387F"/>
    <w:rsid w:val="002C394B"/>
    <w:rsid w:val="002C4125"/>
    <w:rsid w:val="002C4291"/>
    <w:rsid w:val="002C454D"/>
    <w:rsid w:val="002C4566"/>
    <w:rsid w:val="002C480A"/>
    <w:rsid w:val="002C4C6D"/>
    <w:rsid w:val="002C5395"/>
    <w:rsid w:val="002C53EC"/>
    <w:rsid w:val="002C55B2"/>
    <w:rsid w:val="002C5FCA"/>
    <w:rsid w:val="002C640A"/>
    <w:rsid w:val="002C65FC"/>
    <w:rsid w:val="002C6965"/>
    <w:rsid w:val="002C71C4"/>
    <w:rsid w:val="002C7208"/>
    <w:rsid w:val="002C7346"/>
    <w:rsid w:val="002C7581"/>
    <w:rsid w:val="002C7B90"/>
    <w:rsid w:val="002C7FD9"/>
    <w:rsid w:val="002D0013"/>
    <w:rsid w:val="002D0044"/>
    <w:rsid w:val="002D0839"/>
    <w:rsid w:val="002D0949"/>
    <w:rsid w:val="002D0BE0"/>
    <w:rsid w:val="002D0BF3"/>
    <w:rsid w:val="002D0F38"/>
    <w:rsid w:val="002D18D6"/>
    <w:rsid w:val="002D1D6F"/>
    <w:rsid w:val="002D23AD"/>
    <w:rsid w:val="002D2420"/>
    <w:rsid w:val="002D2528"/>
    <w:rsid w:val="002D2767"/>
    <w:rsid w:val="002D2980"/>
    <w:rsid w:val="002D29C7"/>
    <w:rsid w:val="002D2B32"/>
    <w:rsid w:val="002D2BA6"/>
    <w:rsid w:val="002D3346"/>
    <w:rsid w:val="002D3A3A"/>
    <w:rsid w:val="002D3E63"/>
    <w:rsid w:val="002D41A8"/>
    <w:rsid w:val="002D47A5"/>
    <w:rsid w:val="002D4B87"/>
    <w:rsid w:val="002D4CB5"/>
    <w:rsid w:val="002D4F9B"/>
    <w:rsid w:val="002D53CA"/>
    <w:rsid w:val="002D56B3"/>
    <w:rsid w:val="002D60EC"/>
    <w:rsid w:val="002D6343"/>
    <w:rsid w:val="002D6F30"/>
    <w:rsid w:val="002D7238"/>
    <w:rsid w:val="002D7378"/>
    <w:rsid w:val="002E0018"/>
    <w:rsid w:val="002E0B18"/>
    <w:rsid w:val="002E11EF"/>
    <w:rsid w:val="002E1251"/>
    <w:rsid w:val="002E1338"/>
    <w:rsid w:val="002E1376"/>
    <w:rsid w:val="002E1B10"/>
    <w:rsid w:val="002E1F57"/>
    <w:rsid w:val="002E2950"/>
    <w:rsid w:val="002E2C45"/>
    <w:rsid w:val="002E2D2F"/>
    <w:rsid w:val="002E2D8C"/>
    <w:rsid w:val="002E3049"/>
    <w:rsid w:val="002E3679"/>
    <w:rsid w:val="002E3680"/>
    <w:rsid w:val="002E45EC"/>
    <w:rsid w:val="002E4725"/>
    <w:rsid w:val="002E4775"/>
    <w:rsid w:val="002E49BC"/>
    <w:rsid w:val="002E4A72"/>
    <w:rsid w:val="002E4C81"/>
    <w:rsid w:val="002E4CDA"/>
    <w:rsid w:val="002E5279"/>
    <w:rsid w:val="002E53A2"/>
    <w:rsid w:val="002E5793"/>
    <w:rsid w:val="002E5EF1"/>
    <w:rsid w:val="002E69C8"/>
    <w:rsid w:val="002E6B84"/>
    <w:rsid w:val="002E6FB6"/>
    <w:rsid w:val="002E7741"/>
    <w:rsid w:val="002E7CB1"/>
    <w:rsid w:val="002E7F79"/>
    <w:rsid w:val="002F00FF"/>
    <w:rsid w:val="002F02C4"/>
    <w:rsid w:val="002F066A"/>
    <w:rsid w:val="002F0757"/>
    <w:rsid w:val="002F0CAC"/>
    <w:rsid w:val="002F11AD"/>
    <w:rsid w:val="002F159F"/>
    <w:rsid w:val="002F2955"/>
    <w:rsid w:val="002F2A49"/>
    <w:rsid w:val="002F2C52"/>
    <w:rsid w:val="002F2D2E"/>
    <w:rsid w:val="002F38E6"/>
    <w:rsid w:val="002F3E3E"/>
    <w:rsid w:val="002F3F45"/>
    <w:rsid w:val="002F5782"/>
    <w:rsid w:val="002F5C37"/>
    <w:rsid w:val="002F6027"/>
    <w:rsid w:val="002F63AC"/>
    <w:rsid w:val="002F65B8"/>
    <w:rsid w:val="002F6E62"/>
    <w:rsid w:val="002F6F43"/>
    <w:rsid w:val="002F7A45"/>
    <w:rsid w:val="002F7D54"/>
    <w:rsid w:val="003001A9"/>
    <w:rsid w:val="003003EF"/>
    <w:rsid w:val="00300AA1"/>
    <w:rsid w:val="00300BB9"/>
    <w:rsid w:val="00300DC7"/>
    <w:rsid w:val="00300FC6"/>
    <w:rsid w:val="00301044"/>
    <w:rsid w:val="00301170"/>
    <w:rsid w:val="00301AAE"/>
    <w:rsid w:val="00301BFD"/>
    <w:rsid w:val="00301D31"/>
    <w:rsid w:val="00302903"/>
    <w:rsid w:val="00302C5D"/>
    <w:rsid w:val="00302E57"/>
    <w:rsid w:val="00303019"/>
    <w:rsid w:val="003034E3"/>
    <w:rsid w:val="0030351B"/>
    <w:rsid w:val="00303993"/>
    <w:rsid w:val="00303A1B"/>
    <w:rsid w:val="00303C64"/>
    <w:rsid w:val="00304295"/>
    <w:rsid w:val="00304567"/>
    <w:rsid w:val="00304767"/>
    <w:rsid w:val="00304A1C"/>
    <w:rsid w:val="00304B2D"/>
    <w:rsid w:val="00305AAD"/>
    <w:rsid w:val="003063D2"/>
    <w:rsid w:val="003068F3"/>
    <w:rsid w:val="003072D1"/>
    <w:rsid w:val="003072DD"/>
    <w:rsid w:val="003074D0"/>
    <w:rsid w:val="00307CD9"/>
    <w:rsid w:val="00307DE8"/>
    <w:rsid w:val="00307E99"/>
    <w:rsid w:val="00310286"/>
    <w:rsid w:val="00310CAA"/>
    <w:rsid w:val="003128F7"/>
    <w:rsid w:val="00312D2A"/>
    <w:rsid w:val="00312D4F"/>
    <w:rsid w:val="00312DC9"/>
    <w:rsid w:val="003132EC"/>
    <w:rsid w:val="00313504"/>
    <w:rsid w:val="003135F9"/>
    <w:rsid w:val="003136FB"/>
    <w:rsid w:val="003139D9"/>
    <w:rsid w:val="00313F2D"/>
    <w:rsid w:val="003147A8"/>
    <w:rsid w:val="00314875"/>
    <w:rsid w:val="00315443"/>
    <w:rsid w:val="003155A6"/>
    <w:rsid w:val="00315729"/>
    <w:rsid w:val="003158CB"/>
    <w:rsid w:val="00315E89"/>
    <w:rsid w:val="003162DA"/>
    <w:rsid w:val="003165DC"/>
    <w:rsid w:val="0031660E"/>
    <w:rsid w:val="003169DA"/>
    <w:rsid w:val="0031702F"/>
    <w:rsid w:val="003172CF"/>
    <w:rsid w:val="00317914"/>
    <w:rsid w:val="003179A7"/>
    <w:rsid w:val="00317D98"/>
    <w:rsid w:val="00320041"/>
    <w:rsid w:val="00320298"/>
    <w:rsid w:val="00320C62"/>
    <w:rsid w:val="00320CB1"/>
    <w:rsid w:val="00320E67"/>
    <w:rsid w:val="00320FD6"/>
    <w:rsid w:val="00321DB1"/>
    <w:rsid w:val="003220CC"/>
    <w:rsid w:val="003222C2"/>
    <w:rsid w:val="003224FB"/>
    <w:rsid w:val="00322C87"/>
    <w:rsid w:val="00322E09"/>
    <w:rsid w:val="00323494"/>
    <w:rsid w:val="003235F7"/>
    <w:rsid w:val="00323818"/>
    <w:rsid w:val="00323B0A"/>
    <w:rsid w:val="00323CB6"/>
    <w:rsid w:val="00324151"/>
    <w:rsid w:val="00324674"/>
    <w:rsid w:val="003247B8"/>
    <w:rsid w:val="0032485E"/>
    <w:rsid w:val="00324871"/>
    <w:rsid w:val="003248B0"/>
    <w:rsid w:val="00325447"/>
    <w:rsid w:val="003254DD"/>
    <w:rsid w:val="0032670B"/>
    <w:rsid w:val="003269E1"/>
    <w:rsid w:val="00326A82"/>
    <w:rsid w:val="00326F8C"/>
    <w:rsid w:val="00327253"/>
    <w:rsid w:val="0032739A"/>
    <w:rsid w:val="003275EE"/>
    <w:rsid w:val="00327D2B"/>
    <w:rsid w:val="003301D7"/>
    <w:rsid w:val="0033049B"/>
    <w:rsid w:val="003305F8"/>
    <w:rsid w:val="00330634"/>
    <w:rsid w:val="00330FA5"/>
    <w:rsid w:val="00331008"/>
    <w:rsid w:val="00331774"/>
    <w:rsid w:val="00331887"/>
    <w:rsid w:val="0033198F"/>
    <w:rsid w:val="00331E08"/>
    <w:rsid w:val="00332070"/>
    <w:rsid w:val="00332741"/>
    <w:rsid w:val="00333AD7"/>
    <w:rsid w:val="00333BC7"/>
    <w:rsid w:val="00333F1E"/>
    <w:rsid w:val="003347CA"/>
    <w:rsid w:val="003354CE"/>
    <w:rsid w:val="003355BB"/>
    <w:rsid w:val="003357EF"/>
    <w:rsid w:val="00335A6E"/>
    <w:rsid w:val="00335BB6"/>
    <w:rsid w:val="00335DE2"/>
    <w:rsid w:val="00335DE8"/>
    <w:rsid w:val="0033697A"/>
    <w:rsid w:val="003373FF"/>
    <w:rsid w:val="00337661"/>
    <w:rsid w:val="00337A36"/>
    <w:rsid w:val="00337BF7"/>
    <w:rsid w:val="00337C2D"/>
    <w:rsid w:val="0034050B"/>
    <w:rsid w:val="003408B8"/>
    <w:rsid w:val="003409C3"/>
    <w:rsid w:val="00340BFB"/>
    <w:rsid w:val="00340CFA"/>
    <w:rsid w:val="00341E57"/>
    <w:rsid w:val="00341F1A"/>
    <w:rsid w:val="00342598"/>
    <w:rsid w:val="003426C8"/>
    <w:rsid w:val="0034278F"/>
    <w:rsid w:val="003428D3"/>
    <w:rsid w:val="00342C30"/>
    <w:rsid w:val="00342EE1"/>
    <w:rsid w:val="00342EE5"/>
    <w:rsid w:val="00343357"/>
    <w:rsid w:val="00343925"/>
    <w:rsid w:val="00343C63"/>
    <w:rsid w:val="00343C9C"/>
    <w:rsid w:val="00344858"/>
    <w:rsid w:val="00344C25"/>
    <w:rsid w:val="00345048"/>
    <w:rsid w:val="00345785"/>
    <w:rsid w:val="00345D46"/>
    <w:rsid w:val="0034657E"/>
    <w:rsid w:val="003472E6"/>
    <w:rsid w:val="00347371"/>
    <w:rsid w:val="003476D7"/>
    <w:rsid w:val="003477C9"/>
    <w:rsid w:val="00347CF2"/>
    <w:rsid w:val="0035017F"/>
    <w:rsid w:val="003502E5"/>
    <w:rsid w:val="003508E4"/>
    <w:rsid w:val="00350B5A"/>
    <w:rsid w:val="00350D1F"/>
    <w:rsid w:val="00350D9C"/>
    <w:rsid w:val="00350EF2"/>
    <w:rsid w:val="00351130"/>
    <w:rsid w:val="003518FB"/>
    <w:rsid w:val="00351AD5"/>
    <w:rsid w:val="00351B1A"/>
    <w:rsid w:val="00351C7D"/>
    <w:rsid w:val="00352558"/>
    <w:rsid w:val="00353448"/>
    <w:rsid w:val="00353D7B"/>
    <w:rsid w:val="00354454"/>
    <w:rsid w:val="00354A2A"/>
    <w:rsid w:val="00354A45"/>
    <w:rsid w:val="00354AC1"/>
    <w:rsid w:val="00354B7C"/>
    <w:rsid w:val="00354E32"/>
    <w:rsid w:val="0035567C"/>
    <w:rsid w:val="00355CC8"/>
    <w:rsid w:val="00357346"/>
    <w:rsid w:val="003573DF"/>
    <w:rsid w:val="0035763E"/>
    <w:rsid w:val="00357AEC"/>
    <w:rsid w:val="003605CB"/>
    <w:rsid w:val="003605E9"/>
    <w:rsid w:val="00361108"/>
    <w:rsid w:val="003618A3"/>
    <w:rsid w:val="00362D72"/>
    <w:rsid w:val="00363072"/>
    <w:rsid w:val="003631C0"/>
    <w:rsid w:val="003634B6"/>
    <w:rsid w:val="00364181"/>
    <w:rsid w:val="0036440D"/>
    <w:rsid w:val="003649B3"/>
    <w:rsid w:val="00364B9E"/>
    <w:rsid w:val="00365176"/>
    <w:rsid w:val="0036552F"/>
    <w:rsid w:val="00365916"/>
    <w:rsid w:val="003661DB"/>
    <w:rsid w:val="003662D0"/>
    <w:rsid w:val="003669E6"/>
    <w:rsid w:val="00366A55"/>
    <w:rsid w:val="00367125"/>
    <w:rsid w:val="00367897"/>
    <w:rsid w:val="00367D21"/>
    <w:rsid w:val="00367F75"/>
    <w:rsid w:val="00370DE8"/>
    <w:rsid w:val="0037131B"/>
    <w:rsid w:val="003717AE"/>
    <w:rsid w:val="00371876"/>
    <w:rsid w:val="00371B98"/>
    <w:rsid w:val="003720FD"/>
    <w:rsid w:val="00372175"/>
    <w:rsid w:val="00372670"/>
    <w:rsid w:val="0037293D"/>
    <w:rsid w:val="00372A5E"/>
    <w:rsid w:val="00372E5E"/>
    <w:rsid w:val="003731E1"/>
    <w:rsid w:val="00373479"/>
    <w:rsid w:val="0037356F"/>
    <w:rsid w:val="00373794"/>
    <w:rsid w:val="003737EA"/>
    <w:rsid w:val="00373E52"/>
    <w:rsid w:val="0037419E"/>
    <w:rsid w:val="00374818"/>
    <w:rsid w:val="003748B1"/>
    <w:rsid w:val="00374D27"/>
    <w:rsid w:val="00374E37"/>
    <w:rsid w:val="00374FF3"/>
    <w:rsid w:val="00375496"/>
    <w:rsid w:val="00377517"/>
    <w:rsid w:val="00377951"/>
    <w:rsid w:val="00377AA2"/>
    <w:rsid w:val="00377D61"/>
    <w:rsid w:val="00380888"/>
    <w:rsid w:val="00380CD1"/>
    <w:rsid w:val="003813A5"/>
    <w:rsid w:val="003819A8"/>
    <w:rsid w:val="003819F4"/>
    <w:rsid w:val="00382768"/>
    <w:rsid w:val="00382B0B"/>
    <w:rsid w:val="003834F3"/>
    <w:rsid w:val="00383518"/>
    <w:rsid w:val="003839F8"/>
    <w:rsid w:val="00383A0C"/>
    <w:rsid w:val="00383C68"/>
    <w:rsid w:val="0038433A"/>
    <w:rsid w:val="003846EB"/>
    <w:rsid w:val="00384D39"/>
    <w:rsid w:val="00384EAA"/>
    <w:rsid w:val="00385A28"/>
    <w:rsid w:val="00385ABF"/>
    <w:rsid w:val="00385C9C"/>
    <w:rsid w:val="00386357"/>
    <w:rsid w:val="0038684A"/>
    <w:rsid w:val="00387053"/>
    <w:rsid w:val="00387621"/>
    <w:rsid w:val="00387796"/>
    <w:rsid w:val="00387FC9"/>
    <w:rsid w:val="00390261"/>
    <w:rsid w:val="0039066B"/>
    <w:rsid w:val="00390805"/>
    <w:rsid w:val="0039097C"/>
    <w:rsid w:val="00390C7C"/>
    <w:rsid w:val="00390CAF"/>
    <w:rsid w:val="00391089"/>
    <w:rsid w:val="00391590"/>
    <w:rsid w:val="003915DF"/>
    <w:rsid w:val="003919BF"/>
    <w:rsid w:val="0039242B"/>
    <w:rsid w:val="00392844"/>
    <w:rsid w:val="00392B83"/>
    <w:rsid w:val="00392D43"/>
    <w:rsid w:val="003936A8"/>
    <w:rsid w:val="00394503"/>
    <w:rsid w:val="00394C5A"/>
    <w:rsid w:val="00394DEB"/>
    <w:rsid w:val="003950C5"/>
    <w:rsid w:val="00395FC9"/>
    <w:rsid w:val="003961AE"/>
    <w:rsid w:val="00396FDC"/>
    <w:rsid w:val="0039736A"/>
    <w:rsid w:val="003974AB"/>
    <w:rsid w:val="00397946"/>
    <w:rsid w:val="003A0890"/>
    <w:rsid w:val="003A0A78"/>
    <w:rsid w:val="003A0C73"/>
    <w:rsid w:val="003A0E16"/>
    <w:rsid w:val="003A0ED7"/>
    <w:rsid w:val="003A1037"/>
    <w:rsid w:val="003A1403"/>
    <w:rsid w:val="003A186B"/>
    <w:rsid w:val="003A190B"/>
    <w:rsid w:val="003A1B93"/>
    <w:rsid w:val="003A1CF3"/>
    <w:rsid w:val="003A21C3"/>
    <w:rsid w:val="003A242F"/>
    <w:rsid w:val="003A2693"/>
    <w:rsid w:val="003A27BA"/>
    <w:rsid w:val="003A28B0"/>
    <w:rsid w:val="003A2AE0"/>
    <w:rsid w:val="003A2BC9"/>
    <w:rsid w:val="003A3247"/>
    <w:rsid w:val="003A3382"/>
    <w:rsid w:val="003A3678"/>
    <w:rsid w:val="003A3D5A"/>
    <w:rsid w:val="003A4666"/>
    <w:rsid w:val="003A48C4"/>
    <w:rsid w:val="003A49D8"/>
    <w:rsid w:val="003A5645"/>
    <w:rsid w:val="003A5A41"/>
    <w:rsid w:val="003A5E3E"/>
    <w:rsid w:val="003A5F77"/>
    <w:rsid w:val="003A603F"/>
    <w:rsid w:val="003A6590"/>
    <w:rsid w:val="003A6902"/>
    <w:rsid w:val="003A70CD"/>
    <w:rsid w:val="003A7881"/>
    <w:rsid w:val="003B00E5"/>
    <w:rsid w:val="003B041F"/>
    <w:rsid w:val="003B0E50"/>
    <w:rsid w:val="003B115B"/>
    <w:rsid w:val="003B17B4"/>
    <w:rsid w:val="003B1958"/>
    <w:rsid w:val="003B1CBD"/>
    <w:rsid w:val="003B2139"/>
    <w:rsid w:val="003B22CE"/>
    <w:rsid w:val="003B2E4C"/>
    <w:rsid w:val="003B3099"/>
    <w:rsid w:val="003B3325"/>
    <w:rsid w:val="003B33B7"/>
    <w:rsid w:val="003B344D"/>
    <w:rsid w:val="003B3865"/>
    <w:rsid w:val="003B3D53"/>
    <w:rsid w:val="003B4015"/>
    <w:rsid w:val="003B4706"/>
    <w:rsid w:val="003B4EAE"/>
    <w:rsid w:val="003B51BA"/>
    <w:rsid w:val="003B51E4"/>
    <w:rsid w:val="003B66BB"/>
    <w:rsid w:val="003B6BB4"/>
    <w:rsid w:val="003B6C6E"/>
    <w:rsid w:val="003B6F4D"/>
    <w:rsid w:val="003B6FE2"/>
    <w:rsid w:val="003B7006"/>
    <w:rsid w:val="003B7403"/>
    <w:rsid w:val="003B76FD"/>
    <w:rsid w:val="003B7793"/>
    <w:rsid w:val="003B7D1A"/>
    <w:rsid w:val="003B7F3F"/>
    <w:rsid w:val="003C009C"/>
    <w:rsid w:val="003C0205"/>
    <w:rsid w:val="003C0836"/>
    <w:rsid w:val="003C1044"/>
    <w:rsid w:val="003C166D"/>
    <w:rsid w:val="003C1777"/>
    <w:rsid w:val="003C18CE"/>
    <w:rsid w:val="003C1E0A"/>
    <w:rsid w:val="003C358E"/>
    <w:rsid w:val="003C3AD8"/>
    <w:rsid w:val="003C3F67"/>
    <w:rsid w:val="003C4151"/>
    <w:rsid w:val="003C4605"/>
    <w:rsid w:val="003C4AE7"/>
    <w:rsid w:val="003C4C77"/>
    <w:rsid w:val="003C588C"/>
    <w:rsid w:val="003C5D64"/>
    <w:rsid w:val="003C5ED4"/>
    <w:rsid w:val="003C7424"/>
    <w:rsid w:val="003C77D8"/>
    <w:rsid w:val="003C78C8"/>
    <w:rsid w:val="003D053E"/>
    <w:rsid w:val="003D0B64"/>
    <w:rsid w:val="003D1BFB"/>
    <w:rsid w:val="003D2380"/>
    <w:rsid w:val="003D252F"/>
    <w:rsid w:val="003D28D7"/>
    <w:rsid w:val="003D2962"/>
    <w:rsid w:val="003D2AAD"/>
    <w:rsid w:val="003D2AC4"/>
    <w:rsid w:val="003D4247"/>
    <w:rsid w:val="003D4290"/>
    <w:rsid w:val="003D46DE"/>
    <w:rsid w:val="003D4858"/>
    <w:rsid w:val="003D511A"/>
    <w:rsid w:val="003D54A4"/>
    <w:rsid w:val="003D57DA"/>
    <w:rsid w:val="003D5B96"/>
    <w:rsid w:val="003D5CCE"/>
    <w:rsid w:val="003D5DFD"/>
    <w:rsid w:val="003D695B"/>
    <w:rsid w:val="003D6F45"/>
    <w:rsid w:val="003D70A2"/>
    <w:rsid w:val="003D7C41"/>
    <w:rsid w:val="003E0302"/>
    <w:rsid w:val="003E0990"/>
    <w:rsid w:val="003E0D5E"/>
    <w:rsid w:val="003E1FD1"/>
    <w:rsid w:val="003E1FF6"/>
    <w:rsid w:val="003E459B"/>
    <w:rsid w:val="003E4FE9"/>
    <w:rsid w:val="003E5DA0"/>
    <w:rsid w:val="003E6210"/>
    <w:rsid w:val="003E6D7F"/>
    <w:rsid w:val="003E70BD"/>
    <w:rsid w:val="003E717D"/>
    <w:rsid w:val="003E7870"/>
    <w:rsid w:val="003E7A9E"/>
    <w:rsid w:val="003E7DCC"/>
    <w:rsid w:val="003E7F6B"/>
    <w:rsid w:val="003F0B52"/>
    <w:rsid w:val="003F139A"/>
    <w:rsid w:val="003F14C5"/>
    <w:rsid w:val="003F1D5B"/>
    <w:rsid w:val="003F24AC"/>
    <w:rsid w:val="003F29E0"/>
    <w:rsid w:val="003F2DC4"/>
    <w:rsid w:val="003F3912"/>
    <w:rsid w:val="003F3ADC"/>
    <w:rsid w:val="003F3E6E"/>
    <w:rsid w:val="003F3F82"/>
    <w:rsid w:val="003F4328"/>
    <w:rsid w:val="003F4B09"/>
    <w:rsid w:val="003F4D0A"/>
    <w:rsid w:val="003F513F"/>
    <w:rsid w:val="003F5718"/>
    <w:rsid w:val="003F57A5"/>
    <w:rsid w:val="003F5B7E"/>
    <w:rsid w:val="003F5CA1"/>
    <w:rsid w:val="003F615B"/>
    <w:rsid w:val="003F71E4"/>
    <w:rsid w:val="003F73CD"/>
    <w:rsid w:val="003F778D"/>
    <w:rsid w:val="003F7940"/>
    <w:rsid w:val="003F7B69"/>
    <w:rsid w:val="00400403"/>
    <w:rsid w:val="00400404"/>
    <w:rsid w:val="004008D9"/>
    <w:rsid w:val="004009A8"/>
    <w:rsid w:val="0040107C"/>
    <w:rsid w:val="004010D8"/>
    <w:rsid w:val="0040169E"/>
    <w:rsid w:val="004017D4"/>
    <w:rsid w:val="00401AD2"/>
    <w:rsid w:val="00401ADD"/>
    <w:rsid w:val="00401C29"/>
    <w:rsid w:val="004020B1"/>
    <w:rsid w:val="00402BA6"/>
    <w:rsid w:val="0040311D"/>
    <w:rsid w:val="00403264"/>
    <w:rsid w:val="00403652"/>
    <w:rsid w:val="00403853"/>
    <w:rsid w:val="0040498E"/>
    <w:rsid w:val="00404DD3"/>
    <w:rsid w:val="00405001"/>
    <w:rsid w:val="004057E3"/>
    <w:rsid w:val="00405A73"/>
    <w:rsid w:val="00405BA8"/>
    <w:rsid w:val="00405BD3"/>
    <w:rsid w:val="00405E48"/>
    <w:rsid w:val="00405EC1"/>
    <w:rsid w:val="0040619E"/>
    <w:rsid w:val="00406390"/>
    <w:rsid w:val="00406D00"/>
    <w:rsid w:val="00407676"/>
    <w:rsid w:val="00407743"/>
    <w:rsid w:val="00407F6C"/>
    <w:rsid w:val="00410339"/>
    <w:rsid w:val="00410A7F"/>
    <w:rsid w:val="00410E29"/>
    <w:rsid w:val="00410E3A"/>
    <w:rsid w:val="00411224"/>
    <w:rsid w:val="00411580"/>
    <w:rsid w:val="00411EBE"/>
    <w:rsid w:val="00412362"/>
    <w:rsid w:val="00412D59"/>
    <w:rsid w:val="00412EE4"/>
    <w:rsid w:val="004132A6"/>
    <w:rsid w:val="0041345F"/>
    <w:rsid w:val="004138FB"/>
    <w:rsid w:val="00413AFD"/>
    <w:rsid w:val="00413E11"/>
    <w:rsid w:val="004148D1"/>
    <w:rsid w:val="00414945"/>
    <w:rsid w:val="00415087"/>
    <w:rsid w:val="004150BC"/>
    <w:rsid w:val="00415A4C"/>
    <w:rsid w:val="00415B4E"/>
    <w:rsid w:val="00415C9F"/>
    <w:rsid w:val="004179C1"/>
    <w:rsid w:val="00417B39"/>
    <w:rsid w:val="004206F3"/>
    <w:rsid w:val="004208F0"/>
    <w:rsid w:val="0042090C"/>
    <w:rsid w:val="00420D45"/>
    <w:rsid w:val="004218D8"/>
    <w:rsid w:val="00422429"/>
    <w:rsid w:val="0042276F"/>
    <w:rsid w:val="00422ABD"/>
    <w:rsid w:val="004231C1"/>
    <w:rsid w:val="00423541"/>
    <w:rsid w:val="0042366E"/>
    <w:rsid w:val="00423CA8"/>
    <w:rsid w:val="0042401B"/>
    <w:rsid w:val="0042424B"/>
    <w:rsid w:val="00424438"/>
    <w:rsid w:val="00424574"/>
    <w:rsid w:val="00424B91"/>
    <w:rsid w:val="00425664"/>
    <w:rsid w:val="0042571C"/>
    <w:rsid w:val="00425DD9"/>
    <w:rsid w:val="004263BF"/>
    <w:rsid w:val="00426A3F"/>
    <w:rsid w:val="00426F3B"/>
    <w:rsid w:val="00427793"/>
    <w:rsid w:val="00427B2F"/>
    <w:rsid w:val="00427D48"/>
    <w:rsid w:val="00427DD9"/>
    <w:rsid w:val="00430293"/>
    <w:rsid w:val="00430856"/>
    <w:rsid w:val="00430A2F"/>
    <w:rsid w:val="00431377"/>
    <w:rsid w:val="004315E2"/>
    <w:rsid w:val="004316AA"/>
    <w:rsid w:val="004316C0"/>
    <w:rsid w:val="00431823"/>
    <w:rsid w:val="0043195C"/>
    <w:rsid w:val="00431D40"/>
    <w:rsid w:val="00431D5A"/>
    <w:rsid w:val="00431E1E"/>
    <w:rsid w:val="00432493"/>
    <w:rsid w:val="00432F7D"/>
    <w:rsid w:val="00434310"/>
    <w:rsid w:val="00434560"/>
    <w:rsid w:val="00434600"/>
    <w:rsid w:val="00434FD2"/>
    <w:rsid w:val="004351EF"/>
    <w:rsid w:val="004355B9"/>
    <w:rsid w:val="00435685"/>
    <w:rsid w:val="00435C17"/>
    <w:rsid w:val="00435C1C"/>
    <w:rsid w:val="00435E1C"/>
    <w:rsid w:val="00435F12"/>
    <w:rsid w:val="00436203"/>
    <w:rsid w:val="004362A5"/>
    <w:rsid w:val="004368F8"/>
    <w:rsid w:val="0043739C"/>
    <w:rsid w:val="0043792D"/>
    <w:rsid w:val="00440269"/>
    <w:rsid w:val="004413CC"/>
    <w:rsid w:val="00441DC7"/>
    <w:rsid w:val="0044208F"/>
    <w:rsid w:val="0044218A"/>
    <w:rsid w:val="004424C1"/>
    <w:rsid w:val="0044275B"/>
    <w:rsid w:val="004429BF"/>
    <w:rsid w:val="00442A4D"/>
    <w:rsid w:val="00443351"/>
    <w:rsid w:val="004438AF"/>
    <w:rsid w:val="0044427A"/>
    <w:rsid w:val="0044483D"/>
    <w:rsid w:val="004459D8"/>
    <w:rsid w:val="00445A7F"/>
    <w:rsid w:val="00445B86"/>
    <w:rsid w:val="00445C06"/>
    <w:rsid w:val="00445F0A"/>
    <w:rsid w:val="0044600D"/>
    <w:rsid w:val="004467C3"/>
    <w:rsid w:val="00447043"/>
    <w:rsid w:val="0044709C"/>
    <w:rsid w:val="00447DE7"/>
    <w:rsid w:val="00450258"/>
    <w:rsid w:val="00450BF4"/>
    <w:rsid w:val="00450C5E"/>
    <w:rsid w:val="00451956"/>
    <w:rsid w:val="00451A2A"/>
    <w:rsid w:val="00451AD8"/>
    <w:rsid w:val="00451FC7"/>
    <w:rsid w:val="00452154"/>
    <w:rsid w:val="004528B7"/>
    <w:rsid w:val="00453252"/>
    <w:rsid w:val="00453895"/>
    <w:rsid w:val="0045405B"/>
    <w:rsid w:val="00454585"/>
    <w:rsid w:val="004551E8"/>
    <w:rsid w:val="004555FA"/>
    <w:rsid w:val="00455C24"/>
    <w:rsid w:val="00455EA4"/>
    <w:rsid w:val="004560B0"/>
    <w:rsid w:val="0045621B"/>
    <w:rsid w:val="004566D3"/>
    <w:rsid w:val="00456B65"/>
    <w:rsid w:val="004578DA"/>
    <w:rsid w:val="00457CB6"/>
    <w:rsid w:val="00461761"/>
    <w:rsid w:val="004619E2"/>
    <w:rsid w:val="00461DCB"/>
    <w:rsid w:val="00462792"/>
    <w:rsid w:val="00462C52"/>
    <w:rsid w:val="00462D40"/>
    <w:rsid w:val="00463070"/>
    <w:rsid w:val="004630E2"/>
    <w:rsid w:val="00463481"/>
    <w:rsid w:val="004634C0"/>
    <w:rsid w:val="004636A4"/>
    <w:rsid w:val="00464034"/>
    <w:rsid w:val="004645EE"/>
    <w:rsid w:val="004648A0"/>
    <w:rsid w:val="00464BC7"/>
    <w:rsid w:val="004659BC"/>
    <w:rsid w:val="00465BD6"/>
    <w:rsid w:val="00465EDC"/>
    <w:rsid w:val="004673F6"/>
    <w:rsid w:val="00467E6A"/>
    <w:rsid w:val="00467E80"/>
    <w:rsid w:val="00470FE0"/>
    <w:rsid w:val="0047182A"/>
    <w:rsid w:val="00471D09"/>
    <w:rsid w:val="004722D5"/>
    <w:rsid w:val="004733B5"/>
    <w:rsid w:val="00473461"/>
    <w:rsid w:val="00473585"/>
    <w:rsid w:val="0047364C"/>
    <w:rsid w:val="00473EEC"/>
    <w:rsid w:val="00474378"/>
    <w:rsid w:val="004747AE"/>
    <w:rsid w:val="00475150"/>
    <w:rsid w:val="00475830"/>
    <w:rsid w:val="00475BDC"/>
    <w:rsid w:val="004761E3"/>
    <w:rsid w:val="00476D7B"/>
    <w:rsid w:val="00476FB4"/>
    <w:rsid w:val="00477174"/>
    <w:rsid w:val="00477B37"/>
    <w:rsid w:val="00480DB8"/>
    <w:rsid w:val="00480FC1"/>
    <w:rsid w:val="0048139E"/>
    <w:rsid w:val="00481467"/>
    <w:rsid w:val="004815B3"/>
    <w:rsid w:val="00481C48"/>
    <w:rsid w:val="00481CD6"/>
    <w:rsid w:val="00481CF1"/>
    <w:rsid w:val="0048242D"/>
    <w:rsid w:val="004825EA"/>
    <w:rsid w:val="00482BC0"/>
    <w:rsid w:val="00483359"/>
    <w:rsid w:val="004835AA"/>
    <w:rsid w:val="00483950"/>
    <w:rsid w:val="00484E2D"/>
    <w:rsid w:val="004854A4"/>
    <w:rsid w:val="004856E6"/>
    <w:rsid w:val="004857C7"/>
    <w:rsid w:val="00485CCF"/>
    <w:rsid w:val="00485FA4"/>
    <w:rsid w:val="00486C3A"/>
    <w:rsid w:val="00486CC3"/>
    <w:rsid w:val="0048712E"/>
    <w:rsid w:val="00487881"/>
    <w:rsid w:val="00487CE5"/>
    <w:rsid w:val="0049019F"/>
    <w:rsid w:val="0049036A"/>
    <w:rsid w:val="004905DA"/>
    <w:rsid w:val="00490819"/>
    <w:rsid w:val="00490A2D"/>
    <w:rsid w:val="00490E30"/>
    <w:rsid w:val="00490EBD"/>
    <w:rsid w:val="004910E4"/>
    <w:rsid w:val="004915B0"/>
    <w:rsid w:val="00492FB8"/>
    <w:rsid w:val="004931B3"/>
    <w:rsid w:val="004934DC"/>
    <w:rsid w:val="0049374F"/>
    <w:rsid w:val="00493856"/>
    <w:rsid w:val="0049406D"/>
    <w:rsid w:val="0049432F"/>
    <w:rsid w:val="00494931"/>
    <w:rsid w:val="00494E20"/>
    <w:rsid w:val="00494EE8"/>
    <w:rsid w:val="0049534A"/>
    <w:rsid w:val="00495C96"/>
    <w:rsid w:val="00495D72"/>
    <w:rsid w:val="00495E00"/>
    <w:rsid w:val="00496412"/>
    <w:rsid w:val="00496637"/>
    <w:rsid w:val="0049666B"/>
    <w:rsid w:val="004968A9"/>
    <w:rsid w:val="00496AFC"/>
    <w:rsid w:val="0049714A"/>
    <w:rsid w:val="004975A9"/>
    <w:rsid w:val="00497AE5"/>
    <w:rsid w:val="00497C26"/>
    <w:rsid w:val="004A0151"/>
    <w:rsid w:val="004A028C"/>
    <w:rsid w:val="004A0802"/>
    <w:rsid w:val="004A09AE"/>
    <w:rsid w:val="004A0F26"/>
    <w:rsid w:val="004A19B8"/>
    <w:rsid w:val="004A1D0F"/>
    <w:rsid w:val="004A229D"/>
    <w:rsid w:val="004A22A1"/>
    <w:rsid w:val="004A2391"/>
    <w:rsid w:val="004A24CB"/>
    <w:rsid w:val="004A2D69"/>
    <w:rsid w:val="004A2ED8"/>
    <w:rsid w:val="004A3931"/>
    <w:rsid w:val="004A3949"/>
    <w:rsid w:val="004A4BFB"/>
    <w:rsid w:val="004A4E17"/>
    <w:rsid w:val="004A5076"/>
    <w:rsid w:val="004A57AF"/>
    <w:rsid w:val="004A5A1E"/>
    <w:rsid w:val="004A6101"/>
    <w:rsid w:val="004A6231"/>
    <w:rsid w:val="004A65BF"/>
    <w:rsid w:val="004A6F9A"/>
    <w:rsid w:val="004A7261"/>
    <w:rsid w:val="004B068A"/>
    <w:rsid w:val="004B0B40"/>
    <w:rsid w:val="004B0E6A"/>
    <w:rsid w:val="004B19C9"/>
    <w:rsid w:val="004B2592"/>
    <w:rsid w:val="004B2E5A"/>
    <w:rsid w:val="004B320A"/>
    <w:rsid w:val="004B3D1D"/>
    <w:rsid w:val="004B3F3D"/>
    <w:rsid w:val="004B4414"/>
    <w:rsid w:val="004B44A6"/>
    <w:rsid w:val="004B4640"/>
    <w:rsid w:val="004B4D7D"/>
    <w:rsid w:val="004B4E09"/>
    <w:rsid w:val="004B4ED1"/>
    <w:rsid w:val="004B5123"/>
    <w:rsid w:val="004B517E"/>
    <w:rsid w:val="004B5420"/>
    <w:rsid w:val="004B575D"/>
    <w:rsid w:val="004B58CF"/>
    <w:rsid w:val="004B5BA1"/>
    <w:rsid w:val="004B5F37"/>
    <w:rsid w:val="004B6A30"/>
    <w:rsid w:val="004B6DBF"/>
    <w:rsid w:val="004B7D49"/>
    <w:rsid w:val="004B7D53"/>
    <w:rsid w:val="004B7FA8"/>
    <w:rsid w:val="004C0362"/>
    <w:rsid w:val="004C08C5"/>
    <w:rsid w:val="004C08F8"/>
    <w:rsid w:val="004C10A3"/>
    <w:rsid w:val="004C1380"/>
    <w:rsid w:val="004C18C0"/>
    <w:rsid w:val="004C1932"/>
    <w:rsid w:val="004C1DA2"/>
    <w:rsid w:val="004C25B0"/>
    <w:rsid w:val="004C2837"/>
    <w:rsid w:val="004C2DB4"/>
    <w:rsid w:val="004C39E9"/>
    <w:rsid w:val="004C3E7F"/>
    <w:rsid w:val="004C4091"/>
    <w:rsid w:val="004C4498"/>
    <w:rsid w:val="004C4552"/>
    <w:rsid w:val="004C465E"/>
    <w:rsid w:val="004C46CE"/>
    <w:rsid w:val="004C50FC"/>
    <w:rsid w:val="004C583A"/>
    <w:rsid w:val="004C633B"/>
    <w:rsid w:val="004C6376"/>
    <w:rsid w:val="004C6C4F"/>
    <w:rsid w:val="004C6D4A"/>
    <w:rsid w:val="004C7492"/>
    <w:rsid w:val="004C7AB5"/>
    <w:rsid w:val="004D04CF"/>
    <w:rsid w:val="004D05AF"/>
    <w:rsid w:val="004D05C4"/>
    <w:rsid w:val="004D0A7B"/>
    <w:rsid w:val="004D0AA0"/>
    <w:rsid w:val="004D164B"/>
    <w:rsid w:val="004D1876"/>
    <w:rsid w:val="004D1D41"/>
    <w:rsid w:val="004D21BC"/>
    <w:rsid w:val="004D2222"/>
    <w:rsid w:val="004D2BBB"/>
    <w:rsid w:val="004D36AE"/>
    <w:rsid w:val="004D4329"/>
    <w:rsid w:val="004D4684"/>
    <w:rsid w:val="004D4930"/>
    <w:rsid w:val="004D4B42"/>
    <w:rsid w:val="004D4BBD"/>
    <w:rsid w:val="004D5610"/>
    <w:rsid w:val="004D57B5"/>
    <w:rsid w:val="004D5B6C"/>
    <w:rsid w:val="004D5ECF"/>
    <w:rsid w:val="004D6155"/>
    <w:rsid w:val="004D61E3"/>
    <w:rsid w:val="004D67BF"/>
    <w:rsid w:val="004D7310"/>
    <w:rsid w:val="004D77D7"/>
    <w:rsid w:val="004E00C2"/>
    <w:rsid w:val="004E1C34"/>
    <w:rsid w:val="004E23C4"/>
    <w:rsid w:val="004E2A50"/>
    <w:rsid w:val="004E2F42"/>
    <w:rsid w:val="004E322A"/>
    <w:rsid w:val="004E39AA"/>
    <w:rsid w:val="004E4227"/>
    <w:rsid w:val="004E49D7"/>
    <w:rsid w:val="004E4C2B"/>
    <w:rsid w:val="004E4ED0"/>
    <w:rsid w:val="004E658B"/>
    <w:rsid w:val="004E6D19"/>
    <w:rsid w:val="004E6E84"/>
    <w:rsid w:val="004E75D1"/>
    <w:rsid w:val="004F0124"/>
    <w:rsid w:val="004F049B"/>
    <w:rsid w:val="004F0B57"/>
    <w:rsid w:val="004F11CA"/>
    <w:rsid w:val="004F16C3"/>
    <w:rsid w:val="004F19C3"/>
    <w:rsid w:val="004F1D55"/>
    <w:rsid w:val="004F1DBB"/>
    <w:rsid w:val="004F25D6"/>
    <w:rsid w:val="004F327C"/>
    <w:rsid w:val="004F33DF"/>
    <w:rsid w:val="004F3A5A"/>
    <w:rsid w:val="004F454D"/>
    <w:rsid w:val="004F5090"/>
    <w:rsid w:val="004F59B2"/>
    <w:rsid w:val="004F5BC6"/>
    <w:rsid w:val="004F6C1C"/>
    <w:rsid w:val="004F6EF2"/>
    <w:rsid w:val="004F738E"/>
    <w:rsid w:val="004F73BB"/>
    <w:rsid w:val="004F789F"/>
    <w:rsid w:val="005003E4"/>
    <w:rsid w:val="005006E9"/>
    <w:rsid w:val="005006FF"/>
    <w:rsid w:val="00500B81"/>
    <w:rsid w:val="00500DF2"/>
    <w:rsid w:val="005010D5"/>
    <w:rsid w:val="005017E8"/>
    <w:rsid w:val="005018FF"/>
    <w:rsid w:val="00501A3D"/>
    <w:rsid w:val="00501AC5"/>
    <w:rsid w:val="00501C97"/>
    <w:rsid w:val="00501FF5"/>
    <w:rsid w:val="00502310"/>
    <w:rsid w:val="00502687"/>
    <w:rsid w:val="005026C3"/>
    <w:rsid w:val="005028CC"/>
    <w:rsid w:val="005036B7"/>
    <w:rsid w:val="00503B91"/>
    <w:rsid w:val="00504524"/>
    <w:rsid w:val="0050492F"/>
    <w:rsid w:val="00504E78"/>
    <w:rsid w:val="0050533A"/>
    <w:rsid w:val="00505B65"/>
    <w:rsid w:val="00505FEB"/>
    <w:rsid w:val="005061D7"/>
    <w:rsid w:val="00506A93"/>
    <w:rsid w:val="00506C3B"/>
    <w:rsid w:val="0050723F"/>
    <w:rsid w:val="00507354"/>
    <w:rsid w:val="005078A6"/>
    <w:rsid w:val="0050796D"/>
    <w:rsid w:val="00507E91"/>
    <w:rsid w:val="005110C9"/>
    <w:rsid w:val="005111D3"/>
    <w:rsid w:val="005112E2"/>
    <w:rsid w:val="00511354"/>
    <w:rsid w:val="00511427"/>
    <w:rsid w:val="00511CB7"/>
    <w:rsid w:val="00511DA1"/>
    <w:rsid w:val="005120CC"/>
    <w:rsid w:val="005120D4"/>
    <w:rsid w:val="00512426"/>
    <w:rsid w:val="0051261A"/>
    <w:rsid w:val="00512BC7"/>
    <w:rsid w:val="00513933"/>
    <w:rsid w:val="005139D2"/>
    <w:rsid w:val="00513D1D"/>
    <w:rsid w:val="00514222"/>
    <w:rsid w:val="005142E8"/>
    <w:rsid w:val="00514A94"/>
    <w:rsid w:val="00515370"/>
    <w:rsid w:val="00515619"/>
    <w:rsid w:val="00516186"/>
    <w:rsid w:val="0051652A"/>
    <w:rsid w:val="00516876"/>
    <w:rsid w:val="00516CC3"/>
    <w:rsid w:val="00516D33"/>
    <w:rsid w:val="00517177"/>
    <w:rsid w:val="005172D8"/>
    <w:rsid w:val="00521688"/>
    <w:rsid w:val="00521857"/>
    <w:rsid w:val="005219EF"/>
    <w:rsid w:val="00521AAE"/>
    <w:rsid w:val="00521DFE"/>
    <w:rsid w:val="00521F3C"/>
    <w:rsid w:val="00523846"/>
    <w:rsid w:val="00523A6D"/>
    <w:rsid w:val="00523F4A"/>
    <w:rsid w:val="00524156"/>
    <w:rsid w:val="00525470"/>
    <w:rsid w:val="005258D3"/>
    <w:rsid w:val="00525ECC"/>
    <w:rsid w:val="005261BC"/>
    <w:rsid w:val="0052633C"/>
    <w:rsid w:val="00526890"/>
    <w:rsid w:val="00526927"/>
    <w:rsid w:val="00526E82"/>
    <w:rsid w:val="0052710F"/>
    <w:rsid w:val="00527733"/>
    <w:rsid w:val="0052782E"/>
    <w:rsid w:val="00527918"/>
    <w:rsid w:val="00527BF4"/>
    <w:rsid w:val="00530880"/>
    <w:rsid w:val="00530B35"/>
    <w:rsid w:val="00530D7D"/>
    <w:rsid w:val="00531544"/>
    <w:rsid w:val="00531BF2"/>
    <w:rsid w:val="0053208C"/>
    <w:rsid w:val="00532492"/>
    <w:rsid w:val="005327FA"/>
    <w:rsid w:val="00532E43"/>
    <w:rsid w:val="00532E51"/>
    <w:rsid w:val="00532E54"/>
    <w:rsid w:val="00532FE7"/>
    <w:rsid w:val="00534647"/>
    <w:rsid w:val="005346F0"/>
    <w:rsid w:val="00534F7F"/>
    <w:rsid w:val="00535A98"/>
    <w:rsid w:val="00535C58"/>
    <w:rsid w:val="00535D71"/>
    <w:rsid w:val="00536E81"/>
    <w:rsid w:val="005405B9"/>
    <w:rsid w:val="005408A2"/>
    <w:rsid w:val="00541564"/>
    <w:rsid w:val="00541A6B"/>
    <w:rsid w:val="00542323"/>
    <w:rsid w:val="00542588"/>
    <w:rsid w:val="00542A5F"/>
    <w:rsid w:val="00543016"/>
    <w:rsid w:val="005439D2"/>
    <w:rsid w:val="00543BC3"/>
    <w:rsid w:val="00543C5A"/>
    <w:rsid w:val="00544CBF"/>
    <w:rsid w:val="005456B8"/>
    <w:rsid w:val="00545910"/>
    <w:rsid w:val="00545AEF"/>
    <w:rsid w:val="00546843"/>
    <w:rsid w:val="0054687B"/>
    <w:rsid w:val="00546C17"/>
    <w:rsid w:val="00546C43"/>
    <w:rsid w:val="00546C8D"/>
    <w:rsid w:val="00546CFA"/>
    <w:rsid w:val="00547268"/>
    <w:rsid w:val="005475CD"/>
    <w:rsid w:val="005501F0"/>
    <w:rsid w:val="00550AD2"/>
    <w:rsid w:val="00551908"/>
    <w:rsid w:val="005525F3"/>
    <w:rsid w:val="00552739"/>
    <w:rsid w:val="0055290E"/>
    <w:rsid w:val="00552A9A"/>
    <w:rsid w:val="00552D5D"/>
    <w:rsid w:val="00552EF5"/>
    <w:rsid w:val="0055329A"/>
    <w:rsid w:val="0055342D"/>
    <w:rsid w:val="00553533"/>
    <w:rsid w:val="0055375B"/>
    <w:rsid w:val="0055377B"/>
    <w:rsid w:val="0055449F"/>
    <w:rsid w:val="005544C6"/>
    <w:rsid w:val="00555815"/>
    <w:rsid w:val="00555A09"/>
    <w:rsid w:val="00555C21"/>
    <w:rsid w:val="0055614A"/>
    <w:rsid w:val="00556C49"/>
    <w:rsid w:val="00556FE1"/>
    <w:rsid w:val="0055785A"/>
    <w:rsid w:val="0056023B"/>
    <w:rsid w:val="00560438"/>
    <w:rsid w:val="005604BF"/>
    <w:rsid w:val="00560639"/>
    <w:rsid w:val="0056067E"/>
    <w:rsid w:val="00560C56"/>
    <w:rsid w:val="005614A1"/>
    <w:rsid w:val="00561679"/>
    <w:rsid w:val="00561895"/>
    <w:rsid w:val="00561E7F"/>
    <w:rsid w:val="0056256D"/>
    <w:rsid w:val="00562917"/>
    <w:rsid w:val="00562EFE"/>
    <w:rsid w:val="005630DE"/>
    <w:rsid w:val="00563330"/>
    <w:rsid w:val="00563543"/>
    <w:rsid w:val="00563CF8"/>
    <w:rsid w:val="00563E63"/>
    <w:rsid w:val="005649D5"/>
    <w:rsid w:val="005649E1"/>
    <w:rsid w:val="00564EC9"/>
    <w:rsid w:val="005655CB"/>
    <w:rsid w:val="005658EC"/>
    <w:rsid w:val="005659C1"/>
    <w:rsid w:val="00565BA1"/>
    <w:rsid w:val="005665ED"/>
    <w:rsid w:val="005666CD"/>
    <w:rsid w:val="00567244"/>
    <w:rsid w:val="0056732F"/>
    <w:rsid w:val="0056759B"/>
    <w:rsid w:val="00570245"/>
    <w:rsid w:val="00570307"/>
    <w:rsid w:val="0057081E"/>
    <w:rsid w:val="00570DA6"/>
    <w:rsid w:val="00570E1E"/>
    <w:rsid w:val="00570FFE"/>
    <w:rsid w:val="00571247"/>
    <w:rsid w:val="005713BE"/>
    <w:rsid w:val="0057170B"/>
    <w:rsid w:val="00571934"/>
    <w:rsid w:val="00572488"/>
    <w:rsid w:val="0057257B"/>
    <w:rsid w:val="00572795"/>
    <w:rsid w:val="00572B1D"/>
    <w:rsid w:val="00572E19"/>
    <w:rsid w:val="00572E42"/>
    <w:rsid w:val="0057390F"/>
    <w:rsid w:val="00574109"/>
    <w:rsid w:val="005741DA"/>
    <w:rsid w:val="00575047"/>
    <w:rsid w:val="00575CE5"/>
    <w:rsid w:val="0057616D"/>
    <w:rsid w:val="00576ADA"/>
    <w:rsid w:val="00577001"/>
    <w:rsid w:val="0057709C"/>
    <w:rsid w:val="00577A9A"/>
    <w:rsid w:val="00580B40"/>
    <w:rsid w:val="00580B9F"/>
    <w:rsid w:val="00580E0B"/>
    <w:rsid w:val="005813A8"/>
    <w:rsid w:val="00581E09"/>
    <w:rsid w:val="005827E3"/>
    <w:rsid w:val="0058336F"/>
    <w:rsid w:val="005836C7"/>
    <w:rsid w:val="00583D2F"/>
    <w:rsid w:val="00583EA5"/>
    <w:rsid w:val="00584225"/>
    <w:rsid w:val="0058423B"/>
    <w:rsid w:val="00584372"/>
    <w:rsid w:val="00584850"/>
    <w:rsid w:val="005852E1"/>
    <w:rsid w:val="005859C5"/>
    <w:rsid w:val="00586186"/>
    <w:rsid w:val="00586624"/>
    <w:rsid w:val="005867B7"/>
    <w:rsid w:val="00586918"/>
    <w:rsid w:val="00586CE5"/>
    <w:rsid w:val="00586F03"/>
    <w:rsid w:val="00586F07"/>
    <w:rsid w:val="0058729E"/>
    <w:rsid w:val="00587D7D"/>
    <w:rsid w:val="0059012B"/>
    <w:rsid w:val="0059071B"/>
    <w:rsid w:val="00590B25"/>
    <w:rsid w:val="00590DEC"/>
    <w:rsid w:val="00590E51"/>
    <w:rsid w:val="0059160B"/>
    <w:rsid w:val="00591678"/>
    <w:rsid w:val="00591907"/>
    <w:rsid w:val="00591C83"/>
    <w:rsid w:val="00592881"/>
    <w:rsid w:val="00593644"/>
    <w:rsid w:val="0059379B"/>
    <w:rsid w:val="00593992"/>
    <w:rsid w:val="00593E1F"/>
    <w:rsid w:val="00594013"/>
    <w:rsid w:val="005945CD"/>
    <w:rsid w:val="005945F6"/>
    <w:rsid w:val="00594BF8"/>
    <w:rsid w:val="0059560D"/>
    <w:rsid w:val="00595920"/>
    <w:rsid w:val="0059616A"/>
    <w:rsid w:val="00596250"/>
    <w:rsid w:val="00596939"/>
    <w:rsid w:val="00596C5B"/>
    <w:rsid w:val="00596CB6"/>
    <w:rsid w:val="005978BE"/>
    <w:rsid w:val="00597C81"/>
    <w:rsid w:val="005A01C0"/>
    <w:rsid w:val="005A22FF"/>
    <w:rsid w:val="005A24EE"/>
    <w:rsid w:val="005A2AF7"/>
    <w:rsid w:val="005A2E54"/>
    <w:rsid w:val="005A35F4"/>
    <w:rsid w:val="005A505C"/>
    <w:rsid w:val="005A5516"/>
    <w:rsid w:val="005A5613"/>
    <w:rsid w:val="005A5C37"/>
    <w:rsid w:val="005A647D"/>
    <w:rsid w:val="005A7BC7"/>
    <w:rsid w:val="005B09D3"/>
    <w:rsid w:val="005B1424"/>
    <w:rsid w:val="005B1C24"/>
    <w:rsid w:val="005B1E6C"/>
    <w:rsid w:val="005B2298"/>
    <w:rsid w:val="005B25CF"/>
    <w:rsid w:val="005B2870"/>
    <w:rsid w:val="005B2A76"/>
    <w:rsid w:val="005B30EA"/>
    <w:rsid w:val="005B3638"/>
    <w:rsid w:val="005B3651"/>
    <w:rsid w:val="005B40B1"/>
    <w:rsid w:val="005B40C2"/>
    <w:rsid w:val="005B513F"/>
    <w:rsid w:val="005B540F"/>
    <w:rsid w:val="005B661B"/>
    <w:rsid w:val="005B7A3D"/>
    <w:rsid w:val="005B7A69"/>
    <w:rsid w:val="005B7C7A"/>
    <w:rsid w:val="005B7D05"/>
    <w:rsid w:val="005B7DB6"/>
    <w:rsid w:val="005B7ED1"/>
    <w:rsid w:val="005C0266"/>
    <w:rsid w:val="005C0810"/>
    <w:rsid w:val="005C0E47"/>
    <w:rsid w:val="005C16C7"/>
    <w:rsid w:val="005C1C2E"/>
    <w:rsid w:val="005C2613"/>
    <w:rsid w:val="005C2C25"/>
    <w:rsid w:val="005C2C9E"/>
    <w:rsid w:val="005C303F"/>
    <w:rsid w:val="005C379F"/>
    <w:rsid w:val="005C3CF0"/>
    <w:rsid w:val="005C4E2E"/>
    <w:rsid w:val="005C5B7E"/>
    <w:rsid w:val="005C6035"/>
    <w:rsid w:val="005C6551"/>
    <w:rsid w:val="005C6ACA"/>
    <w:rsid w:val="005C7777"/>
    <w:rsid w:val="005D02A2"/>
    <w:rsid w:val="005D073F"/>
    <w:rsid w:val="005D0844"/>
    <w:rsid w:val="005D0AF8"/>
    <w:rsid w:val="005D116A"/>
    <w:rsid w:val="005D1DD5"/>
    <w:rsid w:val="005D1F96"/>
    <w:rsid w:val="005D23FF"/>
    <w:rsid w:val="005D2AA6"/>
    <w:rsid w:val="005D3A05"/>
    <w:rsid w:val="005D3D97"/>
    <w:rsid w:val="005D4578"/>
    <w:rsid w:val="005D4938"/>
    <w:rsid w:val="005D4FD7"/>
    <w:rsid w:val="005D538E"/>
    <w:rsid w:val="005D5C43"/>
    <w:rsid w:val="005D6C8B"/>
    <w:rsid w:val="005D6CC9"/>
    <w:rsid w:val="005D6D3E"/>
    <w:rsid w:val="005D7035"/>
    <w:rsid w:val="005D7140"/>
    <w:rsid w:val="005D7642"/>
    <w:rsid w:val="005E012A"/>
    <w:rsid w:val="005E052A"/>
    <w:rsid w:val="005E1AE9"/>
    <w:rsid w:val="005E1B58"/>
    <w:rsid w:val="005E2046"/>
    <w:rsid w:val="005E2119"/>
    <w:rsid w:val="005E2863"/>
    <w:rsid w:val="005E2E32"/>
    <w:rsid w:val="005E31A4"/>
    <w:rsid w:val="005E3C21"/>
    <w:rsid w:val="005E3DD5"/>
    <w:rsid w:val="005E3FB5"/>
    <w:rsid w:val="005E470B"/>
    <w:rsid w:val="005E4AE4"/>
    <w:rsid w:val="005E4C08"/>
    <w:rsid w:val="005E5095"/>
    <w:rsid w:val="005E5E33"/>
    <w:rsid w:val="005E5E34"/>
    <w:rsid w:val="005E5F92"/>
    <w:rsid w:val="005E6728"/>
    <w:rsid w:val="005E70CA"/>
    <w:rsid w:val="005E7DF2"/>
    <w:rsid w:val="005F02A9"/>
    <w:rsid w:val="005F0330"/>
    <w:rsid w:val="005F055C"/>
    <w:rsid w:val="005F0A99"/>
    <w:rsid w:val="005F0E5D"/>
    <w:rsid w:val="005F0FDC"/>
    <w:rsid w:val="005F12D1"/>
    <w:rsid w:val="005F134A"/>
    <w:rsid w:val="005F2418"/>
    <w:rsid w:val="005F267B"/>
    <w:rsid w:val="005F3310"/>
    <w:rsid w:val="005F36FB"/>
    <w:rsid w:val="005F3F80"/>
    <w:rsid w:val="005F4558"/>
    <w:rsid w:val="005F5068"/>
    <w:rsid w:val="005F5409"/>
    <w:rsid w:val="005F5BE1"/>
    <w:rsid w:val="005F6096"/>
    <w:rsid w:val="005F6520"/>
    <w:rsid w:val="005F6AC3"/>
    <w:rsid w:val="005F6B6C"/>
    <w:rsid w:val="005F7A53"/>
    <w:rsid w:val="005F7AC0"/>
    <w:rsid w:val="005F7C2A"/>
    <w:rsid w:val="005F7EE9"/>
    <w:rsid w:val="0060017A"/>
    <w:rsid w:val="006006A2"/>
    <w:rsid w:val="006009B8"/>
    <w:rsid w:val="00600E3C"/>
    <w:rsid w:val="00602540"/>
    <w:rsid w:val="006028F7"/>
    <w:rsid w:val="00602AD9"/>
    <w:rsid w:val="00602C63"/>
    <w:rsid w:val="00603187"/>
    <w:rsid w:val="006032CE"/>
    <w:rsid w:val="0060341A"/>
    <w:rsid w:val="0060389B"/>
    <w:rsid w:val="00603ED4"/>
    <w:rsid w:val="00604017"/>
    <w:rsid w:val="00604275"/>
    <w:rsid w:val="006047E6"/>
    <w:rsid w:val="00604CE0"/>
    <w:rsid w:val="00605CF1"/>
    <w:rsid w:val="00605DA9"/>
    <w:rsid w:val="00605DC9"/>
    <w:rsid w:val="0060638A"/>
    <w:rsid w:val="006063A7"/>
    <w:rsid w:val="006063EB"/>
    <w:rsid w:val="0060650C"/>
    <w:rsid w:val="00606684"/>
    <w:rsid w:val="00606E6B"/>
    <w:rsid w:val="00607173"/>
    <w:rsid w:val="006078BD"/>
    <w:rsid w:val="00607A19"/>
    <w:rsid w:val="00607C56"/>
    <w:rsid w:val="006101C9"/>
    <w:rsid w:val="006101D6"/>
    <w:rsid w:val="00611483"/>
    <w:rsid w:val="006117D9"/>
    <w:rsid w:val="00612129"/>
    <w:rsid w:val="006126F5"/>
    <w:rsid w:val="00612996"/>
    <w:rsid w:val="006132E0"/>
    <w:rsid w:val="0061337D"/>
    <w:rsid w:val="0061361C"/>
    <w:rsid w:val="00613757"/>
    <w:rsid w:val="00613866"/>
    <w:rsid w:val="00613AA7"/>
    <w:rsid w:val="00613AE2"/>
    <w:rsid w:val="00613B82"/>
    <w:rsid w:val="00613F7E"/>
    <w:rsid w:val="00614AD6"/>
    <w:rsid w:val="006151BC"/>
    <w:rsid w:val="006157F1"/>
    <w:rsid w:val="00615822"/>
    <w:rsid w:val="00615E65"/>
    <w:rsid w:val="00615FE2"/>
    <w:rsid w:val="006160AF"/>
    <w:rsid w:val="00616786"/>
    <w:rsid w:val="006171E7"/>
    <w:rsid w:val="0061722C"/>
    <w:rsid w:val="006175E9"/>
    <w:rsid w:val="00617A14"/>
    <w:rsid w:val="00620659"/>
    <w:rsid w:val="006222A0"/>
    <w:rsid w:val="006222D3"/>
    <w:rsid w:val="00622655"/>
    <w:rsid w:val="00622E95"/>
    <w:rsid w:val="00623497"/>
    <w:rsid w:val="00623C55"/>
    <w:rsid w:val="00623DE8"/>
    <w:rsid w:val="00623E4D"/>
    <w:rsid w:val="006250A5"/>
    <w:rsid w:val="0062514C"/>
    <w:rsid w:val="00625220"/>
    <w:rsid w:val="00625842"/>
    <w:rsid w:val="00625AF3"/>
    <w:rsid w:val="006267F9"/>
    <w:rsid w:val="00626825"/>
    <w:rsid w:val="006272B9"/>
    <w:rsid w:val="00627794"/>
    <w:rsid w:val="00627CA4"/>
    <w:rsid w:val="00630D14"/>
    <w:rsid w:val="00630D90"/>
    <w:rsid w:val="00630F18"/>
    <w:rsid w:val="0063105F"/>
    <w:rsid w:val="0063152E"/>
    <w:rsid w:val="00632612"/>
    <w:rsid w:val="0063333E"/>
    <w:rsid w:val="006336B7"/>
    <w:rsid w:val="00634510"/>
    <w:rsid w:val="0063453C"/>
    <w:rsid w:val="00634D43"/>
    <w:rsid w:val="00634EC2"/>
    <w:rsid w:val="00635126"/>
    <w:rsid w:val="00635925"/>
    <w:rsid w:val="006359ED"/>
    <w:rsid w:val="006361DC"/>
    <w:rsid w:val="00636314"/>
    <w:rsid w:val="0063635E"/>
    <w:rsid w:val="0063639C"/>
    <w:rsid w:val="00636DB5"/>
    <w:rsid w:val="00637098"/>
    <w:rsid w:val="00637547"/>
    <w:rsid w:val="0063791F"/>
    <w:rsid w:val="00637A53"/>
    <w:rsid w:val="00640690"/>
    <w:rsid w:val="006406AB"/>
    <w:rsid w:val="006412F9"/>
    <w:rsid w:val="00641973"/>
    <w:rsid w:val="00641DC9"/>
    <w:rsid w:val="0064224A"/>
    <w:rsid w:val="00642D81"/>
    <w:rsid w:val="0064318F"/>
    <w:rsid w:val="006432AF"/>
    <w:rsid w:val="006433A5"/>
    <w:rsid w:val="00643780"/>
    <w:rsid w:val="00643D82"/>
    <w:rsid w:val="00644425"/>
    <w:rsid w:val="00644EEF"/>
    <w:rsid w:val="0064532B"/>
    <w:rsid w:val="0064553B"/>
    <w:rsid w:val="006457B6"/>
    <w:rsid w:val="00645914"/>
    <w:rsid w:val="006461CE"/>
    <w:rsid w:val="00646624"/>
    <w:rsid w:val="0064741E"/>
    <w:rsid w:val="006508CB"/>
    <w:rsid w:val="00650A28"/>
    <w:rsid w:val="00650C25"/>
    <w:rsid w:val="00650FFF"/>
    <w:rsid w:val="006510DB"/>
    <w:rsid w:val="00651614"/>
    <w:rsid w:val="00651E49"/>
    <w:rsid w:val="00652625"/>
    <w:rsid w:val="00652650"/>
    <w:rsid w:val="00652B30"/>
    <w:rsid w:val="00652FB0"/>
    <w:rsid w:val="00653221"/>
    <w:rsid w:val="0065333B"/>
    <w:rsid w:val="00653D83"/>
    <w:rsid w:val="006541A9"/>
    <w:rsid w:val="006541F9"/>
    <w:rsid w:val="00654201"/>
    <w:rsid w:val="00654275"/>
    <w:rsid w:val="00654BDC"/>
    <w:rsid w:val="00654EB2"/>
    <w:rsid w:val="006550D4"/>
    <w:rsid w:val="00655586"/>
    <w:rsid w:val="00655C76"/>
    <w:rsid w:val="00655FFE"/>
    <w:rsid w:val="00656C75"/>
    <w:rsid w:val="00656E4F"/>
    <w:rsid w:val="006577A5"/>
    <w:rsid w:val="00657D14"/>
    <w:rsid w:val="00660FCF"/>
    <w:rsid w:val="00661197"/>
    <w:rsid w:val="00661A15"/>
    <w:rsid w:val="0066215B"/>
    <w:rsid w:val="0066217D"/>
    <w:rsid w:val="00662822"/>
    <w:rsid w:val="00662A03"/>
    <w:rsid w:val="00662ED3"/>
    <w:rsid w:val="006630E0"/>
    <w:rsid w:val="0066349B"/>
    <w:rsid w:val="00663591"/>
    <w:rsid w:val="00663C93"/>
    <w:rsid w:val="00664A59"/>
    <w:rsid w:val="00664ADE"/>
    <w:rsid w:val="00665F86"/>
    <w:rsid w:val="00666359"/>
    <w:rsid w:val="00666638"/>
    <w:rsid w:val="00666D36"/>
    <w:rsid w:val="00667556"/>
    <w:rsid w:val="00667590"/>
    <w:rsid w:val="00667676"/>
    <w:rsid w:val="00667705"/>
    <w:rsid w:val="00667AAF"/>
    <w:rsid w:val="00667B24"/>
    <w:rsid w:val="00670103"/>
    <w:rsid w:val="00670125"/>
    <w:rsid w:val="00670516"/>
    <w:rsid w:val="006708CC"/>
    <w:rsid w:val="00670B7C"/>
    <w:rsid w:val="00670C4F"/>
    <w:rsid w:val="00670CD2"/>
    <w:rsid w:val="00670F82"/>
    <w:rsid w:val="0067136F"/>
    <w:rsid w:val="00671F8F"/>
    <w:rsid w:val="00671FAC"/>
    <w:rsid w:val="006727E2"/>
    <w:rsid w:val="0067286B"/>
    <w:rsid w:val="006734C8"/>
    <w:rsid w:val="00673671"/>
    <w:rsid w:val="00673DED"/>
    <w:rsid w:val="00673FB0"/>
    <w:rsid w:val="0067442A"/>
    <w:rsid w:val="00674ADB"/>
    <w:rsid w:val="00674CD7"/>
    <w:rsid w:val="00675EB4"/>
    <w:rsid w:val="0067613B"/>
    <w:rsid w:val="00676DB3"/>
    <w:rsid w:val="00676ED7"/>
    <w:rsid w:val="00677AC9"/>
    <w:rsid w:val="00677B67"/>
    <w:rsid w:val="00680035"/>
    <w:rsid w:val="006804F2"/>
    <w:rsid w:val="00680D21"/>
    <w:rsid w:val="0068112A"/>
    <w:rsid w:val="00681977"/>
    <w:rsid w:val="00681B19"/>
    <w:rsid w:val="00681F92"/>
    <w:rsid w:val="0068243A"/>
    <w:rsid w:val="00682EFD"/>
    <w:rsid w:val="00683017"/>
    <w:rsid w:val="00683709"/>
    <w:rsid w:val="00684014"/>
    <w:rsid w:val="00684AE9"/>
    <w:rsid w:val="00684BE8"/>
    <w:rsid w:val="00684D7B"/>
    <w:rsid w:val="00685038"/>
    <w:rsid w:val="0068515F"/>
    <w:rsid w:val="00685797"/>
    <w:rsid w:val="00685EF0"/>
    <w:rsid w:val="006862FC"/>
    <w:rsid w:val="00686453"/>
    <w:rsid w:val="00686560"/>
    <w:rsid w:val="00686B05"/>
    <w:rsid w:val="00686E27"/>
    <w:rsid w:val="00686EA6"/>
    <w:rsid w:val="00687303"/>
    <w:rsid w:val="0068748A"/>
    <w:rsid w:val="00687A12"/>
    <w:rsid w:val="00687E05"/>
    <w:rsid w:val="00687ED1"/>
    <w:rsid w:val="00687F09"/>
    <w:rsid w:val="00690280"/>
    <w:rsid w:val="00690385"/>
    <w:rsid w:val="00690783"/>
    <w:rsid w:val="006911A9"/>
    <w:rsid w:val="00691627"/>
    <w:rsid w:val="00691640"/>
    <w:rsid w:val="006917EB"/>
    <w:rsid w:val="006920FF"/>
    <w:rsid w:val="00692429"/>
    <w:rsid w:val="006925CA"/>
    <w:rsid w:val="006927BC"/>
    <w:rsid w:val="006933C3"/>
    <w:rsid w:val="006934BA"/>
    <w:rsid w:val="0069357E"/>
    <w:rsid w:val="006937DC"/>
    <w:rsid w:val="006942EC"/>
    <w:rsid w:val="00694CB7"/>
    <w:rsid w:val="006950F4"/>
    <w:rsid w:val="00695369"/>
    <w:rsid w:val="00695DAB"/>
    <w:rsid w:val="00696B5F"/>
    <w:rsid w:val="0069706D"/>
    <w:rsid w:val="006971B3"/>
    <w:rsid w:val="0069726E"/>
    <w:rsid w:val="00697373"/>
    <w:rsid w:val="00697773"/>
    <w:rsid w:val="00697B56"/>
    <w:rsid w:val="00697BEB"/>
    <w:rsid w:val="00697C65"/>
    <w:rsid w:val="00697C7C"/>
    <w:rsid w:val="00697DFC"/>
    <w:rsid w:val="006A028B"/>
    <w:rsid w:val="006A0496"/>
    <w:rsid w:val="006A0700"/>
    <w:rsid w:val="006A0742"/>
    <w:rsid w:val="006A1102"/>
    <w:rsid w:val="006A120B"/>
    <w:rsid w:val="006A1A7D"/>
    <w:rsid w:val="006A1B3B"/>
    <w:rsid w:val="006A1D4B"/>
    <w:rsid w:val="006A1E61"/>
    <w:rsid w:val="006A21FA"/>
    <w:rsid w:val="006A22A3"/>
    <w:rsid w:val="006A29BD"/>
    <w:rsid w:val="006A2B60"/>
    <w:rsid w:val="006A3029"/>
    <w:rsid w:val="006A41C5"/>
    <w:rsid w:val="006A45F3"/>
    <w:rsid w:val="006A4837"/>
    <w:rsid w:val="006A4997"/>
    <w:rsid w:val="006A4CA4"/>
    <w:rsid w:val="006A5456"/>
    <w:rsid w:val="006A5BFD"/>
    <w:rsid w:val="006A5CB6"/>
    <w:rsid w:val="006A5D9F"/>
    <w:rsid w:val="006A73A5"/>
    <w:rsid w:val="006A74DB"/>
    <w:rsid w:val="006A791D"/>
    <w:rsid w:val="006A7B32"/>
    <w:rsid w:val="006A7DBF"/>
    <w:rsid w:val="006B03F3"/>
    <w:rsid w:val="006B08BB"/>
    <w:rsid w:val="006B096A"/>
    <w:rsid w:val="006B12F8"/>
    <w:rsid w:val="006B1A9C"/>
    <w:rsid w:val="006B1E4B"/>
    <w:rsid w:val="006B265F"/>
    <w:rsid w:val="006B2D9B"/>
    <w:rsid w:val="006B34E2"/>
    <w:rsid w:val="006B351F"/>
    <w:rsid w:val="006B405B"/>
    <w:rsid w:val="006B49CF"/>
    <w:rsid w:val="006B4F2E"/>
    <w:rsid w:val="006B5551"/>
    <w:rsid w:val="006B5C99"/>
    <w:rsid w:val="006B61E6"/>
    <w:rsid w:val="006B65AF"/>
    <w:rsid w:val="006B6E01"/>
    <w:rsid w:val="006B7A35"/>
    <w:rsid w:val="006C042D"/>
    <w:rsid w:val="006C0645"/>
    <w:rsid w:val="006C0A1E"/>
    <w:rsid w:val="006C13C8"/>
    <w:rsid w:val="006C1820"/>
    <w:rsid w:val="006C1C3C"/>
    <w:rsid w:val="006C2012"/>
    <w:rsid w:val="006C2343"/>
    <w:rsid w:val="006C24A8"/>
    <w:rsid w:val="006C284D"/>
    <w:rsid w:val="006C2D5B"/>
    <w:rsid w:val="006C2EE7"/>
    <w:rsid w:val="006C2FF4"/>
    <w:rsid w:val="006C30FF"/>
    <w:rsid w:val="006C3418"/>
    <w:rsid w:val="006C3459"/>
    <w:rsid w:val="006C3618"/>
    <w:rsid w:val="006C3687"/>
    <w:rsid w:val="006C3994"/>
    <w:rsid w:val="006C3A5B"/>
    <w:rsid w:val="006C3D57"/>
    <w:rsid w:val="006C3E4F"/>
    <w:rsid w:val="006C418F"/>
    <w:rsid w:val="006C43C5"/>
    <w:rsid w:val="006C53F1"/>
    <w:rsid w:val="006C551C"/>
    <w:rsid w:val="006C585E"/>
    <w:rsid w:val="006C5AF3"/>
    <w:rsid w:val="006C5B3C"/>
    <w:rsid w:val="006C5C12"/>
    <w:rsid w:val="006C5CC1"/>
    <w:rsid w:val="006C6E05"/>
    <w:rsid w:val="006C7164"/>
    <w:rsid w:val="006C7350"/>
    <w:rsid w:val="006C74D0"/>
    <w:rsid w:val="006C7B24"/>
    <w:rsid w:val="006C7E2C"/>
    <w:rsid w:val="006D0511"/>
    <w:rsid w:val="006D1358"/>
    <w:rsid w:val="006D1700"/>
    <w:rsid w:val="006D195B"/>
    <w:rsid w:val="006D1AB5"/>
    <w:rsid w:val="006D1DAA"/>
    <w:rsid w:val="006D23B6"/>
    <w:rsid w:val="006D3697"/>
    <w:rsid w:val="006D386E"/>
    <w:rsid w:val="006D3FA4"/>
    <w:rsid w:val="006D44FE"/>
    <w:rsid w:val="006D45E4"/>
    <w:rsid w:val="006D4BEF"/>
    <w:rsid w:val="006D5259"/>
    <w:rsid w:val="006D59F9"/>
    <w:rsid w:val="006D7860"/>
    <w:rsid w:val="006D78A0"/>
    <w:rsid w:val="006D791F"/>
    <w:rsid w:val="006D7E7B"/>
    <w:rsid w:val="006E00D3"/>
    <w:rsid w:val="006E02C9"/>
    <w:rsid w:val="006E0624"/>
    <w:rsid w:val="006E1A8C"/>
    <w:rsid w:val="006E1C5E"/>
    <w:rsid w:val="006E1E24"/>
    <w:rsid w:val="006E1F60"/>
    <w:rsid w:val="006E2080"/>
    <w:rsid w:val="006E20E6"/>
    <w:rsid w:val="006E2488"/>
    <w:rsid w:val="006E26AA"/>
    <w:rsid w:val="006E2749"/>
    <w:rsid w:val="006E2FD4"/>
    <w:rsid w:val="006E2FD9"/>
    <w:rsid w:val="006E3192"/>
    <w:rsid w:val="006E3891"/>
    <w:rsid w:val="006E3EAF"/>
    <w:rsid w:val="006E40DB"/>
    <w:rsid w:val="006E42EA"/>
    <w:rsid w:val="006E441C"/>
    <w:rsid w:val="006E4A42"/>
    <w:rsid w:val="006E4E86"/>
    <w:rsid w:val="006E512C"/>
    <w:rsid w:val="006E56FE"/>
    <w:rsid w:val="006E578E"/>
    <w:rsid w:val="006E5D7C"/>
    <w:rsid w:val="006E6E94"/>
    <w:rsid w:val="006E6F84"/>
    <w:rsid w:val="006E70D1"/>
    <w:rsid w:val="006E7118"/>
    <w:rsid w:val="006E7241"/>
    <w:rsid w:val="006E756F"/>
    <w:rsid w:val="006E773E"/>
    <w:rsid w:val="006E785C"/>
    <w:rsid w:val="006E7EB3"/>
    <w:rsid w:val="006F0020"/>
    <w:rsid w:val="006F0300"/>
    <w:rsid w:val="006F0BDD"/>
    <w:rsid w:val="006F0DE3"/>
    <w:rsid w:val="006F1342"/>
    <w:rsid w:val="006F145B"/>
    <w:rsid w:val="006F14F0"/>
    <w:rsid w:val="006F1C8B"/>
    <w:rsid w:val="006F1CB1"/>
    <w:rsid w:val="006F20EB"/>
    <w:rsid w:val="006F2430"/>
    <w:rsid w:val="006F2630"/>
    <w:rsid w:val="006F26B9"/>
    <w:rsid w:val="006F2C8C"/>
    <w:rsid w:val="006F33D1"/>
    <w:rsid w:val="006F3927"/>
    <w:rsid w:val="006F39EE"/>
    <w:rsid w:val="006F3A4E"/>
    <w:rsid w:val="006F3B4D"/>
    <w:rsid w:val="006F3D4F"/>
    <w:rsid w:val="006F3F8C"/>
    <w:rsid w:val="006F4EA6"/>
    <w:rsid w:val="006F4F9D"/>
    <w:rsid w:val="006F5FEB"/>
    <w:rsid w:val="006F6161"/>
    <w:rsid w:val="006F6C73"/>
    <w:rsid w:val="006F74B5"/>
    <w:rsid w:val="006F74BA"/>
    <w:rsid w:val="006F76CD"/>
    <w:rsid w:val="00700914"/>
    <w:rsid w:val="00700F97"/>
    <w:rsid w:val="00701606"/>
    <w:rsid w:val="00701797"/>
    <w:rsid w:val="00701A2F"/>
    <w:rsid w:val="00701B52"/>
    <w:rsid w:val="00701C46"/>
    <w:rsid w:val="00702591"/>
    <w:rsid w:val="007026D3"/>
    <w:rsid w:val="00702A88"/>
    <w:rsid w:val="00702CF8"/>
    <w:rsid w:val="007035AA"/>
    <w:rsid w:val="00704403"/>
    <w:rsid w:val="00704B38"/>
    <w:rsid w:val="0070548F"/>
    <w:rsid w:val="00705492"/>
    <w:rsid w:val="0070571F"/>
    <w:rsid w:val="007058E8"/>
    <w:rsid w:val="00705FB5"/>
    <w:rsid w:val="00706317"/>
    <w:rsid w:val="00706456"/>
    <w:rsid w:val="00706E26"/>
    <w:rsid w:val="00706F16"/>
    <w:rsid w:val="007071E4"/>
    <w:rsid w:val="00707DD8"/>
    <w:rsid w:val="00707F0F"/>
    <w:rsid w:val="00710433"/>
    <w:rsid w:val="0071050E"/>
    <w:rsid w:val="00710E56"/>
    <w:rsid w:val="00710E6C"/>
    <w:rsid w:val="0071147D"/>
    <w:rsid w:val="00711F41"/>
    <w:rsid w:val="0071222F"/>
    <w:rsid w:val="00712D08"/>
    <w:rsid w:val="0071326C"/>
    <w:rsid w:val="0071378A"/>
    <w:rsid w:val="00713AE7"/>
    <w:rsid w:val="00713CE9"/>
    <w:rsid w:val="00713F24"/>
    <w:rsid w:val="00714488"/>
    <w:rsid w:val="0071467B"/>
    <w:rsid w:val="00714DFC"/>
    <w:rsid w:val="007155F0"/>
    <w:rsid w:val="007159D7"/>
    <w:rsid w:val="00715CBE"/>
    <w:rsid w:val="00715F32"/>
    <w:rsid w:val="00716117"/>
    <w:rsid w:val="0071653D"/>
    <w:rsid w:val="00716827"/>
    <w:rsid w:val="00716A7F"/>
    <w:rsid w:val="00716CC5"/>
    <w:rsid w:val="00717372"/>
    <w:rsid w:val="00717CF8"/>
    <w:rsid w:val="00717DCA"/>
    <w:rsid w:val="00717FBE"/>
    <w:rsid w:val="007201BD"/>
    <w:rsid w:val="00720262"/>
    <w:rsid w:val="0072058B"/>
    <w:rsid w:val="007207FC"/>
    <w:rsid w:val="00720A9C"/>
    <w:rsid w:val="007215AE"/>
    <w:rsid w:val="00722227"/>
    <w:rsid w:val="007222B5"/>
    <w:rsid w:val="00722385"/>
    <w:rsid w:val="007230BD"/>
    <w:rsid w:val="00723176"/>
    <w:rsid w:val="00723A01"/>
    <w:rsid w:val="00723A81"/>
    <w:rsid w:val="00723D68"/>
    <w:rsid w:val="00724256"/>
    <w:rsid w:val="00724502"/>
    <w:rsid w:val="00724849"/>
    <w:rsid w:val="007262AB"/>
    <w:rsid w:val="0072632D"/>
    <w:rsid w:val="007263C4"/>
    <w:rsid w:val="00726772"/>
    <w:rsid w:val="00726AA8"/>
    <w:rsid w:val="00726E5B"/>
    <w:rsid w:val="00727896"/>
    <w:rsid w:val="007278E8"/>
    <w:rsid w:val="00727960"/>
    <w:rsid w:val="00727DAE"/>
    <w:rsid w:val="0073030E"/>
    <w:rsid w:val="007305EC"/>
    <w:rsid w:val="00730BC7"/>
    <w:rsid w:val="0073183C"/>
    <w:rsid w:val="00731CFC"/>
    <w:rsid w:val="007331C1"/>
    <w:rsid w:val="00733A4E"/>
    <w:rsid w:val="00733B49"/>
    <w:rsid w:val="00734C94"/>
    <w:rsid w:val="00734CDE"/>
    <w:rsid w:val="0073515E"/>
    <w:rsid w:val="0073521B"/>
    <w:rsid w:val="00735AE1"/>
    <w:rsid w:val="00735CB0"/>
    <w:rsid w:val="00735F34"/>
    <w:rsid w:val="007360DD"/>
    <w:rsid w:val="007361A5"/>
    <w:rsid w:val="007362C6"/>
    <w:rsid w:val="00736309"/>
    <w:rsid w:val="0073697E"/>
    <w:rsid w:val="00736A00"/>
    <w:rsid w:val="00736EDE"/>
    <w:rsid w:val="00737075"/>
    <w:rsid w:val="00737729"/>
    <w:rsid w:val="00737987"/>
    <w:rsid w:val="00737E24"/>
    <w:rsid w:val="00740366"/>
    <w:rsid w:val="00740915"/>
    <w:rsid w:val="0074141E"/>
    <w:rsid w:val="0074175C"/>
    <w:rsid w:val="00741FBB"/>
    <w:rsid w:val="00742768"/>
    <w:rsid w:val="00742A34"/>
    <w:rsid w:val="00742CC0"/>
    <w:rsid w:val="0074318E"/>
    <w:rsid w:val="007432CA"/>
    <w:rsid w:val="007433DD"/>
    <w:rsid w:val="00743408"/>
    <w:rsid w:val="0074374C"/>
    <w:rsid w:val="007438F3"/>
    <w:rsid w:val="00743B3A"/>
    <w:rsid w:val="00743D2B"/>
    <w:rsid w:val="007440E6"/>
    <w:rsid w:val="00744CEC"/>
    <w:rsid w:val="00744D95"/>
    <w:rsid w:val="00745F1F"/>
    <w:rsid w:val="00746844"/>
    <w:rsid w:val="00746AEC"/>
    <w:rsid w:val="00746BB5"/>
    <w:rsid w:val="00746FE6"/>
    <w:rsid w:val="007472E3"/>
    <w:rsid w:val="007473D8"/>
    <w:rsid w:val="00747E03"/>
    <w:rsid w:val="007500CE"/>
    <w:rsid w:val="00750226"/>
    <w:rsid w:val="0075027E"/>
    <w:rsid w:val="007508E6"/>
    <w:rsid w:val="0075131A"/>
    <w:rsid w:val="0075151F"/>
    <w:rsid w:val="00751760"/>
    <w:rsid w:val="00751A44"/>
    <w:rsid w:val="00751FDB"/>
    <w:rsid w:val="00752267"/>
    <w:rsid w:val="007526F5"/>
    <w:rsid w:val="00752791"/>
    <w:rsid w:val="00752DB2"/>
    <w:rsid w:val="0075309E"/>
    <w:rsid w:val="007534E6"/>
    <w:rsid w:val="0075361B"/>
    <w:rsid w:val="00753C44"/>
    <w:rsid w:val="00753E45"/>
    <w:rsid w:val="0075441A"/>
    <w:rsid w:val="00754478"/>
    <w:rsid w:val="007545A8"/>
    <w:rsid w:val="00754A7F"/>
    <w:rsid w:val="00754FAF"/>
    <w:rsid w:val="0075522F"/>
    <w:rsid w:val="007556DE"/>
    <w:rsid w:val="007561CE"/>
    <w:rsid w:val="00757825"/>
    <w:rsid w:val="00757DE8"/>
    <w:rsid w:val="007608DE"/>
    <w:rsid w:val="007609F9"/>
    <w:rsid w:val="00760A0E"/>
    <w:rsid w:val="00760A1B"/>
    <w:rsid w:val="00760C60"/>
    <w:rsid w:val="00760DFE"/>
    <w:rsid w:val="007615C1"/>
    <w:rsid w:val="0076167E"/>
    <w:rsid w:val="0076172A"/>
    <w:rsid w:val="00761973"/>
    <w:rsid w:val="00761991"/>
    <w:rsid w:val="00761D61"/>
    <w:rsid w:val="00761D9C"/>
    <w:rsid w:val="00761EA9"/>
    <w:rsid w:val="0076224F"/>
    <w:rsid w:val="0076243F"/>
    <w:rsid w:val="00762A08"/>
    <w:rsid w:val="00762D98"/>
    <w:rsid w:val="0076307B"/>
    <w:rsid w:val="00763674"/>
    <w:rsid w:val="0076378C"/>
    <w:rsid w:val="00763B1B"/>
    <w:rsid w:val="007640FF"/>
    <w:rsid w:val="007642E0"/>
    <w:rsid w:val="0076433F"/>
    <w:rsid w:val="00764A07"/>
    <w:rsid w:val="00764D1A"/>
    <w:rsid w:val="00764F38"/>
    <w:rsid w:val="007650B2"/>
    <w:rsid w:val="00765213"/>
    <w:rsid w:val="00765706"/>
    <w:rsid w:val="00765CAA"/>
    <w:rsid w:val="00767329"/>
    <w:rsid w:val="00767423"/>
    <w:rsid w:val="0076757E"/>
    <w:rsid w:val="00767AAF"/>
    <w:rsid w:val="00767B36"/>
    <w:rsid w:val="0077014A"/>
    <w:rsid w:val="00770543"/>
    <w:rsid w:val="00770B0B"/>
    <w:rsid w:val="00770E3E"/>
    <w:rsid w:val="00771462"/>
    <w:rsid w:val="007714FB"/>
    <w:rsid w:val="00771A1F"/>
    <w:rsid w:val="00771A55"/>
    <w:rsid w:val="00772374"/>
    <w:rsid w:val="007729FC"/>
    <w:rsid w:val="00772AE2"/>
    <w:rsid w:val="00772BB0"/>
    <w:rsid w:val="00773039"/>
    <w:rsid w:val="00773160"/>
    <w:rsid w:val="00773215"/>
    <w:rsid w:val="00773279"/>
    <w:rsid w:val="007734F5"/>
    <w:rsid w:val="0077542B"/>
    <w:rsid w:val="007755A5"/>
    <w:rsid w:val="007755F8"/>
    <w:rsid w:val="00775737"/>
    <w:rsid w:val="00775AC2"/>
    <w:rsid w:val="00775B6B"/>
    <w:rsid w:val="00775B82"/>
    <w:rsid w:val="007765C5"/>
    <w:rsid w:val="007766E9"/>
    <w:rsid w:val="007767FB"/>
    <w:rsid w:val="007768F4"/>
    <w:rsid w:val="007769B3"/>
    <w:rsid w:val="00776D5C"/>
    <w:rsid w:val="007774B0"/>
    <w:rsid w:val="00777523"/>
    <w:rsid w:val="00777C63"/>
    <w:rsid w:val="00780F74"/>
    <w:rsid w:val="007812AF"/>
    <w:rsid w:val="007813E0"/>
    <w:rsid w:val="00781700"/>
    <w:rsid w:val="00781B78"/>
    <w:rsid w:val="007825FD"/>
    <w:rsid w:val="00782DC6"/>
    <w:rsid w:val="00783195"/>
    <w:rsid w:val="00783480"/>
    <w:rsid w:val="007834C7"/>
    <w:rsid w:val="00783D00"/>
    <w:rsid w:val="00783EBA"/>
    <w:rsid w:val="007840C6"/>
    <w:rsid w:val="007841E5"/>
    <w:rsid w:val="0078432E"/>
    <w:rsid w:val="0078522A"/>
    <w:rsid w:val="007855A8"/>
    <w:rsid w:val="007857E7"/>
    <w:rsid w:val="00785A07"/>
    <w:rsid w:val="00786C49"/>
    <w:rsid w:val="00787AB2"/>
    <w:rsid w:val="00787B96"/>
    <w:rsid w:val="007904C2"/>
    <w:rsid w:val="007906EF"/>
    <w:rsid w:val="00790B89"/>
    <w:rsid w:val="00790D29"/>
    <w:rsid w:val="00790DBF"/>
    <w:rsid w:val="00790E09"/>
    <w:rsid w:val="00790F52"/>
    <w:rsid w:val="007911C9"/>
    <w:rsid w:val="00791403"/>
    <w:rsid w:val="00791501"/>
    <w:rsid w:val="00791E89"/>
    <w:rsid w:val="00792024"/>
    <w:rsid w:val="007923BD"/>
    <w:rsid w:val="007928D8"/>
    <w:rsid w:val="00792A66"/>
    <w:rsid w:val="0079334E"/>
    <w:rsid w:val="00793423"/>
    <w:rsid w:val="00793ABA"/>
    <w:rsid w:val="007946E1"/>
    <w:rsid w:val="007949CA"/>
    <w:rsid w:val="00795549"/>
    <w:rsid w:val="0079560A"/>
    <w:rsid w:val="007956CC"/>
    <w:rsid w:val="00795FB8"/>
    <w:rsid w:val="007968E0"/>
    <w:rsid w:val="00796D70"/>
    <w:rsid w:val="007972D4"/>
    <w:rsid w:val="00797433"/>
    <w:rsid w:val="00797761"/>
    <w:rsid w:val="0079795B"/>
    <w:rsid w:val="00797A45"/>
    <w:rsid w:val="00797AD3"/>
    <w:rsid w:val="00797C06"/>
    <w:rsid w:val="00797C4F"/>
    <w:rsid w:val="00797E6B"/>
    <w:rsid w:val="00797F9C"/>
    <w:rsid w:val="007A037A"/>
    <w:rsid w:val="007A0471"/>
    <w:rsid w:val="007A072E"/>
    <w:rsid w:val="007A1176"/>
    <w:rsid w:val="007A12C9"/>
    <w:rsid w:val="007A1A9A"/>
    <w:rsid w:val="007A1ABE"/>
    <w:rsid w:val="007A23AA"/>
    <w:rsid w:val="007A23DE"/>
    <w:rsid w:val="007A2747"/>
    <w:rsid w:val="007A284B"/>
    <w:rsid w:val="007A2A5B"/>
    <w:rsid w:val="007A2B51"/>
    <w:rsid w:val="007A2D6E"/>
    <w:rsid w:val="007A3592"/>
    <w:rsid w:val="007A39CA"/>
    <w:rsid w:val="007A417C"/>
    <w:rsid w:val="007A4BF2"/>
    <w:rsid w:val="007A5578"/>
    <w:rsid w:val="007A593B"/>
    <w:rsid w:val="007A61BD"/>
    <w:rsid w:val="007A6A0B"/>
    <w:rsid w:val="007A6B99"/>
    <w:rsid w:val="007A6C72"/>
    <w:rsid w:val="007A7488"/>
    <w:rsid w:val="007A776C"/>
    <w:rsid w:val="007A79F0"/>
    <w:rsid w:val="007A7B02"/>
    <w:rsid w:val="007B0E74"/>
    <w:rsid w:val="007B133A"/>
    <w:rsid w:val="007B1711"/>
    <w:rsid w:val="007B1CDF"/>
    <w:rsid w:val="007B1E1E"/>
    <w:rsid w:val="007B272D"/>
    <w:rsid w:val="007B30BB"/>
    <w:rsid w:val="007B41C0"/>
    <w:rsid w:val="007B50A8"/>
    <w:rsid w:val="007B5145"/>
    <w:rsid w:val="007B64F4"/>
    <w:rsid w:val="007B71A4"/>
    <w:rsid w:val="007B7647"/>
    <w:rsid w:val="007B765A"/>
    <w:rsid w:val="007B78AE"/>
    <w:rsid w:val="007C179C"/>
    <w:rsid w:val="007C1E08"/>
    <w:rsid w:val="007C1F05"/>
    <w:rsid w:val="007C3341"/>
    <w:rsid w:val="007C33F9"/>
    <w:rsid w:val="007C3BB8"/>
    <w:rsid w:val="007C4686"/>
    <w:rsid w:val="007C47FD"/>
    <w:rsid w:val="007C4967"/>
    <w:rsid w:val="007C49B7"/>
    <w:rsid w:val="007C4F99"/>
    <w:rsid w:val="007C5115"/>
    <w:rsid w:val="007C560A"/>
    <w:rsid w:val="007C5C46"/>
    <w:rsid w:val="007C612F"/>
    <w:rsid w:val="007C61DA"/>
    <w:rsid w:val="007C62A6"/>
    <w:rsid w:val="007C66B5"/>
    <w:rsid w:val="007C67F2"/>
    <w:rsid w:val="007C69B1"/>
    <w:rsid w:val="007C7238"/>
    <w:rsid w:val="007C7831"/>
    <w:rsid w:val="007C7856"/>
    <w:rsid w:val="007C798F"/>
    <w:rsid w:val="007C7A51"/>
    <w:rsid w:val="007C7BD8"/>
    <w:rsid w:val="007D0289"/>
    <w:rsid w:val="007D0411"/>
    <w:rsid w:val="007D0C21"/>
    <w:rsid w:val="007D0FEE"/>
    <w:rsid w:val="007D1B90"/>
    <w:rsid w:val="007D1DFC"/>
    <w:rsid w:val="007D1F11"/>
    <w:rsid w:val="007D222A"/>
    <w:rsid w:val="007D3C1B"/>
    <w:rsid w:val="007D4702"/>
    <w:rsid w:val="007D496E"/>
    <w:rsid w:val="007D50C9"/>
    <w:rsid w:val="007D5418"/>
    <w:rsid w:val="007D542F"/>
    <w:rsid w:val="007D55A2"/>
    <w:rsid w:val="007D5A9C"/>
    <w:rsid w:val="007D5DFC"/>
    <w:rsid w:val="007D646B"/>
    <w:rsid w:val="007D6B49"/>
    <w:rsid w:val="007D6BCE"/>
    <w:rsid w:val="007D6DD8"/>
    <w:rsid w:val="007D7451"/>
    <w:rsid w:val="007D7BDE"/>
    <w:rsid w:val="007D7C3B"/>
    <w:rsid w:val="007E0228"/>
    <w:rsid w:val="007E036B"/>
    <w:rsid w:val="007E09D7"/>
    <w:rsid w:val="007E135E"/>
    <w:rsid w:val="007E1AD3"/>
    <w:rsid w:val="007E1C71"/>
    <w:rsid w:val="007E1D41"/>
    <w:rsid w:val="007E1DC9"/>
    <w:rsid w:val="007E2130"/>
    <w:rsid w:val="007E2249"/>
    <w:rsid w:val="007E2A91"/>
    <w:rsid w:val="007E2DE7"/>
    <w:rsid w:val="007E3A94"/>
    <w:rsid w:val="007E3E39"/>
    <w:rsid w:val="007E47F4"/>
    <w:rsid w:val="007E5553"/>
    <w:rsid w:val="007E5AD2"/>
    <w:rsid w:val="007E5E6A"/>
    <w:rsid w:val="007E639D"/>
    <w:rsid w:val="007E644B"/>
    <w:rsid w:val="007E6461"/>
    <w:rsid w:val="007E6678"/>
    <w:rsid w:val="007E6849"/>
    <w:rsid w:val="007E7493"/>
    <w:rsid w:val="007E7709"/>
    <w:rsid w:val="007E78F7"/>
    <w:rsid w:val="007F0451"/>
    <w:rsid w:val="007F0A5D"/>
    <w:rsid w:val="007F0C99"/>
    <w:rsid w:val="007F119C"/>
    <w:rsid w:val="007F16C0"/>
    <w:rsid w:val="007F17F3"/>
    <w:rsid w:val="007F1979"/>
    <w:rsid w:val="007F22D3"/>
    <w:rsid w:val="007F256F"/>
    <w:rsid w:val="007F37AC"/>
    <w:rsid w:val="007F3978"/>
    <w:rsid w:val="007F41C8"/>
    <w:rsid w:val="007F4A91"/>
    <w:rsid w:val="007F52EC"/>
    <w:rsid w:val="007F531D"/>
    <w:rsid w:val="007F5887"/>
    <w:rsid w:val="007F58F0"/>
    <w:rsid w:val="007F58FC"/>
    <w:rsid w:val="007F65B3"/>
    <w:rsid w:val="007F7228"/>
    <w:rsid w:val="007F73AB"/>
    <w:rsid w:val="008000FE"/>
    <w:rsid w:val="00800353"/>
    <w:rsid w:val="0080036F"/>
    <w:rsid w:val="008007FF"/>
    <w:rsid w:val="00801570"/>
    <w:rsid w:val="00801919"/>
    <w:rsid w:val="00801A53"/>
    <w:rsid w:val="00801D79"/>
    <w:rsid w:val="00801F05"/>
    <w:rsid w:val="00801F56"/>
    <w:rsid w:val="00801F5F"/>
    <w:rsid w:val="00802126"/>
    <w:rsid w:val="0080220B"/>
    <w:rsid w:val="008027CD"/>
    <w:rsid w:val="0080282B"/>
    <w:rsid w:val="00804838"/>
    <w:rsid w:val="008049FB"/>
    <w:rsid w:val="00804E8D"/>
    <w:rsid w:val="00805329"/>
    <w:rsid w:val="008054E7"/>
    <w:rsid w:val="0080559C"/>
    <w:rsid w:val="00805716"/>
    <w:rsid w:val="00805D43"/>
    <w:rsid w:val="00806639"/>
    <w:rsid w:val="0080687D"/>
    <w:rsid w:val="00806B87"/>
    <w:rsid w:val="00806BCF"/>
    <w:rsid w:val="00806EDD"/>
    <w:rsid w:val="00807461"/>
    <w:rsid w:val="008075E5"/>
    <w:rsid w:val="00807ACC"/>
    <w:rsid w:val="00807CFC"/>
    <w:rsid w:val="00807E4C"/>
    <w:rsid w:val="00807FDE"/>
    <w:rsid w:val="008104F1"/>
    <w:rsid w:val="00810636"/>
    <w:rsid w:val="00810ADC"/>
    <w:rsid w:val="008110CB"/>
    <w:rsid w:val="00811158"/>
    <w:rsid w:val="00811E47"/>
    <w:rsid w:val="00812128"/>
    <w:rsid w:val="00812130"/>
    <w:rsid w:val="0081228D"/>
    <w:rsid w:val="00812493"/>
    <w:rsid w:val="00812F87"/>
    <w:rsid w:val="008138EC"/>
    <w:rsid w:val="00813AA4"/>
    <w:rsid w:val="00813B5A"/>
    <w:rsid w:val="00813EA6"/>
    <w:rsid w:val="0081409A"/>
    <w:rsid w:val="008142F9"/>
    <w:rsid w:val="00814683"/>
    <w:rsid w:val="008149F5"/>
    <w:rsid w:val="00814AAD"/>
    <w:rsid w:val="00814DA2"/>
    <w:rsid w:val="00814E1A"/>
    <w:rsid w:val="00814EDD"/>
    <w:rsid w:val="00814EE7"/>
    <w:rsid w:val="00815330"/>
    <w:rsid w:val="00815796"/>
    <w:rsid w:val="00815926"/>
    <w:rsid w:val="008160E3"/>
    <w:rsid w:val="008163C2"/>
    <w:rsid w:val="0081683F"/>
    <w:rsid w:val="00816A11"/>
    <w:rsid w:val="00816CAE"/>
    <w:rsid w:val="00816E28"/>
    <w:rsid w:val="00816F36"/>
    <w:rsid w:val="008172E7"/>
    <w:rsid w:val="00817483"/>
    <w:rsid w:val="008201AD"/>
    <w:rsid w:val="008209D1"/>
    <w:rsid w:val="0082118D"/>
    <w:rsid w:val="00821C06"/>
    <w:rsid w:val="00821C7B"/>
    <w:rsid w:val="00821D4A"/>
    <w:rsid w:val="008229E6"/>
    <w:rsid w:val="00822AA7"/>
    <w:rsid w:val="00822FCC"/>
    <w:rsid w:val="00823943"/>
    <w:rsid w:val="00823E90"/>
    <w:rsid w:val="00823F5B"/>
    <w:rsid w:val="00823F80"/>
    <w:rsid w:val="00824370"/>
    <w:rsid w:val="00824CCA"/>
    <w:rsid w:val="00824CF7"/>
    <w:rsid w:val="00824F07"/>
    <w:rsid w:val="00825DB9"/>
    <w:rsid w:val="0082665B"/>
    <w:rsid w:val="0082685C"/>
    <w:rsid w:val="008274A4"/>
    <w:rsid w:val="00830194"/>
    <w:rsid w:val="00830356"/>
    <w:rsid w:val="0083054A"/>
    <w:rsid w:val="0083073E"/>
    <w:rsid w:val="00830A25"/>
    <w:rsid w:val="008310F6"/>
    <w:rsid w:val="008314FB"/>
    <w:rsid w:val="00831B85"/>
    <w:rsid w:val="00831F6A"/>
    <w:rsid w:val="008320E5"/>
    <w:rsid w:val="0083264A"/>
    <w:rsid w:val="008326E8"/>
    <w:rsid w:val="008327CC"/>
    <w:rsid w:val="008328E7"/>
    <w:rsid w:val="00832C59"/>
    <w:rsid w:val="00832CD2"/>
    <w:rsid w:val="00832D44"/>
    <w:rsid w:val="00832F48"/>
    <w:rsid w:val="008332A5"/>
    <w:rsid w:val="008336E5"/>
    <w:rsid w:val="00833ADA"/>
    <w:rsid w:val="00833B70"/>
    <w:rsid w:val="00834F3C"/>
    <w:rsid w:val="008353DA"/>
    <w:rsid w:val="00835714"/>
    <w:rsid w:val="008359E1"/>
    <w:rsid w:val="00835A86"/>
    <w:rsid w:val="00836498"/>
    <w:rsid w:val="00837893"/>
    <w:rsid w:val="00837BD5"/>
    <w:rsid w:val="00837D66"/>
    <w:rsid w:val="00837F25"/>
    <w:rsid w:val="008400C2"/>
    <w:rsid w:val="0084019F"/>
    <w:rsid w:val="00840539"/>
    <w:rsid w:val="00840B33"/>
    <w:rsid w:val="0084115C"/>
    <w:rsid w:val="00841AEF"/>
    <w:rsid w:val="00841F90"/>
    <w:rsid w:val="008426DA"/>
    <w:rsid w:val="0084292C"/>
    <w:rsid w:val="00842A6A"/>
    <w:rsid w:val="00842B7E"/>
    <w:rsid w:val="00842BDA"/>
    <w:rsid w:val="00842E27"/>
    <w:rsid w:val="00842E47"/>
    <w:rsid w:val="00843BD1"/>
    <w:rsid w:val="00843D61"/>
    <w:rsid w:val="0084485A"/>
    <w:rsid w:val="00844B0F"/>
    <w:rsid w:val="00844BCE"/>
    <w:rsid w:val="00844EEE"/>
    <w:rsid w:val="0084516F"/>
    <w:rsid w:val="00845491"/>
    <w:rsid w:val="00845FC0"/>
    <w:rsid w:val="00846520"/>
    <w:rsid w:val="00847304"/>
    <w:rsid w:val="008477A5"/>
    <w:rsid w:val="00847F8A"/>
    <w:rsid w:val="00847FB1"/>
    <w:rsid w:val="00850285"/>
    <w:rsid w:val="008504DC"/>
    <w:rsid w:val="00850D70"/>
    <w:rsid w:val="008511B9"/>
    <w:rsid w:val="00852989"/>
    <w:rsid w:val="00852C5E"/>
    <w:rsid w:val="00852F1E"/>
    <w:rsid w:val="00854B98"/>
    <w:rsid w:val="00855179"/>
    <w:rsid w:val="008553C3"/>
    <w:rsid w:val="00855C89"/>
    <w:rsid w:val="0085634E"/>
    <w:rsid w:val="008568B9"/>
    <w:rsid w:val="00856CAF"/>
    <w:rsid w:val="0085732C"/>
    <w:rsid w:val="00857FDA"/>
    <w:rsid w:val="00860499"/>
    <w:rsid w:val="0086086F"/>
    <w:rsid w:val="00861129"/>
    <w:rsid w:val="00861440"/>
    <w:rsid w:val="00861AE0"/>
    <w:rsid w:val="00861B43"/>
    <w:rsid w:val="00861B7D"/>
    <w:rsid w:val="00861D8C"/>
    <w:rsid w:val="00861F67"/>
    <w:rsid w:val="008625A5"/>
    <w:rsid w:val="008625D7"/>
    <w:rsid w:val="00862B8F"/>
    <w:rsid w:val="00862C28"/>
    <w:rsid w:val="008631B0"/>
    <w:rsid w:val="00863388"/>
    <w:rsid w:val="008635EF"/>
    <w:rsid w:val="008636BB"/>
    <w:rsid w:val="00863880"/>
    <w:rsid w:val="00864681"/>
    <w:rsid w:val="008648B9"/>
    <w:rsid w:val="0086490B"/>
    <w:rsid w:val="00864990"/>
    <w:rsid w:val="00864994"/>
    <w:rsid w:val="00864BF0"/>
    <w:rsid w:val="00864C05"/>
    <w:rsid w:val="00864C75"/>
    <w:rsid w:val="00864FEE"/>
    <w:rsid w:val="008655EB"/>
    <w:rsid w:val="00865B26"/>
    <w:rsid w:val="00866034"/>
    <w:rsid w:val="00866204"/>
    <w:rsid w:val="0086620F"/>
    <w:rsid w:val="008664B2"/>
    <w:rsid w:val="008664F3"/>
    <w:rsid w:val="00866B6D"/>
    <w:rsid w:val="00867D2B"/>
    <w:rsid w:val="008701EE"/>
    <w:rsid w:val="008702EF"/>
    <w:rsid w:val="00870BA1"/>
    <w:rsid w:val="00871032"/>
    <w:rsid w:val="00871685"/>
    <w:rsid w:val="00872E8F"/>
    <w:rsid w:val="00873290"/>
    <w:rsid w:val="0087384A"/>
    <w:rsid w:val="00873FD7"/>
    <w:rsid w:val="0087448D"/>
    <w:rsid w:val="008747E0"/>
    <w:rsid w:val="00874995"/>
    <w:rsid w:val="008750CA"/>
    <w:rsid w:val="00875126"/>
    <w:rsid w:val="00875175"/>
    <w:rsid w:val="008753A5"/>
    <w:rsid w:val="008753B3"/>
    <w:rsid w:val="008753F7"/>
    <w:rsid w:val="0087657D"/>
    <w:rsid w:val="00876BEF"/>
    <w:rsid w:val="00877176"/>
    <w:rsid w:val="008772A2"/>
    <w:rsid w:val="00877997"/>
    <w:rsid w:val="0088075A"/>
    <w:rsid w:val="00880FE5"/>
    <w:rsid w:val="00881660"/>
    <w:rsid w:val="00881EA1"/>
    <w:rsid w:val="0088203B"/>
    <w:rsid w:val="00882EBB"/>
    <w:rsid w:val="008832D3"/>
    <w:rsid w:val="008835B7"/>
    <w:rsid w:val="008837A3"/>
    <w:rsid w:val="00883947"/>
    <w:rsid w:val="00883A29"/>
    <w:rsid w:val="00883DE8"/>
    <w:rsid w:val="00883E60"/>
    <w:rsid w:val="00884266"/>
    <w:rsid w:val="00884EB3"/>
    <w:rsid w:val="0088543D"/>
    <w:rsid w:val="00885AB7"/>
    <w:rsid w:val="00885CDA"/>
    <w:rsid w:val="00885D7C"/>
    <w:rsid w:val="00885DA0"/>
    <w:rsid w:val="00885DEA"/>
    <w:rsid w:val="00885FDE"/>
    <w:rsid w:val="008860CE"/>
    <w:rsid w:val="00886380"/>
    <w:rsid w:val="008867BC"/>
    <w:rsid w:val="0088758A"/>
    <w:rsid w:val="008878A4"/>
    <w:rsid w:val="008878D4"/>
    <w:rsid w:val="00887B3C"/>
    <w:rsid w:val="00887CBB"/>
    <w:rsid w:val="008900CC"/>
    <w:rsid w:val="00890637"/>
    <w:rsid w:val="008909E7"/>
    <w:rsid w:val="00891028"/>
    <w:rsid w:val="008911DC"/>
    <w:rsid w:val="00891771"/>
    <w:rsid w:val="008929C8"/>
    <w:rsid w:val="00892ED0"/>
    <w:rsid w:val="00893262"/>
    <w:rsid w:val="00893717"/>
    <w:rsid w:val="00893B85"/>
    <w:rsid w:val="00893BE8"/>
    <w:rsid w:val="00893EBC"/>
    <w:rsid w:val="00893F23"/>
    <w:rsid w:val="008942AD"/>
    <w:rsid w:val="0089453D"/>
    <w:rsid w:val="00895410"/>
    <w:rsid w:val="00895502"/>
    <w:rsid w:val="00895B3B"/>
    <w:rsid w:val="0089636E"/>
    <w:rsid w:val="008963C1"/>
    <w:rsid w:val="00896730"/>
    <w:rsid w:val="00896A1F"/>
    <w:rsid w:val="00896B42"/>
    <w:rsid w:val="00896FE7"/>
    <w:rsid w:val="00896FF6"/>
    <w:rsid w:val="00897692"/>
    <w:rsid w:val="008A0016"/>
    <w:rsid w:val="008A06C5"/>
    <w:rsid w:val="008A0975"/>
    <w:rsid w:val="008A0A24"/>
    <w:rsid w:val="008A1193"/>
    <w:rsid w:val="008A11C7"/>
    <w:rsid w:val="008A1254"/>
    <w:rsid w:val="008A159F"/>
    <w:rsid w:val="008A15E7"/>
    <w:rsid w:val="008A16CE"/>
    <w:rsid w:val="008A2057"/>
    <w:rsid w:val="008A2A70"/>
    <w:rsid w:val="008A2EA6"/>
    <w:rsid w:val="008A3879"/>
    <w:rsid w:val="008A3B41"/>
    <w:rsid w:val="008A43BD"/>
    <w:rsid w:val="008A4AF9"/>
    <w:rsid w:val="008A4CEF"/>
    <w:rsid w:val="008A51D7"/>
    <w:rsid w:val="008A540F"/>
    <w:rsid w:val="008A568A"/>
    <w:rsid w:val="008A5690"/>
    <w:rsid w:val="008A57A6"/>
    <w:rsid w:val="008A5851"/>
    <w:rsid w:val="008A58E1"/>
    <w:rsid w:val="008A59AA"/>
    <w:rsid w:val="008A5AD4"/>
    <w:rsid w:val="008A5C0D"/>
    <w:rsid w:val="008A6443"/>
    <w:rsid w:val="008A64D4"/>
    <w:rsid w:val="008A6F85"/>
    <w:rsid w:val="008A78C2"/>
    <w:rsid w:val="008A7B0A"/>
    <w:rsid w:val="008A7B62"/>
    <w:rsid w:val="008A7D20"/>
    <w:rsid w:val="008A7F82"/>
    <w:rsid w:val="008B0258"/>
    <w:rsid w:val="008B08F2"/>
    <w:rsid w:val="008B0C28"/>
    <w:rsid w:val="008B1348"/>
    <w:rsid w:val="008B1499"/>
    <w:rsid w:val="008B152E"/>
    <w:rsid w:val="008B1747"/>
    <w:rsid w:val="008B1B00"/>
    <w:rsid w:val="008B203D"/>
    <w:rsid w:val="008B347E"/>
    <w:rsid w:val="008B3622"/>
    <w:rsid w:val="008B3702"/>
    <w:rsid w:val="008B3754"/>
    <w:rsid w:val="008B3929"/>
    <w:rsid w:val="008B3C53"/>
    <w:rsid w:val="008B3C8C"/>
    <w:rsid w:val="008B48D8"/>
    <w:rsid w:val="008B4A5D"/>
    <w:rsid w:val="008B4A7A"/>
    <w:rsid w:val="008B51FB"/>
    <w:rsid w:val="008B5618"/>
    <w:rsid w:val="008B5B8D"/>
    <w:rsid w:val="008B5C24"/>
    <w:rsid w:val="008B6229"/>
    <w:rsid w:val="008B68F0"/>
    <w:rsid w:val="008B6D59"/>
    <w:rsid w:val="008B6E01"/>
    <w:rsid w:val="008B6E06"/>
    <w:rsid w:val="008B6F99"/>
    <w:rsid w:val="008B75B0"/>
    <w:rsid w:val="008B77D7"/>
    <w:rsid w:val="008B7819"/>
    <w:rsid w:val="008B7BD3"/>
    <w:rsid w:val="008B7CAB"/>
    <w:rsid w:val="008C0194"/>
    <w:rsid w:val="008C0299"/>
    <w:rsid w:val="008C02D2"/>
    <w:rsid w:val="008C1912"/>
    <w:rsid w:val="008C1CEE"/>
    <w:rsid w:val="008C20B7"/>
    <w:rsid w:val="008C2274"/>
    <w:rsid w:val="008C2672"/>
    <w:rsid w:val="008C2908"/>
    <w:rsid w:val="008C2B2B"/>
    <w:rsid w:val="008C2BAB"/>
    <w:rsid w:val="008C2C9A"/>
    <w:rsid w:val="008C328E"/>
    <w:rsid w:val="008C333F"/>
    <w:rsid w:val="008C3483"/>
    <w:rsid w:val="008C3F99"/>
    <w:rsid w:val="008C3FC1"/>
    <w:rsid w:val="008C420E"/>
    <w:rsid w:val="008C42FF"/>
    <w:rsid w:val="008C4742"/>
    <w:rsid w:val="008C48E7"/>
    <w:rsid w:val="008C5556"/>
    <w:rsid w:val="008C6714"/>
    <w:rsid w:val="008C685D"/>
    <w:rsid w:val="008C701C"/>
    <w:rsid w:val="008C78B8"/>
    <w:rsid w:val="008C79D8"/>
    <w:rsid w:val="008C7A2B"/>
    <w:rsid w:val="008D120F"/>
    <w:rsid w:val="008D1358"/>
    <w:rsid w:val="008D13E1"/>
    <w:rsid w:val="008D152A"/>
    <w:rsid w:val="008D16E7"/>
    <w:rsid w:val="008D19D0"/>
    <w:rsid w:val="008D1BDF"/>
    <w:rsid w:val="008D1FF6"/>
    <w:rsid w:val="008D21F8"/>
    <w:rsid w:val="008D22EF"/>
    <w:rsid w:val="008D2687"/>
    <w:rsid w:val="008D2B49"/>
    <w:rsid w:val="008D3065"/>
    <w:rsid w:val="008D3415"/>
    <w:rsid w:val="008D35AE"/>
    <w:rsid w:val="008D35BA"/>
    <w:rsid w:val="008D425E"/>
    <w:rsid w:val="008D4843"/>
    <w:rsid w:val="008D4961"/>
    <w:rsid w:val="008D4C12"/>
    <w:rsid w:val="008D5436"/>
    <w:rsid w:val="008D5A1C"/>
    <w:rsid w:val="008D6526"/>
    <w:rsid w:val="008D67F3"/>
    <w:rsid w:val="008D68D7"/>
    <w:rsid w:val="008D6AF3"/>
    <w:rsid w:val="008D7205"/>
    <w:rsid w:val="008E006B"/>
    <w:rsid w:val="008E049F"/>
    <w:rsid w:val="008E071D"/>
    <w:rsid w:val="008E0BAE"/>
    <w:rsid w:val="008E18BF"/>
    <w:rsid w:val="008E19CC"/>
    <w:rsid w:val="008E1D6F"/>
    <w:rsid w:val="008E1E59"/>
    <w:rsid w:val="008E1E89"/>
    <w:rsid w:val="008E1EA9"/>
    <w:rsid w:val="008E2198"/>
    <w:rsid w:val="008E2588"/>
    <w:rsid w:val="008E2D86"/>
    <w:rsid w:val="008E2E39"/>
    <w:rsid w:val="008E3538"/>
    <w:rsid w:val="008E382D"/>
    <w:rsid w:val="008E3BA9"/>
    <w:rsid w:val="008E3F47"/>
    <w:rsid w:val="008E4060"/>
    <w:rsid w:val="008E4084"/>
    <w:rsid w:val="008E4290"/>
    <w:rsid w:val="008E42DF"/>
    <w:rsid w:val="008E43E4"/>
    <w:rsid w:val="008E46E4"/>
    <w:rsid w:val="008E56C6"/>
    <w:rsid w:val="008E5D2F"/>
    <w:rsid w:val="008E62F1"/>
    <w:rsid w:val="008E6B23"/>
    <w:rsid w:val="008E6BED"/>
    <w:rsid w:val="008E7221"/>
    <w:rsid w:val="008E793B"/>
    <w:rsid w:val="008E7A9B"/>
    <w:rsid w:val="008E7F74"/>
    <w:rsid w:val="008F02E4"/>
    <w:rsid w:val="008F0359"/>
    <w:rsid w:val="008F0664"/>
    <w:rsid w:val="008F0A30"/>
    <w:rsid w:val="008F0F0C"/>
    <w:rsid w:val="008F0F7F"/>
    <w:rsid w:val="008F11D7"/>
    <w:rsid w:val="008F1448"/>
    <w:rsid w:val="008F2061"/>
    <w:rsid w:val="008F20AE"/>
    <w:rsid w:val="008F21DD"/>
    <w:rsid w:val="008F22AF"/>
    <w:rsid w:val="008F239B"/>
    <w:rsid w:val="008F2790"/>
    <w:rsid w:val="008F2B84"/>
    <w:rsid w:val="008F2C54"/>
    <w:rsid w:val="008F39EE"/>
    <w:rsid w:val="008F47AA"/>
    <w:rsid w:val="008F4AD5"/>
    <w:rsid w:val="008F4AF8"/>
    <w:rsid w:val="008F50E2"/>
    <w:rsid w:val="008F57D7"/>
    <w:rsid w:val="008F5A0A"/>
    <w:rsid w:val="008F6016"/>
    <w:rsid w:val="008F6231"/>
    <w:rsid w:val="008F6667"/>
    <w:rsid w:val="008F6B70"/>
    <w:rsid w:val="008F70C5"/>
    <w:rsid w:val="008F77D6"/>
    <w:rsid w:val="008F78B3"/>
    <w:rsid w:val="00900131"/>
    <w:rsid w:val="00900222"/>
    <w:rsid w:val="00902059"/>
    <w:rsid w:val="00902BC6"/>
    <w:rsid w:val="00902D32"/>
    <w:rsid w:val="00903308"/>
    <w:rsid w:val="009033FD"/>
    <w:rsid w:val="0090345D"/>
    <w:rsid w:val="009037A2"/>
    <w:rsid w:val="00903A50"/>
    <w:rsid w:val="00904129"/>
    <w:rsid w:val="0090418E"/>
    <w:rsid w:val="009045C6"/>
    <w:rsid w:val="00904EDD"/>
    <w:rsid w:val="009054E0"/>
    <w:rsid w:val="00905CA0"/>
    <w:rsid w:val="00905F4D"/>
    <w:rsid w:val="00906180"/>
    <w:rsid w:val="009065EA"/>
    <w:rsid w:val="009065F4"/>
    <w:rsid w:val="00907151"/>
    <w:rsid w:val="0090786D"/>
    <w:rsid w:val="00910109"/>
    <w:rsid w:val="009102FC"/>
    <w:rsid w:val="00910344"/>
    <w:rsid w:val="009104F4"/>
    <w:rsid w:val="009107FF"/>
    <w:rsid w:val="009116F9"/>
    <w:rsid w:val="00911F38"/>
    <w:rsid w:val="0091282E"/>
    <w:rsid w:val="00912AF9"/>
    <w:rsid w:val="00913540"/>
    <w:rsid w:val="00913AAA"/>
    <w:rsid w:val="00913E6B"/>
    <w:rsid w:val="00913E99"/>
    <w:rsid w:val="009141EB"/>
    <w:rsid w:val="00914595"/>
    <w:rsid w:val="0091477B"/>
    <w:rsid w:val="00914B89"/>
    <w:rsid w:val="009158D7"/>
    <w:rsid w:val="00915BE2"/>
    <w:rsid w:val="00915F87"/>
    <w:rsid w:val="009166D4"/>
    <w:rsid w:val="009169D8"/>
    <w:rsid w:val="0091763E"/>
    <w:rsid w:val="0091771A"/>
    <w:rsid w:val="009179CD"/>
    <w:rsid w:val="00917FA3"/>
    <w:rsid w:val="009200B6"/>
    <w:rsid w:val="009202E4"/>
    <w:rsid w:val="00920436"/>
    <w:rsid w:val="0092044E"/>
    <w:rsid w:val="00920519"/>
    <w:rsid w:val="0092068E"/>
    <w:rsid w:val="00920CAD"/>
    <w:rsid w:val="00921241"/>
    <w:rsid w:val="00921248"/>
    <w:rsid w:val="00921568"/>
    <w:rsid w:val="0092230F"/>
    <w:rsid w:val="00923FDF"/>
    <w:rsid w:val="009240A2"/>
    <w:rsid w:val="00924565"/>
    <w:rsid w:val="0092504E"/>
    <w:rsid w:val="0092514A"/>
    <w:rsid w:val="009259F6"/>
    <w:rsid w:val="009261D5"/>
    <w:rsid w:val="0092670B"/>
    <w:rsid w:val="00926896"/>
    <w:rsid w:val="00926E77"/>
    <w:rsid w:val="0093044D"/>
    <w:rsid w:val="00930EFD"/>
    <w:rsid w:val="0093140E"/>
    <w:rsid w:val="009319B2"/>
    <w:rsid w:val="00931B7F"/>
    <w:rsid w:val="00931BB8"/>
    <w:rsid w:val="00932A8B"/>
    <w:rsid w:val="00932B99"/>
    <w:rsid w:val="0093333E"/>
    <w:rsid w:val="009338C7"/>
    <w:rsid w:val="00933C46"/>
    <w:rsid w:val="00933D64"/>
    <w:rsid w:val="00934FF8"/>
    <w:rsid w:val="0093570C"/>
    <w:rsid w:val="009378D0"/>
    <w:rsid w:val="0094077C"/>
    <w:rsid w:val="00940AED"/>
    <w:rsid w:val="00940C24"/>
    <w:rsid w:val="00940ED3"/>
    <w:rsid w:val="009410FB"/>
    <w:rsid w:val="009413D1"/>
    <w:rsid w:val="0094191C"/>
    <w:rsid w:val="00941941"/>
    <w:rsid w:val="0094256D"/>
    <w:rsid w:val="00942A3B"/>
    <w:rsid w:val="00942BBC"/>
    <w:rsid w:val="0094304F"/>
    <w:rsid w:val="0094367A"/>
    <w:rsid w:val="0094426D"/>
    <w:rsid w:val="009444BA"/>
    <w:rsid w:val="00944B68"/>
    <w:rsid w:val="00944EAC"/>
    <w:rsid w:val="00945275"/>
    <w:rsid w:val="00945911"/>
    <w:rsid w:val="00945FDC"/>
    <w:rsid w:val="0094704F"/>
    <w:rsid w:val="00947BCA"/>
    <w:rsid w:val="00947F15"/>
    <w:rsid w:val="00950492"/>
    <w:rsid w:val="009504AD"/>
    <w:rsid w:val="00950DF9"/>
    <w:rsid w:val="00951401"/>
    <w:rsid w:val="0095231F"/>
    <w:rsid w:val="00952322"/>
    <w:rsid w:val="0095251B"/>
    <w:rsid w:val="00952A99"/>
    <w:rsid w:val="00952D6E"/>
    <w:rsid w:val="00952F95"/>
    <w:rsid w:val="00953045"/>
    <w:rsid w:val="0095335D"/>
    <w:rsid w:val="00953729"/>
    <w:rsid w:val="00953D0B"/>
    <w:rsid w:val="00954037"/>
    <w:rsid w:val="0095437A"/>
    <w:rsid w:val="009544F1"/>
    <w:rsid w:val="009545DA"/>
    <w:rsid w:val="0095476B"/>
    <w:rsid w:val="00955147"/>
    <w:rsid w:val="00955EA1"/>
    <w:rsid w:val="00956B1F"/>
    <w:rsid w:val="00956EEA"/>
    <w:rsid w:val="0095746B"/>
    <w:rsid w:val="009574E2"/>
    <w:rsid w:val="00957956"/>
    <w:rsid w:val="0096037D"/>
    <w:rsid w:val="00960AE8"/>
    <w:rsid w:val="009615B3"/>
    <w:rsid w:val="00961AE8"/>
    <w:rsid w:val="00962513"/>
    <w:rsid w:val="00962873"/>
    <w:rsid w:val="00962BC1"/>
    <w:rsid w:val="00962CBE"/>
    <w:rsid w:val="0096326F"/>
    <w:rsid w:val="009633A3"/>
    <w:rsid w:val="009634DC"/>
    <w:rsid w:val="009652B1"/>
    <w:rsid w:val="00965416"/>
    <w:rsid w:val="00965676"/>
    <w:rsid w:val="009657D1"/>
    <w:rsid w:val="0096692A"/>
    <w:rsid w:val="009669F3"/>
    <w:rsid w:val="0096783C"/>
    <w:rsid w:val="009704A4"/>
    <w:rsid w:val="009704F4"/>
    <w:rsid w:val="0097056E"/>
    <w:rsid w:val="00970954"/>
    <w:rsid w:val="009714BC"/>
    <w:rsid w:val="00971777"/>
    <w:rsid w:val="009717DF"/>
    <w:rsid w:val="009718BF"/>
    <w:rsid w:val="009718D6"/>
    <w:rsid w:val="00971BC5"/>
    <w:rsid w:val="00972112"/>
    <w:rsid w:val="009723E3"/>
    <w:rsid w:val="00972423"/>
    <w:rsid w:val="00972521"/>
    <w:rsid w:val="00972F85"/>
    <w:rsid w:val="00973124"/>
    <w:rsid w:val="0097324A"/>
    <w:rsid w:val="00973744"/>
    <w:rsid w:val="00973C87"/>
    <w:rsid w:val="00973CCB"/>
    <w:rsid w:val="00973CDF"/>
    <w:rsid w:val="00973E7F"/>
    <w:rsid w:val="00973FE5"/>
    <w:rsid w:val="00974044"/>
    <w:rsid w:val="009748B6"/>
    <w:rsid w:val="00974AA5"/>
    <w:rsid w:val="00974FB8"/>
    <w:rsid w:val="00975665"/>
    <w:rsid w:val="00975F05"/>
    <w:rsid w:val="00976344"/>
    <w:rsid w:val="00976788"/>
    <w:rsid w:val="00976D69"/>
    <w:rsid w:val="00976DEB"/>
    <w:rsid w:val="00976EBB"/>
    <w:rsid w:val="00977F2E"/>
    <w:rsid w:val="009800C2"/>
    <w:rsid w:val="009800C6"/>
    <w:rsid w:val="0098074B"/>
    <w:rsid w:val="00980800"/>
    <w:rsid w:val="00980D72"/>
    <w:rsid w:val="0098112F"/>
    <w:rsid w:val="00981195"/>
    <w:rsid w:val="00981896"/>
    <w:rsid w:val="00982326"/>
    <w:rsid w:val="00982CB4"/>
    <w:rsid w:val="009833B7"/>
    <w:rsid w:val="009834D5"/>
    <w:rsid w:val="009838DE"/>
    <w:rsid w:val="0098405F"/>
    <w:rsid w:val="0098417B"/>
    <w:rsid w:val="00984FAC"/>
    <w:rsid w:val="009852FE"/>
    <w:rsid w:val="00985A01"/>
    <w:rsid w:val="00985EEF"/>
    <w:rsid w:val="0098611D"/>
    <w:rsid w:val="009861A7"/>
    <w:rsid w:val="0098635D"/>
    <w:rsid w:val="009866F9"/>
    <w:rsid w:val="00986E84"/>
    <w:rsid w:val="00987561"/>
    <w:rsid w:val="00987C3D"/>
    <w:rsid w:val="00987C5B"/>
    <w:rsid w:val="00987D23"/>
    <w:rsid w:val="009906B7"/>
    <w:rsid w:val="009910A4"/>
    <w:rsid w:val="009913C9"/>
    <w:rsid w:val="00991481"/>
    <w:rsid w:val="00991A33"/>
    <w:rsid w:val="00991EAB"/>
    <w:rsid w:val="00991F1A"/>
    <w:rsid w:val="00992080"/>
    <w:rsid w:val="00992849"/>
    <w:rsid w:val="00992CB5"/>
    <w:rsid w:val="00992D75"/>
    <w:rsid w:val="00992F47"/>
    <w:rsid w:val="00992F52"/>
    <w:rsid w:val="00993177"/>
    <w:rsid w:val="009937DF"/>
    <w:rsid w:val="00993846"/>
    <w:rsid w:val="0099397F"/>
    <w:rsid w:val="00993A47"/>
    <w:rsid w:val="00993A48"/>
    <w:rsid w:val="00993BD4"/>
    <w:rsid w:val="00993EC1"/>
    <w:rsid w:val="00993FA7"/>
    <w:rsid w:val="00994007"/>
    <w:rsid w:val="009940FB"/>
    <w:rsid w:val="00994136"/>
    <w:rsid w:val="00994223"/>
    <w:rsid w:val="00994296"/>
    <w:rsid w:val="00994402"/>
    <w:rsid w:val="00994C98"/>
    <w:rsid w:val="00994CB2"/>
    <w:rsid w:val="00994F67"/>
    <w:rsid w:val="0099541A"/>
    <w:rsid w:val="009959E6"/>
    <w:rsid w:val="00997008"/>
    <w:rsid w:val="00997E79"/>
    <w:rsid w:val="00997FFE"/>
    <w:rsid w:val="009A01B4"/>
    <w:rsid w:val="009A0CC0"/>
    <w:rsid w:val="009A0CFA"/>
    <w:rsid w:val="009A19F4"/>
    <w:rsid w:val="009A1FBB"/>
    <w:rsid w:val="009A219F"/>
    <w:rsid w:val="009A24B8"/>
    <w:rsid w:val="009A2D0A"/>
    <w:rsid w:val="009A30ED"/>
    <w:rsid w:val="009A31A0"/>
    <w:rsid w:val="009A4127"/>
    <w:rsid w:val="009A4254"/>
    <w:rsid w:val="009A4BD4"/>
    <w:rsid w:val="009A5012"/>
    <w:rsid w:val="009A5972"/>
    <w:rsid w:val="009A6689"/>
    <w:rsid w:val="009A6E95"/>
    <w:rsid w:val="009B0464"/>
    <w:rsid w:val="009B09E5"/>
    <w:rsid w:val="009B137F"/>
    <w:rsid w:val="009B159C"/>
    <w:rsid w:val="009B1A18"/>
    <w:rsid w:val="009B1A2D"/>
    <w:rsid w:val="009B1A59"/>
    <w:rsid w:val="009B1DF4"/>
    <w:rsid w:val="009B1EC3"/>
    <w:rsid w:val="009B2251"/>
    <w:rsid w:val="009B2D3E"/>
    <w:rsid w:val="009B3387"/>
    <w:rsid w:val="009B3957"/>
    <w:rsid w:val="009B3AAB"/>
    <w:rsid w:val="009B4156"/>
    <w:rsid w:val="009B425F"/>
    <w:rsid w:val="009B44D9"/>
    <w:rsid w:val="009B44E2"/>
    <w:rsid w:val="009B4B69"/>
    <w:rsid w:val="009B4C7A"/>
    <w:rsid w:val="009B4C91"/>
    <w:rsid w:val="009B5910"/>
    <w:rsid w:val="009B5DB1"/>
    <w:rsid w:val="009B6103"/>
    <w:rsid w:val="009B61A0"/>
    <w:rsid w:val="009B6A51"/>
    <w:rsid w:val="009B6E28"/>
    <w:rsid w:val="009B7255"/>
    <w:rsid w:val="009B73C1"/>
    <w:rsid w:val="009B7E61"/>
    <w:rsid w:val="009C093C"/>
    <w:rsid w:val="009C0FE4"/>
    <w:rsid w:val="009C127E"/>
    <w:rsid w:val="009C1502"/>
    <w:rsid w:val="009C1521"/>
    <w:rsid w:val="009C17C9"/>
    <w:rsid w:val="009C1884"/>
    <w:rsid w:val="009C18F4"/>
    <w:rsid w:val="009C1A03"/>
    <w:rsid w:val="009C20C9"/>
    <w:rsid w:val="009C2ADB"/>
    <w:rsid w:val="009C3868"/>
    <w:rsid w:val="009C3F2E"/>
    <w:rsid w:val="009C4305"/>
    <w:rsid w:val="009C46B1"/>
    <w:rsid w:val="009C47E9"/>
    <w:rsid w:val="009C4A7B"/>
    <w:rsid w:val="009C4D1C"/>
    <w:rsid w:val="009C5088"/>
    <w:rsid w:val="009C59F1"/>
    <w:rsid w:val="009C6279"/>
    <w:rsid w:val="009C69F3"/>
    <w:rsid w:val="009C6AF3"/>
    <w:rsid w:val="009C6C85"/>
    <w:rsid w:val="009C7EE2"/>
    <w:rsid w:val="009C7F42"/>
    <w:rsid w:val="009D00C2"/>
    <w:rsid w:val="009D0397"/>
    <w:rsid w:val="009D1088"/>
    <w:rsid w:val="009D1AF7"/>
    <w:rsid w:val="009D1E24"/>
    <w:rsid w:val="009D2133"/>
    <w:rsid w:val="009D257A"/>
    <w:rsid w:val="009D25AE"/>
    <w:rsid w:val="009D2D71"/>
    <w:rsid w:val="009D2E6E"/>
    <w:rsid w:val="009D2F8E"/>
    <w:rsid w:val="009D339F"/>
    <w:rsid w:val="009D3547"/>
    <w:rsid w:val="009D393E"/>
    <w:rsid w:val="009D3C06"/>
    <w:rsid w:val="009D42FC"/>
    <w:rsid w:val="009D4943"/>
    <w:rsid w:val="009D4C4E"/>
    <w:rsid w:val="009D4CDD"/>
    <w:rsid w:val="009D518A"/>
    <w:rsid w:val="009D5C35"/>
    <w:rsid w:val="009D5FC7"/>
    <w:rsid w:val="009D632D"/>
    <w:rsid w:val="009D63DA"/>
    <w:rsid w:val="009D6693"/>
    <w:rsid w:val="009D68EE"/>
    <w:rsid w:val="009D6A8D"/>
    <w:rsid w:val="009D713E"/>
    <w:rsid w:val="009D71B7"/>
    <w:rsid w:val="009D71F3"/>
    <w:rsid w:val="009D7238"/>
    <w:rsid w:val="009D730C"/>
    <w:rsid w:val="009D764D"/>
    <w:rsid w:val="009E0090"/>
    <w:rsid w:val="009E0BA6"/>
    <w:rsid w:val="009E0E22"/>
    <w:rsid w:val="009E0EA2"/>
    <w:rsid w:val="009E141D"/>
    <w:rsid w:val="009E1B77"/>
    <w:rsid w:val="009E1E2E"/>
    <w:rsid w:val="009E23E5"/>
    <w:rsid w:val="009E27F2"/>
    <w:rsid w:val="009E2864"/>
    <w:rsid w:val="009E3077"/>
    <w:rsid w:val="009E30A5"/>
    <w:rsid w:val="009E32FD"/>
    <w:rsid w:val="009E3524"/>
    <w:rsid w:val="009E3F0B"/>
    <w:rsid w:val="009E43F5"/>
    <w:rsid w:val="009E556B"/>
    <w:rsid w:val="009E5D12"/>
    <w:rsid w:val="009E5D32"/>
    <w:rsid w:val="009E6037"/>
    <w:rsid w:val="009E6745"/>
    <w:rsid w:val="009E6B91"/>
    <w:rsid w:val="009E6C42"/>
    <w:rsid w:val="009E70CD"/>
    <w:rsid w:val="009E7607"/>
    <w:rsid w:val="009E76F5"/>
    <w:rsid w:val="009F0084"/>
    <w:rsid w:val="009F0AB4"/>
    <w:rsid w:val="009F1384"/>
    <w:rsid w:val="009F17A6"/>
    <w:rsid w:val="009F1811"/>
    <w:rsid w:val="009F1B77"/>
    <w:rsid w:val="009F1E09"/>
    <w:rsid w:val="009F1F32"/>
    <w:rsid w:val="009F225B"/>
    <w:rsid w:val="009F2722"/>
    <w:rsid w:val="009F287D"/>
    <w:rsid w:val="009F2CB9"/>
    <w:rsid w:val="009F317F"/>
    <w:rsid w:val="009F353B"/>
    <w:rsid w:val="009F35D7"/>
    <w:rsid w:val="009F3A1E"/>
    <w:rsid w:val="009F3B3A"/>
    <w:rsid w:val="009F3D70"/>
    <w:rsid w:val="009F3E3A"/>
    <w:rsid w:val="009F423E"/>
    <w:rsid w:val="009F437B"/>
    <w:rsid w:val="009F46F6"/>
    <w:rsid w:val="009F51E1"/>
    <w:rsid w:val="009F53C4"/>
    <w:rsid w:val="009F5F28"/>
    <w:rsid w:val="009F64CD"/>
    <w:rsid w:val="009F71BD"/>
    <w:rsid w:val="009F7312"/>
    <w:rsid w:val="009F7361"/>
    <w:rsid w:val="009F73E7"/>
    <w:rsid w:val="009F74A4"/>
    <w:rsid w:val="009F7FC3"/>
    <w:rsid w:val="00A002E5"/>
    <w:rsid w:val="00A00387"/>
    <w:rsid w:val="00A00E8B"/>
    <w:rsid w:val="00A01D1F"/>
    <w:rsid w:val="00A021BB"/>
    <w:rsid w:val="00A0249C"/>
    <w:rsid w:val="00A02BF7"/>
    <w:rsid w:val="00A02C64"/>
    <w:rsid w:val="00A02F01"/>
    <w:rsid w:val="00A0344F"/>
    <w:rsid w:val="00A037B7"/>
    <w:rsid w:val="00A03E16"/>
    <w:rsid w:val="00A040E1"/>
    <w:rsid w:val="00A04738"/>
    <w:rsid w:val="00A04E9F"/>
    <w:rsid w:val="00A04F45"/>
    <w:rsid w:val="00A052D2"/>
    <w:rsid w:val="00A05885"/>
    <w:rsid w:val="00A0588A"/>
    <w:rsid w:val="00A06019"/>
    <w:rsid w:val="00A06097"/>
    <w:rsid w:val="00A065C9"/>
    <w:rsid w:val="00A06A57"/>
    <w:rsid w:val="00A074A5"/>
    <w:rsid w:val="00A079AB"/>
    <w:rsid w:val="00A07DCE"/>
    <w:rsid w:val="00A1066A"/>
    <w:rsid w:val="00A108FB"/>
    <w:rsid w:val="00A117C2"/>
    <w:rsid w:val="00A11918"/>
    <w:rsid w:val="00A11F32"/>
    <w:rsid w:val="00A12560"/>
    <w:rsid w:val="00A1259C"/>
    <w:rsid w:val="00A1269E"/>
    <w:rsid w:val="00A12A04"/>
    <w:rsid w:val="00A12B86"/>
    <w:rsid w:val="00A12FE2"/>
    <w:rsid w:val="00A135BA"/>
    <w:rsid w:val="00A13625"/>
    <w:rsid w:val="00A1399F"/>
    <w:rsid w:val="00A13B40"/>
    <w:rsid w:val="00A13C8D"/>
    <w:rsid w:val="00A146DE"/>
    <w:rsid w:val="00A14737"/>
    <w:rsid w:val="00A149DA"/>
    <w:rsid w:val="00A14D21"/>
    <w:rsid w:val="00A1532A"/>
    <w:rsid w:val="00A154AF"/>
    <w:rsid w:val="00A155B1"/>
    <w:rsid w:val="00A156AD"/>
    <w:rsid w:val="00A1644F"/>
    <w:rsid w:val="00A16B47"/>
    <w:rsid w:val="00A17686"/>
    <w:rsid w:val="00A17DE2"/>
    <w:rsid w:val="00A20211"/>
    <w:rsid w:val="00A20214"/>
    <w:rsid w:val="00A20B70"/>
    <w:rsid w:val="00A20D45"/>
    <w:rsid w:val="00A218FA"/>
    <w:rsid w:val="00A21D97"/>
    <w:rsid w:val="00A22F88"/>
    <w:rsid w:val="00A23604"/>
    <w:rsid w:val="00A23CDC"/>
    <w:rsid w:val="00A23DB0"/>
    <w:rsid w:val="00A24786"/>
    <w:rsid w:val="00A24851"/>
    <w:rsid w:val="00A24972"/>
    <w:rsid w:val="00A24E45"/>
    <w:rsid w:val="00A24E66"/>
    <w:rsid w:val="00A24F98"/>
    <w:rsid w:val="00A250B0"/>
    <w:rsid w:val="00A25BE8"/>
    <w:rsid w:val="00A26A5F"/>
    <w:rsid w:val="00A27122"/>
    <w:rsid w:val="00A2736A"/>
    <w:rsid w:val="00A27C98"/>
    <w:rsid w:val="00A30091"/>
    <w:rsid w:val="00A30E27"/>
    <w:rsid w:val="00A31308"/>
    <w:rsid w:val="00A31342"/>
    <w:rsid w:val="00A314E9"/>
    <w:rsid w:val="00A319B9"/>
    <w:rsid w:val="00A31FC1"/>
    <w:rsid w:val="00A3303D"/>
    <w:rsid w:val="00A3356F"/>
    <w:rsid w:val="00A33BB5"/>
    <w:rsid w:val="00A34148"/>
    <w:rsid w:val="00A3423F"/>
    <w:rsid w:val="00A344BF"/>
    <w:rsid w:val="00A34F14"/>
    <w:rsid w:val="00A365CA"/>
    <w:rsid w:val="00A36C42"/>
    <w:rsid w:val="00A374F2"/>
    <w:rsid w:val="00A37FCC"/>
    <w:rsid w:val="00A40309"/>
    <w:rsid w:val="00A40E80"/>
    <w:rsid w:val="00A41191"/>
    <w:rsid w:val="00A41562"/>
    <w:rsid w:val="00A4202B"/>
    <w:rsid w:val="00A42243"/>
    <w:rsid w:val="00A42B17"/>
    <w:rsid w:val="00A43000"/>
    <w:rsid w:val="00A43007"/>
    <w:rsid w:val="00A43172"/>
    <w:rsid w:val="00A4364C"/>
    <w:rsid w:val="00A4390F"/>
    <w:rsid w:val="00A439F8"/>
    <w:rsid w:val="00A43B45"/>
    <w:rsid w:val="00A44029"/>
    <w:rsid w:val="00A440D1"/>
    <w:rsid w:val="00A455F2"/>
    <w:rsid w:val="00A45DA3"/>
    <w:rsid w:val="00A46957"/>
    <w:rsid w:val="00A4713B"/>
    <w:rsid w:val="00A472FE"/>
    <w:rsid w:val="00A50D92"/>
    <w:rsid w:val="00A50F28"/>
    <w:rsid w:val="00A513BD"/>
    <w:rsid w:val="00A5146B"/>
    <w:rsid w:val="00A5216E"/>
    <w:rsid w:val="00A52218"/>
    <w:rsid w:val="00A523C2"/>
    <w:rsid w:val="00A527A7"/>
    <w:rsid w:val="00A5285A"/>
    <w:rsid w:val="00A53478"/>
    <w:rsid w:val="00A53495"/>
    <w:rsid w:val="00A53D55"/>
    <w:rsid w:val="00A53ECB"/>
    <w:rsid w:val="00A546CF"/>
    <w:rsid w:val="00A556D1"/>
    <w:rsid w:val="00A55E6F"/>
    <w:rsid w:val="00A56836"/>
    <w:rsid w:val="00A578C0"/>
    <w:rsid w:val="00A57DC6"/>
    <w:rsid w:val="00A6010F"/>
    <w:rsid w:val="00A601C3"/>
    <w:rsid w:val="00A60BD1"/>
    <w:rsid w:val="00A61034"/>
    <w:rsid w:val="00A6129D"/>
    <w:rsid w:val="00A61EC4"/>
    <w:rsid w:val="00A6203C"/>
    <w:rsid w:val="00A624EE"/>
    <w:rsid w:val="00A62C91"/>
    <w:rsid w:val="00A63FB4"/>
    <w:rsid w:val="00A644A5"/>
    <w:rsid w:val="00A6491A"/>
    <w:rsid w:val="00A64AD7"/>
    <w:rsid w:val="00A64BC6"/>
    <w:rsid w:val="00A64E9F"/>
    <w:rsid w:val="00A65A0C"/>
    <w:rsid w:val="00A65B7A"/>
    <w:rsid w:val="00A65D76"/>
    <w:rsid w:val="00A6619B"/>
    <w:rsid w:val="00A667FB"/>
    <w:rsid w:val="00A66D35"/>
    <w:rsid w:val="00A6749D"/>
    <w:rsid w:val="00A67B49"/>
    <w:rsid w:val="00A7049E"/>
    <w:rsid w:val="00A70C0A"/>
    <w:rsid w:val="00A70EE2"/>
    <w:rsid w:val="00A71B70"/>
    <w:rsid w:val="00A7237D"/>
    <w:rsid w:val="00A725E8"/>
    <w:rsid w:val="00A7295E"/>
    <w:rsid w:val="00A72A2A"/>
    <w:rsid w:val="00A733A2"/>
    <w:rsid w:val="00A739BF"/>
    <w:rsid w:val="00A73BD5"/>
    <w:rsid w:val="00A74529"/>
    <w:rsid w:val="00A74D05"/>
    <w:rsid w:val="00A752A2"/>
    <w:rsid w:val="00A752FD"/>
    <w:rsid w:val="00A766A2"/>
    <w:rsid w:val="00A7718C"/>
    <w:rsid w:val="00A772F7"/>
    <w:rsid w:val="00A77639"/>
    <w:rsid w:val="00A80238"/>
    <w:rsid w:val="00A802D8"/>
    <w:rsid w:val="00A81144"/>
    <w:rsid w:val="00A81572"/>
    <w:rsid w:val="00A815AA"/>
    <w:rsid w:val="00A819B8"/>
    <w:rsid w:val="00A81D88"/>
    <w:rsid w:val="00A82414"/>
    <w:rsid w:val="00A827A9"/>
    <w:rsid w:val="00A82CD3"/>
    <w:rsid w:val="00A841E2"/>
    <w:rsid w:val="00A848CD"/>
    <w:rsid w:val="00A85217"/>
    <w:rsid w:val="00A85228"/>
    <w:rsid w:val="00A854C6"/>
    <w:rsid w:val="00A8550F"/>
    <w:rsid w:val="00A85591"/>
    <w:rsid w:val="00A856E4"/>
    <w:rsid w:val="00A86386"/>
    <w:rsid w:val="00A8645A"/>
    <w:rsid w:val="00A869EB"/>
    <w:rsid w:val="00A87C07"/>
    <w:rsid w:val="00A87E74"/>
    <w:rsid w:val="00A9019A"/>
    <w:rsid w:val="00A90890"/>
    <w:rsid w:val="00A90F88"/>
    <w:rsid w:val="00A91074"/>
    <w:rsid w:val="00A9164D"/>
    <w:rsid w:val="00A91825"/>
    <w:rsid w:val="00A91A07"/>
    <w:rsid w:val="00A9209B"/>
    <w:rsid w:val="00A923D7"/>
    <w:rsid w:val="00A92D72"/>
    <w:rsid w:val="00A92FB0"/>
    <w:rsid w:val="00A93901"/>
    <w:rsid w:val="00A94433"/>
    <w:rsid w:val="00A958FF"/>
    <w:rsid w:val="00A95C7E"/>
    <w:rsid w:val="00A95E1B"/>
    <w:rsid w:val="00A971F0"/>
    <w:rsid w:val="00A974A8"/>
    <w:rsid w:val="00A97F0F"/>
    <w:rsid w:val="00A97FCD"/>
    <w:rsid w:val="00AA04BB"/>
    <w:rsid w:val="00AA0BA9"/>
    <w:rsid w:val="00AA1627"/>
    <w:rsid w:val="00AA19C6"/>
    <w:rsid w:val="00AA1E17"/>
    <w:rsid w:val="00AA22DC"/>
    <w:rsid w:val="00AA3048"/>
    <w:rsid w:val="00AA3640"/>
    <w:rsid w:val="00AA39F4"/>
    <w:rsid w:val="00AA3EF1"/>
    <w:rsid w:val="00AA4892"/>
    <w:rsid w:val="00AA4E26"/>
    <w:rsid w:val="00AA5407"/>
    <w:rsid w:val="00AA6077"/>
    <w:rsid w:val="00AA615E"/>
    <w:rsid w:val="00AA6243"/>
    <w:rsid w:val="00AA6377"/>
    <w:rsid w:val="00AA7742"/>
    <w:rsid w:val="00AA7E61"/>
    <w:rsid w:val="00AB05F8"/>
    <w:rsid w:val="00AB0ACA"/>
    <w:rsid w:val="00AB0C50"/>
    <w:rsid w:val="00AB1066"/>
    <w:rsid w:val="00AB18F1"/>
    <w:rsid w:val="00AB1B71"/>
    <w:rsid w:val="00AB1BA8"/>
    <w:rsid w:val="00AB2B3D"/>
    <w:rsid w:val="00AB2EBE"/>
    <w:rsid w:val="00AB3306"/>
    <w:rsid w:val="00AB38BD"/>
    <w:rsid w:val="00AB3B25"/>
    <w:rsid w:val="00AB43B7"/>
    <w:rsid w:val="00AB4DC5"/>
    <w:rsid w:val="00AB533A"/>
    <w:rsid w:val="00AB57C9"/>
    <w:rsid w:val="00AB654E"/>
    <w:rsid w:val="00AB68F6"/>
    <w:rsid w:val="00AB70FB"/>
    <w:rsid w:val="00AB72AD"/>
    <w:rsid w:val="00AB7343"/>
    <w:rsid w:val="00AB746D"/>
    <w:rsid w:val="00AB7491"/>
    <w:rsid w:val="00AB77F6"/>
    <w:rsid w:val="00AB7836"/>
    <w:rsid w:val="00AB7E84"/>
    <w:rsid w:val="00AC0526"/>
    <w:rsid w:val="00AC0D2E"/>
    <w:rsid w:val="00AC1516"/>
    <w:rsid w:val="00AC1D26"/>
    <w:rsid w:val="00AC1E97"/>
    <w:rsid w:val="00AC2625"/>
    <w:rsid w:val="00AC2D07"/>
    <w:rsid w:val="00AC30E9"/>
    <w:rsid w:val="00AC30ED"/>
    <w:rsid w:val="00AC3540"/>
    <w:rsid w:val="00AC3EB8"/>
    <w:rsid w:val="00AC413C"/>
    <w:rsid w:val="00AC4873"/>
    <w:rsid w:val="00AC4964"/>
    <w:rsid w:val="00AC4D89"/>
    <w:rsid w:val="00AC5286"/>
    <w:rsid w:val="00AC530E"/>
    <w:rsid w:val="00AC69CD"/>
    <w:rsid w:val="00AC6BFB"/>
    <w:rsid w:val="00AC7302"/>
    <w:rsid w:val="00AC739D"/>
    <w:rsid w:val="00AD018B"/>
    <w:rsid w:val="00AD0458"/>
    <w:rsid w:val="00AD09AF"/>
    <w:rsid w:val="00AD0DED"/>
    <w:rsid w:val="00AD2123"/>
    <w:rsid w:val="00AD22DD"/>
    <w:rsid w:val="00AD23CF"/>
    <w:rsid w:val="00AD24E8"/>
    <w:rsid w:val="00AD2B16"/>
    <w:rsid w:val="00AD2C0D"/>
    <w:rsid w:val="00AD3115"/>
    <w:rsid w:val="00AD4401"/>
    <w:rsid w:val="00AD468E"/>
    <w:rsid w:val="00AD46C1"/>
    <w:rsid w:val="00AD4AF9"/>
    <w:rsid w:val="00AD4CAE"/>
    <w:rsid w:val="00AD5517"/>
    <w:rsid w:val="00AD5A6B"/>
    <w:rsid w:val="00AD5AB6"/>
    <w:rsid w:val="00AD5D49"/>
    <w:rsid w:val="00AD5DD2"/>
    <w:rsid w:val="00AD672A"/>
    <w:rsid w:val="00AD680B"/>
    <w:rsid w:val="00AD7B69"/>
    <w:rsid w:val="00AD7D6D"/>
    <w:rsid w:val="00AE0032"/>
    <w:rsid w:val="00AE025E"/>
    <w:rsid w:val="00AE04F6"/>
    <w:rsid w:val="00AE0B00"/>
    <w:rsid w:val="00AE1AC5"/>
    <w:rsid w:val="00AE1C40"/>
    <w:rsid w:val="00AE2155"/>
    <w:rsid w:val="00AE24B6"/>
    <w:rsid w:val="00AE2F5A"/>
    <w:rsid w:val="00AE2FB9"/>
    <w:rsid w:val="00AE3835"/>
    <w:rsid w:val="00AE3B99"/>
    <w:rsid w:val="00AE3BC8"/>
    <w:rsid w:val="00AE4439"/>
    <w:rsid w:val="00AE4BDA"/>
    <w:rsid w:val="00AE4DD4"/>
    <w:rsid w:val="00AE537D"/>
    <w:rsid w:val="00AE598A"/>
    <w:rsid w:val="00AE6675"/>
    <w:rsid w:val="00AE6E7D"/>
    <w:rsid w:val="00AE6EAF"/>
    <w:rsid w:val="00AE7001"/>
    <w:rsid w:val="00AE76BC"/>
    <w:rsid w:val="00AE7B9A"/>
    <w:rsid w:val="00AE7CCD"/>
    <w:rsid w:val="00AE7EA7"/>
    <w:rsid w:val="00AF05E9"/>
    <w:rsid w:val="00AF09B3"/>
    <w:rsid w:val="00AF0BCE"/>
    <w:rsid w:val="00AF1F56"/>
    <w:rsid w:val="00AF1FEB"/>
    <w:rsid w:val="00AF209C"/>
    <w:rsid w:val="00AF21DD"/>
    <w:rsid w:val="00AF2262"/>
    <w:rsid w:val="00AF2425"/>
    <w:rsid w:val="00AF26F7"/>
    <w:rsid w:val="00AF26FF"/>
    <w:rsid w:val="00AF2C1F"/>
    <w:rsid w:val="00AF2C77"/>
    <w:rsid w:val="00AF2FDC"/>
    <w:rsid w:val="00AF3FB3"/>
    <w:rsid w:val="00AF485F"/>
    <w:rsid w:val="00AF4D4F"/>
    <w:rsid w:val="00AF507A"/>
    <w:rsid w:val="00AF50D3"/>
    <w:rsid w:val="00AF518A"/>
    <w:rsid w:val="00AF552B"/>
    <w:rsid w:val="00AF5916"/>
    <w:rsid w:val="00AF5960"/>
    <w:rsid w:val="00AF5994"/>
    <w:rsid w:val="00AF5C69"/>
    <w:rsid w:val="00AF5D57"/>
    <w:rsid w:val="00AF5E96"/>
    <w:rsid w:val="00AF61C0"/>
    <w:rsid w:val="00AF659E"/>
    <w:rsid w:val="00AF686C"/>
    <w:rsid w:val="00AF743C"/>
    <w:rsid w:val="00AF78E1"/>
    <w:rsid w:val="00AF7DA3"/>
    <w:rsid w:val="00AF7F73"/>
    <w:rsid w:val="00AF7FA3"/>
    <w:rsid w:val="00B004A5"/>
    <w:rsid w:val="00B00999"/>
    <w:rsid w:val="00B00A7B"/>
    <w:rsid w:val="00B01B24"/>
    <w:rsid w:val="00B0238B"/>
    <w:rsid w:val="00B0277B"/>
    <w:rsid w:val="00B03117"/>
    <w:rsid w:val="00B03249"/>
    <w:rsid w:val="00B03512"/>
    <w:rsid w:val="00B039E5"/>
    <w:rsid w:val="00B041AF"/>
    <w:rsid w:val="00B0428A"/>
    <w:rsid w:val="00B042D3"/>
    <w:rsid w:val="00B04399"/>
    <w:rsid w:val="00B04CBD"/>
    <w:rsid w:val="00B059E0"/>
    <w:rsid w:val="00B066B3"/>
    <w:rsid w:val="00B068A1"/>
    <w:rsid w:val="00B069BD"/>
    <w:rsid w:val="00B06C16"/>
    <w:rsid w:val="00B06DCA"/>
    <w:rsid w:val="00B10142"/>
    <w:rsid w:val="00B1039F"/>
    <w:rsid w:val="00B1051D"/>
    <w:rsid w:val="00B116BA"/>
    <w:rsid w:val="00B11D19"/>
    <w:rsid w:val="00B1222C"/>
    <w:rsid w:val="00B12604"/>
    <w:rsid w:val="00B13269"/>
    <w:rsid w:val="00B1342D"/>
    <w:rsid w:val="00B1359E"/>
    <w:rsid w:val="00B14139"/>
    <w:rsid w:val="00B1451C"/>
    <w:rsid w:val="00B14829"/>
    <w:rsid w:val="00B15175"/>
    <w:rsid w:val="00B152A0"/>
    <w:rsid w:val="00B15A51"/>
    <w:rsid w:val="00B16133"/>
    <w:rsid w:val="00B162BE"/>
    <w:rsid w:val="00B16477"/>
    <w:rsid w:val="00B16645"/>
    <w:rsid w:val="00B17E52"/>
    <w:rsid w:val="00B17F8A"/>
    <w:rsid w:val="00B207C6"/>
    <w:rsid w:val="00B20971"/>
    <w:rsid w:val="00B20F36"/>
    <w:rsid w:val="00B21099"/>
    <w:rsid w:val="00B21344"/>
    <w:rsid w:val="00B21817"/>
    <w:rsid w:val="00B2197C"/>
    <w:rsid w:val="00B219FD"/>
    <w:rsid w:val="00B21BA0"/>
    <w:rsid w:val="00B21E29"/>
    <w:rsid w:val="00B21E40"/>
    <w:rsid w:val="00B2234C"/>
    <w:rsid w:val="00B22DF0"/>
    <w:rsid w:val="00B2329D"/>
    <w:rsid w:val="00B2357D"/>
    <w:rsid w:val="00B238FC"/>
    <w:rsid w:val="00B23C7D"/>
    <w:rsid w:val="00B24281"/>
    <w:rsid w:val="00B24D08"/>
    <w:rsid w:val="00B25666"/>
    <w:rsid w:val="00B25684"/>
    <w:rsid w:val="00B25780"/>
    <w:rsid w:val="00B25F42"/>
    <w:rsid w:val="00B260AD"/>
    <w:rsid w:val="00B26142"/>
    <w:rsid w:val="00B26D9C"/>
    <w:rsid w:val="00B273EE"/>
    <w:rsid w:val="00B27CC3"/>
    <w:rsid w:val="00B301A2"/>
    <w:rsid w:val="00B3161A"/>
    <w:rsid w:val="00B31726"/>
    <w:rsid w:val="00B31FD1"/>
    <w:rsid w:val="00B3213A"/>
    <w:rsid w:val="00B32E27"/>
    <w:rsid w:val="00B32FCD"/>
    <w:rsid w:val="00B3307F"/>
    <w:rsid w:val="00B34543"/>
    <w:rsid w:val="00B34D3C"/>
    <w:rsid w:val="00B351E4"/>
    <w:rsid w:val="00B35995"/>
    <w:rsid w:val="00B35AA0"/>
    <w:rsid w:val="00B36131"/>
    <w:rsid w:val="00B3639C"/>
    <w:rsid w:val="00B36AB5"/>
    <w:rsid w:val="00B36C81"/>
    <w:rsid w:val="00B370BA"/>
    <w:rsid w:val="00B375FA"/>
    <w:rsid w:val="00B37759"/>
    <w:rsid w:val="00B37A4F"/>
    <w:rsid w:val="00B37AAE"/>
    <w:rsid w:val="00B37DB7"/>
    <w:rsid w:val="00B37E1B"/>
    <w:rsid w:val="00B40491"/>
    <w:rsid w:val="00B405F0"/>
    <w:rsid w:val="00B405F3"/>
    <w:rsid w:val="00B40868"/>
    <w:rsid w:val="00B415E0"/>
    <w:rsid w:val="00B41648"/>
    <w:rsid w:val="00B417E3"/>
    <w:rsid w:val="00B422EE"/>
    <w:rsid w:val="00B42979"/>
    <w:rsid w:val="00B429FA"/>
    <w:rsid w:val="00B43009"/>
    <w:rsid w:val="00B4398F"/>
    <w:rsid w:val="00B439AA"/>
    <w:rsid w:val="00B441EF"/>
    <w:rsid w:val="00B44294"/>
    <w:rsid w:val="00B44327"/>
    <w:rsid w:val="00B44556"/>
    <w:rsid w:val="00B445D2"/>
    <w:rsid w:val="00B4463D"/>
    <w:rsid w:val="00B449B8"/>
    <w:rsid w:val="00B44AC9"/>
    <w:rsid w:val="00B44E25"/>
    <w:rsid w:val="00B44F9E"/>
    <w:rsid w:val="00B44FC4"/>
    <w:rsid w:val="00B45B8D"/>
    <w:rsid w:val="00B47835"/>
    <w:rsid w:val="00B47B50"/>
    <w:rsid w:val="00B50700"/>
    <w:rsid w:val="00B512B2"/>
    <w:rsid w:val="00B52174"/>
    <w:rsid w:val="00B5238F"/>
    <w:rsid w:val="00B52563"/>
    <w:rsid w:val="00B52CAF"/>
    <w:rsid w:val="00B5334E"/>
    <w:rsid w:val="00B53773"/>
    <w:rsid w:val="00B53A3A"/>
    <w:rsid w:val="00B53F3E"/>
    <w:rsid w:val="00B54038"/>
    <w:rsid w:val="00B54225"/>
    <w:rsid w:val="00B54432"/>
    <w:rsid w:val="00B54A8F"/>
    <w:rsid w:val="00B54C63"/>
    <w:rsid w:val="00B55269"/>
    <w:rsid w:val="00B5566D"/>
    <w:rsid w:val="00B55CAC"/>
    <w:rsid w:val="00B55D8F"/>
    <w:rsid w:val="00B562EB"/>
    <w:rsid w:val="00B563BB"/>
    <w:rsid w:val="00B5692B"/>
    <w:rsid w:val="00B57B31"/>
    <w:rsid w:val="00B57C5A"/>
    <w:rsid w:val="00B6036B"/>
    <w:rsid w:val="00B6059C"/>
    <w:rsid w:val="00B60E65"/>
    <w:rsid w:val="00B61569"/>
    <w:rsid w:val="00B615EF"/>
    <w:rsid w:val="00B615F8"/>
    <w:rsid w:val="00B61E7A"/>
    <w:rsid w:val="00B62BED"/>
    <w:rsid w:val="00B62E30"/>
    <w:rsid w:val="00B6313F"/>
    <w:rsid w:val="00B635E9"/>
    <w:rsid w:val="00B63C13"/>
    <w:rsid w:val="00B63E10"/>
    <w:rsid w:val="00B647CF"/>
    <w:rsid w:val="00B65DFB"/>
    <w:rsid w:val="00B66070"/>
    <w:rsid w:val="00B667BF"/>
    <w:rsid w:val="00B66A00"/>
    <w:rsid w:val="00B66F91"/>
    <w:rsid w:val="00B6734D"/>
    <w:rsid w:val="00B67989"/>
    <w:rsid w:val="00B67C4B"/>
    <w:rsid w:val="00B67E65"/>
    <w:rsid w:val="00B7071D"/>
    <w:rsid w:val="00B70D2B"/>
    <w:rsid w:val="00B714A8"/>
    <w:rsid w:val="00B716D5"/>
    <w:rsid w:val="00B719C0"/>
    <w:rsid w:val="00B71C56"/>
    <w:rsid w:val="00B71F21"/>
    <w:rsid w:val="00B7232E"/>
    <w:rsid w:val="00B727A5"/>
    <w:rsid w:val="00B737C4"/>
    <w:rsid w:val="00B73C9C"/>
    <w:rsid w:val="00B7403D"/>
    <w:rsid w:val="00B7475C"/>
    <w:rsid w:val="00B75042"/>
    <w:rsid w:val="00B754E3"/>
    <w:rsid w:val="00B7585F"/>
    <w:rsid w:val="00B7593C"/>
    <w:rsid w:val="00B77077"/>
    <w:rsid w:val="00B772C7"/>
    <w:rsid w:val="00B77423"/>
    <w:rsid w:val="00B779BD"/>
    <w:rsid w:val="00B77A4B"/>
    <w:rsid w:val="00B77C7D"/>
    <w:rsid w:val="00B77D14"/>
    <w:rsid w:val="00B80216"/>
    <w:rsid w:val="00B80522"/>
    <w:rsid w:val="00B8092C"/>
    <w:rsid w:val="00B80AD6"/>
    <w:rsid w:val="00B80D42"/>
    <w:rsid w:val="00B80E8A"/>
    <w:rsid w:val="00B81381"/>
    <w:rsid w:val="00B82109"/>
    <w:rsid w:val="00B82704"/>
    <w:rsid w:val="00B828EC"/>
    <w:rsid w:val="00B8292C"/>
    <w:rsid w:val="00B82EFD"/>
    <w:rsid w:val="00B83B8E"/>
    <w:rsid w:val="00B84152"/>
    <w:rsid w:val="00B846DD"/>
    <w:rsid w:val="00B849C4"/>
    <w:rsid w:val="00B84D53"/>
    <w:rsid w:val="00B8594D"/>
    <w:rsid w:val="00B85BD6"/>
    <w:rsid w:val="00B85F32"/>
    <w:rsid w:val="00B86575"/>
    <w:rsid w:val="00B86F77"/>
    <w:rsid w:val="00B8714E"/>
    <w:rsid w:val="00B87549"/>
    <w:rsid w:val="00B877B9"/>
    <w:rsid w:val="00B87AFF"/>
    <w:rsid w:val="00B90155"/>
    <w:rsid w:val="00B9057D"/>
    <w:rsid w:val="00B909A0"/>
    <w:rsid w:val="00B90E49"/>
    <w:rsid w:val="00B91608"/>
    <w:rsid w:val="00B918DE"/>
    <w:rsid w:val="00B92A41"/>
    <w:rsid w:val="00B92C00"/>
    <w:rsid w:val="00B934B6"/>
    <w:rsid w:val="00B93961"/>
    <w:rsid w:val="00B93F80"/>
    <w:rsid w:val="00B93FA0"/>
    <w:rsid w:val="00B94967"/>
    <w:rsid w:val="00B94C93"/>
    <w:rsid w:val="00B94D4E"/>
    <w:rsid w:val="00B94DFD"/>
    <w:rsid w:val="00B94EAE"/>
    <w:rsid w:val="00B952F3"/>
    <w:rsid w:val="00B953FB"/>
    <w:rsid w:val="00B9587B"/>
    <w:rsid w:val="00B95EC5"/>
    <w:rsid w:val="00B95F2F"/>
    <w:rsid w:val="00B9615B"/>
    <w:rsid w:val="00B963DE"/>
    <w:rsid w:val="00B9674F"/>
    <w:rsid w:val="00B96A1C"/>
    <w:rsid w:val="00B96E38"/>
    <w:rsid w:val="00B96F89"/>
    <w:rsid w:val="00B97109"/>
    <w:rsid w:val="00B97F3D"/>
    <w:rsid w:val="00BA00CC"/>
    <w:rsid w:val="00BA0420"/>
    <w:rsid w:val="00BA0642"/>
    <w:rsid w:val="00BA0ADA"/>
    <w:rsid w:val="00BA1492"/>
    <w:rsid w:val="00BA1703"/>
    <w:rsid w:val="00BA1BA8"/>
    <w:rsid w:val="00BA27D4"/>
    <w:rsid w:val="00BA3103"/>
    <w:rsid w:val="00BA34A8"/>
    <w:rsid w:val="00BA3B4C"/>
    <w:rsid w:val="00BA4437"/>
    <w:rsid w:val="00BA464D"/>
    <w:rsid w:val="00BA4AB6"/>
    <w:rsid w:val="00BA5E35"/>
    <w:rsid w:val="00BA6337"/>
    <w:rsid w:val="00BA707F"/>
    <w:rsid w:val="00BA7787"/>
    <w:rsid w:val="00BA780B"/>
    <w:rsid w:val="00BA7970"/>
    <w:rsid w:val="00BA7C64"/>
    <w:rsid w:val="00BA7DE8"/>
    <w:rsid w:val="00BA7F87"/>
    <w:rsid w:val="00BB02CB"/>
    <w:rsid w:val="00BB030E"/>
    <w:rsid w:val="00BB0C5E"/>
    <w:rsid w:val="00BB1C6B"/>
    <w:rsid w:val="00BB1E55"/>
    <w:rsid w:val="00BB21A5"/>
    <w:rsid w:val="00BB2718"/>
    <w:rsid w:val="00BB2B0E"/>
    <w:rsid w:val="00BB2B54"/>
    <w:rsid w:val="00BB2CF0"/>
    <w:rsid w:val="00BB38D1"/>
    <w:rsid w:val="00BB398F"/>
    <w:rsid w:val="00BB3C22"/>
    <w:rsid w:val="00BB3E0E"/>
    <w:rsid w:val="00BB4536"/>
    <w:rsid w:val="00BB471E"/>
    <w:rsid w:val="00BB4BA0"/>
    <w:rsid w:val="00BB4E8F"/>
    <w:rsid w:val="00BB5373"/>
    <w:rsid w:val="00BB5495"/>
    <w:rsid w:val="00BB5945"/>
    <w:rsid w:val="00BB5DB3"/>
    <w:rsid w:val="00BB5E74"/>
    <w:rsid w:val="00BB5EC3"/>
    <w:rsid w:val="00BB5FD8"/>
    <w:rsid w:val="00BB6547"/>
    <w:rsid w:val="00BB7467"/>
    <w:rsid w:val="00BB787E"/>
    <w:rsid w:val="00BC00E4"/>
    <w:rsid w:val="00BC0407"/>
    <w:rsid w:val="00BC0704"/>
    <w:rsid w:val="00BC0DAE"/>
    <w:rsid w:val="00BC1017"/>
    <w:rsid w:val="00BC1A93"/>
    <w:rsid w:val="00BC201B"/>
    <w:rsid w:val="00BC2072"/>
    <w:rsid w:val="00BC227D"/>
    <w:rsid w:val="00BC23CE"/>
    <w:rsid w:val="00BC2E4B"/>
    <w:rsid w:val="00BC2EDF"/>
    <w:rsid w:val="00BC377F"/>
    <w:rsid w:val="00BC3EAE"/>
    <w:rsid w:val="00BC4060"/>
    <w:rsid w:val="00BC45BB"/>
    <w:rsid w:val="00BC4C1F"/>
    <w:rsid w:val="00BC4F26"/>
    <w:rsid w:val="00BC4F9E"/>
    <w:rsid w:val="00BC5F03"/>
    <w:rsid w:val="00BC5F23"/>
    <w:rsid w:val="00BC64D2"/>
    <w:rsid w:val="00BC69FA"/>
    <w:rsid w:val="00BC6E1C"/>
    <w:rsid w:val="00BC7188"/>
    <w:rsid w:val="00BC723B"/>
    <w:rsid w:val="00BC7477"/>
    <w:rsid w:val="00BC7526"/>
    <w:rsid w:val="00BD0114"/>
    <w:rsid w:val="00BD07EF"/>
    <w:rsid w:val="00BD08C9"/>
    <w:rsid w:val="00BD099B"/>
    <w:rsid w:val="00BD0E0E"/>
    <w:rsid w:val="00BD1153"/>
    <w:rsid w:val="00BD13DC"/>
    <w:rsid w:val="00BD141A"/>
    <w:rsid w:val="00BD18FA"/>
    <w:rsid w:val="00BD1BFE"/>
    <w:rsid w:val="00BD1C8C"/>
    <w:rsid w:val="00BD21BB"/>
    <w:rsid w:val="00BD23E5"/>
    <w:rsid w:val="00BD25DC"/>
    <w:rsid w:val="00BD2EC7"/>
    <w:rsid w:val="00BD2F5E"/>
    <w:rsid w:val="00BD3168"/>
    <w:rsid w:val="00BD32D8"/>
    <w:rsid w:val="00BD3406"/>
    <w:rsid w:val="00BD351C"/>
    <w:rsid w:val="00BD3629"/>
    <w:rsid w:val="00BD36CE"/>
    <w:rsid w:val="00BD3B7D"/>
    <w:rsid w:val="00BD4097"/>
    <w:rsid w:val="00BD423D"/>
    <w:rsid w:val="00BD4580"/>
    <w:rsid w:val="00BD4A44"/>
    <w:rsid w:val="00BD4E3E"/>
    <w:rsid w:val="00BD5137"/>
    <w:rsid w:val="00BD55EA"/>
    <w:rsid w:val="00BD5BF8"/>
    <w:rsid w:val="00BD5F8C"/>
    <w:rsid w:val="00BD6649"/>
    <w:rsid w:val="00BD6AE2"/>
    <w:rsid w:val="00BD6BA7"/>
    <w:rsid w:val="00BD6EEF"/>
    <w:rsid w:val="00BD6EF7"/>
    <w:rsid w:val="00BD73AA"/>
    <w:rsid w:val="00BD745C"/>
    <w:rsid w:val="00BD7779"/>
    <w:rsid w:val="00BD7A78"/>
    <w:rsid w:val="00BD7E8D"/>
    <w:rsid w:val="00BD7F66"/>
    <w:rsid w:val="00BE0ABE"/>
    <w:rsid w:val="00BE0B4C"/>
    <w:rsid w:val="00BE1123"/>
    <w:rsid w:val="00BE142F"/>
    <w:rsid w:val="00BE213C"/>
    <w:rsid w:val="00BE223F"/>
    <w:rsid w:val="00BE2571"/>
    <w:rsid w:val="00BE262D"/>
    <w:rsid w:val="00BE26B8"/>
    <w:rsid w:val="00BE2C28"/>
    <w:rsid w:val="00BE2CBF"/>
    <w:rsid w:val="00BE2CF8"/>
    <w:rsid w:val="00BE39C7"/>
    <w:rsid w:val="00BE3A53"/>
    <w:rsid w:val="00BE3AE4"/>
    <w:rsid w:val="00BE46CC"/>
    <w:rsid w:val="00BE4B15"/>
    <w:rsid w:val="00BE4E73"/>
    <w:rsid w:val="00BE54B8"/>
    <w:rsid w:val="00BE56A8"/>
    <w:rsid w:val="00BE6A27"/>
    <w:rsid w:val="00BE7109"/>
    <w:rsid w:val="00BE7E90"/>
    <w:rsid w:val="00BF0386"/>
    <w:rsid w:val="00BF18B7"/>
    <w:rsid w:val="00BF1A3E"/>
    <w:rsid w:val="00BF1A40"/>
    <w:rsid w:val="00BF1EE2"/>
    <w:rsid w:val="00BF2494"/>
    <w:rsid w:val="00BF2694"/>
    <w:rsid w:val="00BF27D9"/>
    <w:rsid w:val="00BF34A5"/>
    <w:rsid w:val="00BF34AD"/>
    <w:rsid w:val="00BF34E5"/>
    <w:rsid w:val="00BF3559"/>
    <w:rsid w:val="00BF35DF"/>
    <w:rsid w:val="00BF35E2"/>
    <w:rsid w:val="00BF40D6"/>
    <w:rsid w:val="00BF4844"/>
    <w:rsid w:val="00BF4A05"/>
    <w:rsid w:val="00BF4BC1"/>
    <w:rsid w:val="00BF51F4"/>
    <w:rsid w:val="00BF5A6D"/>
    <w:rsid w:val="00BF5B21"/>
    <w:rsid w:val="00BF6229"/>
    <w:rsid w:val="00BF6BFB"/>
    <w:rsid w:val="00BF6E63"/>
    <w:rsid w:val="00BF76F9"/>
    <w:rsid w:val="00BF7703"/>
    <w:rsid w:val="00BF7843"/>
    <w:rsid w:val="00BF78BF"/>
    <w:rsid w:val="00BF7B99"/>
    <w:rsid w:val="00C00967"/>
    <w:rsid w:val="00C00D5B"/>
    <w:rsid w:val="00C01023"/>
    <w:rsid w:val="00C0106E"/>
    <w:rsid w:val="00C01305"/>
    <w:rsid w:val="00C019B2"/>
    <w:rsid w:val="00C02AF6"/>
    <w:rsid w:val="00C02F05"/>
    <w:rsid w:val="00C03727"/>
    <w:rsid w:val="00C03774"/>
    <w:rsid w:val="00C0384A"/>
    <w:rsid w:val="00C03C50"/>
    <w:rsid w:val="00C0494E"/>
    <w:rsid w:val="00C04EE3"/>
    <w:rsid w:val="00C04F7E"/>
    <w:rsid w:val="00C05055"/>
    <w:rsid w:val="00C0517B"/>
    <w:rsid w:val="00C0595C"/>
    <w:rsid w:val="00C05AE5"/>
    <w:rsid w:val="00C068E3"/>
    <w:rsid w:val="00C06AD2"/>
    <w:rsid w:val="00C06C36"/>
    <w:rsid w:val="00C06C8D"/>
    <w:rsid w:val="00C06D0C"/>
    <w:rsid w:val="00C06E90"/>
    <w:rsid w:val="00C0724A"/>
    <w:rsid w:val="00C07312"/>
    <w:rsid w:val="00C07F2C"/>
    <w:rsid w:val="00C1029E"/>
    <w:rsid w:val="00C10C89"/>
    <w:rsid w:val="00C10EB2"/>
    <w:rsid w:val="00C10F4B"/>
    <w:rsid w:val="00C11A84"/>
    <w:rsid w:val="00C1237C"/>
    <w:rsid w:val="00C124BF"/>
    <w:rsid w:val="00C12506"/>
    <w:rsid w:val="00C12A22"/>
    <w:rsid w:val="00C1303E"/>
    <w:rsid w:val="00C13807"/>
    <w:rsid w:val="00C13836"/>
    <w:rsid w:val="00C14111"/>
    <w:rsid w:val="00C1459C"/>
    <w:rsid w:val="00C146DC"/>
    <w:rsid w:val="00C14A40"/>
    <w:rsid w:val="00C151B4"/>
    <w:rsid w:val="00C15487"/>
    <w:rsid w:val="00C15C60"/>
    <w:rsid w:val="00C16103"/>
    <w:rsid w:val="00C16633"/>
    <w:rsid w:val="00C16C1A"/>
    <w:rsid w:val="00C16E9A"/>
    <w:rsid w:val="00C16F6D"/>
    <w:rsid w:val="00C16F7B"/>
    <w:rsid w:val="00C17CFA"/>
    <w:rsid w:val="00C17E05"/>
    <w:rsid w:val="00C206F3"/>
    <w:rsid w:val="00C207C5"/>
    <w:rsid w:val="00C215B4"/>
    <w:rsid w:val="00C21AB5"/>
    <w:rsid w:val="00C221F9"/>
    <w:rsid w:val="00C22842"/>
    <w:rsid w:val="00C22984"/>
    <w:rsid w:val="00C22B90"/>
    <w:rsid w:val="00C234BE"/>
    <w:rsid w:val="00C24068"/>
    <w:rsid w:val="00C24678"/>
    <w:rsid w:val="00C247D1"/>
    <w:rsid w:val="00C24BA3"/>
    <w:rsid w:val="00C25B84"/>
    <w:rsid w:val="00C260B5"/>
    <w:rsid w:val="00C26329"/>
    <w:rsid w:val="00C26335"/>
    <w:rsid w:val="00C26552"/>
    <w:rsid w:val="00C266DE"/>
    <w:rsid w:val="00C26B0C"/>
    <w:rsid w:val="00C27400"/>
    <w:rsid w:val="00C27675"/>
    <w:rsid w:val="00C27AB9"/>
    <w:rsid w:val="00C27B1A"/>
    <w:rsid w:val="00C30443"/>
    <w:rsid w:val="00C3057D"/>
    <w:rsid w:val="00C30BE1"/>
    <w:rsid w:val="00C30D80"/>
    <w:rsid w:val="00C31C2C"/>
    <w:rsid w:val="00C32B14"/>
    <w:rsid w:val="00C33E62"/>
    <w:rsid w:val="00C344AE"/>
    <w:rsid w:val="00C36840"/>
    <w:rsid w:val="00C36E41"/>
    <w:rsid w:val="00C37175"/>
    <w:rsid w:val="00C37197"/>
    <w:rsid w:val="00C371F6"/>
    <w:rsid w:val="00C37253"/>
    <w:rsid w:val="00C3759A"/>
    <w:rsid w:val="00C37687"/>
    <w:rsid w:val="00C379E6"/>
    <w:rsid w:val="00C37C7C"/>
    <w:rsid w:val="00C37DE7"/>
    <w:rsid w:val="00C37E1A"/>
    <w:rsid w:val="00C37F75"/>
    <w:rsid w:val="00C400A8"/>
    <w:rsid w:val="00C40269"/>
    <w:rsid w:val="00C40A2E"/>
    <w:rsid w:val="00C40B4E"/>
    <w:rsid w:val="00C40EA3"/>
    <w:rsid w:val="00C41030"/>
    <w:rsid w:val="00C41B2C"/>
    <w:rsid w:val="00C41C94"/>
    <w:rsid w:val="00C4331F"/>
    <w:rsid w:val="00C43709"/>
    <w:rsid w:val="00C439F6"/>
    <w:rsid w:val="00C441F2"/>
    <w:rsid w:val="00C44895"/>
    <w:rsid w:val="00C4490D"/>
    <w:rsid w:val="00C4491E"/>
    <w:rsid w:val="00C44ED6"/>
    <w:rsid w:val="00C45AF9"/>
    <w:rsid w:val="00C45D57"/>
    <w:rsid w:val="00C4603C"/>
    <w:rsid w:val="00C46112"/>
    <w:rsid w:val="00C469E9"/>
    <w:rsid w:val="00C46CA0"/>
    <w:rsid w:val="00C470D2"/>
    <w:rsid w:val="00C4753A"/>
    <w:rsid w:val="00C47638"/>
    <w:rsid w:val="00C47AA2"/>
    <w:rsid w:val="00C50044"/>
    <w:rsid w:val="00C50699"/>
    <w:rsid w:val="00C518C9"/>
    <w:rsid w:val="00C51E64"/>
    <w:rsid w:val="00C51E65"/>
    <w:rsid w:val="00C533AA"/>
    <w:rsid w:val="00C53610"/>
    <w:rsid w:val="00C5376D"/>
    <w:rsid w:val="00C538A9"/>
    <w:rsid w:val="00C5397B"/>
    <w:rsid w:val="00C53B37"/>
    <w:rsid w:val="00C541B6"/>
    <w:rsid w:val="00C541D2"/>
    <w:rsid w:val="00C54565"/>
    <w:rsid w:val="00C54937"/>
    <w:rsid w:val="00C556D8"/>
    <w:rsid w:val="00C55FD7"/>
    <w:rsid w:val="00C56215"/>
    <w:rsid w:val="00C56359"/>
    <w:rsid w:val="00C5666C"/>
    <w:rsid w:val="00C56AB1"/>
    <w:rsid w:val="00C56C47"/>
    <w:rsid w:val="00C57E8C"/>
    <w:rsid w:val="00C57F51"/>
    <w:rsid w:val="00C603C0"/>
    <w:rsid w:val="00C606C0"/>
    <w:rsid w:val="00C60D8C"/>
    <w:rsid w:val="00C61D5B"/>
    <w:rsid w:val="00C62734"/>
    <w:rsid w:val="00C62C0E"/>
    <w:rsid w:val="00C62D8B"/>
    <w:rsid w:val="00C632D8"/>
    <w:rsid w:val="00C6377E"/>
    <w:rsid w:val="00C64382"/>
    <w:rsid w:val="00C6470C"/>
    <w:rsid w:val="00C64E10"/>
    <w:rsid w:val="00C65F50"/>
    <w:rsid w:val="00C667D3"/>
    <w:rsid w:val="00C66B6F"/>
    <w:rsid w:val="00C66E99"/>
    <w:rsid w:val="00C66F6B"/>
    <w:rsid w:val="00C6759E"/>
    <w:rsid w:val="00C67E85"/>
    <w:rsid w:val="00C701E9"/>
    <w:rsid w:val="00C70240"/>
    <w:rsid w:val="00C707EC"/>
    <w:rsid w:val="00C70CB7"/>
    <w:rsid w:val="00C70D72"/>
    <w:rsid w:val="00C714FA"/>
    <w:rsid w:val="00C71A0B"/>
    <w:rsid w:val="00C71CA8"/>
    <w:rsid w:val="00C7239B"/>
    <w:rsid w:val="00C72412"/>
    <w:rsid w:val="00C724CF"/>
    <w:rsid w:val="00C72558"/>
    <w:rsid w:val="00C72824"/>
    <w:rsid w:val="00C72BBE"/>
    <w:rsid w:val="00C7367C"/>
    <w:rsid w:val="00C73E32"/>
    <w:rsid w:val="00C744BD"/>
    <w:rsid w:val="00C74A8F"/>
    <w:rsid w:val="00C74DF8"/>
    <w:rsid w:val="00C75031"/>
    <w:rsid w:val="00C753CC"/>
    <w:rsid w:val="00C7551C"/>
    <w:rsid w:val="00C7564D"/>
    <w:rsid w:val="00C7580C"/>
    <w:rsid w:val="00C75C3E"/>
    <w:rsid w:val="00C75F2C"/>
    <w:rsid w:val="00C76010"/>
    <w:rsid w:val="00C76321"/>
    <w:rsid w:val="00C765C6"/>
    <w:rsid w:val="00C76DAD"/>
    <w:rsid w:val="00C772AF"/>
    <w:rsid w:val="00C7748F"/>
    <w:rsid w:val="00C77A20"/>
    <w:rsid w:val="00C77A2C"/>
    <w:rsid w:val="00C77E1F"/>
    <w:rsid w:val="00C80A3A"/>
    <w:rsid w:val="00C80BB5"/>
    <w:rsid w:val="00C80C37"/>
    <w:rsid w:val="00C80E16"/>
    <w:rsid w:val="00C81D03"/>
    <w:rsid w:val="00C8224E"/>
    <w:rsid w:val="00C82927"/>
    <w:rsid w:val="00C82FD4"/>
    <w:rsid w:val="00C8324B"/>
    <w:rsid w:val="00C8343F"/>
    <w:rsid w:val="00C83AE5"/>
    <w:rsid w:val="00C83F35"/>
    <w:rsid w:val="00C84119"/>
    <w:rsid w:val="00C848D4"/>
    <w:rsid w:val="00C848FC"/>
    <w:rsid w:val="00C84CD8"/>
    <w:rsid w:val="00C84D6F"/>
    <w:rsid w:val="00C85A4C"/>
    <w:rsid w:val="00C85B29"/>
    <w:rsid w:val="00C86565"/>
    <w:rsid w:val="00C86776"/>
    <w:rsid w:val="00C879F2"/>
    <w:rsid w:val="00C87C69"/>
    <w:rsid w:val="00C87F1C"/>
    <w:rsid w:val="00C9025E"/>
    <w:rsid w:val="00C90275"/>
    <w:rsid w:val="00C908A2"/>
    <w:rsid w:val="00C914C8"/>
    <w:rsid w:val="00C916A6"/>
    <w:rsid w:val="00C91719"/>
    <w:rsid w:val="00C91755"/>
    <w:rsid w:val="00C917E8"/>
    <w:rsid w:val="00C91AFB"/>
    <w:rsid w:val="00C91F63"/>
    <w:rsid w:val="00C924BA"/>
    <w:rsid w:val="00C92AA1"/>
    <w:rsid w:val="00C92D5E"/>
    <w:rsid w:val="00C9353C"/>
    <w:rsid w:val="00C93925"/>
    <w:rsid w:val="00C93A82"/>
    <w:rsid w:val="00C93DF9"/>
    <w:rsid w:val="00C93EE2"/>
    <w:rsid w:val="00C9425C"/>
    <w:rsid w:val="00C94316"/>
    <w:rsid w:val="00C94845"/>
    <w:rsid w:val="00C9493D"/>
    <w:rsid w:val="00C95966"/>
    <w:rsid w:val="00C95A22"/>
    <w:rsid w:val="00C9702F"/>
    <w:rsid w:val="00C978E4"/>
    <w:rsid w:val="00C97FB9"/>
    <w:rsid w:val="00CA0230"/>
    <w:rsid w:val="00CA05B2"/>
    <w:rsid w:val="00CA0757"/>
    <w:rsid w:val="00CA07A6"/>
    <w:rsid w:val="00CA07EF"/>
    <w:rsid w:val="00CA0800"/>
    <w:rsid w:val="00CA0C41"/>
    <w:rsid w:val="00CA18F1"/>
    <w:rsid w:val="00CA1A52"/>
    <w:rsid w:val="00CA1AE1"/>
    <w:rsid w:val="00CA2098"/>
    <w:rsid w:val="00CA25D8"/>
    <w:rsid w:val="00CA26EA"/>
    <w:rsid w:val="00CA27AE"/>
    <w:rsid w:val="00CA2AA2"/>
    <w:rsid w:val="00CA3064"/>
    <w:rsid w:val="00CA3411"/>
    <w:rsid w:val="00CA368B"/>
    <w:rsid w:val="00CA39A6"/>
    <w:rsid w:val="00CA3FC4"/>
    <w:rsid w:val="00CA41B1"/>
    <w:rsid w:val="00CA4565"/>
    <w:rsid w:val="00CA4AFF"/>
    <w:rsid w:val="00CA4D76"/>
    <w:rsid w:val="00CA5F4E"/>
    <w:rsid w:val="00CA642E"/>
    <w:rsid w:val="00CA663A"/>
    <w:rsid w:val="00CA6812"/>
    <w:rsid w:val="00CA6C88"/>
    <w:rsid w:val="00CA75B1"/>
    <w:rsid w:val="00CA795E"/>
    <w:rsid w:val="00CA7BE9"/>
    <w:rsid w:val="00CB02C5"/>
    <w:rsid w:val="00CB0382"/>
    <w:rsid w:val="00CB0AF1"/>
    <w:rsid w:val="00CB1029"/>
    <w:rsid w:val="00CB10C2"/>
    <w:rsid w:val="00CB1866"/>
    <w:rsid w:val="00CB196C"/>
    <w:rsid w:val="00CB1BA4"/>
    <w:rsid w:val="00CB1BE1"/>
    <w:rsid w:val="00CB2645"/>
    <w:rsid w:val="00CB2AB6"/>
    <w:rsid w:val="00CB2B66"/>
    <w:rsid w:val="00CB4581"/>
    <w:rsid w:val="00CB4F80"/>
    <w:rsid w:val="00CB50FB"/>
    <w:rsid w:val="00CB5173"/>
    <w:rsid w:val="00CB54AA"/>
    <w:rsid w:val="00CB6006"/>
    <w:rsid w:val="00CB6262"/>
    <w:rsid w:val="00CB65F4"/>
    <w:rsid w:val="00CB66CA"/>
    <w:rsid w:val="00CB7387"/>
    <w:rsid w:val="00CB744F"/>
    <w:rsid w:val="00CB7694"/>
    <w:rsid w:val="00CB7AE3"/>
    <w:rsid w:val="00CB7F6F"/>
    <w:rsid w:val="00CC0732"/>
    <w:rsid w:val="00CC08B9"/>
    <w:rsid w:val="00CC08D4"/>
    <w:rsid w:val="00CC0D2F"/>
    <w:rsid w:val="00CC0DD4"/>
    <w:rsid w:val="00CC1742"/>
    <w:rsid w:val="00CC20D1"/>
    <w:rsid w:val="00CC21C0"/>
    <w:rsid w:val="00CC24DE"/>
    <w:rsid w:val="00CC2FFF"/>
    <w:rsid w:val="00CC3783"/>
    <w:rsid w:val="00CC39A5"/>
    <w:rsid w:val="00CC3B43"/>
    <w:rsid w:val="00CC3CC4"/>
    <w:rsid w:val="00CC3CF0"/>
    <w:rsid w:val="00CC3F6A"/>
    <w:rsid w:val="00CC4268"/>
    <w:rsid w:val="00CC44A8"/>
    <w:rsid w:val="00CC45BD"/>
    <w:rsid w:val="00CC4857"/>
    <w:rsid w:val="00CC524E"/>
    <w:rsid w:val="00CC5969"/>
    <w:rsid w:val="00CC5BC8"/>
    <w:rsid w:val="00CC5BF8"/>
    <w:rsid w:val="00CC619C"/>
    <w:rsid w:val="00CC6292"/>
    <w:rsid w:val="00CC6764"/>
    <w:rsid w:val="00CC6A1E"/>
    <w:rsid w:val="00CC6D0F"/>
    <w:rsid w:val="00CC7250"/>
    <w:rsid w:val="00CC7B31"/>
    <w:rsid w:val="00CC7DB8"/>
    <w:rsid w:val="00CD032F"/>
    <w:rsid w:val="00CD0CE2"/>
    <w:rsid w:val="00CD0F92"/>
    <w:rsid w:val="00CD1652"/>
    <w:rsid w:val="00CD26C7"/>
    <w:rsid w:val="00CD26EE"/>
    <w:rsid w:val="00CD2AE9"/>
    <w:rsid w:val="00CD2BF4"/>
    <w:rsid w:val="00CD3032"/>
    <w:rsid w:val="00CD3073"/>
    <w:rsid w:val="00CD30FC"/>
    <w:rsid w:val="00CD311F"/>
    <w:rsid w:val="00CD347C"/>
    <w:rsid w:val="00CD367D"/>
    <w:rsid w:val="00CD39A1"/>
    <w:rsid w:val="00CD3E4C"/>
    <w:rsid w:val="00CD3EC6"/>
    <w:rsid w:val="00CD4C00"/>
    <w:rsid w:val="00CD4C88"/>
    <w:rsid w:val="00CD503E"/>
    <w:rsid w:val="00CD5959"/>
    <w:rsid w:val="00CD5BD2"/>
    <w:rsid w:val="00CD63B1"/>
    <w:rsid w:val="00CD693D"/>
    <w:rsid w:val="00CD7F7F"/>
    <w:rsid w:val="00CE00F0"/>
    <w:rsid w:val="00CE02D2"/>
    <w:rsid w:val="00CE04FD"/>
    <w:rsid w:val="00CE0ABB"/>
    <w:rsid w:val="00CE0AD4"/>
    <w:rsid w:val="00CE0B09"/>
    <w:rsid w:val="00CE0B26"/>
    <w:rsid w:val="00CE0C29"/>
    <w:rsid w:val="00CE1365"/>
    <w:rsid w:val="00CE1968"/>
    <w:rsid w:val="00CE2343"/>
    <w:rsid w:val="00CE2462"/>
    <w:rsid w:val="00CE2479"/>
    <w:rsid w:val="00CE273E"/>
    <w:rsid w:val="00CE2E3F"/>
    <w:rsid w:val="00CE3558"/>
    <w:rsid w:val="00CE3896"/>
    <w:rsid w:val="00CE3BD8"/>
    <w:rsid w:val="00CE47DC"/>
    <w:rsid w:val="00CE47ED"/>
    <w:rsid w:val="00CE5892"/>
    <w:rsid w:val="00CE58E4"/>
    <w:rsid w:val="00CE5AE5"/>
    <w:rsid w:val="00CE63FA"/>
    <w:rsid w:val="00CE707A"/>
    <w:rsid w:val="00CE760D"/>
    <w:rsid w:val="00CE7AB5"/>
    <w:rsid w:val="00CE7B9E"/>
    <w:rsid w:val="00CE7F9F"/>
    <w:rsid w:val="00CF00B5"/>
    <w:rsid w:val="00CF030D"/>
    <w:rsid w:val="00CF067B"/>
    <w:rsid w:val="00CF1113"/>
    <w:rsid w:val="00CF154E"/>
    <w:rsid w:val="00CF17F6"/>
    <w:rsid w:val="00CF28F2"/>
    <w:rsid w:val="00CF2DFF"/>
    <w:rsid w:val="00CF3921"/>
    <w:rsid w:val="00CF4361"/>
    <w:rsid w:val="00CF461A"/>
    <w:rsid w:val="00CF4EFD"/>
    <w:rsid w:val="00CF50E6"/>
    <w:rsid w:val="00CF5F86"/>
    <w:rsid w:val="00CF641B"/>
    <w:rsid w:val="00CF6C44"/>
    <w:rsid w:val="00CF7B9A"/>
    <w:rsid w:val="00CF7FDE"/>
    <w:rsid w:val="00D00181"/>
    <w:rsid w:val="00D003A5"/>
    <w:rsid w:val="00D0142F"/>
    <w:rsid w:val="00D01E2F"/>
    <w:rsid w:val="00D01E81"/>
    <w:rsid w:val="00D02EA7"/>
    <w:rsid w:val="00D03858"/>
    <w:rsid w:val="00D0405A"/>
    <w:rsid w:val="00D04367"/>
    <w:rsid w:val="00D04368"/>
    <w:rsid w:val="00D045A7"/>
    <w:rsid w:val="00D0480C"/>
    <w:rsid w:val="00D048BD"/>
    <w:rsid w:val="00D04BC8"/>
    <w:rsid w:val="00D04D26"/>
    <w:rsid w:val="00D05A9C"/>
    <w:rsid w:val="00D064FB"/>
    <w:rsid w:val="00D0697F"/>
    <w:rsid w:val="00D06D34"/>
    <w:rsid w:val="00D06DBC"/>
    <w:rsid w:val="00D06F6F"/>
    <w:rsid w:val="00D0700D"/>
    <w:rsid w:val="00D1028F"/>
    <w:rsid w:val="00D10555"/>
    <w:rsid w:val="00D10908"/>
    <w:rsid w:val="00D10FAF"/>
    <w:rsid w:val="00D11442"/>
    <w:rsid w:val="00D1177B"/>
    <w:rsid w:val="00D11F91"/>
    <w:rsid w:val="00D12072"/>
    <w:rsid w:val="00D1254A"/>
    <w:rsid w:val="00D127C3"/>
    <w:rsid w:val="00D12A96"/>
    <w:rsid w:val="00D12E2E"/>
    <w:rsid w:val="00D13253"/>
    <w:rsid w:val="00D13EEA"/>
    <w:rsid w:val="00D140F1"/>
    <w:rsid w:val="00D1467B"/>
    <w:rsid w:val="00D14734"/>
    <w:rsid w:val="00D1474E"/>
    <w:rsid w:val="00D14B06"/>
    <w:rsid w:val="00D14B7F"/>
    <w:rsid w:val="00D14F5C"/>
    <w:rsid w:val="00D15451"/>
    <w:rsid w:val="00D15CA0"/>
    <w:rsid w:val="00D16A64"/>
    <w:rsid w:val="00D17148"/>
    <w:rsid w:val="00D174D1"/>
    <w:rsid w:val="00D17669"/>
    <w:rsid w:val="00D176AE"/>
    <w:rsid w:val="00D200BE"/>
    <w:rsid w:val="00D21CA7"/>
    <w:rsid w:val="00D22E04"/>
    <w:rsid w:val="00D23381"/>
    <w:rsid w:val="00D235CE"/>
    <w:rsid w:val="00D242DA"/>
    <w:rsid w:val="00D242DB"/>
    <w:rsid w:val="00D243A5"/>
    <w:rsid w:val="00D24910"/>
    <w:rsid w:val="00D24B92"/>
    <w:rsid w:val="00D24EAD"/>
    <w:rsid w:val="00D2514F"/>
    <w:rsid w:val="00D251AC"/>
    <w:rsid w:val="00D253F0"/>
    <w:rsid w:val="00D26E7A"/>
    <w:rsid w:val="00D27033"/>
    <w:rsid w:val="00D271FE"/>
    <w:rsid w:val="00D2726A"/>
    <w:rsid w:val="00D2740B"/>
    <w:rsid w:val="00D27560"/>
    <w:rsid w:val="00D27D63"/>
    <w:rsid w:val="00D3013D"/>
    <w:rsid w:val="00D30D9E"/>
    <w:rsid w:val="00D30DE4"/>
    <w:rsid w:val="00D30E5D"/>
    <w:rsid w:val="00D31957"/>
    <w:rsid w:val="00D31CE5"/>
    <w:rsid w:val="00D31DFC"/>
    <w:rsid w:val="00D321B1"/>
    <w:rsid w:val="00D329A5"/>
    <w:rsid w:val="00D330C2"/>
    <w:rsid w:val="00D335A8"/>
    <w:rsid w:val="00D3363E"/>
    <w:rsid w:val="00D3386F"/>
    <w:rsid w:val="00D338EC"/>
    <w:rsid w:val="00D3396F"/>
    <w:rsid w:val="00D33FCB"/>
    <w:rsid w:val="00D34738"/>
    <w:rsid w:val="00D34948"/>
    <w:rsid w:val="00D34C6E"/>
    <w:rsid w:val="00D34F9E"/>
    <w:rsid w:val="00D353B6"/>
    <w:rsid w:val="00D3595E"/>
    <w:rsid w:val="00D35D25"/>
    <w:rsid w:val="00D36379"/>
    <w:rsid w:val="00D36EBC"/>
    <w:rsid w:val="00D37D27"/>
    <w:rsid w:val="00D37E44"/>
    <w:rsid w:val="00D37EF8"/>
    <w:rsid w:val="00D400F6"/>
    <w:rsid w:val="00D41259"/>
    <w:rsid w:val="00D415AE"/>
    <w:rsid w:val="00D41813"/>
    <w:rsid w:val="00D41D09"/>
    <w:rsid w:val="00D41E1E"/>
    <w:rsid w:val="00D41F7D"/>
    <w:rsid w:val="00D4259F"/>
    <w:rsid w:val="00D428FB"/>
    <w:rsid w:val="00D42920"/>
    <w:rsid w:val="00D42B9C"/>
    <w:rsid w:val="00D42BCA"/>
    <w:rsid w:val="00D43178"/>
    <w:rsid w:val="00D435A3"/>
    <w:rsid w:val="00D43850"/>
    <w:rsid w:val="00D43CBC"/>
    <w:rsid w:val="00D4458C"/>
    <w:rsid w:val="00D4462B"/>
    <w:rsid w:val="00D4488D"/>
    <w:rsid w:val="00D44A06"/>
    <w:rsid w:val="00D44A34"/>
    <w:rsid w:val="00D44D41"/>
    <w:rsid w:val="00D44ECA"/>
    <w:rsid w:val="00D44EE2"/>
    <w:rsid w:val="00D45415"/>
    <w:rsid w:val="00D4557D"/>
    <w:rsid w:val="00D4578D"/>
    <w:rsid w:val="00D45A5F"/>
    <w:rsid w:val="00D45CA6"/>
    <w:rsid w:val="00D45FB3"/>
    <w:rsid w:val="00D4655B"/>
    <w:rsid w:val="00D46D63"/>
    <w:rsid w:val="00D47195"/>
    <w:rsid w:val="00D47196"/>
    <w:rsid w:val="00D4761F"/>
    <w:rsid w:val="00D47C51"/>
    <w:rsid w:val="00D47F1D"/>
    <w:rsid w:val="00D505D4"/>
    <w:rsid w:val="00D508B0"/>
    <w:rsid w:val="00D509C1"/>
    <w:rsid w:val="00D5239A"/>
    <w:rsid w:val="00D527E3"/>
    <w:rsid w:val="00D52FAD"/>
    <w:rsid w:val="00D5323B"/>
    <w:rsid w:val="00D5338E"/>
    <w:rsid w:val="00D5365D"/>
    <w:rsid w:val="00D538F1"/>
    <w:rsid w:val="00D53E3E"/>
    <w:rsid w:val="00D54A38"/>
    <w:rsid w:val="00D550F9"/>
    <w:rsid w:val="00D55750"/>
    <w:rsid w:val="00D557D0"/>
    <w:rsid w:val="00D558A8"/>
    <w:rsid w:val="00D55992"/>
    <w:rsid w:val="00D55E59"/>
    <w:rsid w:val="00D568FF"/>
    <w:rsid w:val="00D5691A"/>
    <w:rsid w:val="00D570B3"/>
    <w:rsid w:val="00D571C8"/>
    <w:rsid w:val="00D57A5F"/>
    <w:rsid w:val="00D57B12"/>
    <w:rsid w:val="00D57C82"/>
    <w:rsid w:val="00D57DEE"/>
    <w:rsid w:val="00D603F5"/>
    <w:rsid w:val="00D605E8"/>
    <w:rsid w:val="00D6137B"/>
    <w:rsid w:val="00D6182D"/>
    <w:rsid w:val="00D61FFE"/>
    <w:rsid w:val="00D62271"/>
    <w:rsid w:val="00D628DE"/>
    <w:rsid w:val="00D62DAF"/>
    <w:rsid w:val="00D6324B"/>
    <w:rsid w:val="00D63368"/>
    <w:rsid w:val="00D6348B"/>
    <w:rsid w:val="00D634F1"/>
    <w:rsid w:val="00D63555"/>
    <w:rsid w:val="00D63616"/>
    <w:rsid w:val="00D63C26"/>
    <w:rsid w:val="00D65170"/>
    <w:rsid w:val="00D6563E"/>
    <w:rsid w:val="00D6578C"/>
    <w:rsid w:val="00D661B3"/>
    <w:rsid w:val="00D666AB"/>
    <w:rsid w:val="00D66734"/>
    <w:rsid w:val="00D66CC7"/>
    <w:rsid w:val="00D66DAD"/>
    <w:rsid w:val="00D6711F"/>
    <w:rsid w:val="00D671B4"/>
    <w:rsid w:val="00D67883"/>
    <w:rsid w:val="00D67D86"/>
    <w:rsid w:val="00D70169"/>
    <w:rsid w:val="00D70B78"/>
    <w:rsid w:val="00D70D1F"/>
    <w:rsid w:val="00D71E2C"/>
    <w:rsid w:val="00D72B1B"/>
    <w:rsid w:val="00D72D85"/>
    <w:rsid w:val="00D72EAD"/>
    <w:rsid w:val="00D73D7C"/>
    <w:rsid w:val="00D73FB1"/>
    <w:rsid w:val="00D744BF"/>
    <w:rsid w:val="00D758C7"/>
    <w:rsid w:val="00D75B0F"/>
    <w:rsid w:val="00D761AA"/>
    <w:rsid w:val="00D763B8"/>
    <w:rsid w:val="00D76433"/>
    <w:rsid w:val="00D774BB"/>
    <w:rsid w:val="00D77979"/>
    <w:rsid w:val="00D779D6"/>
    <w:rsid w:val="00D80077"/>
    <w:rsid w:val="00D800DF"/>
    <w:rsid w:val="00D8061C"/>
    <w:rsid w:val="00D81147"/>
    <w:rsid w:val="00D81E65"/>
    <w:rsid w:val="00D8242B"/>
    <w:rsid w:val="00D8258B"/>
    <w:rsid w:val="00D82D15"/>
    <w:rsid w:val="00D82D66"/>
    <w:rsid w:val="00D82D9D"/>
    <w:rsid w:val="00D8330D"/>
    <w:rsid w:val="00D84290"/>
    <w:rsid w:val="00D84639"/>
    <w:rsid w:val="00D848C1"/>
    <w:rsid w:val="00D84B4D"/>
    <w:rsid w:val="00D85046"/>
    <w:rsid w:val="00D8513D"/>
    <w:rsid w:val="00D85987"/>
    <w:rsid w:val="00D85BE8"/>
    <w:rsid w:val="00D86361"/>
    <w:rsid w:val="00D865ED"/>
    <w:rsid w:val="00D86C16"/>
    <w:rsid w:val="00D86D33"/>
    <w:rsid w:val="00D86D54"/>
    <w:rsid w:val="00D87BC2"/>
    <w:rsid w:val="00D87FFB"/>
    <w:rsid w:val="00D9019A"/>
    <w:rsid w:val="00D904C8"/>
    <w:rsid w:val="00D9069B"/>
    <w:rsid w:val="00D911B9"/>
    <w:rsid w:val="00D9144A"/>
    <w:rsid w:val="00D91497"/>
    <w:rsid w:val="00D916EB"/>
    <w:rsid w:val="00D91795"/>
    <w:rsid w:val="00D91A01"/>
    <w:rsid w:val="00D91E2B"/>
    <w:rsid w:val="00D91EBB"/>
    <w:rsid w:val="00D929EE"/>
    <w:rsid w:val="00D92B00"/>
    <w:rsid w:val="00D92D12"/>
    <w:rsid w:val="00D92F17"/>
    <w:rsid w:val="00D93274"/>
    <w:rsid w:val="00D93BB5"/>
    <w:rsid w:val="00D940B9"/>
    <w:rsid w:val="00D944EE"/>
    <w:rsid w:val="00D945F3"/>
    <w:rsid w:val="00D94997"/>
    <w:rsid w:val="00D94B77"/>
    <w:rsid w:val="00D94DD1"/>
    <w:rsid w:val="00D952B9"/>
    <w:rsid w:val="00D952DA"/>
    <w:rsid w:val="00D952F0"/>
    <w:rsid w:val="00D96DBC"/>
    <w:rsid w:val="00D96F36"/>
    <w:rsid w:val="00D97086"/>
    <w:rsid w:val="00D971AE"/>
    <w:rsid w:val="00D97B89"/>
    <w:rsid w:val="00D97C7A"/>
    <w:rsid w:val="00DA0830"/>
    <w:rsid w:val="00DA0940"/>
    <w:rsid w:val="00DA0D50"/>
    <w:rsid w:val="00DA0F89"/>
    <w:rsid w:val="00DA10D5"/>
    <w:rsid w:val="00DA1734"/>
    <w:rsid w:val="00DA1B19"/>
    <w:rsid w:val="00DA2002"/>
    <w:rsid w:val="00DA2828"/>
    <w:rsid w:val="00DA2838"/>
    <w:rsid w:val="00DA2862"/>
    <w:rsid w:val="00DA29C4"/>
    <w:rsid w:val="00DA2E5E"/>
    <w:rsid w:val="00DA417D"/>
    <w:rsid w:val="00DA4441"/>
    <w:rsid w:val="00DA4BEA"/>
    <w:rsid w:val="00DA4E60"/>
    <w:rsid w:val="00DA555D"/>
    <w:rsid w:val="00DA5614"/>
    <w:rsid w:val="00DA6901"/>
    <w:rsid w:val="00DA69A0"/>
    <w:rsid w:val="00DA6A22"/>
    <w:rsid w:val="00DA6A4D"/>
    <w:rsid w:val="00DA6C7E"/>
    <w:rsid w:val="00DA7A38"/>
    <w:rsid w:val="00DA7EAA"/>
    <w:rsid w:val="00DB0152"/>
    <w:rsid w:val="00DB01B9"/>
    <w:rsid w:val="00DB03D9"/>
    <w:rsid w:val="00DB0894"/>
    <w:rsid w:val="00DB08BA"/>
    <w:rsid w:val="00DB099C"/>
    <w:rsid w:val="00DB0A45"/>
    <w:rsid w:val="00DB0ACE"/>
    <w:rsid w:val="00DB1871"/>
    <w:rsid w:val="00DB1E3C"/>
    <w:rsid w:val="00DB1E5C"/>
    <w:rsid w:val="00DB32E4"/>
    <w:rsid w:val="00DB37D0"/>
    <w:rsid w:val="00DB3AA6"/>
    <w:rsid w:val="00DB44BF"/>
    <w:rsid w:val="00DB4A36"/>
    <w:rsid w:val="00DB4DDA"/>
    <w:rsid w:val="00DB4E30"/>
    <w:rsid w:val="00DB5415"/>
    <w:rsid w:val="00DB5D6C"/>
    <w:rsid w:val="00DB628A"/>
    <w:rsid w:val="00DB64C0"/>
    <w:rsid w:val="00DB6870"/>
    <w:rsid w:val="00DB68C1"/>
    <w:rsid w:val="00DB77B1"/>
    <w:rsid w:val="00DB7987"/>
    <w:rsid w:val="00DB7A75"/>
    <w:rsid w:val="00DC032E"/>
    <w:rsid w:val="00DC0427"/>
    <w:rsid w:val="00DC04EF"/>
    <w:rsid w:val="00DC06C4"/>
    <w:rsid w:val="00DC08CB"/>
    <w:rsid w:val="00DC0C20"/>
    <w:rsid w:val="00DC10CC"/>
    <w:rsid w:val="00DC168E"/>
    <w:rsid w:val="00DC1DB5"/>
    <w:rsid w:val="00DC257B"/>
    <w:rsid w:val="00DC26DE"/>
    <w:rsid w:val="00DC2AAF"/>
    <w:rsid w:val="00DC317C"/>
    <w:rsid w:val="00DC3305"/>
    <w:rsid w:val="00DC36E1"/>
    <w:rsid w:val="00DC406F"/>
    <w:rsid w:val="00DC419F"/>
    <w:rsid w:val="00DC41E3"/>
    <w:rsid w:val="00DC4381"/>
    <w:rsid w:val="00DC46AD"/>
    <w:rsid w:val="00DC472C"/>
    <w:rsid w:val="00DC4929"/>
    <w:rsid w:val="00DC5239"/>
    <w:rsid w:val="00DC546C"/>
    <w:rsid w:val="00DC59EC"/>
    <w:rsid w:val="00DC59FF"/>
    <w:rsid w:val="00DC5BD3"/>
    <w:rsid w:val="00DC5C48"/>
    <w:rsid w:val="00DC5D8E"/>
    <w:rsid w:val="00DC64EB"/>
    <w:rsid w:val="00DC6641"/>
    <w:rsid w:val="00DC6831"/>
    <w:rsid w:val="00DC683E"/>
    <w:rsid w:val="00DC6A82"/>
    <w:rsid w:val="00DC6D3D"/>
    <w:rsid w:val="00DC7088"/>
    <w:rsid w:val="00DC716A"/>
    <w:rsid w:val="00DC72DE"/>
    <w:rsid w:val="00DC75CF"/>
    <w:rsid w:val="00DC7E35"/>
    <w:rsid w:val="00DD014B"/>
    <w:rsid w:val="00DD0398"/>
    <w:rsid w:val="00DD0966"/>
    <w:rsid w:val="00DD0A79"/>
    <w:rsid w:val="00DD1671"/>
    <w:rsid w:val="00DD18C7"/>
    <w:rsid w:val="00DD1AAE"/>
    <w:rsid w:val="00DD1B4A"/>
    <w:rsid w:val="00DD1E32"/>
    <w:rsid w:val="00DD2285"/>
    <w:rsid w:val="00DD270B"/>
    <w:rsid w:val="00DD2990"/>
    <w:rsid w:val="00DD2EB4"/>
    <w:rsid w:val="00DD2F01"/>
    <w:rsid w:val="00DD30DE"/>
    <w:rsid w:val="00DD3393"/>
    <w:rsid w:val="00DD36A7"/>
    <w:rsid w:val="00DD3A98"/>
    <w:rsid w:val="00DD4111"/>
    <w:rsid w:val="00DD4448"/>
    <w:rsid w:val="00DD502D"/>
    <w:rsid w:val="00DD510B"/>
    <w:rsid w:val="00DD5135"/>
    <w:rsid w:val="00DD5236"/>
    <w:rsid w:val="00DD5BDF"/>
    <w:rsid w:val="00DD65E1"/>
    <w:rsid w:val="00DD691F"/>
    <w:rsid w:val="00DD6C5F"/>
    <w:rsid w:val="00DD75C3"/>
    <w:rsid w:val="00DD7628"/>
    <w:rsid w:val="00DD7A40"/>
    <w:rsid w:val="00DD7B0B"/>
    <w:rsid w:val="00DD7C2D"/>
    <w:rsid w:val="00DD7EDD"/>
    <w:rsid w:val="00DE040B"/>
    <w:rsid w:val="00DE04E8"/>
    <w:rsid w:val="00DE0D3D"/>
    <w:rsid w:val="00DE0EAF"/>
    <w:rsid w:val="00DE1075"/>
    <w:rsid w:val="00DE20E4"/>
    <w:rsid w:val="00DE26E0"/>
    <w:rsid w:val="00DE2D02"/>
    <w:rsid w:val="00DE3549"/>
    <w:rsid w:val="00DE3566"/>
    <w:rsid w:val="00DE370D"/>
    <w:rsid w:val="00DE39EB"/>
    <w:rsid w:val="00DE3D2A"/>
    <w:rsid w:val="00DE40AD"/>
    <w:rsid w:val="00DE4186"/>
    <w:rsid w:val="00DE42AB"/>
    <w:rsid w:val="00DE42F4"/>
    <w:rsid w:val="00DE447B"/>
    <w:rsid w:val="00DE4875"/>
    <w:rsid w:val="00DE4946"/>
    <w:rsid w:val="00DE52B1"/>
    <w:rsid w:val="00DE5388"/>
    <w:rsid w:val="00DE56E7"/>
    <w:rsid w:val="00DE5E9D"/>
    <w:rsid w:val="00DE62B6"/>
    <w:rsid w:val="00DE62E5"/>
    <w:rsid w:val="00DE6398"/>
    <w:rsid w:val="00DE6D63"/>
    <w:rsid w:val="00DE6E22"/>
    <w:rsid w:val="00DE6E96"/>
    <w:rsid w:val="00DE727C"/>
    <w:rsid w:val="00DE7F6B"/>
    <w:rsid w:val="00DE7F72"/>
    <w:rsid w:val="00DF0D42"/>
    <w:rsid w:val="00DF1306"/>
    <w:rsid w:val="00DF161E"/>
    <w:rsid w:val="00DF197F"/>
    <w:rsid w:val="00DF2418"/>
    <w:rsid w:val="00DF25DB"/>
    <w:rsid w:val="00DF279C"/>
    <w:rsid w:val="00DF2A53"/>
    <w:rsid w:val="00DF33FC"/>
    <w:rsid w:val="00DF351E"/>
    <w:rsid w:val="00DF3B5E"/>
    <w:rsid w:val="00DF3EFC"/>
    <w:rsid w:val="00DF3F8F"/>
    <w:rsid w:val="00DF4721"/>
    <w:rsid w:val="00DF60B6"/>
    <w:rsid w:val="00DF6560"/>
    <w:rsid w:val="00DF6CAE"/>
    <w:rsid w:val="00DF770A"/>
    <w:rsid w:val="00DF78EC"/>
    <w:rsid w:val="00E00688"/>
    <w:rsid w:val="00E00D47"/>
    <w:rsid w:val="00E01105"/>
    <w:rsid w:val="00E0113E"/>
    <w:rsid w:val="00E01640"/>
    <w:rsid w:val="00E01DAC"/>
    <w:rsid w:val="00E01E34"/>
    <w:rsid w:val="00E02468"/>
    <w:rsid w:val="00E02842"/>
    <w:rsid w:val="00E029EA"/>
    <w:rsid w:val="00E02E2E"/>
    <w:rsid w:val="00E038B0"/>
    <w:rsid w:val="00E03BA6"/>
    <w:rsid w:val="00E0486E"/>
    <w:rsid w:val="00E04D3E"/>
    <w:rsid w:val="00E054DC"/>
    <w:rsid w:val="00E05949"/>
    <w:rsid w:val="00E05CA8"/>
    <w:rsid w:val="00E05E64"/>
    <w:rsid w:val="00E0688F"/>
    <w:rsid w:val="00E06CC3"/>
    <w:rsid w:val="00E06DF3"/>
    <w:rsid w:val="00E07198"/>
    <w:rsid w:val="00E07850"/>
    <w:rsid w:val="00E07996"/>
    <w:rsid w:val="00E07B79"/>
    <w:rsid w:val="00E07CAE"/>
    <w:rsid w:val="00E102B0"/>
    <w:rsid w:val="00E1143A"/>
    <w:rsid w:val="00E12D45"/>
    <w:rsid w:val="00E13738"/>
    <w:rsid w:val="00E139CF"/>
    <w:rsid w:val="00E14BCA"/>
    <w:rsid w:val="00E14E89"/>
    <w:rsid w:val="00E15744"/>
    <w:rsid w:val="00E15A9A"/>
    <w:rsid w:val="00E15F10"/>
    <w:rsid w:val="00E16079"/>
    <w:rsid w:val="00E1639E"/>
    <w:rsid w:val="00E16962"/>
    <w:rsid w:val="00E16B29"/>
    <w:rsid w:val="00E16B2C"/>
    <w:rsid w:val="00E16F15"/>
    <w:rsid w:val="00E17040"/>
    <w:rsid w:val="00E178B2"/>
    <w:rsid w:val="00E17A81"/>
    <w:rsid w:val="00E17EEA"/>
    <w:rsid w:val="00E20160"/>
    <w:rsid w:val="00E20701"/>
    <w:rsid w:val="00E20829"/>
    <w:rsid w:val="00E2126A"/>
    <w:rsid w:val="00E2131B"/>
    <w:rsid w:val="00E21345"/>
    <w:rsid w:val="00E21524"/>
    <w:rsid w:val="00E217A2"/>
    <w:rsid w:val="00E21C10"/>
    <w:rsid w:val="00E21D87"/>
    <w:rsid w:val="00E22448"/>
    <w:rsid w:val="00E2337D"/>
    <w:rsid w:val="00E23C04"/>
    <w:rsid w:val="00E23C30"/>
    <w:rsid w:val="00E23EC8"/>
    <w:rsid w:val="00E23F31"/>
    <w:rsid w:val="00E242AF"/>
    <w:rsid w:val="00E243F3"/>
    <w:rsid w:val="00E2442E"/>
    <w:rsid w:val="00E24AE8"/>
    <w:rsid w:val="00E254DB"/>
    <w:rsid w:val="00E2562A"/>
    <w:rsid w:val="00E25764"/>
    <w:rsid w:val="00E263EB"/>
    <w:rsid w:val="00E26501"/>
    <w:rsid w:val="00E267FA"/>
    <w:rsid w:val="00E26BE2"/>
    <w:rsid w:val="00E26C46"/>
    <w:rsid w:val="00E27130"/>
    <w:rsid w:val="00E2722D"/>
    <w:rsid w:val="00E272FF"/>
    <w:rsid w:val="00E27429"/>
    <w:rsid w:val="00E274B5"/>
    <w:rsid w:val="00E27B5B"/>
    <w:rsid w:val="00E3010D"/>
    <w:rsid w:val="00E30267"/>
    <w:rsid w:val="00E305B6"/>
    <w:rsid w:val="00E309AC"/>
    <w:rsid w:val="00E321FC"/>
    <w:rsid w:val="00E322F1"/>
    <w:rsid w:val="00E32F0F"/>
    <w:rsid w:val="00E32F9E"/>
    <w:rsid w:val="00E33371"/>
    <w:rsid w:val="00E3379D"/>
    <w:rsid w:val="00E33A94"/>
    <w:rsid w:val="00E33B4A"/>
    <w:rsid w:val="00E341CD"/>
    <w:rsid w:val="00E351E8"/>
    <w:rsid w:val="00E353C9"/>
    <w:rsid w:val="00E358DB"/>
    <w:rsid w:val="00E35B93"/>
    <w:rsid w:val="00E35E6F"/>
    <w:rsid w:val="00E36052"/>
    <w:rsid w:val="00E3645D"/>
    <w:rsid w:val="00E3671B"/>
    <w:rsid w:val="00E367C0"/>
    <w:rsid w:val="00E36CFA"/>
    <w:rsid w:val="00E374C0"/>
    <w:rsid w:val="00E37DE3"/>
    <w:rsid w:val="00E40092"/>
    <w:rsid w:val="00E401F3"/>
    <w:rsid w:val="00E4021D"/>
    <w:rsid w:val="00E408D4"/>
    <w:rsid w:val="00E40FF0"/>
    <w:rsid w:val="00E41308"/>
    <w:rsid w:val="00E413F0"/>
    <w:rsid w:val="00E416EF"/>
    <w:rsid w:val="00E418AC"/>
    <w:rsid w:val="00E423A1"/>
    <w:rsid w:val="00E426D5"/>
    <w:rsid w:val="00E42876"/>
    <w:rsid w:val="00E42966"/>
    <w:rsid w:val="00E4297B"/>
    <w:rsid w:val="00E429E1"/>
    <w:rsid w:val="00E43BC5"/>
    <w:rsid w:val="00E43DDA"/>
    <w:rsid w:val="00E43DF3"/>
    <w:rsid w:val="00E44459"/>
    <w:rsid w:val="00E44581"/>
    <w:rsid w:val="00E4459B"/>
    <w:rsid w:val="00E45748"/>
    <w:rsid w:val="00E45A00"/>
    <w:rsid w:val="00E45ADC"/>
    <w:rsid w:val="00E45F45"/>
    <w:rsid w:val="00E46754"/>
    <w:rsid w:val="00E46A79"/>
    <w:rsid w:val="00E46B3E"/>
    <w:rsid w:val="00E46CDB"/>
    <w:rsid w:val="00E46F8B"/>
    <w:rsid w:val="00E47C2F"/>
    <w:rsid w:val="00E47E55"/>
    <w:rsid w:val="00E501EF"/>
    <w:rsid w:val="00E504D0"/>
    <w:rsid w:val="00E509B1"/>
    <w:rsid w:val="00E50A3C"/>
    <w:rsid w:val="00E50C05"/>
    <w:rsid w:val="00E51424"/>
    <w:rsid w:val="00E516A3"/>
    <w:rsid w:val="00E5173F"/>
    <w:rsid w:val="00E524D8"/>
    <w:rsid w:val="00E52944"/>
    <w:rsid w:val="00E52ABB"/>
    <w:rsid w:val="00E52C4C"/>
    <w:rsid w:val="00E52F86"/>
    <w:rsid w:val="00E5312F"/>
    <w:rsid w:val="00E53239"/>
    <w:rsid w:val="00E53528"/>
    <w:rsid w:val="00E5370D"/>
    <w:rsid w:val="00E5381C"/>
    <w:rsid w:val="00E5393E"/>
    <w:rsid w:val="00E53ABE"/>
    <w:rsid w:val="00E53E98"/>
    <w:rsid w:val="00E5446C"/>
    <w:rsid w:val="00E548D6"/>
    <w:rsid w:val="00E54A36"/>
    <w:rsid w:val="00E5582A"/>
    <w:rsid w:val="00E55FB6"/>
    <w:rsid w:val="00E56257"/>
    <w:rsid w:val="00E56A41"/>
    <w:rsid w:val="00E57146"/>
    <w:rsid w:val="00E5734F"/>
    <w:rsid w:val="00E574F1"/>
    <w:rsid w:val="00E5775F"/>
    <w:rsid w:val="00E57C54"/>
    <w:rsid w:val="00E601F9"/>
    <w:rsid w:val="00E603F9"/>
    <w:rsid w:val="00E60AFB"/>
    <w:rsid w:val="00E61341"/>
    <w:rsid w:val="00E615F8"/>
    <w:rsid w:val="00E617F1"/>
    <w:rsid w:val="00E61C92"/>
    <w:rsid w:val="00E61F8B"/>
    <w:rsid w:val="00E61FEB"/>
    <w:rsid w:val="00E6201C"/>
    <w:rsid w:val="00E62173"/>
    <w:rsid w:val="00E62315"/>
    <w:rsid w:val="00E62717"/>
    <w:rsid w:val="00E62C4B"/>
    <w:rsid w:val="00E62C80"/>
    <w:rsid w:val="00E630F7"/>
    <w:rsid w:val="00E632C0"/>
    <w:rsid w:val="00E63430"/>
    <w:rsid w:val="00E636F4"/>
    <w:rsid w:val="00E63A57"/>
    <w:rsid w:val="00E63ECB"/>
    <w:rsid w:val="00E63FC4"/>
    <w:rsid w:val="00E64B6D"/>
    <w:rsid w:val="00E64C38"/>
    <w:rsid w:val="00E64F9B"/>
    <w:rsid w:val="00E6589F"/>
    <w:rsid w:val="00E65AF5"/>
    <w:rsid w:val="00E65C92"/>
    <w:rsid w:val="00E66356"/>
    <w:rsid w:val="00E66543"/>
    <w:rsid w:val="00E66620"/>
    <w:rsid w:val="00E667D8"/>
    <w:rsid w:val="00E6689B"/>
    <w:rsid w:val="00E669F2"/>
    <w:rsid w:val="00E66BAB"/>
    <w:rsid w:val="00E66C13"/>
    <w:rsid w:val="00E673B5"/>
    <w:rsid w:val="00E67625"/>
    <w:rsid w:val="00E67AF3"/>
    <w:rsid w:val="00E7035B"/>
    <w:rsid w:val="00E706E4"/>
    <w:rsid w:val="00E70751"/>
    <w:rsid w:val="00E714DA"/>
    <w:rsid w:val="00E71635"/>
    <w:rsid w:val="00E7169A"/>
    <w:rsid w:val="00E716F1"/>
    <w:rsid w:val="00E71799"/>
    <w:rsid w:val="00E721DB"/>
    <w:rsid w:val="00E72543"/>
    <w:rsid w:val="00E72583"/>
    <w:rsid w:val="00E7299F"/>
    <w:rsid w:val="00E72CF0"/>
    <w:rsid w:val="00E72D9A"/>
    <w:rsid w:val="00E72E48"/>
    <w:rsid w:val="00E731F0"/>
    <w:rsid w:val="00E739B4"/>
    <w:rsid w:val="00E740D0"/>
    <w:rsid w:val="00E743B6"/>
    <w:rsid w:val="00E744EA"/>
    <w:rsid w:val="00E74593"/>
    <w:rsid w:val="00E746DB"/>
    <w:rsid w:val="00E7614E"/>
    <w:rsid w:val="00E7665F"/>
    <w:rsid w:val="00E76815"/>
    <w:rsid w:val="00E8090C"/>
    <w:rsid w:val="00E80BC3"/>
    <w:rsid w:val="00E80E6B"/>
    <w:rsid w:val="00E80F39"/>
    <w:rsid w:val="00E811AE"/>
    <w:rsid w:val="00E81588"/>
    <w:rsid w:val="00E815FD"/>
    <w:rsid w:val="00E81BD5"/>
    <w:rsid w:val="00E820A7"/>
    <w:rsid w:val="00E823F3"/>
    <w:rsid w:val="00E82F84"/>
    <w:rsid w:val="00E834A0"/>
    <w:rsid w:val="00E83607"/>
    <w:rsid w:val="00E83825"/>
    <w:rsid w:val="00E8458A"/>
    <w:rsid w:val="00E847AC"/>
    <w:rsid w:val="00E8547F"/>
    <w:rsid w:val="00E854A3"/>
    <w:rsid w:val="00E85B7B"/>
    <w:rsid w:val="00E85FDD"/>
    <w:rsid w:val="00E86E1F"/>
    <w:rsid w:val="00E870B2"/>
    <w:rsid w:val="00E87DF9"/>
    <w:rsid w:val="00E87FD7"/>
    <w:rsid w:val="00E87FFD"/>
    <w:rsid w:val="00E90840"/>
    <w:rsid w:val="00E912D0"/>
    <w:rsid w:val="00E914CD"/>
    <w:rsid w:val="00E91FAC"/>
    <w:rsid w:val="00E92116"/>
    <w:rsid w:val="00E925AE"/>
    <w:rsid w:val="00E9290D"/>
    <w:rsid w:val="00E92A62"/>
    <w:rsid w:val="00E938E8"/>
    <w:rsid w:val="00E93B03"/>
    <w:rsid w:val="00E93CAE"/>
    <w:rsid w:val="00E95623"/>
    <w:rsid w:val="00E9606F"/>
    <w:rsid w:val="00E961F3"/>
    <w:rsid w:val="00E965A7"/>
    <w:rsid w:val="00E96643"/>
    <w:rsid w:val="00E969ED"/>
    <w:rsid w:val="00E96DE7"/>
    <w:rsid w:val="00E9717C"/>
    <w:rsid w:val="00E971DD"/>
    <w:rsid w:val="00E9738C"/>
    <w:rsid w:val="00E975A8"/>
    <w:rsid w:val="00E97631"/>
    <w:rsid w:val="00E97759"/>
    <w:rsid w:val="00EA0185"/>
    <w:rsid w:val="00EA0403"/>
    <w:rsid w:val="00EA0645"/>
    <w:rsid w:val="00EA065C"/>
    <w:rsid w:val="00EA0872"/>
    <w:rsid w:val="00EA0925"/>
    <w:rsid w:val="00EA0E99"/>
    <w:rsid w:val="00EA0F02"/>
    <w:rsid w:val="00EA0FA6"/>
    <w:rsid w:val="00EA11B8"/>
    <w:rsid w:val="00EA142E"/>
    <w:rsid w:val="00EA1DDA"/>
    <w:rsid w:val="00EA1EBD"/>
    <w:rsid w:val="00EA1F35"/>
    <w:rsid w:val="00EA2938"/>
    <w:rsid w:val="00EA2DAF"/>
    <w:rsid w:val="00EA2F4B"/>
    <w:rsid w:val="00EA31C8"/>
    <w:rsid w:val="00EA3898"/>
    <w:rsid w:val="00EA3E77"/>
    <w:rsid w:val="00EA4083"/>
    <w:rsid w:val="00EA410A"/>
    <w:rsid w:val="00EA457F"/>
    <w:rsid w:val="00EA45DB"/>
    <w:rsid w:val="00EA4AB0"/>
    <w:rsid w:val="00EA4BE2"/>
    <w:rsid w:val="00EA4C0C"/>
    <w:rsid w:val="00EA4C13"/>
    <w:rsid w:val="00EA4D1A"/>
    <w:rsid w:val="00EA4E82"/>
    <w:rsid w:val="00EA5099"/>
    <w:rsid w:val="00EA5271"/>
    <w:rsid w:val="00EA538B"/>
    <w:rsid w:val="00EA5729"/>
    <w:rsid w:val="00EA5B8B"/>
    <w:rsid w:val="00EA5E5A"/>
    <w:rsid w:val="00EA6CB5"/>
    <w:rsid w:val="00EA6CE8"/>
    <w:rsid w:val="00EA6EFE"/>
    <w:rsid w:val="00EA7094"/>
    <w:rsid w:val="00EA7125"/>
    <w:rsid w:val="00EA795F"/>
    <w:rsid w:val="00EA7FAE"/>
    <w:rsid w:val="00EB087A"/>
    <w:rsid w:val="00EB1033"/>
    <w:rsid w:val="00EB18BC"/>
    <w:rsid w:val="00EB1D53"/>
    <w:rsid w:val="00EB21B2"/>
    <w:rsid w:val="00EB2383"/>
    <w:rsid w:val="00EB2581"/>
    <w:rsid w:val="00EB2619"/>
    <w:rsid w:val="00EB2A51"/>
    <w:rsid w:val="00EB2CF1"/>
    <w:rsid w:val="00EB2EC5"/>
    <w:rsid w:val="00EB3331"/>
    <w:rsid w:val="00EB3409"/>
    <w:rsid w:val="00EB34EF"/>
    <w:rsid w:val="00EB3748"/>
    <w:rsid w:val="00EB3931"/>
    <w:rsid w:val="00EB3CFA"/>
    <w:rsid w:val="00EB3DC8"/>
    <w:rsid w:val="00EB4116"/>
    <w:rsid w:val="00EB422C"/>
    <w:rsid w:val="00EB4B70"/>
    <w:rsid w:val="00EB4C2C"/>
    <w:rsid w:val="00EB4DCE"/>
    <w:rsid w:val="00EB51A2"/>
    <w:rsid w:val="00EB5564"/>
    <w:rsid w:val="00EB58FF"/>
    <w:rsid w:val="00EB5D1E"/>
    <w:rsid w:val="00EB638E"/>
    <w:rsid w:val="00EB63A2"/>
    <w:rsid w:val="00EB6482"/>
    <w:rsid w:val="00EB67F7"/>
    <w:rsid w:val="00EB7EB1"/>
    <w:rsid w:val="00EC0B5D"/>
    <w:rsid w:val="00EC0E9F"/>
    <w:rsid w:val="00EC139A"/>
    <w:rsid w:val="00EC1634"/>
    <w:rsid w:val="00EC17CB"/>
    <w:rsid w:val="00EC17F2"/>
    <w:rsid w:val="00EC1BA8"/>
    <w:rsid w:val="00EC24C0"/>
    <w:rsid w:val="00EC254B"/>
    <w:rsid w:val="00EC25A9"/>
    <w:rsid w:val="00EC28AC"/>
    <w:rsid w:val="00EC2FB9"/>
    <w:rsid w:val="00EC32AB"/>
    <w:rsid w:val="00EC3580"/>
    <w:rsid w:val="00EC3A84"/>
    <w:rsid w:val="00EC432A"/>
    <w:rsid w:val="00EC470F"/>
    <w:rsid w:val="00EC5190"/>
    <w:rsid w:val="00EC52ED"/>
    <w:rsid w:val="00EC56FE"/>
    <w:rsid w:val="00EC59CE"/>
    <w:rsid w:val="00EC5E97"/>
    <w:rsid w:val="00EC60CC"/>
    <w:rsid w:val="00EC67D7"/>
    <w:rsid w:val="00EC6E9A"/>
    <w:rsid w:val="00EC7089"/>
    <w:rsid w:val="00EC78D3"/>
    <w:rsid w:val="00EC7F71"/>
    <w:rsid w:val="00ED03B0"/>
    <w:rsid w:val="00ED03EC"/>
    <w:rsid w:val="00ED05D2"/>
    <w:rsid w:val="00ED11A1"/>
    <w:rsid w:val="00ED164D"/>
    <w:rsid w:val="00ED1A3C"/>
    <w:rsid w:val="00ED240B"/>
    <w:rsid w:val="00ED254E"/>
    <w:rsid w:val="00ED29E4"/>
    <w:rsid w:val="00ED2C21"/>
    <w:rsid w:val="00ED3166"/>
    <w:rsid w:val="00ED32EC"/>
    <w:rsid w:val="00ED35FB"/>
    <w:rsid w:val="00ED3616"/>
    <w:rsid w:val="00ED36D2"/>
    <w:rsid w:val="00ED390D"/>
    <w:rsid w:val="00ED3C38"/>
    <w:rsid w:val="00ED4C07"/>
    <w:rsid w:val="00ED50CF"/>
    <w:rsid w:val="00ED52F4"/>
    <w:rsid w:val="00ED56D0"/>
    <w:rsid w:val="00ED632E"/>
    <w:rsid w:val="00ED64DB"/>
    <w:rsid w:val="00ED69B2"/>
    <w:rsid w:val="00ED6A07"/>
    <w:rsid w:val="00ED7282"/>
    <w:rsid w:val="00ED7683"/>
    <w:rsid w:val="00EE02D4"/>
    <w:rsid w:val="00EE08DB"/>
    <w:rsid w:val="00EE0C22"/>
    <w:rsid w:val="00EE0F1C"/>
    <w:rsid w:val="00EE1145"/>
    <w:rsid w:val="00EE231A"/>
    <w:rsid w:val="00EE2DCC"/>
    <w:rsid w:val="00EE31A0"/>
    <w:rsid w:val="00EE32BD"/>
    <w:rsid w:val="00EE3484"/>
    <w:rsid w:val="00EE3BCA"/>
    <w:rsid w:val="00EE3FBB"/>
    <w:rsid w:val="00EE40A7"/>
    <w:rsid w:val="00EE40D8"/>
    <w:rsid w:val="00EE47CC"/>
    <w:rsid w:val="00EE4C87"/>
    <w:rsid w:val="00EE4D0A"/>
    <w:rsid w:val="00EE60B3"/>
    <w:rsid w:val="00EE60C0"/>
    <w:rsid w:val="00EE63DF"/>
    <w:rsid w:val="00EE67FD"/>
    <w:rsid w:val="00EF004E"/>
    <w:rsid w:val="00EF0766"/>
    <w:rsid w:val="00EF0BD7"/>
    <w:rsid w:val="00EF0CB0"/>
    <w:rsid w:val="00EF171F"/>
    <w:rsid w:val="00EF2031"/>
    <w:rsid w:val="00EF23B6"/>
    <w:rsid w:val="00EF27FE"/>
    <w:rsid w:val="00EF2E0C"/>
    <w:rsid w:val="00EF2E4F"/>
    <w:rsid w:val="00EF2FF3"/>
    <w:rsid w:val="00EF304A"/>
    <w:rsid w:val="00EF3286"/>
    <w:rsid w:val="00EF3350"/>
    <w:rsid w:val="00EF3564"/>
    <w:rsid w:val="00EF36AE"/>
    <w:rsid w:val="00EF424F"/>
    <w:rsid w:val="00EF4BF7"/>
    <w:rsid w:val="00EF5610"/>
    <w:rsid w:val="00EF5A46"/>
    <w:rsid w:val="00EF5D43"/>
    <w:rsid w:val="00EF5FDF"/>
    <w:rsid w:val="00EF62EB"/>
    <w:rsid w:val="00EF66D3"/>
    <w:rsid w:val="00EF6867"/>
    <w:rsid w:val="00EF68EE"/>
    <w:rsid w:val="00EF6AEF"/>
    <w:rsid w:val="00EF6C26"/>
    <w:rsid w:val="00EF7056"/>
    <w:rsid w:val="00EF70E3"/>
    <w:rsid w:val="00EF743B"/>
    <w:rsid w:val="00F005D0"/>
    <w:rsid w:val="00F00748"/>
    <w:rsid w:val="00F008C8"/>
    <w:rsid w:val="00F008EF"/>
    <w:rsid w:val="00F00AE1"/>
    <w:rsid w:val="00F012C0"/>
    <w:rsid w:val="00F0140A"/>
    <w:rsid w:val="00F0154A"/>
    <w:rsid w:val="00F01A80"/>
    <w:rsid w:val="00F01D84"/>
    <w:rsid w:val="00F0259C"/>
    <w:rsid w:val="00F026B0"/>
    <w:rsid w:val="00F032B4"/>
    <w:rsid w:val="00F033B9"/>
    <w:rsid w:val="00F03BF8"/>
    <w:rsid w:val="00F03E46"/>
    <w:rsid w:val="00F03F23"/>
    <w:rsid w:val="00F03F5C"/>
    <w:rsid w:val="00F04237"/>
    <w:rsid w:val="00F04623"/>
    <w:rsid w:val="00F05212"/>
    <w:rsid w:val="00F05666"/>
    <w:rsid w:val="00F05942"/>
    <w:rsid w:val="00F06B96"/>
    <w:rsid w:val="00F07633"/>
    <w:rsid w:val="00F076C5"/>
    <w:rsid w:val="00F079B7"/>
    <w:rsid w:val="00F103D5"/>
    <w:rsid w:val="00F10999"/>
    <w:rsid w:val="00F10CF7"/>
    <w:rsid w:val="00F10D8D"/>
    <w:rsid w:val="00F1154C"/>
    <w:rsid w:val="00F1178F"/>
    <w:rsid w:val="00F119EA"/>
    <w:rsid w:val="00F11F64"/>
    <w:rsid w:val="00F1256E"/>
    <w:rsid w:val="00F12619"/>
    <w:rsid w:val="00F12B62"/>
    <w:rsid w:val="00F1372E"/>
    <w:rsid w:val="00F140C9"/>
    <w:rsid w:val="00F14438"/>
    <w:rsid w:val="00F1486E"/>
    <w:rsid w:val="00F148E8"/>
    <w:rsid w:val="00F15384"/>
    <w:rsid w:val="00F15489"/>
    <w:rsid w:val="00F15880"/>
    <w:rsid w:val="00F16BFD"/>
    <w:rsid w:val="00F16FE2"/>
    <w:rsid w:val="00F17049"/>
    <w:rsid w:val="00F173C3"/>
    <w:rsid w:val="00F17411"/>
    <w:rsid w:val="00F17671"/>
    <w:rsid w:val="00F176CE"/>
    <w:rsid w:val="00F20D5F"/>
    <w:rsid w:val="00F20EC4"/>
    <w:rsid w:val="00F22141"/>
    <w:rsid w:val="00F2255C"/>
    <w:rsid w:val="00F22AA2"/>
    <w:rsid w:val="00F22DCA"/>
    <w:rsid w:val="00F23121"/>
    <w:rsid w:val="00F2324D"/>
    <w:rsid w:val="00F238EB"/>
    <w:rsid w:val="00F23D74"/>
    <w:rsid w:val="00F240DD"/>
    <w:rsid w:val="00F24CF3"/>
    <w:rsid w:val="00F25088"/>
    <w:rsid w:val="00F251DF"/>
    <w:rsid w:val="00F25505"/>
    <w:rsid w:val="00F25869"/>
    <w:rsid w:val="00F25AF7"/>
    <w:rsid w:val="00F25E53"/>
    <w:rsid w:val="00F2641C"/>
    <w:rsid w:val="00F266F7"/>
    <w:rsid w:val="00F26A59"/>
    <w:rsid w:val="00F2713A"/>
    <w:rsid w:val="00F2735F"/>
    <w:rsid w:val="00F27A09"/>
    <w:rsid w:val="00F27A13"/>
    <w:rsid w:val="00F27CC0"/>
    <w:rsid w:val="00F27DF2"/>
    <w:rsid w:val="00F27FEC"/>
    <w:rsid w:val="00F305E3"/>
    <w:rsid w:val="00F30615"/>
    <w:rsid w:val="00F307CB"/>
    <w:rsid w:val="00F30870"/>
    <w:rsid w:val="00F3089F"/>
    <w:rsid w:val="00F30998"/>
    <w:rsid w:val="00F309C5"/>
    <w:rsid w:val="00F30D71"/>
    <w:rsid w:val="00F31329"/>
    <w:rsid w:val="00F315BF"/>
    <w:rsid w:val="00F31B61"/>
    <w:rsid w:val="00F31CF7"/>
    <w:rsid w:val="00F32067"/>
    <w:rsid w:val="00F3247F"/>
    <w:rsid w:val="00F326F0"/>
    <w:rsid w:val="00F3274A"/>
    <w:rsid w:val="00F32902"/>
    <w:rsid w:val="00F330D2"/>
    <w:rsid w:val="00F331A8"/>
    <w:rsid w:val="00F33326"/>
    <w:rsid w:val="00F334AD"/>
    <w:rsid w:val="00F336E0"/>
    <w:rsid w:val="00F33AAE"/>
    <w:rsid w:val="00F33CB9"/>
    <w:rsid w:val="00F3423D"/>
    <w:rsid w:val="00F343E2"/>
    <w:rsid w:val="00F344A4"/>
    <w:rsid w:val="00F3498B"/>
    <w:rsid w:val="00F3592B"/>
    <w:rsid w:val="00F35BC6"/>
    <w:rsid w:val="00F36552"/>
    <w:rsid w:val="00F36FE4"/>
    <w:rsid w:val="00F373A5"/>
    <w:rsid w:val="00F37495"/>
    <w:rsid w:val="00F40179"/>
    <w:rsid w:val="00F403E2"/>
    <w:rsid w:val="00F4067B"/>
    <w:rsid w:val="00F40F5B"/>
    <w:rsid w:val="00F416A2"/>
    <w:rsid w:val="00F41764"/>
    <w:rsid w:val="00F41A66"/>
    <w:rsid w:val="00F41FC3"/>
    <w:rsid w:val="00F425C0"/>
    <w:rsid w:val="00F436CC"/>
    <w:rsid w:val="00F43BF5"/>
    <w:rsid w:val="00F43E1E"/>
    <w:rsid w:val="00F4474A"/>
    <w:rsid w:val="00F44AAD"/>
    <w:rsid w:val="00F44E4B"/>
    <w:rsid w:val="00F44FE1"/>
    <w:rsid w:val="00F45889"/>
    <w:rsid w:val="00F468D6"/>
    <w:rsid w:val="00F47053"/>
    <w:rsid w:val="00F47697"/>
    <w:rsid w:val="00F47FAC"/>
    <w:rsid w:val="00F50B5D"/>
    <w:rsid w:val="00F51525"/>
    <w:rsid w:val="00F51EC0"/>
    <w:rsid w:val="00F5312E"/>
    <w:rsid w:val="00F5325D"/>
    <w:rsid w:val="00F534A9"/>
    <w:rsid w:val="00F534F2"/>
    <w:rsid w:val="00F53F67"/>
    <w:rsid w:val="00F546FE"/>
    <w:rsid w:val="00F54F30"/>
    <w:rsid w:val="00F55251"/>
    <w:rsid w:val="00F554A6"/>
    <w:rsid w:val="00F5551B"/>
    <w:rsid w:val="00F56695"/>
    <w:rsid w:val="00F5687C"/>
    <w:rsid w:val="00F572A0"/>
    <w:rsid w:val="00F57354"/>
    <w:rsid w:val="00F573AB"/>
    <w:rsid w:val="00F57E24"/>
    <w:rsid w:val="00F6062E"/>
    <w:rsid w:val="00F60873"/>
    <w:rsid w:val="00F609F5"/>
    <w:rsid w:val="00F60AEF"/>
    <w:rsid w:val="00F60C1D"/>
    <w:rsid w:val="00F60CA8"/>
    <w:rsid w:val="00F60D95"/>
    <w:rsid w:val="00F611AA"/>
    <w:rsid w:val="00F619E5"/>
    <w:rsid w:val="00F61B34"/>
    <w:rsid w:val="00F61DCB"/>
    <w:rsid w:val="00F6212C"/>
    <w:rsid w:val="00F62A6A"/>
    <w:rsid w:val="00F62A91"/>
    <w:rsid w:val="00F62F4A"/>
    <w:rsid w:val="00F6388A"/>
    <w:rsid w:val="00F63DC9"/>
    <w:rsid w:val="00F642E6"/>
    <w:rsid w:val="00F645ED"/>
    <w:rsid w:val="00F64682"/>
    <w:rsid w:val="00F64687"/>
    <w:rsid w:val="00F655AD"/>
    <w:rsid w:val="00F658E3"/>
    <w:rsid w:val="00F65FB6"/>
    <w:rsid w:val="00F6662E"/>
    <w:rsid w:val="00F66BCA"/>
    <w:rsid w:val="00F6720A"/>
    <w:rsid w:val="00F67E0F"/>
    <w:rsid w:val="00F703D2"/>
    <w:rsid w:val="00F705B8"/>
    <w:rsid w:val="00F70ECB"/>
    <w:rsid w:val="00F70FA7"/>
    <w:rsid w:val="00F713DE"/>
    <w:rsid w:val="00F72B11"/>
    <w:rsid w:val="00F72C38"/>
    <w:rsid w:val="00F72D6C"/>
    <w:rsid w:val="00F732EC"/>
    <w:rsid w:val="00F7364D"/>
    <w:rsid w:val="00F736F0"/>
    <w:rsid w:val="00F736FF"/>
    <w:rsid w:val="00F73D06"/>
    <w:rsid w:val="00F73F3E"/>
    <w:rsid w:val="00F7449A"/>
    <w:rsid w:val="00F749FF"/>
    <w:rsid w:val="00F74A11"/>
    <w:rsid w:val="00F7517C"/>
    <w:rsid w:val="00F7596F"/>
    <w:rsid w:val="00F759AB"/>
    <w:rsid w:val="00F7630B"/>
    <w:rsid w:val="00F76750"/>
    <w:rsid w:val="00F769FF"/>
    <w:rsid w:val="00F76B25"/>
    <w:rsid w:val="00F76D62"/>
    <w:rsid w:val="00F77438"/>
    <w:rsid w:val="00F776AB"/>
    <w:rsid w:val="00F77759"/>
    <w:rsid w:val="00F77B5A"/>
    <w:rsid w:val="00F8040E"/>
    <w:rsid w:val="00F8058D"/>
    <w:rsid w:val="00F80A81"/>
    <w:rsid w:val="00F80C9B"/>
    <w:rsid w:val="00F814E8"/>
    <w:rsid w:val="00F8161B"/>
    <w:rsid w:val="00F82F43"/>
    <w:rsid w:val="00F833E0"/>
    <w:rsid w:val="00F8372E"/>
    <w:rsid w:val="00F840A3"/>
    <w:rsid w:val="00F8411F"/>
    <w:rsid w:val="00F84195"/>
    <w:rsid w:val="00F84229"/>
    <w:rsid w:val="00F845D4"/>
    <w:rsid w:val="00F847DF"/>
    <w:rsid w:val="00F8492E"/>
    <w:rsid w:val="00F84B9B"/>
    <w:rsid w:val="00F86FAB"/>
    <w:rsid w:val="00F87441"/>
    <w:rsid w:val="00F87502"/>
    <w:rsid w:val="00F90190"/>
    <w:rsid w:val="00F901AB"/>
    <w:rsid w:val="00F90990"/>
    <w:rsid w:val="00F90A35"/>
    <w:rsid w:val="00F90EDE"/>
    <w:rsid w:val="00F912DA"/>
    <w:rsid w:val="00F91314"/>
    <w:rsid w:val="00F91403"/>
    <w:rsid w:val="00F91406"/>
    <w:rsid w:val="00F91866"/>
    <w:rsid w:val="00F91A35"/>
    <w:rsid w:val="00F91EAD"/>
    <w:rsid w:val="00F922A1"/>
    <w:rsid w:val="00F92816"/>
    <w:rsid w:val="00F92CEE"/>
    <w:rsid w:val="00F938CD"/>
    <w:rsid w:val="00F9435D"/>
    <w:rsid w:val="00F95C37"/>
    <w:rsid w:val="00F96723"/>
    <w:rsid w:val="00F96B4A"/>
    <w:rsid w:val="00F96E17"/>
    <w:rsid w:val="00F9730C"/>
    <w:rsid w:val="00F97484"/>
    <w:rsid w:val="00F9799A"/>
    <w:rsid w:val="00FA06F8"/>
    <w:rsid w:val="00FA090E"/>
    <w:rsid w:val="00FA0943"/>
    <w:rsid w:val="00FA0C0A"/>
    <w:rsid w:val="00FA118D"/>
    <w:rsid w:val="00FA1368"/>
    <w:rsid w:val="00FA13F3"/>
    <w:rsid w:val="00FA14F3"/>
    <w:rsid w:val="00FA17A2"/>
    <w:rsid w:val="00FA1B97"/>
    <w:rsid w:val="00FA1F30"/>
    <w:rsid w:val="00FA20F1"/>
    <w:rsid w:val="00FA2242"/>
    <w:rsid w:val="00FA2433"/>
    <w:rsid w:val="00FA29B3"/>
    <w:rsid w:val="00FA2A44"/>
    <w:rsid w:val="00FA2A97"/>
    <w:rsid w:val="00FA464D"/>
    <w:rsid w:val="00FA46AC"/>
    <w:rsid w:val="00FA47B5"/>
    <w:rsid w:val="00FA6B00"/>
    <w:rsid w:val="00FA70A1"/>
    <w:rsid w:val="00FB03CF"/>
    <w:rsid w:val="00FB063F"/>
    <w:rsid w:val="00FB07C4"/>
    <w:rsid w:val="00FB0E59"/>
    <w:rsid w:val="00FB0E89"/>
    <w:rsid w:val="00FB1638"/>
    <w:rsid w:val="00FB18CF"/>
    <w:rsid w:val="00FB210C"/>
    <w:rsid w:val="00FB2207"/>
    <w:rsid w:val="00FB2781"/>
    <w:rsid w:val="00FB3185"/>
    <w:rsid w:val="00FB3775"/>
    <w:rsid w:val="00FB3A12"/>
    <w:rsid w:val="00FB3E48"/>
    <w:rsid w:val="00FB4AF7"/>
    <w:rsid w:val="00FB514F"/>
    <w:rsid w:val="00FB5354"/>
    <w:rsid w:val="00FB56A0"/>
    <w:rsid w:val="00FB5A80"/>
    <w:rsid w:val="00FB62E9"/>
    <w:rsid w:val="00FB67A6"/>
    <w:rsid w:val="00FB7498"/>
    <w:rsid w:val="00FB7597"/>
    <w:rsid w:val="00FB7663"/>
    <w:rsid w:val="00FB766C"/>
    <w:rsid w:val="00FB7928"/>
    <w:rsid w:val="00FC0803"/>
    <w:rsid w:val="00FC080D"/>
    <w:rsid w:val="00FC11F3"/>
    <w:rsid w:val="00FC1762"/>
    <w:rsid w:val="00FC1871"/>
    <w:rsid w:val="00FC1AF6"/>
    <w:rsid w:val="00FC1F8D"/>
    <w:rsid w:val="00FC2FE2"/>
    <w:rsid w:val="00FC371E"/>
    <w:rsid w:val="00FC3984"/>
    <w:rsid w:val="00FC3A22"/>
    <w:rsid w:val="00FC3CC3"/>
    <w:rsid w:val="00FC4124"/>
    <w:rsid w:val="00FC4148"/>
    <w:rsid w:val="00FC4175"/>
    <w:rsid w:val="00FC418F"/>
    <w:rsid w:val="00FC5005"/>
    <w:rsid w:val="00FC52F7"/>
    <w:rsid w:val="00FC53F2"/>
    <w:rsid w:val="00FC5706"/>
    <w:rsid w:val="00FC57E9"/>
    <w:rsid w:val="00FC59B4"/>
    <w:rsid w:val="00FC59FC"/>
    <w:rsid w:val="00FC68F7"/>
    <w:rsid w:val="00FC7470"/>
    <w:rsid w:val="00FC7673"/>
    <w:rsid w:val="00FC7BF2"/>
    <w:rsid w:val="00FC7EA1"/>
    <w:rsid w:val="00FC7F19"/>
    <w:rsid w:val="00FD003C"/>
    <w:rsid w:val="00FD030B"/>
    <w:rsid w:val="00FD05D9"/>
    <w:rsid w:val="00FD0891"/>
    <w:rsid w:val="00FD1E26"/>
    <w:rsid w:val="00FD1FBC"/>
    <w:rsid w:val="00FD22A7"/>
    <w:rsid w:val="00FD2403"/>
    <w:rsid w:val="00FD24AC"/>
    <w:rsid w:val="00FD3395"/>
    <w:rsid w:val="00FD357E"/>
    <w:rsid w:val="00FD3CD8"/>
    <w:rsid w:val="00FD444F"/>
    <w:rsid w:val="00FD4849"/>
    <w:rsid w:val="00FD5549"/>
    <w:rsid w:val="00FD587F"/>
    <w:rsid w:val="00FD64CF"/>
    <w:rsid w:val="00FD6681"/>
    <w:rsid w:val="00FD6904"/>
    <w:rsid w:val="00FD6C34"/>
    <w:rsid w:val="00FD6DC8"/>
    <w:rsid w:val="00FD6E11"/>
    <w:rsid w:val="00FD6F04"/>
    <w:rsid w:val="00FD6FFA"/>
    <w:rsid w:val="00FD7071"/>
    <w:rsid w:val="00FD72DC"/>
    <w:rsid w:val="00FD750D"/>
    <w:rsid w:val="00FD7618"/>
    <w:rsid w:val="00FD78AB"/>
    <w:rsid w:val="00FD7992"/>
    <w:rsid w:val="00FE004A"/>
    <w:rsid w:val="00FE07E2"/>
    <w:rsid w:val="00FE097D"/>
    <w:rsid w:val="00FE0D75"/>
    <w:rsid w:val="00FE0D83"/>
    <w:rsid w:val="00FE1741"/>
    <w:rsid w:val="00FE1A24"/>
    <w:rsid w:val="00FE1AFF"/>
    <w:rsid w:val="00FE1C34"/>
    <w:rsid w:val="00FE1FCE"/>
    <w:rsid w:val="00FE2583"/>
    <w:rsid w:val="00FE3070"/>
    <w:rsid w:val="00FE308C"/>
    <w:rsid w:val="00FE30B4"/>
    <w:rsid w:val="00FE3978"/>
    <w:rsid w:val="00FE49EE"/>
    <w:rsid w:val="00FE5059"/>
    <w:rsid w:val="00FE5239"/>
    <w:rsid w:val="00FE548E"/>
    <w:rsid w:val="00FE5EC0"/>
    <w:rsid w:val="00FE6139"/>
    <w:rsid w:val="00FE619F"/>
    <w:rsid w:val="00FE6F3F"/>
    <w:rsid w:val="00FE7EAA"/>
    <w:rsid w:val="00FE7EF4"/>
    <w:rsid w:val="00FF02BC"/>
    <w:rsid w:val="00FF0D8F"/>
    <w:rsid w:val="00FF1CDE"/>
    <w:rsid w:val="00FF2152"/>
    <w:rsid w:val="00FF2309"/>
    <w:rsid w:val="00FF350B"/>
    <w:rsid w:val="00FF3596"/>
    <w:rsid w:val="00FF3692"/>
    <w:rsid w:val="00FF390C"/>
    <w:rsid w:val="00FF4521"/>
    <w:rsid w:val="00FF45D6"/>
    <w:rsid w:val="00FF4722"/>
    <w:rsid w:val="00FF4BA0"/>
    <w:rsid w:val="00FF4D6E"/>
    <w:rsid w:val="00FF5200"/>
    <w:rsid w:val="00FF52D7"/>
    <w:rsid w:val="00FF5496"/>
    <w:rsid w:val="00FF5564"/>
    <w:rsid w:val="00FF55A6"/>
    <w:rsid w:val="00FF61EB"/>
    <w:rsid w:val="00FF6E5F"/>
    <w:rsid w:val="00FF6F61"/>
    <w:rsid w:val="00FF7111"/>
    <w:rsid w:val="00FF72D8"/>
    <w:rsid w:val="00FF7785"/>
    <w:rsid w:val="00FF7793"/>
    <w:rsid w:val="00FF7B45"/>
    <w:rsid w:val="012F7926"/>
    <w:rsid w:val="01B34E22"/>
    <w:rsid w:val="01C6759A"/>
    <w:rsid w:val="02570DE1"/>
    <w:rsid w:val="026844FC"/>
    <w:rsid w:val="02685241"/>
    <w:rsid w:val="028E13EB"/>
    <w:rsid w:val="02936A01"/>
    <w:rsid w:val="02967AD5"/>
    <w:rsid w:val="032D4907"/>
    <w:rsid w:val="035E6589"/>
    <w:rsid w:val="039D3D22"/>
    <w:rsid w:val="03D3282B"/>
    <w:rsid w:val="03FF6075"/>
    <w:rsid w:val="04C17856"/>
    <w:rsid w:val="04C935AB"/>
    <w:rsid w:val="04E73B6B"/>
    <w:rsid w:val="050B35AE"/>
    <w:rsid w:val="05527A0E"/>
    <w:rsid w:val="055A2B6B"/>
    <w:rsid w:val="05A408ED"/>
    <w:rsid w:val="05F50F30"/>
    <w:rsid w:val="0633208D"/>
    <w:rsid w:val="06757014"/>
    <w:rsid w:val="074364B3"/>
    <w:rsid w:val="079A1995"/>
    <w:rsid w:val="07BF2070"/>
    <w:rsid w:val="07DF5A7B"/>
    <w:rsid w:val="07F73C02"/>
    <w:rsid w:val="08177150"/>
    <w:rsid w:val="084414F2"/>
    <w:rsid w:val="08757E93"/>
    <w:rsid w:val="088568A9"/>
    <w:rsid w:val="08994408"/>
    <w:rsid w:val="08CD1AFD"/>
    <w:rsid w:val="08FF3A2A"/>
    <w:rsid w:val="093B0B07"/>
    <w:rsid w:val="09491BC8"/>
    <w:rsid w:val="09630EDC"/>
    <w:rsid w:val="0A2B7305"/>
    <w:rsid w:val="0B1A548D"/>
    <w:rsid w:val="0B2068EC"/>
    <w:rsid w:val="0B344B12"/>
    <w:rsid w:val="0B356BC8"/>
    <w:rsid w:val="0B5C0DDC"/>
    <w:rsid w:val="0B682048"/>
    <w:rsid w:val="0B804B8B"/>
    <w:rsid w:val="0BA655D2"/>
    <w:rsid w:val="0BAE7731"/>
    <w:rsid w:val="0BF71928"/>
    <w:rsid w:val="0C103C9F"/>
    <w:rsid w:val="0C463690"/>
    <w:rsid w:val="0C73521F"/>
    <w:rsid w:val="0C7A1E90"/>
    <w:rsid w:val="0CF264FE"/>
    <w:rsid w:val="0D130856"/>
    <w:rsid w:val="0D5E74A2"/>
    <w:rsid w:val="0D710100"/>
    <w:rsid w:val="0D931C76"/>
    <w:rsid w:val="0DAA5989"/>
    <w:rsid w:val="0DB05048"/>
    <w:rsid w:val="0E0A401C"/>
    <w:rsid w:val="0E2B02A1"/>
    <w:rsid w:val="0E941CF2"/>
    <w:rsid w:val="0EA94F9C"/>
    <w:rsid w:val="0F3D437A"/>
    <w:rsid w:val="0F4C55E6"/>
    <w:rsid w:val="0F6F4B07"/>
    <w:rsid w:val="0F8F7D9B"/>
    <w:rsid w:val="0FB87F73"/>
    <w:rsid w:val="0FBD50BE"/>
    <w:rsid w:val="106E2AC6"/>
    <w:rsid w:val="109C5C61"/>
    <w:rsid w:val="10A0575D"/>
    <w:rsid w:val="10C84765"/>
    <w:rsid w:val="10F22B07"/>
    <w:rsid w:val="110C0869"/>
    <w:rsid w:val="112A609B"/>
    <w:rsid w:val="11860A79"/>
    <w:rsid w:val="11CB3AC2"/>
    <w:rsid w:val="122500AD"/>
    <w:rsid w:val="123123EB"/>
    <w:rsid w:val="12702F31"/>
    <w:rsid w:val="12A52D34"/>
    <w:rsid w:val="12CF6624"/>
    <w:rsid w:val="12EA5B8B"/>
    <w:rsid w:val="12F95DD9"/>
    <w:rsid w:val="13255877"/>
    <w:rsid w:val="137D30EC"/>
    <w:rsid w:val="13C94031"/>
    <w:rsid w:val="142014BD"/>
    <w:rsid w:val="143651CD"/>
    <w:rsid w:val="143A3858"/>
    <w:rsid w:val="147E306D"/>
    <w:rsid w:val="14926846"/>
    <w:rsid w:val="14F17610"/>
    <w:rsid w:val="150C352D"/>
    <w:rsid w:val="153F6C28"/>
    <w:rsid w:val="155928D1"/>
    <w:rsid w:val="156D48FF"/>
    <w:rsid w:val="1632078E"/>
    <w:rsid w:val="1646419B"/>
    <w:rsid w:val="165A3666"/>
    <w:rsid w:val="16953700"/>
    <w:rsid w:val="169B6359"/>
    <w:rsid w:val="16A158F3"/>
    <w:rsid w:val="16B352D4"/>
    <w:rsid w:val="16D17FE9"/>
    <w:rsid w:val="170535D2"/>
    <w:rsid w:val="172B0B5F"/>
    <w:rsid w:val="173D4764"/>
    <w:rsid w:val="17786204"/>
    <w:rsid w:val="17DA5171"/>
    <w:rsid w:val="17F73C0B"/>
    <w:rsid w:val="18306404"/>
    <w:rsid w:val="183755A0"/>
    <w:rsid w:val="183F3F0E"/>
    <w:rsid w:val="184425AD"/>
    <w:rsid w:val="184F72FA"/>
    <w:rsid w:val="185B73CB"/>
    <w:rsid w:val="188672E5"/>
    <w:rsid w:val="18900ACC"/>
    <w:rsid w:val="18C82D43"/>
    <w:rsid w:val="18D665CC"/>
    <w:rsid w:val="190918F5"/>
    <w:rsid w:val="193957B5"/>
    <w:rsid w:val="194B1773"/>
    <w:rsid w:val="194C1945"/>
    <w:rsid w:val="199251A3"/>
    <w:rsid w:val="19DB08E7"/>
    <w:rsid w:val="1A0542FD"/>
    <w:rsid w:val="1A3A0181"/>
    <w:rsid w:val="1A6E7671"/>
    <w:rsid w:val="1A7620F5"/>
    <w:rsid w:val="1A7E01EA"/>
    <w:rsid w:val="1A985E70"/>
    <w:rsid w:val="1AA4502F"/>
    <w:rsid w:val="1B19329D"/>
    <w:rsid w:val="1B2055C6"/>
    <w:rsid w:val="1B487F31"/>
    <w:rsid w:val="1BFD6F6E"/>
    <w:rsid w:val="1C0E2F29"/>
    <w:rsid w:val="1C0F342C"/>
    <w:rsid w:val="1C76493F"/>
    <w:rsid w:val="1C8919ED"/>
    <w:rsid w:val="1CB9786A"/>
    <w:rsid w:val="1CC65A6F"/>
    <w:rsid w:val="1CD372D9"/>
    <w:rsid w:val="1CF348E0"/>
    <w:rsid w:val="1DBD45F0"/>
    <w:rsid w:val="1E4A576B"/>
    <w:rsid w:val="1EA943C3"/>
    <w:rsid w:val="1EDD3300"/>
    <w:rsid w:val="1F0C6D33"/>
    <w:rsid w:val="1F190400"/>
    <w:rsid w:val="1F2D08BB"/>
    <w:rsid w:val="1F4A4C8C"/>
    <w:rsid w:val="1F571899"/>
    <w:rsid w:val="1F660ECD"/>
    <w:rsid w:val="1F843502"/>
    <w:rsid w:val="1FA55DFC"/>
    <w:rsid w:val="1FA626C2"/>
    <w:rsid w:val="1FB44914"/>
    <w:rsid w:val="20164147"/>
    <w:rsid w:val="20790B8D"/>
    <w:rsid w:val="209D21F2"/>
    <w:rsid w:val="20CC03A7"/>
    <w:rsid w:val="20DD7999"/>
    <w:rsid w:val="21117017"/>
    <w:rsid w:val="211B021C"/>
    <w:rsid w:val="21555794"/>
    <w:rsid w:val="218D1B1B"/>
    <w:rsid w:val="21970785"/>
    <w:rsid w:val="21985919"/>
    <w:rsid w:val="21DF3764"/>
    <w:rsid w:val="21E94D31"/>
    <w:rsid w:val="227830A2"/>
    <w:rsid w:val="228A6E35"/>
    <w:rsid w:val="22904343"/>
    <w:rsid w:val="23372F41"/>
    <w:rsid w:val="2356664E"/>
    <w:rsid w:val="248968DE"/>
    <w:rsid w:val="24C17DBF"/>
    <w:rsid w:val="24E73A78"/>
    <w:rsid w:val="250A448D"/>
    <w:rsid w:val="252C6B38"/>
    <w:rsid w:val="25647F99"/>
    <w:rsid w:val="259953B4"/>
    <w:rsid w:val="25A266E9"/>
    <w:rsid w:val="25F90756"/>
    <w:rsid w:val="25F976BD"/>
    <w:rsid w:val="26047579"/>
    <w:rsid w:val="26196731"/>
    <w:rsid w:val="26385A3D"/>
    <w:rsid w:val="264339B0"/>
    <w:rsid w:val="267034C9"/>
    <w:rsid w:val="26DF1182"/>
    <w:rsid w:val="271A2012"/>
    <w:rsid w:val="279B3ADF"/>
    <w:rsid w:val="281C1A05"/>
    <w:rsid w:val="283F090E"/>
    <w:rsid w:val="28623301"/>
    <w:rsid w:val="287637C5"/>
    <w:rsid w:val="287F032D"/>
    <w:rsid w:val="28C50E71"/>
    <w:rsid w:val="28E33BDE"/>
    <w:rsid w:val="28EB59EC"/>
    <w:rsid w:val="28EC2DAD"/>
    <w:rsid w:val="29021338"/>
    <w:rsid w:val="292D69B8"/>
    <w:rsid w:val="293164A9"/>
    <w:rsid w:val="296C3AFE"/>
    <w:rsid w:val="29A35BE5"/>
    <w:rsid w:val="29F23E8A"/>
    <w:rsid w:val="29F351F4"/>
    <w:rsid w:val="2A0F64BE"/>
    <w:rsid w:val="2A130FD1"/>
    <w:rsid w:val="2A356631"/>
    <w:rsid w:val="2A4F7394"/>
    <w:rsid w:val="2A877B3A"/>
    <w:rsid w:val="2AAB4317"/>
    <w:rsid w:val="2AF8535C"/>
    <w:rsid w:val="2B756062"/>
    <w:rsid w:val="2B9C6E60"/>
    <w:rsid w:val="2C661802"/>
    <w:rsid w:val="2C7D3FE7"/>
    <w:rsid w:val="2CA50733"/>
    <w:rsid w:val="2CCA4CE7"/>
    <w:rsid w:val="2CCF76F2"/>
    <w:rsid w:val="2CDD4252"/>
    <w:rsid w:val="2CE32CFB"/>
    <w:rsid w:val="2D3B2A20"/>
    <w:rsid w:val="2D7E7CF0"/>
    <w:rsid w:val="2DD0746C"/>
    <w:rsid w:val="2DE96058"/>
    <w:rsid w:val="2E6C3ADF"/>
    <w:rsid w:val="2EC325BE"/>
    <w:rsid w:val="2EE10D38"/>
    <w:rsid w:val="2F015F63"/>
    <w:rsid w:val="2F3351AA"/>
    <w:rsid w:val="2F6D24F7"/>
    <w:rsid w:val="2FA23599"/>
    <w:rsid w:val="2FB95058"/>
    <w:rsid w:val="2FED22AA"/>
    <w:rsid w:val="2FF45DEA"/>
    <w:rsid w:val="2FF46391"/>
    <w:rsid w:val="302507CD"/>
    <w:rsid w:val="304472F6"/>
    <w:rsid w:val="30E201A1"/>
    <w:rsid w:val="316A28D5"/>
    <w:rsid w:val="32186E4D"/>
    <w:rsid w:val="32455E6C"/>
    <w:rsid w:val="32A13D8B"/>
    <w:rsid w:val="32AC094E"/>
    <w:rsid w:val="32C16EFF"/>
    <w:rsid w:val="32F312A7"/>
    <w:rsid w:val="332942C4"/>
    <w:rsid w:val="33347692"/>
    <w:rsid w:val="333E6D16"/>
    <w:rsid w:val="334F093A"/>
    <w:rsid w:val="335C0F92"/>
    <w:rsid w:val="337319FC"/>
    <w:rsid w:val="33766775"/>
    <w:rsid w:val="339770DD"/>
    <w:rsid w:val="33A44248"/>
    <w:rsid w:val="33B6550D"/>
    <w:rsid w:val="33B835BA"/>
    <w:rsid w:val="33BC31A3"/>
    <w:rsid w:val="342F1BF7"/>
    <w:rsid w:val="343F1D88"/>
    <w:rsid w:val="345D0ED6"/>
    <w:rsid w:val="34DF325D"/>
    <w:rsid w:val="34F95151"/>
    <w:rsid w:val="351B4B26"/>
    <w:rsid w:val="35223D06"/>
    <w:rsid w:val="3531026C"/>
    <w:rsid w:val="355045F5"/>
    <w:rsid w:val="35561CA7"/>
    <w:rsid w:val="35BF6BEA"/>
    <w:rsid w:val="35CF1523"/>
    <w:rsid w:val="36103195"/>
    <w:rsid w:val="36225FA9"/>
    <w:rsid w:val="366B28CE"/>
    <w:rsid w:val="36A10D19"/>
    <w:rsid w:val="36BB058D"/>
    <w:rsid w:val="36F670B1"/>
    <w:rsid w:val="373819C2"/>
    <w:rsid w:val="37591B82"/>
    <w:rsid w:val="37991DE9"/>
    <w:rsid w:val="37F40784"/>
    <w:rsid w:val="3825056E"/>
    <w:rsid w:val="38730ED1"/>
    <w:rsid w:val="393D2E39"/>
    <w:rsid w:val="39825381"/>
    <w:rsid w:val="398B7916"/>
    <w:rsid w:val="3A001A9E"/>
    <w:rsid w:val="3A4057E0"/>
    <w:rsid w:val="3A4345C8"/>
    <w:rsid w:val="3A536A3B"/>
    <w:rsid w:val="3A693B3A"/>
    <w:rsid w:val="3A7141FA"/>
    <w:rsid w:val="3A9B32A1"/>
    <w:rsid w:val="3AB03687"/>
    <w:rsid w:val="3AC122F7"/>
    <w:rsid w:val="3B166891"/>
    <w:rsid w:val="3B501932"/>
    <w:rsid w:val="3B875E5A"/>
    <w:rsid w:val="3BBF67C8"/>
    <w:rsid w:val="3BD57167"/>
    <w:rsid w:val="3BE03EC4"/>
    <w:rsid w:val="3C287DBF"/>
    <w:rsid w:val="3C5E5FC7"/>
    <w:rsid w:val="3C7030B3"/>
    <w:rsid w:val="3CD13DD3"/>
    <w:rsid w:val="3CF64DBB"/>
    <w:rsid w:val="3D152962"/>
    <w:rsid w:val="3D87089E"/>
    <w:rsid w:val="3DEA3D89"/>
    <w:rsid w:val="3E0A408B"/>
    <w:rsid w:val="3E1C4A3D"/>
    <w:rsid w:val="3EDF08B2"/>
    <w:rsid w:val="3F030908"/>
    <w:rsid w:val="3F6E3D94"/>
    <w:rsid w:val="3F836C90"/>
    <w:rsid w:val="3FEC2950"/>
    <w:rsid w:val="40077B0C"/>
    <w:rsid w:val="40697777"/>
    <w:rsid w:val="406D3F2E"/>
    <w:rsid w:val="40A23390"/>
    <w:rsid w:val="40F40337"/>
    <w:rsid w:val="40F529C7"/>
    <w:rsid w:val="41223943"/>
    <w:rsid w:val="415C45AC"/>
    <w:rsid w:val="416A3DB9"/>
    <w:rsid w:val="418A27A2"/>
    <w:rsid w:val="41C85705"/>
    <w:rsid w:val="41CF412C"/>
    <w:rsid w:val="41EA0D1D"/>
    <w:rsid w:val="41EA69E5"/>
    <w:rsid w:val="41FF7556"/>
    <w:rsid w:val="42355FC3"/>
    <w:rsid w:val="424D3EFC"/>
    <w:rsid w:val="42585666"/>
    <w:rsid w:val="4269060A"/>
    <w:rsid w:val="42767246"/>
    <w:rsid w:val="427E7CB3"/>
    <w:rsid w:val="42844416"/>
    <w:rsid w:val="428D3AFD"/>
    <w:rsid w:val="42B51AA1"/>
    <w:rsid w:val="42BE0955"/>
    <w:rsid w:val="42FB06F2"/>
    <w:rsid w:val="432003C7"/>
    <w:rsid w:val="434B1A35"/>
    <w:rsid w:val="43860D47"/>
    <w:rsid w:val="43A40F7B"/>
    <w:rsid w:val="43B153FC"/>
    <w:rsid w:val="43E3042A"/>
    <w:rsid w:val="44531571"/>
    <w:rsid w:val="44AB315B"/>
    <w:rsid w:val="4500194F"/>
    <w:rsid w:val="450F0475"/>
    <w:rsid w:val="453A4861"/>
    <w:rsid w:val="4540665B"/>
    <w:rsid w:val="45463D8A"/>
    <w:rsid w:val="45912351"/>
    <w:rsid w:val="46216B6E"/>
    <w:rsid w:val="4639665F"/>
    <w:rsid w:val="463F6BCE"/>
    <w:rsid w:val="466122BD"/>
    <w:rsid w:val="467976DF"/>
    <w:rsid w:val="469A2E6F"/>
    <w:rsid w:val="46B234DB"/>
    <w:rsid w:val="46D83BCD"/>
    <w:rsid w:val="46E005C0"/>
    <w:rsid w:val="471F2BF8"/>
    <w:rsid w:val="472065DC"/>
    <w:rsid w:val="474544FA"/>
    <w:rsid w:val="4763732D"/>
    <w:rsid w:val="479C7640"/>
    <w:rsid w:val="47A24008"/>
    <w:rsid w:val="47BA5463"/>
    <w:rsid w:val="47CC07A2"/>
    <w:rsid w:val="47F72633"/>
    <w:rsid w:val="480062A4"/>
    <w:rsid w:val="481004DB"/>
    <w:rsid w:val="481E3C44"/>
    <w:rsid w:val="48534948"/>
    <w:rsid w:val="488717E9"/>
    <w:rsid w:val="48D92385"/>
    <w:rsid w:val="48DF3561"/>
    <w:rsid w:val="48E21B20"/>
    <w:rsid w:val="49000450"/>
    <w:rsid w:val="49041638"/>
    <w:rsid w:val="493E4CBA"/>
    <w:rsid w:val="49583186"/>
    <w:rsid w:val="49C40AD5"/>
    <w:rsid w:val="49CD76D0"/>
    <w:rsid w:val="49FC757B"/>
    <w:rsid w:val="4A42193A"/>
    <w:rsid w:val="4A7C4C7F"/>
    <w:rsid w:val="4A86330B"/>
    <w:rsid w:val="4ACD06D1"/>
    <w:rsid w:val="4AFE3A28"/>
    <w:rsid w:val="4B5460AD"/>
    <w:rsid w:val="4BA26FC6"/>
    <w:rsid w:val="4BAC3727"/>
    <w:rsid w:val="4BBB5E4B"/>
    <w:rsid w:val="4BF93E37"/>
    <w:rsid w:val="4C032639"/>
    <w:rsid w:val="4C355774"/>
    <w:rsid w:val="4C8B3414"/>
    <w:rsid w:val="4D1D358F"/>
    <w:rsid w:val="4D2A0DFA"/>
    <w:rsid w:val="4D613E02"/>
    <w:rsid w:val="4D7F7062"/>
    <w:rsid w:val="4D880EF1"/>
    <w:rsid w:val="4D8F3AB6"/>
    <w:rsid w:val="4DA62712"/>
    <w:rsid w:val="4DF571F5"/>
    <w:rsid w:val="4E295ACE"/>
    <w:rsid w:val="4E541251"/>
    <w:rsid w:val="4E5855B2"/>
    <w:rsid w:val="4E7430DB"/>
    <w:rsid w:val="4E775E5C"/>
    <w:rsid w:val="4E98737F"/>
    <w:rsid w:val="4F0516BA"/>
    <w:rsid w:val="4F08420D"/>
    <w:rsid w:val="4F25739C"/>
    <w:rsid w:val="4F463340"/>
    <w:rsid w:val="4F912F4E"/>
    <w:rsid w:val="4FA62F16"/>
    <w:rsid w:val="4FAE3E16"/>
    <w:rsid w:val="4FF30BB7"/>
    <w:rsid w:val="500E27F0"/>
    <w:rsid w:val="50334A3B"/>
    <w:rsid w:val="50A4399E"/>
    <w:rsid w:val="50B41FD1"/>
    <w:rsid w:val="50EA3729"/>
    <w:rsid w:val="510F3EAB"/>
    <w:rsid w:val="51327F4A"/>
    <w:rsid w:val="51AB6549"/>
    <w:rsid w:val="51CE29E2"/>
    <w:rsid w:val="51D06E22"/>
    <w:rsid w:val="52241B54"/>
    <w:rsid w:val="525B02D7"/>
    <w:rsid w:val="529313CE"/>
    <w:rsid w:val="530A00E9"/>
    <w:rsid w:val="533440EC"/>
    <w:rsid w:val="53450C8D"/>
    <w:rsid w:val="53672C22"/>
    <w:rsid w:val="536C1CBF"/>
    <w:rsid w:val="536E2B72"/>
    <w:rsid w:val="536E3CD2"/>
    <w:rsid w:val="53782D38"/>
    <w:rsid w:val="53CE51BE"/>
    <w:rsid w:val="53FB42E9"/>
    <w:rsid w:val="5435296B"/>
    <w:rsid w:val="548F5195"/>
    <w:rsid w:val="54D20D43"/>
    <w:rsid w:val="54E75A86"/>
    <w:rsid w:val="54EE4B91"/>
    <w:rsid w:val="54F577DF"/>
    <w:rsid w:val="5504033D"/>
    <w:rsid w:val="55062DA7"/>
    <w:rsid w:val="55256612"/>
    <w:rsid w:val="55B91273"/>
    <w:rsid w:val="55BC51C5"/>
    <w:rsid w:val="56E77B1E"/>
    <w:rsid w:val="56F57FE9"/>
    <w:rsid w:val="573D3390"/>
    <w:rsid w:val="57441A18"/>
    <w:rsid w:val="57512D97"/>
    <w:rsid w:val="57D11851"/>
    <w:rsid w:val="5827738A"/>
    <w:rsid w:val="58FA7DB6"/>
    <w:rsid w:val="594B18E9"/>
    <w:rsid w:val="5955041F"/>
    <w:rsid w:val="59B60874"/>
    <w:rsid w:val="5A3B0686"/>
    <w:rsid w:val="5ACE51D4"/>
    <w:rsid w:val="5AFD1616"/>
    <w:rsid w:val="5B1027B2"/>
    <w:rsid w:val="5B172EA1"/>
    <w:rsid w:val="5B304588"/>
    <w:rsid w:val="5B845063"/>
    <w:rsid w:val="5BD90F1F"/>
    <w:rsid w:val="5C02255C"/>
    <w:rsid w:val="5C307C33"/>
    <w:rsid w:val="5C440623"/>
    <w:rsid w:val="5C4D6361"/>
    <w:rsid w:val="5C821966"/>
    <w:rsid w:val="5D2C46BB"/>
    <w:rsid w:val="5D564930"/>
    <w:rsid w:val="5D8B287F"/>
    <w:rsid w:val="5DD52C7F"/>
    <w:rsid w:val="5E027071"/>
    <w:rsid w:val="5E190CDE"/>
    <w:rsid w:val="5E26691F"/>
    <w:rsid w:val="5E3468B7"/>
    <w:rsid w:val="5EE04AAB"/>
    <w:rsid w:val="5F075B9A"/>
    <w:rsid w:val="5F5D6D8B"/>
    <w:rsid w:val="5F903222"/>
    <w:rsid w:val="5FB03F80"/>
    <w:rsid w:val="5FB23198"/>
    <w:rsid w:val="5FF116A3"/>
    <w:rsid w:val="60265228"/>
    <w:rsid w:val="6048238E"/>
    <w:rsid w:val="605305D2"/>
    <w:rsid w:val="606E2790"/>
    <w:rsid w:val="607521E8"/>
    <w:rsid w:val="609C1F3D"/>
    <w:rsid w:val="609D521B"/>
    <w:rsid w:val="60C101C7"/>
    <w:rsid w:val="60C47D91"/>
    <w:rsid w:val="60C541E5"/>
    <w:rsid w:val="60DF222C"/>
    <w:rsid w:val="610C7F05"/>
    <w:rsid w:val="616A0283"/>
    <w:rsid w:val="616A534A"/>
    <w:rsid w:val="61C62DA7"/>
    <w:rsid w:val="61F0416B"/>
    <w:rsid w:val="62047C92"/>
    <w:rsid w:val="620869B0"/>
    <w:rsid w:val="625215B5"/>
    <w:rsid w:val="625F3799"/>
    <w:rsid w:val="626109C4"/>
    <w:rsid w:val="628011E4"/>
    <w:rsid w:val="62C17E56"/>
    <w:rsid w:val="62C27704"/>
    <w:rsid w:val="62D728C1"/>
    <w:rsid w:val="63053881"/>
    <w:rsid w:val="6328093E"/>
    <w:rsid w:val="63325B7C"/>
    <w:rsid w:val="636B6CC0"/>
    <w:rsid w:val="63CB3B63"/>
    <w:rsid w:val="648C220A"/>
    <w:rsid w:val="64AF5EF8"/>
    <w:rsid w:val="650B5DC7"/>
    <w:rsid w:val="65F33CD2"/>
    <w:rsid w:val="660C32BE"/>
    <w:rsid w:val="66701F2D"/>
    <w:rsid w:val="667B0788"/>
    <w:rsid w:val="66851831"/>
    <w:rsid w:val="668C51A2"/>
    <w:rsid w:val="669434C1"/>
    <w:rsid w:val="66B30277"/>
    <w:rsid w:val="66C4560A"/>
    <w:rsid w:val="66C940AA"/>
    <w:rsid w:val="66DF73D5"/>
    <w:rsid w:val="67281043"/>
    <w:rsid w:val="672C7BA5"/>
    <w:rsid w:val="675E6F58"/>
    <w:rsid w:val="67CE40B1"/>
    <w:rsid w:val="68894255"/>
    <w:rsid w:val="68F848AD"/>
    <w:rsid w:val="690C4C5A"/>
    <w:rsid w:val="6926586A"/>
    <w:rsid w:val="692904D8"/>
    <w:rsid w:val="69755ED1"/>
    <w:rsid w:val="69A43743"/>
    <w:rsid w:val="69F80D70"/>
    <w:rsid w:val="6A4A6AE4"/>
    <w:rsid w:val="6A507E85"/>
    <w:rsid w:val="6B2A1B14"/>
    <w:rsid w:val="6B6F16F5"/>
    <w:rsid w:val="6BAB6AB4"/>
    <w:rsid w:val="6BAF228A"/>
    <w:rsid w:val="6C1D7BEB"/>
    <w:rsid w:val="6C6952EC"/>
    <w:rsid w:val="6C7568C6"/>
    <w:rsid w:val="6CA61963"/>
    <w:rsid w:val="6CAF3383"/>
    <w:rsid w:val="6CB52D77"/>
    <w:rsid w:val="6D5238C5"/>
    <w:rsid w:val="6D7221B9"/>
    <w:rsid w:val="6D760BE5"/>
    <w:rsid w:val="6D966425"/>
    <w:rsid w:val="6DD75505"/>
    <w:rsid w:val="6DDD6A95"/>
    <w:rsid w:val="6E557E91"/>
    <w:rsid w:val="6EE3511C"/>
    <w:rsid w:val="6FBE37E6"/>
    <w:rsid w:val="6FC17FD0"/>
    <w:rsid w:val="6FE13C72"/>
    <w:rsid w:val="6FED0BD6"/>
    <w:rsid w:val="700B1DEF"/>
    <w:rsid w:val="702C6291"/>
    <w:rsid w:val="702D24C1"/>
    <w:rsid w:val="705B7849"/>
    <w:rsid w:val="706863FB"/>
    <w:rsid w:val="707E3181"/>
    <w:rsid w:val="70D25448"/>
    <w:rsid w:val="713C7DD6"/>
    <w:rsid w:val="717C3606"/>
    <w:rsid w:val="71FB7FBA"/>
    <w:rsid w:val="7221037A"/>
    <w:rsid w:val="72367A3D"/>
    <w:rsid w:val="72493D92"/>
    <w:rsid w:val="726D328C"/>
    <w:rsid w:val="72D1652C"/>
    <w:rsid w:val="72D76DEA"/>
    <w:rsid w:val="72EA7267"/>
    <w:rsid w:val="732857F3"/>
    <w:rsid w:val="73695125"/>
    <w:rsid w:val="73715EF1"/>
    <w:rsid w:val="73FC4AEE"/>
    <w:rsid w:val="74026AF8"/>
    <w:rsid w:val="74143AFA"/>
    <w:rsid w:val="743C6EFE"/>
    <w:rsid w:val="7444314A"/>
    <w:rsid w:val="74C51B84"/>
    <w:rsid w:val="75611DAD"/>
    <w:rsid w:val="75DA268F"/>
    <w:rsid w:val="75E35F88"/>
    <w:rsid w:val="761629DF"/>
    <w:rsid w:val="761D6A91"/>
    <w:rsid w:val="764C17F9"/>
    <w:rsid w:val="764D5571"/>
    <w:rsid w:val="764F2799"/>
    <w:rsid w:val="768733AB"/>
    <w:rsid w:val="768D693F"/>
    <w:rsid w:val="76A5715B"/>
    <w:rsid w:val="76AE6AF3"/>
    <w:rsid w:val="76B574C3"/>
    <w:rsid w:val="76BD220E"/>
    <w:rsid w:val="76C515AB"/>
    <w:rsid w:val="76D0597E"/>
    <w:rsid w:val="77385190"/>
    <w:rsid w:val="774239A2"/>
    <w:rsid w:val="775833D6"/>
    <w:rsid w:val="77E844B8"/>
    <w:rsid w:val="781044DE"/>
    <w:rsid w:val="783267CC"/>
    <w:rsid w:val="78911745"/>
    <w:rsid w:val="78A87021"/>
    <w:rsid w:val="79500AA6"/>
    <w:rsid w:val="79621333"/>
    <w:rsid w:val="796A15DE"/>
    <w:rsid w:val="79D178CC"/>
    <w:rsid w:val="7B0F7299"/>
    <w:rsid w:val="7B217224"/>
    <w:rsid w:val="7B291573"/>
    <w:rsid w:val="7B63734A"/>
    <w:rsid w:val="7B7404C7"/>
    <w:rsid w:val="7B8D37F9"/>
    <w:rsid w:val="7BB91F3F"/>
    <w:rsid w:val="7BEC3202"/>
    <w:rsid w:val="7C575AD4"/>
    <w:rsid w:val="7CEF2393"/>
    <w:rsid w:val="7D133F46"/>
    <w:rsid w:val="7D281BD0"/>
    <w:rsid w:val="7D362CAB"/>
    <w:rsid w:val="7D58223C"/>
    <w:rsid w:val="7D6E64F9"/>
    <w:rsid w:val="7EA95C67"/>
    <w:rsid w:val="7EF80A0D"/>
    <w:rsid w:val="7F2277C4"/>
    <w:rsid w:val="7F8A5727"/>
    <w:rsid w:val="7FCA37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autoRedefine/>
    <w:qFormat/>
    <w:uiPriority w:val="0"/>
    <w:pPr>
      <w:keepNext/>
      <w:keepLines/>
      <w:adjustRightInd w:val="0"/>
      <w:spacing w:before="340" w:after="330" w:line="576" w:lineRule="auto"/>
      <w:jc w:val="center"/>
      <w:outlineLvl w:val="0"/>
    </w:pPr>
    <w:rPr>
      <w:b/>
      <w:bCs/>
      <w:kern w:val="44"/>
      <w:sz w:val="30"/>
      <w:szCs w:val="44"/>
    </w:rPr>
  </w:style>
  <w:style w:type="paragraph" w:styleId="4">
    <w:name w:val="heading 2"/>
    <w:basedOn w:val="1"/>
    <w:next w:val="1"/>
    <w:link w:val="85"/>
    <w:autoRedefine/>
    <w:qFormat/>
    <w:uiPriority w:val="0"/>
    <w:pPr>
      <w:adjustRightInd w:val="0"/>
      <w:spacing w:before="360" w:after="120" w:line="360" w:lineRule="auto"/>
      <w:ind w:firstLine="590" w:firstLineChars="196"/>
      <w:outlineLvl w:val="1"/>
    </w:pPr>
    <w:rPr>
      <w:rFonts w:ascii="宋体" w:hAnsi="宋体"/>
      <w:b/>
      <w:sz w:val="30"/>
      <w:szCs w:val="30"/>
    </w:rPr>
  </w:style>
  <w:style w:type="paragraph" w:styleId="5">
    <w:name w:val="heading 3"/>
    <w:basedOn w:val="1"/>
    <w:next w:val="1"/>
    <w:link w:val="88"/>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89"/>
    <w:autoRedefine/>
    <w:qFormat/>
    <w:uiPriority w:val="0"/>
    <w:pPr>
      <w:spacing w:before="160" w:after="160" w:line="600" w:lineRule="exact"/>
      <w:jc w:val="left"/>
      <w:outlineLvl w:val="3"/>
    </w:pPr>
    <w:rPr>
      <w:rFonts w:ascii="宋体" w:hAnsi="宋体"/>
      <w:bCs/>
      <w:color w:val="000000"/>
      <w:spacing w:val="10"/>
      <w:kern w:val="24"/>
      <w:sz w:val="24"/>
    </w:rPr>
  </w:style>
  <w:style w:type="paragraph" w:styleId="7">
    <w:name w:val="heading 5"/>
    <w:basedOn w:val="1"/>
    <w:next w:val="1"/>
    <w:link w:val="90"/>
    <w:autoRedefine/>
    <w:qFormat/>
    <w:uiPriority w:val="0"/>
    <w:pPr>
      <w:keepNext/>
      <w:keepLines/>
      <w:tabs>
        <w:tab w:val="left" w:pos="1008"/>
      </w:tabs>
      <w:adjustRightInd w:val="0"/>
      <w:spacing w:before="280" w:after="290" w:line="376" w:lineRule="atLeast"/>
      <w:ind w:left="1008" w:hanging="1008"/>
      <w:textAlignment w:val="baseline"/>
      <w:outlineLvl w:val="4"/>
    </w:pPr>
    <w:rPr>
      <w:rFonts w:eastAsia="黑体"/>
      <w:b/>
      <w:kern w:val="0"/>
      <w:sz w:val="28"/>
      <w:szCs w:val="20"/>
    </w:rPr>
  </w:style>
  <w:style w:type="paragraph" w:styleId="8">
    <w:name w:val="heading 6"/>
    <w:basedOn w:val="1"/>
    <w:next w:val="1"/>
    <w:link w:val="91"/>
    <w:autoRedefine/>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10"/>
    <w:link w:val="93"/>
    <w:autoRedefine/>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1">
    <w:name w:val="heading 8"/>
    <w:basedOn w:val="1"/>
    <w:next w:val="10"/>
    <w:link w:val="94"/>
    <w:autoRedefine/>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2">
    <w:name w:val="heading 9"/>
    <w:basedOn w:val="1"/>
    <w:next w:val="10"/>
    <w:link w:val="95"/>
    <w:autoRedefine/>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75">
    <w:name w:val="Default Paragraph Font"/>
    <w:autoRedefine/>
    <w:semiHidden/>
    <w:qFormat/>
    <w:uiPriority w:val="0"/>
  </w:style>
  <w:style w:type="table" w:default="1" w:styleId="70">
    <w:name w:val="Normal Table"/>
    <w:autoRedefine/>
    <w:semiHidden/>
    <w:qFormat/>
    <w:uiPriority w:val="0"/>
    <w:tblPr>
      <w:tblCellMar>
        <w:top w:w="0" w:type="dxa"/>
        <w:left w:w="108" w:type="dxa"/>
        <w:bottom w:w="0" w:type="dxa"/>
        <w:right w:w="108" w:type="dxa"/>
      </w:tblCellMar>
    </w:tblPr>
  </w:style>
  <w:style w:type="paragraph" w:styleId="2">
    <w:name w:val="macro"/>
    <w:link w:val="8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92"/>
    <w:autoRedefine/>
    <w:qFormat/>
    <w:uiPriority w:val="0"/>
    <w:pPr>
      <w:spacing w:line="460" w:lineRule="exact"/>
      <w:ind w:firstLine="420"/>
    </w:pPr>
    <w:rPr>
      <w:spacing w:val="14"/>
      <w:kern w:val="24"/>
      <w:sz w:val="24"/>
      <w:szCs w:val="20"/>
    </w:rPr>
  </w:style>
  <w:style w:type="paragraph" w:styleId="13">
    <w:name w:val="List 3"/>
    <w:basedOn w:val="1"/>
    <w:autoRedefine/>
    <w:qFormat/>
    <w:uiPriority w:val="0"/>
    <w:pPr>
      <w:ind w:left="100" w:leftChars="400" w:hanging="200" w:hangingChars="200"/>
    </w:pPr>
    <w:rPr>
      <w:rFonts w:ascii="宋体"/>
      <w:sz w:val="28"/>
      <w:szCs w:val="20"/>
    </w:rPr>
  </w:style>
  <w:style w:type="paragraph" w:styleId="14">
    <w:name w:val="toc 7"/>
    <w:basedOn w:val="1"/>
    <w:next w:val="1"/>
    <w:autoRedefine/>
    <w:unhideWhenUsed/>
    <w:qFormat/>
    <w:uiPriority w:val="0"/>
    <w:pPr>
      <w:ind w:left="1260"/>
      <w:jc w:val="left"/>
    </w:pPr>
    <w:rPr>
      <w:rFonts w:ascii="Calibri" w:hAnsi="Calibri" w:cs="Calibri"/>
      <w:sz w:val="20"/>
      <w:szCs w:val="20"/>
    </w:rPr>
  </w:style>
  <w:style w:type="paragraph" w:styleId="15">
    <w:name w:val="table of authorities"/>
    <w:basedOn w:val="1"/>
    <w:next w:val="1"/>
    <w:autoRedefine/>
    <w:qFormat/>
    <w:uiPriority w:val="0"/>
    <w:pPr>
      <w:ind w:left="420" w:leftChars="200"/>
    </w:pPr>
  </w:style>
  <w:style w:type="paragraph" w:styleId="16">
    <w:name w:val="List Bullet 4"/>
    <w:basedOn w:val="1"/>
    <w:autoRedefine/>
    <w:qFormat/>
    <w:uiPriority w:val="0"/>
    <w:pPr>
      <w:tabs>
        <w:tab w:val="left" w:pos="1620"/>
      </w:tabs>
      <w:ind w:left="1620" w:hanging="360"/>
    </w:pPr>
  </w:style>
  <w:style w:type="paragraph" w:styleId="17">
    <w:name w:val="index 8"/>
    <w:basedOn w:val="1"/>
    <w:next w:val="1"/>
    <w:autoRedefine/>
    <w:qFormat/>
    <w:uiPriority w:val="0"/>
    <w:pPr>
      <w:ind w:left="1400" w:leftChars="1400"/>
    </w:pPr>
  </w:style>
  <w:style w:type="paragraph" w:styleId="18">
    <w:name w:val="List Number"/>
    <w:basedOn w:val="1"/>
    <w:autoRedefine/>
    <w:qFormat/>
    <w:uiPriority w:val="0"/>
    <w:pPr>
      <w:widowControl/>
      <w:tabs>
        <w:tab w:val="left" w:pos="454"/>
        <w:tab w:val="left" w:pos="720"/>
        <w:tab w:val="left" w:pos="1200"/>
      </w:tabs>
      <w:spacing w:after="50" w:afterLines="50"/>
      <w:ind w:left="454" w:hanging="284"/>
      <w:jc w:val="left"/>
    </w:pPr>
    <w:rPr>
      <w:kern w:val="0"/>
      <w:sz w:val="24"/>
      <w:szCs w:val="20"/>
    </w:rPr>
  </w:style>
  <w:style w:type="paragraph" w:styleId="19">
    <w:name w:val="caption"/>
    <w:basedOn w:val="1"/>
    <w:next w:val="1"/>
    <w:autoRedefine/>
    <w:qFormat/>
    <w:uiPriority w:val="0"/>
    <w:pPr>
      <w:widowControl/>
      <w:spacing w:before="120"/>
      <w:ind w:firstLine="200" w:firstLineChars="200"/>
    </w:pPr>
    <w:rPr>
      <w:rFonts w:ascii="宋体" w:hAnsi="宋体" w:eastAsia="黑体" w:cs="Arial"/>
      <w:color w:val="000000"/>
      <w:kern w:val="0"/>
      <w:sz w:val="20"/>
      <w:szCs w:val="20"/>
    </w:rPr>
  </w:style>
  <w:style w:type="paragraph" w:styleId="20">
    <w:name w:val="index 5"/>
    <w:basedOn w:val="1"/>
    <w:next w:val="1"/>
    <w:autoRedefine/>
    <w:qFormat/>
    <w:uiPriority w:val="0"/>
    <w:pPr>
      <w:ind w:left="800" w:leftChars="800"/>
    </w:pPr>
  </w:style>
  <w:style w:type="paragraph" w:styleId="21">
    <w:name w:val="List Bullet"/>
    <w:basedOn w:val="1"/>
    <w:autoRedefine/>
    <w:qFormat/>
    <w:uiPriority w:val="0"/>
    <w:pPr>
      <w:tabs>
        <w:tab w:val="left" w:pos="360"/>
      </w:tabs>
      <w:ind w:left="360" w:hanging="360"/>
    </w:pPr>
  </w:style>
  <w:style w:type="paragraph" w:styleId="22">
    <w:name w:val="Document Map"/>
    <w:basedOn w:val="1"/>
    <w:link w:val="96"/>
    <w:autoRedefine/>
    <w:semiHidden/>
    <w:qFormat/>
    <w:uiPriority w:val="0"/>
    <w:pPr>
      <w:shd w:val="clear" w:color="auto" w:fill="000080"/>
    </w:p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97"/>
    <w:autoRedefine/>
    <w:semiHidden/>
    <w:qFormat/>
    <w:uiPriority w:val="0"/>
    <w:pPr>
      <w:jc w:val="left"/>
    </w:pPr>
  </w:style>
  <w:style w:type="paragraph" w:styleId="25">
    <w:name w:val="index 6"/>
    <w:basedOn w:val="1"/>
    <w:next w:val="1"/>
    <w:autoRedefine/>
    <w:qFormat/>
    <w:uiPriority w:val="0"/>
    <w:pPr>
      <w:ind w:left="1000" w:leftChars="1000"/>
    </w:pPr>
  </w:style>
  <w:style w:type="paragraph" w:styleId="26">
    <w:name w:val="Salutation"/>
    <w:basedOn w:val="1"/>
    <w:next w:val="1"/>
    <w:autoRedefine/>
    <w:qFormat/>
    <w:uiPriority w:val="0"/>
    <w:rPr>
      <w:sz w:val="24"/>
    </w:rPr>
  </w:style>
  <w:style w:type="paragraph" w:styleId="27">
    <w:name w:val="Body Text 3"/>
    <w:basedOn w:val="1"/>
    <w:link w:val="98"/>
    <w:autoRedefine/>
    <w:qFormat/>
    <w:uiPriority w:val="0"/>
    <w:rPr>
      <w:sz w:val="18"/>
    </w:rPr>
  </w:style>
  <w:style w:type="paragraph" w:styleId="28">
    <w:name w:val="List Bullet 3"/>
    <w:basedOn w:val="1"/>
    <w:autoRedefine/>
    <w:qFormat/>
    <w:uiPriority w:val="0"/>
    <w:pPr>
      <w:tabs>
        <w:tab w:val="left" w:pos="1200"/>
      </w:tabs>
      <w:ind w:left="1200" w:hanging="360"/>
    </w:pPr>
  </w:style>
  <w:style w:type="paragraph" w:styleId="29">
    <w:name w:val="Body Text"/>
    <w:basedOn w:val="1"/>
    <w:next w:val="1"/>
    <w:link w:val="99"/>
    <w:autoRedefine/>
    <w:qFormat/>
    <w:uiPriority w:val="0"/>
    <w:pPr>
      <w:adjustRightInd w:val="0"/>
      <w:jc w:val="left"/>
    </w:pPr>
    <w:rPr>
      <w:rFonts w:ascii="宋体" w:hAnsi="宋体"/>
      <w:sz w:val="24"/>
      <w:szCs w:val="20"/>
    </w:rPr>
  </w:style>
  <w:style w:type="paragraph" w:styleId="30">
    <w:name w:val="Body Text Indent"/>
    <w:basedOn w:val="1"/>
    <w:link w:val="100"/>
    <w:autoRedefine/>
    <w:qFormat/>
    <w:uiPriority w:val="0"/>
    <w:pPr>
      <w:adjustRightInd w:val="0"/>
      <w:spacing w:line="360" w:lineRule="auto"/>
      <w:ind w:firstLine="490"/>
      <w:jc w:val="left"/>
    </w:pPr>
    <w:rPr>
      <w:rFonts w:ascii="宋体" w:hAnsi="宋体"/>
      <w:sz w:val="24"/>
      <w:szCs w:val="20"/>
    </w:rPr>
  </w:style>
  <w:style w:type="paragraph" w:styleId="31">
    <w:name w:val="List 2"/>
    <w:basedOn w:val="1"/>
    <w:autoRedefine/>
    <w:qFormat/>
    <w:uiPriority w:val="0"/>
    <w:pPr>
      <w:ind w:left="100" w:leftChars="200" w:hanging="200" w:hangingChars="200"/>
    </w:pPr>
    <w:rPr>
      <w:rFonts w:ascii="宋体"/>
      <w:sz w:val="28"/>
      <w:szCs w:val="20"/>
    </w:rPr>
  </w:style>
  <w:style w:type="paragraph" w:styleId="32">
    <w:name w:val="List Continue"/>
    <w:basedOn w:val="1"/>
    <w:autoRedefine/>
    <w:qFormat/>
    <w:uiPriority w:val="0"/>
    <w:pPr>
      <w:spacing w:after="120"/>
      <w:ind w:left="420" w:leftChars="200"/>
    </w:pPr>
    <w:rPr>
      <w:rFonts w:ascii="宋体"/>
      <w:sz w:val="28"/>
      <w:szCs w:val="20"/>
    </w:rPr>
  </w:style>
  <w:style w:type="paragraph" w:styleId="33">
    <w:name w:val="Block Text"/>
    <w:basedOn w:val="1"/>
    <w:autoRedefine/>
    <w:qFormat/>
    <w:uiPriority w:val="0"/>
    <w:pPr>
      <w:adjustRightInd w:val="0"/>
      <w:snapToGrid w:val="0"/>
      <w:spacing w:line="300" w:lineRule="auto"/>
      <w:ind w:left="958" w:rightChars="-120"/>
      <w:jc w:val="left"/>
    </w:pPr>
    <w:rPr>
      <w:rFonts w:hint="eastAsia" w:ascii="宋体" w:hAnsi="宋体"/>
      <w:sz w:val="28"/>
      <w:szCs w:val="20"/>
    </w:rPr>
  </w:style>
  <w:style w:type="paragraph" w:styleId="34">
    <w:name w:val="List Bullet 2"/>
    <w:basedOn w:val="1"/>
    <w:autoRedefine/>
    <w:qFormat/>
    <w:uiPriority w:val="0"/>
    <w:pPr>
      <w:autoSpaceDE w:val="0"/>
      <w:autoSpaceDN w:val="0"/>
      <w:adjustRightInd w:val="0"/>
      <w:ind w:left="420"/>
      <w:jc w:val="left"/>
    </w:pPr>
    <w:rPr>
      <w:rFonts w:ascii="宋体" w:hAnsi="宋体"/>
      <w:color w:val="000000"/>
      <w:kern w:val="0"/>
      <w:sz w:val="24"/>
      <w:szCs w:val="20"/>
    </w:rPr>
  </w:style>
  <w:style w:type="paragraph" w:styleId="35">
    <w:name w:val="index 4"/>
    <w:basedOn w:val="1"/>
    <w:next w:val="1"/>
    <w:autoRedefine/>
    <w:qFormat/>
    <w:uiPriority w:val="0"/>
    <w:pPr>
      <w:ind w:left="600" w:leftChars="600"/>
    </w:pPr>
  </w:style>
  <w:style w:type="paragraph" w:styleId="36">
    <w:name w:val="toc 5"/>
    <w:basedOn w:val="1"/>
    <w:next w:val="1"/>
    <w:autoRedefine/>
    <w:unhideWhenUsed/>
    <w:qFormat/>
    <w:uiPriority w:val="0"/>
    <w:pPr>
      <w:ind w:left="840"/>
      <w:jc w:val="left"/>
    </w:pPr>
    <w:rPr>
      <w:rFonts w:ascii="Calibri" w:hAnsi="Calibri" w:cs="Calibri"/>
      <w:sz w:val="20"/>
      <w:szCs w:val="20"/>
    </w:rPr>
  </w:style>
  <w:style w:type="paragraph" w:styleId="37">
    <w:name w:val="toc 3"/>
    <w:basedOn w:val="1"/>
    <w:next w:val="1"/>
    <w:autoRedefine/>
    <w:qFormat/>
    <w:uiPriority w:val="0"/>
    <w:pPr>
      <w:ind w:left="420"/>
      <w:jc w:val="left"/>
    </w:pPr>
    <w:rPr>
      <w:rFonts w:ascii="Calibri" w:hAnsi="Calibri" w:cs="Calibri"/>
      <w:sz w:val="20"/>
      <w:szCs w:val="20"/>
    </w:rPr>
  </w:style>
  <w:style w:type="paragraph" w:styleId="38">
    <w:name w:val="Plain Text"/>
    <w:basedOn w:val="1"/>
    <w:link w:val="101"/>
    <w:autoRedefine/>
    <w:qFormat/>
    <w:uiPriority w:val="99"/>
    <w:rPr>
      <w:rFonts w:ascii="宋体" w:hAnsi="Courier New" w:cs="Courier New"/>
      <w:szCs w:val="21"/>
    </w:rPr>
  </w:style>
  <w:style w:type="paragraph" w:styleId="39">
    <w:name w:val="List Bullet 5"/>
    <w:basedOn w:val="1"/>
    <w:autoRedefine/>
    <w:qFormat/>
    <w:uiPriority w:val="0"/>
    <w:pPr>
      <w:tabs>
        <w:tab w:val="left" w:pos="2040"/>
      </w:tabs>
      <w:ind w:left="2040" w:hanging="360"/>
    </w:pPr>
  </w:style>
  <w:style w:type="paragraph" w:styleId="40">
    <w:name w:val="toc 8"/>
    <w:basedOn w:val="1"/>
    <w:next w:val="1"/>
    <w:autoRedefine/>
    <w:unhideWhenUsed/>
    <w:qFormat/>
    <w:uiPriority w:val="0"/>
    <w:pPr>
      <w:ind w:left="1470"/>
      <w:jc w:val="left"/>
    </w:pPr>
    <w:rPr>
      <w:rFonts w:ascii="Calibri" w:hAnsi="Calibri" w:cs="Calibri"/>
      <w:sz w:val="20"/>
      <w:szCs w:val="20"/>
    </w:rPr>
  </w:style>
  <w:style w:type="paragraph" w:styleId="41">
    <w:name w:val="index 3"/>
    <w:basedOn w:val="1"/>
    <w:next w:val="1"/>
    <w:autoRedefine/>
    <w:qFormat/>
    <w:uiPriority w:val="0"/>
    <w:pPr>
      <w:ind w:left="400" w:leftChars="400"/>
    </w:pPr>
  </w:style>
  <w:style w:type="paragraph" w:styleId="42">
    <w:name w:val="Date"/>
    <w:basedOn w:val="1"/>
    <w:next w:val="1"/>
    <w:link w:val="102"/>
    <w:autoRedefine/>
    <w:qFormat/>
    <w:uiPriority w:val="0"/>
    <w:pPr>
      <w:ind w:leftChars="2500"/>
    </w:pPr>
    <w:rPr>
      <w:rFonts w:ascii="宋体" w:hAnsi="宋体"/>
      <w:sz w:val="24"/>
    </w:rPr>
  </w:style>
  <w:style w:type="paragraph" w:styleId="43">
    <w:name w:val="Body Text Indent 2"/>
    <w:basedOn w:val="1"/>
    <w:link w:val="103"/>
    <w:autoRedefine/>
    <w:qFormat/>
    <w:uiPriority w:val="0"/>
    <w:pPr>
      <w:adjustRightInd w:val="0"/>
      <w:spacing w:line="360" w:lineRule="auto"/>
      <w:ind w:firstLine="504" w:firstLineChars="210"/>
      <w:jc w:val="left"/>
    </w:pPr>
    <w:rPr>
      <w:rFonts w:ascii="宋体" w:hAnsi="宋体"/>
      <w:sz w:val="24"/>
      <w:szCs w:val="20"/>
    </w:rPr>
  </w:style>
  <w:style w:type="paragraph" w:styleId="44">
    <w:name w:val="endnote text"/>
    <w:basedOn w:val="1"/>
    <w:autoRedefine/>
    <w:qFormat/>
    <w:uiPriority w:val="0"/>
    <w:pPr>
      <w:snapToGrid w:val="0"/>
      <w:jc w:val="left"/>
    </w:pPr>
  </w:style>
  <w:style w:type="paragraph" w:styleId="45">
    <w:name w:val="Balloon Text"/>
    <w:basedOn w:val="1"/>
    <w:link w:val="104"/>
    <w:autoRedefine/>
    <w:semiHidden/>
    <w:qFormat/>
    <w:uiPriority w:val="0"/>
    <w:rPr>
      <w:sz w:val="18"/>
      <w:szCs w:val="18"/>
    </w:rPr>
  </w:style>
  <w:style w:type="paragraph" w:styleId="46">
    <w:name w:val="footer"/>
    <w:basedOn w:val="1"/>
    <w:link w:val="105"/>
    <w:autoRedefine/>
    <w:qFormat/>
    <w:uiPriority w:val="0"/>
    <w:pPr>
      <w:tabs>
        <w:tab w:val="center" w:pos="4153"/>
        <w:tab w:val="right" w:pos="8306"/>
      </w:tabs>
      <w:adjustRightInd w:val="0"/>
      <w:jc w:val="left"/>
    </w:pPr>
    <w:rPr>
      <w:sz w:val="18"/>
      <w:szCs w:val="20"/>
    </w:rPr>
  </w:style>
  <w:style w:type="paragraph" w:styleId="47">
    <w:name w:val="envelope return"/>
    <w:basedOn w:val="1"/>
    <w:autoRedefine/>
    <w:unhideWhenUsed/>
    <w:qFormat/>
    <w:uiPriority w:val="99"/>
    <w:pPr>
      <w:snapToGrid w:val="0"/>
    </w:pPr>
    <w:rPr>
      <w:rFonts w:ascii="Arial" w:hAnsi="Arial"/>
    </w:rPr>
  </w:style>
  <w:style w:type="paragraph" w:styleId="48">
    <w:name w:val="header"/>
    <w:basedOn w:val="1"/>
    <w:link w:val="106"/>
    <w:autoRedefine/>
    <w:qFormat/>
    <w:uiPriority w:val="0"/>
    <w:pPr>
      <w:pBdr>
        <w:bottom w:val="single" w:color="auto" w:sz="6" w:space="1"/>
      </w:pBdr>
      <w:tabs>
        <w:tab w:val="center" w:pos="4153"/>
        <w:tab w:val="right" w:pos="8306"/>
      </w:tabs>
      <w:adjustRightInd w:val="0"/>
      <w:jc w:val="center"/>
    </w:pPr>
    <w:rPr>
      <w:sz w:val="18"/>
      <w:szCs w:val="20"/>
    </w:rPr>
  </w:style>
  <w:style w:type="paragraph" w:styleId="49">
    <w:name w:val="toc 1"/>
    <w:basedOn w:val="1"/>
    <w:next w:val="1"/>
    <w:autoRedefine/>
    <w:qFormat/>
    <w:uiPriority w:val="39"/>
    <w:pPr>
      <w:spacing w:before="120"/>
      <w:jc w:val="left"/>
    </w:pPr>
    <w:rPr>
      <w:rFonts w:ascii="Calibri" w:hAnsi="Calibri" w:eastAsia="仿宋" w:cs="Calibri"/>
      <w:b/>
      <w:bCs/>
      <w:iCs/>
      <w:sz w:val="28"/>
    </w:rPr>
  </w:style>
  <w:style w:type="paragraph" w:styleId="50">
    <w:name w:val="toc 4"/>
    <w:basedOn w:val="1"/>
    <w:next w:val="1"/>
    <w:autoRedefine/>
    <w:unhideWhenUsed/>
    <w:qFormat/>
    <w:uiPriority w:val="0"/>
    <w:pPr>
      <w:ind w:left="630"/>
      <w:jc w:val="left"/>
    </w:pPr>
    <w:rPr>
      <w:rFonts w:ascii="Calibri" w:hAnsi="Calibri" w:cs="Calibri"/>
      <w:sz w:val="20"/>
      <w:szCs w:val="20"/>
    </w:rPr>
  </w:style>
  <w:style w:type="paragraph" w:styleId="51">
    <w:name w:val="index heading"/>
    <w:basedOn w:val="1"/>
    <w:next w:val="52"/>
    <w:autoRedefine/>
    <w:qFormat/>
    <w:uiPriority w:val="0"/>
    <w:rPr>
      <w:rFonts w:ascii="Arial" w:hAnsi="Arial" w:cs="Arial"/>
      <w:b/>
      <w:bCs/>
    </w:rPr>
  </w:style>
  <w:style w:type="paragraph" w:styleId="52">
    <w:name w:val="index 1"/>
    <w:basedOn w:val="1"/>
    <w:next w:val="1"/>
    <w:autoRedefine/>
    <w:qFormat/>
    <w:uiPriority w:val="0"/>
  </w:style>
  <w:style w:type="paragraph" w:styleId="53">
    <w:name w:val="List"/>
    <w:basedOn w:val="1"/>
    <w:autoRedefine/>
    <w:qFormat/>
    <w:uiPriority w:val="0"/>
    <w:pPr>
      <w:ind w:left="200" w:hanging="200" w:hangingChars="200"/>
    </w:pPr>
    <w:rPr>
      <w:sz w:val="28"/>
    </w:rPr>
  </w:style>
  <w:style w:type="paragraph" w:styleId="54">
    <w:name w:val="footnote text"/>
    <w:basedOn w:val="1"/>
    <w:autoRedefine/>
    <w:qFormat/>
    <w:uiPriority w:val="0"/>
    <w:pPr>
      <w:snapToGrid w:val="0"/>
      <w:jc w:val="left"/>
    </w:pPr>
    <w:rPr>
      <w:sz w:val="18"/>
      <w:szCs w:val="18"/>
    </w:rPr>
  </w:style>
  <w:style w:type="paragraph" w:styleId="55">
    <w:name w:val="toc 6"/>
    <w:basedOn w:val="1"/>
    <w:next w:val="1"/>
    <w:autoRedefine/>
    <w:unhideWhenUsed/>
    <w:qFormat/>
    <w:uiPriority w:val="0"/>
    <w:pPr>
      <w:ind w:left="1050"/>
      <w:jc w:val="left"/>
    </w:pPr>
    <w:rPr>
      <w:rFonts w:ascii="Calibri" w:hAnsi="Calibri" w:cs="Calibri"/>
      <w:sz w:val="20"/>
      <w:szCs w:val="20"/>
    </w:rPr>
  </w:style>
  <w:style w:type="paragraph" w:styleId="56">
    <w:name w:val="List 5"/>
    <w:basedOn w:val="1"/>
    <w:autoRedefine/>
    <w:qFormat/>
    <w:uiPriority w:val="0"/>
    <w:pPr>
      <w:ind w:left="100" w:leftChars="800" w:hanging="200" w:hangingChars="200"/>
    </w:pPr>
    <w:rPr>
      <w:szCs w:val="20"/>
    </w:rPr>
  </w:style>
  <w:style w:type="paragraph" w:styleId="57">
    <w:name w:val="Body Text Indent 3"/>
    <w:basedOn w:val="1"/>
    <w:link w:val="107"/>
    <w:autoRedefine/>
    <w:qFormat/>
    <w:uiPriority w:val="0"/>
    <w:pPr>
      <w:adjustRightInd w:val="0"/>
      <w:snapToGrid w:val="0"/>
      <w:spacing w:line="360" w:lineRule="auto"/>
      <w:ind w:firstLine="480" w:firstLineChars="200"/>
    </w:pPr>
    <w:rPr>
      <w:rFonts w:ascii="宋体" w:hAnsi="宋体"/>
      <w:sz w:val="24"/>
    </w:rPr>
  </w:style>
  <w:style w:type="paragraph" w:styleId="58">
    <w:name w:val="index 7"/>
    <w:basedOn w:val="1"/>
    <w:next w:val="1"/>
    <w:autoRedefine/>
    <w:qFormat/>
    <w:uiPriority w:val="0"/>
    <w:pPr>
      <w:ind w:left="1200" w:leftChars="1200"/>
    </w:pPr>
  </w:style>
  <w:style w:type="paragraph" w:styleId="59">
    <w:name w:val="index 9"/>
    <w:basedOn w:val="1"/>
    <w:next w:val="1"/>
    <w:autoRedefine/>
    <w:qFormat/>
    <w:uiPriority w:val="0"/>
    <w:pPr>
      <w:ind w:left="1600" w:leftChars="1600"/>
    </w:pPr>
  </w:style>
  <w:style w:type="paragraph" w:styleId="60">
    <w:name w:val="table of figures"/>
    <w:basedOn w:val="1"/>
    <w:next w:val="1"/>
    <w:autoRedefine/>
    <w:qFormat/>
    <w:uiPriority w:val="0"/>
    <w:pPr>
      <w:ind w:leftChars="200" w:hanging="200" w:hangingChars="200"/>
    </w:pPr>
  </w:style>
  <w:style w:type="paragraph" w:styleId="61">
    <w:name w:val="toc 2"/>
    <w:basedOn w:val="1"/>
    <w:next w:val="1"/>
    <w:autoRedefine/>
    <w:qFormat/>
    <w:uiPriority w:val="39"/>
    <w:pPr>
      <w:spacing w:before="120"/>
      <w:ind w:left="210"/>
      <w:jc w:val="left"/>
    </w:pPr>
    <w:rPr>
      <w:rFonts w:ascii="Calibri" w:hAnsi="Calibri" w:cs="Calibri"/>
      <w:b/>
      <w:bCs/>
      <w:sz w:val="22"/>
      <w:szCs w:val="22"/>
    </w:rPr>
  </w:style>
  <w:style w:type="paragraph" w:styleId="62">
    <w:name w:val="toc 9"/>
    <w:basedOn w:val="1"/>
    <w:next w:val="1"/>
    <w:autoRedefine/>
    <w:unhideWhenUsed/>
    <w:qFormat/>
    <w:uiPriority w:val="0"/>
    <w:pPr>
      <w:ind w:left="1680"/>
      <w:jc w:val="left"/>
    </w:pPr>
    <w:rPr>
      <w:rFonts w:ascii="Calibri" w:hAnsi="Calibri" w:cs="Calibri"/>
      <w:sz w:val="20"/>
      <w:szCs w:val="20"/>
    </w:rPr>
  </w:style>
  <w:style w:type="paragraph" w:styleId="63">
    <w:name w:val="Body Text 2"/>
    <w:basedOn w:val="1"/>
    <w:autoRedefine/>
    <w:qFormat/>
    <w:uiPriority w:val="0"/>
    <w:pPr>
      <w:spacing w:after="120" w:line="480" w:lineRule="auto"/>
    </w:pPr>
  </w:style>
  <w:style w:type="paragraph" w:styleId="64">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5">
    <w:name w:val="Normal (Web)"/>
    <w:basedOn w:val="1"/>
    <w:link w:val="109"/>
    <w:autoRedefine/>
    <w:qFormat/>
    <w:uiPriority w:val="99"/>
    <w:pPr>
      <w:widowControl/>
      <w:spacing w:before="100" w:beforeAutospacing="1" w:after="100" w:afterAutospacing="1"/>
      <w:jc w:val="left"/>
    </w:pPr>
    <w:rPr>
      <w:rFonts w:ascii="宋体" w:hAnsi="宋体"/>
      <w:color w:val="000000"/>
      <w:kern w:val="0"/>
      <w:sz w:val="24"/>
    </w:rPr>
  </w:style>
  <w:style w:type="paragraph" w:styleId="66">
    <w:name w:val="index 2"/>
    <w:basedOn w:val="1"/>
    <w:next w:val="1"/>
    <w:autoRedefine/>
    <w:qFormat/>
    <w:uiPriority w:val="0"/>
    <w:pPr>
      <w:ind w:left="200" w:leftChars="200"/>
    </w:pPr>
  </w:style>
  <w:style w:type="paragraph" w:styleId="67">
    <w:name w:val="annotation subject"/>
    <w:basedOn w:val="24"/>
    <w:next w:val="24"/>
    <w:autoRedefine/>
    <w:semiHidden/>
    <w:qFormat/>
    <w:uiPriority w:val="0"/>
    <w:rPr>
      <w:b/>
      <w:bCs/>
    </w:rPr>
  </w:style>
  <w:style w:type="paragraph" w:styleId="68">
    <w:name w:val="Body Text First Indent"/>
    <w:basedOn w:val="29"/>
    <w:next w:val="1"/>
    <w:link w:val="110"/>
    <w:autoRedefine/>
    <w:qFormat/>
    <w:uiPriority w:val="0"/>
    <w:pPr>
      <w:widowControl/>
      <w:adjustRightInd/>
      <w:spacing w:before="120" w:after="120"/>
      <w:ind w:firstLine="100" w:firstLineChars="100"/>
      <w:jc w:val="both"/>
    </w:pPr>
    <w:rPr>
      <w:color w:val="000000"/>
    </w:rPr>
  </w:style>
  <w:style w:type="paragraph" w:styleId="69">
    <w:name w:val="Body Text First Indent 2"/>
    <w:basedOn w:val="30"/>
    <w:link w:val="111"/>
    <w:autoRedefine/>
    <w:qFormat/>
    <w:uiPriority w:val="0"/>
    <w:pPr>
      <w:adjustRightInd/>
      <w:spacing w:after="120" w:line="240" w:lineRule="auto"/>
      <w:ind w:left="420" w:leftChars="200" w:firstLine="420" w:firstLineChars="200"/>
      <w:jc w:val="both"/>
    </w:pPr>
    <w:rPr>
      <w:sz w:val="21"/>
      <w:szCs w:val="24"/>
    </w:rPr>
  </w:style>
  <w:style w:type="table" w:styleId="71">
    <w:name w:val="Table Grid"/>
    <w:basedOn w:val="7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7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3"/>
    <w:basedOn w:val="70"/>
    <w:autoRedefine/>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Professional"/>
    <w:basedOn w:val="7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basedOn w:val="75"/>
    <w:autoRedefine/>
    <w:qFormat/>
    <w:uiPriority w:val="0"/>
    <w:rPr>
      <w:b/>
      <w:bCs/>
    </w:rPr>
  </w:style>
  <w:style w:type="character" w:styleId="77">
    <w:name w:val="endnote reference"/>
    <w:autoRedefine/>
    <w:qFormat/>
    <w:uiPriority w:val="0"/>
    <w:rPr>
      <w:vertAlign w:val="superscript"/>
    </w:rPr>
  </w:style>
  <w:style w:type="character" w:styleId="78">
    <w:name w:val="page number"/>
    <w:autoRedefine/>
    <w:qFormat/>
    <w:uiPriority w:val="0"/>
  </w:style>
  <w:style w:type="character" w:styleId="79">
    <w:name w:val="FollowedHyperlink"/>
    <w:autoRedefine/>
    <w:qFormat/>
    <w:uiPriority w:val="99"/>
    <w:rPr>
      <w:color w:val="800080"/>
      <w:u w:val="single"/>
    </w:rPr>
  </w:style>
  <w:style w:type="character" w:styleId="80">
    <w:name w:val="Emphasis"/>
    <w:autoRedefine/>
    <w:qFormat/>
    <w:uiPriority w:val="0"/>
    <w:rPr>
      <w:i/>
      <w:iCs/>
    </w:rPr>
  </w:style>
  <w:style w:type="character" w:styleId="81">
    <w:name w:val="Hyperlink"/>
    <w:autoRedefine/>
    <w:qFormat/>
    <w:uiPriority w:val="99"/>
    <w:rPr>
      <w:color w:val="0000FF"/>
      <w:u w:val="single"/>
    </w:rPr>
  </w:style>
  <w:style w:type="character" w:styleId="82">
    <w:name w:val="annotation reference"/>
    <w:autoRedefine/>
    <w:semiHidden/>
    <w:qFormat/>
    <w:uiPriority w:val="0"/>
    <w:rPr>
      <w:sz w:val="21"/>
      <w:szCs w:val="21"/>
    </w:rPr>
  </w:style>
  <w:style w:type="character" w:styleId="83">
    <w:name w:val="footnote reference"/>
    <w:autoRedefine/>
    <w:qFormat/>
    <w:uiPriority w:val="0"/>
    <w:rPr>
      <w:vertAlign w:val="superscript"/>
    </w:rPr>
  </w:style>
  <w:style w:type="character" w:styleId="84">
    <w:name w:val="HTML Sample"/>
    <w:basedOn w:val="75"/>
    <w:autoRedefine/>
    <w:qFormat/>
    <w:uiPriority w:val="0"/>
    <w:rPr>
      <w:rFonts w:ascii="Courier New" w:hAnsi="Courier New"/>
    </w:rPr>
  </w:style>
  <w:style w:type="character" w:customStyle="1" w:styleId="85">
    <w:name w:val="标题 2 Char1"/>
    <w:link w:val="4"/>
    <w:autoRedefine/>
    <w:qFormat/>
    <w:uiPriority w:val="0"/>
    <w:rPr>
      <w:rFonts w:ascii="宋体" w:hAnsi="宋体" w:eastAsia="宋体"/>
      <w:b/>
      <w:kern w:val="2"/>
      <w:sz w:val="30"/>
      <w:szCs w:val="30"/>
      <w:lang w:val="en-US" w:eastAsia="zh-CN" w:bidi="ar-SA"/>
    </w:rPr>
  </w:style>
  <w:style w:type="character" w:customStyle="1" w:styleId="86">
    <w:name w:val="宏文本 Char"/>
    <w:link w:val="2"/>
    <w:autoRedefine/>
    <w:qFormat/>
    <w:uiPriority w:val="0"/>
    <w:rPr>
      <w:rFonts w:ascii="Courier New" w:hAnsi="Courier New" w:cs="Courier New"/>
      <w:kern w:val="2"/>
      <w:sz w:val="24"/>
      <w:szCs w:val="24"/>
      <w:lang w:val="en-US" w:eastAsia="zh-CN" w:bidi="ar-SA"/>
    </w:rPr>
  </w:style>
  <w:style w:type="character" w:customStyle="1" w:styleId="87">
    <w:name w:val="标题 1 Char"/>
    <w:link w:val="3"/>
    <w:autoRedefine/>
    <w:qFormat/>
    <w:uiPriority w:val="0"/>
    <w:rPr>
      <w:rFonts w:eastAsia="宋体"/>
      <w:b/>
      <w:bCs/>
      <w:kern w:val="44"/>
      <w:sz w:val="30"/>
      <w:szCs w:val="44"/>
      <w:lang w:val="en-US" w:eastAsia="zh-CN" w:bidi="ar-SA"/>
    </w:rPr>
  </w:style>
  <w:style w:type="character" w:customStyle="1" w:styleId="88">
    <w:name w:val="标题 3 Char1"/>
    <w:link w:val="5"/>
    <w:autoRedefine/>
    <w:qFormat/>
    <w:uiPriority w:val="0"/>
    <w:rPr>
      <w:rFonts w:eastAsia="宋体"/>
      <w:b/>
      <w:bCs/>
      <w:kern w:val="2"/>
      <w:sz w:val="32"/>
      <w:szCs w:val="32"/>
      <w:lang w:val="en-US" w:eastAsia="zh-CN" w:bidi="ar-SA"/>
    </w:rPr>
  </w:style>
  <w:style w:type="character" w:customStyle="1" w:styleId="89">
    <w:name w:val="标题 4 Char"/>
    <w:link w:val="6"/>
    <w:autoRedefine/>
    <w:qFormat/>
    <w:uiPriority w:val="0"/>
    <w:rPr>
      <w:rFonts w:ascii="宋体" w:hAnsi="宋体" w:eastAsia="宋体"/>
      <w:b/>
      <w:color w:val="000000"/>
      <w:spacing w:val="10"/>
      <w:kern w:val="24"/>
      <w:sz w:val="24"/>
      <w:szCs w:val="32"/>
      <w:lang w:val="en-US" w:eastAsia="zh-CN" w:bidi="ar-SA"/>
    </w:rPr>
  </w:style>
  <w:style w:type="character" w:customStyle="1" w:styleId="90">
    <w:name w:val="标题 5 Char"/>
    <w:link w:val="7"/>
    <w:autoRedefine/>
    <w:qFormat/>
    <w:uiPriority w:val="0"/>
    <w:rPr>
      <w:rFonts w:eastAsia="黑体"/>
      <w:b/>
      <w:sz w:val="28"/>
      <w:lang w:val="en-US" w:eastAsia="zh-CN" w:bidi="ar-SA"/>
    </w:rPr>
  </w:style>
  <w:style w:type="character" w:customStyle="1" w:styleId="91">
    <w:name w:val="标题 6 Char"/>
    <w:link w:val="8"/>
    <w:autoRedefine/>
    <w:qFormat/>
    <w:uiPriority w:val="0"/>
    <w:rPr>
      <w:rFonts w:ascii="Arial" w:hAnsi="Arial" w:eastAsia="黑体"/>
      <w:b/>
      <w:bCs/>
      <w:spacing w:val="6"/>
      <w:kern w:val="2"/>
      <w:sz w:val="24"/>
      <w:szCs w:val="24"/>
      <w:lang w:bidi="ar-SA"/>
    </w:rPr>
  </w:style>
  <w:style w:type="character" w:customStyle="1" w:styleId="92">
    <w:name w:val="正文缩进 Char"/>
    <w:link w:val="10"/>
    <w:autoRedefine/>
    <w:qFormat/>
    <w:uiPriority w:val="0"/>
    <w:rPr>
      <w:rFonts w:eastAsia="宋体"/>
      <w:spacing w:val="14"/>
      <w:kern w:val="24"/>
      <w:sz w:val="24"/>
      <w:lang w:val="en-US" w:eastAsia="zh-CN" w:bidi="ar-SA"/>
    </w:rPr>
  </w:style>
  <w:style w:type="character" w:customStyle="1" w:styleId="93">
    <w:name w:val="标题 7 Char"/>
    <w:link w:val="9"/>
    <w:autoRedefine/>
    <w:qFormat/>
    <w:uiPriority w:val="0"/>
    <w:rPr>
      <w:rFonts w:eastAsia="宋体"/>
      <w:b/>
      <w:bCs/>
      <w:spacing w:val="6"/>
      <w:kern w:val="2"/>
      <w:sz w:val="24"/>
      <w:szCs w:val="24"/>
      <w:lang w:bidi="ar-SA"/>
    </w:rPr>
  </w:style>
  <w:style w:type="character" w:customStyle="1" w:styleId="94">
    <w:name w:val="标题 8 Char"/>
    <w:link w:val="11"/>
    <w:autoRedefine/>
    <w:qFormat/>
    <w:uiPriority w:val="0"/>
    <w:rPr>
      <w:rFonts w:ascii="Arial" w:hAnsi="Arial" w:eastAsia="黑体"/>
      <w:spacing w:val="6"/>
      <w:kern w:val="2"/>
      <w:sz w:val="24"/>
      <w:szCs w:val="24"/>
      <w:lang w:bidi="ar-SA"/>
    </w:rPr>
  </w:style>
  <w:style w:type="character" w:customStyle="1" w:styleId="95">
    <w:name w:val="标题 9 Char"/>
    <w:link w:val="12"/>
    <w:autoRedefine/>
    <w:qFormat/>
    <w:uiPriority w:val="0"/>
    <w:rPr>
      <w:rFonts w:ascii="Arial" w:hAnsi="Arial" w:eastAsia="黑体"/>
      <w:spacing w:val="6"/>
      <w:kern w:val="2"/>
      <w:sz w:val="24"/>
      <w:szCs w:val="24"/>
      <w:lang w:bidi="ar-SA"/>
    </w:rPr>
  </w:style>
  <w:style w:type="character" w:customStyle="1" w:styleId="96">
    <w:name w:val="文档结构图 Char1"/>
    <w:link w:val="22"/>
    <w:autoRedefine/>
    <w:semiHidden/>
    <w:qFormat/>
    <w:locked/>
    <w:uiPriority w:val="0"/>
    <w:rPr>
      <w:rFonts w:eastAsia="宋体"/>
      <w:kern w:val="2"/>
      <w:sz w:val="21"/>
      <w:szCs w:val="24"/>
      <w:lang w:val="en-US" w:eastAsia="zh-CN" w:bidi="ar-SA"/>
    </w:rPr>
  </w:style>
  <w:style w:type="character" w:customStyle="1" w:styleId="97">
    <w:name w:val="批注文字 Char"/>
    <w:link w:val="24"/>
    <w:autoRedefine/>
    <w:qFormat/>
    <w:uiPriority w:val="0"/>
    <w:rPr>
      <w:rFonts w:eastAsia="宋体"/>
      <w:kern w:val="2"/>
      <w:sz w:val="21"/>
      <w:szCs w:val="24"/>
      <w:lang w:val="en-US" w:eastAsia="zh-CN" w:bidi="ar-SA"/>
    </w:rPr>
  </w:style>
  <w:style w:type="character" w:customStyle="1" w:styleId="98">
    <w:name w:val="正文文本 3 Char"/>
    <w:link w:val="27"/>
    <w:autoRedefine/>
    <w:qFormat/>
    <w:uiPriority w:val="0"/>
    <w:rPr>
      <w:rFonts w:eastAsia="宋体"/>
      <w:kern w:val="2"/>
      <w:sz w:val="18"/>
      <w:szCs w:val="24"/>
      <w:lang w:val="en-US" w:eastAsia="zh-CN" w:bidi="ar-SA"/>
    </w:rPr>
  </w:style>
  <w:style w:type="character" w:customStyle="1" w:styleId="99">
    <w:name w:val="正文文本 Char1"/>
    <w:link w:val="29"/>
    <w:autoRedefine/>
    <w:semiHidden/>
    <w:qFormat/>
    <w:uiPriority w:val="0"/>
    <w:rPr>
      <w:rFonts w:ascii="宋体" w:hAnsi="宋体" w:eastAsia="宋体"/>
      <w:kern w:val="2"/>
      <w:sz w:val="24"/>
      <w:lang w:val="en-US" w:eastAsia="zh-CN" w:bidi="ar-SA"/>
    </w:rPr>
  </w:style>
  <w:style w:type="character" w:customStyle="1" w:styleId="100">
    <w:name w:val="正文文本缩进 Char2"/>
    <w:link w:val="30"/>
    <w:autoRedefine/>
    <w:semiHidden/>
    <w:qFormat/>
    <w:uiPriority w:val="0"/>
    <w:rPr>
      <w:rFonts w:ascii="宋体" w:hAnsi="宋体" w:eastAsia="宋体"/>
      <w:kern w:val="2"/>
      <w:sz w:val="24"/>
      <w:lang w:val="en-US" w:eastAsia="zh-CN" w:bidi="ar-SA"/>
    </w:rPr>
  </w:style>
  <w:style w:type="character" w:customStyle="1" w:styleId="101">
    <w:name w:val="纯文本 Char4"/>
    <w:link w:val="38"/>
    <w:autoRedefine/>
    <w:qFormat/>
    <w:uiPriority w:val="99"/>
    <w:rPr>
      <w:rFonts w:ascii="宋体" w:hAnsi="Courier New" w:eastAsia="宋体" w:cs="Courier New"/>
      <w:kern w:val="2"/>
      <w:sz w:val="21"/>
      <w:szCs w:val="21"/>
      <w:lang w:val="en-US" w:eastAsia="zh-CN" w:bidi="ar-SA"/>
    </w:rPr>
  </w:style>
  <w:style w:type="character" w:customStyle="1" w:styleId="102">
    <w:name w:val="日期 Char"/>
    <w:link w:val="42"/>
    <w:autoRedefine/>
    <w:qFormat/>
    <w:uiPriority w:val="0"/>
    <w:rPr>
      <w:rFonts w:ascii="宋体" w:hAnsi="宋体" w:eastAsia="宋体"/>
      <w:kern w:val="2"/>
      <w:sz w:val="24"/>
      <w:szCs w:val="24"/>
      <w:lang w:val="en-US" w:eastAsia="zh-CN" w:bidi="ar-SA"/>
    </w:rPr>
  </w:style>
  <w:style w:type="character" w:customStyle="1" w:styleId="103">
    <w:name w:val="正文文本缩进 2 Char"/>
    <w:link w:val="43"/>
    <w:autoRedefine/>
    <w:qFormat/>
    <w:locked/>
    <w:uiPriority w:val="0"/>
    <w:rPr>
      <w:rFonts w:ascii="宋体" w:hAnsi="宋体" w:eastAsia="宋体"/>
      <w:kern w:val="2"/>
      <w:sz w:val="24"/>
      <w:lang w:val="en-US" w:eastAsia="zh-CN" w:bidi="ar-SA"/>
    </w:rPr>
  </w:style>
  <w:style w:type="character" w:customStyle="1" w:styleId="104">
    <w:name w:val="批注框文本 Char1"/>
    <w:link w:val="45"/>
    <w:autoRedefine/>
    <w:qFormat/>
    <w:uiPriority w:val="0"/>
    <w:rPr>
      <w:rFonts w:eastAsia="宋体"/>
      <w:kern w:val="2"/>
      <w:sz w:val="18"/>
      <w:szCs w:val="18"/>
      <w:lang w:val="en-US" w:eastAsia="zh-CN" w:bidi="ar-SA"/>
    </w:rPr>
  </w:style>
  <w:style w:type="character" w:customStyle="1" w:styleId="105">
    <w:name w:val="页脚 Char1"/>
    <w:link w:val="46"/>
    <w:autoRedefine/>
    <w:qFormat/>
    <w:uiPriority w:val="0"/>
    <w:rPr>
      <w:rFonts w:eastAsia="宋体"/>
      <w:kern w:val="2"/>
      <w:sz w:val="18"/>
      <w:lang w:val="en-US" w:eastAsia="zh-CN" w:bidi="ar-SA"/>
    </w:rPr>
  </w:style>
  <w:style w:type="character" w:customStyle="1" w:styleId="106">
    <w:name w:val="页眉 Char1"/>
    <w:link w:val="48"/>
    <w:autoRedefine/>
    <w:qFormat/>
    <w:uiPriority w:val="0"/>
    <w:rPr>
      <w:rFonts w:eastAsia="宋体"/>
      <w:kern w:val="2"/>
      <w:sz w:val="18"/>
      <w:lang w:val="en-US" w:eastAsia="zh-CN" w:bidi="ar-SA"/>
    </w:rPr>
  </w:style>
  <w:style w:type="character" w:customStyle="1" w:styleId="107">
    <w:name w:val="正文文本缩进 3 Char"/>
    <w:link w:val="57"/>
    <w:autoRedefine/>
    <w:qFormat/>
    <w:locked/>
    <w:uiPriority w:val="0"/>
    <w:rPr>
      <w:rFonts w:ascii="宋体" w:hAnsi="宋体" w:eastAsia="宋体"/>
      <w:kern w:val="2"/>
      <w:sz w:val="24"/>
      <w:szCs w:val="24"/>
      <w:lang w:val="en-US" w:eastAsia="zh-CN" w:bidi="ar-SA"/>
    </w:rPr>
  </w:style>
  <w:style w:type="character" w:customStyle="1" w:styleId="108">
    <w:name w:val="HTML 预设格式 Char"/>
    <w:link w:val="64"/>
    <w:autoRedefine/>
    <w:qFormat/>
    <w:locked/>
    <w:uiPriority w:val="0"/>
    <w:rPr>
      <w:rFonts w:ascii="宋体" w:hAnsi="宋体" w:eastAsia="宋体" w:cs="宋体"/>
      <w:sz w:val="24"/>
      <w:szCs w:val="24"/>
      <w:lang w:val="en-US" w:eastAsia="zh-CN" w:bidi="ar-SA"/>
    </w:rPr>
  </w:style>
  <w:style w:type="character" w:customStyle="1" w:styleId="109">
    <w:name w:val="普通(网站) Char"/>
    <w:link w:val="65"/>
    <w:autoRedefine/>
    <w:qFormat/>
    <w:uiPriority w:val="99"/>
    <w:rPr>
      <w:rFonts w:ascii="宋体" w:hAnsi="宋体"/>
      <w:color w:val="000000"/>
      <w:sz w:val="24"/>
      <w:szCs w:val="24"/>
    </w:rPr>
  </w:style>
  <w:style w:type="character" w:customStyle="1" w:styleId="110">
    <w:name w:val="正文首行缩进 Char"/>
    <w:link w:val="68"/>
    <w:autoRedefine/>
    <w:qFormat/>
    <w:uiPriority w:val="0"/>
    <w:rPr>
      <w:rFonts w:ascii="宋体" w:hAnsi="宋体" w:eastAsia="宋体"/>
      <w:color w:val="000000"/>
      <w:kern w:val="2"/>
      <w:sz w:val="24"/>
      <w:lang w:val="en-US" w:eastAsia="zh-CN" w:bidi="ar-SA"/>
    </w:rPr>
  </w:style>
  <w:style w:type="character" w:customStyle="1" w:styleId="111">
    <w:name w:val="正文首行缩进 2 Char"/>
    <w:link w:val="69"/>
    <w:autoRedefine/>
    <w:qFormat/>
    <w:uiPriority w:val="0"/>
    <w:rPr>
      <w:rFonts w:ascii="宋体" w:hAnsi="宋体" w:eastAsia="宋体"/>
      <w:kern w:val="2"/>
      <w:sz w:val="21"/>
      <w:szCs w:val="24"/>
      <w:lang w:val="en-US" w:eastAsia="zh-CN" w:bidi="ar-SA"/>
    </w:rPr>
  </w:style>
  <w:style w:type="paragraph" w:customStyle="1" w:styleId="112">
    <w:name w:val="正文空2字"/>
    <w:basedOn w:val="11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3">
    <w:name w:val="左对齐正文"/>
    <w:autoRedefine/>
    <w:qFormat/>
    <w:uiPriority w:val="99"/>
    <w:rPr>
      <w:rFonts w:ascii="Calibri" w:hAnsi="Calibri" w:eastAsia="仿宋_GB2312" w:cs="Calibri"/>
      <w:kern w:val="2"/>
      <w:sz w:val="32"/>
      <w:szCs w:val="32"/>
      <w:lang w:val="en-US" w:eastAsia="zh-CN" w:bidi="ar-SA"/>
    </w:rPr>
  </w:style>
  <w:style w:type="paragraph" w:customStyle="1" w:styleId="114">
    <w:name w:val="Body Text First Indent 21"/>
    <w:basedOn w:val="115"/>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15">
    <w:name w:val="Body Text Indent1"/>
    <w:basedOn w:val="1"/>
    <w:next w:val="1"/>
    <w:autoRedefine/>
    <w:qFormat/>
    <w:uiPriority w:val="0"/>
    <w:pPr>
      <w:spacing w:after="120" w:afterLines="0"/>
      <w:ind w:left="420" w:leftChars="200"/>
    </w:pPr>
    <w:rPr>
      <w:color w:val="000000"/>
      <w:sz w:val="21"/>
      <w:szCs w:val="21"/>
    </w:rPr>
  </w:style>
  <w:style w:type="character" w:customStyle="1" w:styleId="116">
    <w:name w:val="md"/>
    <w:autoRedefine/>
    <w:qFormat/>
    <w:uiPriority w:val="0"/>
  </w:style>
  <w:style w:type="character" w:customStyle="1" w:styleId="117">
    <w:name w:val="样式1 Char Char"/>
    <w:link w:val="118"/>
    <w:autoRedefine/>
    <w:qFormat/>
    <w:uiPriority w:val="0"/>
    <w:rPr>
      <w:rFonts w:ascii="Calibri" w:hAnsi="Calibri" w:eastAsia="宋体"/>
      <w:b/>
      <w:bCs/>
      <w:kern w:val="2"/>
      <w:sz w:val="24"/>
      <w:szCs w:val="32"/>
      <w:lang w:val="en-US" w:eastAsia="zh-CN" w:bidi="ar-SA"/>
    </w:rPr>
  </w:style>
  <w:style w:type="paragraph" w:customStyle="1" w:styleId="118">
    <w:name w:val="样式1"/>
    <w:basedOn w:val="5"/>
    <w:link w:val="117"/>
    <w:autoRedefine/>
    <w:qFormat/>
    <w:uiPriority w:val="0"/>
    <w:pPr>
      <w:spacing w:before="0" w:after="0" w:line="360" w:lineRule="auto"/>
    </w:pPr>
    <w:rPr>
      <w:sz w:val="24"/>
    </w:rPr>
  </w:style>
  <w:style w:type="character" w:customStyle="1" w:styleId="119">
    <w:name w:val="一级标题 Char1"/>
    <w:autoRedefine/>
    <w:qFormat/>
    <w:uiPriority w:val="0"/>
    <w:rPr>
      <w:rFonts w:eastAsia="宋体"/>
      <w:b/>
      <w:bCs/>
      <w:kern w:val="44"/>
      <w:sz w:val="30"/>
      <w:szCs w:val="44"/>
      <w:lang w:val="en-US" w:eastAsia="zh-CN" w:bidi="ar-SA"/>
    </w:rPr>
  </w:style>
  <w:style w:type="character" w:customStyle="1" w:styleId="120">
    <w:name w:val="标题 3 Char"/>
    <w:autoRedefine/>
    <w:qFormat/>
    <w:uiPriority w:val="0"/>
    <w:rPr>
      <w:b/>
      <w:bCs/>
      <w:kern w:val="2"/>
      <w:sz w:val="32"/>
      <w:szCs w:val="32"/>
    </w:rPr>
  </w:style>
  <w:style w:type="character" w:customStyle="1" w:styleId="121">
    <w:name w:val=" Char Char24"/>
    <w:autoRedefine/>
    <w:qFormat/>
    <w:uiPriority w:val="0"/>
    <w:rPr>
      <w:rFonts w:ascii="Arial" w:hAnsi="Arial" w:eastAsia="黑体"/>
      <w:b/>
      <w:bCs/>
      <w:spacing w:val="6"/>
      <w:kern w:val="2"/>
      <w:sz w:val="24"/>
      <w:szCs w:val="24"/>
      <w:lang w:val="en-US" w:eastAsia="zh-CN" w:bidi="ar-SA"/>
    </w:rPr>
  </w:style>
  <w:style w:type="character" w:customStyle="1" w:styleId="122">
    <w:name w:val="h Char Char"/>
    <w:autoRedefine/>
    <w:qFormat/>
    <w:locked/>
    <w:uiPriority w:val="0"/>
    <w:rPr>
      <w:rFonts w:eastAsia="宋体"/>
      <w:kern w:val="2"/>
      <w:sz w:val="18"/>
      <w:szCs w:val="18"/>
      <w:lang w:val="en-US" w:eastAsia="zh-CN" w:bidi="ar-SA"/>
    </w:rPr>
  </w:style>
  <w:style w:type="character" w:customStyle="1" w:styleId="123">
    <w:name w:val="paragraph1 Char Char"/>
    <w:link w:val="124"/>
    <w:autoRedefine/>
    <w:qFormat/>
    <w:uiPriority w:val="0"/>
    <w:rPr>
      <w:rFonts w:ascii="Arial" w:hAnsi="Arial" w:eastAsia="宋体"/>
      <w:kern w:val="2"/>
      <w:sz w:val="24"/>
      <w:szCs w:val="24"/>
      <w:lang w:val="en-US" w:eastAsia="zh-CN" w:bidi="ar-SA"/>
    </w:rPr>
  </w:style>
  <w:style w:type="paragraph" w:customStyle="1" w:styleId="124">
    <w:name w:val="paragraph1"/>
    <w:basedOn w:val="1"/>
    <w:link w:val="123"/>
    <w:autoRedefine/>
    <w:qFormat/>
    <w:uiPriority w:val="0"/>
    <w:pPr>
      <w:spacing w:after="93" w:afterLines="30" w:line="360" w:lineRule="auto"/>
      <w:ind w:firstLine="480" w:firstLineChars="200"/>
    </w:pPr>
    <w:rPr>
      <w:rFonts w:ascii="Arial" w:hAnsi="Arial"/>
      <w:sz w:val="24"/>
    </w:rPr>
  </w:style>
  <w:style w:type="character" w:customStyle="1" w:styleId="125">
    <w:name w:val="20line1"/>
    <w:autoRedefine/>
    <w:qFormat/>
    <w:uiPriority w:val="0"/>
    <w:rPr>
      <w:rFonts w:cs="Times New Roman"/>
    </w:rPr>
  </w:style>
  <w:style w:type="character" w:customStyle="1" w:styleId="126">
    <w:name w:val="Char Char1"/>
    <w:autoRedefine/>
    <w:qFormat/>
    <w:uiPriority w:val="0"/>
    <w:rPr>
      <w:rFonts w:ascii="宋体" w:hAnsi="Courier New" w:eastAsia="仿宋_GB2312" w:cs="Times New Roman"/>
      <w:kern w:val="2"/>
      <w:sz w:val="30"/>
      <w:lang w:val="en-US" w:eastAsia="zh-CN"/>
    </w:rPr>
  </w:style>
  <w:style w:type="character" w:customStyle="1" w:styleId="127">
    <w:name w:val="apple-converted-space"/>
    <w:autoRedefine/>
    <w:qFormat/>
    <w:uiPriority w:val="0"/>
  </w:style>
  <w:style w:type="character" w:customStyle="1" w:styleId="128">
    <w:name w:val=" Char Char11"/>
    <w:autoRedefine/>
    <w:qFormat/>
    <w:uiPriority w:val="0"/>
    <w:rPr>
      <w:rFonts w:ascii="宋体" w:hAnsi="宋体"/>
      <w:kern w:val="2"/>
      <w:sz w:val="24"/>
      <w:szCs w:val="24"/>
    </w:rPr>
  </w:style>
  <w:style w:type="character" w:customStyle="1" w:styleId="129">
    <w:name w:val="zbggmain style9"/>
    <w:autoRedefine/>
    <w:qFormat/>
    <w:uiPriority w:val="0"/>
  </w:style>
  <w:style w:type="character" w:customStyle="1" w:styleId="130">
    <w:name w:val="bookmark-item"/>
    <w:autoRedefine/>
    <w:qFormat/>
    <w:uiPriority w:val="0"/>
  </w:style>
  <w:style w:type="character" w:customStyle="1" w:styleId="131">
    <w:name w:val=" Char Char17"/>
    <w:autoRedefine/>
    <w:qFormat/>
    <w:uiPriority w:val="0"/>
    <w:rPr>
      <w:rFonts w:eastAsia="宋体"/>
      <w:bCs/>
      <w:color w:val="000000"/>
      <w:kern w:val="2"/>
      <w:sz w:val="32"/>
      <w:szCs w:val="28"/>
      <w:lang w:val="en-US" w:eastAsia="zh-CN" w:bidi="ar-SA"/>
    </w:rPr>
  </w:style>
  <w:style w:type="character" w:customStyle="1" w:styleId="132">
    <w:name w:val="b11_01b Char"/>
    <w:link w:val="133"/>
    <w:autoRedefine/>
    <w:qFormat/>
    <w:uiPriority w:val="0"/>
    <w:rPr>
      <w:rFonts w:ascii="Verdana" w:hAnsi="Verdana" w:eastAsia="宋体"/>
      <w:b/>
      <w:bCs/>
      <w:color w:val="4A82CA"/>
      <w:sz w:val="17"/>
      <w:szCs w:val="17"/>
      <w:lang w:val="en-US" w:eastAsia="zh-CN" w:bidi="ar-SA"/>
    </w:rPr>
  </w:style>
  <w:style w:type="paragraph" w:customStyle="1" w:styleId="133">
    <w:name w:val="b11_01b"/>
    <w:basedOn w:val="1"/>
    <w:next w:val="1"/>
    <w:link w:val="132"/>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4">
    <w:name w:val=" Char Char13"/>
    <w:autoRedefine/>
    <w:qFormat/>
    <w:uiPriority w:val="0"/>
    <w:rPr>
      <w:rFonts w:ascii="Arial" w:hAnsi="Arial" w:eastAsia="宋体"/>
      <w:color w:val="000000"/>
      <w:kern w:val="2"/>
      <w:sz w:val="32"/>
      <w:szCs w:val="21"/>
      <w:lang w:val="en-US" w:eastAsia="zh-CN" w:bidi="ar-SA"/>
    </w:rPr>
  </w:style>
  <w:style w:type="character" w:customStyle="1" w:styleId="135">
    <w:name w:val=" Char Char10"/>
    <w:autoRedefine/>
    <w:qFormat/>
    <w:uiPriority w:val="0"/>
    <w:rPr>
      <w:rFonts w:ascii="宋体" w:hAnsi="宋体" w:eastAsia="宋体"/>
      <w:kern w:val="2"/>
      <w:sz w:val="24"/>
      <w:lang w:val="en-US" w:eastAsia="zh-CN" w:bidi="ar-SA"/>
    </w:rPr>
  </w:style>
  <w:style w:type="character" w:customStyle="1" w:styleId="136">
    <w:name w:val="标题4 Char"/>
    <w:link w:val="137"/>
    <w:autoRedefine/>
    <w:qFormat/>
    <w:uiPriority w:val="0"/>
    <w:rPr>
      <w:rFonts w:ascii="Cambria" w:hAnsi="Cambria" w:eastAsia="宋体"/>
      <w:b/>
      <w:bCs/>
      <w:color w:val="000000"/>
      <w:kern w:val="2"/>
      <w:sz w:val="21"/>
      <w:szCs w:val="21"/>
      <w:lang w:val="en-US" w:eastAsia="zh-CN" w:bidi="ar-SA"/>
    </w:rPr>
  </w:style>
  <w:style w:type="paragraph" w:customStyle="1" w:styleId="137">
    <w:name w:val="标题4"/>
    <w:basedOn w:val="6"/>
    <w:link w:val="136"/>
    <w:autoRedefine/>
    <w:qFormat/>
    <w:uiPriority w:val="0"/>
    <w:pPr>
      <w:spacing w:before="280" w:after="290" w:line="376" w:lineRule="atLeast"/>
      <w:ind w:firstLine="422" w:firstLineChars="200"/>
      <w:jc w:val="both"/>
    </w:pPr>
    <w:rPr>
      <w:rFonts w:ascii="Cambria" w:hAnsi="Cambria"/>
      <w:bCs w:val="0"/>
      <w:spacing w:val="0"/>
      <w:kern w:val="2"/>
      <w:sz w:val="21"/>
      <w:szCs w:val="21"/>
    </w:rPr>
  </w:style>
  <w:style w:type="character" w:customStyle="1" w:styleId="138">
    <w:name w:val="招标-主标题 字符"/>
    <w:link w:val="139"/>
    <w:autoRedefine/>
    <w:qFormat/>
    <w:uiPriority w:val="0"/>
    <w:rPr>
      <w:rFonts w:ascii="宋体" w:hAnsi="宋体"/>
      <w:b/>
      <w:sz w:val="32"/>
    </w:rPr>
  </w:style>
  <w:style w:type="paragraph" w:customStyle="1" w:styleId="139">
    <w:name w:val="招标-主标题"/>
    <w:basedOn w:val="1"/>
    <w:link w:val="138"/>
    <w:autoRedefine/>
    <w:qFormat/>
    <w:uiPriority w:val="0"/>
    <w:pPr>
      <w:tabs>
        <w:tab w:val="left" w:pos="1620"/>
        <w:tab w:val="left" w:pos="1800"/>
        <w:tab w:val="left" w:pos="1980"/>
      </w:tabs>
      <w:spacing w:line="768" w:lineRule="auto"/>
      <w:jc w:val="center"/>
    </w:pPr>
    <w:rPr>
      <w:rFonts w:ascii="宋体" w:hAnsi="宋体"/>
      <w:b/>
      <w:kern w:val="0"/>
      <w:sz w:val="32"/>
      <w:szCs w:val="20"/>
    </w:rPr>
  </w:style>
  <w:style w:type="character" w:customStyle="1" w:styleId="140">
    <w:name w:val=" Char Char9"/>
    <w:autoRedefine/>
    <w:qFormat/>
    <w:uiPriority w:val="0"/>
    <w:rPr>
      <w:rFonts w:ascii="Arial" w:hAnsi="Arial" w:eastAsia="黑体"/>
      <w:b/>
      <w:bCs/>
      <w:spacing w:val="6"/>
      <w:kern w:val="2"/>
      <w:sz w:val="24"/>
      <w:szCs w:val="24"/>
      <w:lang w:val="en-US" w:eastAsia="zh-CN" w:bidi="ar-SA"/>
    </w:rPr>
  </w:style>
  <w:style w:type="character" w:customStyle="1" w:styleId="141">
    <w:name w:val="页眉 Char"/>
    <w:autoRedefine/>
    <w:qFormat/>
    <w:uiPriority w:val="0"/>
    <w:rPr>
      <w:kern w:val="2"/>
      <w:sz w:val="18"/>
      <w:szCs w:val="18"/>
    </w:rPr>
  </w:style>
  <w:style w:type="character" w:customStyle="1" w:styleId="142">
    <w:name w:val="font01"/>
    <w:autoRedefine/>
    <w:qFormat/>
    <w:uiPriority w:val="0"/>
    <w:rPr>
      <w:rFonts w:hint="eastAsia" w:ascii="宋体" w:hAnsi="宋体" w:eastAsia="宋体" w:cs="宋体"/>
      <w:color w:val="FF0000"/>
      <w:sz w:val="21"/>
      <w:szCs w:val="21"/>
      <w:u w:val="none"/>
    </w:rPr>
  </w:style>
  <w:style w:type="character" w:customStyle="1" w:styleId="143">
    <w:name w:val="纯文本 字符"/>
    <w:autoRedefine/>
    <w:qFormat/>
    <w:uiPriority w:val="0"/>
    <w:rPr>
      <w:rFonts w:ascii="宋体" w:hAnsi="Courier New" w:eastAsia="宋体" w:cs="Times New Roman"/>
      <w:kern w:val="2"/>
      <w:sz w:val="21"/>
      <w:lang w:val="en-US" w:eastAsia="zh-CN" w:bidi="ar-SA"/>
    </w:rPr>
  </w:style>
  <w:style w:type="character" w:customStyle="1" w:styleId="144">
    <w:name w:val="ca-01"/>
    <w:autoRedefine/>
    <w:qFormat/>
    <w:uiPriority w:val="0"/>
    <w:rPr>
      <w:rFonts w:hint="eastAsia" w:ascii="宋体" w:hAnsi="宋体" w:eastAsia="宋体"/>
      <w:sz w:val="28"/>
      <w:szCs w:val="28"/>
    </w:rPr>
  </w:style>
  <w:style w:type="character" w:customStyle="1" w:styleId="145">
    <w:name w:val="纯文本 Char1"/>
    <w:link w:val="146"/>
    <w:autoRedefine/>
    <w:qFormat/>
    <w:uiPriority w:val="0"/>
    <w:rPr>
      <w:rFonts w:ascii="Century Gothic" w:hAnsi="楷体_GB2312" w:eastAsia="Century Gothic" w:cs="楷体_GB2312"/>
      <w:kern w:val="2"/>
      <w:sz w:val="21"/>
      <w:szCs w:val="21"/>
      <w:lang w:val="en-US" w:eastAsia="zh-CN" w:bidi="ar-SA"/>
    </w:rPr>
  </w:style>
  <w:style w:type="paragraph" w:customStyle="1" w:styleId="146">
    <w:name w:val="纯文本1"/>
    <w:basedOn w:val="147"/>
    <w:link w:val="145"/>
    <w:autoRedefine/>
    <w:qFormat/>
    <w:uiPriority w:val="0"/>
    <w:rPr>
      <w:rFonts w:ascii="Century Gothic" w:hAnsi="楷体_GB2312" w:eastAsia="Century Gothic" w:cs="楷体_GB2312"/>
      <w:szCs w:val="21"/>
    </w:rPr>
  </w:style>
  <w:style w:type="paragraph" w:customStyle="1" w:styleId="147">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48">
    <w:name w:val="Char Char Char"/>
    <w:autoRedefine/>
    <w:qFormat/>
    <w:uiPriority w:val="0"/>
    <w:rPr>
      <w:rFonts w:eastAsia="宋体" w:cs="Times New Roman"/>
      <w:kern w:val="2"/>
      <w:sz w:val="28"/>
      <w:lang w:val="en-US" w:eastAsia="zh-CN"/>
    </w:rPr>
  </w:style>
  <w:style w:type="character" w:customStyle="1" w:styleId="149">
    <w:name w:val="number1 Char Char"/>
    <w:link w:val="150"/>
    <w:autoRedefine/>
    <w:qFormat/>
    <w:uiPriority w:val="0"/>
    <w:rPr>
      <w:rFonts w:eastAsia="宋体"/>
      <w:kern w:val="2"/>
      <w:sz w:val="24"/>
      <w:szCs w:val="24"/>
      <w:lang w:val="en-US" w:eastAsia="zh-CN" w:bidi="ar-SA"/>
    </w:rPr>
  </w:style>
  <w:style w:type="paragraph" w:customStyle="1" w:styleId="150">
    <w:name w:val="number1"/>
    <w:basedOn w:val="1"/>
    <w:link w:val="149"/>
    <w:autoRedefine/>
    <w:qFormat/>
    <w:uiPriority w:val="0"/>
    <w:pPr>
      <w:spacing w:after="93" w:afterLines="30" w:line="360" w:lineRule="auto"/>
    </w:pPr>
    <w:rPr>
      <w:sz w:val="24"/>
    </w:rPr>
  </w:style>
  <w:style w:type="character" w:customStyle="1" w:styleId="151">
    <w:name w:val=" Char Char Char"/>
    <w:autoRedefine/>
    <w:qFormat/>
    <w:uiPriority w:val="0"/>
    <w:rPr>
      <w:rFonts w:cs="Times New Roman"/>
      <w:kern w:val="2"/>
      <w:sz w:val="18"/>
      <w:szCs w:val="18"/>
    </w:rPr>
  </w:style>
  <w:style w:type="character" w:customStyle="1" w:styleId="152">
    <w:name w:val="正文文本 Char"/>
    <w:autoRedefine/>
    <w:qFormat/>
    <w:locked/>
    <w:uiPriority w:val="1"/>
    <w:rPr>
      <w:kern w:val="2"/>
      <w:sz w:val="21"/>
      <w:szCs w:val="24"/>
      <w:lang w:bidi="ar-SA"/>
    </w:rPr>
  </w:style>
  <w:style w:type="character" w:customStyle="1" w:styleId="153">
    <w:name w:val="正文列表 Char"/>
    <w:link w:val="154"/>
    <w:autoRedefine/>
    <w:qFormat/>
    <w:locked/>
    <w:uiPriority w:val="0"/>
    <w:rPr>
      <w:rFonts w:ascii="宋体" w:hAnsi="宋体" w:eastAsia="Times New Roman"/>
      <w:sz w:val="24"/>
      <w:szCs w:val="24"/>
      <w:lang w:val="en-US" w:eastAsia="zh-CN" w:bidi="en-US"/>
    </w:rPr>
  </w:style>
  <w:style w:type="paragraph" w:customStyle="1" w:styleId="154">
    <w:name w:val="正文列表"/>
    <w:link w:val="153"/>
    <w:autoRedefine/>
    <w:qFormat/>
    <w:uiPriority w:val="0"/>
    <w:pPr>
      <w:ind w:left="253"/>
    </w:pPr>
    <w:rPr>
      <w:rFonts w:ascii="宋体" w:hAnsi="宋体" w:eastAsia="Times New Roman" w:cs="Times New Roman"/>
      <w:sz w:val="24"/>
      <w:szCs w:val="24"/>
      <w:lang w:val="en-US" w:eastAsia="zh-CN" w:bidi="en-US"/>
    </w:rPr>
  </w:style>
  <w:style w:type="character" w:customStyle="1" w:styleId="155">
    <w:name w:val="样式 宋体"/>
    <w:autoRedefine/>
    <w:qFormat/>
    <w:uiPriority w:val="0"/>
    <w:rPr>
      <w:rFonts w:ascii="宋体" w:hAnsi="宋体" w:eastAsia="宋体" w:cs="Times New Roman"/>
      <w:sz w:val="24"/>
      <w:szCs w:val="24"/>
    </w:rPr>
  </w:style>
  <w:style w:type="character" w:customStyle="1" w:styleId="156">
    <w:name w:val="编号正文-4级 Char Char"/>
    <w:link w:val="157"/>
    <w:autoRedefine/>
    <w:qFormat/>
    <w:uiPriority w:val="0"/>
    <w:rPr>
      <w:rFonts w:eastAsia="Times New Roman"/>
      <w:kern w:val="2"/>
      <w:sz w:val="24"/>
      <w:szCs w:val="24"/>
      <w:lang w:val="en-US" w:eastAsia="zh-CN" w:bidi="ar-SA"/>
    </w:rPr>
  </w:style>
  <w:style w:type="paragraph" w:customStyle="1" w:styleId="157">
    <w:name w:val="编号正文-4级"/>
    <w:link w:val="156"/>
    <w:autoRedefine/>
    <w:qFormat/>
    <w:uiPriority w:val="0"/>
    <w:pPr>
      <w:numPr>
        <w:ilvl w:val="0"/>
        <w:numId w:val="1"/>
      </w:numPr>
      <w:ind w:left="0" w:firstLine="589"/>
    </w:pPr>
    <w:rPr>
      <w:rFonts w:ascii="Times New Roman" w:hAnsi="Times New Roman" w:eastAsia="Times New Roman" w:cs="Times New Roman"/>
      <w:kern w:val="2"/>
      <w:sz w:val="24"/>
      <w:szCs w:val="24"/>
      <w:lang w:val="en-US" w:eastAsia="zh-CN" w:bidi="ar-SA"/>
    </w:rPr>
  </w:style>
  <w:style w:type="character" w:customStyle="1" w:styleId="158">
    <w:name w:val=" Char Char12"/>
    <w:autoRedefine/>
    <w:qFormat/>
    <w:uiPriority w:val="0"/>
    <w:rPr>
      <w:rFonts w:ascii="Arial" w:hAnsi="Arial" w:eastAsia="黑体"/>
      <w:b/>
      <w:bCs/>
      <w:spacing w:val="6"/>
      <w:kern w:val="2"/>
      <w:sz w:val="24"/>
      <w:szCs w:val="24"/>
    </w:rPr>
  </w:style>
  <w:style w:type="character" w:customStyle="1" w:styleId="159">
    <w:name w:val="default1"/>
    <w:autoRedefine/>
    <w:qFormat/>
    <w:uiPriority w:val="0"/>
    <w:rPr>
      <w:rFonts w:ascii="Arial" w:hAnsi="Arial" w:cs="Times New Roman"/>
      <w:sz w:val="20"/>
    </w:rPr>
  </w:style>
  <w:style w:type="character" w:customStyle="1" w:styleId="160">
    <w:name w:val=" Char Char4"/>
    <w:autoRedefine/>
    <w:qFormat/>
    <w:uiPriority w:val="0"/>
    <w:rPr>
      <w:rFonts w:ascii="Cambria" w:hAnsi="Cambria" w:eastAsia="宋体" w:cs="Times New Roman"/>
      <w:b/>
      <w:bCs/>
      <w:kern w:val="2"/>
      <w:sz w:val="28"/>
      <w:szCs w:val="28"/>
    </w:rPr>
  </w:style>
  <w:style w:type="character" w:customStyle="1" w:styleId="161">
    <w:name w:val="Char Char2"/>
    <w:autoRedefine/>
    <w:qFormat/>
    <w:locked/>
    <w:uiPriority w:val="0"/>
    <w:rPr>
      <w:rFonts w:ascii="宋体" w:hAnsi="Courier New" w:eastAsia="宋体"/>
      <w:kern w:val="2"/>
      <w:sz w:val="21"/>
      <w:lang w:val="en-US" w:eastAsia="zh-CN" w:bidi="ar-SA"/>
    </w:rPr>
  </w:style>
  <w:style w:type="character" w:customStyle="1" w:styleId="162">
    <w:name w:val="纯文本 Char"/>
    <w:autoRedefine/>
    <w:qFormat/>
    <w:uiPriority w:val="0"/>
    <w:rPr>
      <w:rFonts w:ascii="宋体" w:hAnsi="Courier New" w:eastAsia="宋体"/>
      <w:kern w:val="2"/>
      <w:sz w:val="21"/>
      <w:lang w:val="en-US" w:eastAsia="zh-CN" w:bidi="ar-SA"/>
    </w:rPr>
  </w:style>
  <w:style w:type="character" w:customStyle="1" w:styleId="163">
    <w:name w:val="font21"/>
    <w:basedOn w:val="75"/>
    <w:autoRedefine/>
    <w:qFormat/>
    <w:uiPriority w:val="0"/>
    <w:rPr>
      <w:rFonts w:hint="default" w:ascii="仿宋_GB2312" w:eastAsia="仿宋_GB2312" w:cs="仿宋_GB2312"/>
      <w:b/>
      <w:color w:val="000000"/>
      <w:sz w:val="21"/>
      <w:szCs w:val="21"/>
      <w:u w:val="none"/>
    </w:rPr>
  </w:style>
  <w:style w:type="character" w:customStyle="1" w:styleId="164">
    <w:name w:val=" Char Char16"/>
    <w:autoRedefine/>
    <w:qFormat/>
    <w:uiPriority w:val="0"/>
    <w:rPr>
      <w:rFonts w:ascii="Arial" w:hAnsi="Arial" w:eastAsia="宋体"/>
      <w:bCs/>
      <w:color w:val="000000"/>
      <w:kern w:val="2"/>
      <w:sz w:val="32"/>
      <w:szCs w:val="24"/>
      <w:lang w:val="en-US" w:eastAsia="zh-CN" w:bidi="ar-SA"/>
    </w:rPr>
  </w:style>
  <w:style w:type="character" w:customStyle="1" w:styleId="165">
    <w:name w:val=" Char Char23"/>
    <w:autoRedefine/>
    <w:qFormat/>
    <w:locked/>
    <w:uiPriority w:val="0"/>
    <w:rPr>
      <w:rFonts w:ascii="宋体" w:hAnsi="宋体" w:eastAsia="宋体"/>
      <w:kern w:val="2"/>
      <w:sz w:val="24"/>
      <w:szCs w:val="24"/>
      <w:lang w:val="en-US" w:eastAsia="zh-CN" w:bidi="ar-SA"/>
    </w:rPr>
  </w:style>
  <w:style w:type="character" w:customStyle="1" w:styleId="166">
    <w:name w:val="biaoti-61"/>
    <w:autoRedefine/>
    <w:qFormat/>
    <w:uiPriority w:val="0"/>
    <w:rPr>
      <w:b/>
      <w:bCs/>
      <w:color w:val="000066"/>
      <w:sz w:val="30"/>
      <w:szCs w:val="30"/>
    </w:rPr>
  </w:style>
  <w:style w:type="character" w:customStyle="1" w:styleId="167">
    <w:name w:val="一级标题 Char"/>
    <w:autoRedefine/>
    <w:qFormat/>
    <w:uiPriority w:val="0"/>
    <w:rPr>
      <w:rFonts w:eastAsia="宋体"/>
      <w:b/>
      <w:bCs/>
      <w:kern w:val="44"/>
      <w:sz w:val="30"/>
      <w:szCs w:val="44"/>
      <w:lang w:val="en-US" w:eastAsia="zh-CN" w:bidi="ar-SA"/>
    </w:rPr>
  </w:style>
  <w:style w:type="character" w:customStyle="1" w:styleId="168">
    <w:name w:val="无间隔 Char"/>
    <w:link w:val="169"/>
    <w:autoRedefine/>
    <w:qFormat/>
    <w:locked/>
    <w:uiPriority w:val="0"/>
    <w:rPr>
      <w:rFonts w:ascii="仿宋_GB2312" w:eastAsia="仿宋_GB2312" w:cs="宋体"/>
      <w:b/>
      <w:bCs/>
      <w:color w:val="000000"/>
      <w:sz w:val="21"/>
      <w:szCs w:val="21"/>
      <w:lang w:val="en-US" w:eastAsia="zh-CN" w:bidi="ar-SA"/>
    </w:rPr>
  </w:style>
  <w:style w:type="paragraph" w:styleId="169">
    <w:name w:val="No Spacing"/>
    <w:link w:val="168"/>
    <w:autoRedefine/>
    <w:qFormat/>
    <w:uiPriority w:val="0"/>
    <w:pPr>
      <w:widowControl w:val="0"/>
      <w:jc w:val="both"/>
    </w:pPr>
    <w:rPr>
      <w:rFonts w:ascii="仿宋_GB2312" w:hAnsi="Times New Roman" w:eastAsia="仿宋_GB2312" w:cs="宋体"/>
      <w:b/>
      <w:bCs/>
      <w:color w:val="000000"/>
      <w:sz w:val="21"/>
      <w:szCs w:val="21"/>
      <w:lang w:val="en-US" w:eastAsia="zh-CN" w:bidi="ar-SA"/>
    </w:rPr>
  </w:style>
  <w:style w:type="character" w:customStyle="1" w:styleId="170">
    <w:name w:val="个人撰写风格"/>
    <w:autoRedefine/>
    <w:qFormat/>
    <w:uiPriority w:val="0"/>
    <w:rPr>
      <w:rFonts w:ascii="Arial" w:hAnsi="Arial" w:eastAsia="宋体" w:cs="Arial"/>
      <w:color w:val="auto"/>
      <w:sz w:val="20"/>
    </w:rPr>
  </w:style>
  <w:style w:type="character" w:customStyle="1" w:styleId="171">
    <w:name w:val="列表段落 字符"/>
    <w:link w:val="172"/>
    <w:autoRedefine/>
    <w:qFormat/>
    <w:uiPriority w:val="34"/>
    <w:rPr>
      <w:sz w:val="24"/>
      <w:szCs w:val="24"/>
      <w:lang w:eastAsia="en-US"/>
    </w:rPr>
  </w:style>
  <w:style w:type="paragraph" w:customStyle="1" w:styleId="172">
    <w:name w:val="列出段落1"/>
    <w:basedOn w:val="1"/>
    <w:link w:val="171"/>
    <w:autoRedefine/>
    <w:qFormat/>
    <w:uiPriority w:val="34"/>
    <w:pPr>
      <w:widowControl/>
      <w:ind w:firstLine="420" w:firstLineChars="200"/>
      <w:jc w:val="left"/>
    </w:pPr>
    <w:rPr>
      <w:kern w:val="0"/>
      <w:sz w:val="24"/>
      <w:lang w:eastAsia="en-US"/>
    </w:rPr>
  </w:style>
  <w:style w:type="character" w:customStyle="1" w:styleId="173">
    <w:name w:val="font41"/>
    <w:autoRedefine/>
    <w:qFormat/>
    <w:uiPriority w:val="0"/>
    <w:rPr>
      <w:rFonts w:hint="default" w:ascii="Times New Roman" w:hAnsi="Times New Roman" w:cs="Times New Roman"/>
      <w:color w:val="000000"/>
      <w:sz w:val="21"/>
      <w:szCs w:val="21"/>
      <w:u w:val="none"/>
    </w:rPr>
  </w:style>
  <w:style w:type="character" w:customStyle="1" w:styleId="174">
    <w:name w:val="标题 2 Char"/>
    <w:autoRedefine/>
    <w:qFormat/>
    <w:uiPriority w:val="0"/>
    <w:rPr>
      <w:rFonts w:ascii="Arial" w:hAnsi="Arial" w:eastAsia="黑体"/>
      <w:b/>
      <w:bCs/>
      <w:kern w:val="2"/>
      <w:sz w:val="32"/>
      <w:szCs w:val="32"/>
    </w:rPr>
  </w:style>
  <w:style w:type="character" w:customStyle="1" w:styleId="175">
    <w:name w:val="标题4-dyf Char"/>
    <w:link w:val="176"/>
    <w:autoRedefine/>
    <w:qFormat/>
    <w:uiPriority w:val="0"/>
    <w:rPr>
      <w:rFonts w:ascii="Cambria" w:hAnsi="Cambria" w:eastAsia="宋体"/>
      <w:b/>
      <w:bCs/>
      <w:color w:val="000000"/>
      <w:spacing w:val="10"/>
      <w:kern w:val="2"/>
      <w:sz w:val="21"/>
      <w:szCs w:val="21"/>
      <w:lang w:val="en-US" w:eastAsia="zh-CN" w:bidi="ar-SA"/>
    </w:rPr>
  </w:style>
  <w:style w:type="paragraph" w:customStyle="1" w:styleId="176">
    <w:name w:val="标题4-dyf"/>
    <w:basedOn w:val="6"/>
    <w:link w:val="175"/>
    <w:autoRedefine/>
    <w:qFormat/>
    <w:uiPriority w:val="0"/>
    <w:pPr>
      <w:tabs>
        <w:tab w:val="left" w:pos="851"/>
      </w:tabs>
      <w:spacing w:before="280" w:after="290" w:line="376" w:lineRule="atLeast"/>
      <w:ind w:left="851" w:hanging="851"/>
      <w:jc w:val="both"/>
    </w:pPr>
    <w:rPr>
      <w:rFonts w:ascii="Cambria" w:hAnsi="Cambria"/>
      <w:bCs w:val="0"/>
      <w:kern w:val="2"/>
      <w:sz w:val="21"/>
      <w:szCs w:val="21"/>
    </w:rPr>
  </w:style>
  <w:style w:type="character" w:customStyle="1" w:styleId="177">
    <w:name w:val=" Char Char19"/>
    <w:autoRedefine/>
    <w:qFormat/>
    <w:locked/>
    <w:uiPriority w:val="0"/>
    <w:rPr>
      <w:rFonts w:ascii="宋体" w:hAnsi="宋体" w:eastAsia="宋体"/>
      <w:kern w:val="2"/>
      <w:sz w:val="24"/>
      <w:lang w:val="en-US" w:eastAsia="zh-CN" w:bidi="ar-SA"/>
    </w:rPr>
  </w:style>
  <w:style w:type="character" w:customStyle="1" w:styleId="178">
    <w:name w:val=" Char Char15"/>
    <w:autoRedefine/>
    <w:qFormat/>
    <w:uiPriority w:val="0"/>
    <w:rPr>
      <w:rFonts w:eastAsia="宋体"/>
      <w:bCs/>
      <w:color w:val="000000"/>
      <w:kern w:val="2"/>
      <w:sz w:val="32"/>
      <w:szCs w:val="24"/>
      <w:lang w:val="en-US" w:eastAsia="zh-CN" w:bidi="ar-SA"/>
    </w:rPr>
  </w:style>
  <w:style w:type="character" w:customStyle="1" w:styleId="179">
    <w:name w:val="普通文字 Char Char2"/>
    <w:autoRedefine/>
    <w:qFormat/>
    <w:uiPriority w:val="0"/>
    <w:rPr>
      <w:rFonts w:ascii="宋体" w:hAnsi="Courier New" w:eastAsia="仿宋_GB2312"/>
      <w:kern w:val="2"/>
      <w:sz w:val="30"/>
      <w:lang w:val="en-US" w:eastAsia="zh-CN" w:bidi="ar-SA"/>
    </w:rPr>
  </w:style>
  <w:style w:type="character" w:customStyle="1" w:styleId="180">
    <w:name w:val=" Char Char18"/>
    <w:autoRedefine/>
    <w:qFormat/>
    <w:uiPriority w:val="0"/>
    <w:rPr>
      <w:rFonts w:ascii="Cambria" w:hAnsi="Cambria" w:eastAsia="宋体"/>
      <w:b/>
      <w:bCs/>
      <w:kern w:val="2"/>
      <w:sz w:val="28"/>
      <w:szCs w:val="28"/>
      <w:lang w:val="en-US" w:eastAsia="zh-CN" w:bidi="ar-SA"/>
    </w:rPr>
  </w:style>
  <w:style w:type="character" w:customStyle="1" w:styleId="181">
    <w:name w:val=" Char Char20"/>
    <w:autoRedefine/>
    <w:qFormat/>
    <w:uiPriority w:val="0"/>
    <w:rPr>
      <w:rFonts w:ascii="Cambria" w:hAnsi="Cambria" w:eastAsia="宋体"/>
      <w:b/>
      <w:bCs/>
      <w:kern w:val="2"/>
      <w:sz w:val="32"/>
      <w:szCs w:val="32"/>
      <w:lang w:val="en-US" w:eastAsia="zh-CN" w:bidi="ar-SA"/>
    </w:rPr>
  </w:style>
  <w:style w:type="character" w:customStyle="1" w:styleId="182">
    <w:name w:val="ca-72"/>
    <w:autoRedefine/>
    <w:qFormat/>
    <w:uiPriority w:val="0"/>
  </w:style>
  <w:style w:type="character" w:customStyle="1" w:styleId="183">
    <w:name w:val=" Char Char14"/>
    <w:autoRedefine/>
    <w:qFormat/>
    <w:uiPriority w:val="0"/>
    <w:rPr>
      <w:rFonts w:ascii="Arial" w:hAnsi="Arial" w:eastAsia="宋体"/>
      <w:color w:val="000000"/>
      <w:kern w:val="2"/>
      <w:sz w:val="32"/>
      <w:szCs w:val="24"/>
      <w:lang w:val="en-US" w:eastAsia="zh-CN" w:bidi="ar-SA"/>
    </w:rPr>
  </w:style>
  <w:style w:type="character" w:customStyle="1" w:styleId="184">
    <w:name w:val="样式1 Char"/>
    <w:autoRedefine/>
    <w:qFormat/>
    <w:uiPriority w:val="0"/>
    <w:rPr>
      <w:rFonts w:ascii="宋体" w:hAnsi="宋体" w:eastAsia="宋体"/>
      <w:sz w:val="21"/>
      <w:szCs w:val="21"/>
      <w:lang w:val="en-US" w:eastAsia="zh-CN" w:bidi="ar-SA"/>
    </w:rPr>
  </w:style>
  <w:style w:type="character" w:customStyle="1" w:styleId="185">
    <w:name w:val="文档结构图 Char"/>
    <w:autoRedefine/>
    <w:qFormat/>
    <w:locked/>
    <w:uiPriority w:val="0"/>
    <w:rPr>
      <w:kern w:val="2"/>
      <w:sz w:val="21"/>
      <w:szCs w:val="24"/>
      <w:shd w:val="clear" w:color="auto" w:fill="000080"/>
      <w:lang w:bidi="ar-SA"/>
    </w:rPr>
  </w:style>
  <w:style w:type="character" w:customStyle="1" w:styleId="186">
    <w:name w:val="标题 3 Char Char"/>
    <w:autoRedefine/>
    <w:qFormat/>
    <w:uiPriority w:val="0"/>
    <w:rPr>
      <w:rFonts w:eastAsia="黑体" w:cs="Times New Roman"/>
      <w:b/>
      <w:bCs/>
      <w:kern w:val="2"/>
      <w:sz w:val="32"/>
      <w:szCs w:val="32"/>
      <w:lang w:val="en-US" w:eastAsia="zh-CN" w:bidi="ar-SA"/>
    </w:rPr>
  </w:style>
  <w:style w:type="character" w:customStyle="1" w:styleId="187">
    <w:name w:val="font31"/>
    <w:basedOn w:val="75"/>
    <w:autoRedefine/>
    <w:qFormat/>
    <w:uiPriority w:val="0"/>
    <w:rPr>
      <w:rFonts w:hint="eastAsia" w:ascii="宋体" w:hAnsi="宋体" w:eastAsia="宋体" w:cs="宋体"/>
      <w:b/>
      <w:color w:val="000000"/>
      <w:sz w:val="21"/>
      <w:szCs w:val="21"/>
      <w:u w:val="none"/>
    </w:rPr>
  </w:style>
  <w:style w:type="character" w:customStyle="1" w:styleId="188">
    <w:name w:val="标准文本 Char"/>
    <w:link w:val="189"/>
    <w:autoRedefine/>
    <w:qFormat/>
    <w:uiPriority w:val="0"/>
    <w:rPr>
      <w:rFonts w:eastAsia="宋体" w:cs="宋体"/>
      <w:kern w:val="2"/>
      <w:sz w:val="24"/>
      <w:szCs w:val="24"/>
      <w:lang w:val="en-US" w:eastAsia="zh-CN" w:bidi="ar-SA"/>
    </w:rPr>
  </w:style>
  <w:style w:type="paragraph" w:customStyle="1" w:styleId="189">
    <w:name w:val="标准文本"/>
    <w:basedOn w:val="1"/>
    <w:link w:val="188"/>
    <w:autoRedefine/>
    <w:qFormat/>
    <w:uiPriority w:val="0"/>
    <w:pPr>
      <w:spacing w:line="360" w:lineRule="auto"/>
      <w:ind w:firstLine="480" w:firstLineChars="200"/>
    </w:pPr>
    <w:rPr>
      <w:rFonts w:cs="宋体"/>
      <w:sz w:val="24"/>
    </w:rPr>
  </w:style>
  <w:style w:type="character" w:customStyle="1" w:styleId="190">
    <w:name w:val="纯文本 Char2"/>
    <w:autoRedefine/>
    <w:qFormat/>
    <w:uiPriority w:val="0"/>
    <w:rPr>
      <w:rFonts w:ascii="宋体" w:hAnsi="Courier New" w:eastAsia="宋体" w:cs="Courier New"/>
      <w:kern w:val="2"/>
      <w:sz w:val="21"/>
      <w:szCs w:val="21"/>
      <w:lang w:val="en-US" w:eastAsia="zh-CN" w:bidi="ar-SA"/>
    </w:rPr>
  </w:style>
  <w:style w:type="character" w:customStyle="1" w:styleId="191">
    <w:name w:val="页脚 Char"/>
    <w:autoRedefine/>
    <w:qFormat/>
    <w:uiPriority w:val="0"/>
    <w:rPr>
      <w:kern w:val="2"/>
      <w:sz w:val="18"/>
      <w:szCs w:val="18"/>
    </w:rPr>
  </w:style>
  <w:style w:type="character" w:customStyle="1" w:styleId="192">
    <w:name w:val="font11"/>
    <w:basedOn w:val="75"/>
    <w:autoRedefine/>
    <w:qFormat/>
    <w:uiPriority w:val="0"/>
    <w:rPr>
      <w:rFonts w:hint="eastAsia" w:ascii="宋体" w:hAnsi="宋体" w:eastAsia="宋体" w:cs="宋体"/>
      <w:color w:val="000000"/>
      <w:sz w:val="21"/>
      <w:szCs w:val="21"/>
      <w:u w:val="none"/>
    </w:rPr>
  </w:style>
  <w:style w:type="character" w:customStyle="1" w:styleId="193">
    <w:name w:val="正文文本缩进 Char1"/>
    <w:autoRedefine/>
    <w:qFormat/>
    <w:uiPriority w:val="0"/>
    <w:rPr>
      <w:rFonts w:ascii="宋体"/>
      <w:kern w:val="2"/>
      <w:sz w:val="24"/>
    </w:rPr>
  </w:style>
  <w:style w:type="character" w:customStyle="1" w:styleId="194">
    <w:name w:val=" Char Char22"/>
    <w:autoRedefine/>
    <w:semiHidden/>
    <w:qFormat/>
    <w:uiPriority w:val="0"/>
    <w:rPr>
      <w:rFonts w:ascii="宋体" w:hAnsi="宋体" w:eastAsia="宋体"/>
      <w:kern w:val="2"/>
      <w:sz w:val="24"/>
      <w:lang w:val="en-US" w:eastAsia="zh-CN" w:bidi="ar-SA"/>
    </w:rPr>
  </w:style>
  <w:style w:type="character" w:customStyle="1" w:styleId="195">
    <w:name w:val="正文文本缩进 Char"/>
    <w:autoRedefine/>
    <w:qFormat/>
    <w:locked/>
    <w:uiPriority w:val="0"/>
    <w:rPr>
      <w:kern w:val="2"/>
      <w:sz w:val="21"/>
      <w:szCs w:val="24"/>
      <w:lang w:bidi="ar-SA"/>
    </w:rPr>
  </w:style>
  <w:style w:type="character" w:customStyle="1" w:styleId="196">
    <w:name w:val="批注框文本 Char"/>
    <w:autoRedefine/>
    <w:qFormat/>
    <w:locked/>
    <w:uiPriority w:val="0"/>
    <w:rPr>
      <w:kern w:val="2"/>
      <w:sz w:val="18"/>
      <w:szCs w:val="18"/>
      <w:lang w:bidi="ar-SA"/>
    </w:rPr>
  </w:style>
  <w:style w:type="character" w:customStyle="1" w:styleId="197">
    <w:name w:val="无间隔字符"/>
    <w:link w:val="198"/>
    <w:autoRedefine/>
    <w:qFormat/>
    <w:locked/>
    <w:uiPriority w:val="0"/>
    <w:rPr>
      <w:rFonts w:ascii="Calibri" w:hAnsi="Calibri" w:eastAsia="宋体"/>
      <w:lang w:eastAsia="en-US" w:bidi="en-US"/>
    </w:rPr>
  </w:style>
  <w:style w:type="paragraph" w:customStyle="1" w:styleId="198">
    <w:name w:val="No Spacing1"/>
    <w:basedOn w:val="1"/>
    <w:link w:val="197"/>
    <w:autoRedefine/>
    <w:qFormat/>
    <w:uiPriority w:val="0"/>
    <w:pPr>
      <w:widowControl/>
      <w:jc w:val="left"/>
    </w:pPr>
    <w:rPr>
      <w:kern w:val="0"/>
      <w:sz w:val="20"/>
      <w:szCs w:val="20"/>
      <w:lang w:eastAsia="en-US" w:bidi="en-US"/>
    </w:rPr>
  </w:style>
  <w:style w:type="character" w:customStyle="1" w:styleId="199">
    <w:name w:val="个人答复风格"/>
    <w:autoRedefine/>
    <w:qFormat/>
    <w:uiPriority w:val="0"/>
    <w:rPr>
      <w:rFonts w:ascii="Arial" w:hAnsi="Arial" w:eastAsia="宋体" w:cs="Arial"/>
      <w:color w:val="auto"/>
      <w:sz w:val="20"/>
    </w:rPr>
  </w:style>
  <w:style w:type="character" w:customStyle="1" w:styleId="200">
    <w:name w:val="style51"/>
    <w:autoRedefine/>
    <w:qFormat/>
    <w:uiPriority w:val="0"/>
    <w:rPr>
      <w:rFonts w:hint="default" w:ascii="Arial" w:hAnsi="Arial" w:cs="Arial"/>
    </w:rPr>
  </w:style>
  <w:style w:type="character" w:customStyle="1" w:styleId="201">
    <w:name w:val="large1"/>
    <w:autoRedefine/>
    <w:qFormat/>
    <w:uiPriority w:val="0"/>
    <w:rPr>
      <w:rFonts w:ascii="宋体" w:hAnsi="宋体" w:eastAsia="宋体" w:cs="Times New Roman"/>
      <w:sz w:val="22"/>
      <w:szCs w:val="22"/>
    </w:rPr>
  </w:style>
  <w:style w:type="character" w:customStyle="1" w:styleId="202">
    <w:name w:val="H1 Char"/>
    <w:autoRedefine/>
    <w:qFormat/>
    <w:uiPriority w:val="0"/>
    <w:rPr>
      <w:rFonts w:eastAsia="宋体"/>
      <w:b/>
      <w:bCs/>
      <w:kern w:val="44"/>
      <w:sz w:val="44"/>
      <w:szCs w:val="44"/>
      <w:lang w:val="en-US" w:eastAsia="zh-CN" w:bidi="ar-SA"/>
    </w:rPr>
  </w:style>
  <w:style w:type="character" w:customStyle="1" w:styleId="203">
    <w:name w:val="ziti211"/>
    <w:autoRedefine/>
    <w:qFormat/>
    <w:uiPriority w:val="0"/>
    <w:rPr>
      <w:rFonts w:hint="default" w:ascii="_x000B__x000C_" w:hAnsi="_x000B__x000C_"/>
      <w:color w:val="666666"/>
      <w:sz w:val="24"/>
      <w:szCs w:val="24"/>
    </w:rPr>
  </w:style>
  <w:style w:type="character" w:customStyle="1" w:styleId="204">
    <w:name w:val="style9"/>
    <w:autoRedefine/>
    <w:qFormat/>
    <w:uiPriority w:val="0"/>
  </w:style>
  <w:style w:type="character" w:customStyle="1" w:styleId="205">
    <w:name w:val=" Char Char7"/>
    <w:autoRedefine/>
    <w:qFormat/>
    <w:locked/>
    <w:uiPriority w:val="0"/>
    <w:rPr>
      <w:rFonts w:eastAsia="宋体"/>
      <w:kern w:val="2"/>
      <w:sz w:val="18"/>
      <w:szCs w:val="18"/>
      <w:lang w:val="en-US" w:eastAsia="zh-CN" w:bidi="ar-SA"/>
    </w:rPr>
  </w:style>
  <w:style w:type="character" w:customStyle="1" w:styleId="206">
    <w:name w:val=" Char Char21"/>
    <w:autoRedefine/>
    <w:qFormat/>
    <w:uiPriority w:val="0"/>
    <w:rPr>
      <w:rFonts w:eastAsia="宋体"/>
      <w:b/>
      <w:bCs/>
      <w:kern w:val="44"/>
      <w:sz w:val="44"/>
      <w:szCs w:val="44"/>
      <w:lang w:val="en-US" w:eastAsia="zh-CN" w:bidi="ar-SA"/>
    </w:rPr>
  </w:style>
  <w:style w:type="character" w:customStyle="1" w:styleId="207">
    <w:name w:val="unnamed2"/>
    <w:autoRedefine/>
    <w:qFormat/>
    <w:uiPriority w:val="0"/>
  </w:style>
  <w:style w:type="character" w:customStyle="1" w:styleId="208">
    <w:name w:val="纯文本 Char Char Char Char Char Char Char Char Char Char"/>
    <w:autoRedefine/>
    <w:qFormat/>
    <w:uiPriority w:val="0"/>
    <w:rPr>
      <w:rFonts w:ascii="宋体" w:hAnsi="Courier New" w:eastAsia="宋体" w:cs="Courier New"/>
      <w:snapToGrid w:val="0"/>
      <w:sz w:val="18"/>
      <w:szCs w:val="21"/>
      <w:lang w:val="en-US" w:eastAsia="zh-CN" w:bidi="ar-SA"/>
    </w:rPr>
  </w:style>
  <w:style w:type="paragraph" w:customStyle="1" w:styleId="209">
    <w:name w:val="项目符号，二级"/>
    <w:basedOn w:val="210"/>
    <w:next w:val="210"/>
    <w:autoRedefine/>
    <w:qFormat/>
    <w:uiPriority w:val="0"/>
    <w:pPr>
      <w:tabs>
        <w:tab w:val="left" w:pos="432"/>
        <w:tab w:val="left" w:pos="1211"/>
        <w:tab w:val="left" w:pos="1337"/>
      </w:tabs>
      <w:ind w:left="1337" w:right="-27" w:firstLine="480"/>
    </w:pPr>
    <w:rPr>
      <w:bCs w:val="0"/>
      <w:color w:val="000000"/>
      <w:sz w:val="24"/>
      <w:szCs w:val="24"/>
    </w:rPr>
  </w:style>
  <w:style w:type="paragraph" w:customStyle="1" w:styleId="210">
    <w:name w:val="正文格式"/>
    <w:basedOn w:val="1"/>
    <w:autoRedefine/>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1">
    <w:name w:val="3"/>
    <w:basedOn w:val="1"/>
    <w:next w:val="1"/>
    <w:autoRedefine/>
    <w:qFormat/>
    <w:uiPriority w:val="0"/>
    <w:pPr>
      <w:adjustRightInd w:val="0"/>
      <w:spacing w:after="120" w:line="360" w:lineRule="atLeast"/>
      <w:jc w:val="left"/>
      <w:textAlignment w:val="baseline"/>
    </w:pPr>
    <w:rPr>
      <w:kern w:val="0"/>
      <w:sz w:val="16"/>
      <w:szCs w:val="16"/>
    </w:rPr>
  </w:style>
  <w:style w:type="paragraph" w:customStyle="1" w:styleId="212">
    <w:name w:val="表格标题1"/>
    <w:basedOn w:val="1"/>
    <w:autoRedefine/>
    <w:qFormat/>
    <w:uiPriority w:val="0"/>
    <w:pPr>
      <w:spacing w:line="360" w:lineRule="auto"/>
      <w:jc w:val="center"/>
    </w:pPr>
    <w:rPr>
      <w:rFonts w:ascii="宋体" w:hAnsi="宋体" w:cs="宋体"/>
      <w:b/>
      <w:bCs/>
      <w:color w:val="000000"/>
      <w:sz w:val="24"/>
      <w:szCs w:val="21"/>
    </w:rPr>
  </w:style>
  <w:style w:type="paragraph" w:customStyle="1" w:styleId="213">
    <w:name w:val="xl106"/>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5">
    <w:name w:val="招标文件标题3 一"/>
    <w:basedOn w:val="5"/>
    <w:autoRedefine/>
    <w:qFormat/>
    <w:uiPriority w:val="0"/>
    <w:pPr>
      <w:tabs>
        <w:tab w:val="left" w:pos="432"/>
        <w:tab w:val="left" w:pos="851"/>
      </w:tabs>
      <w:spacing w:before="156" w:beforeLines="50" w:after="156" w:afterLines="50" w:line="360" w:lineRule="auto"/>
      <w:ind w:left="432" w:hanging="432"/>
      <w:jc w:val="center"/>
    </w:pPr>
    <w:rPr>
      <w:bCs w:val="0"/>
      <w:sz w:val="30"/>
      <w:szCs w:val="20"/>
    </w:rPr>
  </w:style>
  <w:style w:type="paragraph" w:customStyle="1" w:styleId="216">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217">
    <w:name w:val="xl99"/>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8">
    <w:name w:val=" Char3 Char Char Char"/>
    <w:basedOn w:val="1"/>
    <w:autoRedefine/>
    <w:qFormat/>
    <w:uiPriority w:val="0"/>
    <w:pPr>
      <w:widowControl/>
      <w:spacing w:after="160" w:line="240" w:lineRule="exact"/>
      <w:jc w:val="left"/>
    </w:pPr>
    <w:rPr>
      <w:szCs w:val="20"/>
    </w:rPr>
  </w:style>
  <w:style w:type="paragraph" w:customStyle="1" w:styleId="219">
    <w:name w:val="Char Char Char Char Char Char Char Char Char"/>
    <w:basedOn w:val="1"/>
    <w:autoRedefine/>
    <w:qFormat/>
    <w:uiPriority w:val="0"/>
    <w:rPr>
      <w:rFonts w:ascii="Tahoma" w:hAnsi="Tahoma"/>
      <w:sz w:val="24"/>
      <w:szCs w:val="20"/>
    </w:rPr>
  </w:style>
  <w:style w:type="paragraph" w:customStyle="1" w:styleId="220">
    <w:name w:val="GP正文(首行缩进)"/>
    <w:basedOn w:val="1"/>
    <w:autoRedefine/>
    <w:qFormat/>
    <w:uiPriority w:val="0"/>
    <w:pPr>
      <w:spacing w:line="360" w:lineRule="auto"/>
      <w:ind w:firstLine="200" w:firstLineChars="200"/>
      <w:jc w:val="left"/>
    </w:pPr>
    <w:rPr>
      <w:sz w:val="24"/>
      <w:szCs w:val="21"/>
    </w:rPr>
  </w:style>
  <w:style w:type="paragraph" w:customStyle="1" w:styleId="221">
    <w:name w:val="样式 宋体 五号 两端对齐 行距: 单倍行距1"/>
    <w:basedOn w:val="1"/>
    <w:autoRedefine/>
    <w:qFormat/>
    <w:uiPriority w:val="0"/>
    <w:pPr>
      <w:adjustRightInd w:val="0"/>
      <w:textAlignment w:val="baseline"/>
    </w:pPr>
    <w:rPr>
      <w:rFonts w:ascii="宋体" w:hAnsi="宋体" w:cs="宋体"/>
      <w:kern w:val="0"/>
      <w:szCs w:val="20"/>
    </w:rPr>
  </w:style>
  <w:style w:type="paragraph" w:customStyle="1" w:styleId="222">
    <w:name w:val="表格"/>
    <w:basedOn w:val="1"/>
    <w:autoRedefine/>
    <w:qFormat/>
    <w:uiPriority w:val="0"/>
    <w:pPr>
      <w:snapToGrid w:val="0"/>
      <w:spacing w:line="240" w:lineRule="atLeast"/>
      <w:jc w:val="center"/>
    </w:pPr>
    <w:rPr>
      <w:rFonts w:ascii="宋体" w:hAnsi="宋体"/>
      <w:spacing w:val="14"/>
      <w:szCs w:val="20"/>
    </w:rPr>
  </w:style>
  <w:style w:type="paragraph" w:customStyle="1" w:styleId="223">
    <w:name w:val="文章标题"/>
    <w:next w:val="21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24">
    <w:name w:val="样式 标题 3 +"/>
    <w:basedOn w:val="5"/>
    <w:autoRedefine/>
    <w:qFormat/>
    <w:uiPriority w:val="0"/>
    <w:pPr>
      <w:spacing w:before="156" w:beforeLines="50" w:after="156" w:afterLines="50" w:line="360" w:lineRule="auto"/>
      <w:jc w:val="left"/>
    </w:pPr>
    <w:rPr>
      <w:bCs w:val="0"/>
      <w:kern w:val="0"/>
      <w:sz w:val="28"/>
      <w:szCs w:val="20"/>
    </w:rPr>
  </w:style>
  <w:style w:type="paragraph" w:customStyle="1" w:styleId="22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7">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8">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 Char Char Char Char Char"/>
    <w:basedOn w:val="1"/>
    <w:autoRedefine/>
    <w:qFormat/>
    <w:uiPriority w:val="0"/>
    <w:pPr>
      <w:widowControl/>
      <w:ind w:firstLine="200" w:firstLineChars="200"/>
      <w:jc w:val="left"/>
    </w:pPr>
    <w:rPr>
      <w:rFonts w:ascii="Tahoma" w:hAnsi="Tahoma" w:cs="宋体"/>
      <w:kern w:val="0"/>
      <w:sz w:val="24"/>
      <w:szCs w:val="20"/>
    </w:rPr>
  </w:style>
  <w:style w:type="paragraph" w:customStyle="1" w:styleId="230">
    <w:name w:val="样式 宋体 五号 行距: 单倍行距"/>
    <w:basedOn w:val="1"/>
    <w:autoRedefine/>
    <w:qFormat/>
    <w:uiPriority w:val="0"/>
    <w:pPr>
      <w:adjustRightInd w:val="0"/>
      <w:jc w:val="left"/>
      <w:textAlignment w:val="baseline"/>
    </w:pPr>
    <w:rPr>
      <w:rFonts w:ascii="宋体" w:hAnsi="宋体" w:cs="宋体"/>
      <w:kern w:val="0"/>
      <w:szCs w:val="20"/>
    </w:rPr>
  </w:style>
  <w:style w:type="paragraph" w:customStyle="1" w:styleId="231">
    <w:name w:val="xl102"/>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2">
    <w:name w:val="xl26"/>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3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3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35">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6">
    <w:name w:val="样式 标题 1 + 四号 居中 段前: 12 磅 段后: 12 磅 行距: 单倍行距"/>
    <w:basedOn w:val="3"/>
    <w:autoRedefine/>
    <w:qFormat/>
    <w:uiPriority w:val="0"/>
    <w:pPr>
      <w:tabs>
        <w:tab w:val="left" w:pos="735"/>
      </w:tabs>
      <w:spacing w:before="240" w:after="240" w:line="240" w:lineRule="auto"/>
      <w:ind w:left="735" w:hanging="735"/>
      <w:textAlignment w:val="baseline"/>
    </w:pPr>
    <w:rPr>
      <w:rFonts w:cs="宋体"/>
      <w:sz w:val="28"/>
      <w:szCs w:val="20"/>
    </w:rPr>
  </w:style>
  <w:style w:type="paragraph" w:customStyle="1" w:styleId="237">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8">
    <w:name w:val="xl8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0">
    <w:name w:val="有符号正文"/>
    <w:basedOn w:val="1"/>
    <w:autoRedefine/>
    <w:qFormat/>
    <w:uiPriority w:val="0"/>
    <w:pPr>
      <w:spacing w:line="360" w:lineRule="auto"/>
      <w:ind w:firstLine="200" w:firstLineChars="200"/>
    </w:pPr>
    <w:rPr>
      <w:rFonts w:ascii="宋体" w:hAnsi="宋体"/>
      <w:color w:val="000000"/>
      <w:sz w:val="24"/>
    </w:rPr>
  </w:style>
  <w:style w:type="paragraph" w:customStyle="1" w:styleId="241">
    <w:name w:val="Default"/>
    <w:autoRedefine/>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242">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3">
    <w:name w:val="Table Paragraph"/>
    <w:basedOn w:val="1"/>
    <w:autoRedefine/>
    <w:qFormat/>
    <w:uiPriority w:val="99"/>
    <w:rPr>
      <w:rFonts w:ascii="仿宋" w:hAnsi="仿宋" w:eastAsia="仿宋" w:cs="仿宋"/>
      <w:lang w:val="zh-CN" w:bidi="zh-CN"/>
    </w:rPr>
  </w:style>
  <w:style w:type="paragraph" w:customStyle="1" w:styleId="244">
    <w:name w:val="样式 表格 +"/>
    <w:basedOn w:val="222"/>
    <w:autoRedefine/>
    <w:qFormat/>
    <w:uiPriority w:val="0"/>
    <w:rPr>
      <w:kern w:val="0"/>
    </w:rPr>
  </w:style>
  <w:style w:type="paragraph" w:customStyle="1" w:styleId="245">
    <w:name w:val="style2"/>
    <w:basedOn w:val="1"/>
    <w:autoRedefine/>
    <w:qFormat/>
    <w:uiPriority w:val="0"/>
    <w:pPr>
      <w:widowControl/>
      <w:spacing w:before="100" w:beforeAutospacing="1" w:after="100" w:afterAutospacing="1"/>
      <w:jc w:val="left"/>
    </w:pPr>
    <w:rPr>
      <w:rFonts w:ascii="宋体" w:hAnsi="宋体"/>
      <w:b/>
      <w:kern w:val="0"/>
      <w:sz w:val="27"/>
      <w:szCs w:val="20"/>
    </w:rPr>
  </w:style>
  <w:style w:type="paragraph" w:customStyle="1" w:styleId="246">
    <w:name w:val="Char3"/>
    <w:basedOn w:val="1"/>
    <w:autoRedefine/>
    <w:qFormat/>
    <w:uiPriority w:val="0"/>
  </w:style>
  <w:style w:type="paragraph" w:customStyle="1" w:styleId="247">
    <w:name w:val="马刚标题4"/>
    <w:basedOn w:val="248"/>
    <w:next w:val="1"/>
    <w:autoRedefine/>
    <w:qFormat/>
    <w:uiPriority w:val="0"/>
    <w:pPr>
      <w:numPr>
        <w:ilvl w:val="0"/>
        <w:numId w:val="0"/>
      </w:numPr>
      <w:tabs>
        <w:tab w:val="left" w:pos="735"/>
        <w:tab w:val="left" w:pos="1050"/>
        <w:tab w:val="left" w:pos="1200"/>
      </w:tabs>
      <w:spacing w:before="100" w:after="40"/>
      <w:ind w:left="1200" w:hanging="360"/>
      <w:outlineLvl w:val="3"/>
    </w:pPr>
    <w:rPr>
      <w:b w:val="0"/>
    </w:rPr>
  </w:style>
  <w:style w:type="paragraph" w:customStyle="1" w:styleId="248">
    <w:name w:val="马刚标题3"/>
    <w:basedOn w:val="1"/>
    <w:next w:val="1"/>
    <w:autoRedefine/>
    <w:qFormat/>
    <w:uiPriority w:val="0"/>
    <w:pPr>
      <w:keepNext/>
      <w:keepLines/>
      <w:tabs>
        <w:tab w:val="left" w:pos="735"/>
        <w:tab w:val="left" w:pos="1200"/>
      </w:tabs>
      <w:spacing w:before="120" w:after="60" w:line="415" w:lineRule="auto"/>
      <w:ind w:left="1200" w:hanging="360"/>
      <w:jc w:val="left"/>
      <w:outlineLvl w:val="2"/>
    </w:pPr>
    <w:rPr>
      <w:rFonts w:ascii="黑体" w:hAnsi="Arial" w:eastAsia="黑体"/>
      <w:b/>
      <w:bCs/>
      <w:sz w:val="24"/>
      <w:szCs w:val="20"/>
    </w:rPr>
  </w:style>
  <w:style w:type="paragraph" w:customStyle="1" w:styleId="249">
    <w:name w:val="xl78"/>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50">
    <w:name w:val="样式 标题 2 + 宋体 五号 非加粗 黑色"/>
    <w:basedOn w:val="4"/>
    <w:autoRedefine/>
    <w:qFormat/>
    <w:uiPriority w:val="0"/>
    <w:pPr>
      <w:keepNext/>
      <w:keepLines/>
      <w:spacing w:before="260" w:after="260" w:line="416" w:lineRule="atLeast"/>
      <w:ind w:firstLine="0" w:firstLineChars="0"/>
      <w:jc w:val="left"/>
      <w:textAlignment w:val="baseline"/>
    </w:pPr>
    <w:rPr>
      <w:b w:val="0"/>
      <w:color w:val="000000"/>
      <w:kern w:val="0"/>
      <w:sz w:val="21"/>
      <w:szCs w:val="32"/>
    </w:rPr>
  </w:style>
  <w:style w:type="paragraph" w:customStyle="1" w:styleId="251">
    <w:name w:val="马刚标题1"/>
    <w:basedOn w:val="3"/>
    <w:next w:val="1"/>
    <w:autoRedefine/>
    <w:qFormat/>
    <w:uiPriority w:val="0"/>
    <w:pPr>
      <w:tabs>
        <w:tab w:val="left" w:pos="315"/>
        <w:tab w:val="left" w:pos="1200"/>
      </w:tabs>
      <w:adjustRightInd/>
      <w:spacing w:before="400" w:after="120" w:line="578" w:lineRule="auto"/>
      <w:ind w:left="1200" w:hanging="360"/>
      <w:jc w:val="left"/>
    </w:pPr>
    <w:rPr>
      <w:rFonts w:eastAsia="黑体"/>
      <w:b w:val="0"/>
      <w:bCs w:val="0"/>
      <w:sz w:val="32"/>
      <w:szCs w:val="20"/>
    </w:rPr>
  </w:style>
  <w:style w:type="paragraph" w:customStyle="1" w:styleId="252">
    <w:name w:val="正文段"/>
    <w:basedOn w:val="1"/>
    <w:autoRedefine/>
    <w:qFormat/>
    <w:uiPriority w:val="0"/>
    <w:pPr>
      <w:widowControl/>
      <w:snapToGrid w:val="0"/>
      <w:spacing w:afterLines="50"/>
      <w:ind w:firstLine="200" w:firstLineChars="200"/>
    </w:pPr>
    <w:rPr>
      <w:kern w:val="0"/>
      <w:sz w:val="24"/>
      <w:szCs w:val="20"/>
    </w:rPr>
  </w:style>
  <w:style w:type="paragraph" w:customStyle="1" w:styleId="253">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254">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6">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57">
    <w:name w:val="样式 样式 标题 5 + 段前: 5 磅 段后: 5 磅 行距: 单倍行距 + 五号"/>
    <w:basedOn w:val="258"/>
    <w:autoRedefine/>
    <w:qFormat/>
    <w:uiPriority w:val="0"/>
    <w:pPr/>
    <w:rPr>
      <w:sz w:val="21"/>
    </w:rPr>
  </w:style>
  <w:style w:type="paragraph" w:customStyle="1" w:styleId="258">
    <w:name w:val="样式 标题 5 + 段前: 5 磅 段后: 5 磅 行距: 单倍行距"/>
    <w:basedOn w:val="7"/>
    <w:autoRedefine/>
    <w:qFormat/>
    <w:uiPriority w:val="0"/>
    <w:pPr>
      <w:tabs>
        <w:tab w:val="clear" w:pos="1008"/>
      </w:tabs>
      <w:spacing w:before="100" w:after="100" w:line="240" w:lineRule="auto"/>
      <w:ind w:left="0" w:firstLine="0"/>
      <w:jc w:val="left"/>
    </w:pPr>
    <w:rPr>
      <w:rFonts w:eastAsia="宋体" w:cs="宋体"/>
      <w:bCs/>
    </w:rPr>
  </w:style>
  <w:style w:type="paragraph" w:customStyle="1" w:styleId="259">
    <w:name w:val=" Char"/>
    <w:basedOn w:val="1"/>
    <w:autoRedefine/>
    <w:qFormat/>
    <w:uiPriority w:val="0"/>
  </w:style>
  <w:style w:type="paragraph" w:customStyle="1" w:styleId="26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0"/>
      <w:szCs w:val="20"/>
    </w:rPr>
  </w:style>
  <w:style w:type="paragraph" w:customStyle="1" w:styleId="261">
    <w:name w:val="样式 表格 +4"/>
    <w:basedOn w:val="222"/>
    <w:autoRedefine/>
    <w:qFormat/>
    <w:uiPriority w:val="0"/>
    <w:rPr>
      <w:kern w:val="0"/>
    </w:rPr>
  </w:style>
  <w:style w:type="paragraph" w:customStyle="1" w:styleId="262">
    <w:name w:val="样式 正文文本 + 宋体"/>
    <w:basedOn w:val="29"/>
    <w:autoRedefine/>
    <w:qFormat/>
    <w:uiPriority w:val="0"/>
    <w:pPr>
      <w:adjustRightInd/>
      <w:spacing w:line="480" w:lineRule="exact"/>
      <w:jc w:val="both"/>
    </w:pPr>
    <w:rPr>
      <w:rFonts w:hint="default"/>
      <w:kern w:val="0"/>
    </w:rPr>
  </w:style>
  <w:style w:type="paragraph" w:customStyle="1" w:styleId="263">
    <w:name w:val="招标文件标题2节"/>
    <w:basedOn w:val="4"/>
    <w:next w:val="215"/>
    <w:autoRedefine/>
    <w:qFormat/>
    <w:uiPriority w:val="0"/>
    <w:pPr>
      <w:tabs>
        <w:tab w:val="left" w:pos="360"/>
        <w:tab w:val="left" w:pos="1134"/>
      </w:tabs>
      <w:adjustRightInd/>
      <w:spacing w:before="312" w:beforeLines="100" w:after="156" w:afterLines="50"/>
      <w:jc w:val="center"/>
    </w:pPr>
    <w:rPr>
      <w:rFonts w:eastAsia="黑体"/>
      <w:sz w:val="30"/>
      <w:szCs w:val="20"/>
    </w:rPr>
  </w:style>
  <w:style w:type="paragraph" w:customStyle="1" w:styleId="264">
    <w:name w:val="GP公文标题4"/>
    <w:basedOn w:val="1"/>
    <w:next w:val="220"/>
    <w:autoRedefine/>
    <w:qFormat/>
    <w:uiPriority w:val="0"/>
    <w:pPr>
      <w:numPr>
        <w:ilvl w:val="3"/>
        <w:numId w:val="2"/>
      </w:numPr>
      <w:tabs>
        <w:tab w:val="left" w:pos="360"/>
      </w:tabs>
      <w:spacing w:before="156" w:beforeLines="50" w:after="156" w:afterLines="50" w:line="360" w:lineRule="auto"/>
      <w:jc w:val="left"/>
      <w:outlineLvl w:val="3"/>
    </w:pPr>
    <w:rPr>
      <w:rFonts w:eastAsia="仿宋_GB2312"/>
      <w:b/>
      <w:sz w:val="28"/>
      <w:szCs w:val="21"/>
    </w:rPr>
  </w:style>
  <w:style w:type="paragraph" w:customStyle="1" w:styleId="265">
    <w:name w:val="节"/>
    <w:basedOn w:val="4"/>
    <w:autoRedefine/>
    <w:qFormat/>
    <w:uiPriority w:val="0"/>
    <w:pPr>
      <w:adjustRightInd/>
      <w:spacing w:before="160" w:after="160" w:line="720" w:lineRule="exact"/>
      <w:jc w:val="center"/>
    </w:pPr>
    <w:rPr>
      <w:b w:val="0"/>
      <w:bCs/>
      <w:spacing w:val="14"/>
      <w:kern w:val="24"/>
      <w:szCs w:val="20"/>
    </w:rPr>
  </w:style>
  <w:style w:type="paragraph" w:customStyle="1" w:styleId="266">
    <w:name w:val="GP标题4"/>
    <w:basedOn w:val="1"/>
    <w:next w:val="220"/>
    <w:autoRedefine/>
    <w:qFormat/>
    <w:uiPriority w:val="0"/>
    <w:pPr>
      <w:numPr>
        <w:ilvl w:val="3"/>
        <w:numId w:val="3"/>
      </w:numPr>
      <w:tabs>
        <w:tab w:val="left" w:pos="2040"/>
      </w:tabs>
      <w:spacing w:before="156" w:beforeLines="50" w:after="156" w:afterLines="50" w:line="360" w:lineRule="auto"/>
      <w:jc w:val="left"/>
      <w:outlineLvl w:val="3"/>
    </w:pPr>
    <w:rPr>
      <w:rFonts w:ascii="华文细黑" w:hAnsi="华文细黑" w:eastAsia="华文细黑"/>
      <w:b/>
      <w:sz w:val="28"/>
      <w:szCs w:val="21"/>
    </w:rPr>
  </w:style>
  <w:style w:type="paragraph" w:customStyle="1" w:styleId="267">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69">
    <w:name w:val=" 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0">
    <w:name w:val="第一章"/>
    <w:basedOn w:val="4"/>
    <w:autoRedefine/>
    <w:qFormat/>
    <w:uiPriority w:val="0"/>
    <w:pPr>
      <w:tabs>
        <w:tab w:val="left" w:pos="4095"/>
      </w:tabs>
      <w:autoSpaceDE w:val="0"/>
      <w:autoSpaceDN w:val="0"/>
      <w:spacing w:before="0" w:after="0" w:line="600" w:lineRule="auto"/>
      <w:jc w:val="center"/>
    </w:pPr>
    <w:rPr>
      <w:rFonts w:ascii="TimesNewRomanPSMT" w:hAnsi="TimesNewRomanPSMT"/>
      <w:kern w:val="0"/>
      <w:sz w:val="30"/>
      <w:szCs w:val="20"/>
    </w:rPr>
  </w:style>
  <w:style w:type="paragraph" w:customStyle="1" w:styleId="271">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styleId="272">
    <w:name w:val="List Paragraph"/>
    <w:basedOn w:val="1"/>
    <w:autoRedefine/>
    <w:qFormat/>
    <w:uiPriority w:val="34"/>
    <w:pPr>
      <w:ind w:firstLine="420" w:firstLineChars="200"/>
    </w:pPr>
    <w:rPr>
      <w:rFonts w:ascii="Verdana" w:hAnsi="Verdana" w:eastAsia="微软雅黑"/>
      <w:szCs w:val="22"/>
    </w:rPr>
  </w:style>
  <w:style w:type="paragraph" w:customStyle="1" w:styleId="273">
    <w:name w:val="xl77"/>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74">
    <w:name w:val="reader-word-layer reader-word-s5-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6">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277">
    <w:name w:val="xl8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8">
    <w:name w:val="List Paragraph11"/>
    <w:basedOn w:val="1"/>
    <w:autoRedefine/>
    <w:qFormat/>
    <w:uiPriority w:val="0"/>
    <w:pPr>
      <w:ind w:firstLine="420" w:firstLineChars="200"/>
    </w:pPr>
  </w:style>
  <w:style w:type="paragraph" w:customStyle="1" w:styleId="279">
    <w:name w:val="_Style 16"/>
    <w:basedOn w:val="1"/>
    <w:autoRedefine/>
    <w:qFormat/>
    <w:uiPriority w:val="0"/>
    <w:pPr>
      <w:widowControl/>
      <w:spacing w:after="160" w:line="240" w:lineRule="exact"/>
      <w:jc w:val="left"/>
    </w:pPr>
    <w:rPr>
      <w:rFonts w:ascii="Times New Roman" w:hAnsi="Times New Roman"/>
      <w:szCs w:val="20"/>
    </w:rPr>
  </w:style>
  <w:style w:type="paragraph" w:customStyle="1" w:styleId="280">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1">
    <w:name w:val="报告正文"/>
    <w:basedOn w:val="1"/>
    <w:autoRedefine/>
    <w:qFormat/>
    <w:uiPriority w:val="0"/>
    <w:pPr>
      <w:adjustRightInd w:val="0"/>
      <w:snapToGrid w:val="0"/>
      <w:spacing w:line="312" w:lineRule="auto"/>
      <w:ind w:left="2600"/>
    </w:pPr>
    <w:rPr>
      <w:rFonts w:ascii="华文细黑" w:eastAsia="华文细黑"/>
      <w:sz w:val="20"/>
      <w:szCs w:val="20"/>
    </w:rPr>
  </w:style>
  <w:style w:type="paragraph" w:customStyle="1" w:styleId="282">
    <w:name w:val="xl27"/>
    <w:basedOn w:val="1"/>
    <w:autoRedefine/>
    <w:qFormat/>
    <w:uiPriority w:val="0"/>
    <w:pPr>
      <w:widowControl/>
      <w:spacing w:before="100" w:beforeAutospacing="1" w:after="100" w:afterAutospacing="1"/>
      <w:jc w:val="right"/>
      <w:textAlignment w:val="center"/>
    </w:pPr>
    <w:rPr>
      <w:rFonts w:ascii="宋体" w:hAnsi="宋体" w:cs="宋体"/>
      <w:kern w:val="0"/>
      <w:sz w:val="20"/>
      <w:szCs w:val="20"/>
    </w:rPr>
  </w:style>
  <w:style w:type="paragraph" w:customStyle="1" w:styleId="283">
    <w:name w:val="样式 样式2 + 左侧:  1 字符 右侧:  1 字符"/>
    <w:basedOn w:val="284"/>
    <w:autoRedefine/>
    <w:qFormat/>
    <w:uiPriority w:val="0"/>
    <w:pPr>
      <w:ind w:left="0" w:leftChars="0" w:rightChars="0" w:firstLine="200" w:firstLineChars="200"/>
      <w:jc w:val="left"/>
    </w:pPr>
    <w:rPr>
      <w:rFonts w:cs="宋体"/>
      <w:szCs w:val="20"/>
    </w:rPr>
  </w:style>
  <w:style w:type="paragraph" w:customStyle="1" w:styleId="284">
    <w:name w:val="样式2"/>
    <w:basedOn w:val="1"/>
    <w:autoRedefine/>
    <w:qFormat/>
    <w:uiPriority w:val="0"/>
    <w:pPr>
      <w:spacing w:line="360" w:lineRule="auto"/>
      <w:ind w:left="420" w:leftChars="100" w:rightChars="100"/>
    </w:pPr>
    <w:rPr>
      <w:sz w:val="24"/>
    </w:rPr>
  </w:style>
  <w:style w:type="paragraph" w:customStyle="1" w:styleId="285">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86">
    <w:name w:val="PMletterTextBullet"/>
    <w:basedOn w:val="287"/>
    <w:autoRedefine/>
    <w:qFormat/>
    <w:uiPriority w:val="0"/>
    <w:pPr>
      <w:tabs>
        <w:tab w:val="left" w:pos="360"/>
        <w:tab w:val="left" w:pos="1800"/>
      </w:tabs>
      <w:ind w:left="1800" w:hanging="360"/>
    </w:pPr>
  </w:style>
  <w:style w:type="paragraph" w:customStyle="1" w:styleId="287">
    <w:name w:val="PMletterText"/>
    <w:basedOn w:val="288"/>
    <w:autoRedefine/>
    <w:qFormat/>
    <w:uiPriority w:val="0"/>
    <w:pPr>
      <w:spacing w:before="240"/>
      <w:ind w:left="720"/>
    </w:pPr>
  </w:style>
  <w:style w:type="paragraph" w:customStyle="1" w:styleId="288">
    <w:name w:val="PMstyle"/>
    <w:autoRedefine/>
    <w:qFormat/>
    <w:uiPriority w:val="0"/>
    <w:rPr>
      <w:rFonts w:ascii="Tahoma" w:hAnsi="Tahoma" w:eastAsia="宋体" w:cs="Times New Roman"/>
      <w:sz w:val="22"/>
      <w:lang w:val="en-US" w:eastAsia="zh-CN" w:bidi="ar-SA"/>
    </w:rPr>
  </w:style>
  <w:style w:type="paragraph" w:customStyle="1" w:styleId="289">
    <w:name w:val="2"/>
    <w:basedOn w:val="1"/>
    <w:next w:val="38"/>
    <w:autoRedefine/>
    <w:qFormat/>
    <w:uiPriority w:val="0"/>
    <w:rPr>
      <w:rFonts w:ascii="宋体" w:hAnsi="Courier New"/>
      <w:szCs w:val="21"/>
    </w:rPr>
  </w:style>
  <w:style w:type="paragraph" w:customStyle="1" w:styleId="29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91">
    <w:name w:val="列项——"/>
    <w:autoRedefine/>
    <w:qFormat/>
    <w:uiPriority w:val="0"/>
    <w:pPr>
      <w:widowControl w:val="0"/>
      <w:tabs>
        <w:tab w:val="left" w:pos="854"/>
      </w:tabs>
      <w:jc w:val="both"/>
    </w:pPr>
    <w:rPr>
      <w:rFonts w:ascii="宋体" w:hAnsi="Times New Roman" w:eastAsia="宋体" w:cs="Times New Roman"/>
      <w:sz w:val="21"/>
      <w:lang w:val="en-US" w:eastAsia="zh-CN" w:bidi="ar-SA"/>
    </w:rPr>
  </w:style>
  <w:style w:type="paragraph" w:customStyle="1" w:styleId="292">
    <w:name w:val="标题二"/>
    <w:basedOn w:val="4"/>
    <w:autoRedefine/>
    <w:qFormat/>
    <w:uiPriority w:val="0"/>
    <w:pPr>
      <w:adjustRightInd/>
      <w:spacing w:before="0" w:line="240" w:lineRule="auto"/>
      <w:jc w:val="center"/>
    </w:pPr>
    <w:rPr>
      <w:color w:val="000000"/>
      <w:sz w:val="30"/>
      <w:szCs w:val="20"/>
    </w:rPr>
  </w:style>
  <w:style w:type="paragraph" w:customStyle="1" w:styleId="293">
    <w:name w:val="Char"/>
    <w:basedOn w:val="1"/>
    <w:autoRedefine/>
    <w:qFormat/>
    <w:uiPriority w:val="0"/>
  </w:style>
  <w:style w:type="paragraph" w:customStyle="1" w:styleId="294">
    <w:name w:val="样式 样式 标题 4 + 段前: 5 磅 段后: 5 磅 行距: 单倍行距 + 五号"/>
    <w:basedOn w:val="295"/>
    <w:autoRedefine/>
    <w:qFormat/>
    <w:uiPriority w:val="0"/>
    <w:rPr>
      <w:sz w:val="21"/>
    </w:rPr>
  </w:style>
  <w:style w:type="paragraph" w:customStyle="1" w:styleId="295">
    <w:name w:val="样式 标题 4 + 段前: 5 磅 段后: 5 磅 行距: 单倍行距"/>
    <w:basedOn w:val="6"/>
    <w:autoRedefine/>
    <w:qFormat/>
    <w:uiPriority w:val="0"/>
    <w:pPr>
      <w:adjustRightInd w:val="0"/>
      <w:spacing w:before="100" w:after="100" w:line="240" w:lineRule="auto"/>
      <w:textAlignment w:val="baseline"/>
    </w:pPr>
    <w:rPr>
      <w:rFonts w:ascii="Arial" w:hAnsi="Arial" w:eastAsia="黑体" w:cs="宋体"/>
      <w:bCs w:val="0"/>
      <w:color w:val="auto"/>
      <w:spacing w:val="0"/>
      <w:kern w:val="0"/>
      <w:sz w:val="28"/>
      <w:szCs w:val="20"/>
    </w:rPr>
  </w:style>
  <w:style w:type="paragraph" w:customStyle="1" w:styleId="296">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97">
    <w:name w:val="样式 样式 样式 样式 标题 2 + 宋体 五号 非加粗 黑色 + 段前: 6 磅 段后: 0 磅 行距: 单倍行距 + 段前:..."/>
    <w:basedOn w:val="298"/>
    <w:autoRedefine/>
    <w:qFormat/>
    <w:uiPriority w:val="0"/>
    <w:rPr>
      <w:b/>
      <w:bCs/>
    </w:rPr>
  </w:style>
  <w:style w:type="paragraph" w:customStyle="1" w:styleId="298">
    <w:name w:val="样式 样式 样式 标题 2 + 宋体 五号 非加粗 黑色 + 段前: 6 磅 段后: 0 磅 行距: 单倍行距 + 段前: 12..."/>
    <w:basedOn w:val="299"/>
    <w:autoRedefine/>
    <w:qFormat/>
    <w:uiPriority w:val="0"/>
    <w:pPr>
      <w:spacing w:before="240"/>
    </w:pPr>
  </w:style>
  <w:style w:type="paragraph" w:customStyle="1" w:styleId="299">
    <w:name w:val="样式 样式 标题 2 + 宋体 五号 非加粗 黑色 + 段前: 6 磅 段后: 0 磅 行距: 单倍行距"/>
    <w:basedOn w:val="250"/>
    <w:autoRedefine/>
    <w:qFormat/>
    <w:uiPriority w:val="0"/>
    <w:pPr>
      <w:spacing w:before="120" w:after="0" w:line="240" w:lineRule="auto"/>
    </w:pPr>
    <w:rPr>
      <w:rFonts w:cs="宋体"/>
      <w:szCs w:val="20"/>
    </w:rPr>
  </w:style>
  <w:style w:type="paragraph" w:customStyle="1" w:styleId="300">
    <w:name w:val="样式 标题 2 + 宋体 五号 行距: 单倍行距"/>
    <w:basedOn w:val="4"/>
    <w:autoRedefine/>
    <w:qFormat/>
    <w:uiPriority w:val="0"/>
    <w:pPr>
      <w:keepNext/>
      <w:keepLines/>
      <w:spacing w:before="260" w:after="260" w:line="240" w:lineRule="auto"/>
      <w:ind w:firstLine="0" w:firstLineChars="0"/>
      <w:jc w:val="left"/>
      <w:textAlignment w:val="baseline"/>
    </w:pPr>
    <w:rPr>
      <w:rFonts w:cs="宋体"/>
      <w:bCs/>
      <w:kern w:val="0"/>
      <w:sz w:val="21"/>
      <w:szCs w:val="20"/>
    </w:rPr>
  </w:style>
  <w:style w:type="paragraph" w:customStyle="1" w:styleId="301">
    <w:name w:val="GP标题1"/>
    <w:basedOn w:val="1"/>
    <w:next w:val="220"/>
    <w:autoRedefine/>
    <w:qFormat/>
    <w:uiPriority w:val="0"/>
    <w:pPr>
      <w:numPr>
        <w:ilvl w:val="0"/>
        <w:numId w:val="3"/>
      </w:numPr>
      <w:spacing w:before="312" w:beforeLines="100" w:after="312" w:afterLines="100" w:line="360" w:lineRule="auto"/>
      <w:jc w:val="center"/>
      <w:outlineLvl w:val="0"/>
    </w:pPr>
    <w:rPr>
      <w:rFonts w:ascii="黑体" w:hAnsi="黑体" w:eastAsia="黑体"/>
      <w:b/>
      <w:sz w:val="36"/>
      <w:szCs w:val="21"/>
    </w:rPr>
  </w:style>
  <w:style w:type="paragraph" w:customStyle="1" w:styleId="302">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03">
    <w:name w:val="标题三"/>
    <w:basedOn w:val="5"/>
    <w:autoRedefine/>
    <w:qFormat/>
    <w:uiPriority w:val="0"/>
    <w:pPr>
      <w:spacing w:before="0" w:after="0" w:line="360" w:lineRule="auto"/>
      <w:ind w:firstLine="403"/>
    </w:pPr>
    <w:rPr>
      <w:rFonts w:ascii="宋体"/>
      <w:bCs w:val="0"/>
      <w:color w:val="000000"/>
      <w:sz w:val="24"/>
      <w:szCs w:val="20"/>
    </w:rPr>
  </w:style>
  <w:style w:type="paragraph" w:customStyle="1" w:styleId="304">
    <w:name w:val="reader-word-layer reader-word-s5-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5">
    <w:name w:val="reader-word-layer reader-word-s1-11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6">
    <w:name w:val="样式 表格 + 行距: 固定值 23 磅"/>
    <w:basedOn w:val="222"/>
    <w:autoRedefine/>
    <w:qFormat/>
    <w:uiPriority w:val="0"/>
    <w:pPr>
      <w:spacing w:line="460" w:lineRule="exact"/>
    </w:pPr>
  </w:style>
  <w:style w:type="paragraph" w:customStyle="1" w:styleId="307">
    <w:name w:val="Body Text 2"/>
    <w:basedOn w:val="1"/>
    <w:autoRedefine/>
    <w:qFormat/>
    <w:uiPriority w:val="0"/>
    <w:pPr>
      <w:adjustRightInd w:val="0"/>
      <w:spacing w:line="300" w:lineRule="auto"/>
      <w:jc w:val="center"/>
    </w:pPr>
    <w:rPr>
      <w:rFonts w:hint="eastAsia" w:ascii="宋体" w:hAnsi="宋体"/>
      <w:sz w:val="24"/>
      <w:szCs w:val="20"/>
    </w:rPr>
  </w:style>
  <w:style w:type="paragraph" w:customStyle="1" w:styleId="308">
    <w:name w:val="reader-word-layer"/>
    <w:basedOn w:val="1"/>
    <w:autoRedefine/>
    <w:qFormat/>
    <w:uiPriority w:val="0"/>
    <w:pPr>
      <w:widowControl/>
      <w:spacing w:before="100" w:beforeAutospacing="1" w:after="100" w:afterAutospacing="1"/>
      <w:jc w:val="left"/>
    </w:pPr>
    <w:rPr>
      <w:rFonts w:ascii="宋体" w:hAnsi="Times New Roman" w:cs="宋体"/>
      <w:sz w:val="24"/>
      <w:szCs w:val="20"/>
    </w:rPr>
  </w:style>
  <w:style w:type="paragraph" w:customStyle="1" w:styleId="309">
    <w:name w:val="默认段落字体 Para Char Char Char Char Char Char Char Char Char1 Char Char Char"/>
    <w:basedOn w:val="1"/>
    <w:autoRedefine/>
    <w:qFormat/>
    <w:uiPriority w:val="0"/>
    <w:rPr>
      <w:rFonts w:ascii="Tahoma" w:hAnsi="Tahoma"/>
      <w:sz w:val="24"/>
      <w:szCs w:val="20"/>
    </w:rPr>
  </w:style>
  <w:style w:type="paragraph" w:customStyle="1" w:styleId="310">
    <w:name w:val="标题一"/>
    <w:basedOn w:val="3"/>
    <w:autoRedefine/>
    <w:qFormat/>
    <w:uiPriority w:val="0"/>
    <w:pPr>
      <w:adjustRightInd/>
      <w:spacing w:before="240" w:after="240" w:line="240" w:lineRule="auto"/>
    </w:pPr>
    <w:rPr>
      <w:rFonts w:ascii="宋体"/>
      <w:bCs w:val="0"/>
      <w:color w:val="000000"/>
      <w:sz w:val="32"/>
      <w:szCs w:val="20"/>
    </w:rPr>
  </w:style>
  <w:style w:type="paragraph" w:customStyle="1" w:styleId="311">
    <w:name w:val="xl6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12">
    <w:name w:val="xl87"/>
    <w:basedOn w:val="1"/>
    <w:autoRedefine/>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313">
    <w:name w:val="_Style 561"/>
    <w:basedOn w:val="22"/>
    <w:autoRedefine/>
    <w:qFormat/>
    <w:uiPriority w:val="0"/>
  </w:style>
  <w:style w:type="paragraph" w:customStyle="1" w:styleId="314">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5">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16">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7">
    <w:name w:val="font6"/>
    <w:basedOn w:val="1"/>
    <w:autoRedefine/>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318">
    <w:name w:val="GP标题2"/>
    <w:basedOn w:val="1"/>
    <w:next w:val="220"/>
    <w:autoRedefine/>
    <w:qFormat/>
    <w:uiPriority w:val="0"/>
    <w:pPr>
      <w:numPr>
        <w:ilvl w:val="1"/>
        <w:numId w:val="3"/>
      </w:numPr>
      <w:tabs>
        <w:tab w:val="left" w:pos="2040"/>
      </w:tabs>
      <w:spacing w:before="156" w:beforeLines="50" w:after="156" w:afterLines="50" w:line="360" w:lineRule="auto"/>
      <w:jc w:val="left"/>
      <w:outlineLvl w:val="1"/>
    </w:pPr>
    <w:rPr>
      <w:rFonts w:ascii="华文细黑" w:hAnsi="华文细黑" w:eastAsia="华文细黑"/>
      <w:b/>
      <w:sz w:val="32"/>
      <w:szCs w:val="21"/>
    </w:rPr>
  </w:style>
  <w:style w:type="paragraph" w:customStyle="1" w:styleId="319">
    <w:name w:val="wdm30"/>
    <w:basedOn w:val="6"/>
    <w:autoRedefine/>
    <w:qFormat/>
    <w:uiPriority w:val="0"/>
    <w:pPr>
      <w:keepNext w:val="0"/>
      <w:keepLines w:val="0"/>
      <w:spacing w:before="0" w:after="0" w:line="360" w:lineRule="auto"/>
      <w:jc w:val="both"/>
      <w:outlineLvl w:val="9"/>
    </w:pPr>
    <w:rPr>
      <w:bCs w:val="0"/>
      <w:color w:val="auto"/>
      <w:spacing w:val="0"/>
      <w:kern w:val="2"/>
      <w:szCs w:val="28"/>
    </w:rPr>
  </w:style>
  <w:style w:type="paragraph" w:customStyle="1" w:styleId="320">
    <w:name w:val="p0"/>
    <w:basedOn w:val="1"/>
    <w:autoRedefine/>
    <w:qFormat/>
    <w:uiPriority w:val="0"/>
    <w:pPr>
      <w:widowControl/>
      <w:spacing w:line="365" w:lineRule="atLeast"/>
      <w:ind w:left="1"/>
      <w:textAlignment w:val="bottom"/>
    </w:pPr>
    <w:rPr>
      <w:kern w:val="0"/>
      <w:sz w:val="20"/>
      <w:szCs w:val="20"/>
    </w:rPr>
  </w:style>
  <w:style w:type="paragraph" w:customStyle="1" w:styleId="321">
    <w:name w:val="reader-word-layer reader-word-s5-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2">
    <w:name w:val="Char Char Char Char"/>
    <w:basedOn w:val="4"/>
    <w:autoRedefine/>
    <w:qFormat/>
    <w:uiPriority w:val="0"/>
    <w:pPr>
      <w:keepLines w:val="0"/>
      <w:widowControl/>
      <w:tabs>
        <w:tab w:val="left" w:pos="360"/>
      </w:tabs>
      <w:adjustRightInd/>
      <w:spacing w:before="240" w:after="160" w:line="240" w:lineRule="auto"/>
      <w:jc w:val="center"/>
    </w:pPr>
    <w:rPr>
      <w:rFonts w:ascii="Verdana" w:hAnsi="Verdana" w:cs="Arial"/>
      <w:b w:val="0"/>
      <w:bCs/>
      <w:iCs/>
      <w:snapToGrid/>
      <w:sz w:val="36"/>
      <w:szCs w:val="20"/>
      <w:lang w:eastAsia="en-US"/>
    </w:rPr>
  </w:style>
  <w:style w:type="paragraph" w:customStyle="1" w:styleId="323">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32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b/>
      <w:bCs/>
      <w:kern w:val="0"/>
      <w:sz w:val="20"/>
      <w:szCs w:val="20"/>
    </w:rPr>
  </w:style>
  <w:style w:type="paragraph" w:customStyle="1" w:styleId="325">
    <w:name w:val="样式 表格 +2"/>
    <w:basedOn w:val="222"/>
    <w:autoRedefine/>
    <w:qFormat/>
    <w:uiPriority w:val="0"/>
    <w:rPr>
      <w:kern w:val="0"/>
    </w:rPr>
  </w:style>
  <w:style w:type="paragraph" w:customStyle="1" w:styleId="326">
    <w:name w:val="xl89"/>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27">
    <w:name w:val="xl100"/>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0">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31">
    <w:name w:val="列表段落2"/>
    <w:basedOn w:val="1"/>
    <w:autoRedefine/>
    <w:qFormat/>
    <w:uiPriority w:val="34"/>
    <w:pPr>
      <w:ind w:firstLine="420" w:firstLineChars="200"/>
    </w:pPr>
    <w:rPr>
      <w:rFonts w:ascii="Calibri" w:hAnsi="Calibri" w:eastAsia="宋体" w:cs="Times New Roman"/>
      <w:szCs w:val="22"/>
    </w:rPr>
  </w:style>
  <w:style w:type="paragraph" w:customStyle="1" w:styleId="332">
    <w:name w:val="reader-word-layer reader-word-s5-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4">
    <w:name w:val="图"/>
    <w:basedOn w:val="1"/>
    <w:autoRedefine/>
    <w:qFormat/>
    <w:uiPriority w:val="0"/>
    <w:pPr>
      <w:keepNext/>
      <w:adjustRightInd w:val="0"/>
      <w:spacing w:before="60" w:after="60" w:line="300" w:lineRule="auto"/>
      <w:jc w:val="center"/>
      <w:textAlignment w:val="center"/>
    </w:pPr>
    <w:rPr>
      <w:spacing w:val="20"/>
      <w:kern w:val="0"/>
      <w:sz w:val="24"/>
      <w:szCs w:val="20"/>
    </w:rPr>
  </w:style>
  <w:style w:type="paragraph" w:customStyle="1" w:styleId="3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kern w:val="0"/>
      <w:sz w:val="20"/>
      <w:szCs w:val="20"/>
    </w:rPr>
  </w:style>
  <w:style w:type="paragraph" w:customStyle="1" w:styleId="336">
    <w:name w:val="表内文字"/>
    <w:basedOn w:val="1"/>
    <w:autoRedefine/>
    <w:qFormat/>
    <w:uiPriority w:val="0"/>
    <w:pPr>
      <w:spacing w:line="240" w:lineRule="atLeast"/>
      <w:jc w:val="center"/>
    </w:pPr>
    <w:rPr>
      <w:rFonts w:ascii="Arial" w:hAnsi="Arial" w:cs="Arial"/>
      <w:b/>
      <w:bCs/>
    </w:rPr>
  </w:style>
  <w:style w:type="paragraph" w:customStyle="1" w:styleId="337">
    <w:name w:val="PMtextBullet"/>
    <w:basedOn w:val="288"/>
    <w:autoRedefine/>
    <w:qFormat/>
    <w:uiPriority w:val="0"/>
    <w:pPr>
      <w:tabs>
        <w:tab w:val="left" w:pos="720"/>
        <w:tab w:val="left" w:pos="2520"/>
      </w:tabs>
      <w:spacing w:after="200"/>
      <w:ind w:left="2520" w:hanging="720"/>
    </w:pPr>
  </w:style>
  <w:style w:type="paragraph" w:customStyle="1" w:styleId="33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339">
    <w:name w:val="题注4"/>
    <w:basedOn w:val="1"/>
    <w:next w:val="19"/>
    <w:autoRedefine/>
    <w:qFormat/>
    <w:uiPriority w:val="0"/>
    <w:pPr>
      <w:jc w:val="center"/>
    </w:pPr>
    <w:rPr>
      <w:color w:val="000000"/>
      <w:sz w:val="24"/>
      <w:lang w:val="en-GB"/>
    </w:rPr>
  </w:style>
  <w:style w:type="paragraph" w:customStyle="1" w:styleId="340">
    <w:name w:val=" Char3 Char Char"/>
    <w:basedOn w:val="1"/>
    <w:autoRedefine/>
    <w:qFormat/>
    <w:uiPriority w:val="0"/>
    <w:pPr>
      <w:widowControl/>
      <w:spacing w:after="160" w:line="240" w:lineRule="exact"/>
      <w:jc w:val="left"/>
    </w:pPr>
  </w:style>
  <w:style w:type="paragraph" w:customStyle="1" w:styleId="341">
    <w:name w:val="GP公文标题2"/>
    <w:basedOn w:val="1"/>
    <w:next w:val="220"/>
    <w:autoRedefine/>
    <w:qFormat/>
    <w:uiPriority w:val="0"/>
    <w:pPr>
      <w:numPr>
        <w:ilvl w:val="1"/>
        <w:numId w:val="2"/>
      </w:numPr>
      <w:tabs>
        <w:tab w:val="left" w:pos="360"/>
      </w:tabs>
      <w:spacing w:before="156" w:beforeLines="50" w:after="156" w:afterLines="50" w:line="360" w:lineRule="auto"/>
      <w:jc w:val="left"/>
      <w:outlineLvl w:val="1"/>
    </w:pPr>
    <w:rPr>
      <w:rFonts w:eastAsia="仿宋_GB2312"/>
      <w:b/>
      <w:sz w:val="32"/>
      <w:szCs w:val="21"/>
    </w:rPr>
  </w:style>
  <w:style w:type="paragraph" w:customStyle="1" w:styleId="3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43">
    <w:name w:val="样式 宋体 黑色 居中 段前: 5 磅 段后: 5 磅 行距: 1.5 倍行距"/>
    <w:basedOn w:val="1"/>
    <w:autoRedefine/>
    <w:qFormat/>
    <w:uiPriority w:val="0"/>
    <w:pPr>
      <w:spacing w:before="100" w:after="100" w:line="360" w:lineRule="auto"/>
      <w:jc w:val="center"/>
    </w:pPr>
    <w:rPr>
      <w:rFonts w:ascii="宋体" w:hAnsi="宋体"/>
      <w:color w:val="000000"/>
      <w:kern w:val="0"/>
      <w:sz w:val="24"/>
      <w:szCs w:val="20"/>
    </w:rPr>
  </w:style>
  <w:style w:type="paragraph" w:customStyle="1" w:styleId="344">
    <w:name w:val="reader-word-layer reader-word-s1-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标书标题2"/>
    <w:basedOn w:val="4"/>
    <w:autoRedefine/>
    <w:qFormat/>
    <w:uiPriority w:val="0"/>
    <w:pPr>
      <w:keepLines w:val="0"/>
      <w:widowControl/>
      <w:tabs>
        <w:tab w:val="left" w:pos="840"/>
      </w:tabs>
      <w:snapToGrid w:val="0"/>
      <w:spacing w:before="120" w:beforeLines="50" w:after="60" w:line="300" w:lineRule="auto"/>
      <w:ind w:left="840" w:hanging="420"/>
    </w:pPr>
    <w:rPr>
      <w:rFonts w:ascii="Arial Narrow" w:hAnsi="Arial Narrow" w:eastAsia="仿宋_GB2312"/>
      <w:bCs/>
      <w:kern w:val="0"/>
      <w:szCs w:val="20"/>
    </w:rPr>
  </w:style>
  <w:style w:type="paragraph" w:customStyle="1" w:styleId="346">
    <w:name w:val="书籍标题3"/>
    <w:basedOn w:val="1"/>
    <w:autoRedefine/>
    <w:qFormat/>
    <w:uiPriority w:val="0"/>
    <w:pPr>
      <w:numPr>
        <w:ilvl w:val="1"/>
        <w:numId w:val="4"/>
      </w:numPr>
      <w:tabs>
        <w:tab w:val="left" w:pos="1260"/>
        <w:tab w:val="clear" w:pos="576"/>
      </w:tabs>
      <w:spacing w:before="312" w:beforeLines="100" w:after="312" w:afterLines="100"/>
      <w:ind w:left="1260" w:hanging="420"/>
      <w:jc w:val="left"/>
      <w:outlineLvl w:val="2"/>
    </w:pPr>
    <w:rPr>
      <w:b/>
      <w:bCs/>
      <w:spacing w:val="20"/>
      <w:sz w:val="28"/>
      <w:szCs w:val="28"/>
    </w:rPr>
  </w:style>
  <w:style w:type="paragraph" w:customStyle="1" w:styleId="347">
    <w:name w:val="xl107"/>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48">
    <w:name w:val="默认段落字体 Para Char Char Char Char Char Char Char Char Char Char"/>
    <w:basedOn w:val="1"/>
    <w:autoRedefine/>
    <w:qFormat/>
    <w:uiPriority w:val="0"/>
    <w:rPr>
      <w:rFonts w:ascii="Tahoma" w:hAnsi="Tahoma"/>
      <w:color w:val="000000"/>
      <w:sz w:val="24"/>
      <w:szCs w:val="20"/>
    </w:rPr>
  </w:style>
  <w:style w:type="paragraph" w:customStyle="1" w:styleId="349">
    <w:name w:val="标2"/>
    <w:basedOn w:val="1"/>
    <w:autoRedefine/>
    <w:qFormat/>
    <w:uiPriority w:val="0"/>
    <w:pPr>
      <w:framePr w:hSpace="180" w:wrap="around" w:vAnchor="page" w:hAnchor="margin" w:y="2086"/>
      <w:adjustRightInd w:val="0"/>
      <w:snapToGrid w:val="0"/>
      <w:spacing w:beforeLines="50" w:afterLines="50"/>
      <w:outlineLvl w:val="1"/>
    </w:pPr>
    <w:rPr>
      <w:rFonts w:ascii="Calibri" w:hAnsi="Calibri" w:eastAsia="宋体" w:cs="Times New Roman"/>
      <w:b/>
      <w:kern w:val="0"/>
      <w:szCs w:val="21"/>
    </w:rPr>
  </w:style>
  <w:style w:type="paragraph" w:customStyle="1" w:styleId="350">
    <w:name w:val=" Char Char1 Char"/>
    <w:basedOn w:val="1"/>
    <w:autoRedefine/>
    <w:qFormat/>
    <w:uiPriority w:val="0"/>
    <w:rPr>
      <w:szCs w:val="20"/>
    </w:rPr>
  </w:style>
  <w:style w:type="paragraph" w:customStyle="1" w:styleId="351">
    <w:name w:val="_Style 1"/>
    <w:basedOn w:val="1"/>
    <w:autoRedefine/>
    <w:qFormat/>
    <w:uiPriority w:val="0"/>
    <w:pPr>
      <w:ind w:firstLine="420" w:firstLineChars="200"/>
    </w:pPr>
    <w:rPr>
      <w:rFonts w:ascii="Calibri" w:hAnsi="Calibri"/>
      <w:szCs w:val="22"/>
    </w:rPr>
  </w:style>
  <w:style w:type="paragraph" w:customStyle="1" w:styleId="352">
    <w:name w:val="样式 表格 + 行距: 固定值 25 磅"/>
    <w:basedOn w:val="222"/>
    <w:autoRedefine/>
    <w:qFormat/>
    <w:uiPriority w:val="0"/>
    <w:pPr>
      <w:spacing w:line="500" w:lineRule="exact"/>
    </w:pPr>
    <w:rPr>
      <w:kern w:val="0"/>
    </w:rPr>
  </w:style>
  <w:style w:type="paragraph" w:customStyle="1" w:styleId="353">
    <w:name w:val="样式 (符号) 宋体 二号 加粗 居中 左侧:  0.85 厘米 首行缩进:  1.56 厘米 行距: 固定值 23..."/>
    <w:basedOn w:val="1"/>
    <w:autoRedefine/>
    <w:qFormat/>
    <w:uiPriority w:val="0"/>
    <w:pPr>
      <w:spacing w:line="460" w:lineRule="exact"/>
      <w:ind w:left="480" w:firstLine="883"/>
      <w:jc w:val="center"/>
    </w:pPr>
    <w:rPr>
      <w:rFonts w:hAnsi="宋体"/>
      <w:b/>
      <w:sz w:val="44"/>
      <w:szCs w:val="20"/>
    </w:rPr>
  </w:style>
  <w:style w:type="paragraph" w:customStyle="1" w:styleId="35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5">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6">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0"/>
      <w:szCs w:val="20"/>
    </w:rPr>
  </w:style>
  <w:style w:type="paragraph" w:customStyle="1" w:styleId="3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8">
    <w:name w:val="样式 加点正文 + 段前: 0.5 行 段后: 0.5 行1"/>
    <w:basedOn w:val="1"/>
    <w:autoRedefine/>
    <w:qFormat/>
    <w:uiPriority w:val="0"/>
    <w:pPr>
      <w:tabs>
        <w:tab w:val="left" w:pos="1268"/>
        <w:tab w:val="left" w:pos="1620"/>
      </w:tabs>
      <w:spacing w:before="50" w:beforeLines="50" w:after="50" w:afterLines="50" w:line="300" w:lineRule="auto"/>
      <w:ind w:left="1268" w:hanging="360"/>
    </w:pPr>
    <w:rPr>
      <w:sz w:val="24"/>
      <w:szCs w:val="20"/>
    </w:rPr>
  </w:style>
  <w:style w:type="paragraph" w:customStyle="1" w:styleId="359">
    <w:name w:val="正文文字"/>
    <w:basedOn w:val="1"/>
    <w:autoRedefine/>
    <w:qFormat/>
    <w:uiPriority w:val="0"/>
    <w:pPr>
      <w:widowControl/>
      <w:spacing w:line="952" w:lineRule="atLeast"/>
      <w:ind w:firstLine="419"/>
      <w:textAlignment w:val="baseline"/>
    </w:pPr>
    <w:rPr>
      <w:b/>
      <w:color w:val="000000"/>
      <w:kern w:val="0"/>
      <w:sz w:val="44"/>
      <w:szCs w:val="20"/>
      <w:u w:val="none" w:color="000000"/>
    </w:rPr>
  </w:style>
  <w:style w:type="paragraph" w:customStyle="1" w:styleId="360">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1">
    <w:name w:val="小标题"/>
    <w:basedOn w:val="6"/>
    <w:autoRedefine/>
    <w:qFormat/>
    <w:uiPriority w:val="0"/>
    <w:pPr>
      <w:spacing w:before="120" w:after="120" w:line="377" w:lineRule="auto"/>
      <w:jc w:val="center"/>
    </w:pPr>
    <w:rPr>
      <w:rFonts w:ascii="Arial" w:hAnsi="Arial"/>
      <w:color w:val="auto"/>
      <w:spacing w:val="0"/>
      <w:kern w:val="2"/>
      <w:sz w:val="30"/>
      <w:szCs w:val="20"/>
    </w:rPr>
  </w:style>
  <w:style w:type="paragraph" w:customStyle="1" w:styleId="36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3">
    <w:name w:val="样式 标题 3h3H3sect1.2.3 + 五号 段前: 6 磅 段后: 6 磅 行距: 单倍行距"/>
    <w:basedOn w:val="5"/>
    <w:autoRedefine/>
    <w:qFormat/>
    <w:uiPriority w:val="0"/>
    <w:pPr>
      <w:tabs>
        <w:tab w:val="left" w:pos="735"/>
      </w:tabs>
      <w:adjustRightInd w:val="0"/>
      <w:spacing w:before="120" w:after="120" w:line="240" w:lineRule="auto"/>
      <w:ind w:left="735" w:hanging="735"/>
      <w:jc w:val="left"/>
      <w:textAlignment w:val="baseline"/>
    </w:pPr>
    <w:rPr>
      <w:rFonts w:cs="宋体"/>
      <w:kern w:val="0"/>
      <w:sz w:val="21"/>
      <w:szCs w:val="20"/>
    </w:rPr>
  </w:style>
  <w:style w:type="paragraph" w:customStyle="1" w:styleId="36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5">
    <w:name w:val="xl85"/>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66">
    <w:name w:val="标书标题4"/>
    <w:basedOn w:val="6"/>
    <w:autoRedefine/>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367">
    <w:name w:val="样式 正文首行缩进 + 首行缩进:  1 字符"/>
    <w:basedOn w:val="1"/>
    <w:autoRedefine/>
    <w:qFormat/>
    <w:uiPriority w:val="0"/>
    <w:pPr>
      <w:spacing w:after="120" w:line="480" w:lineRule="auto"/>
      <w:ind w:firstLine="200" w:firstLineChars="200"/>
    </w:pPr>
    <w:rPr>
      <w:rFonts w:eastAsia="华文中宋"/>
      <w:spacing w:val="20"/>
      <w:sz w:val="24"/>
    </w:rPr>
  </w:style>
  <w:style w:type="paragraph" w:customStyle="1" w:styleId="368">
    <w:name w:val="2级列表"/>
    <w:basedOn w:val="1"/>
    <w:autoRedefine/>
    <w:qFormat/>
    <w:uiPriority w:val="0"/>
    <w:pPr>
      <w:spacing w:before="156" w:beforeLines="50"/>
    </w:pPr>
    <w:rPr>
      <w:rFonts w:eastAsia="楷体_GB2312"/>
      <w:sz w:val="24"/>
    </w:rPr>
  </w:style>
  <w:style w:type="paragraph" w:customStyle="1" w:styleId="369">
    <w:name w:val="小节"/>
    <w:basedOn w:val="5"/>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370">
    <w:name w:val="xl82"/>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71">
    <w:name w:val="reader-word-layer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xl108"/>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73">
    <w:name w:val="xl90"/>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7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75">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6">
    <w:name w:val="样式 表格 + 行距: 2 倍行距"/>
    <w:basedOn w:val="222"/>
    <w:autoRedefine/>
    <w:qFormat/>
    <w:uiPriority w:val="0"/>
    <w:pPr>
      <w:spacing w:line="480" w:lineRule="auto"/>
    </w:pPr>
    <w:rPr>
      <w:kern w:val="0"/>
    </w:rPr>
  </w:style>
  <w:style w:type="paragraph" w:customStyle="1" w:styleId="37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b/>
      <w:bCs/>
      <w:kern w:val="0"/>
      <w:sz w:val="20"/>
      <w:szCs w:val="20"/>
    </w:rPr>
  </w:style>
  <w:style w:type="paragraph" w:customStyle="1" w:styleId="378">
    <w:name w:val="表格标题2"/>
    <w:basedOn w:val="379"/>
    <w:autoRedefine/>
    <w:qFormat/>
    <w:uiPriority w:val="0"/>
    <w:rPr>
      <w:b/>
    </w:rPr>
  </w:style>
  <w:style w:type="paragraph" w:customStyle="1" w:styleId="379">
    <w:name w:val="表格内文"/>
    <w:basedOn w:val="1"/>
    <w:autoRedefine/>
    <w:qFormat/>
    <w:uiPriority w:val="0"/>
    <w:pPr>
      <w:spacing w:line="360" w:lineRule="auto"/>
    </w:pPr>
    <w:rPr>
      <w:rFonts w:ascii="宋体" w:hAnsi="宋体" w:cs="宋体"/>
      <w:color w:val="000000"/>
      <w:szCs w:val="20"/>
    </w:rPr>
  </w:style>
  <w:style w:type="paragraph" w:customStyle="1" w:styleId="380">
    <w:name w:val="_Style 2"/>
    <w:basedOn w:val="1"/>
    <w:autoRedefine/>
    <w:qFormat/>
    <w:uiPriority w:val="0"/>
    <w:pPr>
      <w:ind w:firstLine="420" w:firstLineChars="200"/>
    </w:pPr>
  </w:style>
  <w:style w:type="paragraph" w:customStyle="1" w:styleId="381">
    <w:name w:val="GP公文标题5"/>
    <w:basedOn w:val="1"/>
    <w:next w:val="220"/>
    <w:autoRedefine/>
    <w:qFormat/>
    <w:uiPriority w:val="0"/>
    <w:pPr>
      <w:numPr>
        <w:ilvl w:val="4"/>
        <w:numId w:val="2"/>
      </w:numPr>
      <w:tabs>
        <w:tab w:val="left" w:pos="360"/>
      </w:tabs>
      <w:spacing w:before="156" w:beforeLines="50" w:after="156" w:afterLines="50" w:line="360" w:lineRule="auto"/>
      <w:jc w:val="left"/>
      <w:outlineLvl w:val="4"/>
    </w:pPr>
    <w:rPr>
      <w:rFonts w:eastAsia="仿宋_GB2312"/>
      <w:b/>
      <w:sz w:val="24"/>
      <w:szCs w:val="21"/>
    </w:rPr>
  </w:style>
  <w:style w:type="paragraph" w:customStyle="1" w:styleId="382">
    <w:name w:val="第四标题"/>
    <w:basedOn w:val="1"/>
    <w:next w:val="6"/>
    <w:autoRedefine/>
    <w:qFormat/>
    <w:uiPriority w:val="0"/>
    <w:pPr>
      <w:autoSpaceDE w:val="0"/>
      <w:autoSpaceDN w:val="0"/>
      <w:adjustRightInd w:val="0"/>
      <w:spacing w:line="360" w:lineRule="auto"/>
      <w:jc w:val="left"/>
    </w:pPr>
    <w:rPr>
      <w:rFonts w:ascii="TimesNewRomanPSMT" w:hAnsi="TimesNewRomanPSMT"/>
      <w:kern w:val="0"/>
      <w:sz w:val="28"/>
      <w:szCs w:val="20"/>
    </w:rPr>
  </w:style>
  <w:style w:type="paragraph" w:customStyle="1" w:styleId="38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4">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5">
    <w:name w:val="xl9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7">
    <w:name w:val="列表段落1"/>
    <w:basedOn w:val="1"/>
    <w:autoRedefine/>
    <w:qFormat/>
    <w:uiPriority w:val="34"/>
    <w:pPr>
      <w:ind w:firstLine="420" w:firstLineChars="200"/>
    </w:pPr>
    <w:rPr>
      <w:rFonts w:ascii="Calibri" w:hAnsi="Calibri" w:eastAsia="宋体" w:cs="Times New Roman"/>
      <w:szCs w:val="22"/>
    </w:rPr>
  </w:style>
  <w:style w:type="paragraph" w:customStyle="1" w:styleId="388">
    <w:name w:val="样式 表格 +1"/>
    <w:basedOn w:val="222"/>
    <w:autoRedefine/>
    <w:qFormat/>
    <w:uiPriority w:val="0"/>
    <w:rPr>
      <w:kern w:val="0"/>
    </w:rPr>
  </w:style>
  <w:style w:type="paragraph" w:customStyle="1" w:styleId="389">
    <w:name w:val="样式 居中 段前: 6 磅 段后: 6 磅"/>
    <w:basedOn w:val="1"/>
    <w:autoRedefine/>
    <w:qFormat/>
    <w:uiPriority w:val="0"/>
    <w:pPr>
      <w:spacing w:before="120" w:after="120" w:line="440" w:lineRule="exact"/>
      <w:jc w:val="center"/>
    </w:pPr>
    <w:rPr>
      <w:sz w:val="24"/>
      <w:szCs w:val="20"/>
    </w:rPr>
  </w:style>
  <w:style w:type="paragraph" w:customStyle="1" w:styleId="390">
    <w:name w:val="Body Text 21"/>
    <w:basedOn w:val="1"/>
    <w:autoRedefine/>
    <w:qFormat/>
    <w:uiPriority w:val="0"/>
    <w:pPr>
      <w:adjustRightInd w:val="0"/>
      <w:spacing w:before="240" w:line="400" w:lineRule="exact"/>
      <w:ind w:firstLine="357"/>
      <w:textAlignment w:val="baseline"/>
    </w:pPr>
    <w:rPr>
      <w:sz w:val="28"/>
      <w:szCs w:val="20"/>
    </w:rPr>
  </w:style>
  <w:style w:type="paragraph" w:customStyle="1" w:styleId="391">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92">
    <w:name w:val="xl25"/>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93">
    <w:name w:val="xl98"/>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4">
    <w:name w:val="Char Char"/>
    <w:basedOn w:val="1"/>
    <w:autoRedefine/>
    <w:qFormat/>
    <w:uiPriority w:val="0"/>
    <w:rPr>
      <w:rFonts w:hint="eastAsia" w:ascii="仿宋_GB2312" w:eastAsia="仿宋_GB2312"/>
      <w:b/>
      <w:sz w:val="32"/>
      <w:szCs w:val="32"/>
    </w:rPr>
  </w:style>
  <w:style w:type="paragraph" w:customStyle="1" w:styleId="395">
    <w:name w:val="xl9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96">
    <w:name w:val="xl10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7">
    <w:name w:val="默认段落字体 Para Char Char Char Char Char Char Char Char Char1 Char Char Char Char"/>
    <w:basedOn w:val="1"/>
    <w:autoRedefine/>
    <w:qFormat/>
    <w:uiPriority w:val="0"/>
    <w:rPr>
      <w:rFonts w:ascii="Tahoma" w:hAnsi="Tahoma"/>
      <w:sz w:val="24"/>
      <w:szCs w:val="20"/>
    </w:rPr>
  </w:style>
  <w:style w:type="paragraph" w:customStyle="1" w:styleId="398">
    <w:name w:val="1"/>
    <w:basedOn w:val="1"/>
    <w:next w:val="38"/>
    <w:autoRedefine/>
    <w:qFormat/>
    <w:uiPriority w:val="0"/>
    <w:rPr>
      <w:rFonts w:ascii="宋体" w:hAnsi="Courier New"/>
      <w:szCs w:val="20"/>
    </w:rPr>
  </w:style>
  <w:style w:type="paragraph" w:customStyle="1" w:styleId="399">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szCs w:val="20"/>
    </w:rPr>
  </w:style>
  <w:style w:type="paragraph" w:customStyle="1" w:styleId="400">
    <w:name w:val="p15"/>
    <w:basedOn w:val="1"/>
    <w:autoRedefine/>
    <w:qFormat/>
    <w:uiPriority w:val="0"/>
    <w:pPr>
      <w:widowControl/>
      <w:spacing w:before="75" w:after="75"/>
      <w:jc w:val="left"/>
    </w:pPr>
    <w:rPr>
      <w:rFonts w:ascii="宋体" w:hAnsi="宋体" w:cs="宋体"/>
      <w:kern w:val="0"/>
      <w:sz w:val="24"/>
    </w:rPr>
  </w:style>
  <w:style w:type="paragraph" w:customStyle="1" w:styleId="401">
    <w:name w:val="样式3"/>
    <w:basedOn w:val="4"/>
    <w:autoRedefine/>
    <w:qFormat/>
    <w:uiPriority w:val="0"/>
    <w:pPr>
      <w:keepNext/>
      <w:keepLines/>
      <w:spacing w:before="120" w:beforeLines="50" w:afterLines="50" w:line="240" w:lineRule="auto"/>
      <w:ind w:firstLine="0" w:firstLineChars="0"/>
      <w:jc w:val="left"/>
      <w:textAlignment w:val="baseline"/>
    </w:pPr>
    <w:rPr>
      <w:b w:val="0"/>
      <w:bCs/>
      <w:kern w:val="0"/>
      <w:sz w:val="21"/>
      <w:szCs w:val="21"/>
    </w:rPr>
  </w:style>
  <w:style w:type="paragraph" w:customStyle="1" w:styleId="40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03">
    <w:name w:val="样式 书籍标题3 + Arial 段前: 1 行 段后: 1 行"/>
    <w:basedOn w:val="346"/>
    <w:autoRedefine/>
    <w:qFormat/>
    <w:uiPriority w:val="0"/>
    <w:pPr>
      <w:numPr>
        <w:ilvl w:val="2"/>
        <w:numId w:val="4"/>
      </w:numPr>
      <w:tabs>
        <w:tab w:val="left" w:pos="576"/>
      </w:tabs>
      <w:spacing w:beforeLines="0" w:afterLines="0"/>
      <w:ind w:left="1260" w:hanging="420"/>
    </w:pPr>
    <w:rPr>
      <w:rFonts w:ascii="Arial" w:hAnsi="Arial"/>
    </w:rPr>
  </w:style>
  <w:style w:type="paragraph" w:customStyle="1" w:styleId="404">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05">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06">
    <w:name w:val="正文2"/>
    <w:basedOn w:val="1"/>
    <w:link w:val="407"/>
    <w:autoRedefine/>
    <w:qFormat/>
    <w:uiPriority w:val="0"/>
    <w:pPr>
      <w:spacing w:before="156" w:line="360" w:lineRule="auto"/>
      <w:ind w:firstLine="510" w:firstLineChars="200"/>
    </w:pPr>
    <w:rPr>
      <w:color w:val="000000"/>
      <w:sz w:val="24"/>
      <w:szCs w:val="20"/>
    </w:rPr>
  </w:style>
  <w:style w:type="character" w:customStyle="1" w:styleId="407">
    <w:name w:val="正文2 Char Char"/>
    <w:link w:val="406"/>
    <w:autoRedefine/>
    <w:qFormat/>
    <w:uiPriority w:val="0"/>
    <w:rPr>
      <w:color w:val="000000"/>
      <w:kern w:val="2"/>
      <w:sz w:val="24"/>
    </w:rPr>
  </w:style>
  <w:style w:type="paragraph" w:customStyle="1" w:styleId="408">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9">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10">
    <w:name w:val="目录"/>
    <w:next w:val="1"/>
    <w:autoRedefine/>
    <w:qFormat/>
    <w:uiPriority w:val="0"/>
    <w:pPr>
      <w:spacing w:beforeLines="200"/>
      <w:jc w:val="center"/>
    </w:pPr>
    <w:rPr>
      <w:rFonts w:ascii="Arial" w:hAnsi="Arial" w:eastAsia="黑体" w:cs="宋体"/>
      <w:bCs/>
      <w:kern w:val="2"/>
      <w:sz w:val="48"/>
      <w:lang w:val="en-US" w:eastAsia="zh-CN" w:bidi="ar-SA"/>
    </w:rPr>
  </w:style>
  <w:style w:type="paragraph" w:customStyle="1" w:styleId="411">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2">
    <w:name w:val="标准"/>
    <w:basedOn w:val="1"/>
    <w:autoRedefine/>
    <w:qFormat/>
    <w:uiPriority w:val="0"/>
    <w:pPr>
      <w:adjustRightInd w:val="0"/>
      <w:spacing w:line="312" w:lineRule="atLeast"/>
      <w:jc w:val="center"/>
    </w:pPr>
    <w:rPr>
      <w:kern w:val="24"/>
      <w:sz w:val="24"/>
    </w:rPr>
  </w:style>
  <w:style w:type="paragraph" w:customStyle="1" w:styleId="413">
    <w:name w:val="reader-word-layer reader-word-s18-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4">
    <w:name w:val="xl92"/>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15">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6">
    <w:name w:val="第一节"/>
    <w:basedOn w:val="5"/>
    <w:autoRedefine/>
    <w:qFormat/>
    <w:uiPriority w:val="0"/>
    <w:pPr>
      <w:autoSpaceDE w:val="0"/>
      <w:autoSpaceDN w:val="0"/>
      <w:adjustRightInd w:val="0"/>
      <w:spacing w:before="0" w:after="0" w:line="480" w:lineRule="auto"/>
      <w:jc w:val="center"/>
    </w:pPr>
    <w:rPr>
      <w:rFonts w:ascii="TimesNewRomanPSMT" w:hAnsi="TimesNewRomanPSMT"/>
      <w:bCs w:val="0"/>
      <w:kern w:val="0"/>
      <w:sz w:val="30"/>
      <w:szCs w:val="20"/>
    </w:rPr>
  </w:style>
  <w:style w:type="paragraph" w:customStyle="1" w:styleId="417">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1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9">
    <w:name w:val=" Char Char Char Char"/>
    <w:basedOn w:val="1"/>
    <w:autoRedefine/>
    <w:qFormat/>
    <w:uiPriority w:val="0"/>
  </w:style>
  <w:style w:type="paragraph" w:customStyle="1" w:styleId="420">
    <w:name w:val="Char1 Char Char Char Char Char Char"/>
    <w:basedOn w:val="1"/>
    <w:autoRedefine/>
    <w:qFormat/>
    <w:uiPriority w:val="0"/>
    <w:rPr>
      <w:rFonts w:ascii="Tahoma" w:hAnsi="Tahoma"/>
      <w:sz w:val="24"/>
      <w:szCs w:val="20"/>
    </w:rPr>
  </w:style>
  <w:style w:type="paragraph" w:customStyle="1" w:styleId="421">
    <w:name w:val="Plain Text"/>
    <w:basedOn w:val="422"/>
    <w:autoRedefine/>
    <w:qFormat/>
    <w:uiPriority w:val="0"/>
    <w:pPr>
      <w:widowControl/>
      <w:jc w:val="left"/>
    </w:pPr>
    <w:rPr>
      <w:rFonts w:hint="eastAsia" w:ascii="宋体" w:hAnsi="Courier New"/>
      <w:szCs w:val="20"/>
    </w:rPr>
  </w:style>
  <w:style w:type="paragraph" w:customStyle="1" w:styleId="422">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3">
    <w:name w:val="标书标题3"/>
    <w:basedOn w:val="5"/>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4">
    <w:name w:val="Char2"/>
    <w:basedOn w:val="1"/>
    <w:autoRedefine/>
    <w:qFormat/>
    <w:uiPriority w:val="0"/>
  </w:style>
  <w:style w:type="paragraph" w:customStyle="1" w:styleId="425">
    <w:name w:val="reader-word-layer reader-word-s1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6">
    <w:name w:val="GP标题5"/>
    <w:basedOn w:val="1"/>
    <w:next w:val="220"/>
    <w:autoRedefine/>
    <w:qFormat/>
    <w:uiPriority w:val="0"/>
    <w:pPr>
      <w:numPr>
        <w:ilvl w:val="4"/>
        <w:numId w:val="3"/>
      </w:numPr>
      <w:tabs>
        <w:tab w:val="left" w:pos="2040"/>
      </w:tabs>
      <w:spacing w:before="156" w:beforeLines="50" w:after="156" w:afterLines="50" w:line="360" w:lineRule="auto"/>
      <w:jc w:val="left"/>
      <w:outlineLvl w:val="4"/>
    </w:pPr>
    <w:rPr>
      <w:rFonts w:ascii="华文细黑" w:hAnsi="华文细黑" w:eastAsia="华文细黑"/>
      <w:b/>
      <w:sz w:val="24"/>
      <w:szCs w:val="21"/>
    </w:rPr>
  </w:style>
  <w:style w:type="paragraph" w:customStyle="1" w:styleId="427">
    <w:name w:val="xl10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8">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9">
    <w:name w:val="题注5"/>
    <w:basedOn w:val="1"/>
    <w:next w:val="19"/>
    <w:autoRedefine/>
    <w:qFormat/>
    <w:uiPriority w:val="0"/>
    <w:pPr>
      <w:ind w:left="540" w:hanging="540"/>
    </w:pPr>
    <w:rPr>
      <w:color w:val="000000"/>
      <w:sz w:val="24"/>
    </w:rPr>
  </w:style>
  <w:style w:type="paragraph" w:customStyle="1" w:styleId="430">
    <w:name w:val="GP公文标题1"/>
    <w:basedOn w:val="1"/>
    <w:next w:val="220"/>
    <w:autoRedefine/>
    <w:qFormat/>
    <w:uiPriority w:val="0"/>
    <w:pPr>
      <w:numPr>
        <w:ilvl w:val="0"/>
        <w:numId w:val="2"/>
      </w:numPr>
      <w:spacing w:before="312" w:beforeLines="100" w:after="312" w:afterLines="100" w:line="360" w:lineRule="auto"/>
      <w:jc w:val="left"/>
      <w:outlineLvl w:val="0"/>
    </w:pPr>
    <w:rPr>
      <w:rFonts w:eastAsia="仿宋_GB2312"/>
      <w:b/>
      <w:sz w:val="36"/>
      <w:szCs w:val="21"/>
    </w:rPr>
  </w:style>
  <w:style w:type="paragraph" w:customStyle="1" w:styleId="431">
    <w:name w:val="样式4"/>
    <w:basedOn w:val="5"/>
    <w:autoRedefine/>
    <w:qFormat/>
    <w:uiPriority w:val="0"/>
    <w:pPr>
      <w:numPr>
        <w:ilvl w:val="0"/>
        <w:numId w:val="0"/>
      </w:numPr>
      <w:ind w:left="432" w:hanging="432"/>
    </w:pPr>
    <w:rPr>
      <w:sz w:val="24"/>
    </w:rPr>
  </w:style>
  <w:style w:type="paragraph" w:customStyle="1" w:styleId="432">
    <w:name w:val=" Char1"/>
    <w:basedOn w:val="1"/>
    <w:autoRedefine/>
    <w:qFormat/>
    <w:uiPriority w:val="0"/>
    <w:rPr>
      <w:rFonts w:ascii="仿宋_GB2312" w:eastAsia="仿宋_GB2312"/>
      <w:b/>
      <w:sz w:val="32"/>
      <w:szCs w:val="32"/>
    </w:rPr>
  </w:style>
  <w:style w:type="paragraph" w:customStyle="1" w:styleId="433">
    <w:name w:val="xl9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434">
    <w:name w:val="Item Step in Table"/>
    <w:autoRedefine/>
    <w:qFormat/>
    <w:uiPriority w:val="0"/>
    <w:pPr>
      <w:numPr>
        <w:ilvl w:val="0"/>
        <w:numId w:val="5"/>
      </w:numPr>
      <w:tabs>
        <w:tab w:val="left" w:pos="397"/>
        <w:tab w:val="clear" w:pos="1200"/>
      </w:tabs>
      <w:spacing w:before="40" w:after="40"/>
      <w:jc w:val="both"/>
    </w:pPr>
    <w:rPr>
      <w:rFonts w:ascii="Arial" w:hAnsi="Arial" w:eastAsia="宋体" w:cs="Arial"/>
      <w:sz w:val="18"/>
      <w:szCs w:val="18"/>
      <w:lang w:val="en-US" w:eastAsia="zh-CN" w:bidi="ar-SA"/>
    </w:rPr>
  </w:style>
  <w:style w:type="paragraph" w:customStyle="1" w:styleId="435">
    <w:name w:val="正文 + 宋体"/>
    <w:basedOn w:val="1"/>
    <w:autoRedefine/>
    <w:qFormat/>
    <w:uiPriority w:val="0"/>
    <w:pPr>
      <w:spacing w:line="360" w:lineRule="auto"/>
      <w:ind w:firstLine="360" w:firstLineChars="150"/>
    </w:pPr>
    <w:rPr>
      <w:rFonts w:ascii="宋体" w:hAnsi="宋体" w:cs="Arial"/>
      <w:bCs/>
      <w:sz w:val="24"/>
    </w:rPr>
  </w:style>
  <w:style w:type="paragraph" w:customStyle="1" w:styleId="436">
    <w:name w:val="样式 标题 2节标题 1.1 + 段前: 1 行 段后: 0.5 行"/>
    <w:basedOn w:val="4"/>
    <w:autoRedefine/>
    <w:qFormat/>
    <w:uiPriority w:val="0"/>
    <w:pPr>
      <w:adjustRightInd/>
      <w:spacing w:before="240"/>
      <w:jc w:val="center"/>
    </w:pPr>
    <w:rPr>
      <w:rFonts w:eastAsia="黑体"/>
      <w:szCs w:val="20"/>
    </w:rPr>
  </w:style>
  <w:style w:type="paragraph" w:customStyle="1" w:styleId="437">
    <w:name w:val="默认段落字体 Para Char"/>
    <w:basedOn w:val="1"/>
    <w:autoRedefine/>
    <w:qFormat/>
    <w:uiPriority w:val="0"/>
    <w:rPr>
      <w:rFonts w:ascii="Tahoma" w:hAnsi="Tahoma"/>
      <w:sz w:val="24"/>
      <w:szCs w:val="20"/>
    </w:rPr>
  </w:style>
  <w:style w:type="paragraph" w:customStyle="1" w:styleId="438">
    <w:name w:val="招标文件标题1章"/>
    <w:basedOn w:val="3"/>
    <w:next w:val="263"/>
    <w:autoRedefine/>
    <w:qFormat/>
    <w:uiPriority w:val="0"/>
    <w:pPr>
      <w:tabs>
        <w:tab w:val="left" w:pos="1418"/>
        <w:tab w:val="left" w:pos="2040"/>
      </w:tabs>
      <w:adjustRightInd/>
      <w:ind w:left="2040" w:leftChars="800" w:hanging="360" w:hangingChars="200"/>
    </w:pPr>
    <w:rPr>
      <w:bCs w:val="0"/>
      <w:sz w:val="44"/>
      <w:szCs w:val="20"/>
    </w:rPr>
  </w:style>
  <w:style w:type="paragraph" w:customStyle="1" w:styleId="439">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40">
    <w:name w:val="reader-word-layer reader-word-s1-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1">
    <w:name w:val="样式 表格 +3"/>
    <w:basedOn w:val="222"/>
    <w:autoRedefine/>
    <w:qFormat/>
    <w:uiPriority w:val="0"/>
    <w:rPr>
      <w:kern w:val="0"/>
    </w:rPr>
  </w:style>
  <w:style w:type="paragraph" w:customStyle="1" w:styleId="442">
    <w:name w:val="xl97"/>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443">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_Style 441"/>
    <w:basedOn w:val="3"/>
    <w:next w:val="1"/>
    <w:autoRedefine/>
    <w:qFormat/>
    <w:uiPriority w:val="0"/>
    <w:pPr>
      <w:widowControl/>
      <w:tabs>
        <w:tab w:val="left" w:pos="1440"/>
      </w:tabs>
      <w:adjustRightInd/>
      <w:spacing w:before="480" w:after="0" w:line="276" w:lineRule="auto"/>
      <w:jc w:val="left"/>
      <w:outlineLvl w:val="9"/>
    </w:pPr>
    <w:rPr>
      <w:rFonts w:ascii="Cambria" w:hAnsi="Cambria"/>
      <w:color w:val="365F91"/>
      <w:kern w:val="0"/>
      <w:sz w:val="28"/>
      <w:szCs w:val="28"/>
    </w:rPr>
  </w:style>
  <w:style w:type="paragraph" w:customStyle="1" w:styleId="445">
    <w:name w:val="GP标题3"/>
    <w:basedOn w:val="1"/>
    <w:next w:val="220"/>
    <w:autoRedefine/>
    <w:qFormat/>
    <w:uiPriority w:val="0"/>
    <w:pPr>
      <w:numPr>
        <w:ilvl w:val="2"/>
        <w:numId w:val="3"/>
      </w:numPr>
      <w:tabs>
        <w:tab w:val="left" w:pos="2040"/>
      </w:tabs>
      <w:spacing w:before="156" w:beforeLines="50" w:after="156" w:afterLines="50" w:line="360" w:lineRule="auto"/>
      <w:jc w:val="left"/>
      <w:outlineLvl w:val="2"/>
    </w:pPr>
    <w:rPr>
      <w:rFonts w:ascii="华文细黑" w:hAnsi="华文细黑" w:eastAsia="华文细黑"/>
      <w:b/>
      <w:sz w:val="30"/>
      <w:szCs w:val="21"/>
    </w:rPr>
  </w:style>
  <w:style w:type="paragraph" w:customStyle="1" w:styleId="44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44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4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49">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50">
    <w:name w:val="样式 宋体 五号 两端对齐 行距: 单倍行距"/>
    <w:basedOn w:val="1"/>
    <w:autoRedefine/>
    <w:qFormat/>
    <w:uiPriority w:val="0"/>
    <w:pPr>
      <w:adjustRightInd w:val="0"/>
      <w:textAlignment w:val="baseline"/>
    </w:pPr>
    <w:rPr>
      <w:rFonts w:ascii="宋体" w:hAnsi="宋体" w:cs="宋体"/>
      <w:kern w:val="0"/>
      <w:szCs w:val="20"/>
    </w:rPr>
  </w:style>
  <w:style w:type="paragraph" w:customStyle="1" w:styleId="451">
    <w:name w:val="样式 样式 标题 3 + + 段前: 0.5 行 段后: 0.5 行"/>
    <w:basedOn w:val="224"/>
    <w:autoRedefine/>
    <w:qFormat/>
    <w:uiPriority w:val="0"/>
    <w:pPr>
      <w:spacing w:before="120" w:beforeLines="0" w:after="120" w:afterLines="0"/>
    </w:pPr>
  </w:style>
  <w:style w:type="paragraph" w:customStyle="1" w:styleId="4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3">
    <w:name w:val="样式 正文文本 2 + 段后: 0 磅 行距: 1.5 倍行距"/>
    <w:basedOn w:val="63"/>
    <w:autoRedefine/>
    <w:qFormat/>
    <w:uiPriority w:val="0"/>
    <w:pPr>
      <w:spacing w:after="0" w:line="360" w:lineRule="auto"/>
      <w:ind w:firstLine="480" w:firstLineChars="200"/>
    </w:pPr>
    <w:rPr>
      <w:sz w:val="24"/>
      <w:szCs w:val="20"/>
    </w:rPr>
  </w:style>
  <w:style w:type="paragraph" w:customStyle="1" w:styleId="454">
    <w:name w:val="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5">
    <w:name w:val="Body Text Indent 21"/>
    <w:basedOn w:val="1"/>
    <w:autoRedefine/>
    <w:qFormat/>
    <w:uiPriority w:val="0"/>
    <w:pPr>
      <w:adjustRightInd w:val="0"/>
      <w:ind w:left="720" w:hanging="720"/>
      <w:textAlignment w:val="baseline"/>
    </w:pPr>
    <w:rPr>
      <w:b/>
      <w:sz w:val="28"/>
      <w:szCs w:val="20"/>
    </w:rPr>
  </w:style>
  <w:style w:type="paragraph" w:customStyle="1" w:styleId="456">
    <w:name w:val="样式 首行缩进:  2 字符"/>
    <w:basedOn w:val="1"/>
    <w:autoRedefine/>
    <w:qFormat/>
    <w:uiPriority w:val="0"/>
    <w:pPr>
      <w:ind w:firstLine="420" w:firstLineChars="200"/>
    </w:pPr>
    <w:rPr>
      <w:sz w:val="28"/>
      <w:szCs w:val="20"/>
    </w:rPr>
  </w:style>
  <w:style w:type="paragraph" w:customStyle="1" w:styleId="457">
    <w:name w:val="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58">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9">
    <w:name w:val="首行缩进2 Char Char Char"/>
    <w:basedOn w:val="1"/>
    <w:autoRedefine/>
    <w:qFormat/>
    <w:uiPriority w:val="0"/>
    <w:pPr>
      <w:spacing w:line="360" w:lineRule="auto"/>
      <w:ind w:firstLine="480" w:firstLineChars="200"/>
    </w:pPr>
    <w:rPr>
      <w:sz w:val="24"/>
    </w:rPr>
  </w:style>
  <w:style w:type="paragraph" w:customStyle="1" w:styleId="460">
    <w:name w:val="GP公文标题3"/>
    <w:basedOn w:val="1"/>
    <w:next w:val="220"/>
    <w:autoRedefine/>
    <w:qFormat/>
    <w:uiPriority w:val="0"/>
    <w:pPr>
      <w:numPr>
        <w:ilvl w:val="2"/>
        <w:numId w:val="2"/>
      </w:numPr>
      <w:tabs>
        <w:tab w:val="left" w:pos="360"/>
      </w:tabs>
      <w:spacing w:before="156" w:beforeLines="50" w:after="156" w:afterLines="50" w:line="360" w:lineRule="auto"/>
      <w:jc w:val="left"/>
      <w:outlineLvl w:val="2"/>
    </w:pPr>
    <w:rPr>
      <w:rFonts w:eastAsia="仿宋_GB2312"/>
      <w:b/>
      <w:sz w:val="30"/>
      <w:szCs w:val="21"/>
    </w:rPr>
  </w:style>
  <w:style w:type="paragraph" w:customStyle="1" w:styleId="46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46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kern w:val="0"/>
      <w:sz w:val="20"/>
      <w:szCs w:val="20"/>
    </w:rPr>
  </w:style>
  <w:style w:type="paragraph" w:customStyle="1" w:styleId="463">
    <w:name w:val="第一巻"/>
    <w:basedOn w:val="3"/>
    <w:autoRedefine/>
    <w:qFormat/>
    <w:uiPriority w:val="0"/>
    <w:pPr>
      <w:autoSpaceDE w:val="0"/>
      <w:autoSpaceDN w:val="0"/>
      <w:spacing w:before="0" w:after="0" w:line="720" w:lineRule="auto"/>
    </w:pPr>
    <w:rPr>
      <w:rFonts w:ascii="TimesNewRomanPSMT" w:hAnsi="TimesNewRomanPSMT"/>
      <w:bCs w:val="0"/>
      <w:kern w:val="0"/>
      <w:sz w:val="84"/>
      <w:szCs w:val="20"/>
    </w:rPr>
  </w:style>
  <w:style w:type="paragraph" w:customStyle="1" w:styleId="46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46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6">
    <w:name w:val="xl88"/>
    <w:basedOn w:val="1"/>
    <w:autoRedefine/>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467">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69">
    <w:name w:val="书籍标题4"/>
    <w:basedOn w:val="346"/>
    <w:next w:val="1"/>
    <w:autoRedefine/>
    <w:qFormat/>
    <w:uiPriority w:val="0"/>
    <w:pPr>
      <w:numPr>
        <w:ilvl w:val="0"/>
        <w:numId w:val="4"/>
      </w:numPr>
      <w:tabs>
        <w:tab w:val="left" w:pos="1680"/>
        <w:tab w:val="clear" w:pos="432"/>
        <w:tab w:val="clear" w:pos="1260"/>
      </w:tabs>
      <w:ind w:left="567" w:firstLine="0"/>
      <w:outlineLvl w:val="3"/>
    </w:pPr>
    <w:rPr>
      <w:sz w:val="24"/>
      <w:szCs w:val="24"/>
      <w:lang w:val="zh-CN"/>
    </w:rPr>
  </w:style>
  <w:style w:type="paragraph" w:customStyle="1" w:styleId="470">
    <w:name w:val="标题2，章节第二层"/>
    <w:basedOn w:val="1"/>
    <w:next w:val="210"/>
    <w:autoRedefine/>
    <w:qFormat/>
    <w:uiPriority w:val="0"/>
    <w:pPr>
      <w:tabs>
        <w:tab w:val="left" w:pos="630"/>
        <w:tab w:val="left" w:pos="2040"/>
      </w:tabs>
      <w:adjustRightInd w:val="0"/>
      <w:snapToGrid w:val="0"/>
      <w:spacing w:before="100" w:beforeLines="100" w:after="100" w:afterLines="100" w:line="300" w:lineRule="auto"/>
      <w:ind w:left="2040" w:hanging="567"/>
      <w:outlineLvl w:val="1"/>
    </w:pPr>
    <w:rPr>
      <w:rFonts w:ascii="Arial" w:hAnsi="Arial" w:eastAsia="黑体"/>
      <w:sz w:val="32"/>
    </w:rPr>
  </w:style>
  <w:style w:type="paragraph" w:customStyle="1" w:styleId="47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472">
    <w:name w:val="bookmark-item uuid-1593432150293 code-am014biditemname editdisable single-line-text-input-box-cls"/>
    <w:autoRedefine/>
    <w:qFormat/>
    <w:uiPriority w:val="0"/>
  </w:style>
  <w:style w:type="character" w:customStyle="1" w:styleId="473">
    <w:name w:val="bookmark-item uuid-1595941076685 code-am014biditemcount editdisable single-line-text-input-box-cls"/>
    <w:autoRedefine/>
    <w:qFormat/>
    <w:uiPriority w:val="0"/>
  </w:style>
  <w:style w:type="character" w:customStyle="1" w:styleId="474">
    <w:name w:val="bookmark-item uuid-1593421137256 code-am014budgetprice editdisable single-line-text-input-box-cls"/>
    <w:autoRedefine/>
    <w:qFormat/>
    <w:uiPriority w:val="0"/>
  </w:style>
  <w:style w:type="character" w:customStyle="1" w:styleId="475">
    <w:name w:val="bookmark-item uuid-1596004688403 code-00015 editdisable single-line-text-input-box-cls readonly"/>
    <w:autoRedefine/>
    <w:qFormat/>
    <w:uiPriority w:val="0"/>
  </w:style>
  <w:style w:type="character" w:customStyle="1" w:styleId="476">
    <w:name w:val="bookmark-item uuid-1596004695990 code-00016 editdisable single-line-text-input-box-cls readonly"/>
    <w:autoRedefine/>
    <w:qFormat/>
    <w:uiPriority w:val="0"/>
  </w:style>
  <w:style w:type="character" w:customStyle="1" w:styleId="477">
    <w:name w:val="bookmark-item uuid-1596004703774 code-am014cg001 addword single-line-text-input-box-cls"/>
    <w:autoRedefine/>
    <w:qFormat/>
    <w:uiPriority w:val="0"/>
  </w:style>
  <w:style w:type="character" w:customStyle="1" w:styleId="478">
    <w:name w:val="bookmark-item uuid-1596004712085 code-am014cg002 addword single-line-text-input-box-cls"/>
    <w:autoRedefine/>
    <w:qFormat/>
    <w:uiPriority w:val="0"/>
  </w:style>
  <w:style w:type="character" w:customStyle="1" w:styleId="479">
    <w:name w:val="font61"/>
    <w:basedOn w:val="75"/>
    <w:autoRedefine/>
    <w:qFormat/>
    <w:uiPriority w:val="0"/>
    <w:rPr>
      <w:rFonts w:hint="default" w:ascii="Arial" w:hAnsi="Arial" w:cs="Arial"/>
      <w:color w:val="000000"/>
      <w:sz w:val="22"/>
      <w:szCs w:val="22"/>
      <w:u w:val="none"/>
    </w:rPr>
  </w:style>
  <w:style w:type="character" w:customStyle="1" w:styleId="480">
    <w:name w:val="Heading 3 Char"/>
    <w:autoRedefine/>
    <w:qFormat/>
    <w:locked/>
    <w:uiPriority w:val="0"/>
    <w:rPr>
      <w:rFonts w:ascii="Calibri" w:hAnsi="Calibri" w:eastAsia="宋体"/>
      <w:b/>
      <w:sz w:val="32"/>
    </w:rPr>
  </w:style>
  <w:style w:type="character" w:customStyle="1" w:styleId="481">
    <w:name w:val="font51"/>
    <w:basedOn w:val="75"/>
    <w:autoRedefine/>
    <w:qFormat/>
    <w:uiPriority w:val="0"/>
    <w:rPr>
      <w:rFonts w:ascii="font-weight : 400" w:hAnsi="font-weight : 400" w:eastAsia="font-weight : 400" w:cs="font-weight : 400"/>
      <w:color w:val="000000"/>
      <w:sz w:val="22"/>
      <w:szCs w:val="22"/>
      <w:u w:val="none"/>
    </w:rPr>
  </w:style>
  <w:style w:type="character" w:customStyle="1" w:styleId="482">
    <w:name w:val="列出段落 Char"/>
    <w:autoRedefine/>
    <w:qFormat/>
    <w:uiPriority w:val="0"/>
    <w:rPr>
      <w:sz w:val="24"/>
      <w:szCs w:val="24"/>
      <w:lang w:eastAsia="en-US"/>
    </w:rPr>
  </w:style>
  <w:style w:type="character" w:customStyle="1" w:styleId="483">
    <w:name w:val="font101"/>
    <w:autoRedefine/>
    <w:qFormat/>
    <w:uiPriority w:val="0"/>
    <w:rPr>
      <w:rFonts w:hint="eastAsia" w:ascii="微软雅黑" w:hAnsi="微软雅黑" w:eastAsia="微软雅黑" w:cs="微软雅黑"/>
      <w:color w:val="000000"/>
      <w:sz w:val="20"/>
      <w:szCs w:val="20"/>
      <w:u w:val="none"/>
    </w:rPr>
  </w:style>
  <w:style w:type="character" w:customStyle="1" w:styleId="484">
    <w:name w:val="纯文本 Char3"/>
    <w:autoRedefine/>
    <w:qFormat/>
    <w:uiPriority w:val="0"/>
    <w:rPr>
      <w:rFonts w:ascii="宋体" w:hAnsi="Courier New" w:eastAsia="宋体" w:cs="Courier New"/>
      <w:kern w:val="2"/>
      <w:sz w:val="21"/>
      <w:szCs w:val="21"/>
      <w:lang w:val="en-US" w:eastAsia="zh-CN" w:bidi="ar-SA"/>
    </w:rPr>
  </w:style>
  <w:style w:type="paragraph" w:customStyle="1" w:styleId="485">
    <w:name w:val="无间隔1"/>
    <w:autoRedefine/>
    <w:qFormat/>
    <w:uiPriority w:val="0"/>
    <w:rPr>
      <w:rFonts w:ascii="Times New Roman" w:hAnsi="Times New Roman" w:eastAsia="宋体" w:cs="Times New Roman"/>
      <w:sz w:val="22"/>
      <w:szCs w:val="22"/>
      <w:lang w:val="en-US" w:eastAsia="zh-CN" w:bidi="ar-SA"/>
    </w:rPr>
  </w:style>
  <w:style w:type="character" w:customStyle="1" w:styleId="486">
    <w:name w:val="normaltextrun"/>
    <w:autoRedefine/>
    <w:qFormat/>
    <w:uiPriority w:val="0"/>
  </w:style>
  <w:style w:type="paragraph" w:customStyle="1" w:styleId="487">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88">
    <w:name w:val="正文缩进 Char2"/>
    <w:autoRedefine/>
    <w:qFormat/>
    <w:uiPriority w:val="0"/>
    <w:rPr>
      <w:rFonts w:ascii="宋体" w:eastAsia="宋体"/>
      <w:snapToGrid w:val="0"/>
      <w:color w:val="000000"/>
      <w:kern w:val="28"/>
      <w:sz w:val="28"/>
      <w:lang w:val="en-US" w:eastAsia="zh-CN" w:bidi="ar-SA"/>
    </w:rPr>
  </w:style>
  <w:style w:type="character" w:customStyle="1" w:styleId="489">
    <w:name w:val="正文缩进 Char1"/>
    <w:autoRedefine/>
    <w:qFormat/>
    <w:uiPriority w:val="0"/>
    <w:rPr>
      <w:rFonts w:eastAsia="宋体"/>
      <w:spacing w:val="14"/>
      <w:kern w:val="24"/>
      <w:sz w:val="24"/>
      <w:lang w:val="en-US" w:eastAsia="zh-CN" w:bidi="ar-SA"/>
    </w:rPr>
  </w:style>
  <w:style w:type="paragraph" w:customStyle="1" w:styleId="49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1">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92">
    <w:name w:val="纯文本 Char_0"/>
    <w:link w:val="493"/>
    <w:autoRedefine/>
    <w:qFormat/>
    <w:uiPriority w:val="0"/>
    <w:rPr>
      <w:rFonts w:ascii="宋体" w:hAnsi="Courier New"/>
      <w:kern w:val="2"/>
      <w:sz w:val="21"/>
      <w:szCs w:val="21"/>
    </w:rPr>
  </w:style>
  <w:style w:type="paragraph" w:customStyle="1" w:styleId="493">
    <w:name w:val="纯文本_0_0"/>
    <w:basedOn w:val="1"/>
    <w:link w:val="492"/>
    <w:autoRedefine/>
    <w:qFormat/>
    <w:uiPriority w:val="0"/>
    <w:rPr>
      <w:rFonts w:ascii="宋体" w:hAnsi="Courier New"/>
      <w:szCs w:val="21"/>
    </w:rPr>
  </w:style>
  <w:style w:type="character" w:customStyle="1" w:styleId="494">
    <w:name w:val="页脚 Char2"/>
    <w:autoRedefine/>
    <w:qFormat/>
    <w:locked/>
    <w:uiPriority w:val="99"/>
    <w:rPr>
      <w:kern w:val="2"/>
      <w:sz w:val="18"/>
      <w:szCs w:val="18"/>
    </w:rPr>
  </w:style>
  <w:style w:type="character" w:customStyle="1" w:styleId="495">
    <w:name w:val="页眉 Char2"/>
    <w:autoRedefine/>
    <w:qFormat/>
    <w:uiPriority w:val="99"/>
    <w:rPr>
      <w:kern w:val="2"/>
      <w:sz w:val="18"/>
      <w:szCs w:val="18"/>
    </w:rPr>
  </w:style>
  <w:style w:type="paragraph" w:customStyle="1" w:styleId="496">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497">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498">
    <w:name w:val="正文缩进1"/>
    <w:basedOn w:val="1"/>
    <w:next w:val="30"/>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499">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500">
    <w:name w:val="正文文本缩进 Char3"/>
    <w:autoRedefine/>
    <w:semiHidden/>
    <w:qFormat/>
    <w:uiPriority w:val="0"/>
    <w:rPr>
      <w:rFonts w:ascii="宋体" w:hAnsi="宋体" w:eastAsia="宋体"/>
      <w:kern w:val="2"/>
      <w:sz w:val="24"/>
      <w:lang w:val="en-US" w:eastAsia="zh-CN" w:bidi="ar-SA"/>
    </w:rPr>
  </w:style>
  <w:style w:type="character" w:customStyle="1" w:styleId="501">
    <w:name w:val="标题 1 Char Char"/>
    <w:autoRedefine/>
    <w:qFormat/>
    <w:uiPriority w:val="0"/>
    <w:rPr>
      <w:rFonts w:hint="eastAsia" w:ascii="宋体" w:hAnsi="宋体" w:eastAsia="宋体"/>
      <w:b/>
      <w:spacing w:val="-2"/>
      <w:sz w:val="24"/>
      <w:lang w:val="en-US" w:eastAsia="zh-CN"/>
    </w:rPr>
  </w:style>
  <w:style w:type="paragraph" w:customStyle="1" w:styleId="502">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character" w:customStyle="1" w:styleId="503">
    <w:name w:val=" Char Char46"/>
    <w:autoRedefine/>
    <w:qFormat/>
    <w:uiPriority w:val="0"/>
    <w:rPr>
      <w:rFonts w:eastAsia="宋体"/>
      <w:b/>
      <w:bCs/>
      <w:kern w:val="44"/>
      <w:sz w:val="30"/>
      <w:szCs w:val="44"/>
      <w:lang w:val="en-US" w:eastAsia="zh-CN" w:bidi="ar-SA"/>
    </w:rPr>
  </w:style>
  <w:style w:type="character" w:customStyle="1" w:styleId="504">
    <w:name w:val=" Char Char45"/>
    <w:autoRedefine/>
    <w:qFormat/>
    <w:uiPriority w:val="0"/>
    <w:rPr>
      <w:rFonts w:ascii="宋体" w:hAnsi="宋体" w:eastAsia="宋体"/>
      <w:b/>
      <w:kern w:val="2"/>
      <w:sz w:val="30"/>
      <w:szCs w:val="30"/>
      <w:lang w:val="en-US" w:eastAsia="zh-CN" w:bidi="ar-SA"/>
    </w:rPr>
  </w:style>
  <w:style w:type="paragraph" w:customStyle="1" w:styleId="505">
    <w:name w:val="正文－恩普"/>
    <w:basedOn w:val="10"/>
    <w:autoRedefine/>
    <w:qFormat/>
    <w:uiPriority w:val="0"/>
    <w:pPr>
      <w:spacing w:line="360" w:lineRule="auto"/>
      <w:ind w:firstLine="200" w:firstLineChars="200"/>
    </w:pPr>
    <w:rPr>
      <w:rFonts w:hint="eastAsia" w:ascii="宋体" w:hAnsi="Courier New"/>
      <w:spacing w:val="0"/>
      <w:kern w:val="2"/>
      <w:sz w:val="21"/>
    </w:rPr>
  </w:style>
  <w:style w:type="paragraph" w:customStyle="1" w:styleId="506">
    <w:name w:val="List Paragraph1"/>
    <w:basedOn w:val="1"/>
    <w:autoRedefine/>
    <w:qFormat/>
    <w:uiPriority w:val="0"/>
    <w:pPr>
      <w:ind w:firstLine="420" w:firstLineChars="200"/>
    </w:pPr>
    <w:rPr>
      <w:szCs w:val="22"/>
    </w:rPr>
  </w:style>
  <w:style w:type="paragraph" w:customStyle="1" w:styleId="507">
    <w:name w:val="179"/>
    <w:basedOn w:val="1"/>
    <w:autoRedefine/>
    <w:qFormat/>
    <w:uiPriority w:val="0"/>
    <w:pPr>
      <w:widowControl/>
      <w:ind w:firstLine="420" w:firstLineChars="200"/>
    </w:pPr>
    <w:rPr>
      <w:szCs w:val="22"/>
    </w:rPr>
  </w:style>
  <w:style w:type="paragraph" w:customStyle="1" w:styleId="508">
    <w:name w:val="newstyle17"/>
    <w:basedOn w:val="1"/>
    <w:autoRedefine/>
    <w:qFormat/>
    <w:uiPriority w:val="0"/>
    <w:pPr>
      <w:widowControl/>
      <w:spacing w:after="150"/>
      <w:jc w:val="left"/>
    </w:pPr>
    <w:rPr>
      <w:rFonts w:ascii="宋体" w:hAnsi="宋体" w:cs="宋体"/>
      <w:kern w:val="0"/>
      <w:sz w:val="24"/>
    </w:rPr>
  </w:style>
  <w:style w:type="character" w:customStyle="1" w:styleId="509">
    <w:name w:val="正文文本 (2) + 9 pt"/>
    <w:autoRedefine/>
    <w:qFormat/>
    <w:uiPriority w:val="0"/>
    <w:rPr>
      <w:rFonts w:ascii="MingLiU" w:hAnsi="MingLiU" w:eastAsia="MingLiU"/>
      <w:b/>
      <w:color w:val="000000"/>
      <w:spacing w:val="0"/>
      <w:w w:val="100"/>
      <w:position w:val="0"/>
      <w:sz w:val="18"/>
      <w:u w:val="none"/>
      <w:shd w:val="clear" w:color="auto" w:fill="FFFFFF"/>
      <w:lang w:val="zh-CN" w:eastAsia="zh-CN"/>
    </w:rPr>
  </w:style>
  <w:style w:type="character" w:customStyle="1" w:styleId="510">
    <w:name w:val="bookmark-item uuid-1596004804824 code-00020 addword single-line-text-input-box-cls"/>
    <w:basedOn w:val="75"/>
    <w:autoRedefine/>
    <w:qFormat/>
    <w:uiPriority w:val="0"/>
  </w:style>
  <w:style w:type="character" w:customStyle="1" w:styleId="511">
    <w:name w:val="bookmark-item uuid-1596004812886 code-00021 addword single-line-text-input-box-cls"/>
    <w:basedOn w:val="75"/>
    <w:autoRedefine/>
    <w:qFormat/>
    <w:uiPriority w:val="0"/>
  </w:style>
  <w:style w:type="character" w:customStyle="1" w:styleId="512">
    <w:name w:val="bookmark-item uuid-1596004672274 code-00018 addword single-line-text-input-box-cls"/>
    <w:basedOn w:val="75"/>
    <w:autoRedefine/>
    <w:qFormat/>
    <w:uiPriority w:val="0"/>
  </w:style>
  <w:style w:type="paragraph" w:customStyle="1" w:styleId="513">
    <w:name w:val="_Style 3"/>
    <w:basedOn w:val="1"/>
    <w:autoRedefine/>
    <w:unhideWhenUsed/>
    <w:qFormat/>
    <w:uiPriority w:val="0"/>
    <w:pPr>
      <w:ind w:firstLine="420" w:firstLineChars="200"/>
    </w:pPr>
  </w:style>
  <w:style w:type="paragraph" w:customStyle="1" w:styleId="514">
    <w:name w:val="正文文本 (2)4"/>
    <w:basedOn w:val="1"/>
    <w:autoRedefine/>
    <w:unhideWhenUsed/>
    <w:qFormat/>
    <w:uiPriority w:val="0"/>
    <w:pPr>
      <w:shd w:val="clear" w:color="auto" w:fill="FFFFFF"/>
      <w:spacing w:line="624" w:lineRule="exact"/>
      <w:ind w:hanging="640"/>
      <w:jc w:val="distribute"/>
    </w:pPr>
    <w:rPr>
      <w:rFonts w:hint="eastAsia" w:ascii="MingLiU" w:hAnsi="MingLiU" w:eastAsia="MingLiU"/>
      <w:kern w:val="0"/>
      <w:sz w:val="26"/>
      <w:shd w:val="clear" w:color="auto" w:fill="FFFFFF"/>
    </w:rPr>
  </w:style>
  <w:style w:type="character" w:customStyle="1" w:styleId="515">
    <w:name w:val="正文文本缩进 字符"/>
    <w:autoRedefine/>
    <w:semiHidden/>
    <w:qFormat/>
    <w:uiPriority w:val="0"/>
    <w:rPr>
      <w:rFonts w:ascii="宋体" w:hAnsi="宋体" w:eastAsia="宋体"/>
      <w:kern w:val="2"/>
      <w:sz w:val="24"/>
      <w:lang w:val="en-US" w:eastAsia="zh-CN" w:bidi="ar-SA"/>
    </w:rPr>
  </w:style>
  <w:style w:type="paragraph" w:customStyle="1" w:styleId="516">
    <w:name w:val="Body"/>
    <w:basedOn w:val="1"/>
    <w:autoRedefine/>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517">
    <w:name w:val="正文 A"/>
    <w:autoRedefine/>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518">
    <w:name w:val="BodyText"/>
    <w:basedOn w:val="1"/>
    <w:autoRedefine/>
    <w:qFormat/>
    <w:uiPriority w:val="0"/>
    <w:pPr>
      <w:widowControl/>
      <w:spacing w:after="120"/>
      <w:jc w:val="left"/>
    </w:pPr>
    <w:rPr>
      <w:rFonts w:ascii="Times New Roman" w:hAnsi="Times New Roman"/>
      <w:kern w:val="0"/>
      <w:sz w:val="20"/>
    </w:rPr>
  </w:style>
  <w:style w:type="paragraph" w:customStyle="1" w:styleId="519">
    <w:name w:val="正文空2格  1."/>
    <w:basedOn w:val="1"/>
    <w:autoRedefine/>
    <w:qFormat/>
    <w:uiPriority w:val="0"/>
    <w:pPr>
      <w:ind w:firstLine="480" w:firstLineChars="200"/>
      <w:jc w:val="left"/>
    </w:pPr>
    <w:rPr>
      <w:rFonts w:ascii="Times New Roman" w:hAnsi="Times New Roman" w:cs="宋体"/>
      <w:kern w:val="0"/>
      <w:sz w:val="28"/>
    </w:rPr>
  </w:style>
  <w:style w:type="character" w:customStyle="1" w:styleId="520">
    <w:name w:val="NormalCharacter"/>
    <w:autoRedefine/>
    <w:semiHidden/>
    <w:qFormat/>
    <w:uiPriority w:val="0"/>
  </w:style>
  <w:style w:type="table" w:customStyle="1" w:styleId="521">
    <w:name w:val="网格型2"/>
    <w:basedOn w:val="7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2">
    <w:name w:val="font81"/>
    <w:basedOn w:val="75"/>
    <w:autoRedefine/>
    <w:qFormat/>
    <w:uiPriority w:val="0"/>
    <w:rPr>
      <w:rFonts w:hint="eastAsia" w:ascii="宋体" w:hAnsi="宋体" w:eastAsia="宋体" w:cs="宋体"/>
      <w:b/>
      <w:bCs/>
      <w:color w:val="000000"/>
      <w:sz w:val="18"/>
      <w:szCs w:val="18"/>
      <w:u w:val="none"/>
    </w:rPr>
  </w:style>
  <w:style w:type="character" w:customStyle="1" w:styleId="523">
    <w:name w:val="font71"/>
    <w:basedOn w:val="75"/>
    <w:autoRedefine/>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39497</Words>
  <Characters>41193</Characters>
  <Lines>303</Lines>
  <Paragraphs>85</Paragraphs>
  <TotalTime>0</TotalTime>
  <ScaleCrop>false</ScaleCrop>
  <LinksUpToDate>false</LinksUpToDate>
  <CharactersWithSpaces>43128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2023-09-11T10:09:00Z</dcterms:created>
  <dc:creator>微软用户</dc:creator>
  <cp:lastModifiedBy>AOYO</cp:lastModifiedBy>
  <cp:lastPrinted>2024-04-03T01:23:00Z</cp:lastPrinted>
  <dcterms:modified xsi:type="dcterms:W3CDTF">2024-11-26T02:47:42Z</dcterms:modified>
  <dc:title>浙江省政府采购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38A29207E601452485FFF1A974A5C9DD_13</vt:lpwstr>
  </property>
</Properties>
</file>